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1E832F">
      <w:pPr>
        <w:spacing w:line="240" w:lineRule="atLeast"/>
        <w:ind w:left="1080" w:leftChars="257" w:hanging="540"/>
        <w:jc w:val="center"/>
        <w:rPr>
          <w:rFonts w:hint="eastAsia" w:ascii="宋体" w:hAnsi="宋体" w:cs="宋体"/>
          <w:b/>
          <w:color w:val="auto"/>
          <w:sz w:val="52"/>
          <w:szCs w:val="52"/>
          <w:lang w:val="en-US" w:eastAsia="zh-CN"/>
        </w:rPr>
      </w:pPr>
      <w:r>
        <w:rPr>
          <w:rFonts w:hint="eastAsia" w:ascii="宋体" w:hAnsi="宋体" w:cs="宋体"/>
          <w:b/>
          <w:color w:val="auto"/>
          <w:sz w:val="52"/>
          <w:szCs w:val="52"/>
          <w:lang w:val="en-US" w:eastAsia="zh-CN"/>
        </w:rPr>
        <w:t>信阳市南湾湖旅游度假区标识牌制作工艺项目</w:t>
      </w:r>
    </w:p>
    <w:p w14:paraId="3FF6B0BF">
      <w:pPr>
        <w:spacing w:line="240" w:lineRule="atLeast"/>
        <w:ind w:left="1080" w:leftChars="257" w:hanging="540"/>
        <w:rPr>
          <w:rFonts w:hint="eastAsia" w:ascii="宋体" w:hAnsi="宋体" w:cs="宋体"/>
          <w:b/>
          <w:sz w:val="28"/>
        </w:rPr>
      </w:pPr>
    </w:p>
    <w:p w14:paraId="1AFEB671">
      <w:pPr>
        <w:pStyle w:val="46"/>
        <w:ind w:left="0" w:leftChars="0" w:firstLine="0" w:firstLineChars="0"/>
        <w:rPr>
          <w:rFonts w:hint="eastAsia"/>
        </w:rPr>
      </w:pPr>
    </w:p>
    <w:p w14:paraId="64C914FF">
      <w:pPr>
        <w:pStyle w:val="65"/>
        <w:ind w:firstLine="420"/>
        <w:rPr>
          <w:rFonts w:hint="eastAsia"/>
        </w:rPr>
      </w:pPr>
    </w:p>
    <w:p w14:paraId="1D2D8C13">
      <w:pPr>
        <w:rPr>
          <w:rFonts w:hint="eastAsia"/>
        </w:rPr>
      </w:pPr>
    </w:p>
    <w:p w14:paraId="65EA7DC7">
      <w:pPr>
        <w:pStyle w:val="45"/>
        <w:ind w:firstLine="0" w:firstLineChars="0"/>
        <w:rPr>
          <w:rFonts w:hint="eastAsia"/>
        </w:rPr>
      </w:pPr>
    </w:p>
    <w:p w14:paraId="639C0C10">
      <w:pPr>
        <w:spacing w:line="240" w:lineRule="atLeast"/>
        <w:ind w:left="1080" w:leftChars="257" w:hanging="540"/>
        <w:jc w:val="center"/>
        <w:rPr>
          <w:rFonts w:hint="eastAsia" w:ascii="宋体" w:hAnsi="宋体" w:cs="宋体"/>
          <w:b/>
          <w:sz w:val="52"/>
        </w:rPr>
      </w:pPr>
    </w:p>
    <w:p w14:paraId="5086C88A">
      <w:pPr>
        <w:spacing w:line="240" w:lineRule="atLeast"/>
        <w:jc w:val="center"/>
        <w:rPr>
          <w:rFonts w:hint="eastAsia" w:ascii="宋体" w:hAnsi="宋体" w:cs="宋体"/>
          <w:b/>
          <w:sz w:val="108"/>
          <w:szCs w:val="108"/>
          <w14:shadow w14:blurRad="50800" w14:dist="38100" w14:dir="2700000" w14:sx="100000" w14:sy="100000" w14:kx="0" w14:ky="0" w14:algn="tl">
            <w14:srgbClr w14:val="000000">
              <w14:alpha w14:val="60000"/>
            </w14:srgbClr>
          </w14:shadow>
        </w:rPr>
      </w:pPr>
      <w:r>
        <w:rPr>
          <w:rFonts w:hint="eastAsia" w:ascii="宋体" w:hAnsi="宋体" w:cs="宋体"/>
          <w:b/>
          <w:sz w:val="108"/>
          <w:szCs w:val="108"/>
          <w:lang w:val="en-US" w:eastAsia="zh-CN"/>
          <w14:shadow w14:blurRad="50800" w14:dist="38100" w14:dir="2700000" w14:sx="100000" w14:sy="100000" w14:kx="0" w14:ky="0" w14:algn="tl">
            <w14:srgbClr w14:val="000000">
              <w14:alpha w14:val="60000"/>
            </w14:srgbClr>
          </w14:shadow>
        </w:rPr>
        <w:t>采 购</w:t>
      </w:r>
      <w:r>
        <w:rPr>
          <w:rFonts w:hint="eastAsia" w:ascii="宋体" w:hAnsi="宋体" w:cs="宋体"/>
          <w:b/>
          <w:sz w:val="108"/>
          <w:szCs w:val="108"/>
          <w14:shadow w14:blurRad="50800" w14:dist="38100" w14:dir="2700000" w14:sx="100000" w14:sy="100000" w14:kx="0" w14:ky="0" w14:algn="tl">
            <w14:srgbClr w14:val="000000">
              <w14:alpha w14:val="60000"/>
            </w14:srgbClr>
          </w14:shadow>
        </w:rPr>
        <w:t xml:space="preserve"> 文 件</w:t>
      </w:r>
    </w:p>
    <w:p w14:paraId="6BC2FF15">
      <w:pPr>
        <w:spacing w:line="360" w:lineRule="auto"/>
        <w:ind w:left="1079" w:leftChars="257" w:hanging="539"/>
        <w:jc w:val="center"/>
        <w:rPr>
          <w:rFonts w:hint="eastAsia" w:ascii="宋体" w:hAnsi="宋体" w:cs="宋体"/>
          <w:b/>
          <w:sz w:val="24"/>
        </w:rPr>
      </w:pPr>
    </w:p>
    <w:p w14:paraId="4CED82EA">
      <w:pPr>
        <w:spacing w:line="360" w:lineRule="auto"/>
        <w:ind w:left="1079" w:leftChars="257" w:hanging="539"/>
        <w:jc w:val="center"/>
        <w:rPr>
          <w:rFonts w:hint="eastAsia" w:ascii="宋体" w:hAnsi="宋体" w:cs="宋体"/>
          <w:b/>
          <w:sz w:val="24"/>
        </w:rPr>
      </w:pPr>
    </w:p>
    <w:p w14:paraId="558517CA">
      <w:pPr>
        <w:spacing w:line="360" w:lineRule="auto"/>
        <w:ind w:left="1079" w:leftChars="257" w:hanging="539"/>
        <w:jc w:val="center"/>
        <w:rPr>
          <w:rFonts w:hint="eastAsia" w:ascii="宋体" w:hAnsi="宋体" w:cs="宋体"/>
          <w:b/>
          <w:sz w:val="24"/>
        </w:rPr>
      </w:pPr>
    </w:p>
    <w:p w14:paraId="1BDDA3FE">
      <w:pPr>
        <w:spacing w:line="360" w:lineRule="auto"/>
        <w:ind w:left="1079" w:leftChars="257" w:hanging="539"/>
        <w:jc w:val="center"/>
        <w:rPr>
          <w:rFonts w:hint="eastAsia" w:ascii="宋体" w:hAnsi="宋体" w:cs="宋体"/>
          <w:b/>
          <w:sz w:val="24"/>
        </w:rPr>
      </w:pPr>
    </w:p>
    <w:p w14:paraId="0AE25C14">
      <w:pPr>
        <w:spacing w:line="360" w:lineRule="auto"/>
        <w:ind w:left="1079" w:leftChars="257" w:hanging="539"/>
        <w:jc w:val="center"/>
        <w:rPr>
          <w:rFonts w:hint="eastAsia" w:ascii="宋体" w:hAnsi="宋体" w:cs="宋体"/>
          <w:b/>
          <w:sz w:val="24"/>
        </w:rPr>
      </w:pPr>
    </w:p>
    <w:p w14:paraId="180BE790">
      <w:pPr>
        <w:spacing w:line="360" w:lineRule="auto"/>
        <w:jc w:val="both"/>
        <w:rPr>
          <w:rFonts w:hint="eastAsia" w:ascii="宋体" w:hAnsi="宋体" w:cs="宋体"/>
          <w:b/>
          <w:sz w:val="24"/>
        </w:rPr>
      </w:pPr>
    </w:p>
    <w:p w14:paraId="7CF19570">
      <w:pPr>
        <w:spacing w:line="360" w:lineRule="auto"/>
        <w:jc w:val="both"/>
        <w:rPr>
          <w:rFonts w:hint="eastAsia" w:ascii="宋体" w:hAnsi="宋体" w:cs="宋体"/>
          <w:b/>
          <w:sz w:val="24"/>
        </w:rPr>
      </w:pPr>
    </w:p>
    <w:p w14:paraId="169F2325">
      <w:pPr>
        <w:spacing w:line="360" w:lineRule="auto"/>
        <w:ind w:left="1079" w:leftChars="257" w:hanging="539"/>
        <w:jc w:val="center"/>
        <w:rPr>
          <w:rFonts w:hint="eastAsia" w:ascii="宋体" w:hAnsi="宋体" w:cs="宋体"/>
          <w:b/>
          <w:sz w:val="24"/>
        </w:rPr>
      </w:pPr>
    </w:p>
    <w:p w14:paraId="0801D3C3">
      <w:pPr>
        <w:keepNext w:val="0"/>
        <w:keepLines w:val="0"/>
        <w:pageBreakBefore w:val="0"/>
        <w:widowControl w:val="0"/>
        <w:kinsoku/>
        <w:wordWrap/>
        <w:overflowPunct/>
        <w:topLinePunct w:val="0"/>
        <w:autoSpaceDE/>
        <w:autoSpaceDN/>
        <w:bidi w:val="0"/>
        <w:adjustRightInd w:val="0"/>
        <w:snapToGrid w:val="0"/>
        <w:spacing w:line="360" w:lineRule="auto"/>
        <w:ind w:firstLine="1365" w:firstLineChars="400"/>
        <w:textAlignment w:val="auto"/>
        <w:rPr>
          <w:rFonts w:hint="eastAsia" w:ascii="宋体" w:hAnsi="宋体" w:cs="宋体"/>
          <w:b/>
          <w:sz w:val="34"/>
        </w:rPr>
      </w:pPr>
      <w:r>
        <w:rPr>
          <w:rFonts w:hint="eastAsia" w:ascii="宋体" w:hAnsi="宋体" w:cs="宋体"/>
          <w:b/>
          <w:sz w:val="34"/>
        </w:rPr>
        <w:t>采   购   人：</w:t>
      </w:r>
      <w:r>
        <w:rPr>
          <w:rFonts w:hint="eastAsia" w:ascii="宋体" w:hAnsi="宋体" w:cs="宋体"/>
          <w:b/>
          <w:sz w:val="34"/>
          <w:lang w:eastAsia="zh-CN"/>
        </w:rPr>
        <w:t>信阳市南湾湖风景区宣传信息中心</w:t>
      </w:r>
      <w:r>
        <w:rPr>
          <w:rFonts w:hint="eastAsia" w:ascii="宋体" w:hAnsi="宋体" w:cs="宋体"/>
          <w:b/>
          <w:sz w:val="34"/>
        </w:rPr>
        <w:t xml:space="preserve"> </w:t>
      </w:r>
    </w:p>
    <w:p w14:paraId="45438D6B">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b/>
          <w:sz w:val="34"/>
          <w:lang w:eastAsia="zh-CN"/>
        </w:rPr>
      </w:pPr>
      <w:r>
        <w:rPr>
          <w:rFonts w:hint="eastAsia" w:ascii="宋体" w:hAnsi="宋体" w:cs="宋体"/>
          <w:b/>
          <w:sz w:val="34"/>
          <w:lang w:val="en-US" w:eastAsia="zh-CN"/>
        </w:rPr>
        <w:t xml:space="preserve"> </w:t>
      </w:r>
      <w:r>
        <w:rPr>
          <w:rFonts w:hint="eastAsia" w:ascii="宋体" w:hAnsi="宋体" w:cs="宋体"/>
          <w:b/>
          <w:sz w:val="34"/>
        </w:rPr>
        <w:t>采购代理机构：</w:t>
      </w:r>
      <w:r>
        <w:rPr>
          <w:rFonts w:hint="eastAsia" w:ascii="宋体" w:hAnsi="宋体" w:cs="宋体"/>
          <w:b/>
          <w:sz w:val="34"/>
          <w:lang w:eastAsia="zh-CN"/>
        </w:rPr>
        <w:t>中鼎景宏工程管理有限公司</w:t>
      </w:r>
    </w:p>
    <w:p w14:paraId="32E3D084">
      <w:pPr>
        <w:spacing w:line="360" w:lineRule="auto"/>
        <w:ind w:firstLine="1365" w:firstLineChars="400"/>
        <w:jc w:val="left"/>
        <w:rPr>
          <w:rFonts w:hint="eastAsia" w:ascii="宋体" w:hAnsi="宋体" w:cs="宋体"/>
          <w:b/>
          <w:sz w:val="44"/>
          <w:szCs w:val="44"/>
        </w:rPr>
      </w:pPr>
      <w:r>
        <w:rPr>
          <w:rFonts w:hint="eastAsia" w:ascii="宋体" w:hAnsi="宋体" w:cs="宋体"/>
          <w:b/>
          <w:sz w:val="34"/>
        </w:rPr>
        <w:t>日　　　　期：二〇二</w:t>
      </w:r>
      <w:r>
        <w:rPr>
          <w:rFonts w:hint="eastAsia" w:ascii="宋体" w:hAnsi="宋体" w:cs="宋体"/>
          <w:b/>
          <w:sz w:val="34"/>
          <w:lang w:val="en-US" w:eastAsia="zh-CN"/>
        </w:rPr>
        <w:t>六</w:t>
      </w:r>
      <w:r>
        <w:rPr>
          <w:rFonts w:hint="eastAsia" w:ascii="宋体" w:hAnsi="宋体" w:cs="宋体"/>
          <w:b/>
          <w:sz w:val="34"/>
        </w:rPr>
        <w:t>年</w:t>
      </w:r>
      <w:r>
        <w:rPr>
          <w:rFonts w:hint="eastAsia" w:ascii="宋体" w:hAnsi="宋体" w:cs="宋体"/>
          <w:b/>
          <w:sz w:val="34"/>
          <w:lang w:val="en-US" w:eastAsia="zh-CN"/>
        </w:rPr>
        <w:t>九</w:t>
      </w:r>
      <w:r>
        <w:rPr>
          <w:rFonts w:hint="eastAsia" w:ascii="宋体" w:hAnsi="宋体" w:cs="宋体"/>
          <w:b/>
          <w:sz w:val="34"/>
        </w:rPr>
        <w:t>月</w:t>
      </w:r>
    </w:p>
    <w:p w14:paraId="287466F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sz w:val="44"/>
          <w:szCs w:val="44"/>
        </w:rPr>
      </w:pPr>
    </w:p>
    <w:p w14:paraId="2BB98F05">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sz w:val="44"/>
          <w:szCs w:val="44"/>
        </w:rPr>
      </w:pPr>
    </w:p>
    <w:p w14:paraId="616FDF94">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sz w:val="44"/>
          <w:szCs w:val="44"/>
        </w:rPr>
      </w:pPr>
    </w:p>
    <w:p w14:paraId="548729E2">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 w:val="44"/>
          <w:szCs w:val="44"/>
        </w:rPr>
      </w:pPr>
      <w:r>
        <w:rPr>
          <w:rFonts w:hint="eastAsia" w:ascii="宋体" w:hAnsi="宋体" w:eastAsia="宋体" w:cs="宋体"/>
          <w:b/>
          <w:bCs/>
          <w:sz w:val="44"/>
          <w:szCs w:val="44"/>
        </w:rPr>
        <w:t>致政府采购供应商和代理机构的一封信</w:t>
      </w:r>
    </w:p>
    <w:p w14:paraId="1C9EA2B1">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宋体" w:hAnsi="宋体" w:eastAsia="宋体" w:cs="宋体"/>
          <w:sz w:val="32"/>
          <w:szCs w:val="32"/>
        </w:rPr>
      </w:pPr>
    </w:p>
    <w:p w14:paraId="7EBF9F28">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尊敬的政府采购供应商、代理机构：</w:t>
      </w:r>
    </w:p>
    <w:p w14:paraId="48187475">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您好！非常感谢您一直以来对</w:t>
      </w:r>
      <w:r>
        <w:rPr>
          <w:rFonts w:hint="eastAsia" w:ascii="宋体" w:hAnsi="宋体" w:eastAsia="宋体" w:cs="宋体"/>
          <w:sz w:val="24"/>
          <w:szCs w:val="24"/>
          <w:lang w:eastAsia="zh-CN"/>
        </w:rPr>
        <w:t>信阳市</w:t>
      </w:r>
      <w:r>
        <w:rPr>
          <w:rFonts w:hint="eastAsia" w:ascii="宋体" w:hAnsi="宋体" w:eastAsia="宋体" w:cs="宋体"/>
          <w:sz w:val="24"/>
          <w:szCs w:val="24"/>
        </w:rPr>
        <w:t>政府采购活动的关心和支持！</w:t>
      </w:r>
    </w:p>
    <w:p w14:paraId="7D0C0769">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近年来，</w:t>
      </w:r>
      <w:r>
        <w:rPr>
          <w:rFonts w:hint="eastAsia" w:ascii="宋体" w:hAnsi="宋体" w:eastAsia="宋体" w:cs="宋体"/>
          <w:sz w:val="24"/>
          <w:szCs w:val="24"/>
          <w:lang w:eastAsia="zh-CN"/>
        </w:rPr>
        <w:t>信阳</w:t>
      </w:r>
      <w:r>
        <w:rPr>
          <w:rFonts w:hint="eastAsia" w:ascii="宋体" w:hAnsi="宋体" w:eastAsia="宋体" w:cs="宋体"/>
          <w:sz w:val="24"/>
          <w:szCs w:val="24"/>
        </w:rPr>
        <w:t>市财政局坚持以“服务企业、服务市场、服务基层”为出发点，以规范制度为抓手，以便民利企为目标，通过完善政府采购制度，优化政府采购流程，压缩办理时限，持续提升政府采购电子化水平，推进政府采购工作高效、规范、阳光运行。</w:t>
      </w:r>
    </w:p>
    <w:p w14:paraId="5C9AB0D6">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为持续优化信阳市政府采购领域营商环境，信阳市财政局成立优化营商环境工作领导小组，定期召开优化营商环境调度会、推进会，党组成员带头解决重大问题，带头完成节点任务，带头落实惠企政策，以工作机制创新推进工作延伸。一是持续为各交易主体提供优质服务。在法律职权内明确采购人主体责任，减少审批事项；汇编印发政府采购相关政策规定和政府采购操作指南及流程图，方便各交易主体参与我市政府采购活动；启用“不见面开标评标”系统，实现招标采购的全流程电子化。二是落实惠企政策。免收招标文件费用、投标保证金、履约保证金，货物类、服务类政府采购项目免收质量保证金，工程类政府采购项目收取不超过合同金额3%的质量保证金，且不得以现金形式收取，建议采购人根据项目实际情况免收质量保证金；给予中小微企业价格扣除优惠，货物服务采购项目给予小微企业报价的15%-20%（工程项目为5%）扣除优惠，用扣除后的价格参与评审；鼓励采购人提高首付款或预付款比例，首付款或预付款支付比例原则上不低于合同金额的50%，对于中小微企业，首付款或预付款支付比例可提高至不低于合同金额的70%；加大政府采购合同融资政策宣传，推进政府采购合同融资，为中标企业开辟融资“绿色通道”。三是设置政府采购项目服务专员，提供全流程服务。信阳市财政局在每个部门预算科室设立一名政府采购项目服务专员，全流程为中标供应商服务。在政府采购项目中，遇到任何问题均可以和服务专员联系，如采购人不按照规定签订合同、不按照合同约定对项目履约验收、不按照合同约定付款等问题。</w:t>
      </w:r>
    </w:p>
    <w:p w14:paraId="278A464C">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尽管做了一些工作，但我们深知，离贵公司的期望还有差距。恳请贵公司对我们的工作提出宝贵意见，并持续给予关注、支持和监督！</w:t>
      </w:r>
    </w:p>
    <w:p w14:paraId="1BA8301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sz w:val="24"/>
          <w:szCs w:val="24"/>
          <w:lang w:eastAsia="zh-CN"/>
        </w:rPr>
        <w:t>凡涉及信阳市政府采购领域营商环境的任何问题，贵公司均可通过专线电话03</w:t>
      </w:r>
      <w:r>
        <w:rPr>
          <w:rFonts w:hint="eastAsia" w:ascii="宋体" w:hAnsi="宋体" w:eastAsia="宋体" w:cs="宋体"/>
          <w:sz w:val="24"/>
          <w:szCs w:val="24"/>
          <w:lang w:val="en-US" w:eastAsia="zh-CN"/>
        </w:rPr>
        <w:t>76</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6699123</w:t>
      </w:r>
      <w:r>
        <w:rPr>
          <w:rFonts w:hint="eastAsia" w:ascii="宋体" w:hAnsi="宋体" w:eastAsia="宋体" w:cs="宋体"/>
          <w:sz w:val="24"/>
          <w:szCs w:val="24"/>
          <w:lang w:eastAsia="zh-CN"/>
        </w:rPr>
        <w:t>、电子邮箱</w:t>
      </w:r>
      <w:r>
        <w:rPr>
          <w:rFonts w:hint="eastAsia" w:ascii="宋体" w:hAnsi="宋体" w:eastAsia="宋体" w:cs="宋体"/>
          <w:sz w:val="24"/>
          <w:szCs w:val="24"/>
          <w:lang w:val="en-US" w:eastAsia="zh-CN"/>
        </w:rPr>
        <w:t>czyszb228</w:t>
      </w:r>
      <w:r>
        <w:rPr>
          <w:rFonts w:hint="eastAsia" w:ascii="宋体" w:hAnsi="宋体" w:eastAsia="宋体" w:cs="宋体"/>
          <w:sz w:val="24"/>
          <w:szCs w:val="24"/>
          <w:lang w:eastAsia="zh-CN"/>
        </w:rPr>
        <w:t>@163.com，与信阳市财政</w:t>
      </w:r>
      <w:r>
        <w:rPr>
          <w:rFonts w:hint="eastAsia" w:ascii="宋体" w:hAnsi="宋体" w:eastAsia="宋体" w:cs="宋体"/>
          <w:b w:val="0"/>
          <w:bCs w:val="0"/>
          <w:kern w:val="2"/>
          <w:sz w:val="24"/>
          <w:szCs w:val="24"/>
          <w:lang w:val="en-US" w:eastAsia="zh-CN" w:bidi="ar-SA"/>
        </w:rPr>
        <w:t>局优化营商环境办公室</w:t>
      </w:r>
      <w:r>
        <w:rPr>
          <w:rFonts w:hint="eastAsia" w:ascii="宋体" w:hAnsi="宋体" w:eastAsia="宋体" w:cs="宋体"/>
          <w:sz w:val="24"/>
          <w:szCs w:val="24"/>
          <w:lang w:eastAsia="zh-CN"/>
        </w:rPr>
        <w:t>随时沟通交流</w:t>
      </w:r>
      <w:r>
        <w:rPr>
          <w:rFonts w:hint="eastAsia" w:ascii="宋体" w:hAnsi="宋体" w:eastAsia="宋体" w:cs="宋体"/>
          <w:b w:val="0"/>
          <w:bCs w:val="0"/>
          <w:kern w:val="2"/>
          <w:sz w:val="24"/>
          <w:szCs w:val="24"/>
          <w:lang w:val="en-US" w:eastAsia="zh-CN" w:bidi="ar-SA"/>
        </w:rPr>
        <w:t>，我们将竭诚为各位供应商服务，全力解决贵公司遇到的困难。</w:t>
      </w:r>
    </w:p>
    <w:p w14:paraId="70D07A9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再次感谢贵公司对</w:t>
      </w:r>
      <w:r>
        <w:rPr>
          <w:rFonts w:hint="eastAsia" w:ascii="宋体" w:hAnsi="宋体" w:eastAsia="宋体" w:cs="宋体"/>
          <w:sz w:val="24"/>
          <w:szCs w:val="24"/>
          <w:lang w:eastAsia="zh-CN"/>
        </w:rPr>
        <w:t>信阳</w:t>
      </w:r>
      <w:r>
        <w:rPr>
          <w:rFonts w:hint="eastAsia" w:ascii="宋体" w:hAnsi="宋体" w:eastAsia="宋体" w:cs="宋体"/>
          <w:sz w:val="24"/>
          <w:szCs w:val="24"/>
        </w:rPr>
        <w:t>市政府采购工作的关心和支持！</w:t>
      </w:r>
    </w:p>
    <w:p w14:paraId="720AF239">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sz w:val="24"/>
          <w:szCs w:val="24"/>
        </w:rPr>
      </w:pPr>
    </w:p>
    <w:p w14:paraId="34A526B8">
      <w:pPr>
        <w:keepNext w:val="0"/>
        <w:keepLines w:val="0"/>
        <w:pageBreakBefore w:val="0"/>
        <w:kinsoku/>
        <w:wordWrap/>
        <w:overflowPunct/>
        <w:topLinePunct w:val="0"/>
        <w:autoSpaceDE/>
        <w:autoSpaceDN/>
        <w:bidi w:val="0"/>
        <w:adjustRightInd/>
        <w:snapToGrid/>
        <w:spacing w:line="520" w:lineRule="exact"/>
        <w:ind w:firstLine="4320" w:firstLineChars="1800"/>
        <w:textAlignment w:val="auto"/>
        <w:rPr>
          <w:rFonts w:hint="eastAsia" w:ascii="宋体" w:hAnsi="宋体" w:eastAsia="宋体" w:cs="宋体"/>
          <w:sz w:val="24"/>
          <w:szCs w:val="24"/>
          <w:lang w:eastAsia="zh-CN"/>
        </w:rPr>
      </w:pPr>
    </w:p>
    <w:p w14:paraId="260A780D">
      <w:pPr>
        <w:spacing w:line="360" w:lineRule="auto"/>
        <w:jc w:val="right"/>
        <w:rPr>
          <w:rFonts w:hint="eastAsia" w:ascii="宋体" w:hAnsi="宋体" w:eastAsia="宋体" w:cs="宋体"/>
          <w:b/>
          <w:sz w:val="44"/>
          <w:szCs w:val="44"/>
        </w:rPr>
      </w:pPr>
      <w:r>
        <w:rPr>
          <w:rFonts w:hint="eastAsia" w:ascii="宋体" w:hAnsi="宋体" w:eastAsia="宋体" w:cs="宋体"/>
          <w:sz w:val="24"/>
          <w:szCs w:val="24"/>
          <w:lang w:eastAsia="zh-CN"/>
        </w:rPr>
        <w:t>信阳市财政局</w:t>
      </w:r>
    </w:p>
    <w:p w14:paraId="6790EA8E">
      <w:pPr>
        <w:spacing w:line="360" w:lineRule="auto"/>
        <w:jc w:val="center"/>
        <w:rPr>
          <w:rFonts w:hint="eastAsia" w:asciiTheme="minorEastAsia" w:hAnsiTheme="minorEastAsia" w:eastAsiaTheme="minorEastAsia" w:cstheme="minorEastAsia"/>
          <w:b/>
          <w:bCs w:val="0"/>
          <w:sz w:val="44"/>
          <w:szCs w:val="44"/>
        </w:rPr>
      </w:pPr>
    </w:p>
    <w:p w14:paraId="7A5BCD02">
      <w:pPr>
        <w:spacing w:line="360" w:lineRule="auto"/>
        <w:jc w:val="center"/>
        <w:rPr>
          <w:rFonts w:hint="eastAsia" w:asciiTheme="minorEastAsia" w:hAnsiTheme="minorEastAsia" w:eastAsiaTheme="minorEastAsia" w:cstheme="minorEastAsia"/>
          <w:b/>
          <w:bCs w:val="0"/>
          <w:sz w:val="44"/>
          <w:szCs w:val="44"/>
        </w:rPr>
      </w:pPr>
    </w:p>
    <w:p w14:paraId="715C74B0">
      <w:pPr>
        <w:spacing w:line="360" w:lineRule="auto"/>
        <w:jc w:val="center"/>
        <w:rPr>
          <w:rFonts w:hint="eastAsia" w:asciiTheme="minorEastAsia" w:hAnsiTheme="minorEastAsia" w:eastAsiaTheme="minorEastAsia" w:cstheme="minorEastAsia"/>
          <w:b/>
          <w:bCs w:val="0"/>
          <w:sz w:val="44"/>
          <w:szCs w:val="44"/>
        </w:rPr>
      </w:pPr>
    </w:p>
    <w:p w14:paraId="63DEFB89">
      <w:pPr>
        <w:spacing w:line="360" w:lineRule="auto"/>
        <w:jc w:val="center"/>
        <w:rPr>
          <w:rFonts w:hint="eastAsia" w:asciiTheme="minorEastAsia" w:hAnsiTheme="minorEastAsia" w:eastAsiaTheme="minorEastAsia" w:cstheme="minorEastAsia"/>
          <w:b/>
          <w:bCs w:val="0"/>
          <w:sz w:val="44"/>
          <w:szCs w:val="44"/>
        </w:rPr>
      </w:pPr>
    </w:p>
    <w:p w14:paraId="41C89EC1">
      <w:pPr>
        <w:spacing w:line="360" w:lineRule="auto"/>
        <w:jc w:val="center"/>
        <w:rPr>
          <w:rFonts w:hint="eastAsia" w:asciiTheme="minorEastAsia" w:hAnsiTheme="minorEastAsia" w:eastAsiaTheme="minorEastAsia" w:cstheme="minorEastAsia"/>
          <w:b/>
          <w:bCs w:val="0"/>
          <w:sz w:val="44"/>
          <w:szCs w:val="44"/>
        </w:rPr>
      </w:pPr>
    </w:p>
    <w:p w14:paraId="0E4CA50E">
      <w:pPr>
        <w:spacing w:line="360" w:lineRule="auto"/>
        <w:jc w:val="center"/>
        <w:rPr>
          <w:rFonts w:hint="eastAsia" w:asciiTheme="minorEastAsia" w:hAnsiTheme="minorEastAsia" w:eastAsiaTheme="minorEastAsia" w:cstheme="minorEastAsia"/>
          <w:b/>
          <w:bCs w:val="0"/>
          <w:sz w:val="44"/>
          <w:szCs w:val="44"/>
        </w:rPr>
      </w:pPr>
    </w:p>
    <w:p w14:paraId="7E3AC0D0">
      <w:pPr>
        <w:spacing w:line="360" w:lineRule="auto"/>
        <w:jc w:val="center"/>
        <w:rPr>
          <w:rFonts w:hint="eastAsia" w:asciiTheme="minorEastAsia" w:hAnsiTheme="minorEastAsia" w:eastAsiaTheme="minorEastAsia" w:cstheme="minorEastAsia"/>
          <w:b/>
          <w:bCs w:val="0"/>
          <w:sz w:val="44"/>
          <w:szCs w:val="44"/>
        </w:rPr>
      </w:pPr>
    </w:p>
    <w:p w14:paraId="0CB9A982">
      <w:pPr>
        <w:spacing w:line="360" w:lineRule="auto"/>
        <w:jc w:val="center"/>
        <w:rPr>
          <w:rFonts w:hint="eastAsia" w:asciiTheme="minorEastAsia" w:hAnsiTheme="minorEastAsia" w:eastAsiaTheme="minorEastAsia" w:cstheme="minorEastAsia"/>
          <w:b/>
          <w:bCs w:val="0"/>
          <w:sz w:val="44"/>
          <w:szCs w:val="44"/>
        </w:rPr>
      </w:pPr>
    </w:p>
    <w:p w14:paraId="635DF9D5">
      <w:pPr>
        <w:spacing w:line="360" w:lineRule="auto"/>
        <w:jc w:val="center"/>
        <w:rPr>
          <w:rFonts w:hint="eastAsia" w:asciiTheme="minorEastAsia" w:hAnsiTheme="minorEastAsia" w:eastAsiaTheme="minorEastAsia" w:cstheme="minorEastAsia"/>
          <w:b/>
          <w:bCs w:val="0"/>
          <w:sz w:val="44"/>
          <w:szCs w:val="44"/>
        </w:rPr>
      </w:pPr>
    </w:p>
    <w:p w14:paraId="0C8A29A4">
      <w:pPr>
        <w:spacing w:line="360" w:lineRule="auto"/>
        <w:jc w:val="center"/>
        <w:rPr>
          <w:rFonts w:hint="eastAsia" w:asciiTheme="minorEastAsia" w:hAnsiTheme="minorEastAsia" w:eastAsiaTheme="minorEastAsia" w:cstheme="minorEastAsia"/>
          <w:b/>
          <w:bCs w:val="0"/>
          <w:sz w:val="44"/>
          <w:szCs w:val="44"/>
        </w:rPr>
      </w:pPr>
    </w:p>
    <w:p w14:paraId="16AA6E5A">
      <w:pPr>
        <w:spacing w:line="360" w:lineRule="auto"/>
        <w:jc w:val="center"/>
        <w:rPr>
          <w:rFonts w:hint="eastAsia" w:asciiTheme="minorEastAsia" w:hAnsiTheme="minorEastAsia" w:eastAsiaTheme="minorEastAsia" w:cstheme="minorEastAsia"/>
          <w:b/>
          <w:bCs w:val="0"/>
          <w:sz w:val="44"/>
          <w:szCs w:val="44"/>
        </w:rPr>
      </w:pPr>
    </w:p>
    <w:p w14:paraId="7B8EC77E">
      <w:pPr>
        <w:spacing w:line="360" w:lineRule="auto"/>
        <w:jc w:val="center"/>
        <w:rPr>
          <w:rFonts w:hint="eastAsia" w:asciiTheme="minorEastAsia" w:hAnsiTheme="minorEastAsia" w:eastAsiaTheme="minorEastAsia" w:cstheme="minorEastAsia"/>
          <w:b/>
          <w:bCs w:val="0"/>
          <w:sz w:val="44"/>
          <w:szCs w:val="44"/>
        </w:rPr>
      </w:pPr>
    </w:p>
    <w:p w14:paraId="1D420FED">
      <w:pPr>
        <w:spacing w:line="360" w:lineRule="auto"/>
        <w:jc w:val="center"/>
        <w:rPr>
          <w:rFonts w:hint="eastAsia" w:asciiTheme="minorEastAsia" w:hAnsiTheme="minorEastAsia" w:eastAsiaTheme="minorEastAsia" w:cstheme="minorEastAsia"/>
          <w:b/>
          <w:bCs w:val="0"/>
          <w:sz w:val="44"/>
          <w:szCs w:val="44"/>
        </w:rPr>
      </w:pPr>
    </w:p>
    <w:p w14:paraId="1E2219A5">
      <w:pPr>
        <w:spacing w:line="360" w:lineRule="auto"/>
        <w:jc w:val="center"/>
        <w:rPr>
          <w:rFonts w:hint="eastAsia" w:asciiTheme="minorEastAsia" w:hAnsiTheme="minorEastAsia" w:eastAsiaTheme="minorEastAsia" w:cstheme="minorEastAsia"/>
          <w:b/>
          <w:bCs w:val="0"/>
          <w:sz w:val="44"/>
          <w:szCs w:val="44"/>
        </w:rPr>
      </w:pPr>
    </w:p>
    <w:p w14:paraId="74C2926E">
      <w:pPr>
        <w:spacing w:line="360" w:lineRule="auto"/>
        <w:jc w:val="center"/>
        <w:rPr>
          <w:rFonts w:hint="eastAsia" w:asciiTheme="minorEastAsia" w:hAnsiTheme="minorEastAsia" w:eastAsiaTheme="minorEastAsia" w:cstheme="minorEastAsia"/>
          <w:b/>
          <w:bCs w:val="0"/>
          <w:sz w:val="44"/>
          <w:szCs w:val="44"/>
        </w:rPr>
      </w:pPr>
    </w:p>
    <w:p w14:paraId="14557CDE">
      <w:pPr>
        <w:spacing w:line="360" w:lineRule="auto"/>
        <w:jc w:val="center"/>
        <w:rPr>
          <w:rFonts w:hint="eastAsia" w:asciiTheme="minorEastAsia" w:hAnsiTheme="minorEastAsia" w:eastAsiaTheme="minorEastAsia" w:cstheme="minorEastAsia"/>
          <w:b/>
          <w:bCs w:val="0"/>
          <w:sz w:val="44"/>
          <w:szCs w:val="44"/>
        </w:rPr>
      </w:pPr>
    </w:p>
    <w:p w14:paraId="172A8188">
      <w:pPr>
        <w:spacing w:line="360" w:lineRule="auto"/>
        <w:jc w:val="center"/>
        <w:rPr>
          <w:rFonts w:hint="eastAsia" w:asciiTheme="minorEastAsia" w:hAnsiTheme="minorEastAsia" w:eastAsiaTheme="minorEastAsia" w:cstheme="minorEastAsia"/>
          <w:b/>
          <w:bCs w:val="0"/>
          <w:sz w:val="44"/>
          <w:szCs w:val="44"/>
        </w:rPr>
      </w:pPr>
      <w:r>
        <w:rPr>
          <w:rFonts w:hint="eastAsia" w:asciiTheme="minorEastAsia" w:hAnsiTheme="minorEastAsia" w:eastAsiaTheme="minorEastAsia" w:cstheme="minorEastAsia"/>
          <w:b/>
          <w:bCs w:val="0"/>
          <w:sz w:val="44"/>
          <w:szCs w:val="44"/>
        </w:rPr>
        <w:t>目     录</w:t>
      </w:r>
    </w:p>
    <w:sdt>
      <w:sdtPr>
        <w:rPr>
          <w:rFonts w:ascii="宋体" w:hAnsi="宋体" w:eastAsia="宋体" w:cs="Times New Roman"/>
          <w:kern w:val="2"/>
          <w:sz w:val="21"/>
          <w:szCs w:val="24"/>
          <w:lang w:val="en-US" w:eastAsia="zh-CN" w:bidi="ar-SA"/>
        </w:rPr>
        <w:id w:val="147469458"/>
        <w15:color w:val="DBDBDB"/>
        <w:docPartObj>
          <w:docPartGallery w:val="Table of Contents"/>
          <w:docPartUnique/>
        </w:docPartObj>
      </w:sdtPr>
      <w:sdtEndPr>
        <w:rPr>
          <w:rFonts w:ascii="宋体" w:hAnsi="宋体" w:eastAsia="宋体" w:cs="Times New Roman"/>
          <w:kern w:val="2"/>
          <w:sz w:val="21"/>
          <w:szCs w:val="24"/>
          <w:lang w:val="en-US" w:eastAsia="zh-CN" w:bidi="ar-SA"/>
        </w:rPr>
      </w:sdtEndPr>
      <w:sdtContent>
        <w:p w14:paraId="30CDDD3C">
          <w:pPr>
            <w:spacing w:before="0" w:beforeLines="0" w:after="0" w:afterLines="0" w:line="240" w:lineRule="auto"/>
            <w:ind w:left="0" w:leftChars="0" w:right="0" w:rightChars="0" w:firstLine="0" w:firstLineChars="0"/>
            <w:jc w:val="center"/>
          </w:pPr>
        </w:p>
        <w:p w14:paraId="07E2D387">
          <w:pPr>
            <w:pStyle w:val="33"/>
            <w:keepNext w:val="0"/>
            <w:keepLines w:val="0"/>
            <w:pageBreakBefore w:val="0"/>
            <w:widowControl w:val="0"/>
            <w:tabs>
              <w:tab w:val="right" w:leader="dot" w:pos="8958"/>
              <w:tab w:val="clear" w:pos="8296"/>
            </w:tabs>
            <w:kinsoku/>
            <w:wordWrap/>
            <w:overflowPunct/>
            <w:topLinePunct w:val="0"/>
            <w:autoSpaceDE/>
            <w:autoSpaceDN/>
            <w:bidi w:val="0"/>
            <w:adjustRightInd/>
            <w:snapToGrid/>
            <w:spacing w:line="480" w:lineRule="auto"/>
            <w:textAlignment w:val="auto"/>
            <w:rPr>
              <w:rFonts w:hint="eastAsia" w:asciiTheme="minorEastAsia" w:hAnsiTheme="minorEastAsia" w:eastAsiaTheme="minorEastAsia" w:cstheme="minorEastAsia"/>
              <w:b/>
              <w:bCs/>
              <w:sz w:val="24"/>
              <w:szCs w:val="24"/>
            </w:rPr>
          </w:pPr>
          <w:r>
            <w:fldChar w:fldCharType="begin"/>
          </w:r>
          <w:r>
            <w:instrText xml:space="preserve">TOC \o "1-2" \h \u </w:instrText>
          </w:r>
          <w:r>
            <w:fldChar w:fldCharType="separate"/>
          </w:r>
          <w:r>
            <w:rPr>
              <w:rFonts w:hint="eastAsia" w:asciiTheme="minorEastAsia" w:hAnsiTheme="minorEastAsia" w:eastAsiaTheme="minorEastAsia" w:cstheme="minorEastAsia"/>
              <w:b/>
              <w:bCs/>
              <w:sz w:val="24"/>
              <w:szCs w:val="24"/>
            </w:rPr>
            <w:fldChar w:fldCharType="begin"/>
          </w:r>
          <w:r>
            <w:rPr>
              <w:rFonts w:hint="eastAsia" w:asciiTheme="minorEastAsia" w:hAnsiTheme="minorEastAsia" w:eastAsiaTheme="minorEastAsia" w:cstheme="minorEastAsia"/>
              <w:b/>
              <w:bCs/>
              <w:sz w:val="24"/>
              <w:szCs w:val="24"/>
            </w:rPr>
            <w:instrText xml:space="preserve"> HYPERLINK \l _Toc13206 </w:instrText>
          </w:r>
          <w:r>
            <w:rPr>
              <w:rFonts w:hint="eastAsia" w:asciiTheme="minorEastAsia" w:hAnsiTheme="minorEastAsia" w:eastAsiaTheme="minorEastAsia" w:cstheme="minorEastAsia"/>
              <w:b/>
              <w:bCs/>
              <w:sz w:val="24"/>
              <w:szCs w:val="24"/>
            </w:rPr>
            <w:fldChar w:fldCharType="separate"/>
          </w:r>
          <w:r>
            <w:rPr>
              <w:rFonts w:hint="eastAsia" w:asciiTheme="minorEastAsia" w:hAnsiTheme="minorEastAsia" w:eastAsiaTheme="minorEastAsia" w:cstheme="minorEastAsia"/>
              <w:b/>
              <w:bCs/>
              <w:sz w:val="24"/>
              <w:szCs w:val="24"/>
            </w:rPr>
            <w:t>电子招投标特别提示</w:t>
          </w:r>
          <w:r>
            <w:rPr>
              <w:rFonts w:hint="eastAsia" w:asciiTheme="minorEastAsia" w:hAnsiTheme="minorEastAsia" w:eastAsiaTheme="minorEastAsia" w:cstheme="minorEastAsia"/>
              <w:b/>
              <w:bCs/>
              <w:sz w:val="24"/>
              <w:szCs w:val="24"/>
            </w:rPr>
            <w:tab/>
          </w:r>
          <w:r>
            <w:rPr>
              <w:rFonts w:hint="eastAsia" w:asciiTheme="minorEastAsia" w:hAnsiTheme="minorEastAsia" w:eastAsiaTheme="minorEastAsia" w:cstheme="minorEastAsia"/>
              <w:b/>
              <w:bCs/>
              <w:sz w:val="24"/>
              <w:szCs w:val="24"/>
            </w:rPr>
            <w:fldChar w:fldCharType="begin"/>
          </w:r>
          <w:r>
            <w:rPr>
              <w:rFonts w:hint="eastAsia" w:asciiTheme="minorEastAsia" w:hAnsiTheme="minorEastAsia" w:eastAsiaTheme="minorEastAsia" w:cstheme="minorEastAsia"/>
              <w:b/>
              <w:bCs/>
              <w:sz w:val="24"/>
              <w:szCs w:val="24"/>
            </w:rPr>
            <w:instrText xml:space="preserve"> PAGEREF _Toc13206 \h </w:instrText>
          </w:r>
          <w:r>
            <w:rPr>
              <w:rFonts w:hint="eastAsia" w:asciiTheme="minorEastAsia" w:hAnsiTheme="minorEastAsia" w:eastAsiaTheme="minorEastAsia" w:cstheme="minorEastAsia"/>
              <w:b/>
              <w:bCs/>
              <w:sz w:val="24"/>
              <w:szCs w:val="24"/>
            </w:rPr>
            <w:fldChar w:fldCharType="separate"/>
          </w:r>
          <w:r>
            <w:rPr>
              <w:rFonts w:hint="eastAsia" w:asciiTheme="minorEastAsia" w:hAnsiTheme="minorEastAsia" w:eastAsiaTheme="minorEastAsia" w:cstheme="minorEastAsia"/>
              <w:b/>
              <w:bCs/>
              <w:sz w:val="24"/>
              <w:szCs w:val="24"/>
            </w:rPr>
            <w:t>4</w:t>
          </w:r>
          <w:r>
            <w:rPr>
              <w:rFonts w:hint="eastAsia" w:asciiTheme="minorEastAsia" w:hAnsiTheme="minorEastAsia" w:eastAsiaTheme="minorEastAsia" w:cstheme="minorEastAsia"/>
              <w:b/>
              <w:bCs/>
              <w:sz w:val="24"/>
              <w:szCs w:val="24"/>
            </w:rPr>
            <w:fldChar w:fldCharType="end"/>
          </w:r>
          <w:r>
            <w:rPr>
              <w:rFonts w:hint="eastAsia" w:asciiTheme="minorEastAsia" w:hAnsiTheme="minorEastAsia" w:eastAsiaTheme="minorEastAsia" w:cstheme="minorEastAsia"/>
              <w:b/>
              <w:bCs/>
              <w:sz w:val="24"/>
              <w:szCs w:val="24"/>
            </w:rPr>
            <w:fldChar w:fldCharType="end"/>
          </w:r>
        </w:p>
        <w:p w14:paraId="3472AC17">
          <w:pPr>
            <w:pStyle w:val="33"/>
            <w:keepNext w:val="0"/>
            <w:keepLines w:val="0"/>
            <w:pageBreakBefore w:val="0"/>
            <w:widowControl w:val="0"/>
            <w:tabs>
              <w:tab w:val="right" w:leader="dot" w:pos="8958"/>
              <w:tab w:val="clear" w:pos="8296"/>
            </w:tabs>
            <w:kinsoku/>
            <w:wordWrap/>
            <w:overflowPunct/>
            <w:topLinePunct w:val="0"/>
            <w:autoSpaceDE/>
            <w:autoSpaceDN/>
            <w:bidi w:val="0"/>
            <w:adjustRightInd/>
            <w:snapToGrid/>
            <w:spacing w:line="480" w:lineRule="auto"/>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fldChar w:fldCharType="begin"/>
          </w:r>
          <w:r>
            <w:rPr>
              <w:rFonts w:hint="eastAsia" w:asciiTheme="minorEastAsia" w:hAnsiTheme="minorEastAsia" w:eastAsiaTheme="minorEastAsia" w:cstheme="minorEastAsia"/>
              <w:b/>
              <w:bCs/>
              <w:sz w:val="24"/>
              <w:szCs w:val="24"/>
            </w:rPr>
            <w:instrText xml:space="preserve"> HYPERLINK \l _Toc27445 </w:instrText>
          </w:r>
          <w:r>
            <w:rPr>
              <w:rFonts w:hint="eastAsia" w:asciiTheme="minorEastAsia" w:hAnsiTheme="minorEastAsia" w:eastAsiaTheme="minorEastAsia" w:cstheme="minorEastAsia"/>
              <w:b/>
              <w:bCs/>
              <w:sz w:val="24"/>
              <w:szCs w:val="24"/>
            </w:rPr>
            <w:fldChar w:fldCharType="separate"/>
          </w:r>
          <w:r>
            <w:rPr>
              <w:rFonts w:hint="eastAsia" w:asciiTheme="minorEastAsia" w:hAnsiTheme="minorEastAsia" w:eastAsiaTheme="minorEastAsia" w:cstheme="minorEastAsia"/>
              <w:b/>
              <w:bCs/>
              <w:sz w:val="24"/>
              <w:szCs w:val="24"/>
            </w:rPr>
            <w:t>第一章  招标公告</w:t>
          </w:r>
          <w:r>
            <w:rPr>
              <w:rFonts w:hint="eastAsia" w:asciiTheme="minorEastAsia" w:hAnsiTheme="minorEastAsia" w:eastAsiaTheme="minorEastAsia" w:cstheme="minorEastAsia"/>
              <w:b/>
              <w:bCs/>
              <w:sz w:val="24"/>
              <w:szCs w:val="24"/>
            </w:rPr>
            <w:tab/>
          </w:r>
          <w:r>
            <w:rPr>
              <w:rFonts w:hint="eastAsia" w:asciiTheme="minorEastAsia" w:hAnsiTheme="minorEastAsia" w:eastAsiaTheme="minorEastAsia" w:cstheme="minorEastAsia"/>
              <w:b/>
              <w:bCs/>
              <w:sz w:val="24"/>
              <w:szCs w:val="24"/>
            </w:rPr>
            <w:fldChar w:fldCharType="begin"/>
          </w:r>
          <w:r>
            <w:rPr>
              <w:rFonts w:hint="eastAsia" w:asciiTheme="minorEastAsia" w:hAnsiTheme="minorEastAsia" w:eastAsiaTheme="minorEastAsia" w:cstheme="minorEastAsia"/>
              <w:b/>
              <w:bCs/>
              <w:sz w:val="24"/>
              <w:szCs w:val="24"/>
            </w:rPr>
            <w:instrText xml:space="preserve"> PAGEREF _Toc27445 \h </w:instrText>
          </w:r>
          <w:r>
            <w:rPr>
              <w:rFonts w:hint="eastAsia" w:asciiTheme="minorEastAsia" w:hAnsiTheme="minorEastAsia" w:eastAsiaTheme="minorEastAsia" w:cstheme="minorEastAsia"/>
              <w:b/>
              <w:bCs/>
              <w:sz w:val="24"/>
              <w:szCs w:val="24"/>
            </w:rPr>
            <w:fldChar w:fldCharType="separate"/>
          </w:r>
          <w:r>
            <w:rPr>
              <w:rFonts w:hint="eastAsia" w:asciiTheme="minorEastAsia" w:hAnsiTheme="minorEastAsia" w:eastAsiaTheme="minorEastAsia" w:cstheme="minorEastAsia"/>
              <w:b/>
              <w:bCs/>
              <w:sz w:val="24"/>
              <w:szCs w:val="24"/>
            </w:rPr>
            <w:t>6</w:t>
          </w:r>
          <w:r>
            <w:rPr>
              <w:rFonts w:hint="eastAsia" w:asciiTheme="minorEastAsia" w:hAnsiTheme="minorEastAsia" w:eastAsiaTheme="minorEastAsia" w:cstheme="minorEastAsia"/>
              <w:b/>
              <w:bCs/>
              <w:sz w:val="24"/>
              <w:szCs w:val="24"/>
            </w:rPr>
            <w:fldChar w:fldCharType="end"/>
          </w:r>
          <w:r>
            <w:rPr>
              <w:rFonts w:hint="eastAsia" w:asciiTheme="minorEastAsia" w:hAnsiTheme="minorEastAsia" w:eastAsiaTheme="minorEastAsia" w:cstheme="minorEastAsia"/>
              <w:b/>
              <w:bCs/>
              <w:sz w:val="24"/>
              <w:szCs w:val="24"/>
            </w:rPr>
            <w:fldChar w:fldCharType="end"/>
          </w:r>
        </w:p>
        <w:p w14:paraId="2701B62F">
          <w:pPr>
            <w:pStyle w:val="33"/>
            <w:keepNext w:val="0"/>
            <w:keepLines w:val="0"/>
            <w:pageBreakBefore w:val="0"/>
            <w:widowControl w:val="0"/>
            <w:tabs>
              <w:tab w:val="right" w:leader="dot" w:pos="8958"/>
              <w:tab w:val="clear" w:pos="8296"/>
            </w:tabs>
            <w:kinsoku/>
            <w:wordWrap/>
            <w:overflowPunct/>
            <w:topLinePunct w:val="0"/>
            <w:autoSpaceDE/>
            <w:autoSpaceDN/>
            <w:bidi w:val="0"/>
            <w:adjustRightInd/>
            <w:snapToGrid/>
            <w:spacing w:line="48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fldChar w:fldCharType="begin"/>
          </w:r>
          <w:r>
            <w:rPr>
              <w:rFonts w:hint="eastAsia" w:asciiTheme="minorEastAsia" w:hAnsiTheme="minorEastAsia" w:eastAsiaTheme="minorEastAsia" w:cstheme="minorEastAsia"/>
              <w:b/>
              <w:bCs/>
              <w:sz w:val="24"/>
              <w:szCs w:val="24"/>
            </w:rPr>
            <w:instrText xml:space="preserve"> HYPERLINK \l _Toc8998 </w:instrText>
          </w:r>
          <w:r>
            <w:rPr>
              <w:rFonts w:hint="eastAsia" w:asciiTheme="minorEastAsia" w:hAnsiTheme="minorEastAsia" w:eastAsiaTheme="minorEastAsia" w:cstheme="minorEastAsia"/>
              <w:b/>
              <w:bCs/>
              <w:sz w:val="24"/>
              <w:szCs w:val="24"/>
            </w:rPr>
            <w:fldChar w:fldCharType="separate"/>
          </w:r>
          <w:r>
            <w:rPr>
              <w:rFonts w:hint="eastAsia" w:asciiTheme="minorEastAsia" w:hAnsiTheme="minorEastAsia" w:eastAsiaTheme="minorEastAsia" w:cstheme="minorEastAsia"/>
              <w:b/>
              <w:bCs/>
              <w:sz w:val="24"/>
              <w:szCs w:val="24"/>
            </w:rPr>
            <w:t>第二章  投标人须知</w:t>
          </w:r>
          <w:r>
            <w:rPr>
              <w:rFonts w:hint="eastAsia" w:asciiTheme="minorEastAsia" w:hAnsiTheme="minorEastAsia" w:eastAsiaTheme="minorEastAsia" w:cstheme="minorEastAsia"/>
              <w:b/>
              <w:bCs/>
              <w:sz w:val="24"/>
              <w:szCs w:val="24"/>
            </w:rPr>
            <w:tab/>
          </w:r>
          <w:r>
            <w:rPr>
              <w:rFonts w:hint="eastAsia" w:asciiTheme="minorEastAsia" w:hAnsiTheme="minorEastAsia" w:eastAsiaTheme="minorEastAsia" w:cstheme="minorEastAsia"/>
              <w:b/>
              <w:bCs/>
              <w:sz w:val="24"/>
              <w:szCs w:val="24"/>
            </w:rPr>
            <w:fldChar w:fldCharType="begin"/>
          </w:r>
          <w:r>
            <w:rPr>
              <w:rFonts w:hint="eastAsia" w:asciiTheme="minorEastAsia" w:hAnsiTheme="minorEastAsia" w:eastAsiaTheme="minorEastAsia" w:cstheme="minorEastAsia"/>
              <w:b/>
              <w:bCs/>
              <w:sz w:val="24"/>
              <w:szCs w:val="24"/>
            </w:rPr>
            <w:instrText xml:space="preserve"> PAGEREF _Toc8998 \h </w:instrText>
          </w:r>
          <w:r>
            <w:rPr>
              <w:rFonts w:hint="eastAsia" w:asciiTheme="minorEastAsia" w:hAnsiTheme="minorEastAsia" w:eastAsiaTheme="minorEastAsia" w:cstheme="minorEastAsia"/>
              <w:b/>
              <w:bCs/>
              <w:sz w:val="24"/>
              <w:szCs w:val="24"/>
            </w:rPr>
            <w:fldChar w:fldCharType="separate"/>
          </w:r>
          <w:r>
            <w:rPr>
              <w:rFonts w:hint="eastAsia" w:asciiTheme="minorEastAsia" w:hAnsiTheme="minorEastAsia" w:eastAsiaTheme="minorEastAsia" w:cstheme="minorEastAsia"/>
              <w:b/>
              <w:bCs/>
              <w:sz w:val="24"/>
              <w:szCs w:val="24"/>
            </w:rPr>
            <w:t>10</w:t>
          </w:r>
          <w:r>
            <w:rPr>
              <w:rFonts w:hint="eastAsia" w:asciiTheme="minorEastAsia" w:hAnsiTheme="minorEastAsia" w:eastAsiaTheme="minorEastAsia" w:cstheme="minorEastAsia"/>
              <w:b/>
              <w:bCs/>
              <w:sz w:val="24"/>
              <w:szCs w:val="24"/>
            </w:rPr>
            <w:fldChar w:fldCharType="end"/>
          </w:r>
          <w:r>
            <w:rPr>
              <w:rFonts w:hint="eastAsia" w:asciiTheme="minorEastAsia" w:hAnsiTheme="minorEastAsia" w:eastAsiaTheme="minorEastAsia" w:cstheme="minorEastAsia"/>
              <w:b/>
              <w:bCs/>
              <w:sz w:val="24"/>
              <w:szCs w:val="24"/>
            </w:rPr>
            <w:fldChar w:fldCharType="end"/>
          </w:r>
        </w:p>
        <w:p w14:paraId="3737DBA0">
          <w:pPr>
            <w:pStyle w:val="38"/>
            <w:keepNext w:val="0"/>
            <w:keepLines w:val="0"/>
            <w:pageBreakBefore w:val="0"/>
            <w:widowControl w:val="0"/>
            <w:tabs>
              <w:tab w:val="right" w:leader="dot" w:pos="8958"/>
              <w:tab w:val="clear" w:pos="8301"/>
            </w:tabs>
            <w:kinsoku/>
            <w:wordWrap/>
            <w:overflowPunct/>
            <w:topLinePunct w:val="0"/>
            <w:autoSpaceDE/>
            <w:autoSpaceDN/>
            <w:bidi w:val="0"/>
            <w:adjustRightInd/>
            <w:snapToGrid/>
            <w:spacing w:line="48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\l _Toc27284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bCs w:val="0"/>
              <w:sz w:val="24"/>
              <w:szCs w:val="24"/>
              <w:lang w:eastAsia="zh-CN"/>
            </w:rPr>
            <w:t>一、</w:t>
          </w:r>
          <w:r>
            <w:rPr>
              <w:rFonts w:hint="eastAsia" w:asciiTheme="minorEastAsia" w:hAnsiTheme="minorEastAsia" w:eastAsiaTheme="minorEastAsia" w:cstheme="minorEastAsia"/>
              <w:bCs w:val="0"/>
              <w:sz w:val="24"/>
              <w:szCs w:val="24"/>
            </w:rPr>
            <w:t>投标人须知前附表</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_Toc27284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10</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fldChar w:fldCharType="end"/>
          </w:r>
        </w:p>
        <w:p w14:paraId="6532C997">
          <w:pPr>
            <w:pStyle w:val="38"/>
            <w:keepNext w:val="0"/>
            <w:keepLines w:val="0"/>
            <w:pageBreakBefore w:val="0"/>
            <w:widowControl w:val="0"/>
            <w:tabs>
              <w:tab w:val="right" w:leader="dot" w:pos="8958"/>
              <w:tab w:val="clear" w:pos="8301"/>
            </w:tabs>
            <w:kinsoku/>
            <w:wordWrap/>
            <w:overflowPunct/>
            <w:topLinePunct w:val="0"/>
            <w:autoSpaceDE/>
            <w:autoSpaceDN/>
            <w:bidi w:val="0"/>
            <w:adjustRightInd/>
            <w:snapToGrid/>
            <w:spacing w:line="48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\l _Toc25460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bCs/>
              <w:sz w:val="24"/>
              <w:szCs w:val="24"/>
              <w:lang w:val="en-US" w:eastAsia="zh-CN"/>
            </w:rPr>
            <w:t>二、</w:t>
          </w:r>
          <w:r>
            <w:rPr>
              <w:rFonts w:hint="eastAsia" w:asciiTheme="minorEastAsia" w:hAnsiTheme="minorEastAsia" w:eastAsiaTheme="minorEastAsia" w:cstheme="minorEastAsia"/>
              <w:bCs/>
              <w:sz w:val="24"/>
              <w:szCs w:val="24"/>
              <w:lang w:eastAsia="zh-CN"/>
            </w:rPr>
            <w:t>招标</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_Toc25460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15</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fldChar w:fldCharType="end"/>
          </w:r>
        </w:p>
        <w:p w14:paraId="6CA8DB5D">
          <w:pPr>
            <w:pStyle w:val="38"/>
            <w:keepNext w:val="0"/>
            <w:keepLines w:val="0"/>
            <w:pageBreakBefore w:val="0"/>
            <w:widowControl w:val="0"/>
            <w:tabs>
              <w:tab w:val="right" w:leader="dot" w:pos="8958"/>
              <w:tab w:val="clear" w:pos="8301"/>
            </w:tabs>
            <w:kinsoku/>
            <w:wordWrap/>
            <w:overflowPunct/>
            <w:topLinePunct w:val="0"/>
            <w:autoSpaceDE/>
            <w:autoSpaceDN/>
            <w:bidi w:val="0"/>
            <w:adjustRightInd/>
            <w:snapToGrid/>
            <w:spacing w:line="48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\l _Toc29836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bCs/>
              <w:sz w:val="24"/>
              <w:szCs w:val="24"/>
              <w:lang w:val="en-US" w:eastAsia="zh-CN"/>
            </w:rPr>
            <w:t>三、</w:t>
          </w:r>
          <w:r>
            <w:rPr>
              <w:rFonts w:hint="eastAsia" w:asciiTheme="minorEastAsia" w:hAnsiTheme="minorEastAsia" w:eastAsiaTheme="minorEastAsia" w:cstheme="minorEastAsia"/>
              <w:bCs/>
              <w:sz w:val="24"/>
              <w:szCs w:val="24"/>
              <w:lang w:eastAsia="zh-CN"/>
            </w:rPr>
            <w:t>投标</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_Toc29836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22</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fldChar w:fldCharType="end"/>
          </w:r>
        </w:p>
        <w:p w14:paraId="33E41A4C">
          <w:pPr>
            <w:pStyle w:val="38"/>
            <w:keepNext w:val="0"/>
            <w:keepLines w:val="0"/>
            <w:pageBreakBefore w:val="0"/>
            <w:widowControl w:val="0"/>
            <w:tabs>
              <w:tab w:val="right" w:leader="dot" w:pos="8958"/>
              <w:tab w:val="clear" w:pos="8301"/>
            </w:tabs>
            <w:kinsoku/>
            <w:wordWrap/>
            <w:overflowPunct/>
            <w:topLinePunct w:val="0"/>
            <w:autoSpaceDE/>
            <w:autoSpaceDN/>
            <w:bidi w:val="0"/>
            <w:adjustRightInd/>
            <w:snapToGrid/>
            <w:spacing w:line="48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\l _Toc21136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bCs/>
              <w:sz w:val="24"/>
              <w:szCs w:val="24"/>
              <w:lang w:val="en-US" w:eastAsia="zh-CN"/>
            </w:rPr>
            <w:t>四、</w:t>
          </w:r>
          <w:r>
            <w:rPr>
              <w:rFonts w:hint="eastAsia" w:asciiTheme="minorEastAsia" w:hAnsiTheme="minorEastAsia" w:eastAsiaTheme="minorEastAsia" w:cstheme="minorEastAsia"/>
              <w:bCs/>
              <w:sz w:val="24"/>
              <w:szCs w:val="24"/>
              <w:lang w:eastAsia="zh-CN"/>
            </w:rPr>
            <w:t>开标、资格审查及评标</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_Toc21136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26</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fldChar w:fldCharType="end"/>
          </w:r>
        </w:p>
        <w:p w14:paraId="44EEC026">
          <w:pPr>
            <w:pStyle w:val="38"/>
            <w:keepNext w:val="0"/>
            <w:keepLines w:val="0"/>
            <w:pageBreakBefore w:val="0"/>
            <w:widowControl w:val="0"/>
            <w:tabs>
              <w:tab w:val="right" w:leader="dot" w:pos="8958"/>
              <w:tab w:val="clear" w:pos="8301"/>
            </w:tabs>
            <w:kinsoku/>
            <w:wordWrap/>
            <w:overflowPunct/>
            <w:topLinePunct w:val="0"/>
            <w:autoSpaceDE/>
            <w:autoSpaceDN/>
            <w:bidi w:val="0"/>
            <w:adjustRightInd/>
            <w:snapToGrid/>
            <w:spacing w:line="48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\l _Toc14156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bCs/>
              <w:sz w:val="24"/>
              <w:szCs w:val="24"/>
              <w:lang w:val="en-US" w:eastAsia="zh-CN"/>
            </w:rPr>
            <w:t>五、</w:t>
          </w:r>
          <w:r>
            <w:rPr>
              <w:rFonts w:hint="eastAsia" w:asciiTheme="minorEastAsia" w:hAnsiTheme="minorEastAsia" w:eastAsiaTheme="minorEastAsia" w:cstheme="minorEastAsia"/>
              <w:bCs/>
              <w:sz w:val="24"/>
              <w:szCs w:val="24"/>
              <w:lang w:eastAsia="zh-CN"/>
            </w:rPr>
            <w:t>中标和合同</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_Toc14156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27</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fldChar w:fldCharType="end"/>
          </w:r>
        </w:p>
        <w:p w14:paraId="5BC60434">
          <w:pPr>
            <w:pStyle w:val="38"/>
            <w:keepNext w:val="0"/>
            <w:keepLines w:val="0"/>
            <w:pageBreakBefore w:val="0"/>
            <w:widowControl w:val="0"/>
            <w:tabs>
              <w:tab w:val="right" w:leader="dot" w:pos="8958"/>
              <w:tab w:val="clear" w:pos="8301"/>
            </w:tabs>
            <w:kinsoku/>
            <w:wordWrap/>
            <w:overflowPunct/>
            <w:topLinePunct w:val="0"/>
            <w:autoSpaceDE/>
            <w:autoSpaceDN/>
            <w:bidi w:val="0"/>
            <w:adjustRightInd/>
            <w:snapToGrid/>
            <w:spacing w:line="48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\l _Toc13484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bCs/>
              <w:sz w:val="24"/>
              <w:szCs w:val="24"/>
              <w:lang w:val="en-US" w:eastAsia="zh-CN"/>
            </w:rPr>
            <w:t>六、</w:t>
          </w:r>
          <w:r>
            <w:rPr>
              <w:rFonts w:hint="eastAsia" w:asciiTheme="minorEastAsia" w:hAnsiTheme="minorEastAsia" w:eastAsiaTheme="minorEastAsia" w:cstheme="minorEastAsia"/>
              <w:bCs/>
              <w:sz w:val="24"/>
              <w:szCs w:val="24"/>
              <w:lang w:eastAsia="zh-CN"/>
            </w:rPr>
            <w:t>质疑</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_Toc13484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29</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fldChar w:fldCharType="end"/>
          </w:r>
        </w:p>
        <w:p w14:paraId="50A99801">
          <w:pPr>
            <w:pStyle w:val="38"/>
            <w:keepNext w:val="0"/>
            <w:keepLines w:val="0"/>
            <w:pageBreakBefore w:val="0"/>
            <w:widowControl w:val="0"/>
            <w:tabs>
              <w:tab w:val="right" w:leader="dot" w:pos="8958"/>
              <w:tab w:val="clear" w:pos="8301"/>
            </w:tabs>
            <w:kinsoku/>
            <w:wordWrap/>
            <w:overflowPunct/>
            <w:topLinePunct w:val="0"/>
            <w:autoSpaceDE/>
            <w:autoSpaceDN/>
            <w:bidi w:val="0"/>
            <w:adjustRightInd/>
            <w:snapToGrid/>
            <w:spacing w:line="48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\l _Toc513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bCs/>
              <w:sz w:val="24"/>
              <w:szCs w:val="24"/>
              <w:lang w:val="en-US" w:eastAsia="zh-CN"/>
            </w:rPr>
            <w:t>七、</w:t>
          </w:r>
          <w:r>
            <w:rPr>
              <w:rFonts w:hint="eastAsia" w:asciiTheme="minorEastAsia" w:hAnsiTheme="minorEastAsia" w:eastAsiaTheme="minorEastAsia" w:cstheme="minorEastAsia"/>
              <w:bCs/>
              <w:sz w:val="24"/>
              <w:szCs w:val="24"/>
              <w:lang w:eastAsia="zh-CN"/>
            </w:rPr>
            <w:t>其他事项</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_Toc513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30</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fldChar w:fldCharType="end"/>
          </w:r>
        </w:p>
        <w:p w14:paraId="46FC162B">
          <w:pPr>
            <w:pStyle w:val="33"/>
            <w:keepNext w:val="0"/>
            <w:keepLines w:val="0"/>
            <w:pageBreakBefore w:val="0"/>
            <w:widowControl w:val="0"/>
            <w:tabs>
              <w:tab w:val="right" w:leader="dot" w:pos="8958"/>
              <w:tab w:val="clear" w:pos="8296"/>
            </w:tabs>
            <w:kinsoku/>
            <w:wordWrap/>
            <w:overflowPunct/>
            <w:topLinePunct w:val="0"/>
            <w:autoSpaceDE/>
            <w:autoSpaceDN/>
            <w:bidi w:val="0"/>
            <w:adjustRightInd/>
            <w:snapToGrid/>
            <w:spacing w:line="480" w:lineRule="auto"/>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fldChar w:fldCharType="begin"/>
          </w:r>
          <w:r>
            <w:rPr>
              <w:rFonts w:hint="eastAsia" w:asciiTheme="minorEastAsia" w:hAnsiTheme="minorEastAsia" w:eastAsiaTheme="minorEastAsia" w:cstheme="minorEastAsia"/>
              <w:b/>
              <w:bCs/>
              <w:sz w:val="24"/>
              <w:szCs w:val="24"/>
            </w:rPr>
            <w:instrText xml:space="preserve"> HYPERLINK \l _Toc12567 </w:instrText>
          </w:r>
          <w:r>
            <w:rPr>
              <w:rFonts w:hint="eastAsia" w:asciiTheme="minorEastAsia" w:hAnsiTheme="minorEastAsia" w:eastAsiaTheme="minorEastAsia" w:cstheme="minorEastAsia"/>
              <w:b/>
              <w:bCs/>
              <w:sz w:val="24"/>
              <w:szCs w:val="24"/>
            </w:rPr>
            <w:fldChar w:fldCharType="separate"/>
          </w:r>
          <w:r>
            <w:rPr>
              <w:rFonts w:hint="eastAsia" w:asciiTheme="minorEastAsia" w:hAnsiTheme="minorEastAsia" w:eastAsiaTheme="minorEastAsia" w:cstheme="minorEastAsia"/>
              <w:b/>
              <w:bCs/>
              <w:sz w:val="24"/>
              <w:szCs w:val="24"/>
            </w:rPr>
            <w:t>第</w:t>
          </w:r>
          <w:r>
            <w:rPr>
              <w:rFonts w:hint="eastAsia" w:asciiTheme="minorEastAsia" w:hAnsiTheme="minorEastAsia" w:eastAsiaTheme="minorEastAsia" w:cstheme="minorEastAsia"/>
              <w:b/>
              <w:bCs/>
              <w:sz w:val="24"/>
              <w:szCs w:val="24"/>
              <w:lang w:eastAsia="zh-CN"/>
            </w:rPr>
            <w:t>三</w:t>
          </w:r>
          <w:r>
            <w:rPr>
              <w:rFonts w:hint="eastAsia" w:asciiTheme="minorEastAsia" w:hAnsiTheme="minorEastAsia" w:eastAsiaTheme="minorEastAsia" w:cstheme="minorEastAsia"/>
              <w:b/>
              <w:bCs/>
              <w:sz w:val="24"/>
              <w:szCs w:val="24"/>
            </w:rPr>
            <w:t xml:space="preserve">章  </w:t>
          </w:r>
          <w:r>
            <w:rPr>
              <w:rFonts w:hint="eastAsia" w:asciiTheme="minorEastAsia" w:hAnsiTheme="minorEastAsia" w:eastAsiaTheme="minorEastAsia" w:cstheme="minorEastAsia"/>
              <w:b/>
              <w:bCs/>
              <w:sz w:val="24"/>
              <w:szCs w:val="24"/>
              <w:lang w:val="en-US" w:eastAsia="zh-CN"/>
            </w:rPr>
            <w:t>评分办法</w:t>
          </w:r>
          <w:r>
            <w:rPr>
              <w:rFonts w:hint="eastAsia" w:asciiTheme="minorEastAsia" w:hAnsiTheme="minorEastAsia" w:eastAsiaTheme="minorEastAsia" w:cstheme="minorEastAsia"/>
              <w:b/>
              <w:bCs/>
              <w:sz w:val="24"/>
              <w:szCs w:val="24"/>
            </w:rPr>
            <w:tab/>
          </w:r>
          <w:r>
            <w:rPr>
              <w:rFonts w:hint="eastAsia" w:asciiTheme="minorEastAsia" w:hAnsiTheme="minorEastAsia" w:eastAsiaTheme="minorEastAsia" w:cstheme="minorEastAsia"/>
              <w:b/>
              <w:bCs/>
              <w:sz w:val="24"/>
              <w:szCs w:val="24"/>
            </w:rPr>
            <w:fldChar w:fldCharType="begin"/>
          </w:r>
          <w:r>
            <w:rPr>
              <w:rFonts w:hint="eastAsia" w:asciiTheme="minorEastAsia" w:hAnsiTheme="minorEastAsia" w:eastAsiaTheme="minorEastAsia" w:cstheme="minorEastAsia"/>
              <w:b/>
              <w:bCs/>
              <w:sz w:val="24"/>
              <w:szCs w:val="24"/>
            </w:rPr>
            <w:instrText xml:space="preserve"> PAGEREF _Toc12567 \h </w:instrText>
          </w:r>
          <w:r>
            <w:rPr>
              <w:rFonts w:hint="eastAsia" w:asciiTheme="minorEastAsia" w:hAnsiTheme="minorEastAsia" w:eastAsiaTheme="minorEastAsia" w:cstheme="minorEastAsia"/>
              <w:b/>
              <w:bCs/>
              <w:sz w:val="24"/>
              <w:szCs w:val="24"/>
            </w:rPr>
            <w:fldChar w:fldCharType="separate"/>
          </w:r>
          <w:r>
            <w:rPr>
              <w:rFonts w:hint="eastAsia" w:asciiTheme="minorEastAsia" w:hAnsiTheme="minorEastAsia" w:eastAsiaTheme="minorEastAsia" w:cstheme="minorEastAsia"/>
              <w:b/>
              <w:bCs/>
              <w:sz w:val="24"/>
              <w:szCs w:val="24"/>
            </w:rPr>
            <w:t>31</w:t>
          </w:r>
          <w:r>
            <w:rPr>
              <w:rFonts w:hint="eastAsia" w:asciiTheme="minorEastAsia" w:hAnsiTheme="minorEastAsia" w:eastAsiaTheme="minorEastAsia" w:cstheme="minorEastAsia"/>
              <w:b/>
              <w:bCs/>
              <w:sz w:val="24"/>
              <w:szCs w:val="24"/>
            </w:rPr>
            <w:fldChar w:fldCharType="end"/>
          </w:r>
          <w:r>
            <w:rPr>
              <w:rFonts w:hint="eastAsia" w:asciiTheme="minorEastAsia" w:hAnsiTheme="minorEastAsia" w:eastAsiaTheme="minorEastAsia" w:cstheme="minorEastAsia"/>
              <w:b/>
              <w:bCs/>
              <w:sz w:val="24"/>
              <w:szCs w:val="24"/>
            </w:rPr>
            <w:fldChar w:fldCharType="end"/>
          </w:r>
        </w:p>
        <w:p w14:paraId="306DA167">
          <w:pPr>
            <w:pStyle w:val="33"/>
            <w:keepNext w:val="0"/>
            <w:keepLines w:val="0"/>
            <w:pageBreakBefore w:val="0"/>
            <w:widowControl w:val="0"/>
            <w:tabs>
              <w:tab w:val="right" w:leader="dot" w:pos="8958"/>
              <w:tab w:val="clear" w:pos="8296"/>
            </w:tabs>
            <w:kinsoku/>
            <w:wordWrap/>
            <w:overflowPunct/>
            <w:topLinePunct w:val="0"/>
            <w:autoSpaceDE/>
            <w:autoSpaceDN/>
            <w:bidi w:val="0"/>
            <w:adjustRightInd/>
            <w:snapToGrid/>
            <w:spacing w:line="480" w:lineRule="auto"/>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rPr>
            <w:fldChar w:fldCharType="begin"/>
          </w:r>
          <w:r>
            <w:rPr>
              <w:rFonts w:hint="eastAsia" w:asciiTheme="minorEastAsia" w:hAnsiTheme="minorEastAsia" w:eastAsiaTheme="minorEastAsia" w:cstheme="minorEastAsia"/>
              <w:b/>
              <w:bCs/>
              <w:sz w:val="24"/>
              <w:szCs w:val="24"/>
            </w:rPr>
            <w:instrText xml:space="preserve"> HYPERLINK \l _Toc26690 </w:instrText>
          </w:r>
          <w:r>
            <w:rPr>
              <w:rFonts w:hint="eastAsia" w:asciiTheme="minorEastAsia" w:hAnsiTheme="minorEastAsia" w:eastAsiaTheme="minorEastAsia" w:cstheme="minorEastAsia"/>
              <w:b/>
              <w:bCs/>
              <w:sz w:val="24"/>
              <w:szCs w:val="24"/>
            </w:rPr>
            <w:fldChar w:fldCharType="separate"/>
          </w:r>
          <w:r>
            <w:rPr>
              <w:rFonts w:hint="eastAsia" w:asciiTheme="minorEastAsia" w:hAnsiTheme="minorEastAsia" w:eastAsiaTheme="minorEastAsia" w:cstheme="minorEastAsia"/>
              <w:b/>
              <w:bCs/>
              <w:sz w:val="24"/>
              <w:szCs w:val="24"/>
            </w:rPr>
            <w:t>第</w:t>
          </w:r>
          <w:r>
            <w:rPr>
              <w:rFonts w:hint="eastAsia" w:asciiTheme="minorEastAsia" w:hAnsiTheme="minorEastAsia" w:eastAsiaTheme="minorEastAsia" w:cstheme="minorEastAsia"/>
              <w:b/>
              <w:bCs/>
              <w:sz w:val="24"/>
              <w:szCs w:val="24"/>
              <w:lang w:eastAsia="zh-CN"/>
            </w:rPr>
            <w:t>四</w:t>
          </w:r>
          <w:r>
            <w:rPr>
              <w:rFonts w:hint="eastAsia" w:asciiTheme="minorEastAsia" w:hAnsiTheme="minorEastAsia" w:eastAsiaTheme="minorEastAsia" w:cstheme="minorEastAsia"/>
              <w:b/>
              <w:bCs/>
              <w:sz w:val="24"/>
              <w:szCs w:val="24"/>
            </w:rPr>
            <w:t>章  政府采购合同</w:t>
          </w:r>
          <w:r>
            <w:rPr>
              <w:rFonts w:hint="eastAsia" w:asciiTheme="minorEastAsia" w:hAnsiTheme="minorEastAsia" w:eastAsiaTheme="minorEastAsia" w:cstheme="minorEastAsia"/>
              <w:b/>
              <w:bCs/>
              <w:sz w:val="24"/>
              <w:szCs w:val="24"/>
            </w:rPr>
            <w:tab/>
          </w:r>
          <w:r>
            <w:rPr>
              <w:rFonts w:hint="eastAsia" w:asciiTheme="minorEastAsia" w:hAnsiTheme="minorEastAsia" w:eastAsiaTheme="minorEastAsia" w:cstheme="minorEastAsia"/>
              <w:b/>
              <w:bCs/>
              <w:sz w:val="24"/>
              <w:szCs w:val="24"/>
              <w:lang w:val="en-US" w:eastAsia="zh-CN"/>
            </w:rPr>
            <w:t>4</w:t>
          </w:r>
          <w:r>
            <w:rPr>
              <w:rFonts w:hint="eastAsia" w:asciiTheme="minorEastAsia" w:hAnsiTheme="minorEastAsia" w:eastAsiaTheme="minorEastAsia" w:cstheme="minorEastAsia"/>
              <w:b/>
              <w:bCs/>
              <w:sz w:val="24"/>
              <w:szCs w:val="24"/>
            </w:rPr>
            <w:fldChar w:fldCharType="end"/>
          </w:r>
          <w:r>
            <w:rPr>
              <w:rFonts w:hint="eastAsia" w:asciiTheme="minorEastAsia" w:hAnsiTheme="minorEastAsia" w:eastAsiaTheme="minorEastAsia" w:cstheme="minorEastAsia"/>
              <w:b/>
              <w:bCs/>
              <w:sz w:val="24"/>
              <w:szCs w:val="24"/>
              <w:lang w:val="en-US" w:eastAsia="zh-CN"/>
            </w:rPr>
            <w:t>4</w:t>
          </w:r>
        </w:p>
        <w:p w14:paraId="480A9491">
          <w:pPr>
            <w:pStyle w:val="33"/>
            <w:keepNext w:val="0"/>
            <w:keepLines w:val="0"/>
            <w:pageBreakBefore w:val="0"/>
            <w:widowControl w:val="0"/>
            <w:tabs>
              <w:tab w:val="right" w:leader="dot" w:pos="8958"/>
              <w:tab w:val="clear" w:pos="8296"/>
            </w:tabs>
            <w:kinsoku/>
            <w:wordWrap/>
            <w:overflowPunct/>
            <w:topLinePunct w:val="0"/>
            <w:autoSpaceDE/>
            <w:autoSpaceDN/>
            <w:bidi w:val="0"/>
            <w:adjustRightInd/>
            <w:snapToGrid/>
            <w:spacing w:line="480" w:lineRule="auto"/>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rPr>
            <w:fldChar w:fldCharType="begin"/>
          </w:r>
          <w:r>
            <w:rPr>
              <w:rFonts w:hint="eastAsia" w:asciiTheme="minorEastAsia" w:hAnsiTheme="minorEastAsia" w:eastAsiaTheme="minorEastAsia" w:cstheme="minorEastAsia"/>
              <w:b/>
              <w:bCs/>
              <w:sz w:val="24"/>
              <w:szCs w:val="24"/>
            </w:rPr>
            <w:instrText xml:space="preserve"> HYPERLINK \l _Toc24084 </w:instrText>
          </w:r>
          <w:r>
            <w:rPr>
              <w:rFonts w:hint="eastAsia" w:asciiTheme="minorEastAsia" w:hAnsiTheme="minorEastAsia" w:eastAsiaTheme="minorEastAsia" w:cstheme="minorEastAsia"/>
              <w:b/>
              <w:bCs/>
              <w:sz w:val="24"/>
              <w:szCs w:val="24"/>
            </w:rPr>
            <w:fldChar w:fldCharType="separate"/>
          </w:r>
          <w:r>
            <w:rPr>
              <w:rFonts w:hint="eastAsia" w:asciiTheme="minorEastAsia" w:hAnsiTheme="minorEastAsia" w:eastAsiaTheme="minorEastAsia" w:cstheme="minorEastAsia"/>
              <w:b/>
              <w:bCs/>
              <w:sz w:val="24"/>
              <w:szCs w:val="24"/>
            </w:rPr>
            <w:t>第</w:t>
          </w:r>
          <w:r>
            <w:rPr>
              <w:rFonts w:hint="eastAsia" w:asciiTheme="minorEastAsia" w:hAnsiTheme="minorEastAsia" w:eastAsiaTheme="minorEastAsia" w:cstheme="minorEastAsia"/>
              <w:b/>
              <w:bCs/>
              <w:sz w:val="24"/>
              <w:szCs w:val="24"/>
              <w:lang w:eastAsia="zh-CN"/>
            </w:rPr>
            <w:t>五</w:t>
          </w:r>
          <w:r>
            <w:rPr>
              <w:rFonts w:hint="eastAsia" w:asciiTheme="minorEastAsia" w:hAnsiTheme="minorEastAsia" w:eastAsiaTheme="minorEastAsia" w:cstheme="minorEastAsia"/>
              <w:b/>
              <w:bCs/>
              <w:sz w:val="24"/>
              <w:szCs w:val="24"/>
            </w:rPr>
            <w:t xml:space="preserve">章 </w:t>
          </w:r>
          <w:r>
            <w:rPr>
              <w:rFonts w:hint="eastAsia" w:asciiTheme="minorEastAsia" w:hAnsiTheme="minorEastAsia" w:eastAsiaTheme="minorEastAsia" w:cstheme="minorEastAsia"/>
              <w:b/>
              <w:bCs/>
              <w:sz w:val="24"/>
              <w:szCs w:val="24"/>
              <w:lang w:val="en-US" w:eastAsia="zh-CN"/>
            </w:rPr>
            <w:t xml:space="preserve"> 技术参数及采购需求</w:t>
          </w:r>
          <w:r>
            <w:rPr>
              <w:rFonts w:hint="eastAsia" w:asciiTheme="minorEastAsia" w:hAnsiTheme="minorEastAsia" w:eastAsiaTheme="minorEastAsia" w:cstheme="minorEastAsia"/>
              <w:b/>
              <w:bCs/>
              <w:sz w:val="24"/>
              <w:szCs w:val="24"/>
            </w:rPr>
            <w:tab/>
          </w:r>
          <w:r>
            <w:rPr>
              <w:rFonts w:hint="eastAsia" w:asciiTheme="minorEastAsia" w:hAnsiTheme="minorEastAsia" w:eastAsiaTheme="minorEastAsia" w:cstheme="minorEastAsia"/>
              <w:b/>
              <w:bCs/>
              <w:sz w:val="24"/>
              <w:szCs w:val="24"/>
              <w:lang w:val="en-US" w:eastAsia="zh-CN"/>
            </w:rPr>
            <w:t>5</w:t>
          </w:r>
          <w:r>
            <w:rPr>
              <w:rFonts w:hint="eastAsia" w:asciiTheme="minorEastAsia" w:hAnsiTheme="minorEastAsia" w:eastAsiaTheme="minorEastAsia" w:cstheme="minorEastAsia"/>
              <w:b/>
              <w:bCs/>
              <w:sz w:val="24"/>
              <w:szCs w:val="24"/>
            </w:rPr>
            <w:fldChar w:fldCharType="end"/>
          </w:r>
          <w:r>
            <w:rPr>
              <w:rFonts w:hint="eastAsia" w:asciiTheme="minorEastAsia" w:hAnsiTheme="minorEastAsia" w:eastAsiaTheme="minorEastAsia" w:cstheme="minorEastAsia"/>
              <w:b/>
              <w:bCs/>
              <w:sz w:val="24"/>
              <w:szCs w:val="24"/>
              <w:lang w:val="en-US" w:eastAsia="zh-CN"/>
            </w:rPr>
            <w:t>3</w:t>
          </w:r>
        </w:p>
        <w:p w14:paraId="1E2EE055">
          <w:pPr>
            <w:pStyle w:val="33"/>
            <w:keepNext w:val="0"/>
            <w:keepLines w:val="0"/>
            <w:pageBreakBefore w:val="0"/>
            <w:widowControl w:val="0"/>
            <w:tabs>
              <w:tab w:val="right" w:leader="dot" w:pos="8958"/>
              <w:tab w:val="clear" w:pos="8296"/>
            </w:tabs>
            <w:kinsoku/>
            <w:wordWrap/>
            <w:overflowPunct/>
            <w:topLinePunct w:val="0"/>
            <w:autoSpaceDE/>
            <w:autoSpaceDN/>
            <w:bidi w:val="0"/>
            <w:adjustRightInd/>
            <w:snapToGrid/>
            <w:spacing w:line="480" w:lineRule="auto"/>
            <w:textAlignment w:val="auto"/>
            <w:rPr>
              <w:rFonts w:hint="eastAsia" w:eastAsiaTheme="minorEastAsia"/>
              <w:lang w:val="en-US" w:eastAsia="zh-CN"/>
            </w:rPr>
          </w:pPr>
          <w:r>
            <w:rPr>
              <w:rFonts w:hint="eastAsia" w:asciiTheme="minorEastAsia" w:hAnsiTheme="minorEastAsia" w:eastAsiaTheme="minorEastAsia" w:cstheme="minorEastAsia"/>
              <w:b/>
              <w:bCs/>
              <w:sz w:val="24"/>
              <w:szCs w:val="24"/>
            </w:rPr>
            <w:fldChar w:fldCharType="begin"/>
          </w:r>
          <w:r>
            <w:rPr>
              <w:rFonts w:hint="eastAsia" w:asciiTheme="minorEastAsia" w:hAnsiTheme="minorEastAsia" w:eastAsiaTheme="minorEastAsia" w:cstheme="minorEastAsia"/>
              <w:b/>
              <w:bCs/>
              <w:sz w:val="24"/>
              <w:szCs w:val="24"/>
            </w:rPr>
            <w:instrText xml:space="preserve"> HYPERLINK \l _Toc17678 </w:instrText>
          </w:r>
          <w:r>
            <w:rPr>
              <w:rFonts w:hint="eastAsia" w:asciiTheme="minorEastAsia" w:hAnsiTheme="minorEastAsia" w:eastAsiaTheme="minorEastAsia" w:cstheme="minorEastAsia"/>
              <w:b/>
              <w:bCs/>
              <w:sz w:val="24"/>
              <w:szCs w:val="24"/>
            </w:rPr>
            <w:fldChar w:fldCharType="separate"/>
          </w:r>
          <w:r>
            <w:rPr>
              <w:rFonts w:hint="eastAsia" w:asciiTheme="minorEastAsia" w:hAnsiTheme="minorEastAsia" w:eastAsiaTheme="minorEastAsia" w:cstheme="minorEastAsia"/>
              <w:b/>
              <w:bCs/>
              <w:sz w:val="24"/>
              <w:szCs w:val="24"/>
            </w:rPr>
            <w:t>第</w:t>
          </w:r>
          <w:r>
            <w:rPr>
              <w:rFonts w:hint="eastAsia" w:asciiTheme="minorEastAsia" w:hAnsiTheme="minorEastAsia" w:eastAsiaTheme="minorEastAsia" w:cstheme="minorEastAsia"/>
              <w:b/>
              <w:bCs/>
              <w:sz w:val="24"/>
              <w:szCs w:val="24"/>
              <w:lang w:eastAsia="zh-CN"/>
            </w:rPr>
            <w:t>六</w:t>
          </w:r>
          <w:r>
            <w:rPr>
              <w:rFonts w:hint="eastAsia" w:asciiTheme="minorEastAsia" w:hAnsiTheme="minorEastAsia" w:eastAsiaTheme="minorEastAsia" w:cstheme="minorEastAsia"/>
              <w:b/>
              <w:bCs/>
              <w:sz w:val="24"/>
              <w:szCs w:val="24"/>
            </w:rPr>
            <w:t>章  投标文件格式</w:t>
          </w:r>
          <w:r>
            <w:rPr>
              <w:rFonts w:hint="eastAsia" w:asciiTheme="minorEastAsia" w:hAnsiTheme="minorEastAsia" w:eastAsiaTheme="minorEastAsia" w:cstheme="minorEastAsia"/>
              <w:b/>
              <w:bCs/>
              <w:sz w:val="24"/>
              <w:szCs w:val="24"/>
            </w:rPr>
            <w:tab/>
          </w:r>
          <w:r>
            <w:rPr>
              <w:rFonts w:hint="eastAsia" w:asciiTheme="minorEastAsia" w:hAnsiTheme="minorEastAsia" w:eastAsiaTheme="minorEastAsia" w:cstheme="minorEastAsia"/>
              <w:b/>
              <w:bCs/>
              <w:sz w:val="24"/>
              <w:szCs w:val="24"/>
              <w:lang w:val="en-US" w:eastAsia="zh-CN"/>
            </w:rPr>
            <w:t>8</w:t>
          </w:r>
          <w:r>
            <w:rPr>
              <w:rFonts w:hint="eastAsia" w:asciiTheme="minorEastAsia" w:hAnsiTheme="minorEastAsia" w:eastAsiaTheme="minorEastAsia" w:cstheme="minorEastAsia"/>
              <w:b/>
              <w:bCs/>
              <w:sz w:val="24"/>
              <w:szCs w:val="24"/>
            </w:rPr>
            <w:fldChar w:fldCharType="end"/>
          </w:r>
          <w:r>
            <w:rPr>
              <w:rFonts w:hint="eastAsia" w:asciiTheme="minorEastAsia" w:hAnsiTheme="minorEastAsia" w:eastAsiaTheme="minorEastAsia" w:cstheme="minorEastAsia"/>
              <w:b/>
              <w:bCs/>
              <w:sz w:val="24"/>
              <w:szCs w:val="24"/>
              <w:lang w:val="en-US" w:eastAsia="zh-CN"/>
            </w:rPr>
            <w:t>9</w:t>
          </w:r>
        </w:p>
        <w:p w14:paraId="698B29E2">
          <w:r>
            <w:fldChar w:fldCharType="end"/>
          </w:r>
        </w:p>
      </w:sdtContent>
    </w:sdt>
    <w:p w14:paraId="4AF051F6"/>
    <w:p w14:paraId="362A0966">
      <w:pPr>
        <w:rPr>
          <w:rFonts w:hint="eastAsia" w:ascii="宋体" w:hAnsi="宋体"/>
          <w:sz w:val="24"/>
        </w:rPr>
      </w:pPr>
      <w:r>
        <w:rPr>
          <w:rFonts w:hint="eastAsia"/>
        </w:rPr>
        <w:br w:type="page"/>
      </w:r>
    </w:p>
    <w:p w14:paraId="361DAC9D">
      <w:pPr>
        <w:pStyle w:val="2"/>
        <w:keepNext/>
        <w:keepLines/>
        <w:pageBreakBefore w:val="0"/>
        <w:widowControl w:val="0"/>
        <w:tabs>
          <w:tab w:val="left" w:pos="0"/>
          <w:tab w:val="right" w:leader="dot" w:pos="142"/>
        </w:tabs>
        <w:kinsoku/>
        <w:wordWrap/>
        <w:overflowPunct/>
        <w:topLinePunct w:val="0"/>
        <w:autoSpaceDE w:val="0"/>
        <w:autoSpaceDN w:val="0"/>
        <w:bidi w:val="0"/>
        <w:adjustRightInd w:val="0"/>
        <w:snapToGrid w:val="0"/>
        <w:spacing w:before="0" w:after="0" w:line="360" w:lineRule="auto"/>
        <w:ind w:left="0"/>
        <w:jc w:val="center"/>
        <w:textAlignment w:val="auto"/>
        <w:rPr>
          <w:rFonts w:hint="eastAsia" w:ascii="宋体" w:hAnsi="宋体" w:cs="宋体"/>
        </w:rPr>
      </w:pPr>
      <w:bookmarkStart w:id="0" w:name="_Toc13206"/>
      <w:r>
        <w:rPr>
          <w:rFonts w:hint="eastAsia" w:ascii="宋体" w:hAnsi="宋体" w:cs="宋体"/>
        </w:rPr>
        <w:t>电子招投标特别提示</w:t>
      </w:r>
      <w:bookmarkEnd w:id="0"/>
    </w:p>
    <w:p w14:paraId="4BCD04FE">
      <w:pPr>
        <w:keepNext w:val="0"/>
        <w:keepLines w:val="0"/>
        <w:pageBreakBefore w:val="0"/>
        <w:kinsoku/>
        <w:wordWrap/>
        <w:overflowPunct/>
        <w:topLinePunct w:val="0"/>
        <w:autoSpaceDE/>
        <w:autoSpaceDN/>
        <w:bidi w:val="0"/>
        <w:spacing w:line="400" w:lineRule="exact"/>
        <w:ind w:left="0" w:leftChars="0" w:firstLine="422" w:firstLineChars="200"/>
        <w:jc w:val="both"/>
        <w:textAlignment w:val="auto"/>
        <w:rPr>
          <w:rFonts w:hint="eastAsia" w:ascii="宋体" w:hAnsi="宋体" w:eastAsia="宋体" w:cs="宋体"/>
          <w:b/>
          <w:bCs/>
          <w:color w:val="auto"/>
          <w:sz w:val="21"/>
          <w:szCs w:val="21"/>
          <w:u w:val="double"/>
        </w:rPr>
      </w:pPr>
    </w:p>
    <w:p w14:paraId="135D75DC">
      <w:pPr>
        <w:spacing w:line="400" w:lineRule="exact"/>
        <w:ind w:firstLine="422" w:firstLineChars="200"/>
        <w:rPr>
          <w:rFonts w:hint="eastAsia" w:ascii="宋体" w:hAnsi="宋体" w:cs="宋体"/>
          <w:b/>
          <w:bCs/>
          <w:szCs w:val="21"/>
          <w:u w:val="double"/>
        </w:rPr>
      </w:pPr>
      <w:r>
        <w:rPr>
          <w:rFonts w:hint="eastAsia" w:ascii="宋体" w:hAnsi="宋体" w:cs="宋体"/>
          <w:b/>
          <w:bCs/>
          <w:szCs w:val="21"/>
          <w:u w:val="double"/>
        </w:rPr>
        <w:t>一、投标人（供应商）注册</w:t>
      </w:r>
    </w:p>
    <w:p w14:paraId="0B5E3709">
      <w:pPr>
        <w:spacing w:line="400" w:lineRule="exact"/>
        <w:ind w:firstLine="420" w:firstLineChars="200"/>
        <w:rPr>
          <w:rFonts w:hint="eastAsia" w:ascii="宋体" w:hAnsi="宋体" w:cs="宋体"/>
          <w:szCs w:val="21"/>
        </w:rPr>
      </w:pPr>
      <w:r>
        <w:rPr>
          <w:rFonts w:hint="eastAsia" w:ascii="宋体" w:hAnsi="宋体" w:cs="宋体"/>
          <w:szCs w:val="21"/>
        </w:rPr>
        <w:t>凡有意参加本项目的投标人（供应商），请登录“全国公共资源交易平台（河南省·信阳市）（https://ggzyjy.xinyang.gov.cn/）”网站进行交易主体自主注册，按网站公告通知有关要求填报企业信息并上传有关原件扫描件至诚信库，不需携带原件到信阳市公共资源交易中心进行审核。投标人（供应商）应对所上传材料的真实性、合法性、有效性负责，其上传的信息将全部对外公示，接受社会监督。</w:t>
      </w:r>
    </w:p>
    <w:p w14:paraId="730658F6">
      <w:pPr>
        <w:spacing w:line="400" w:lineRule="exact"/>
        <w:ind w:firstLine="422" w:firstLineChars="200"/>
        <w:rPr>
          <w:rFonts w:hint="eastAsia" w:ascii="宋体" w:hAnsi="宋体" w:cs="宋体"/>
          <w:b/>
          <w:bCs/>
          <w:szCs w:val="21"/>
          <w:u w:val="double"/>
        </w:rPr>
      </w:pPr>
      <w:r>
        <w:rPr>
          <w:rFonts w:hint="eastAsia" w:ascii="宋体" w:hAnsi="宋体" w:cs="宋体"/>
          <w:b/>
          <w:bCs/>
          <w:szCs w:val="21"/>
          <w:u w:val="double"/>
        </w:rPr>
        <w:t>二、办理CA数字证书</w:t>
      </w:r>
    </w:p>
    <w:p w14:paraId="22C7ACE4">
      <w:pPr>
        <w:spacing w:line="400" w:lineRule="exact"/>
        <w:ind w:firstLine="420" w:firstLineChars="200"/>
        <w:rPr>
          <w:rFonts w:hint="eastAsia" w:ascii="宋体" w:hAnsi="宋体" w:cs="宋体"/>
          <w:szCs w:val="21"/>
        </w:rPr>
      </w:pPr>
      <w:r>
        <w:rPr>
          <w:rFonts w:hint="eastAsia" w:ascii="宋体" w:hAnsi="宋体" w:cs="宋体"/>
          <w:szCs w:val="21"/>
        </w:rPr>
        <w:t xml:space="preserve">完成企业诚信库注册后，必须办理CA数字证书方可在网上办理招投标相关业务。投标人（供应商）根据信阳市公共资源交易网通知公告栏目中《关于信阳市公共资源交易平台数字证书（CA）互认系统正式上线运行的通知》要求，自行选择CA数字证书服务商，线上、线下办理CA数字证书。  </w:t>
      </w:r>
    </w:p>
    <w:p w14:paraId="0C31B5B0">
      <w:pPr>
        <w:spacing w:line="400" w:lineRule="exact"/>
        <w:ind w:firstLine="422" w:firstLineChars="200"/>
        <w:rPr>
          <w:rFonts w:hint="eastAsia" w:ascii="宋体" w:hAnsi="宋体" w:cs="宋体"/>
          <w:b/>
          <w:bCs/>
          <w:color w:val="000000"/>
          <w:szCs w:val="21"/>
          <w:u w:val="double"/>
        </w:rPr>
      </w:pPr>
      <w:r>
        <w:rPr>
          <w:rFonts w:hint="eastAsia" w:ascii="宋体" w:hAnsi="宋体" w:cs="宋体"/>
          <w:b/>
          <w:bCs/>
          <w:color w:val="000000"/>
          <w:szCs w:val="21"/>
          <w:u w:val="double"/>
        </w:rPr>
        <w:t>三、招标（采购）文件获取方式</w:t>
      </w:r>
    </w:p>
    <w:p w14:paraId="4DD2915A">
      <w:pPr>
        <w:spacing w:line="400" w:lineRule="exact"/>
        <w:ind w:firstLine="420" w:firstLineChars="200"/>
        <w:rPr>
          <w:rFonts w:hint="eastAsia" w:ascii="宋体" w:hAnsi="宋体" w:cs="宋体"/>
          <w:color w:val="000000"/>
          <w:szCs w:val="21"/>
        </w:rPr>
      </w:pPr>
      <w:r>
        <w:rPr>
          <w:rFonts w:hint="eastAsia" w:ascii="宋体" w:hAnsi="宋体" w:cs="宋体"/>
          <w:color w:val="000000"/>
          <w:szCs w:val="21"/>
        </w:rPr>
        <w:t>投标人（供应商）凭CA数字证书登录会员系统后，即可按网上提示免费下载招标（采购）文件及资料（操作程序详见信阳市公共资源交易中心网站下载中心栏目里投标人操作手册）。招标文件（*.XYZF格式）下载后需使用“信阳市投标文件制作工具软件”打开（该工具软件可在“全国公共资源交易平台（河南省·信阳市）（https://ggzyjy.xinyang.gov.cn/）”网站下载中心栏目内下载或在招标文件领取页面下载）。</w:t>
      </w:r>
    </w:p>
    <w:p w14:paraId="65B3497B">
      <w:pPr>
        <w:tabs>
          <w:tab w:val="left" w:pos="0"/>
        </w:tabs>
        <w:spacing w:line="400" w:lineRule="exact"/>
        <w:ind w:firstLine="422" w:firstLineChars="200"/>
        <w:rPr>
          <w:rFonts w:hint="eastAsia" w:ascii="宋体" w:hAnsi="宋体" w:cs="宋体"/>
          <w:b/>
          <w:bCs/>
          <w:color w:val="000000"/>
          <w:szCs w:val="21"/>
          <w:u w:val="double"/>
        </w:rPr>
      </w:pPr>
      <w:r>
        <w:rPr>
          <w:rFonts w:hint="eastAsia" w:ascii="宋体" w:hAnsi="宋体" w:cs="宋体"/>
          <w:b/>
          <w:bCs/>
          <w:color w:val="000000"/>
          <w:szCs w:val="21"/>
          <w:u w:val="double"/>
        </w:rPr>
        <w:t>四、投标（响应）文件制作</w:t>
      </w:r>
    </w:p>
    <w:p w14:paraId="257C597C">
      <w:pPr>
        <w:tabs>
          <w:tab w:val="left" w:pos="0"/>
        </w:tabs>
        <w:spacing w:line="400" w:lineRule="exact"/>
        <w:ind w:firstLine="420" w:firstLineChars="200"/>
        <w:rPr>
          <w:rFonts w:hint="eastAsia" w:ascii="宋体" w:hAnsi="宋体" w:cs="宋体"/>
          <w:color w:val="000000"/>
          <w:szCs w:val="21"/>
        </w:rPr>
      </w:pPr>
      <w:r>
        <w:rPr>
          <w:rFonts w:hint="eastAsia" w:ascii="宋体" w:hAnsi="宋体" w:cs="宋体"/>
          <w:color w:val="000000"/>
          <w:szCs w:val="21"/>
        </w:rPr>
        <w:t>投标（响应）文件应使用信阳市公共资源交易系统投标文件制作专用工具软件编制，投标（响应）文件格式为“*.XYTF”。</w:t>
      </w:r>
    </w:p>
    <w:p w14:paraId="3FAF4B22">
      <w:pPr>
        <w:tabs>
          <w:tab w:val="left" w:pos="0"/>
        </w:tabs>
        <w:spacing w:line="400" w:lineRule="exact"/>
        <w:ind w:firstLine="420" w:firstLineChars="200"/>
        <w:rPr>
          <w:rFonts w:hint="eastAsia" w:ascii="宋体" w:hAnsi="宋体" w:cs="宋体"/>
          <w:color w:val="000000"/>
          <w:szCs w:val="21"/>
        </w:rPr>
      </w:pPr>
      <w:r>
        <w:rPr>
          <w:rFonts w:hint="eastAsia" w:ascii="宋体" w:hAnsi="宋体" w:cs="宋体"/>
          <w:color w:val="000000"/>
          <w:szCs w:val="21"/>
        </w:rPr>
        <w:t>投标人（供应商）须在投标（响应）文件递交截止时间前制作并提交。</w:t>
      </w:r>
    </w:p>
    <w:p w14:paraId="7FC9E773">
      <w:pPr>
        <w:pStyle w:val="20"/>
        <w:spacing w:after="0" w:line="400" w:lineRule="exact"/>
        <w:ind w:firstLine="422" w:firstLineChars="200"/>
        <w:rPr>
          <w:rFonts w:hint="eastAsia" w:ascii="宋体" w:hAnsi="宋体" w:cs="宋体"/>
          <w:b/>
          <w:bCs/>
          <w:color w:val="000000"/>
          <w:szCs w:val="21"/>
        </w:rPr>
      </w:pPr>
      <w:r>
        <w:rPr>
          <w:rFonts w:hint="eastAsia" w:ascii="宋体" w:hAnsi="宋体" w:cs="宋体"/>
          <w:b/>
          <w:bCs/>
          <w:color w:val="000000"/>
          <w:szCs w:val="21"/>
          <w:u w:val="double"/>
        </w:rPr>
        <w:t>五、投标（响应）文件的签字和盖章要求</w:t>
      </w:r>
    </w:p>
    <w:p w14:paraId="0218908F">
      <w:pPr>
        <w:adjustRightInd w:val="0"/>
        <w:snapToGrid w:val="0"/>
        <w:spacing w:line="400" w:lineRule="exact"/>
        <w:ind w:firstLine="420" w:firstLineChars="200"/>
        <w:rPr>
          <w:rFonts w:hint="eastAsia" w:ascii="宋体" w:hAnsi="宋体" w:cs="宋体"/>
          <w:color w:val="000000"/>
          <w:szCs w:val="21"/>
        </w:rPr>
      </w:pPr>
      <w:r>
        <w:rPr>
          <w:rFonts w:hint="eastAsia" w:ascii="宋体" w:hAnsi="宋体" w:cs="宋体"/>
          <w:color w:val="000000"/>
          <w:szCs w:val="21"/>
        </w:rPr>
        <w:t>签字和盖章的要求应符合第六章</w:t>
      </w:r>
      <w:r>
        <w:rPr>
          <w:rFonts w:hint="eastAsia" w:ascii="宋体" w:hAnsi="宋体" w:cs="宋体"/>
          <w:color w:val="000000"/>
          <w:szCs w:val="21"/>
          <w:lang w:val="en-US" w:eastAsia="zh-CN"/>
        </w:rPr>
        <w:t xml:space="preserve"> </w:t>
      </w:r>
      <w:r>
        <w:rPr>
          <w:rFonts w:hint="eastAsia" w:ascii="宋体" w:hAnsi="宋体" w:cs="宋体"/>
          <w:color w:val="000000"/>
          <w:szCs w:val="21"/>
        </w:rPr>
        <w:t>投标文件格式相应要求。</w:t>
      </w:r>
    </w:p>
    <w:p w14:paraId="47FEC5DE">
      <w:pPr>
        <w:pStyle w:val="20"/>
        <w:spacing w:after="0" w:line="400" w:lineRule="exact"/>
        <w:ind w:firstLine="422" w:firstLineChars="200"/>
        <w:rPr>
          <w:rFonts w:hint="eastAsia" w:ascii="宋体" w:hAnsi="宋体" w:cs="宋体"/>
          <w:b/>
          <w:bCs/>
          <w:color w:val="000000"/>
          <w:szCs w:val="21"/>
          <w:u w:val="double"/>
        </w:rPr>
      </w:pPr>
      <w:r>
        <w:rPr>
          <w:rFonts w:hint="eastAsia" w:ascii="宋体" w:hAnsi="宋体" w:cs="宋体"/>
          <w:b/>
          <w:bCs/>
          <w:color w:val="000000"/>
          <w:szCs w:val="21"/>
          <w:u w:val="double"/>
        </w:rPr>
        <w:t>六、投标文件份数</w:t>
      </w:r>
    </w:p>
    <w:p w14:paraId="4BF48C8A">
      <w:pPr>
        <w:adjustRightInd w:val="0"/>
        <w:snapToGrid w:val="0"/>
        <w:spacing w:line="400" w:lineRule="exact"/>
        <w:ind w:firstLine="420" w:firstLineChars="200"/>
        <w:rPr>
          <w:rFonts w:hint="eastAsia" w:ascii="宋体" w:hAnsi="宋体" w:cs="宋体"/>
          <w:color w:val="000000"/>
          <w:szCs w:val="21"/>
        </w:rPr>
      </w:pPr>
      <w:r>
        <w:rPr>
          <w:rFonts w:hint="eastAsia" w:ascii="宋体" w:hAnsi="宋体" w:cs="宋体"/>
          <w:color w:val="000000"/>
          <w:szCs w:val="21"/>
        </w:rPr>
        <w:t>加密的电子投标（响应）文件壹份（*.XYTF 格式，在会员系统指定位置上传）。</w:t>
      </w:r>
    </w:p>
    <w:p w14:paraId="72725BC3">
      <w:pPr>
        <w:pStyle w:val="20"/>
        <w:spacing w:after="0" w:line="400" w:lineRule="exact"/>
        <w:ind w:firstLine="422" w:firstLineChars="200"/>
        <w:rPr>
          <w:rFonts w:hint="eastAsia" w:ascii="宋体" w:hAnsi="宋体" w:cs="宋体"/>
          <w:b/>
          <w:bCs/>
          <w:color w:val="000000"/>
          <w:szCs w:val="21"/>
          <w:u w:val="double"/>
        </w:rPr>
      </w:pPr>
      <w:r>
        <w:rPr>
          <w:rFonts w:hint="eastAsia" w:ascii="宋体" w:hAnsi="宋体" w:cs="宋体"/>
          <w:b/>
          <w:bCs/>
          <w:color w:val="000000"/>
          <w:szCs w:val="21"/>
          <w:u w:val="double"/>
        </w:rPr>
        <w:t>七、投标（响应）文件的递交</w:t>
      </w:r>
    </w:p>
    <w:p w14:paraId="0A134BCA">
      <w:pPr>
        <w:adjustRightInd w:val="0"/>
        <w:snapToGrid w:val="0"/>
        <w:spacing w:line="400" w:lineRule="exact"/>
        <w:ind w:firstLine="420" w:firstLineChars="200"/>
        <w:rPr>
          <w:rFonts w:hint="eastAsia" w:ascii="宋体" w:hAnsi="宋体" w:cs="宋体"/>
          <w:color w:val="000000"/>
          <w:szCs w:val="21"/>
        </w:rPr>
      </w:pPr>
      <w:r>
        <w:rPr>
          <w:rFonts w:hint="eastAsia" w:ascii="宋体" w:hAnsi="宋体" w:cs="宋体"/>
          <w:color w:val="000000"/>
          <w:szCs w:val="21"/>
          <w:lang w:eastAsia="zh-CN"/>
        </w:rPr>
        <w:t>1.</w:t>
      </w:r>
      <w:r>
        <w:rPr>
          <w:rFonts w:hint="eastAsia" w:ascii="宋体" w:hAnsi="宋体" w:cs="宋体"/>
          <w:color w:val="000000"/>
          <w:szCs w:val="21"/>
        </w:rPr>
        <w:t>电子投标（响应）文件的递交</w:t>
      </w:r>
    </w:p>
    <w:p w14:paraId="1D992089">
      <w:pPr>
        <w:spacing w:line="400" w:lineRule="exact"/>
        <w:ind w:firstLine="420" w:firstLineChars="200"/>
        <w:rPr>
          <w:rFonts w:hint="eastAsia" w:ascii="宋体" w:hAnsi="宋体" w:cs="宋体"/>
          <w:color w:val="000000"/>
          <w:szCs w:val="21"/>
        </w:rPr>
      </w:pPr>
      <w:r>
        <w:rPr>
          <w:rFonts w:hint="eastAsia" w:ascii="宋体" w:hAnsi="宋体" w:cs="宋体"/>
          <w:color w:val="000000"/>
          <w:szCs w:val="21"/>
        </w:rPr>
        <w:t>各投标（供应商）人应在投标截止时间前上传加密的电子投标（响应）文件（*.XYTF）到会员系统的指定位置。上传的电子投标文件应使用投标人CA数字证书认证并加密。上传时必须得到交易系统“上传成功”的确认回复后方为上传成功。请投标人（供应商）在上传前务必认真检查上传投标（响应）文件是否完整、正确。</w:t>
      </w:r>
    </w:p>
    <w:p w14:paraId="148B91E0">
      <w:pPr>
        <w:spacing w:line="400" w:lineRule="exact"/>
        <w:ind w:firstLine="420" w:firstLineChars="200"/>
        <w:rPr>
          <w:rFonts w:hint="eastAsia" w:ascii="宋体" w:hAnsi="宋体" w:cs="宋体"/>
          <w:color w:val="000000"/>
          <w:szCs w:val="21"/>
        </w:rPr>
      </w:pPr>
      <w:r>
        <w:rPr>
          <w:rFonts w:hint="eastAsia" w:ascii="宋体" w:hAnsi="宋体" w:cs="宋体"/>
          <w:color w:val="000000"/>
          <w:szCs w:val="21"/>
          <w:lang w:eastAsia="zh-CN"/>
        </w:rPr>
        <w:t>2.</w:t>
      </w:r>
      <w:r>
        <w:rPr>
          <w:rFonts w:hint="eastAsia" w:ascii="宋体" w:hAnsi="宋体" w:cs="宋体"/>
          <w:color w:val="000000"/>
          <w:szCs w:val="21"/>
        </w:rPr>
        <w:t>除电子投标（响应）文件外，不再接受任何纸质文件、资料原件等。</w:t>
      </w:r>
    </w:p>
    <w:p w14:paraId="01148165">
      <w:pPr>
        <w:spacing w:line="400" w:lineRule="exact"/>
        <w:ind w:firstLine="422" w:firstLineChars="200"/>
        <w:rPr>
          <w:rFonts w:hint="eastAsia" w:ascii="宋体" w:hAnsi="宋体" w:cs="宋体"/>
          <w:b/>
          <w:bCs/>
          <w:color w:val="000000"/>
          <w:szCs w:val="21"/>
          <w:u w:val="double"/>
        </w:rPr>
      </w:pPr>
      <w:r>
        <w:rPr>
          <w:rFonts w:hint="eastAsia" w:ascii="宋体" w:hAnsi="宋体" w:cs="宋体"/>
          <w:b/>
          <w:bCs/>
          <w:color w:val="000000"/>
          <w:szCs w:val="21"/>
          <w:u w:val="double"/>
        </w:rPr>
        <w:t>八、澄清与变更</w:t>
      </w:r>
    </w:p>
    <w:p w14:paraId="2B8AAC5F">
      <w:pPr>
        <w:spacing w:line="400" w:lineRule="exact"/>
        <w:ind w:firstLine="420" w:firstLineChars="200"/>
        <w:rPr>
          <w:rFonts w:hint="eastAsia" w:ascii="宋体" w:hAnsi="宋体" w:cs="宋体"/>
          <w:color w:val="000000"/>
          <w:szCs w:val="21"/>
        </w:rPr>
      </w:pPr>
      <w:r>
        <w:rPr>
          <w:rFonts w:hint="eastAsia" w:ascii="宋体" w:hAnsi="宋体" w:cs="宋体"/>
          <w:color w:val="000000"/>
          <w:szCs w:val="21"/>
        </w:rPr>
        <w:t>如有疑问，以书面形式（包括信函、电报、传真等可以有形表现所载内容的形式），要求招标人（采购人）对招标（采购）文件予以澄清。澄清或修改的内容在信阳市公共资源交易系统“变更公告”或“答疑文件”菜单进行发布，投标人（供应商）应在投标（响应）文件递交截止时间前及时查看澄清或修改内容，因投标人（采购人）未及时查看而造成的后果自负。</w:t>
      </w:r>
    </w:p>
    <w:p w14:paraId="3E8498EE">
      <w:pPr>
        <w:spacing w:line="400" w:lineRule="exact"/>
        <w:ind w:firstLine="422" w:firstLineChars="200"/>
        <w:rPr>
          <w:rFonts w:hint="eastAsia" w:ascii="宋体" w:hAnsi="宋体" w:cs="宋体"/>
          <w:b/>
          <w:bCs/>
          <w:color w:val="000000"/>
          <w:szCs w:val="21"/>
          <w:u w:val="double"/>
        </w:rPr>
      </w:pPr>
      <w:r>
        <w:rPr>
          <w:rFonts w:hint="eastAsia" w:ascii="宋体" w:hAnsi="宋体" w:cs="宋体"/>
          <w:b/>
          <w:bCs/>
          <w:color w:val="000000"/>
          <w:szCs w:val="21"/>
          <w:u w:val="double"/>
        </w:rPr>
        <w:t xml:space="preserve">九、其他注意事项 </w:t>
      </w:r>
    </w:p>
    <w:p w14:paraId="34E4900D">
      <w:pPr>
        <w:widowControl/>
        <w:spacing w:line="400" w:lineRule="exact"/>
        <w:ind w:firstLine="422" w:firstLineChars="200"/>
        <w:rPr>
          <w:rFonts w:ascii="宋体" w:hAnsi="宋体" w:cs="宋体"/>
          <w:b/>
          <w:bCs/>
          <w:color w:val="000000"/>
          <w:szCs w:val="21"/>
          <w:u w:val="double"/>
        </w:rPr>
      </w:pPr>
      <w:r>
        <w:rPr>
          <w:rFonts w:hint="eastAsia" w:ascii="宋体" w:hAnsi="宋体" w:cs="宋体"/>
          <w:b/>
          <w:bCs/>
          <w:color w:val="000000"/>
          <w:szCs w:val="21"/>
          <w:u w:val="double"/>
        </w:rPr>
        <w:t>潜在供应商有异议的，可以在公告发布之日起七个工作日内，以书面形式同时向采购人与采购代理机构提交质疑函和必要的证明材料。质疑函应当包括下列内容：（一）供应商的姓名或者名称、地址、邮编、联系人及联系电话；（二）质疑项目的名称、编号；（三）具体、明确的质疑事项和与质疑事项相关的请求；（四）事实依据；（五）必要的法律依据；（六）提出质疑的日期。供应商为自然人的，应当由本人签字；供应商为法人或者其他组织的，应当由法定代表人、主要负责人，或者其授权代表签字或者盖章，并加盖公章。（企业营业执照复印件及本人身份证复印件（加盖单位公章）一并提交），以质疑函接收确认日期作为受理时间；逾期提交或未按照要求提交的质疑函将不予受理。</w:t>
      </w:r>
    </w:p>
    <w:p w14:paraId="048BDE72">
      <w:pPr>
        <w:widowControl/>
        <w:spacing w:line="400" w:lineRule="exact"/>
        <w:ind w:firstLine="422" w:firstLineChars="200"/>
        <w:rPr>
          <w:rFonts w:hint="eastAsia" w:ascii="宋体" w:hAnsi="宋体" w:cs="宋体"/>
          <w:b/>
          <w:bCs/>
          <w:color w:val="000000"/>
          <w:szCs w:val="21"/>
          <w:u w:val="double"/>
        </w:rPr>
      </w:pPr>
      <w:r>
        <w:rPr>
          <w:rFonts w:hint="eastAsia" w:ascii="宋体" w:hAnsi="宋体" w:cs="宋体"/>
          <w:b/>
          <w:bCs/>
          <w:color w:val="000000"/>
          <w:szCs w:val="21"/>
          <w:u w:val="double"/>
        </w:rPr>
        <w:t>十、特别提醒</w:t>
      </w:r>
    </w:p>
    <w:p w14:paraId="5FFBEC63">
      <w:pPr>
        <w:widowControl/>
        <w:spacing w:line="400" w:lineRule="exact"/>
        <w:ind w:firstLine="422" w:firstLineChars="200"/>
        <w:rPr>
          <w:rFonts w:hint="eastAsia" w:ascii="宋体" w:hAnsi="宋体" w:cs="宋体"/>
          <w:color w:val="000000"/>
          <w:szCs w:val="21"/>
          <w:u w:val="double"/>
        </w:rPr>
      </w:pPr>
      <w:r>
        <w:rPr>
          <w:rFonts w:hint="eastAsia" w:ascii="宋体" w:hAnsi="宋体" w:cs="宋体"/>
          <w:b/>
          <w:bCs/>
          <w:color w:val="000000"/>
          <w:szCs w:val="21"/>
          <w:u w:val="double"/>
        </w:rPr>
        <w:t>投标文件中的扫描件，在确保清晰的前提下，每张最好控制在 500kb 内，生成的加密电子投标文件最好不要超过50MB。</w:t>
      </w:r>
    </w:p>
    <w:p w14:paraId="452DEACA">
      <w:pPr>
        <w:spacing w:line="360" w:lineRule="auto"/>
        <w:rPr>
          <w:rFonts w:hint="eastAsia" w:ascii="宋体" w:hAnsi="宋体"/>
          <w:sz w:val="24"/>
        </w:rPr>
      </w:pPr>
    </w:p>
    <w:p w14:paraId="07D293D8">
      <w:pPr>
        <w:rPr>
          <w:rFonts w:hint="eastAsia" w:ascii="宋体" w:hAnsi="宋体"/>
          <w:b/>
          <w:sz w:val="24"/>
        </w:rPr>
      </w:pPr>
      <w:r>
        <w:rPr>
          <w:rFonts w:hint="eastAsia"/>
        </w:rPr>
        <w:br w:type="page"/>
      </w:r>
    </w:p>
    <w:p w14:paraId="6FC48848">
      <w:pPr>
        <w:pageBreakBefore w:val="0"/>
        <w:widowControl w:val="0"/>
        <w:kinsoku/>
        <w:wordWrap/>
        <w:overflowPunct/>
        <w:topLinePunct w:val="0"/>
        <w:bidi w:val="0"/>
        <w:adjustRightInd w:val="0"/>
        <w:snapToGrid w:val="0"/>
        <w:spacing w:line="360" w:lineRule="auto"/>
        <w:jc w:val="center"/>
        <w:textAlignment w:val="auto"/>
        <w:outlineLvl w:val="9"/>
        <w:rPr>
          <w:rFonts w:hint="default" w:asciiTheme="minorEastAsia" w:hAnsiTheme="minorEastAsia" w:eastAsiaTheme="minorEastAsia" w:cstheme="minorEastAsia"/>
          <w:b/>
          <w:bCs/>
          <w:sz w:val="30"/>
          <w:szCs w:val="24"/>
          <w:lang w:val="en-US" w:eastAsia="zh-CN"/>
        </w:rPr>
      </w:pPr>
      <w:r>
        <w:rPr>
          <w:rFonts w:hint="eastAsia" w:asciiTheme="minorEastAsia" w:hAnsiTheme="minorEastAsia" w:eastAsiaTheme="minorEastAsia" w:cstheme="minorEastAsia"/>
          <w:b/>
          <w:bCs/>
          <w:sz w:val="30"/>
          <w:szCs w:val="24"/>
          <w:lang w:val="en-US" w:eastAsia="zh-CN"/>
        </w:rPr>
        <w:t>信阳市南湾湖旅游度假区标识牌制作工艺项目招标公告</w:t>
      </w:r>
    </w:p>
    <w:tbl>
      <w:tblPr>
        <w:tblStyle w:val="47"/>
        <w:tblW w:w="101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19"/>
      </w:tblGrid>
      <w:tr w14:paraId="2DB49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trPr>
        <w:tc>
          <w:tcPr>
            <w:tcW w:w="10119" w:type="dxa"/>
            <w:noWrap w:val="0"/>
            <w:vAlign w:val="top"/>
          </w:tcPr>
          <w:p w14:paraId="717403B9">
            <w:pPr>
              <w:keepNext w:val="0"/>
              <w:keepLines w:val="0"/>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cs="宋体"/>
                <w:sz w:val="24"/>
                <w:szCs w:val="24"/>
              </w:rPr>
            </w:pPr>
            <w:r>
              <w:rPr>
                <w:rFonts w:hint="eastAsia" w:ascii="宋体" w:hAnsi="宋体" w:cs="宋体"/>
                <w:sz w:val="24"/>
                <w:szCs w:val="24"/>
              </w:rPr>
              <w:t>项目概况</w:t>
            </w:r>
          </w:p>
          <w:p w14:paraId="5EC4E929">
            <w:pPr>
              <w:keepNext w:val="0"/>
              <w:keepLines w:val="0"/>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cs="宋体"/>
                <w:sz w:val="24"/>
                <w:szCs w:val="24"/>
              </w:rPr>
            </w:pPr>
            <w:r>
              <w:rPr>
                <w:rFonts w:hint="eastAsia" w:ascii="宋体" w:hAnsi="宋体" w:cs="宋体"/>
                <w:sz w:val="24"/>
                <w:szCs w:val="24"/>
                <w:u w:val="single"/>
                <w:lang w:eastAsia="zh-CN"/>
              </w:rPr>
              <w:t>信阳市南湾湖旅游度假区标识牌制作工艺项目</w:t>
            </w:r>
            <w:r>
              <w:rPr>
                <w:rFonts w:hint="eastAsia" w:ascii="宋体" w:hAnsi="宋体" w:eastAsia="宋体" w:cs="宋体"/>
                <w:sz w:val="24"/>
                <w:szCs w:val="24"/>
              </w:rPr>
              <w:t>招标项目的潜在投标人应在登录“全国公共资源交易平台（河南省·信阳市）（https://ggzyjy.xinyang.gov.cn/）”网站，凭办理的企业身份认证锁（CA数字证书）登录会员系统获取招标文件，并于</w:t>
            </w:r>
            <w:r>
              <w:rPr>
                <w:rFonts w:hint="eastAsia" w:ascii="宋体" w:hAnsi="宋体" w:eastAsia="宋体" w:cs="宋体"/>
                <w:color w:val="auto"/>
                <w:sz w:val="24"/>
                <w:szCs w:val="24"/>
                <w:highlight w:val="none"/>
                <w:u w:val="single"/>
                <w:shd w:val="clear"/>
              </w:rPr>
              <w:t>202</w:t>
            </w:r>
            <w:r>
              <w:rPr>
                <w:rFonts w:hint="eastAsia" w:ascii="宋体" w:hAnsi="宋体" w:eastAsia="宋体" w:cs="宋体"/>
                <w:color w:val="auto"/>
                <w:sz w:val="24"/>
                <w:szCs w:val="24"/>
                <w:highlight w:val="none"/>
                <w:u w:val="single"/>
                <w:shd w:val="clear"/>
                <w:lang w:val="en-US" w:eastAsia="zh-CN"/>
              </w:rPr>
              <w:t>6</w:t>
            </w:r>
            <w:r>
              <w:rPr>
                <w:rFonts w:hint="eastAsia" w:ascii="宋体" w:hAnsi="宋体" w:eastAsia="宋体" w:cs="宋体"/>
                <w:color w:val="auto"/>
                <w:sz w:val="24"/>
                <w:szCs w:val="24"/>
                <w:highlight w:val="none"/>
                <w:u w:val="single"/>
                <w:shd w:val="clear"/>
              </w:rPr>
              <w:t>年</w:t>
            </w:r>
            <w:r>
              <w:rPr>
                <w:rFonts w:hint="eastAsia" w:ascii="宋体" w:hAnsi="宋体" w:cs="宋体"/>
                <w:color w:val="auto"/>
                <w:sz w:val="24"/>
                <w:szCs w:val="24"/>
                <w:highlight w:val="none"/>
                <w:u w:val="single"/>
                <w:shd w:val="clear"/>
                <w:lang w:val="en-US" w:eastAsia="zh-CN"/>
              </w:rPr>
              <w:t xml:space="preserve">10 </w:t>
            </w:r>
            <w:r>
              <w:rPr>
                <w:rFonts w:hint="eastAsia" w:ascii="宋体" w:hAnsi="宋体" w:eastAsia="宋体" w:cs="宋体"/>
                <w:color w:val="auto"/>
                <w:sz w:val="24"/>
                <w:szCs w:val="24"/>
                <w:highlight w:val="none"/>
                <w:u w:val="single"/>
                <w:shd w:val="clear"/>
              </w:rPr>
              <w:t>月</w:t>
            </w:r>
            <w:r>
              <w:rPr>
                <w:rFonts w:hint="eastAsia" w:ascii="宋体" w:hAnsi="宋体" w:cs="宋体"/>
                <w:color w:val="auto"/>
                <w:sz w:val="24"/>
                <w:szCs w:val="24"/>
                <w:highlight w:val="none"/>
                <w:u w:val="single"/>
                <w:shd w:val="clear"/>
                <w:lang w:val="en-US" w:eastAsia="zh-CN"/>
              </w:rPr>
              <w:t xml:space="preserve"> 12  </w:t>
            </w:r>
            <w:r>
              <w:rPr>
                <w:rFonts w:hint="eastAsia" w:ascii="宋体" w:hAnsi="宋体" w:eastAsia="宋体" w:cs="宋体"/>
                <w:color w:val="auto"/>
                <w:sz w:val="24"/>
                <w:szCs w:val="24"/>
                <w:highlight w:val="none"/>
                <w:u w:val="single"/>
                <w:shd w:val="clear"/>
              </w:rPr>
              <w:t>日09时</w:t>
            </w:r>
            <w:r>
              <w:rPr>
                <w:rFonts w:hint="eastAsia" w:ascii="宋体" w:hAnsi="宋体" w:eastAsia="宋体" w:cs="宋体"/>
                <w:color w:val="auto"/>
                <w:sz w:val="24"/>
                <w:szCs w:val="24"/>
                <w:highlight w:val="none"/>
                <w:u w:val="single"/>
                <w:shd w:val="clear"/>
                <w:lang w:val="en-US" w:eastAsia="zh-CN"/>
              </w:rPr>
              <w:t>0</w:t>
            </w:r>
            <w:r>
              <w:rPr>
                <w:rFonts w:hint="eastAsia" w:ascii="宋体" w:hAnsi="宋体" w:eastAsia="宋体" w:cs="宋体"/>
                <w:color w:val="auto"/>
                <w:sz w:val="24"/>
                <w:szCs w:val="24"/>
                <w:u w:val="single"/>
                <w:shd w:val="clear"/>
                <w:lang w:val="en-US" w:eastAsia="zh-CN"/>
              </w:rPr>
              <w:t>0</w:t>
            </w:r>
            <w:r>
              <w:rPr>
                <w:rFonts w:hint="eastAsia" w:ascii="宋体" w:hAnsi="宋体" w:eastAsia="宋体" w:cs="宋体"/>
                <w:color w:val="auto"/>
                <w:sz w:val="24"/>
                <w:szCs w:val="24"/>
                <w:u w:val="single"/>
                <w:shd w:val="clear"/>
              </w:rPr>
              <w:t>分</w:t>
            </w:r>
            <w:r>
              <w:rPr>
                <w:rFonts w:hint="eastAsia" w:ascii="宋体" w:hAnsi="宋体" w:eastAsia="宋体" w:cs="宋体"/>
                <w:color w:val="000000"/>
                <w:sz w:val="24"/>
                <w:szCs w:val="24"/>
              </w:rPr>
              <w:t>（北京时间）前递交投标文件。</w:t>
            </w:r>
          </w:p>
        </w:tc>
      </w:tr>
    </w:tbl>
    <w:p w14:paraId="56772A1F">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cs="宋体"/>
          <w:sz w:val="24"/>
          <w:szCs w:val="24"/>
        </w:rPr>
      </w:pPr>
      <w:bookmarkStart w:id="1" w:name="_Toc35393790"/>
      <w:bookmarkStart w:id="2" w:name="_Toc28359079"/>
      <w:bookmarkStart w:id="3" w:name="_Toc35393621"/>
      <w:bookmarkStart w:id="4" w:name="_Toc28359002"/>
      <w:bookmarkStart w:id="5" w:name="_Hlk24379207"/>
    </w:p>
    <w:p w14:paraId="03E81123">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cs="宋体"/>
          <w:b/>
          <w:bCs/>
          <w:sz w:val="24"/>
          <w:szCs w:val="24"/>
        </w:rPr>
      </w:pPr>
      <w:r>
        <w:rPr>
          <w:rFonts w:hint="eastAsia" w:ascii="宋体" w:hAnsi="宋体" w:cs="宋体"/>
          <w:b/>
          <w:bCs/>
          <w:sz w:val="24"/>
          <w:szCs w:val="24"/>
        </w:rPr>
        <w:t>一、项目基本情况</w:t>
      </w:r>
      <w:bookmarkEnd w:id="1"/>
      <w:bookmarkEnd w:id="2"/>
      <w:bookmarkEnd w:id="3"/>
      <w:bookmarkEnd w:id="4"/>
    </w:p>
    <w:p w14:paraId="65F72265">
      <w:pPr>
        <w:keepNext w:val="0"/>
        <w:keepLines w:val="0"/>
        <w:pageBreakBefore w:val="0"/>
        <w:kinsoku/>
        <w:wordWrap/>
        <w:overflowPunct/>
        <w:topLinePunct w:val="0"/>
        <w:autoSpaceDE/>
        <w:autoSpaceDN/>
        <w:bidi w:val="0"/>
        <w:adjustRightInd/>
        <w:spacing w:line="400" w:lineRule="exact"/>
        <w:ind w:firstLine="480" w:firstLineChars="200"/>
        <w:textAlignment w:val="auto"/>
        <w:rPr>
          <w:rFonts w:hint="default" w:ascii="宋体" w:hAnsi="宋体" w:cs="宋体"/>
          <w:color w:val="auto"/>
          <w:sz w:val="24"/>
          <w:szCs w:val="24"/>
          <w:lang w:val="en-US" w:eastAsia="zh-CN"/>
        </w:rPr>
      </w:pPr>
      <w:r>
        <w:rPr>
          <w:rFonts w:hint="eastAsia" w:ascii="宋体" w:hAnsi="宋体" w:cs="宋体"/>
          <w:sz w:val="24"/>
          <w:szCs w:val="24"/>
        </w:rPr>
        <w:t>1</w:t>
      </w:r>
      <w:r>
        <w:rPr>
          <w:rFonts w:hint="eastAsia" w:ascii="宋体" w:hAnsi="宋体" w:cs="宋体"/>
          <w:sz w:val="24"/>
          <w:szCs w:val="24"/>
          <w:lang w:eastAsia="zh-CN"/>
        </w:rPr>
        <w:t>.项目编号：信南财公开招标-2026-1</w:t>
      </w:r>
      <w:r>
        <w:rPr>
          <w:rFonts w:hint="eastAsia" w:ascii="宋体" w:hAnsi="宋体" w:cs="宋体"/>
          <w:sz w:val="24"/>
          <w:szCs w:val="24"/>
          <w:lang w:val="en-US" w:eastAsia="zh-CN"/>
        </w:rPr>
        <w:t xml:space="preserve"> </w:t>
      </w:r>
    </w:p>
    <w:p w14:paraId="287427D9">
      <w:pPr>
        <w:keepNext w:val="0"/>
        <w:keepLines w:val="0"/>
        <w:pageBreakBefore w:val="0"/>
        <w:kinsoku/>
        <w:wordWrap/>
        <w:overflowPunct/>
        <w:topLinePunct w:val="0"/>
        <w:autoSpaceDE/>
        <w:autoSpaceDN/>
        <w:bidi w:val="0"/>
        <w:adjustRightInd/>
        <w:spacing w:line="400" w:lineRule="exact"/>
        <w:ind w:firstLine="480" w:firstLineChars="200"/>
        <w:textAlignment w:val="auto"/>
        <w:rPr>
          <w:rFonts w:hint="eastAsia" w:ascii="宋体" w:hAnsi="宋体" w:cs="宋体"/>
          <w:sz w:val="24"/>
          <w:szCs w:val="24"/>
          <w:lang w:eastAsia="zh-CN"/>
        </w:rPr>
      </w:pPr>
      <w:r>
        <w:rPr>
          <w:rFonts w:hint="eastAsia" w:ascii="宋体" w:hAnsi="宋体" w:cs="宋体"/>
          <w:sz w:val="24"/>
          <w:szCs w:val="24"/>
        </w:rPr>
        <w:t>2</w:t>
      </w:r>
      <w:r>
        <w:rPr>
          <w:rFonts w:hint="eastAsia" w:ascii="宋体" w:hAnsi="宋体" w:cs="宋体"/>
          <w:sz w:val="24"/>
          <w:szCs w:val="24"/>
          <w:lang w:eastAsia="zh-CN"/>
        </w:rPr>
        <w:t>.</w:t>
      </w:r>
      <w:r>
        <w:rPr>
          <w:rFonts w:hint="eastAsia" w:ascii="宋体" w:hAnsi="宋体" w:cs="宋体"/>
          <w:sz w:val="24"/>
          <w:szCs w:val="24"/>
        </w:rPr>
        <w:t>项目名称：</w:t>
      </w:r>
      <w:r>
        <w:rPr>
          <w:rFonts w:hint="eastAsia" w:ascii="宋体" w:hAnsi="宋体" w:cs="宋体"/>
          <w:sz w:val="24"/>
          <w:szCs w:val="24"/>
          <w:lang w:eastAsia="zh-CN"/>
        </w:rPr>
        <w:t>信阳市南湾湖旅游度假区标识牌制作工艺项目</w:t>
      </w:r>
    </w:p>
    <w:p w14:paraId="2E81F6A3">
      <w:pPr>
        <w:keepNext w:val="0"/>
        <w:keepLines w:val="0"/>
        <w:pageBreakBefore w:val="0"/>
        <w:kinsoku/>
        <w:wordWrap/>
        <w:overflowPunct/>
        <w:topLinePunct w:val="0"/>
        <w:autoSpaceDE/>
        <w:autoSpaceDN/>
        <w:bidi w:val="0"/>
        <w:adjustRightInd/>
        <w:spacing w:line="400" w:lineRule="exact"/>
        <w:ind w:firstLine="480" w:firstLineChars="200"/>
        <w:textAlignment w:val="auto"/>
        <w:rPr>
          <w:rFonts w:hint="eastAsia" w:ascii="宋体" w:hAnsi="宋体" w:cs="宋体"/>
          <w:sz w:val="24"/>
          <w:szCs w:val="24"/>
        </w:rPr>
      </w:pPr>
      <w:r>
        <w:rPr>
          <w:rFonts w:hint="eastAsia" w:ascii="宋体" w:hAnsi="宋体" w:cs="宋体"/>
          <w:sz w:val="24"/>
          <w:szCs w:val="24"/>
        </w:rPr>
        <w:t>3</w:t>
      </w:r>
      <w:r>
        <w:rPr>
          <w:rFonts w:hint="eastAsia" w:ascii="宋体" w:hAnsi="宋体" w:cs="宋体"/>
          <w:sz w:val="24"/>
          <w:szCs w:val="24"/>
          <w:lang w:eastAsia="zh-CN"/>
        </w:rPr>
        <w:t>.</w:t>
      </w:r>
      <w:r>
        <w:rPr>
          <w:rFonts w:hint="eastAsia" w:ascii="宋体" w:hAnsi="宋体" w:cs="宋体"/>
          <w:sz w:val="24"/>
          <w:szCs w:val="24"/>
        </w:rPr>
        <w:t>采购方式：公开招标</w:t>
      </w:r>
    </w:p>
    <w:bookmarkEnd w:id="5"/>
    <w:p w14:paraId="316EBCDD">
      <w:pPr>
        <w:keepNext w:val="0"/>
        <w:keepLines w:val="0"/>
        <w:pageBreakBefore w:val="0"/>
        <w:kinsoku/>
        <w:wordWrap/>
        <w:overflowPunct/>
        <w:topLinePunct w:val="0"/>
        <w:autoSpaceDE/>
        <w:autoSpaceDN/>
        <w:bidi w:val="0"/>
        <w:adjustRightInd/>
        <w:spacing w:line="400" w:lineRule="exact"/>
        <w:ind w:firstLine="480" w:firstLineChars="200"/>
        <w:textAlignment w:val="auto"/>
        <w:rPr>
          <w:rFonts w:hint="default" w:ascii="宋体" w:hAnsi="宋体" w:eastAsia="宋体" w:cs="宋体"/>
          <w:color w:val="auto"/>
          <w:sz w:val="24"/>
          <w:szCs w:val="24"/>
          <w:lang w:val="en-US" w:eastAsia="zh-CN"/>
        </w:rPr>
      </w:pPr>
      <w:r>
        <w:rPr>
          <w:rFonts w:hint="eastAsia" w:ascii="宋体" w:hAnsi="宋体" w:cs="宋体"/>
          <w:color w:val="auto"/>
          <w:sz w:val="24"/>
          <w:szCs w:val="24"/>
        </w:rPr>
        <w:t>4</w:t>
      </w:r>
      <w:r>
        <w:rPr>
          <w:rFonts w:hint="eastAsia" w:ascii="宋体" w:hAnsi="宋体" w:cs="宋体"/>
          <w:color w:val="auto"/>
          <w:sz w:val="24"/>
          <w:szCs w:val="24"/>
          <w:lang w:eastAsia="zh-CN"/>
        </w:rPr>
        <w:t>.</w:t>
      </w:r>
      <w:r>
        <w:rPr>
          <w:rFonts w:hint="eastAsia" w:ascii="宋体" w:hAnsi="宋体" w:cs="宋体"/>
          <w:color w:val="auto"/>
          <w:sz w:val="24"/>
          <w:szCs w:val="24"/>
        </w:rPr>
        <w:t>预算金额：</w:t>
      </w:r>
      <w:r>
        <w:rPr>
          <w:rFonts w:hint="eastAsia" w:ascii="宋体" w:hAnsi="宋体" w:cs="宋体"/>
          <w:color w:val="auto"/>
          <w:sz w:val="24"/>
          <w:szCs w:val="24"/>
          <w:lang w:val="en-US" w:eastAsia="zh-CN"/>
        </w:rPr>
        <w:t>862518.29元</w:t>
      </w:r>
    </w:p>
    <w:p w14:paraId="03CF2689">
      <w:pPr>
        <w:keepNext w:val="0"/>
        <w:keepLines w:val="0"/>
        <w:pageBreakBefore w:val="0"/>
        <w:widowControl w:val="0"/>
        <w:kinsoku/>
        <w:wordWrap/>
        <w:overflowPunct/>
        <w:topLinePunct w:val="0"/>
        <w:autoSpaceDE/>
        <w:autoSpaceDN/>
        <w:bidi w:val="0"/>
        <w:adjustRightInd/>
        <w:snapToGrid/>
        <w:spacing w:line="400" w:lineRule="exact"/>
        <w:ind w:firstLine="720" w:firstLineChars="300"/>
        <w:textAlignment w:val="auto"/>
        <w:rPr>
          <w:rFonts w:hint="default" w:ascii="宋体" w:hAnsi="宋体" w:eastAsia="宋体" w:cs="宋体"/>
          <w:color w:val="auto"/>
          <w:sz w:val="24"/>
          <w:szCs w:val="24"/>
          <w:u w:val="single"/>
          <w:lang w:val="en-US" w:eastAsia="zh-CN"/>
        </w:rPr>
      </w:pPr>
      <w:r>
        <w:rPr>
          <w:rFonts w:hint="eastAsia" w:ascii="宋体" w:hAnsi="宋体" w:cs="宋体"/>
          <w:color w:val="auto"/>
          <w:sz w:val="24"/>
          <w:szCs w:val="24"/>
        </w:rPr>
        <w:t>最高限价：</w:t>
      </w:r>
      <w:r>
        <w:rPr>
          <w:rFonts w:hint="eastAsia" w:ascii="宋体" w:hAnsi="宋体" w:cs="宋体"/>
          <w:color w:val="auto"/>
          <w:sz w:val="24"/>
          <w:szCs w:val="24"/>
          <w:lang w:val="en-US" w:eastAsia="zh-CN"/>
        </w:rPr>
        <w:t xml:space="preserve">862518.29元  </w:t>
      </w:r>
    </w:p>
    <w:tbl>
      <w:tblPr>
        <w:tblStyle w:val="47"/>
        <w:tblW w:w="9378"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26"/>
        <w:gridCol w:w="1729"/>
        <w:gridCol w:w="3315"/>
        <w:gridCol w:w="1527"/>
        <w:gridCol w:w="2081"/>
      </w:tblGrid>
      <w:tr w14:paraId="384EC1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9" w:hRule="exact"/>
        </w:trPr>
        <w:tc>
          <w:tcPr>
            <w:tcW w:w="726" w:type="dxa"/>
            <w:noWrap w:val="0"/>
            <w:vAlign w:val="center"/>
          </w:tcPr>
          <w:p w14:paraId="7A17879C">
            <w:pPr>
              <w:keepNext w:val="0"/>
              <w:keepLines w:val="0"/>
              <w:pageBreakBefore w:val="0"/>
              <w:kinsoku/>
              <w:wordWrap/>
              <w:overflowPunct/>
              <w:topLinePunct w:val="0"/>
              <w:autoSpaceDE/>
              <w:autoSpaceDN/>
              <w:bidi w:val="0"/>
              <w:adjustRightInd/>
              <w:snapToGrid/>
              <w:spacing w:line="400" w:lineRule="exact"/>
              <w:ind w:left="0" w:leftChars="0"/>
              <w:jc w:val="center"/>
              <w:textAlignment w:val="auto"/>
              <w:rPr>
                <w:rFonts w:hint="eastAsia" w:ascii="宋体" w:hAnsi="宋体" w:eastAsia="宋体" w:cs="宋体"/>
                <w:sz w:val="24"/>
                <w:szCs w:val="24"/>
              </w:rPr>
            </w:pPr>
            <w:bookmarkStart w:id="6" w:name="_Toc28359080"/>
            <w:bookmarkStart w:id="7" w:name="_Toc35393622"/>
            <w:bookmarkStart w:id="8" w:name="_Toc28359003"/>
            <w:bookmarkStart w:id="9" w:name="_Toc35393791"/>
            <w:r>
              <w:rPr>
                <w:rFonts w:hint="eastAsia" w:ascii="宋体" w:hAnsi="宋体" w:eastAsia="宋体" w:cs="宋体"/>
                <w:sz w:val="24"/>
                <w:szCs w:val="24"/>
              </w:rPr>
              <w:t>序号</w:t>
            </w:r>
          </w:p>
        </w:tc>
        <w:tc>
          <w:tcPr>
            <w:tcW w:w="1729" w:type="dxa"/>
            <w:noWrap w:val="0"/>
            <w:vAlign w:val="center"/>
          </w:tcPr>
          <w:p w14:paraId="470C9EC7">
            <w:pPr>
              <w:keepNext w:val="0"/>
              <w:keepLines w:val="0"/>
              <w:pageBreakBefore w:val="0"/>
              <w:kinsoku/>
              <w:wordWrap/>
              <w:overflowPunct/>
              <w:topLinePunct w:val="0"/>
              <w:autoSpaceDE/>
              <w:autoSpaceDN/>
              <w:bidi w:val="0"/>
              <w:adjustRightInd/>
              <w:snapToGrid/>
              <w:spacing w:line="400" w:lineRule="exact"/>
              <w:ind w:left="0" w:leftChars="0"/>
              <w:jc w:val="center"/>
              <w:textAlignment w:val="auto"/>
              <w:rPr>
                <w:rFonts w:hint="eastAsia" w:ascii="宋体" w:hAnsi="宋体" w:eastAsia="宋体" w:cs="宋体"/>
                <w:sz w:val="24"/>
                <w:szCs w:val="24"/>
              </w:rPr>
            </w:pPr>
            <w:r>
              <w:rPr>
                <w:rFonts w:hint="eastAsia" w:ascii="宋体" w:hAnsi="宋体" w:eastAsia="宋体" w:cs="宋体"/>
                <w:sz w:val="24"/>
                <w:szCs w:val="24"/>
              </w:rPr>
              <w:t>包号</w:t>
            </w:r>
          </w:p>
        </w:tc>
        <w:tc>
          <w:tcPr>
            <w:tcW w:w="3315" w:type="dxa"/>
            <w:noWrap w:val="0"/>
            <w:vAlign w:val="center"/>
          </w:tcPr>
          <w:p w14:paraId="12E228ED">
            <w:pPr>
              <w:keepNext w:val="0"/>
              <w:keepLines w:val="0"/>
              <w:pageBreakBefore w:val="0"/>
              <w:kinsoku/>
              <w:wordWrap/>
              <w:overflowPunct/>
              <w:topLinePunct w:val="0"/>
              <w:autoSpaceDE/>
              <w:autoSpaceDN/>
              <w:bidi w:val="0"/>
              <w:adjustRightInd/>
              <w:snapToGrid/>
              <w:spacing w:line="400" w:lineRule="exact"/>
              <w:ind w:left="0" w:leftChars="0"/>
              <w:jc w:val="center"/>
              <w:textAlignment w:val="auto"/>
              <w:rPr>
                <w:rFonts w:hint="eastAsia" w:ascii="宋体" w:hAnsi="宋体" w:eastAsia="宋体" w:cs="宋体"/>
                <w:sz w:val="24"/>
                <w:szCs w:val="24"/>
              </w:rPr>
            </w:pPr>
            <w:r>
              <w:rPr>
                <w:rFonts w:hint="eastAsia" w:ascii="宋体" w:hAnsi="宋体" w:eastAsia="宋体" w:cs="宋体"/>
                <w:sz w:val="24"/>
                <w:szCs w:val="24"/>
              </w:rPr>
              <w:t>包名称</w:t>
            </w:r>
          </w:p>
        </w:tc>
        <w:tc>
          <w:tcPr>
            <w:tcW w:w="1527" w:type="dxa"/>
            <w:noWrap w:val="0"/>
            <w:vAlign w:val="center"/>
          </w:tcPr>
          <w:p w14:paraId="6AD98179">
            <w:pPr>
              <w:keepNext w:val="0"/>
              <w:keepLines w:val="0"/>
              <w:pageBreakBefore w:val="0"/>
              <w:kinsoku/>
              <w:wordWrap/>
              <w:overflowPunct/>
              <w:topLinePunct w:val="0"/>
              <w:autoSpaceDE/>
              <w:autoSpaceDN/>
              <w:bidi w:val="0"/>
              <w:adjustRightInd/>
              <w:snapToGrid/>
              <w:spacing w:line="400" w:lineRule="exact"/>
              <w:ind w:left="0" w:leftChars="0"/>
              <w:jc w:val="center"/>
              <w:textAlignment w:val="auto"/>
              <w:rPr>
                <w:rFonts w:hint="eastAsia" w:ascii="宋体" w:hAnsi="宋体" w:eastAsia="宋体" w:cs="宋体"/>
                <w:sz w:val="24"/>
                <w:szCs w:val="24"/>
              </w:rPr>
            </w:pPr>
            <w:r>
              <w:rPr>
                <w:rFonts w:hint="eastAsia" w:ascii="宋体" w:hAnsi="宋体" w:eastAsia="宋体" w:cs="宋体"/>
                <w:sz w:val="24"/>
                <w:szCs w:val="24"/>
              </w:rPr>
              <w:t>包预算（元）</w:t>
            </w:r>
          </w:p>
        </w:tc>
        <w:tc>
          <w:tcPr>
            <w:tcW w:w="2081" w:type="dxa"/>
            <w:noWrap w:val="0"/>
            <w:vAlign w:val="center"/>
          </w:tcPr>
          <w:p w14:paraId="1F08BA20">
            <w:pPr>
              <w:keepNext w:val="0"/>
              <w:keepLines w:val="0"/>
              <w:pageBreakBefore w:val="0"/>
              <w:kinsoku/>
              <w:wordWrap/>
              <w:overflowPunct/>
              <w:topLinePunct w:val="0"/>
              <w:autoSpaceDE/>
              <w:autoSpaceDN/>
              <w:bidi w:val="0"/>
              <w:adjustRightInd/>
              <w:snapToGrid/>
              <w:spacing w:line="400" w:lineRule="exact"/>
              <w:ind w:left="0" w:leftChars="0"/>
              <w:jc w:val="center"/>
              <w:textAlignment w:val="auto"/>
              <w:rPr>
                <w:rFonts w:hint="eastAsia" w:ascii="宋体" w:hAnsi="宋体" w:eastAsia="宋体" w:cs="宋体"/>
                <w:sz w:val="24"/>
                <w:szCs w:val="24"/>
              </w:rPr>
            </w:pPr>
            <w:r>
              <w:rPr>
                <w:rFonts w:hint="eastAsia" w:ascii="宋体" w:hAnsi="宋体" w:eastAsia="宋体" w:cs="宋体"/>
                <w:sz w:val="24"/>
                <w:szCs w:val="24"/>
              </w:rPr>
              <w:t>包最高限价（元）</w:t>
            </w:r>
          </w:p>
        </w:tc>
      </w:tr>
      <w:tr w14:paraId="1CB4FE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83" w:hRule="atLeast"/>
        </w:trPr>
        <w:tc>
          <w:tcPr>
            <w:tcW w:w="726" w:type="dxa"/>
            <w:noWrap w:val="0"/>
            <w:vAlign w:val="center"/>
          </w:tcPr>
          <w:p w14:paraId="12694290">
            <w:pPr>
              <w:keepNext w:val="0"/>
              <w:keepLines w:val="0"/>
              <w:pageBreakBefore w:val="0"/>
              <w:kinsoku/>
              <w:wordWrap/>
              <w:overflowPunct/>
              <w:topLinePunct w:val="0"/>
              <w:autoSpaceDE/>
              <w:autoSpaceDN/>
              <w:bidi w:val="0"/>
              <w:adjustRightInd/>
              <w:snapToGrid/>
              <w:spacing w:line="400" w:lineRule="exact"/>
              <w:ind w:left="0" w:leftChars="0"/>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1729" w:type="dxa"/>
            <w:noWrap w:val="0"/>
            <w:vAlign w:val="center"/>
          </w:tcPr>
          <w:p w14:paraId="72F11E79">
            <w:pPr>
              <w:keepNext w:val="0"/>
              <w:keepLines w:val="0"/>
              <w:pageBreakBefore w:val="0"/>
              <w:tabs>
                <w:tab w:val="left" w:pos="427"/>
              </w:tabs>
              <w:kinsoku/>
              <w:wordWrap/>
              <w:overflowPunct/>
              <w:topLinePunct w:val="0"/>
              <w:autoSpaceDE/>
              <w:autoSpaceDN/>
              <w:bidi w:val="0"/>
              <w:adjustRightInd/>
              <w:snapToGrid/>
              <w:spacing w:line="400" w:lineRule="exact"/>
              <w:ind w:left="0" w:leftChars="0"/>
              <w:jc w:val="left"/>
              <w:textAlignment w:val="auto"/>
              <w:rPr>
                <w:rFonts w:hint="default" w:ascii="宋体" w:hAnsi="宋体" w:eastAsia="宋体" w:cs="宋体"/>
                <w:color w:val="auto"/>
                <w:sz w:val="24"/>
                <w:szCs w:val="24"/>
                <w:lang w:val="en-US" w:eastAsia="zh-CN"/>
              </w:rPr>
            </w:pPr>
            <w:r>
              <w:rPr>
                <w:rFonts w:hint="eastAsia" w:ascii="宋体" w:hAnsi="宋体" w:cs="宋体"/>
                <w:sz w:val="24"/>
                <w:szCs w:val="24"/>
                <w:lang w:val="en-US" w:eastAsia="zh-CN"/>
              </w:rPr>
              <w:t>信</w:t>
            </w:r>
            <w:r>
              <w:rPr>
                <w:rFonts w:hint="eastAsia" w:ascii="宋体" w:hAnsi="宋体" w:cs="宋体"/>
                <w:sz w:val="24"/>
                <w:szCs w:val="24"/>
                <w:lang w:eastAsia="zh-CN"/>
              </w:rPr>
              <w:t>南财公开招标-2026-1</w:t>
            </w:r>
            <w:r>
              <w:rPr>
                <w:rFonts w:hint="eastAsia" w:ascii="宋体" w:hAnsi="宋体" w:cs="宋体"/>
                <w:sz w:val="24"/>
                <w:szCs w:val="24"/>
                <w:lang w:val="en-US" w:eastAsia="zh-CN"/>
              </w:rPr>
              <w:t xml:space="preserve"> -1</w:t>
            </w:r>
          </w:p>
        </w:tc>
        <w:tc>
          <w:tcPr>
            <w:tcW w:w="3315" w:type="dxa"/>
            <w:noWrap w:val="0"/>
            <w:vAlign w:val="center"/>
          </w:tcPr>
          <w:p w14:paraId="16CB7472">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宋体" w:hAnsi="宋体" w:eastAsia="宋体" w:cs="宋体"/>
                <w:sz w:val="24"/>
                <w:szCs w:val="24"/>
                <w:lang w:eastAsia="zh-CN"/>
              </w:rPr>
            </w:pPr>
            <w:r>
              <w:rPr>
                <w:rFonts w:hint="eastAsia" w:ascii="宋体" w:hAnsi="宋体" w:cs="宋体"/>
                <w:sz w:val="24"/>
                <w:szCs w:val="24"/>
                <w:lang w:eastAsia="zh-CN"/>
              </w:rPr>
              <w:t>信阳市南湾湖旅游度假区标识牌制作工艺项目</w:t>
            </w:r>
          </w:p>
        </w:tc>
        <w:tc>
          <w:tcPr>
            <w:tcW w:w="1527" w:type="dxa"/>
            <w:noWrap w:val="0"/>
            <w:vAlign w:val="center"/>
          </w:tcPr>
          <w:p w14:paraId="35011001">
            <w:pPr>
              <w:keepNext w:val="0"/>
              <w:keepLines w:val="0"/>
              <w:pageBreakBefore w:val="0"/>
              <w:kinsoku/>
              <w:wordWrap/>
              <w:overflowPunct/>
              <w:topLinePunct w:val="0"/>
              <w:autoSpaceDE/>
              <w:autoSpaceDN/>
              <w:bidi w:val="0"/>
              <w:adjustRightInd/>
              <w:spacing w:line="400" w:lineRule="exact"/>
              <w:textAlignment w:val="auto"/>
              <w:rPr>
                <w:rFonts w:hint="default" w:ascii="宋体" w:hAnsi="宋体" w:cs="宋体"/>
                <w:sz w:val="24"/>
                <w:szCs w:val="24"/>
                <w:lang w:val="en-US" w:eastAsia="zh-CN"/>
              </w:rPr>
            </w:pPr>
            <w:r>
              <w:rPr>
                <w:rFonts w:hint="eastAsia" w:ascii="宋体" w:hAnsi="宋体" w:cs="宋体"/>
                <w:sz w:val="24"/>
                <w:szCs w:val="24"/>
                <w:lang w:val="en-US" w:eastAsia="zh-CN"/>
              </w:rPr>
              <w:t>862518.29</w:t>
            </w:r>
          </w:p>
        </w:tc>
        <w:tc>
          <w:tcPr>
            <w:tcW w:w="2081" w:type="dxa"/>
            <w:noWrap w:val="0"/>
            <w:vAlign w:val="center"/>
          </w:tcPr>
          <w:p w14:paraId="412A916F">
            <w:pPr>
              <w:keepNext w:val="0"/>
              <w:keepLines w:val="0"/>
              <w:pageBreakBefore w:val="0"/>
              <w:kinsoku/>
              <w:wordWrap/>
              <w:overflowPunct/>
              <w:topLinePunct w:val="0"/>
              <w:autoSpaceDE/>
              <w:autoSpaceDN/>
              <w:bidi w:val="0"/>
              <w:adjustRightInd/>
              <w:spacing w:line="400" w:lineRule="exact"/>
              <w:ind w:firstLine="480" w:firstLineChars="200"/>
              <w:textAlignment w:val="auto"/>
              <w:rPr>
                <w:rFonts w:hint="default" w:ascii="宋体" w:hAnsi="宋体" w:cs="宋体"/>
                <w:sz w:val="24"/>
                <w:szCs w:val="24"/>
                <w:lang w:val="en-US" w:eastAsia="zh-CN"/>
              </w:rPr>
            </w:pPr>
            <w:r>
              <w:rPr>
                <w:rFonts w:hint="eastAsia" w:ascii="宋体" w:hAnsi="宋体" w:cs="宋体"/>
                <w:sz w:val="24"/>
                <w:szCs w:val="24"/>
                <w:lang w:val="en-US" w:eastAsia="zh-CN"/>
              </w:rPr>
              <w:t>862518.29</w:t>
            </w:r>
          </w:p>
        </w:tc>
      </w:tr>
    </w:tbl>
    <w:p w14:paraId="7558BB9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s="宋体"/>
          <w:sz w:val="24"/>
          <w:szCs w:val="24"/>
        </w:rPr>
      </w:pPr>
      <w:r>
        <w:rPr>
          <w:rFonts w:hint="eastAsia" w:ascii="宋体" w:hAnsi="宋体" w:cs="宋体"/>
          <w:sz w:val="24"/>
          <w:szCs w:val="24"/>
        </w:rPr>
        <w:t>5</w:t>
      </w:r>
      <w:r>
        <w:rPr>
          <w:rFonts w:hint="eastAsia" w:ascii="宋体" w:hAnsi="宋体" w:cs="宋体"/>
          <w:sz w:val="24"/>
          <w:szCs w:val="24"/>
          <w:lang w:eastAsia="zh-CN"/>
        </w:rPr>
        <w:t>.</w:t>
      </w:r>
      <w:r>
        <w:rPr>
          <w:rFonts w:hint="eastAsia" w:ascii="宋体" w:hAnsi="宋体" w:cs="宋体"/>
          <w:sz w:val="24"/>
          <w:szCs w:val="24"/>
        </w:rPr>
        <w:t>采购需求（包括但不限于标的的名称、数量、简要技术需求或服务要求等）</w:t>
      </w:r>
    </w:p>
    <w:p w14:paraId="086F02F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s="宋体"/>
          <w:sz w:val="24"/>
          <w:szCs w:val="24"/>
        </w:rPr>
      </w:pPr>
      <w:r>
        <w:rPr>
          <w:rFonts w:hint="eastAsia" w:ascii="宋体" w:hAnsi="宋体" w:cs="宋体"/>
          <w:sz w:val="24"/>
          <w:szCs w:val="24"/>
        </w:rPr>
        <w:t>（1）资金来源：</w:t>
      </w:r>
      <w:r>
        <w:rPr>
          <w:rFonts w:hint="eastAsia" w:ascii="宋体" w:hAnsi="宋体" w:cs="宋体"/>
          <w:sz w:val="24"/>
          <w:szCs w:val="24"/>
          <w:lang w:eastAsia="zh-CN"/>
        </w:rPr>
        <w:t>财政资金，</w:t>
      </w:r>
      <w:r>
        <w:rPr>
          <w:rFonts w:hint="eastAsia" w:ascii="宋体" w:hAnsi="宋体" w:cs="宋体"/>
          <w:sz w:val="24"/>
          <w:szCs w:val="24"/>
          <w:lang w:val="en-US" w:eastAsia="zh-CN"/>
        </w:rPr>
        <w:t>已落实</w:t>
      </w:r>
      <w:r>
        <w:rPr>
          <w:rFonts w:hint="eastAsia" w:ascii="宋体" w:hAnsi="宋体" w:cs="宋体"/>
          <w:sz w:val="24"/>
          <w:szCs w:val="24"/>
        </w:rPr>
        <w:t>；</w:t>
      </w:r>
    </w:p>
    <w:p w14:paraId="6F530F1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rPr>
      </w:pPr>
      <w:r>
        <w:rPr>
          <w:rFonts w:hint="eastAsia" w:ascii="宋体" w:hAnsi="宋体" w:cs="宋体"/>
          <w:sz w:val="24"/>
          <w:szCs w:val="24"/>
        </w:rPr>
        <w:t>（2）采购内容：</w:t>
      </w:r>
      <w:r>
        <w:rPr>
          <w:rFonts w:hint="eastAsia" w:ascii="宋体" w:hAnsi="宋体" w:cs="宋体"/>
          <w:sz w:val="24"/>
          <w:szCs w:val="24"/>
          <w:lang w:eastAsia="zh-CN"/>
        </w:rPr>
        <w:t>南湾湖旅游度假区标识牌制作、</w:t>
      </w:r>
      <w:r>
        <w:rPr>
          <w:rFonts w:hint="eastAsia" w:ascii="宋体" w:hAnsi="宋体" w:cs="宋体"/>
          <w:sz w:val="24"/>
          <w:szCs w:val="24"/>
          <w:lang w:val="en-US" w:eastAsia="zh-CN"/>
        </w:rPr>
        <w:t>安装</w:t>
      </w:r>
      <w:r>
        <w:rPr>
          <w:rFonts w:hint="eastAsia" w:ascii="宋体" w:hAnsi="宋体" w:cs="宋体"/>
          <w:sz w:val="24"/>
          <w:szCs w:val="24"/>
          <w:lang w:eastAsia="zh-CN"/>
        </w:rPr>
        <w:t>，</w:t>
      </w:r>
      <w:r>
        <w:rPr>
          <w:rFonts w:hint="eastAsia" w:ascii="宋体" w:hAnsi="宋体" w:cs="宋体"/>
          <w:sz w:val="24"/>
          <w:szCs w:val="24"/>
          <w:lang w:val="en-US" w:eastAsia="zh-CN"/>
        </w:rPr>
        <w:t>详见第五章采购需求。</w:t>
      </w:r>
    </w:p>
    <w:p w14:paraId="40025534">
      <w:pPr>
        <w:keepNext w:val="0"/>
        <w:keepLines w:val="0"/>
        <w:pageBreakBefore w:val="0"/>
        <w:kinsoku/>
        <w:wordWrap/>
        <w:overflowPunct/>
        <w:topLinePunct w:val="0"/>
        <w:autoSpaceDE/>
        <w:autoSpaceDN/>
        <w:bidi w:val="0"/>
        <w:adjustRightInd/>
        <w:spacing w:line="40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（3）质量</w:t>
      </w:r>
      <w:r>
        <w:rPr>
          <w:rFonts w:hint="eastAsia" w:ascii="宋体" w:hAnsi="宋体" w:cs="宋体"/>
          <w:color w:val="auto"/>
          <w:sz w:val="24"/>
          <w:szCs w:val="24"/>
          <w:lang w:val="en-US" w:eastAsia="zh-CN"/>
        </w:rPr>
        <w:t>要求</w:t>
      </w:r>
      <w:r>
        <w:rPr>
          <w:rFonts w:hint="eastAsia" w:ascii="宋体" w:hAnsi="宋体" w:cs="宋体"/>
          <w:color w:val="auto"/>
          <w:sz w:val="24"/>
          <w:szCs w:val="24"/>
        </w:rPr>
        <w:t>：符合国家及行业相关要求合格标准，满足采购人要求；</w:t>
      </w:r>
    </w:p>
    <w:p w14:paraId="2BB28A42">
      <w:pPr>
        <w:keepNext w:val="0"/>
        <w:keepLines w:val="0"/>
        <w:pageBreakBefore w:val="0"/>
        <w:kinsoku/>
        <w:wordWrap/>
        <w:overflowPunct/>
        <w:topLinePunct w:val="0"/>
        <w:autoSpaceDE/>
        <w:autoSpaceDN/>
        <w:bidi w:val="0"/>
        <w:adjustRightInd/>
        <w:spacing w:line="40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（4）交货期：</w:t>
      </w:r>
      <w:r>
        <w:rPr>
          <w:rFonts w:hint="eastAsia" w:ascii="宋体" w:hAnsi="宋体" w:cs="宋体"/>
          <w:color w:val="auto"/>
          <w:sz w:val="24"/>
          <w:szCs w:val="24"/>
          <w:lang w:eastAsia="zh-CN"/>
        </w:rPr>
        <w:t>合同签订之日起</w:t>
      </w:r>
      <w:r>
        <w:rPr>
          <w:rFonts w:hint="eastAsia" w:ascii="宋体" w:hAnsi="宋体" w:cs="宋体"/>
          <w:color w:val="auto"/>
          <w:sz w:val="24"/>
          <w:szCs w:val="24"/>
          <w:lang w:val="en-US" w:eastAsia="zh-CN"/>
        </w:rPr>
        <w:t>20日历天内</w:t>
      </w:r>
      <w:r>
        <w:rPr>
          <w:rFonts w:hint="eastAsia" w:ascii="宋体" w:hAnsi="宋体" w:cs="宋体"/>
          <w:color w:val="auto"/>
          <w:sz w:val="24"/>
          <w:szCs w:val="24"/>
          <w:lang w:eastAsia="zh-CN"/>
        </w:rPr>
        <w:t>；</w:t>
      </w:r>
    </w:p>
    <w:p w14:paraId="0BF4E0C8">
      <w:pPr>
        <w:keepNext w:val="0"/>
        <w:keepLines w:val="0"/>
        <w:pageBreakBefore w:val="0"/>
        <w:kinsoku/>
        <w:wordWrap/>
        <w:overflowPunct/>
        <w:topLinePunct w:val="0"/>
        <w:autoSpaceDE/>
        <w:autoSpaceDN/>
        <w:bidi w:val="0"/>
        <w:adjustRightInd/>
        <w:spacing w:line="40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（5）质保期：</w:t>
      </w:r>
      <w:r>
        <w:rPr>
          <w:rFonts w:hint="eastAsia" w:ascii="宋体" w:hAnsi="宋体" w:cs="宋体"/>
          <w:color w:val="auto"/>
          <w:sz w:val="24"/>
          <w:szCs w:val="24"/>
          <w:lang w:val="en-US" w:eastAsia="zh-CN"/>
        </w:rPr>
        <w:t>一</w:t>
      </w:r>
      <w:r>
        <w:rPr>
          <w:rFonts w:hint="eastAsia" w:ascii="宋体" w:hAnsi="宋体" w:cs="宋体"/>
          <w:color w:val="auto"/>
          <w:sz w:val="24"/>
          <w:szCs w:val="24"/>
          <w:lang w:eastAsia="zh-CN"/>
        </w:rPr>
        <w:t>年（通过采购人验收合格之日起开始计算）</w:t>
      </w:r>
      <w:r>
        <w:rPr>
          <w:rFonts w:hint="eastAsia" w:ascii="宋体" w:hAnsi="宋体" w:cs="宋体"/>
          <w:color w:val="auto"/>
          <w:sz w:val="24"/>
          <w:szCs w:val="24"/>
        </w:rPr>
        <w:t>；</w:t>
      </w:r>
    </w:p>
    <w:p w14:paraId="35DE2EB1">
      <w:pPr>
        <w:keepNext w:val="0"/>
        <w:keepLines w:val="0"/>
        <w:pageBreakBefore w:val="0"/>
        <w:kinsoku/>
        <w:wordWrap/>
        <w:overflowPunct/>
        <w:topLinePunct w:val="0"/>
        <w:autoSpaceDE/>
        <w:autoSpaceDN/>
        <w:bidi w:val="0"/>
        <w:adjustRightInd/>
        <w:spacing w:line="40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（6）验收标准：满足国家、行业及采购人验收标准</w:t>
      </w:r>
      <w:r>
        <w:rPr>
          <w:rFonts w:hint="eastAsia" w:ascii="宋体" w:hAnsi="宋体" w:cs="宋体"/>
          <w:sz w:val="24"/>
          <w:szCs w:val="24"/>
          <w:lang w:eastAsia="zh-CN"/>
        </w:rPr>
        <w:t>；</w:t>
      </w:r>
    </w:p>
    <w:p w14:paraId="6F9ED559">
      <w:pPr>
        <w:keepNext w:val="0"/>
        <w:keepLines w:val="0"/>
        <w:pageBreakBefore w:val="0"/>
        <w:tabs>
          <w:tab w:val="left" w:pos="7310"/>
        </w:tabs>
        <w:kinsoku/>
        <w:wordWrap/>
        <w:overflowPunct/>
        <w:topLinePunct w:val="0"/>
        <w:autoSpaceDE/>
        <w:autoSpaceDN/>
        <w:bidi w:val="0"/>
        <w:adjustRightInd/>
        <w:spacing w:line="400" w:lineRule="exact"/>
        <w:ind w:firstLine="480" w:firstLineChars="200"/>
        <w:textAlignment w:val="auto"/>
        <w:rPr>
          <w:rFonts w:hint="default" w:ascii="宋体" w:hAnsi="宋体" w:cs="宋体"/>
          <w:sz w:val="24"/>
          <w:szCs w:val="24"/>
          <w:u w:val="single"/>
          <w:lang w:val="en-US"/>
        </w:rPr>
      </w:pPr>
      <w:r>
        <w:rPr>
          <w:rFonts w:hint="eastAsia" w:ascii="宋体" w:hAnsi="宋体" w:cs="宋体"/>
          <w:sz w:val="24"/>
          <w:szCs w:val="24"/>
        </w:rPr>
        <w:t>6</w:t>
      </w:r>
      <w:r>
        <w:rPr>
          <w:rFonts w:hint="eastAsia" w:ascii="宋体" w:hAnsi="宋体" w:cs="宋体"/>
          <w:sz w:val="24"/>
          <w:szCs w:val="24"/>
          <w:lang w:eastAsia="zh-CN"/>
        </w:rPr>
        <w:t>.</w:t>
      </w:r>
      <w:r>
        <w:rPr>
          <w:rFonts w:hint="eastAsia" w:ascii="宋体" w:hAnsi="宋体" w:cs="宋体"/>
          <w:sz w:val="24"/>
          <w:szCs w:val="24"/>
        </w:rPr>
        <w:t>合同履行期限：</w:t>
      </w:r>
      <w:r>
        <w:rPr>
          <w:rFonts w:hint="eastAsia" w:ascii="宋体" w:hAnsi="宋体" w:cs="宋体"/>
          <w:sz w:val="24"/>
          <w:szCs w:val="24"/>
          <w:lang w:val="en-US" w:eastAsia="zh-CN"/>
        </w:rPr>
        <w:t>合同生效至质保期结束</w:t>
      </w:r>
    </w:p>
    <w:p w14:paraId="010447A2">
      <w:pPr>
        <w:keepNext w:val="0"/>
        <w:keepLines w:val="0"/>
        <w:pageBreakBefore w:val="0"/>
        <w:kinsoku/>
        <w:wordWrap/>
        <w:overflowPunct/>
        <w:topLinePunct w:val="0"/>
        <w:autoSpaceDE/>
        <w:autoSpaceDN/>
        <w:bidi w:val="0"/>
        <w:adjustRightInd/>
        <w:spacing w:line="400" w:lineRule="exact"/>
        <w:ind w:firstLine="480" w:firstLineChars="200"/>
        <w:textAlignment w:val="auto"/>
        <w:rPr>
          <w:rFonts w:hint="eastAsia" w:ascii="宋体" w:hAnsi="宋体" w:cs="宋体"/>
          <w:sz w:val="24"/>
          <w:szCs w:val="24"/>
        </w:rPr>
      </w:pPr>
      <w:r>
        <w:rPr>
          <w:rFonts w:hint="eastAsia" w:ascii="宋体" w:hAnsi="宋体" w:cs="宋体"/>
          <w:sz w:val="24"/>
          <w:szCs w:val="24"/>
        </w:rPr>
        <w:t>7</w:t>
      </w:r>
      <w:r>
        <w:rPr>
          <w:rFonts w:hint="eastAsia" w:ascii="宋体" w:hAnsi="宋体" w:cs="宋体"/>
          <w:sz w:val="24"/>
          <w:szCs w:val="24"/>
          <w:lang w:eastAsia="zh-CN"/>
        </w:rPr>
        <w:t>.</w:t>
      </w:r>
      <w:r>
        <w:rPr>
          <w:rFonts w:hint="eastAsia" w:ascii="宋体" w:hAnsi="宋体" w:cs="宋体"/>
          <w:sz w:val="24"/>
          <w:szCs w:val="24"/>
        </w:rPr>
        <w:t>本项目是否接受联合体投标：否</w:t>
      </w:r>
    </w:p>
    <w:p w14:paraId="4B0067F0">
      <w:pPr>
        <w:keepNext w:val="0"/>
        <w:keepLines w:val="0"/>
        <w:pageBreakBefore w:val="0"/>
        <w:kinsoku/>
        <w:wordWrap/>
        <w:overflowPunct/>
        <w:topLinePunct w:val="0"/>
        <w:autoSpaceDE/>
        <w:autoSpaceDN/>
        <w:bidi w:val="0"/>
        <w:adjustRightInd/>
        <w:spacing w:line="400" w:lineRule="exact"/>
        <w:ind w:firstLine="480" w:firstLineChars="200"/>
        <w:textAlignment w:val="auto"/>
        <w:rPr>
          <w:rFonts w:hint="eastAsia" w:ascii="宋体" w:hAnsi="宋体" w:cs="宋体"/>
          <w:sz w:val="24"/>
          <w:szCs w:val="24"/>
          <w:lang w:eastAsia="zh-CN"/>
        </w:rPr>
      </w:pPr>
      <w:r>
        <w:rPr>
          <w:rFonts w:hint="eastAsia" w:ascii="宋体" w:hAnsi="宋体" w:cs="宋体"/>
          <w:sz w:val="24"/>
          <w:szCs w:val="24"/>
        </w:rPr>
        <w:t>8</w:t>
      </w:r>
      <w:r>
        <w:rPr>
          <w:rFonts w:hint="eastAsia" w:ascii="宋体" w:hAnsi="宋体" w:cs="宋体"/>
          <w:sz w:val="24"/>
          <w:szCs w:val="24"/>
          <w:lang w:eastAsia="zh-CN"/>
        </w:rPr>
        <w:t>.</w:t>
      </w:r>
      <w:r>
        <w:rPr>
          <w:rFonts w:hint="eastAsia" w:ascii="宋体" w:hAnsi="宋体" w:cs="宋体"/>
          <w:sz w:val="24"/>
          <w:szCs w:val="24"/>
        </w:rPr>
        <w:t>是否接受进口产</w:t>
      </w:r>
      <w:r>
        <w:rPr>
          <w:rFonts w:hint="eastAsia" w:ascii="宋体" w:hAnsi="宋体" w:cs="宋体"/>
          <w:color w:val="auto"/>
          <w:sz w:val="24"/>
          <w:szCs w:val="24"/>
        </w:rPr>
        <w:t>品：</w:t>
      </w:r>
      <w:r>
        <w:rPr>
          <w:rFonts w:hint="eastAsia" w:ascii="宋体" w:hAnsi="宋体" w:cs="宋体"/>
          <w:color w:val="auto"/>
          <w:sz w:val="24"/>
          <w:szCs w:val="24"/>
          <w:lang w:val="en-US" w:eastAsia="zh-CN"/>
        </w:rPr>
        <w:t>否</w:t>
      </w:r>
    </w:p>
    <w:p w14:paraId="18051F24">
      <w:pPr>
        <w:keepNext w:val="0"/>
        <w:keepLines w:val="0"/>
        <w:pageBreakBefore w:val="0"/>
        <w:kinsoku/>
        <w:wordWrap/>
        <w:overflowPunct/>
        <w:topLinePunct w:val="0"/>
        <w:autoSpaceDE/>
        <w:autoSpaceDN/>
        <w:bidi w:val="0"/>
        <w:adjustRightInd/>
        <w:spacing w:line="400" w:lineRule="exact"/>
        <w:ind w:firstLine="480" w:firstLineChars="200"/>
        <w:textAlignment w:val="auto"/>
        <w:rPr>
          <w:rFonts w:hint="eastAsia" w:ascii="宋体" w:hAnsi="宋体" w:eastAsia="宋体" w:cs="宋体"/>
          <w:sz w:val="24"/>
          <w:szCs w:val="24"/>
          <w:lang w:val="en-US" w:eastAsia="zh-CN"/>
        </w:rPr>
      </w:pPr>
      <w:r>
        <w:rPr>
          <w:rFonts w:hint="eastAsia" w:ascii="宋体" w:hAnsi="宋体" w:cs="宋体"/>
          <w:sz w:val="24"/>
          <w:szCs w:val="24"/>
          <w:lang w:eastAsia="zh-CN"/>
        </w:rPr>
        <w:t>9.是否专门面向中小企业：是</w:t>
      </w:r>
    </w:p>
    <w:p w14:paraId="496CFA6E">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cs="宋体"/>
          <w:b/>
          <w:bCs/>
          <w:sz w:val="24"/>
          <w:szCs w:val="24"/>
        </w:rPr>
      </w:pPr>
      <w:r>
        <w:rPr>
          <w:rFonts w:hint="eastAsia" w:ascii="宋体" w:hAnsi="宋体" w:cs="宋体"/>
          <w:b/>
          <w:bCs/>
          <w:sz w:val="24"/>
          <w:szCs w:val="24"/>
        </w:rPr>
        <w:t>二、申请人的资格要求</w:t>
      </w:r>
      <w:bookmarkEnd w:id="6"/>
      <w:bookmarkEnd w:id="7"/>
      <w:bookmarkEnd w:id="8"/>
      <w:bookmarkEnd w:id="9"/>
    </w:p>
    <w:p w14:paraId="287AD8A1">
      <w:pPr>
        <w:keepNext w:val="0"/>
        <w:keepLines w:val="0"/>
        <w:pageBreakBefore w:val="0"/>
        <w:kinsoku/>
        <w:wordWrap/>
        <w:overflowPunct/>
        <w:topLinePunct w:val="0"/>
        <w:autoSpaceDE/>
        <w:autoSpaceDN/>
        <w:bidi w:val="0"/>
        <w:adjustRightInd/>
        <w:spacing w:line="400" w:lineRule="exact"/>
        <w:ind w:firstLine="480" w:firstLineChars="200"/>
        <w:textAlignment w:val="auto"/>
        <w:rPr>
          <w:rFonts w:hint="eastAsia" w:ascii="宋体" w:hAnsi="宋体" w:cs="宋体"/>
          <w:sz w:val="24"/>
          <w:szCs w:val="24"/>
        </w:rPr>
      </w:pPr>
      <w:bookmarkStart w:id="10" w:name="_Hlk56430314"/>
      <w:bookmarkStart w:id="11" w:name="_Toc35393792"/>
      <w:bookmarkStart w:id="12" w:name="_Toc35393623"/>
      <w:bookmarkStart w:id="13" w:name="_Toc28359081"/>
      <w:bookmarkStart w:id="14" w:name="_Toc28359004"/>
      <w:r>
        <w:rPr>
          <w:rFonts w:hint="eastAsia" w:ascii="宋体" w:hAnsi="宋体" w:cs="宋体"/>
          <w:sz w:val="24"/>
          <w:szCs w:val="24"/>
        </w:rPr>
        <w:t>1</w:t>
      </w:r>
      <w:r>
        <w:rPr>
          <w:rFonts w:hint="eastAsia" w:ascii="宋体" w:hAnsi="宋体" w:cs="宋体"/>
          <w:sz w:val="24"/>
          <w:szCs w:val="24"/>
          <w:lang w:eastAsia="zh-CN"/>
        </w:rPr>
        <w:t>.</w:t>
      </w:r>
      <w:r>
        <w:rPr>
          <w:rFonts w:hint="eastAsia" w:ascii="宋体" w:hAnsi="宋体" w:cs="宋体"/>
          <w:sz w:val="24"/>
          <w:szCs w:val="24"/>
        </w:rPr>
        <w:t>满足《中华人民共和国政府采购法》第二十二条规定。</w:t>
      </w:r>
    </w:p>
    <w:p w14:paraId="0F04C178">
      <w:pPr>
        <w:keepNext w:val="0"/>
        <w:keepLines w:val="0"/>
        <w:pageBreakBefore w:val="0"/>
        <w:kinsoku/>
        <w:wordWrap/>
        <w:overflowPunct/>
        <w:topLinePunct w:val="0"/>
        <w:autoSpaceDE/>
        <w:autoSpaceDN/>
        <w:bidi w:val="0"/>
        <w:adjustRightInd/>
        <w:spacing w:line="400" w:lineRule="exact"/>
        <w:ind w:firstLine="480" w:firstLineChars="200"/>
        <w:textAlignment w:val="auto"/>
        <w:rPr>
          <w:rFonts w:hint="eastAsia" w:ascii="宋体" w:hAnsi="宋体" w:cs="宋体"/>
          <w:sz w:val="24"/>
          <w:szCs w:val="24"/>
        </w:rPr>
      </w:pPr>
      <w:r>
        <w:rPr>
          <w:rFonts w:hint="eastAsia" w:ascii="宋体" w:hAnsi="宋体" w:cs="宋体"/>
          <w:sz w:val="24"/>
          <w:szCs w:val="24"/>
        </w:rPr>
        <w:t>2</w:t>
      </w:r>
      <w:r>
        <w:rPr>
          <w:rFonts w:hint="eastAsia" w:ascii="宋体" w:hAnsi="宋体" w:cs="宋体"/>
          <w:sz w:val="24"/>
          <w:szCs w:val="24"/>
          <w:lang w:eastAsia="zh-CN"/>
        </w:rPr>
        <w:t>.</w:t>
      </w:r>
      <w:r>
        <w:rPr>
          <w:rFonts w:hint="eastAsia" w:ascii="宋体" w:hAnsi="宋体" w:cs="宋体"/>
          <w:sz w:val="24"/>
          <w:szCs w:val="24"/>
        </w:rPr>
        <w:t>落实政府采购政策需满足的资格要求：</w:t>
      </w:r>
    </w:p>
    <w:p w14:paraId="1308111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rPr>
      </w:pPr>
      <w:r>
        <w:rPr>
          <w:rFonts w:hint="eastAsia" w:ascii="宋体" w:hAnsi="宋体" w:cs="宋体"/>
          <w:sz w:val="24"/>
          <w:szCs w:val="24"/>
        </w:rPr>
        <w:t>本项目</w:t>
      </w:r>
      <w:r>
        <w:rPr>
          <w:rFonts w:hint="eastAsia" w:ascii="宋体" w:hAnsi="宋体" w:cs="宋体"/>
          <w:sz w:val="24"/>
          <w:szCs w:val="24"/>
          <w:lang w:eastAsia="zh-CN"/>
        </w:rPr>
        <w:t>专门面向中小企业采购</w:t>
      </w:r>
      <w:r>
        <w:rPr>
          <w:rFonts w:ascii="SourceHanSansCN-Regular" w:hAnsi="SourceHanSansCN-Regular" w:eastAsia="SourceHanSansCN-Regular" w:cs="SourceHanSansCN-Regular"/>
          <w:color w:val="333333"/>
          <w:sz w:val="24"/>
          <w:szCs w:val="24"/>
        </w:rPr>
        <w:t>。参加本项目的中小企业须提供《中小企业声明函》（格式详见</w:t>
      </w:r>
      <w:r>
        <w:rPr>
          <w:rFonts w:hint="eastAsia" w:ascii="SourceHanSansCN-Regular" w:hAnsi="SourceHanSansCN-Regular" w:eastAsia="宋体" w:cs="SourceHanSansCN-Regular"/>
          <w:color w:val="333333"/>
          <w:sz w:val="24"/>
          <w:szCs w:val="24"/>
          <w:lang w:val="en-US" w:eastAsia="zh-CN"/>
        </w:rPr>
        <w:t>招标</w:t>
      </w:r>
      <w:r>
        <w:rPr>
          <w:rFonts w:ascii="SourceHanSansCN-Regular" w:hAnsi="SourceHanSansCN-Regular" w:eastAsia="SourceHanSansCN-Regular" w:cs="SourceHanSansCN-Regular"/>
          <w:color w:val="333333"/>
          <w:sz w:val="24"/>
          <w:szCs w:val="24"/>
        </w:rPr>
        <w:t>文件内《中小企业声明函》样本），不符合要求的声明函或未提供的将视为不符合资格要求。本项目落实节约能源、保护环境、扶持不发达地区和少数民族地区发展，以及促进中小微企业、监狱企业及残疾人福利性单位发展等政府采购政策。</w:t>
      </w:r>
    </w:p>
    <w:p w14:paraId="5A17164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SourceHanSansCN-Regular" w:hAnsi="SourceHanSansCN-Regular" w:eastAsia="SourceHanSansCN-Regular" w:cs="SourceHanSansCN-Regular"/>
          <w:color w:val="333333"/>
          <w:sz w:val="24"/>
          <w:szCs w:val="24"/>
        </w:rPr>
      </w:pPr>
      <w:r>
        <w:rPr>
          <w:rFonts w:hint="eastAsia" w:ascii="SourceHanSansCN-Regular" w:hAnsi="SourceHanSansCN-Regular" w:eastAsia="SourceHanSansCN-Regular" w:cs="SourceHanSansCN-Regular"/>
          <w:color w:val="333333"/>
          <w:sz w:val="24"/>
          <w:szCs w:val="24"/>
          <w:lang w:val="en-US" w:eastAsia="zh-CN"/>
        </w:rPr>
        <w:t>3.</w:t>
      </w:r>
      <w:r>
        <w:rPr>
          <w:rFonts w:hint="eastAsia" w:ascii="SourceHanSansCN-Regular" w:hAnsi="SourceHanSansCN-Regular" w:eastAsia="SourceHanSansCN-Regular" w:cs="SourceHanSansCN-Regular"/>
          <w:color w:val="333333"/>
          <w:sz w:val="24"/>
          <w:szCs w:val="24"/>
        </w:rPr>
        <w:t>本项目的特定资格要求：</w:t>
      </w:r>
    </w:p>
    <w:p w14:paraId="3332B47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SourceHanSansCN-Regular" w:hAnsi="SourceHanSansCN-Regular" w:eastAsia="SourceHanSansCN-Regular" w:cs="SourceHanSansCN-Regular"/>
          <w:color w:val="333333"/>
          <w:sz w:val="24"/>
          <w:szCs w:val="24"/>
        </w:rPr>
      </w:pPr>
      <w:r>
        <w:rPr>
          <w:rFonts w:hint="eastAsia" w:ascii="SourceHanSansCN-Regular" w:hAnsi="SourceHanSansCN-Regular" w:eastAsia="SourceHanSansCN-Regular" w:cs="SourceHanSansCN-Regular"/>
          <w:color w:val="333333"/>
          <w:sz w:val="24"/>
          <w:szCs w:val="24"/>
        </w:rPr>
        <w:t>3.1单位负责人为同一人或者存在直接控股、管理关系的不同单位，不得同时参加同一合同项下的采购活动（提供加盖供应商公章的“国家企业信用信息公示系统”中公示的公司基础信息包含股东出资信息网页截图）。</w:t>
      </w:r>
    </w:p>
    <w:p w14:paraId="5D62E57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SourceHanSansCN-Regular" w:hAnsi="SourceHanSansCN-Regular" w:eastAsia="SourceHanSansCN-Regular" w:cs="SourceHanSansCN-Regular"/>
          <w:color w:val="333333"/>
          <w:sz w:val="24"/>
          <w:szCs w:val="24"/>
        </w:rPr>
      </w:pPr>
      <w:r>
        <w:rPr>
          <w:rFonts w:hint="eastAsia" w:ascii="SourceHanSansCN-Regular" w:hAnsi="SourceHanSansCN-Regular" w:eastAsia="SourceHanSansCN-Regular" w:cs="SourceHanSansCN-Regular"/>
          <w:color w:val="333333"/>
          <w:sz w:val="24"/>
          <w:szCs w:val="24"/>
        </w:rPr>
        <w:t>3.2根据《关于在政府采购活动中查询及使用信用记录有关问题的通知》财库[2016]125号文件和豫财购【2016】15号文件的规定，供应商应提供“信用中国”网站（www.creditchina.gov.cn）查询“失信被执行人”、“重大税收违法失信主体”；中国政府采购网（www.ccgp.gov.cn）查询“政府采购严重违法失信行为记录名单”渠道查询自身信用记录，提供查询网页截图，查询截止时点为：从公告发布之日起至投标截止之日止。</w:t>
      </w:r>
    </w:p>
    <w:bookmarkEnd w:id="10"/>
    <w:p w14:paraId="3E22DCDD">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cs="宋体"/>
          <w:b/>
          <w:bCs/>
          <w:sz w:val="24"/>
          <w:szCs w:val="24"/>
        </w:rPr>
      </w:pPr>
      <w:r>
        <w:rPr>
          <w:rFonts w:hint="eastAsia" w:ascii="宋体" w:hAnsi="宋体" w:cs="宋体"/>
          <w:b/>
          <w:bCs/>
          <w:sz w:val="24"/>
          <w:szCs w:val="24"/>
        </w:rPr>
        <w:t>三、获取招标文件</w:t>
      </w:r>
      <w:bookmarkEnd w:id="11"/>
      <w:bookmarkEnd w:id="12"/>
    </w:p>
    <w:p w14:paraId="4D1106F9">
      <w:pPr>
        <w:keepNext w:val="0"/>
        <w:keepLines w:val="0"/>
        <w:pageBreakBefore w:val="0"/>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sz w:val="24"/>
          <w:szCs w:val="24"/>
        </w:rPr>
      </w:pPr>
      <w:bookmarkStart w:id="15" w:name="_Hlk86913933"/>
      <w:r>
        <w:rPr>
          <w:rFonts w:hint="eastAsia" w:ascii="宋体" w:hAnsi="宋体" w:eastAsia="宋体" w:cs="宋体"/>
          <w:sz w:val="24"/>
          <w:szCs w:val="24"/>
        </w:rPr>
        <w:t>1</w:t>
      </w:r>
      <w:r>
        <w:rPr>
          <w:rFonts w:hint="eastAsia" w:ascii="宋体" w:hAnsi="宋体" w:eastAsia="宋体" w:cs="宋体"/>
          <w:sz w:val="24"/>
          <w:szCs w:val="24"/>
          <w:lang w:eastAsia="zh-CN"/>
        </w:rPr>
        <w:t>.</w:t>
      </w:r>
      <w:r>
        <w:rPr>
          <w:rFonts w:hint="eastAsia" w:ascii="宋体" w:hAnsi="宋体" w:eastAsia="宋体" w:cs="宋体"/>
          <w:sz w:val="24"/>
          <w:szCs w:val="24"/>
        </w:rPr>
        <w:t>时间：</w:t>
      </w:r>
      <w:r>
        <w:rPr>
          <w:rFonts w:hint="eastAsia" w:ascii="宋体" w:hAnsi="宋体" w:eastAsia="宋体" w:cs="宋体"/>
          <w:color w:val="auto"/>
          <w:sz w:val="24"/>
          <w:szCs w:val="24"/>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09</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 xml:space="preserve"> 21  </w:t>
      </w:r>
      <w:r>
        <w:rPr>
          <w:rFonts w:hint="eastAsia" w:ascii="宋体" w:hAnsi="宋体" w:eastAsia="宋体" w:cs="宋体"/>
          <w:color w:val="auto"/>
          <w:sz w:val="24"/>
          <w:szCs w:val="24"/>
        </w:rPr>
        <w:t>日至202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09</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 xml:space="preserve"> 28 </w:t>
      </w:r>
      <w:r>
        <w:rPr>
          <w:rFonts w:hint="eastAsia" w:ascii="宋体" w:hAnsi="宋体" w:eastAsia="宋体" w:cs="宋体"/>
          <w:color w:val="auto"/>
          <w:sz w:val="24"/>
          <w:szCs w:val="24"/>
        </w:rPr>
        <w:t>日，每</w:t>
      </w:r>
      <w:r>
        <w:rPr>
          <w:rFonts w:hint="eastAsia" w:ascii="宋体" w:hAnsi="宋体" w:eastAsia="宋体" w:cs="宋体"/>
          <w:sz w:val="24"/>
          <w:szCs w:val="24"/>
        </w:rPr>
        <w:t>天上午00:00至12:00，下午12:00至23:59</w:t>
      </w:r>
      <w:r>
        <w:rPr>
          <w:rFonts w:hint="eastAsia" w:ascii="宋体" w:hAnsi="宋体" w:eastAsia="宋体" w:cs="宋体"/>
          <w:color w:val="auto"/>
          <w:sz w:val="24"/>
          <w:szCs w:val="24"/>
        </w:rPr>
        <w:t>（北京时间）</w:t>
      </w:r>
      <w:r>
        <w:rPr>
          <w:rFonts w:hint="eastAsia" w:ascii="宋体" w:hAnsi="宋体" w:eastAsia="宋体" w:cs="宋体"/>
          <w:sz w:val="24"/>
          <w:szCs w:val="24"/>
        </w:rPr>
        <w:t>。</w:t>
      </w:r>
    </w:p>
    <w:p w14:paraId="7C45A60B">
      <w:pPr>
        <w:keepNext w:val="0"/>
        <w:keepLines w:val="0"/>
        <w:pageBreakBefore w:val="0"/>
        <w:widowControl w:val="0"/>
        <w:kinsoku/>
        <w:wordWrap w:val="0"/>
        <w:overflowPunct/>
        <w:topLinePunct w:val="0"/>
        <w:autoSpaceDE/>
        <w:autoSpaceDN/>
        <w:bidi w:val="0"/>
        <w:adjustRightInd/>
        <w:snapToGrid/>
        <w:spacing w:line="400" w:lineRule="exact"/>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eastAsia="zh-CN"/>
        </w:rPr>
        <w:t>.</w:t>
      </w:r>
      <w:r>
        <w:rPr>
          <w:rFonts w:hint="eastAsia" w:ascii="宋体" w:hAnsi="宋体" w:eastAsia="宋体" w:cs="宋体"/>
          <w:sz w:val="24"/>
          <w:szCs w:val="24"/>
        </w:rPr>
        <w:t>地点：</w:t>
      </w:r>
      <w:r>
        <w:rPr>
          <w:rFonts w:hint="eastAsia" w:ascii="宋体" w:hAnsi="宋体" w:eastAsia="宋体" w:cs="宋体"/>
          <w:sz w:val="24"/>
          <w:szCs w:val="24"/>
          <w:lang w:eastAsia="zh-CN"/>
        </w:rPr>
        <w:t>登录“全国公共资源交易平台（河南省·信阳市）（https://ggzyjy.xinyang.gov.cn/）”网站，凭办理的企业身份认证锁（CA数字证书）登录会员系统获取招标文件</w:t>
      </w:r>
      <w:r>
        <w:rPr>
          <w:rFonts w:hint="eastAsia" w:ascii="宋体" w:hAnsi="宋体" w:eastAsia="宋体" w:cs="宋体"/>
          <w:sz w:val="24"/>
          <w:szCs w:val="24"/>
        </w:rPr>
        <w:t>。</w:t>
      </w:r>
    </w:p>
    <w:p w14:paraId="0BDB165A">
      <w:pPr>
        <w:keepNext w:val="0"/>
        <w:keepLines w:val="0"/>
        <w:pageBreakBefore w:val="0"/>
        <w:widowControl/>
        <w:kinsoku/>
        <w:wordWrap w:val="0"/>
        <w:overflowPunct/>
        <w:topLinePunct w:val="0"/>
        <w:autoSpaceDE/>
        <w:autoSpaceDN/>
        <w:bidi w:val="0"/>
        <w:adjustRightInd/>
        <w:snapToGrid/>
        <w:spacing w:line="400" w:lineRule="exact"/>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eastAsia="zh-CN"/>
        </w:rPr>
        <w:t>.</w:t>
      </w:r>
      <w:r>
        <w:rPr>
          <w:rFonts w:hint="eastAsia" w:ascii="宋体" w:hAnsi="宋体" w:eastAsia="宋体" w:cs="宋体"/>
          <w:sz w:val="24"/>
          <w:szCs w:val="24"/>
        </w:rPr>
        <w:t>方式：</w:t>
      </w:r>
    </w:p>
    <w:p w14:paraId="6EE30F3A">
      <w:pPr>
        <w:keepNext w:val="0"/>
        <w:keepLines w:val="0"/>
        <w:pageBreakBefore w:val="0"/>
        <w:widowControl/>
        <w:kinsoku/>
        <w:wordWrap w:val="0"/>
        <w:overflowPunct/>
        <w:topLinePunct w:val="0"/>
        <w:autoSpaceDE/>
        <w:autoSpaceDN/>
        <w:bidi w:val="0"/>
        <w:adjustRightInd/>
        <w:snapToGrid/>
        <w:spacing w:line="400" w:lineRule="exact"/>
        <w:ind w:left="0" w:leftChars="0" w:firstLine="480" w:firstLineChars="200"/>
        <w:jc w:val="left"/>
        <w:textAlignment w:val="auto"/>
        <w:rPr>
          <w:rFonts w:hint="eastAsia" w:ascii="宋体" w:hAnsi="宋体" w:eastAsia="宋体" w:cs="宋体"/>
          <w:sz w:val="24"/>
          <w:szCs w:val="24"/>
        </w:rPr>
      </w:pPr>
      <w:r>
        <w:rPr>
          <w:rFonts w:hint="eastAsia" w:ascii="宋体" w:hAnsi="宋体" w:cs="宋体"/>
          <w:sz w:val="24"/>
          <w:szCs w:val="24"/>
          <w:lang w:eastAsia="zh-CN"/>
        </w:rPr>
        <w:t>（</w:t>
      </w:r>
      <w:r>
        <w:rPr>
          <w:rFonts w:hint="eastAsia" w:ascii="宋体" w:hAnsi="宋体" w:cs="宋体"/>
          <w:sz w:val="24"/>
          <w:szCs w:val="24"/>
          <w:lang w:val="en-US" w:eastAsia="zh-CN"/>
        </w:rPr>
        <w:t>1</w:t>
      </w:r>
      <w:r>
        <w:rPr>
          <w:rFonts w:hint="eastAsia" w:ascii="宋体" w:hAnsi="宋体" w:cs="宋体"/>
          <w:sz w:val="24"/>
          <w:szCs w:val="24"/>
          <w:lang w:eastAsia="zh-CN"/>
        </w:rPr>
        <w:t>）</w:t>
      </w:r>
      <w:r>
        <w:rPr>
          <w:rFonts w:hint="eastAsia" w:ascii="宋体" w:hAnsi="宋体" w:eastAsia="宋体" w:cs="宋体"/>
          <w:sz w:val="24"/>
          <w:szCs w:val="24"/>
        </w:rPr>
        <w:t>投标企业登录“全国公共资源交易平台（河南省·信阳市）（https://ggzyjy.xinyang.gov.cn/）”网站进行交易主体注册。自行选择CA数字证书服务商，线上、线下办理CA数字证书。投标人凭CA数字证书登录会员系统后下载招标文件</w:t>
      </w:r>
      <w:r>
        <w:rPr>
          <w:rFonts w:hint="eastAsia" w:ascii="宋体" w:hAnsi="宋体" w:cs="宋体"/>
          <w:sz w:val="24"/>
          <w:szCs w:val="24"/>
          <w:lang w:eastAsia="zh-CN"/>
        </w:rPr>
        <w:t>（</w:t>
      </w:r>
      <w:r>
        <w:rPr>
          <w:rFonts w:hint="eastAsia" w:ascii="宋体" w:hAnsi="宋体" w:eastAsia="宋体" w:cs="宋体"/>
          <w:sz w:val="24"/>
          <w:szCs w:val="24"/>
        </w:rPr>
        <w:t>*.XYZF格式</w:t>
      </w:r>
      <w:r>
        <w:rPr>
          <w:rFonts w:hint="eastAsia" w:ascii="宋体" w:hAnsi="宋体" w:cs="宋体"/>
          <w:sz w:val="24"/>
          <w:szCs w:val="24"/>
          <w:lang w:eastAsia="zh-CN"/>
        </w:rPr>
        <w:t>）</w:t>
      </w:r>
      <w:r>
        <w:rPr>
          <w:rFonts w:hint="eastAsia" w:ascii="宋体" w:hAnsi="宋体" w:eastAsia="宋体" w:cs="宋体"/>
          <w:sz w:val="24"/>
          <w:szCs w:val="24"/>
        </w:rPr>
        <w:t>，下载后需使用“信阳市投标文件制作工具软件”打开。</w:t>
      </w:r>
    </w:p>
    <w:p w14:paraId="3138E957">
      <w:pPr>
        <w:keepNext w:val="0"/>
        <w:keepLines w:val="0"/>
        <w:pageBreakBefore w:val="0"/>
        <w:widowControl/>
        <w:kinsoku/>
        <w:wordWrap w:val="0"/>
        <w:overflowPunct/>
        <w:topLinePunct w:val="0"/>
        <w:autoSpaceDE/>
        <w:autoSpaceDN/>
        <w:bidi w:val="0"/>
        <w:adjustRightInd/>
        <w:snapToGrid/>
        <w:spacing w:line="400" w:lineRule="exact"/>
        <w:ind w:left="0" w:leftChars="0" w:firstLine="480" w:firstLineChars="200"/>
        <w:jc w:val="left"/>
        <w:textAlignment w:val="auto"/>
        <w:rPr>
          <w:rFonts w:hint="eastAsia" w:ascii="宋体" w:hAnsi="宋体" w:eastAsia="宋体" w:cs="宋体"/>
          <w:sz w:val="24"/>
          <w:szCs w:val="24"/>
          <w:lang w:eastAsia="zh-CN"/>
        </w:rPr>
      </w:pPr>
      <w:r>
        <w:rPr>
          <w:rFonts w:hint="eastAsia" w:ascii="宋体" w:hAnsi="宋体" w:cs="宋体"/>
          <w:sz w:val="24"/>
          <w:szCs w:val="24"/>
          <w:lang w:eastAsia="zh-CN"/>
        </w:rPr>
        <w:t>（</w:t>
      </w:r>
      <w:r>
        <w:rPr>
          <w:rFonts w:hint="eastAsia" w:ascii="宋体" w:hAnsi="宋体" w:cs="宋体"/>
          <w:sz w:val="24"/>
          <w:szCs w:val="24"/>
          <w:lang w:val="en-US" w:eastAsia="zh-CN"/>
        </w:rPr>
        <w:t>2</w:t>
      </w:r>
      <w:r>
        <w:rPr>
          <w:rFonts w:hint="eastAsia" w:ascii="宋体" w:hAnsi="宋体" w:cs="宋体"/>
          <w:sz w:val="24"/>
          <w:szCs w:val="24"/>
          <w:lang w:eastAsia="zh-CN"/>
        </w:rPr>
        <w:t>）</w:t>
      </w:r>
      <w:r>
        <w:rPr>
          <w:rFonts w:hint="eastAsia" w:ascii="宋体" w:hAnsi="宋体" w:eastAsia="宋体" w:cs="宋体"/>
          <w:sz w:val="24"/>
          <w:szCs w:val="24"/>
        </w:rPr>
        <w:t>请投标人下载招标文件后及时关注系统业务菜单是否有新的答疑澄清文件或控制价文件。如有请直接下载，不再另行通知。</w:t>
      </w:r>
    </w:p>
    <w:p w14:paraId="0B29C17C">
      <w:pPr>
        <w:keepNext w:val="0"/>
        <w:keepLines w:val="0"/>
        <w:pageBreakBefore w:val="0"/>
        <w:widowControl/>
        <w:kinsoku/>
        <w:wordWrap/>
        <w:overflowPunct/>
        <w:topLinePunct w:val="0"/>
        <w:autoSpaceDE/>
        <w:autoSpaceDN/>
        <w:bidi w:val="0"/>
        <w:adjustRightInd/>
        <w:snapToGrid/>
        <w:spacing w:line="400" w:lineRule="exact"/>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eastAsia="宋体" w:cs="宋体"/>
          <w:sz w:val="24"/>
          <w:szCs w:val="24"/>
          <w:lang w:eastAsia="zh-CN"/>
        </w:rPr>
        <w:t>.</w:t>
      </w:r>
      <w:r>
        <w:rPr>
          <w:rFonts w:hint="eastAsia" w:ascii="宋体" w:hAnsi="宋体" w:eastAsia="宋体" w:cs="宋体"/>
          <w:sz w:val="24"/>
          <w:szCs w:val="24"/>
        </w:rPr>
        <w:t>售价：0元。</w:t>
      </w:r>
      <w:bookmarkEnd w:id="15"/>
    </w:p>
    <w:p w14:paraId="68797413">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cs="宋体"/>
          <w:b/>
          <w:bCs/>
          <w:sz w:val="24"/>
          <w:szCs w:val="24"/>
        </w:rPr>
      </w:pPr>
      <w:r>
        <w:rPr>
          <w:rFonts w:hint="eastAsia" w:ascii="宋体" w:hAnsi="宋体" w:cs="宋体"/>
          <w:b/>
          <w:bCs/>
          <w:sz w:val="24"/>
          <w:szCs w:val="24"/>
        </w:rPr>
        <w:t>四、投标截止时间及地点</w:t>
      </w:r>
    </w:p>
    <w:bookmarkEnd w:id="13"/>
    <w:bookmarkEnd w:id="14"/>
    <w:p w14:paraId="27AAB983">
      <w:pPr>
        <w:keepNext w:val="0"/>
        <w:keepLines w:val="0"/>
        <w:pageBreakBefore w:val="0"/>
        <w:widowControl/>
        <w:kinsoku/>
        <w:wordWrap/>
        <w:overflowPunct/>
        <w:topLinePunct w:val="0"/>
        <w:autoSpaceDE/>
        <w:autoSpaceDN/>
        <w:bidi w:val="0"/>
        <w:adjustRightInd/>
        <w:snapToGrid/>
        <w:spacing w:line="400" w:lineRule="exact"/>
        <w:ind w:left="0" w:leftChars="0" w:firstLine="480" w:firstLineChars="200"/>
        <w:jc w:val="left"/>
        <w:textAlignment w:val="auto"/>
        <w:rPr>
          <w:rFonts w:hint="eastAsia" w:ascii="宋体" w:hAnsi="宋体" w:eastAsia="宋体" w:cs="宋体"/>
          <w:color w:val="auto"/>
          <w:sz w:val="24"/>
          <w:szCs w:val="24"/>
          <w:lang w:eastAsia="zh-CN"/>
        </w:rPr>
      </w:pPr>
      <w:r>
        <w:rPr>
          <w:rFonts w:hint="eastAsia" w:ascii="宋体" w:hAnsi="宋体" w:eastAsia="宋体" w:cs="宋体"/>
          <w:sz w:val="24"/>
          <w:szCs w:val="24"/>
        </w:rPr>
        <w:t>1</w:t>
      </w:r>
      <w:r>
        <w:rPr>
          <w:rFonts w:hint="eastAsia" w:ascii="宋体" w:hAnsi="宋体" w:eastAsia="宋体" w:cs="宋体"/>
          <w:sz w:val="24"/>
          <w:szCs w:val="24"/>
          <w:lang w:eastAsia="zh-CN"/>
        </w:rPr>
        <w:t>.</w:t>
      </w:r>
      <w:r>
        <w:rPr>
          <w:rFonts w:hint="eastAsia" w:ascii="宋体" w:hAnsi="宋体" w:eastAsia="宋体" w:cs="宋体"/>
          <w:sz w:val="24"/>
          <w:szCs w:val="24"/>
        </w:rPr>
        <w:t>时间：</w:t>
      </w:r>
      <w:r>
        <w:rPr>
          <w:rFonts w:hint="eastAsia" w:ascii="宋体" w:hAnsi="宋体" w:eastAsia="宋体" w:cs="宋体"/>
          <w:color w:val="auto"/>
          <w:sz w:val="24"/>
          <w:szCs w:val="24"/>
          <w:u w:val="single"/>
          <w:shd w:val="clear"/>
        </w:rPr>
        <w:t>202</w:t>
      </w:r>
      <w:r>
        <w:rPr>
          <w:rFonts w:hint="eastAsia" w:ascii="宋体" w:hAnsi="宋体" w:eastAsia="宋体" w:cs="宋体"/>
          <w:color w:val="auto"/>
          <w:sz w:val="24"/>
          <w:szCs w:val="24"/>
          <w:u w:val="single"/>
          <w:shd w:val="clear"/>
          <w:lang w:val="en-US" w:eastAsia="zh-CN"/>
        </w:rPr>
        <w:t>6</w:t>
      </w:r>
      <w:r>
        <w:rPr>
          <w:rFonts w:hint="eastAsia" w:ascii="宋体" w:hAnsi="宋体" w:eastAsia="宋体" w:cs="宋体"/>
          <w:color w:val="auto"/>
          <w:sz w:val="24"/>
          <w:szCs w:val="24"/>
          <w:u w:val="single"/>
          <w:shd w:val="clear"/>
        </w:rPr>
        <w:t>年</w:t>
      </w:r>
      <w:r>
        <w:rPr>
          <w:rFonts w:hint="eastAsia" w:ascii="宋体" w:hAnsi="宋体" w:cs="宋体"/>
          <w:color w:val="auto"/>
          <w:sz w:val="24"/>
          <w:szCs w:val="24"/>
          <w:u w:val="single"/>
          <w:shd w:val="clear"/>
          <w:lang w:val="en-US" w:eastAsia="zh-CN"/>
        </w:rPr>
        <w:t xml:space="preserve"> 10 </w:t>
      </w:r>
      <w:r>
        <w:rPr>
          <w:rFonts w:hint="eastAsia" w:ascii="宋体" w:hAnsi="宋体" w:eastAsia="宋体" w:cs="宋体"/>
          <w:color w:val="auto"/>
          <w:sz w:val="24"/>
          <w:szCs w:val="24"/>
          <w:u w:val="single"/>
          <w:shd w:val="clear"/>
        </w:rPr>
        <w:t>月</w:t>
      </w:r>
      <w:r>
        <w:rPr>
          <w:rFonts w:hint="eastAsia" w:ascii="宋体" w:hAnsi="宋体" w:cs="宋体"/>
          <w:color w:val="auto"/>
          <w:sz w:val="24"/>
          <w:szCs w:val="24"/>
          <w:u w:val="single"/>
          <w:shd w:val="clear"/>
          <w:lang w:val="en-US" w:eastAsia="zh-CN"/>
        </w:rPr>
        <w:t xml:space="preserve">12 </w:t>
      </w:r>
      <w:r>
        <w:rPr>
          <w:rFonts w:hint="eastAsia" w:ascii="宋体" w:hAnsi="宋体" w:eastAsia="宋体" w:cs="宋体"/>
          <w:color w:val="auto"/>
          <w:sz w:val="24"/>
          <w:szCs w:val="24"/>
          <w:u w:val="single"/>
          <w:shd w:val="clear"/>
        </w:rPr>
        <w:t>日09时</w:t>
      </w:r>
      <w:r>
        <w:rPr>
          <w:rFonts w:hint="eastAsia" w:ascii="宋体" w:hAnsi="宋体" w:eastAsia="宋体" w:cs="宋体"/>
          <w:color w:val="auto"/>
          <w:sz w:val="24"/>
          <w:szCs w:val="24"/>
          <w:u w:val="single"/>
          <w:shd w:val="clear"/>
          <w:lang w:val="en-US" w:eastAsia="zh-CN"/>
        </w:rPr>
        <w:t>00</w:t>
      </w:r>
      <w:r>
        <w:rPr>
          <w:rFonts w:hint="eastAsia" w:ascii="宋体" w:hAnsi="宋体" w:eastAsia="宋体" w:cs="宋体"/>
          <w:color w:val="auto"/>
          <w:sz w:val="24"/>
          <w:szCs w:val="24"/>
          <w:u w:val="single"/>
          <w:shd w:val="clear"/>
        </w:rPr>
        <w:t>分</w:t>
      </w:r>
      <w:r>
        <w:rPr>
          <w:rFonts w:hint="eastAsia" w:ascii="宋体" w:hAnsi="宋体" w:eastAsia="宋体" w:cs="宋体"/>
          <w:color w:val="auto"/>
          <w:sz w:val="24"/>
          <w:szCs w:val="24"/>
        </w:rPr>
        <w:t>（北京时间）</w:t>
      </w:r>
      <w:r>
        <w:rPr>
          <w:rFonts w:hint="eastAsia" w:ascii="宋体" w:hAnsi="宋体" w:eastAsia="宋体" w:cs="宋体"/>
          <w:color w:val="000000"/>
          <w:sz w:val="24"/>
          <w:szCs w:val="24"/>
          <w:lang w:eastAsia="zh-CN"/>
        </w:rPr>
        <w:t>；</w:t>
      </w:r>
    </w:p>
    <w:p w14:paraId="3F0E962E">
      <w:pPr>
        <w:keepNext w:val="0"/>
        <w:keepLines w:val="0"/>
        <w:pageBreakBefore w:val="0"/>
        <w:widowControl/>
        <w:kinsoku/>
        <w:wordWrap/>
        <w:overflowPunct/>
        <w:topLinePunct w:val="0"/>
        <w:autoSpaceDE/>
        <w:autoSpaceDN/>
        <w:bidi w:val="0"/>
        <w:adjustRightInd/>
        <w:snapToGrid/>
        <w:spacing w:line="400" w:lineRule="exact"/>
        <w:ind w:left="0" w:leftChars="0" w:firstLine="480"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地点：本项目为不见面开标项目，投标文件递交地点为《全国公共资源交易平台（河南省·信阳市）》（https://ggzyjy.xinyang.gov.cn/）电子招投标平台会员系统指定位置。</w:t>
      </w:r>
      <w:r>
        <w:rPr>
          <w:rFonts w:hint="eastAsia" w:ascii="宋体" w:hAnsi="宋体" w:eastAsia="宋体" w:cs="宋体"/>
          <w:color w:val="auto"/>
          <w:sz w:val="24"/>
          <w:szCs w:val="24"/>
          <w:lang w:val="en-US" w:eastAsia="zh-CN"/>
        </w:rPr>
        <w:t>加密电子投标文件逾期上传采购人不予受理。</w:t>
      </w:r>
    </w:p>
    <w:p w14:paraId="213FFB46">
      <w:pPr>
        <w:keepNext w:val="0"/>
        <w:keepLines w:val="0"/>
        <w:pageBreakBefore w:val="0"/>
        <w:kinsoku/>
        <w:wordWrap/>
        <w:overflowPunct/>
        <w:topLinePunct w:val="0"/>
        <w:autoSpaceDE/>
        <w:autoSpaceDN/>
        <w:bidi w:val="0"/>
        <w:adjustRightInd/>
        <w:spacing w:line="400" w:lineRule="exact"/>
        <w:ind w:left="602" w:hanging="602" w:hangingChars="250"/>
        <w:textAlignment w:val="auto"/>
        <w:rPr>
          <w:rFonts w:hint="eastAsia" w:ascii="宋体" w:hAnsi="宋体" w:cs="宋体"/>
          <w:b/>
          <w:bCs/>
          <w:color w:val="auto"/>
          <w:sz w:val="24"/>
          <w:szCs w:val="24"/>
        </w:rPr>
      </w:pPr>
      <w:r>
        <w:rPr>
          <w:rFonts w:hint="eastAsia" w:ascii="宋体" w:hAnsi="宋体" w:cs="宋体"/>
          <w:b/>
          <w:bCs/>
          <w:color w:val="auto"/>
          <w:sz w:val="24"/>
          <w:szCs w:val="24"/>
        </w:rPr>
        <w:t>五、开标时间及地点</w:t>
      </w:r>
    </w:p>
    <w:p w14:paraId="5DFFE20B">
      <w:pPr>
        <w:keepNext w:val="0"/>
        <w:keepLines w:val="0"/>
        <w:pageBreakBefore w:val="0"/>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时间：</w:t>
      </w:r>
      <w:r>
        <w:rPr>
          <w:rFonts w:hint="eastAsia" w:ascii="宋体" w:hAnsi="宋体" w:eastAsia="宋体" w:cs="宋体"/>
          <w:color w:val="auto"/>
          <w:sz w:val="24"/>
          <w:szCs w:val="24"/>
          <w:u w:val="single"/>
          <w:shd w:val="clear"/>
        </w:rPr>
        <w:t>202</w:t>
      </w:r>
      <w:r>
        <w:rPr>
          <w:rFonts w:hint="eastAsia" w:ascii="宋体" w:hAnsi="宋体" w:eastAsia="宋体" w:cs="宋体"/>
          <w:color w:val="auto"/>
          <w:sz w:val="24"/>
          <w:szCs w:val="24"/>
          <w:u w:val="single"/>
          <w:shd w:val="clear"/>
          <w:lang w:val="en-US" w:eastAsia="zh-CN"/>
        </w:rPr>
        <w:t>6</w:t>
      </w:r>
      <w:r>
        <w:rPr>
          <w:rFonts w:hint="eastAsia" w:ascii="宋体" w:hAnsi="宋体" w:eastAsia="宋体" w:cs="宋体"/>
          <w:color w:val="auto"/>
          <w:sz w:val="24"/>
          <w:szCs w:val="24"/>
          <w:u w:val="single"/>
          <w:shd w:val="clear"/>
        </w:rPr>
        <w:t>年</w:t>
      </w:r>
      <w:r>
        <w:rPr>
          <w:rFonts w:hint="eastAsia" w:ascii="宋体" w:hAnsi="宋体" w:cs="宋体"/>
          <w:color w:val="auto"/>
          <w:sz w:val="24"/>
          <w:szCs w:val="24"/>
          <w:u w:val="single"/>
          <w:shd w:val="clear"/>
          <w:lang w:val="en-US" w:eastAsia="zh-CN"/>
        </w:rPr>
        <w:t xml:space="preserve"> 10 </w:t>
      </w:r>
      <w:r>
        <w:rPr>
          <w:rFonts w:hint="eastAsia" w:ascii="宋体" w:hAnsi="宋体" w:eastAsia="宋体" w:cs="宋体"/>
          <w:color w:val="auto"/>
          <w:sz w:val="24"/>
          <w:szCs w:val="24"/>
          <w:u w:val="single"/>
          <w:shd w:val="clear"/>
        </w:rPr>
        <w:t>月</w:t>
      </w:r>
      <w:r>
        <w:rPr>
          <w:rFonts w:hint="eastAsia" w:ascii="宋体" w:hAnsi="宋体" w:cs="宋体"/>
          <w:color w:val="auto"/>
          <w:sz w:val="24"/>
          <w:szCs w:val="24"/>
          <w:u w:val="single"/>
          <w:shd w:val="clear"/>
          <w:lang w:val="en-US" w:eastAsia="zh-CN"/>
        </w:rPr>
        <w:t xml:space="preserve"> 12 </w:t>
      </w:r>
      <w:r>
        <w:rPr>
          <w:rFonts w:hint="eastAsia" w:ascii="宋体" w:hAnsi="宋体" w:eastAsia="宋体" w:cs="宋体"/>
          <w:color w:val="auto"/>
          <w:sz w:val="24"/>
          <w:szCs w:val="24"/>
          <w:u w:val="single"/>
          <w:shd w:val="clear"/>
        </w:rPr>
        <w:t>日09时</w:t>
      </w:r>
      <w:r>
        <w:rPr>
          <w:rFonts w:hint="eastAsia" w:ascii="宋体" w:hAnsi="宋体" w:eastAsia="宋体" w:cs="宋体"/>
          <w:color w:val="auto"/>
          <w:sz w:val="24"/>
          <w:szCs w:val="24"/>
          <w:u w:val="single"/>
          <w:shd w:val="clear"/>
          <w:lang w:val="en-US" w:eastAsia="zh-CN"/>
        </w:rPr>
        <w:t>00</w:t>
      </w:r>
      <w:r>
        <w:rPr>
          <w:rFonts w:hint="eastAsia" w:ascii="宋体" w:hAnsi="宋体" w:eastAsia="宋体" w:cs="宋体"/>
          <w:color w:val="auto"/>
          <w:sz w:val="24"/>
          <w:szCs w:val="24"/>
          <w:u w:val="single"/>
          <w:shd w:val="clear"/>
        </w:rPr>
        <w:t>分</w:t>
      </w:r>
      <w:r>
        <w:rPr>
          <w:rFonts w:hint="eastAsia" w:ascii="宋体" w:hAnsi="宋体" w:eastAsia="宋体" w:cs="宋体"/>
          <w:color w:val="auto"/>
          <w:sz w:val="24"/>
          <w:szCs w:val="24"/>
        </w:rPr>
        <w:t>（北京时间）</w:t>
      </w:r>
      <w:r>
        <w:rPr>
          <w:rFonts w:hint="eastAsia" w:ascii="宋体" w:hAnsi="宋体" w:eastAsia="宋体" w:cs="宋体"/>
          <w:color w:val="auto"/>
          <w:sz w:val="24"/>
          <w:szCs w:val="24"/>
          <w:lang w:eastAsia="zh-CN"/>
        </w:rPr>
        <w:t>；</w:t>
      </w:r>
    </w:p>
    <w:p w14:paraId="69DC3CF3">
      <w:pPr>
        <w:keepNext w:val="0"/>
        <w:keepLines w:val="0"/>
        <w:pageBreakBefore w:val="0"/>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地点：信阳市公共资源交易中心AI机器人开标虚拟</w:t>
      </w:r>
      <w:r>
        <w:rPr>
          <w:rFonts w:hint="eastAsia" w:ascii="宋体" w:hAnsi="宋体" w:cs="宋体"/>
          <w:color w:val="auto"/>
          <w:sz w:val="24"/>
          <w:szCs w:val="24"/>
          <w:lang w:val="en-US" w:eastAsia="zh-CN"/>
        </w:rPr>
        <w:t xml:space="preserve"> 二 </w:t>
      </w:r>
      <w:r>
        <w:rPr>
          <w:rFonts w:hint="eastAsia" w:ascii="宋体" w:hAnsi="宋体" w:eastAsia="宋体" w:cs="宋体"/>
          <w:color w:val="auto"/>
          <w:sz w:val="24"/>
          <w:szCs w:val="24"/>
        </w:rPr>
        <w:t>厅。</w:t>
      </w:r>
    </w:p>
    <w:p w14:paraId="19855DA6">
      <w:pPr>
        <w:keepNext w:val="0"/>
        <w:keepLines w:val="0"/>
        <w:pageBreakBefore w:val="0"/>
        <w:kinsoku/>
        <w:wordWrap/>
        <w:overflowPunct/>
        <w:topLinePunct w:val="0"/>
        <w:autoSpaceDE/>
        <w:autoSpaceDN/>
        <w:bidi w:val="0"/>
        <w:adjustRightInd/>
        <w:spacing w:line="400" w:lineRule="exact"/>
        <w:jc w:val="left"/>
        <w:textAlignment w:val="auto"/>
        <w:rPr>
          <w:rFonts w:hint="eastAsia" w:ascii="宋体" w:hAnsi="宋体" w:cs="宋体"/>
          <w:b/>
          <w:bCs/>
          <w:sz w:val="24"/>
          <w:szCs w:val="24"/>
        </w:rPr>
      </w:pPr>
      <w:r>
        <w:rPr>
          <w:rFonts w:hint="eastAsia" w:ascii="宋体" w:hAnsi="宋体" w:cs="宋体"/>
          <w:b/>
          <w:bCs/>
          <w:sz w:val="24"/>
          <w:szCs w:val="24"/>
        </w:rPr>
        <w:t>六、发布公告的媒介及招标公告期限</w:t>
      </w:r>
    </w:p>
    <w:p w14:paraId="0021F8A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s="宋体"/>
          <w:sz w:val="24"/>
          <w:szCs w:val="24"/>
        </w:rPr>
      </w:pPr>
      <w:bookmarkStart w:id="16" w:name="_Toc35393795"/>
      <w:bookmarkStart w:id="17" w:name="_Toc35393626"/>
      <w:r>
        <w:rPr>
          <w:rFonts w:hint="eastAsia" w:ascii="宋体" w:hAnsi="宋体" w:cs="宋体"/>
          <w:sz w:val="24"/>
          <w:szCs w:val="24"/>
        </w:rPr>
        <w:t>本</w:t>
      </w:r>
      <w:r>
        <w:rPr>
          <w:rFonts w:hint="eastAsia" w:ascii="宋体" w:hAnsi="宋体" w:cs="宋体"/>
          <w:color w:val="auto"/>
          <w:sz w:val="24"/>
          <w:szCs w:val="24"/>
        </w:rPr>
        <w:t>次招标公告在《河南省政府采购网》《全国公共资源交易平台（河南省·信阳市）》上</w:t>
      </w:r>
      <w:r>
        <w:rPr>
          <w:rFonts w:hint="eastAsia" w:ascii="宋体" w:hAnsi="宋体" w:cs="宋体"/>
          <w:sz w:val="24"/>
          <w:szCs w:val="24"/>
        </w:rPr>
        <w:t>发布，招标公告期限为五个工作日。</w:t>
      </w:r>
    </w:p>
    <w:p w14:paraId="1BB5692D">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cs="宋体"/>
          <w:sz w:val="24"/>
          <w:szCs w:val="24"/>
        </w:rPr>
      </w:pPr>
      <w:r>
        <w:rPr>
          <w:rFonts w:hint="eastAsia" w:ascii="宋体" w:hAnsi="宋体" w:cs="宋体"/>
          <w:b/>
          <w:bCs/>
          <w:sz w:val="24"/>
          <w:szCs w:val="24"/>
        </w:rPr>
        <w:t>七、其他补充事宜</w:t>
      </w:r>
      <w:bookmarkEnd w:id="16"/>
      <w:bookmarkEnd w:id="17"/>
    </w:p>
    <w:p w14:paraId="22BEB6E1">
      <w:pPr>
        <w:keepNext w:val="0"/>
        <w:keepLines w:val="0"/>
        <w:pageBreakBefore w:val="0"/>
        <w:widowControl w:val="0"/>
        <w:kinsoku/>
        <w:wordWrap w:val="0"/>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color w:val="auto"/>
          <w:sz w:val="24"/>
          <w:szCs w:val="24"/>
          <w:lang w:eastAsia="zh-CN"/>
        </w:rPr>
      </w:pPr>
      <w:bookmarkStart w:id="18" w:name="_Toc28359085"/>
      <w:bookmarkStart w:id="19" w:name="_Toc28359008"/>
      <w:bookmarkStart w:id="20" w:name="_Toc35393796"/>
      <w:bookmarkStart w:id="21" w:name="_Toc35393627"/>
      <w:r>
        <w:rPr>
          <w:rFonts w:hint="eastAsia" w:ascii="宋体" w:hAnsi="宋体" w:eastAsia="宋体" w:cs="宋体"/>
          <w:color w:val="auto"/>
          <w:sz w:val="24"/>
          <w:szCs w:val="24"/>
        </w:rPr>
        <w:t>1.执行《国务院办公厅关于在政府采购中实施本国产品标准及相关政策的通知》国办发〔2025〕34号</w:t>
      </w:r>
      <w:r>
        <w:rPr>
          <w:rFonts w:hint="eastAsia" w:ascii="宋体" w:hAnsi="宋体" w:cs="宋体"/>
          <w:color w:val="auto"/>
          <w:sz w:val="24"/>
          <w:szCs w:val="24"/>
          <w:lang w:eastAsia="zh-CN"/>
        </w:rPr>
        <w:t>。</w:t>
      </w:r>
    </w:p>
    <w:p w14:paraId="69DB2CF8">
      <w:pPr>
        <w:keepNext w:val="0"/>
        <w:keepLines w:val="0"/>
        <w:pageBreakBefore w:val="0"/>
        <w:widowControl w:val="0"/>
        <w:kinsoku/>
        <w:wordWrap w:val="0"/>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2</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执行《政府采购促进中小企业发展管理办法》（财库〔2020〕46号）。</w:t>
      </w:r>
    </w:p>
    <w:p w14:paraId="6A89ECB2">
      <w:pPr>
        <w:keepNext w:val="0"/>
        <w:keepLines w:val="0"/>
        <w:pageBreakBefore w:val="0"/>
        <w:widowControl w:val="0"/>
        <w:kinsoku/>
        <w:wordWrap w:val="0"/>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执行《信阳市财政局关于进一步加大政府采购支持中小企业力度的通知》（信财购〔2022〕8号）。</w:t>
      </w:r>
    </w:p>
    <w:p w14:paraId="69BD4368">
      <w:pPr>
        <w:keepNext w:val="0"/>
        <w:keepLines w:val="0"/>
        <w:pageBreakBefore w:val="0"/>
        <w:widowControl w:val="0"/>
        <w:kinsoku/>
        <w:wordWrap w:val="0"/>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执行《财政部</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司法部关于政府采购支持监狱企业发展有关问题的通知》（财库〔2014〕68号）。</w:t>
      </w:r>
    </w:p>
    <w:p w14:paraId="6FD356A4">
      <w:pPr>
        <w:keepNext w:val="0"/>
        <w:keepLines w:val="0"/>
        <w:pageBreakBefore w:val="0"/>
        <w:widowControl w:val="0"/>
        <w:kinsoku/>
        <w:wordWrap w:val="0"/>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执行《三部门联合发布关于促进残疾人就业政府采购政策的通知》（财库〔2017〕141号）。</w:t>
      </w:r>
    </w:p>
    <w:p w14:paraId="5D5A97DB">
      <w:pPr>
        <w:keepNext w:val="0"/>
        <w:keepLines w:val="0"/>
        <w:pageBreakBefore w:val="0"/>
        <w:widowControl w:val="0"/>
        <w:kinsoku/>
        <w:wordWrap w:val="0"/>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本项目采用“不见面开标”交易方式，不见面开标大厅网址为https://ggzyjy.xinyang.gov.cn/BidOpening，投标人无需寄送和递交非加密的电子投标文件，无需到现场参加开标会议，无需到达现场提交原件资料。</w:t>
      </w:r>
    </w:p>
    <w:p w14:paraId="7059C5D6">
      <w:pPr>
        <w:keepNext w:val="0"/>
        <w:keepLines w:val="0"/>
        <w:pageBreakBefore w:val="0"/>
        <w:widowControl w:val="0"/>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投标人应当在投标截止时间前，使用投标人CA数字证书登录不见面开标大厅，在线签到并准时参加开标活动，并在规定时间内完成投标文件解密、答疑澄清等。</w:t>
      </w:r>
    </w:p>
    <w:p w14:paraId="522D5DE2">
      <w:pPr>
        <w:keepNext w:val="0"/>
        <w:keepLines w:val="0"/>
        <w:pageBreakBefore w:val="0"/>
        <w:widowControl w:val="0"/>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逾期解密或者没有准时在线参加开标活动导致的一切后</w:t>
      </w:r>
      <w:r>
        <w:rPr>
          <w:rFonts w:hint="eastAsia" w:ascii="宋体" w:hAnsi="宋体" w:cs="宋体"/>
          <w:color w:val="auto"/>
          <w:sz w:val="24"/>
          <w:szCs w:val="24"/>
          <w:lang w:eastAsia="zh-CN"/>
        </w:rPr>
        <w:t>果由</w:t>
      </w:r>
      <w:r>
        <w:rPr>
          <w:rFonts w:hint="eastAsia" w:ascii="宋体" w:hAnsi="宋体" w:eastAsia="宋体" w:cs="宋体"/>
          <w:color w:val="auto"/>
          <w:sz w:val="24"/>
          <w:szCs w:val="24"/>
        </w:rPr>
        <w:t>投标人自行承担。</w:t>
      </w:r>
    </w:p>
    <w:p w14:paraId="1F3D82BE">
      <w:pPr>
        <w:keepNext w:val="0"/>
        <w:keepLines w:val="0"/>
        <w:pageBreakBefore w:val="0"/>
        <w:widowControl w:val="0"/>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color w:val="auto"/>
          <w:sz w:val="24"/>
          <w:szCs w:val="24"/>
          <w:lang w:eastAsia="zh-CN"/>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不见面开标服务的具体事宜，请查阅信阳市公共资源交易中心网站首页—下载中心—信阳市不见面开标大厅系统操作手册</w:t>
      </w:r>
      <w:r>
        <w:rPr>
          <w:rFonts w:hint="eastAsia" w:ascii="宋体" w:hAnsi="宋体" w:eastAsia="宋体" w:cs="宋体"/>
          <w:color w:val="auto"/>
          <w:sz w:val="24"/>
          <w:szCs w:val="24"/>
          <w:lang w:eastAsia="zh-CN"/>
        </w:rPr>
        <w:t>。</w:t>
      </w:r>
    </w:p>
    <w:p w14:paraId="06CAC7F4">
      <w:pPr>
        <w:keepNext w:val="0"/>
        <w:keepLines w:val="0"/>
        <w:pageBreakBefore w:val="0"/>
        <w:widowControl w:val="0"/>
        <w:kinsoku/>
        <w:wordWrap/>
        <w:overflowPunct/>
        <w:topLinePunct w:val="0"/>
        <w:autoSpaceDE/>
        <w:autoSpaceDN/>
        <w:bidi w:val="0"/>
        <w:adjustRightInd/>
        <w:snapToGrid/>
        <w:spacing w:line="400" w:lineRule="exact"/>
        <w:ind w:left="0" w:leftChars="0"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特别提示：投标人在线签到时，应如实准确</w:t>
      </w:r>
      <w:r>
        <w:rPr>
          <w:rFonts w:hint="eastAsia" w:ascii="宋体" w:hAnsi="宋体" w:eastAsia="宋体" w:cs="宋体"/>
          <w:b/>
          <w:bCs/>
          <w:color w:val="auto"/>
          <w:sz w:val="24"/>
          <w:szCs w:val="24"/>
          <w:lang w:val="en-US" w:eastAsia="zh-CN"/>
        </w:rPr>
        <w:t>地</w:t>
      </w:r>
      <w:r>
        <w:rPr>
          <w:rFonts w:hint="eastAsia" w:ascii="宋体" w:hAnsi="宋体" w:eastAsia="宋体" w:cs="宋体"/>
          <w:b/>
          <w:bCs/>
          <w:color w:val="auto"/>
          <w:sz w:val="24"/>
          <w:szCs w:val="24"/>
        </w:rPr>
        <w:t>填写授权委托人的联系电话，开标当天请务必保证电话保持畅通。</w:t>
      </w:r>
    </w:p>
    <w:p w14:paraId="4C265D72">
      <w:pPr>
        <w:keepNext w:val="0"/>
        <w:keepLines w:val="0"/>
        <w:pageBreakBefore w:val="0"/>
        <w:widowControl w:val="0"/>
        <w:kinsoku/>
        <w:wordWrap/>
        <w:overflowPunct/>
        <w:topLinePunct w:val="0"/>
        <w:autoSpaceDE/>
        <w:autoSpaceDN/>
        <w:bidi w:val="0"/>
        <w:adjustRightInd/>
        <w:snapToGrid/>
        <w:spacing w:line="400" w:lineRule="exact"/>
        <w:ind w:left="0" w:leftChars="0"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lang w:val="en-US" w:eastAsia="zh-CN"/>
        </w:rPr>
        <w:t>1</w:t>
      </w:r>
      <w:r>
        <w:rPr>
          <w:rFonts w:hint="eastAsia" w:ascii="宋体" w:hAnsi="宋体" w:cs="宋体"/>
          <w:color w:val="auto"/>
          <w:sz w:val="24"/>
          <w:szCs w:val="24"/>
          <w:lang w:val="en-US" w:eastAsia="zh-CN"/>
        </w:rPr>
        <w:t>0</w:t>
      </w:r>
      <w:r>
        <w:rPr>
          <w:rFonts w:hint="eastAsia" w:ascii="宋体" w:hAnsi="宋体" w:eastAsia="宋体" w:cs="宋体"/>
          <w:color w:val="auto"/>
          <w:sz w:val="24"/>
          <w:szCs w:val="24"/>
          <w:lang w:val="en-US" w:eastAsia="zh-CN"/>
        </w:rPr>
        <w:t>.本项目</w:t>
      </w:r>
      <w:r>
        <w:rPr>
          <w:rFonts w:hint="eastAsia" w:ascii="宋体" w:hAnsi="宋体" w:cs="宋体"/>
          <w:color w:val="auto"/>
          <w:sz w:val="24"/>
          <w:szCs w:val="24"/>
          <w:lang w:val="en-US" w:eastAsia="zh-CN"/>
        </w:rPr>
        <w:t>招标</w:t>
      </w:r>
      <w:r>
        <w:rPr>
          <w:rFonts w:hint="eastAsia" w:ascii="宋体" w:hAnsi="宋体" w:eastAsia="宋体" w:cs="宋体"/>
          <w:color w:val="auto"/>
          <w:sz w:val="24"/>
          <w:szCs w:val="24"/>
          <w:lang w:val="en-US" w:eastAsia="zh-CN"/>
        </w:rPr>
        <w:t>代理服务费参照“豫招协〔2023〕002号”规定的收费标准按中标金额收取，收费金额不高于</w:t>
      </w:r>
      <w:r>
        <w:rPr>
          <w:rFonts w:hint="eastAsia" w:ascii="宋体" w:hAnsi="宋体" w:cs="宋体"/>
          <w:color w:val="auto"/>
          <w:sz w:val="24"/>
          <w:szCs w:val="24"/>
          <w:lang w:val="en-US" w:eastAsia="zh-CN"/>
        </w:rPr>
        <w:t>14662</w:t>
      </w:r>
      <w:r>
        <w:rPr>
          <w:rFonts w:hint="eastAsia" w:ascii="宋体" w:hAnsi="宋体" w:eastAsia="宋体" w:cs="宋体"/>
          <w:color w:val="auto"/>
          <w:sz w:val="24"/>
          <w:szCs w:val="24"/>
          <w:lang w:val="en-US" w:eastAsia="zh-CN"/>
        </w:rPr>
        <w:t>元</w:t>
      </w:r>
      <w:r>
        <w:rPr>
          <w:rFonts w:hint="eastAsia" w:ascii="宋体" w:hAnsi="宋体" w:cs="宋体"/>
          <w:color w:val="auto"/>
          <w:sz w:val="24"/>
          <w:szCs w:val="24"/>
          <w:lang w:val="en-US" w:eastAsia="zh-CN"/>
        </w:rPr>
        <w:t>，由中标人支付。</w:t>
      </w:r>
      <w:bookmarkStart w:id="350" w:name="_GoBack"/>
      <w:bookmarkEnd w:id="350"/>
    </w:p>
    <w:p w14:paraId="5A55F896">
      <w:pPr>
        <w:keepNext w:val="0"/>
        <w:keepLines w:val="0"/>
        <w:pageBreakBefore w:val="0"/>
        <w:widowControl w:val="0"/>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cs="宋体"/>
          <w:color w:val="auto"/>
          <w:sz w:val="24"/>
          <w:szCs w:val="24"/>
          <w:lang w:val="en-US" w:eastAsia="zh-CN"/>
        </w:rPr>
        <w:t>1</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监督部门信息</w:t>
      </w:r>
    </w:p>
    <w:p w14:paraId="382E3052">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监督单位：信阳市南湾湖风景区财政局 </w:t>
      </w:r>
    </w:p>
    <w:p w14:paraId="610CC96B">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联系电话：0376-6373627</w:t>
      </w:r>
    </w:p>
    <w:p w14:paraId="62B7A840">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cs="宋体"/>
          <w:b/>
          <w:bCs/>
          <w:sz w:val="24"/>
          <w:szCs w:val="24"/>
        </w:rPr>
      </w:pPr>
      <w:r>
        <w:rPr>
          <w:rFonts w:hint="eastAsia" w:ascii="宋体" w:hAnsi="宋体" w:cs="宋体"/>
          <w:b/>
          <w:bCs/>
          <w:sz w:val="24"/>
          <w:szCs w:val="24"/>
        </w:rPr>
        <w:t>八、凡对本次招标提出询问，请按照以下方式联系</w:t>
      </w:r>
      <w:bookmarkEnd w:id="18"/>
      <w:bookmarkEnd w:id="19"/>
      <w:bookmarkEnd w:id="20"/>
      <w:bookmarkEnd w:id="21"/>
    </w:p>
    <w:p w14:paraId="0A56B90F">
      <w:pPr>
        <w:keepNext w:val="0"/>
        <w:keepLines w:val="0"/>
        <w:pageBreakBefore w:val="0"/>
        <w:widowControl w:val="0"/>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1采购人：信阳市南湾湖风景区宣传信息中心</w:t>
      </w:r>
    </w:p>
    <w:p w14:paraId="4EE0D134">
      <w:pPr>
        <w:keepNext w:val="0"/>
        <w:keepLines w:val="0"/>
        <w:pageBreakBefore w:val="0"/>
        <w:widowControl w:val="0"/>
        <w:kinsoku/>
        <w:wordWrap/>
        <w:overflowPunct/>
        <w:topLinePunct w:val="0"/>
        <w:autoSpaceDE/>
        <w:autoSpaceDN/>
        <w:bidi w:val="0"/>
        <w:adjustRightInd/>
        <w:snapToGrid/>
        <w:spacing w:line="400" w:lineRule="exact"/>
        <w:ind w:left="0" w:leftChars="0" w:firstLine="480" w:firstLineChars="200"/>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地  址： 信阳市榕基大厦19楼</w:t>
      </w:r>
    </w:p>
    <w:p w14:paraId="51353D22">
      <w:pPr>
        <w:keepNext w:val="0"/>
        <w:keepLines w:val="0"/>
        <w:pageBreakBefore w:val="0"/>
        <w:widowControl w:val="0"/>
        <w:kinsoku/>
        <w:wordWrap/>
        <w:overflowPunct/>
        <w:topLinePunct w:val="0"/>
        <w:autoSpaceDE/>
        <w:autoSpaceDN/>
        <w:bidi w:val="0"/>
        <w:adjustRightInd/>
        <w:snapToGrid/>
        <w:spacing w:line="400" w:lineRule="exact"/>
        <w:ind w:left="0" w:leftChars="0" w:firstLine="480" w:firstLineChars="200"/>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联系人： 熊先生</w:t>
      </w:r>
    </w:p>
    <w:p w14:paraId="16EE5E50">
      <w:pPr>
        <w:keepNext w:val="0"/>
        <w:keepLines w:val="0"/>
        <w:pageBreakBefore w:val="0"/>
        <w:widowControl w:val="0"/>
        <w:kinsoku/>
        <w:wordWrap/>
        <w:overflowPunct/>
        <w:topLinePunct w:val="0"/>
        <w:autoSpaceDE/>
        <w:autoSpaceDN/>
        <w:bidi w:val="0"/>
        <w:adjustRightInd/>
        <w:snapToGrid/>
        <w:spacing w:line="400" w:lineRule="exact"/>
        <w:ind w:left="0" w:leftChars="0" w:firstLine="480" w:firstLineChars="200"/>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电  话： 17637619111</w:t>
      </w:r>
    </w:p>
    <w:p w14:paraId="443AC172">
      <w:pPr>
        <w:keepNext w:val="0"/>
        <w:keepLines w:val="0"/>
        <w:pageBreakBefore w:val="0"/>
        <w:widowControl w:val="0"/>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2采购代理机构：中鼎景宏工程管理有限公司</w:t>
      </w:r>
    </w:p>
    <w:p w14:paraId="1F0306B2">
      <w:pPr>
        <w:keepNext w:val="0"/>
        <w:keepLines w:val="0"/>
        <w:pageBreakBefore w:val="0"/>
        <w:widowControl w:val="0"/>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地  址： 郑州经开区经南三路与商英街交叉口华美龙大厦1号楼8层</w:t>
      </w:r>
    </w:p>
    <w:p w14:paraId="094C1015">
      <w:pPr>
        <w:keepNext w:val="0"/>
        <w:keepLines w:val="0"/>
        <w:pageBreakBefore w:val="0"/>
        <w:widowControl w:val="0"/>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联系人：焦阳</w:t>
      </w:r>
    </w:p>
    <w:p w14:paraId="190B9FE7">
      <w:pPr>
        <w:keepNext w:val="0"/>
        <w:keepLines w:val="0"/>
        <w:pageBreakBefore w:val="0"/>
        <w:widowControl w:val="0"/>
        <w:kinsoku/>
        <w:wordWrap/>
        <w:overflowPunct/>
        <w:topLinePunct w:val="0"/>
        <w:autoSpaceDE/>
        <w:autoSpaceDN/>
        <w:bidi w:val="0"/>
        <w:adjustRightInd/>
        <w:snapToGrid/>
        <w:spacing w:line="400" w:lineRule="exact"/>
        <w:ind w:left="0" w:leftChars="0" w:firstLine="480" w:firstLineChars="200"/>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联系电话：18539659212</w:t>
      </w:r>
    </w:p>
    <w:p w14:paraId="02829519">
      <w:pPr>
        <w:keepNext w:val="0"/>
        <w:keepLines w:val="0"/>
        <w:pageBreakBefore w:val="0"/>
        <w:widowControl w:val="0"/>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3.项目联系方式</w:t>
      </w:r>
    </w:p>
    <w:p w14:paraId="10B1E05A">
      <w:pPr>
        <w:keepNext w:val="0"/>
        <w:keepLines w:val="0"/>
        <w:pageBreakBefore w:val="0"/>
        <w:widowControl w:val="0"/>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项目联系人：焦阳</w:t>
      </w:r>
    </w:p>
    <w:p w14:paraId="4E963C3B">
      <w:pPr>
        <w:keepNext w:val="0"/>
        <w:keepLines w:val="0"/>
        <w:pageBreakBefore w:val="0"/>
        <w:widowControl w:val="0"/>
        <w:kinsoku/>
        <w:wordWrap/>
        <w:overflowPunct/>
        <w:topLinePunct w:val="0"/>
        <w:autoSpaceDE/>
        <w:autoSpaceDN/>
        <w:bidi w:val="0"/>
        <w:adjustRightInd/>
        <w:snapToGrid/>
        <w:spacing w:line="400" w:lineRule="exact"/>
        <w:ind w:left="0" w:leftChars="0" w:firstLine="480" w:firstLineChars="200"/>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联系电话：18539659212</w:t>
      </w:r>
    </w:p>
    <w:p w14:paraId="5CF9A8DC">
      <w:pPr>
        <w:keepNext w:val="0"/>
        <w:keepLines w:val="0"/>
        <w:pageBreakBefore w:val="0"/>
        <w:widowControl w:val="0"/>
        <w:kinsoku/>
        <w:wordWrap/>
        <w:overflowPunct/>
        <w:topLinePunct w:val="0"/>
        <w:autoSpaceDE/>
        <w:autoSpaceDN/>
        <w:bidi w:val="0"/>
        <w:adjustRightInd w:val="0"/>
        <w:snapToGrid w:val="0"/>
        <w:spacing w:line="400" w:lineRule="exact"/>
        <w:ind w:firstLine="840" w:firstLineChars="350"/>
        <w:textAlignment w:val="auto"/>
        <w:rPr>
          <w:rFonts w:hint="eastAsia" w:ascii="宋体" w:hAnsi="宋体" w:cs="宋体"/>
          <w:kern w:val="0"/>
          <w:sz w:val="24"/>
        </w:rPr>
      </w:pPr>
    </w:p>
    <w:p w14:paraId="6D1FD5ED">
      <w:pPr>
        <w:spacing w:line="360" w:lineRule="auto"/>
        <w:rPr>
          <w:rFonts w:hint="eastAsia" w:ascii="宋体" w:hAnsi="宋体"/>
          <w:sz w:val="24"/>
        </w:rPr>
      </w:pPr>
    </w:p>
    <w:p w14:paraId="7DFEAD74">
      <w:pPr>
        <w:rPr>
          <w:rFonts w:hint="eastAsia" w:ascii="黑体" w:hAnsi="黑体" w:eastAsia="黑体"/>
          <w:b w:val="0"/>
          <w:bCs w:val="0"/>
        </w:rPr>
      </w:pPr>
      <w:bookmarkStart w:id="22" w:name="_Toc15048287"/>
    </w:p>
    <w:p w14:paraId="4184AC31">
      <w:pPr>
        <w:pStyle w:val="2"/>
        <w:keepNext/>
        <w:keepLines/>
        <w:pageBreakBefore w:val="0"/>
        <w:widowControl w:val="0"/>
        <w:tabs>
          <w:tab w:val="left" w:pos="0"/>
          <w:tab w:val="right" w:leader="dot" w:pos="142"/>
        </w:tabs>
        <w:kinsoku/>
        <w:wordWrap/>
        <w:overflowPunct/>
        <w:topLinePunct w:val="0"/>
        <w:autoSpaceDE w:val="0"/>
        <w:autoSpaceDN w:val="0"/>
        <w:bidi w:val="0"/>
        <w:adjustRightInd w:val="0"/>
        <w:snapToGrid w:val="0"/>
        <w:spacing w:before="0" w:after="0" w:line="360" w:lineRule="auto"/>
        <w:ind w:left="0"/>
        <w:jc w:val="center"/>
        <w:textAlignment w:val="auto"/>
        <w:rPr>
          <w:rFonts w:hint="eastAsia" w:ascii="黑体" w:hAnsi="黑体"/>
          <w:bCs/>
        </w:rPr>
      </w:pPr>
      <w:bookmarkStart w:id="23" w:name="_Toc30063"/>
      <w:bookmarkStart w:id="24" w:name="_Toc8998"/>
      <w:r>
        <w:rPr>
          <w:rFonts w:hint="eastAsia" w:asciiTheme="majorEastAsia" w:hAnsiTheme="majorEastAsia" w:eastAsiaTheme="majorEastAsia" w:cstheme="majorEastAsia"/>
          <w:b/>
          <w:bCs/>
        </w:rPr>
        <w:t>第二章  投标人须知</w:t>
      </w:r>
      <w:bookmarkEnd w:id="22"/>
      <w:bookmarkEnd w:id="23"/>
      <w:bookmarkEnd w:id="24"/>
      <w:bookmarkStart w:id="25" w:name="_Toc15048358"/>
    </w:p>
    <w:p w14:paraId="54D535DF">
      <w:pPr>
        <w:pStyle w:val="167"/>
        <w:spacing w:before="0" w:line="360" w:lineRule="auto"/>
        <w:jc w:val="center"/>
        <w:rPr>
          <w:rFonts w:hint="eastAsia" w:ascii="黑体" w:hAnsi="黑体"/>
          <w:b/>
          <w:bCs w:val="0"/>
        </w:rPr>
      </w:pPr>
      <w:bookmarkStart w:id="26" w:name="_Toc20226"/>
      <w:bookmarkStart w:id="27" w:name="_Toc27284"/>
      <w:r>
        <w:rPr>
          <w:rFonts w:hint="eastAsia" w:ascii="宋体" w:hAnsi="宋体" w:eastAsia="宋体" w:cs="宋体"/>
          <w:b/>
          <w:bCs w:val="0"/>
          <w:sz w:val="30"/>
          <w:szCs w:val="30"/>
          <w:lang w:eastAsia="zh-CN"/>
        </w:rPr>
        <w:t>一、</w:t>
      </w:r>
      <w:r>
        <w:rPr>
          <w:rFonts w:hint="eastAsia" w:ascii="宋体" w:hAnsi="宋体" w:eastAsia="宋体" w:cs="宋体"/>
          <w:b/>
          <w:bCs w:val="0"/>
          <w:sz w:val="30"/>
          <w:szCs w:val="30"/>
        </w:rPr>
        <w:t>投标人须知前附表</w:t>
      </w:r>
      <w:bookmarkEnd w:id="25"/>
      <w:bookmarkEnd w:id="26"/>
      <w:bookmarkEnd w:id="27"/>
    </w:p>
    <w:p w14:paraId="663FD0B3">
      <w:pPr>
        <w:spacing w:line="360" w:lineRule="auto"/>
        <w:ind w:firstLine="480" w:firstLineChars="200"/>
        <w:rPr>
          <w:rFonts w:ascii="宋体" w:hAnsi="宋体"/>
          <w:sz w:val="24"/>
        </w:rPr>
      </w:pPr>
      <w:bookmarkStart w:id="28" w:name="_Hlk193795266"/>
      <w:bookmarkStart w:id="29" w:name="_Hlk86916440"/>
      <w:r>
        <w:rPr>
          <w:rFonts w:hint="eastAsia" w:ascii="宋体" w:hAnsi="宋体"/>
          <w:sz w:val="24"/>
        </w:rPr>
        <w:t>本表是本</w:t>
      </w:r>
      <w:r>
        <w:rPr>
          <w:rFonts w:ascii="宋体" w:hAnsi="宋体"/>
          <w:sz w:val="24"/>
        </w:rPr>
        <w:t>招标项目</w:t>
      </w:r>
      <w:r>
        <w:rPr>
          <w:rFonts w:hint="eastAsia" w:ascii="宋体" w:hAnsi="宋体"/>
          <w:sz w:val="24"/>
        </w:rPr>
        <w:t>的具体资料，是对投标人须知的具体补充和修改，如有矛盾，应以本表为准。</w:t>
      </w:r>
      <w:bookmarkEnd w:id="28"/>
    </w:p>
    <w:bookmarkEnd w:id="29"/>
    <w:tbl>
      <w:tblPr>
        <w:tblStyle w:val="47"/>
        <w:tblW w:w="9149" w:type="dxa"/>
        <w:tblInd w:w="0" w:type="dxa"/>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28" w:type="dxa"/>
          <w:bottom w:w="0" w:type="dxa"/>
          <w:right w:w="28" w:type="dxa"/>
        </w:tblCellMar>
      </w:tblPr>
      <w:tblGrid>
        <w:gridCol w:w="1116"/>
        <w:gridCol w:w="2166"/>
        <w:gridCol w:w="5867"/>
      </w:tblGrid>
      <w:tr w14:paraId="5C8969F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600" w:hRule="atLeast"/>
          <w:tblHeader/>
        </w:trPr>
        <w:tc>
          <w:tcPr>
            <w:tcW w:w="1116" w:type="dxa"/>
            <w:noWrap w:val="0"/>
            <w:vAlign w:val="center"/>
          </w:tcPr>
          <w:p w14:paraId="6E7FF2AC">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条款号</w:t>
            </w:r>
          </w:p>
        </w:tc>
        <w:tc>
          <w:tcPr>
            <w:tcW w:w="2166" w:type="dxa"/>
            <w:noWrap w:val="0"/>
            <w:vAlign w:val="center"/>
          </w:tcPr>
          <w:p w14:paraId="5AEDE258">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条款名称</w:t>
            </w:r>
          </w:p>
        </w:tc>
        <w:tc>
          <w:tcPr>
            <w:tcW w:w="5867" w:type="dxa"/>
            <w:noWrap w:val="0"/>
            <w:vAlign w:val="center"/>
          </w:tcPr>
          <w:p w14:paraId="11ADFD0F">
            <w:pPr>
              <w:keepNext w:val="0"/>
              <w:keepLines w:val="0"/>
              <w:pageBreakBefore w:val="0"/>
              <w:kinsoku/>
              <w:wordWrap/>
              <w:overflowPunct/>
              <w:topLinePunct w:val="0"/>
              <w:autoSpaceDE/>
              <w:autoSpaceDN/>
              <w:bidi w:val="0"/>
              <w:adjustRightInd w:val="0"/>
              <w:snapToGrid w:val="0"/>
              <w:spacing w:line="390" w:lineRule="exact"/>
              <w:ind w:left="0" w:leftChars="0" w:firstLine="50"/>
              <w:jc w:val="both"/>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内      容</w:t>
            </w:r>
          </w:p>
        </w:tc>
      </w:tr>
      <w:tr w14:paraId="7F24B64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805" w:hRule="atLeast"/>
        </w:trPr>
        <w:tc>
          <w:tcPr>
            <w:tcW w:w="1116" w:type="dxa"/>
            <w:noWrap w:val="0"/>
            <w:vAlign w:val="center"/>
          </w:tcPr>
          <w:p w14:paraId="509776EB">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1.1.1</w:t>
            </w:r>
          </w:p>
        </w:tc>
        <w:tc>
          <w:tcPr>
            <w:tcW w:w="2166" w:type="dxa"/>
            <w:noWrap w:val="0"/>
            <w:vAlign w:val="center"/>
          </w:tcPr>
          <w:p w14:paraId="63FA2E7C">
            <w:pPr>
              <w:keepNext w:val="0"/>
              <w:keepLines w:val="0"/>
              <w:pageBreakBefore w:val="0"/>
              <w:widowControl w:val="0"/>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采购人</w:t>
            </w:r>
          </w:p>
        </w:tc>
        <w:tc>
          <w:tcPr>
            <w:tcW w:w="5867" w:type="dxa"/>
            <w:noWrap w:val="0"/>
            <w:vAlign w:val="center"/>
          </w:tcPr>
          <w:p w14:paraId="53D23CD2">
            <w:pPr>
              <w:keepNext w:val="0"/>
              <w:keepLines w:val="0"/>
              <w:pageBreakBefore w:val="0"/>
              <w:widowControl w:val="0"/>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采购人：信阳市南湾湖风景区宣传信息中心</w:t>
            </w:r>
          </w:p>
          <w:p w14:paraId="77F43435">
            <w:pPr>
              <w:keepNext w:val="0"/>
              <w:keepLines w:val="0"/>
              <w:pageBreakBefore w:val="0"/>
              <w:widowControl w:val="0"/>
              <w:kinsoku/>
              <w:wordWrap/>
              <w:overflowPunct/>
              <w:topLinePunct w:val="0"/>
              <w:autoSpaceDE/>
              <w:autoSpaceDN/>
              <w:bidi w:val="0"/>
              <w:adjustRightInd/>
              <w:snapToGrid/>
              <w:spacing w:line="400" w:lineRule="exact"/>
              <w:ind w:left="0" w:leftChars="0" w:firstLine="480" w:firstLineChars="200"/>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地  址： 信阳市榕基大厦19楼</w:t>
            </w:r>
          </w:p>
          <w:p w14:paraId="6424B6D7">
            <w:pPr>
              <w:keepNext w:val="0"/>
              <w:keepLines w:val="0"/>
              <w:pageBreakBefore w:val="0"/>
              <w:widowControl w:val="0"/>
              <w:kinsoku/>
              <w:wordWrap/>
              <w:overflowPunct/>
              <w:topLinePunct w:val="0"/>
              <w:autoSpaceDE/>
              <w:autoSpaceDN/>
              <w:bidi w:val="0"/>
              <w:adjustRightInd/>
              <w:snapToGrid/>
              <w:spacing w:line="400" w:lineRule="exact"/>
              <w:ind w:left="0" w:leftChars="0" w:firstLine="480" w:firstLineChars="200"/>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联系人： 熊先生</w:t>
            </w:r>
          </w:p>
          <w:p w14:paraId="6A8AEAD9">
            <w:pPr>
              <w:keepNext w:val="0"/>
              <w:keepLines w:val="0"/>
              <w:pageBreakBefore w:val="0"/>
              <w:widowControl w:val="0"/>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电  话： 17637619111</w:t>
            </w:r>
          </w:p>
        </w:tc>
      </w:tr>
      <w:tr w14:paraId="2646411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805" w:hRule="atLeast"/>
        </w:trPr>
        <w:tc>
          <w:tcPr>
            <w:tcW w:w="1116" w:type="dxa"/>
            <w:noWrap w:val="0"/>
            <w:vAlign w:val="center"/>
          </w:tcPr>
          <w:p w14:paraId="1C48075C">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1.1.2</w:t>
            </w:r>
          </w:p>
        </w:tc>
        <w:tc>
          <w:tcPr>
            <w:tcW w:w="2166" w:type="dxa"/>
            <w:noWrap w:val="0"/>
            <w:vAlign w:val="center"/>
          </w:tcPr>
          <w:p w14:paraId="3A57A086">
            <w:pPr>
              <w:keepNext w:val="0"/>
              <w:keepLines w:val="0"/>
              <w:pageBreakBefore w:val="0"/>
              <w:widowControl w:val="0"/>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采购代理机构</w:t>
            </w:r>
          </w:p>
        </w:tc>
        <w:tc>
          <w:tcPr>
            <w:tcW w:w="5867" w:type="dxa"/>
            <w:noWrap w:val="0"/>
            <w:vAlign w:val="center"/>
          </w:tcPr>
          <w:p w14:paraId="61B1E56E">
            <w:pPr>
              <w:keepNext w:val="0"/>
              <w:keepLines w:val="0"/>
              <w:pageBreakBefore w:val="0"/>
              <w:widowControl w:val="0"/>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中鼎景宏工程管理有限公司</w:t>
            </w:r>
          </w:p>
          <w:p w14:paraId="7CF65729">
            <w:pPr>
              <w:keepNext w:val="0"/>
              <w:keepLines w:val="0"/>
              <w:pageBreakBefore w:val="0"/>
              <w:widowControl w:val="0"/>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地  址： 郑州经开区经南三路与商英街交叉口华美龙大厦1号楼8层</w:t>
            </w:r>
          </w:p>
          <w:p w14:paraId="773986FF">
            <w:pPr>
              <w:keepNext w:val="0"/>
              <w:keepLines w:val="0"/>
              <w:pageBreakBefore w:val="0"/>
              <w:widowControl w:val="0"/>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联系人：焦阳</w:t>
            </w:r>
          </w:p>
          <w:p w14:paraId="7898A52A">
            <w:pPr>
              <w:keepNext w:val="0"/>
              <w:keepLines w:val="0"/>
              <w:pageBreakBefore w:val="0"/>
              <w:widowControl w:val="0"/>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联系电话：18539659212</w:t>
            </w:r>
          </w:p>
        </w:tc>
      </w:tr>
      <w:tr w14:paraId="2D6DFA3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805" w:hRule="atLeast"/>
        </w:trPr>
        <w:tc>
          <w:tcPr>
            <w:tcW w:w="1116" w:type="dxa"/>
            <w:noWrap w:val="0"/>
            <w:vAlign w:val="center"/>
          </w:tcPr>
          <w:p w14:paraId="182ACB9E">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1.1.3</w:t>
            </w:r>
          </w:p>
        </w:tc>
        <w:tc>
          <w:tcPr>
            <w:tcW w:w="2166" w:type="dxa"/>
            <w:noWrap w:val="0"/>
            <w:vAlign w:val="center"/>
          </w:tcPr>
          <w:p w14:paraId="4EA4A4AE">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Cs/>
                <w:color w:val="auto"/>
                <w:sz w:val="24"/>
                <w:szCs w:val="24"/>
              </w:rPr>
              <w:t>电子交易平台</w:t>
            </w:r>
          </w:p>
        </w:tc>
        <w:tc>
          <w:tcPr>
            <w:tcW w:w="5867" w:type="dxa"/>
            <w:noWrap w:val="0"/>
            <w:vAlign w:val="center"/>
          </w:tcPr>
          <w:p w14:paraId="5754AB25">
            <w:pPr>
              <w:keepNext w:val="0"/>
              <w:keepLines w:val="0"/>
              <w:pageBreakBefore w:val="0"/>
              <w:tabs>
                <w:tab w:val="left" w:pos="142"/>
              </w:tabs>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color w:val="auto"/>
                <w:sz w:val="24"/>
                <w:szCs w:val="24"/>
              </w:rPr>
              <w:t>本项目使用《全国公共资源交易平台（河南省·信阳市）》（https://ggzyjy.xinyang.gov.cn/）电子招投标平台，采用全程不见</w:t>
            </w:r>
            <w:r>
              <w:rPr>
                <w:rFonts w:hint="eastAsia" w:asciiTheme="minorEastAsia" w:hAnsiTheme="minorEastAsia" w:eastAsiaTheme="minorEastAsia" w:cstheme="minorEastAsia"/>
                <w:color w:val="auto"/>
                <w:sz w:val="24"/>
                <w:szCs w:val="24"/>
                <w:highlight w:val="none"/>
              </w:rPr>
              <w:t>面投标、开标、评标的方式。招标文件中涉及的电子交易平台是指：</w:t>
            </w:r>
            <w:r>
              <w:rPr>
                <w:rFonts w:hint="eastAsia" w:asciiTheme="minorEastAsia" w:hAnsiTheme="minorEastAsia" w:eastAsiaTheme="minorEastAsia" w:cstheme="minorEastAsia"/>
                <w:color w:val="auto"/>
                <w:sz w:val="24"/>
                <w:szCs w:val="24"/>
                <w:highlight w:val="none"/>
                <w:lang w:val="en-US" w:eastAsia="zh-CN"/>
              </w:rPr>
              <w:t>信阳</w:t>
            </w:r>
            <w:r>
              <w:rPr>
                <w:rFonts w:hint="eastAsia" w:asciiTheme="minorEastAsia" w:hAnsiTheme="minorEastAsia" w:eastAsiaTheme="minorEastAsia" w:cstheme="minorEastAsia"/>
                <w:color w:val="auto"/>
                <w:sz w:val="24"/>
                <w:szCs w:val="24"/>
                <w:highlight w:val="none"/>
                <w:lang w:eastAsia="zh-CN"/>
              </w:rPr>
              <w:t>市公共资源交易中心</w:t>
            </w:r>
            <w:r>
              <w:rPr>
                <w:rFonts w:hint="eastAsia" w:asciiTheme="minorEastAsia" w:hAnsiTheme="minorEastAsia" w:eastAsiaTheme="minorEastAsia" w:cstheme="minorEastAsia"/>
                <w:color w:val="auto"/>
                <w:sz w:val="24"/>
                <w:szCs w:val="24"/>
                <w:highlight w:val="none"/>
              </w:rPr>
              <w:t>电子</w:t>
            </w:r>
            <w:r>
              <w:rPr>
                <w:rFonts w:hint="eastAsia" w:asciiTheme="minorEastAsia" w:hAnsiTheme="minorEastAsia" w:eastAsiaTheme="minorEastAsia" w:cstheme="minorEastAsia"/>
                <w:color w:val="auto"/>
                <w:sz w:val="24"/>
                <w:szCs w:val="24"/>
                <w:highlight w:val="none"/>
                <w:lang w:val="en-US" w:eastAsia="zh-CN"/>
              </w:rPr>
              <w:t>招投标</w:t>
            </w:r>
            <w:r>
              <w:rPr>
                <w:rFonts w:hint="eastAsia" w:asciiTheme="minorEastAsia" w:hAnsiTheme="minorEastAsia" w:eastAsiaTheme="minorEastAsia" w:cstheme="minorEastAsia"/>
                <w:color w:val="auto"/>
                <w:sz w:val="24"/>
                <w:szCs w:val="24"/>
                <w:highlight w:val="none"/>
              </w:rPr>
              <w:t>平台。</w:t>
            </w:r>
          </w:p>
        </w:tc>
      </w:tr>
      <w:tr w14:paraId="167D6DA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805" w:hRule="atLeast"/>
        </w:trPr>
        <w:tc>
          <w:tcPr>
            <w:tcW w:w="1116" w:type="dxa"/>
            <w:noWrap w:val="0"/>
            <w:vAlign w:val="center"/>
          </w:tcPr>
          <w:p w14:paraId="6AB2071C">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1.1.4</w:t>
            </w:r>
          </w:p>
        </w:tc>
        <w:tc>
          <w:tcPr>
            <w:tcW w:w="2166" w:type="dxa"/>
            <w:noWrap w:val="0"/>
            <w:vAlign w:val="center"/>
          </w:tcPr>
          <w:p w14:paraId="2EBEAAB1">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采购项目名称</w:t>
            </w:r>
          </w:p>
        </w:tc>
        <w:tc>
          <w:tcPr>
            <w:tcW w:w="5867" w:type="dxa"/>
            <w:noWrap w:val="0"/>
            <w:vAlign w:val="center"/>
          </w:tcPr>
          <w:p w14:paraId="1F6E5CAF">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信阳市南湾湖旅游度假区标识牌制作工艺项目</w:t>
            </w:r>
          </w:p>
        </w:tc>
      </w:tr>
      <w:tr w14:paraId="3616719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548" w:hRule="atLeast"/>
        </w:trPr>
        <w:tc>
          <w:tcPr>
            <w:tcW w:w="1116" w:type="dxa"/>
            <w:noWrap w:val="0"/>
            <w:vAlign w:val="center"/>
          </w:tcPr>
          <w:p w14:paraId="32FB8A6F">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1.1.5</w:t>
            </w:r>
          </w:p>
        </w:tc>
        <w:tc>
          <w:tcPr>
            <w:tcW w:w="2166" w:type="dxa"/>
            <w:noWrap w:val="0"/>
            <w:vAlign w:val="center"/>
          </w:tcPr>
          <w:p w14:paraId="488D2AB4">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采购项目实施地点</w:t>
            </w:r>
          </w:p>
        </w:tc>
        <w:tc>
          <w:tcPr>
            <w:tcW w:w="5867" w:type="dxa"/>
            <w:noWrap w:val="0"/>
            <w:vAlign w:val="center"/>
          </w:tcPr>
          <w:p w14:paraId="39C20CB0">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Style w:val="59"/>
                <w:rFonts w:hint="eastAsia" w:asciiTheme="minorEastAsia" w:hAnsiTheme="minorEastAsia" w:eastAsiaTheme="minorEastAsia" w:cstheme="minorEastAsia"/>
                <w:color w:val="auto"/>
                <w:sz w:val="24"/>
                <w:szCs w:val="24"/>
                <w:u w:val="none"/>
              </w:rPr>
            </w:pPr>
            <w:r>
              <w:rPr>
                <w:rFonts w:hint="eastAsia" w:asciiTheme="minorEastAsia" w:hAnsiTheme="minorEastAsia" w:eastAsiaTheme="minorEastAsia" w:cstheme="minorEastAsia"/>
                <w:color w:val="auto"/>
                <w:sz w:val="24"/>
                <w:szCs w:val="24"/>
                <w:lang w:eastAsia="zh-CN"/>
              </w:rPr>
              <w:t>信阳市南湾湖风景区</w:t>
            </w:r>
          </w:p>
        </w:tc>
      </w:tr>
      <w:tr w14:paraId="3306478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548" w:hRule="atLeast"/>
        </w:trPr>
        <w:tc>
          <w:tcPr>
            <w:tcW w:w="1116" w:type="dxa"/>
            <w:noWrap w:val="0"/>
            <w:vAlign w:val="center"/>
          </w:tcPr>
          <w:p w14:paraId="7A2D257E">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1.1.6</w:t>
            </w:r>
          </w:p>
        </w:tc>
        <w:tc>
          <w:tcPr>
            <w:tcW w:w="2166" w:type="dxa"/>
            <w:noWrap w:val="0"/>
            <w:vAlign w:val="center"/>
          </w:tcPr>
          <w:p w14:paraId="3E6B3214">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采购方式</w:t>
            </w:r>
          </w:p>
        </w:tc>
        <w:tc>
          <w:tcPr>
            <w:tcW w:w="5867" w:type="dxa"/>
            <w:noWrap w:val="0"/>
            <w:vAlign w:val="center"/>
          </w:tcPr>
          <w:p w14:paraId="68CC03C5">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Style w:val="59"/>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公开招标</w:t>
            </w:r>
          </w:p>
        </w:tc>
      </w:tr>
      <w:tr w14:paraId="40088FB5">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481" w:hRule="atLeast"/>
        </w:trPr>
        <w:tc>
          <w:tcPr>
            <w:tcW w:w="1116" w:type="dxa"/>
            <w:noWrap w:val="0"/>
            <w:vAlign w:val="center"/>
          </w:tcPr>
          <w:p w14:paraId="7C4C6F63">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1.1.7</w:t>
            </w:r>
          </w:p>
        </w:tc>
        <w:tc>
          <w:tcPr>
            <w:tcW w:w="2166" w:type="dxa"/>
            <w:noWrap w:val="0"/>
            <w:vAlign w:val="center"/>
          </w:tcPr>
          <w:p w14:paraId="2FA89064">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采购标段（包）划分</w:t>
            </w:r>
          </w:p>
        </w:tc>
        <w:tc>
          <w:tcPr>
            <w:tcW w:w="5867" w:type="dxa"/>
            <w:noWrap w:val="0"/>
            <w:vAlign w:val="center"/>
          </w:tcPr>
          <w:p w14:paraId="5CF93A19">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kern w:val="0"/>
                <w:sz w:val="24"/>
                <w:szCs w:val="24"/>
              </w:rPr>
              <w:t>本次招标项目分为1个标段（包）</w:t>
            </w:r>
            <w:r>
              <w:rPr>
                <w:rFonts w:hint="eastAsia" w:asciiTheme="minorEastAsia" w:hAnsiTheme="minorEastAsia" w:eastAsiaTheme="minorEastAsia" w:cstheme="minorEastAsia"/>
                <w:kern w:val="0"/>
                <w:sz w:val="24"/>
                <w:szCs w:val="24"/>
                <w:lang w:eastAsia="zh-CN"/>
              </w:rPr>
              <w:t>。</w:t>
            </w:r>
          </w:p>
        </w:tc>
      </w:tr>
      <w:tr w14:paraId="0F9135D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575" w:hRule="atLeast"/>
        </w:trPr>
        <w:tc>
          <w:tcPr>
            <w:tcW w:w="1116" w:type="dxa"/>
            <w:noWrap w:val="0"/>
            <w:vAlign w:val="center"/>
          </w:tcPr>
          <w:p w14:paraId="2B721742">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1.1.</w:t>
            </w:r>
            <w:r>
              <w:rPr>
                <w:rFonts w:hint="eastAsia" w:asciiTheme="minorEastAsia" w:hAnsiTheme="minorEastAsia" w:eastAsiaTheme="minorEastAsia" w:cstheme="minorEastAsia"/>
                <w:sz w:val="24"/>
                <w:szCs w:val="24"/>
                <w:lang w:val="en-US" w:eastAsia="zh-CN"/>
              </w:rPr>
              <w:t>8</w:t>
            </w:r>
          </w:p>
        </w:tc>
        <w:tc>
          <w:tcPr>
            <w:tcW w:w="2166" w:type="dxa"/>
            <w:noWrap w:val="0"/>
            <w:vAlign w:val="center"/>
          </w:tcPr>
          <w:p w14:paraId="1F218D27">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采购项目属性</w:t>
            </w:r>
          </w:p>
        </w:tc>
        <w:tc>
          <w:tcPr>
            <w:tcW w:w="5867" w:type="dxa"/>
            <w:noWrap w:val="0"/>
            <w:vAlign w:val="center"/>
          </w:tcPr>
          <w:p w14:paraId="134C3275">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Style w:val="59"/>
                <w:rFonts w:hint="eastAsia" w:asciiTheme="minorEastAsia" w:hAnsiTheme="minorEastAsia" w:eastAsiaTheme="minorEastAsia" w:cstheme="minorEastAsia"/>
                <w:b/>
                <w:bCs/>
                <w:color w:val="FF0000"/>
                <w:sz w:val="24"/>
                <w:szCs w:val="24"/>
                <w:u w:val="none"/>
              </w:rPr>
            </w:pPr>
            <w:r>
              <w:rPr>
                <w:rFonts w:hint="eastAsia" w:asciiTheme="minorEastAsia" w:hAnsiTheme="minorEastAsia" w:eastAsiaTheme="minorEastAsia" w:cstheme="minorEastAsia"/>
                <w:b/>
                <w:bCs/>
                <w:color w:val="auto"/>
                <w:sz w:val="24"/>
                <w:szCs w:val="24"/>
              </w:rPr>
              <w:t>货物</w:t>
            </w:r>
          </w:p>
        </w:tc>
      </w:tr>
      <w:tr w14:paraId="1A0D987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425" w:hRule="atLeast"/>
        </w:trPr>
        <w:tc>
          <w:tcPr>
            <w:tcW w:w="1116" w:type="dxa"/>
            <w:noWrap w:val="0"/>
            <w:vAlign w:val="center"/>
          </w:tcPr>
          <w:p w14:paraId="34066786">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1.1.</w:t>
            </w:r>
            <w:r>
              <w:rPr>
                <w:rFonts w:hint="eastAsia" w:asciiTheme="minorEastAsia" w:hAnsiTheme="minorEastAsia" w:eastAsiaTheme="minorEastAsia" w:cstheme="minorEastAsia"/>
                <w:sz w:val="24"/>
                <w:szCs w:val="24"/>
                <w:lang w:val="en-US" w:eastAsia="zh-CN"/>
              </w:rPr>
              <w:t>9</w:t>
            </w:r>
          </w:p>
        </w:tc>
        <w:tc>
          <w:tcPr>
            <w:tcW w:w="2166" w:type="dxa"/>
            <w:noWrap w:val="0"/>
            <w:vAlign w:val="center"/>
          </w:tcPr>
          <w:p w14:paraId="7A3B3DBF">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标的物所属行业</w:t>
            </w:r>
          </w:p>
        </w:tc>
        <w:tc>
          <w:tcPr>
            <w:tcW w:w="5867" w:type="dxa"/>
            <w:noWrap w:val="0"/>
            <w:vAlign w:val="center"/>
          </w:tcPr>
          <w:p w14:paraId="32AB306B">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color w:val="FF0000"/>
                <w:sz w:val="24"/>
                <w:szCs w:val="24"/>
                <w:u w:val="single"/>
              </w:rPr>
            </w:pPr>
            <w:bookmarkStart w:id="30" w:name="OLE_LINK82"/>
            <w:bookmarkStart w:id="31" w:name="OLE_LINK83"/>
            <w:r>
              <w:rPr>
                <w:rFonts w:hint="eastAsia" w:asciiTheme="minorEastAsia" w:hAnsiTheme="minorEastAsia" w:eastAsiaTheme="minorEastAsia" w:cstheme="minorEastAsia"/>
                <w:sz w:val="24"/>
                <w:szCs w:val="24"/>
              </w:rPr>
              <w:t>根据“工信部联企业</w:t>
            </w:r>
            <w:r>
              <w:rPr>
                <w:rFonts w:hint="eastAsia" w:asciiTheme="minorEastAsia" w:hAnsiTheme="minorEastAsia" w:eastAsiaTheme="minorEastAsia" w:cstheme="minorEastAsia"/>
                <w:sz w:val="24"/>
                <w:szCs w:val="24"/>
                <w:lang w:eastAsia="zh-CN"/>
              </w:rPr>
              <w:t>〔2011〕300号</w:t>
            </w:r>
            <w:r>
              <w:rPr>
                <w:rFonts w:hint="eastAsia" w:asciiTheme="minorEastAsia" w:hAnsiTheme="minorEastAsia" w:eastAsiaTheme="minorEastAsia" w:cstheme="minorEastAsia"/>
                <w:sz w:val="24"/>
                <w:szCs w:val="24"/>
              </w:rPr>
              <w:t>”文件的划型标准，本次采购标的对应的中小企业划分标准所属行业为：</w:t>
            </w:r>
            <w:r>
              <w:rPr>
                <w:rFonts w:hint="eastAsia" w:asciiTheme="minorEastAsia" w:hAnsiTheme="minorEastAsia" w:eastAsiaTheme="minorEastAsia" w:cstheme="minorEastAsia"/>
                <w:sz w:val="24"/>
                <w:szCs w:val="24"/>
                <w:lang w:val="en-US" w:eastAsia="zh-CN"/>
              </w:rPr>
              <w:t>工业</w:t>
            </w:r>
            <w:r>
              <w:rPr>
                <w:rFonts w:hint="eastAsia" w:asciiTheme="minorEastAsia" w:hAnsiTheme="minorEastAsia" w:eastAsiaTheme="minorEastAsia" w:cstheme="minorEastAsia"/>
                <w:sz w:val="24"/>
                <w:szCs w:val="24"/>
              </w:rPr>
              <w:t>。</w:t>
            </w:r>
            <w:bookmarkEnd w:id="30"/>
            <w:bookmarkEnd w:id="31"/>
          </w:p>
        </w:tc>
      </w:tr>
      <w:tr w14:paraId="5A4023C5">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805" w:hRule="atLeast"/>
        </w:trPr>
        <w:tc>
          <w:tcPr>
            <w:tcW w:w="1116" w:type="dxa"/>
            <w:noWrap w:val="0"/>
            <w:vAlign w:val="center"/>
          </w:tcPr>
          <w:p w14:paraId="5BC96EC0">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both"/>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1.1.10</w:t>
            </w:r>
          </w:p>
        </w:tc>
        <w:tc>
          <w:tcPr>
            <w:tcW w:w="2166" w:type="dxa"/>
            <w:noWrap w:val="0"/>
            <w:vAlign w:val="center"/>
          </w:tcPr>
          <w:p w14:paraId="2CF49DCD">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项目核心产品</w:t>
            </w:r>
          </w:p>
        </w:tc>
        <w:tc>
          <w:tcPr>
            <w:tcW w:w="5867" w:type="dxa"/>
            <w:noWrap w:val="0"/>
            <w:vAlign w:val="center"/>
          </w:tcPr>
          <w:p w14:paraId="14CB3122">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sym w:font="Wingdings 2" w:char="00A3"/>
            </w:r>
            <w:r>
              <w:rPr>
                <w:rFonts w:hint="eastAsia" w:asciiTheme="minorEastAsia" w:hAnsiTheme="minorEastAsia" w:eastAsiaTheme="minorEastAsia" w:cstheme="minorEastAsia"/>
                <w:color w:val="auto"/>
                <w:sz w:val="24"/>
                <w:szCs w:val="24"/>
              </w:rPr>
              <w:t>有，具体产品为：</w:t>
            </w:r>
            <w:r>
              <w:rPr>
                <w:rFonts w:hint="eastAsia" w:asciiTheme="minorEastAsia" w:hAnsiTheme="minorEastAsia" w:eastAsiaTheme="minorEastAsia" w:cstheme="minorEastAsia"/>
                <w:color w:val="auto"/>
                <w:sz w:val="24"/>
                <w:szCs w:val="24"/>
                <w:lang w:val="en-US" w:eastAsia="zh-CN"/>
              </w:rPr>
              <w:t>/</w:t>
            </w:r>
          </w:p>
          <w:p w14:paraId="3ED0BCE4">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sym w:font="Wingdings 2" w:char="0052"/>
            </w:r>
            <w:r>
              <w:rPr>
                <w:rFonts w:hint="eastAsia" w:asciiTheme="minorEastAsia" w:hAnsiTheme="minorEastAsia" w:eastAsiaTheme="minorEastAsia" w:cstheme="minorEastAsia"/>
                <w:color w:val="auto"/>
                <w:sz w:val="24"/>
                <w:szCs w:val="24"/>
                <w:lang w:eastAsia="zh-CN"/>
              </w:rPr>
              <w:t>无</w:t>
            </w:r>
          </w:p>
        </w:tc>
      </w:tr>
      <w:tr w14:paraId="37063A7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1651" w:hRule="atLeast"/>
        </w:trPr>
        <w:tc>
          <w:tcPr>
            <w:tcW w:w="1116" w:type="dxa"/>
            <w:noWrap w:val="0"/>
            <w:vAlign w:val="center"/>
          </w:tcPr>
          <w:p w14:paraId="5B43A26F">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1.2.2</w:t>
            </w:r>
          </w:p>
        </w:tc>
        <w:tc>
          <w:tcPr>
            <w:tcW w:w="2166" w:type="dxa"/>
            <w:noWrap w:val="0"/>
            <w:vAlign w:val="center"/>
          </w:tcPr>
          <w:p w14:paraId="06247C94">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项目预算金额和最高限价</w:t>
            </w:r>
          </w:p>
        </w:tc>
        <w:tc>
          <w:tcPr>
            <w:tcW w:w="5867" w:type="dxa"/>
            <w:noWrap w:val="0"/>
            <w:vAlign w:val="center"/>
          </w:tcPr>
          <w:p w14:paraId="4B35B440">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color w:val="auto"/>
                <w:sz w:val="24"/>
                <w:szCs w:val="24"/>
                <w:lang w:val="en-US" w:eastAsia="zh-CN"/>
              </w:rPr>
            </w:pPr>
            <w:r>
              <w:rPr>
                <w:rStyle w:val="59"/>
                <w:rFonts w:hint="eastAsia" w:asciiTheme="minorEastAsia" w:hAnsiTheme="minorEastAsia" w:eastAsiaTheme="minorEastAsia" w:cstheme="minorEastAsia"/>
                <w:color w:val="auto"/>
                <w:sz w:val="24"/>
                <w:szCs w:val="24"/>
                <w:u w:val="none"/>
              </w:rPr>
              <w:t>项目预算金</w:t>
            </w:r>
            <w:r>
              <w:rPr>
                <w:rFonts w:hint="eastAsia" w:asciiTheme="minorEastAsia" w:hAnsiTheme="minorEastAsia" w:eastAsiaTheme="minorEastAsia" w:cstheme="minorEastAsia"/>
                <w:color w:val="auto"/>
                <w:sz w:val="24"/>
                <w:szCs w:val="24"/>
              </w:rPr>
              <w:t>额：</w:t>
            </w:r>
            <w:r>
              <w:rPr>
                <w:rFonts w:hint="eastAsia" w:asciiTheme="minorEastAsia" w:hAnsiTheme="minorEastAsia" w:eastAsiaTheme="minorEastAsia" w:cstheme="minorEastAsia"/>
                <w:color w:val="auto"/>
                <w:sz w:val="24"/>
                <w:szCs w:val="24"/>
                <w:u w:val="single"/>
                <w:lang w:val="en-US" w:eastAsia="zh-CN"/>
              </w:rPr>
              <w:t>862518.29元</w:t>
            </w:r>
            <w:r>
              <w:rPr>
                <w:rFonts w:hint="eastAsia" w:asciiTheme="minorEastAsia" w:hAnsiTheme="minorEastAsia" w:eastAsiaTheme="minorEastAsia" w:cstheme="minorEastAsia"/>
                <w:color w:val="auto"/>
                <w:sz w:val="24"/>
                <w:szCs w:val="24"/>
              </w:rPr>
              <w:t>；最高限价：</w:t>
            </w:r>
            <w:r>
              <w:rPr>
                <w:rFonts w:hint="eastAsia" w:asciiTheme="minorEastAsia" w:hAnsiTheme="minorEastAsia" w:eastAsiaTheme="minorEastAsia" w:cstheme="minorEastAsia"/>
                <w:color w:val="auto"/>
                <w:sz w:val="24"/>
                <w:szCs w:val="24"/>
                <w:u w:val="single"/>
                <w:lang w:val="en-US" w:eastAsia="zh-CN"/>
              </w:rPr>
              <w:t>862518.29元</w:t>
            </w:r>
            <w:r>
              <w:rPr>
                <w:rFonts w:hint="eastAsia" w:asciiTheme="minorEastAsia" w:hAnsiTheme="minorEastAsia" w:eastAsiaTheme="minorEastAsia" w:cstheme="minorEastAsia"/>
                <w:color w:val="auto"/>
                <w:sz w:val="24"/>
                <w:szCs w:val="24"/>
              </w:rPr>
              <w:t>。</w:t>
            </w:r>
          </w:p>
          <w:p w14:paraId="051C3F41">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注：</w:t>
            </w:r>
            <w:r>
              <w:rPr>
                <w:rFonts w:hint="eastAsia" w:asciiTheme="minorEastAsia" w:hAnsiTheme="minorEastAsia" w:eastAsiaTheme="minorEastAsia" w:cstheme="minorEastAsia"/>
                <w:color w:val="auto"/>
                <w:sz w:val="24"/>
                <w:szCs w:val="24"/>
              </w:rPr>
              <w:t>投标人的报价超过预算金额或最高限价的，其投标无效。</w:t>
            </w:r>
          </w:p>
        </w:tc>
      </w:tr>
      <w:tr w14:paraId="18170CE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645" w:hRule="atLeast"/>
        </w:trPr>
        <w:tc>
          <w:tcPr>
            <w:tcW w:w="1116" w:type="dxa"/>
            <w:noWrap w:val="0"/>
            <w:vAlign w:val="center"/>
          </w:tcPr>
          <w:p w14:paraId="67F7F307">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1.3.1</w:t>
            </w:r>
          </w:p>
        </w:tc>
        <w:tc>
          <w:tcPr>
            <w:tcW w:w="2166" w:type="dxa"/>
            <w:noWrap w:val="0"/>
            <w:vAlign w:val="center"/>
          </w:tcPr>
          <w:p w14:paraId="0C819877">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b w:val="0"/>
                <w:bCs w:val="0"/>
                <w:color w:val="000000"/>
                <w:sz w:val="24"/>
                <w:szCs w:val="24"/>
                <w:u w:val="single"/>
              </w:rPr>
            </w:pPr>
            <w:r>
              <w:rPr>
                <w:rFonts w:hint="eastAsia" w:asciiTheme="minorEastAsia" w:hAnsiTheme="minorEastAsia" w:eastAsiaTheme="minorEastAsia" w:cstheme="minorEastAsia"/>
                <w:b w:val="0"/>
                <w:bCs w:val="0"/>
                <w:color w:val="000000"/>
                <w:sz w:val="24"/>
                <w:szCs w:val="24"/>
              </w:rPr>
              <w:t>采购需求、采购内容</w:t>
            </w:r>
          </w:p>
        </w:tc>
        <w:tc>
          <w:tcPr>
            <w:tcW w:w="5867" w:type="dxa"/>
            <w:noWrap w:val="0"/>
            <w:vAlign w:val="center"/>
          </w:tcPr>
          <w:p w14:paraId="62FED46A">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rPr>
              <w:t>见招标文件</w:t>
            </w:r>
            <w:r>
              <w:rPr>
                <w:rFonts w:hint="eastAsia" w:asciiTheme="minorEastAsia" w:hAnsiTheme="minorEastAsia" w:eastAsiaTheme="minorEastAsia" w:cstheme="minorEastAsia"/>
                <w:b w:val="0"/>
                <w:bCs w:val="0"/>
                <w:sz w:val="24"/>
                <w:szCs w:val="24"/>
                <w:lang w:eastAsia="zh-CN"/>
              </w:rPr>
              <w:t>相关章节</w:t>
            </w:r>
          </w:p>
        </w:tc>
      </w:tr>
      <w:tr w14:paraId="22D2722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645" w:hRule="atLeast"/>
        </w:trPr>
        <w:tc>
          <w:tcPr>
            <w:tcW w:w="1116" w:type="dxa"/>
            <w:noWrap w:val="0"/>
            <w:vAlign w:val="center"/>
          </w:tcPr>
          <w:p w14:paraId="5BD41314">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1.3.2</w:t>
            </w:r>
          </w:p>
        </w:tc>
        <w:tc>
          <w:tcPr>
            <w:tcW w:w="2166" w:type="dxa"/>
            <w:noWrap w:val="0"/>
            <w:vAlign w:val="center"/>
          </w:tcPr>
          <w:p w14:paraId="74A890E8">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color w:val="000000"/>
                <w:sz w:val="24"/>
                <w:szCs w:val="24"/>
                <w:u w:val="single"/>
                <w:lang w:eastAsia="zh-CN"/>
              </w:rPr>
            </w:pPr>
            <w:r>
              <w:rPr>
                <w:rFonts w:hint="eastAsia" w:asciiTheme="minorEastAsia" w:hAnsiTheme="minorEastAsia" w:eastAsiaTheme="minorEastAsia" w:cstheme="minorEastAsia"/>
                <w:color w:val="000000"/>
                <w:sz w:val="24"/>
                <w:szCs w:val="24"/>
              </w:rPr>
              <w:t>质量</w:t>
            </w:r>
            <w:r>
              <w:rPr>
                <w:rFonts w:hint="eastAsia" w:asciiTheme="minorEastAsia" w:hAnsiTheme="minorEastAsia" w:eastAsiaTheme="minorEastAsia" w:cstheme="minorEastAsia"/>
                <w:color w:val="000000"/>
                <w:sz w:val="24"/>
                <w:szCs w:val="24"/>
                <w:lang w:val="en-US" w:eastAsia="zh-CN"/>
              </w:rPr>
              <w:t>要求</w:t>
            </w:r>
          </w:p>
        </w:tc>
        <w:tc>
          <w:tcPr>
            <w:tcW w:w="5867" w:type="dxa"/>
            <w:noWrap w:val="0"/>
            <w:vAlign w:val="center"/>
          </w:tcPr>
          <w:p w14:paraId="2DABC8B3">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color w:val="FF0000"/>
                <w:sz w:val="24"/>
                <w:szCs w:val="24"/>
              </w:rPr>
            </w:pPr>
            <w:r>
              <w:rPr>
                <w:rFonts w:hint="eastAsia" w:asciiTheme="minorEastAsia" w:hAnsiTheme="minorEastAsia" w:eastAsiaTheme="minorEastAsia" w:cstheme="minorEastAsia"/>
                <w:color w:val="auto"/>
                <w:sz w:val="24"/>
                <w:szCs w:val="24"/>
              </w:rPr>
              <w:t>符合国家及行业相关要求合格标准，满足采购人要求</w:t>
            </w:r>
          </w:p>
        </w:tc>
      </w:tr>
      <w:tr w14:paraId="3C63C06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645" w:hRule="atLeast"/>
        </w:trPr>
        <w:tc>
          <w:tcPr>
            <w:tcW w:w="1116" w:type="dxa"/>
            <w:noWrap w:val="0"/>
            <w:vAlign w:val="center"/>
          </w:tcPr>
          <w:p w14:paraId="15FCF379">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1.3.3</w:t>
            </w:r>
          </w:p>
        </w:tc>
        <w:tc>
          <w:tcPr>
            <w:tcW w:w="2166" w:type="dxa"/>
            <w:noWrap w:val="0"/>
            <w:vAlign w:val="center"/>
          </w:tcPr>
          <w:p w14:paraId="7826AFAC">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验收标准</w:t>
            </w:r>
          </w:p>
        </w:tc>
        <w:tc>
          <w:tcPr>
            <w:tcW w:w="5867" w:type="dxa"/>
            <w:noWrap w:val="0"/>
            <w:vAlign w:val="center"/>
          </w:tcPr>
          <w:p w14:paraId="26F9ABFA">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color w:val="FF0000"/>
                <w:sz w:val="24"/>
                <w:szCs w:val="24"/>
              </w:rPr>
            </w:pPr>
            <w:r>
              <w:rPr>
                <w:rFonts w:hint="eastAsia" w:asciiTheme="minorEastAsia" w:hAnsiTheme="minorEastAsia" w:eastAsiaTheme="minorEastAsia" w:cstheme="minorEastAsia"/>
                <w:color w:val="auto"/>
                <w:sz w:val="24"/>
                <w:szCs w:val="24"/>
              </w:rPr>
              <w:t>满足国家、行业及采购人验收标准</w:t>
            </w:r>
          </w:p>
        </w:tc>
      </w:tr>
      <w:tr w14:paraId="46CBA5C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805" w:hRule="atLeast"/>
        </w:trPr>
        <w:tc>
          <w:tcPr>
            <w:tcW w:w="1116" w:type="dxa"/>
            <w:noWrap w:val="0"/>
            <w:vAlign w:val="center"/>
          </w:tcPr>
          <w:p w14:paraId="6A1C2A88">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color w:val="000000"/>
                <w:sz w:val="24"/>
                <w:szCs w:val="24"/>
              </w:rPr>
            </w:pPr>
            <w:bookmarkStart w:id="32" w:name="_Hlk211845214"/>
            <w:bookmarkStart w:id="33" w:name="OLE_LINK16" w:colFirst="1" w:colLast="66"/>
            <w:bookmarkStart w:id="34" w:name="OLE_LINK19" w:colFirst="1" w:colLast="66"/>
            <w:r>
              <w:rPr>
                <w:rFonts w:hint="eastAsia" w:asciiTheme="minorEastAsia" w:hAnsiTheme="minorEastAsia" w:eastAsiaTheme="minorEastAsia" w:cstheme="minorEastAsia"/>
                <w:color w:val="000000"/>
                <w:sz w:val="24"/>
                <w:szCs w:val="24"/>
              </w:rPr>
              <w:t>1.3.4</w:t>
            </w:r>
          </w:p>
        </w:tc>
        <w:tc>
          <w:tcPr>
            <w:tcW w:w="2166" w:type="dxa"/>
            <w:noWrap w:val="0"/>
            <w:vAlign w:val="center"/>
          </w:tcPr>
          <w:p w14:paraId="05E51119">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交货期及交货地点</w:t>
            </w:r>
          </w:p>
        </w:tc>
        <w:tc>
          <w:tcPr>
            <w:tcW w:w="5867" w:type="dxa"/>
            <w:noWrap w:val="0"/>
            <w:vAlign w:val="center"/>
          </w:tcPr>
          <w:p w14:paraId="57427095">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交货期：合同签订之日起</w:t>
            </w:r>
            <w:r>
              <w:rPr>
                <w:rFonts w:hint="eastAsia" w:asciiTheme="minorEastAsia" w:hAnsiTheme="minorEastAsia" w:eastAsiaTheme="minorEastAsia" w:cstheme="minorEastAsia"/>
                <w:color w:val="auto"/>
                <w:sz w:val="24"/>
                <w:szCs w:val="24"/>
                <w:lang w:val="en-US" w:eastAsia="zh-CN"/>
              </w:rPr>
              <w:t>20</w:t>
            </w:r>
            <w:r>
              <w:rPr>
                <w:rFonts w:hint="eastAsia" w:asciiTheme="minorEastAsia" w:hAnsiTheme="minorEastAsia" w:eastAsiaTheme="minorEastAsia" w:cstheme="minorEastAsia"/>
                <w:color w:val="auto"/>
                <w:sz w:val="24"/>
                <w:szCs w:val="24"/>
              </w:rPr>
              <w:t>日历天内</w:t>
            </w:r>
          </w:p>
          <w:p w14:paraId="44AE0CE2">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Style w:val="59"/>
                <w:rFonts w:hint="eastAsia" w:asciiTheme="minorEastAsia" w:hAnsiTheme="minorEastAsia" w:eastAsiaTheme="minorEastAsia" w:cstheme="minorEastAsia"/>
                <w:color w:val="auto"/>
                <w:sz w:val="24"/>
                <w:szCs w:val="24"/>
                <w:u w:val="none"/>
              </w:rPr>
            </w:pPr>
            <w:r>
              <w:rPr>
                <w:rFonts w:hint="eastAsia" w:asciiTheme="minorEastAsia" w:hAnsiTheme="minorEastAsia" w:eastAsiaTheme="minorEastAsia" w:cstheme="minorEastAsia"/>
                <w:color w:val="auto"/>
                <w:sz w:val="24"/>
                <w:szCs w:val="24"/>
              </w:rPr>
              <w:t>交货地点：</w:t>
            </w:r>
            <w:r>
              <w:rPr>
                <w:rFonts w:hint="eastAsia" w:asciiTheme="minorEastAsia" w:hAnsiTheme="minorEastAsia" w:eastAsiaTheme="minorEastAsia" w:cstheme="minorEastAsia"/>
                <w:color w:val="auto"/>
                <w:sz w:val="24"/>
                <w:szCs w:val="24"/>
                <w:lang w:eastAsia="zh-CN"/>
              </w:rPr>
              <w:t>信阳市南湾湖风景区</w:t>
            </w:r>
          </w:p>
        </w:tc>
      </w:tr>
      <w:bookmarkEnd w:id="32"/>
      <w:bookmarkEnd w:id="33"/>
      <w:bookmarkEnd w:id="34"/>
      <w:tr w14:paraId="2AF6AF8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664" w:hRule="atLeast"/>
        </w:trPr>
        <w:tc>
          <w:tcPr>
            <w:tcW w:w="1116" w:type="dxa"/>
            <w:noWrap w:val="0"/>
            <w:vAlign w:val="center"/>
          </w:tcPr>
          <w:p w14:paraId="719570A5">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color w:val="000000"/>
                <w:sz w:val="24"/>
                <w:szCs w:val="24"/>
              </w:rPr>
            </w:pPr>
            <w:bookmarkStart w:id="35" w:name="_Hlk218412128"/>
            <w:bookmarkStart w:id="36" w:name="OLE_LINK86" w:colFirst="0" w:colLast="66"/>
            <w:bookmarkStart w:id="37" w:name="OLE_LINK87" w:colFirst="0" w:colLast="66"/>
            <w:r>
              <w:rPr>
                <w:rFonts w:hint="eastAsia" w:asciiTheme="minorEastAsia" w:hAnsiTheme="minorEastAsia" w:eastAsiaTheme="minorEastAsia" w:cstheme="minorEastAsia"/>
                <w:color w:val="000000"/>
                <w:sz w:val="24"/>
                <w:szCs w:val="24"/>
              </w:rPr>
              <w:t>1.3.5</w:t>
            </w:r>
          </w:p>
        </w:tc>
        <w:tc>
          <w:tcPr>
            <w:tcW w:w="2166" w:type="dxa"/>
            <w:noWrap w:val="0"/>
            <w:vAlign w:val="center"/>
          </w:tcPr>
          <w:p w14:paraId="765865C0">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合同履行期限</w:t>
            </w:r>
          </w:p>
        </w:tc>
        <w:tc>
          <w:tcPr>
            <w:tcW w:w="5867" w:type="dxa"/>
            <w:noWrap w:val="0"/>
            <w:vAlign w:val="center"/>
          </w:tcPr>
          <w:p w14:paraId="30789A2F">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合同生效至</w:t>
            </w:r>
            <w:r>
              <w:rPr>
                <w:rFonts w:hint="eastAsia" w:asciiTheme="minorEastAsia" w:hAnsiTheme="minorEastAsia" w:eastAsiaTheme="minorEastAsia" w:cstheme="minorEastAsia"/>
                <w:color w:val="auto"/>
                <w:sz w:val="24"/>
                <w:szCs w:val="24"/>
                <w:lang w:val="en-US" w:eastAsia="zh-CN"/>
              </w:rPr>
              <w:t>质保期</w:t>
            </w:r>
            <w:r>
              <w:rPr>
                <w:rFonts w:hint="eastAsia" w:asciiTheme="minorEastAsia" w:hAnsiTheme="minorEastAsia" w:eastAsiaTheme="minorEastAsia" w:cstheme="minorEastAsia"/>
                <w:color w:val="auto"/>
                <w:sz w:val="24"/>
                <w:szCs w:val="24"/>
              </w:rPr>
              <w:t>结束</w:t>
            </w:r>
          </w:p>
        </w:tc>
      </w:tr>
      <w:tr w14:paraId="3C5E3A2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664" w:hRule="atLeast"/>
        </w:trPr>
        <w:tc>
          <w:tcPr>
            <w:tcW w:w="1116" w:type="dxa"/>
            <w:noWrap w:val="0"/>
            <w:vAlign w:val="center"/>
          </w:tcPr>
          <w:p w14:paraId="6C296D56">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1.3.6</w:t>
            </w:r>
          </w:p>
        </w:tc>
        <w:tc>
          <w:tcPr>
            <w:tcW w:w="2166" w:type="dxa"/>
            <w:noWrap w:val="0"/>
            <w:vAlign w:val="center"/>
          </w:tcPr>
          <w:p w14:paraId="36047CBB">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color w:val="000000"/>
                <w:sz w:val="24"/>
                <w:szCs w:val="24"/>
                <w:u w:val="single"/>
                <w:lang w:eastAsia="zh-CN"/>
              </w:rPr>
            </w:pPr>
            <w:r>
              <w:rPr>
                <w:rFonts w:hint="eastAsia" w:asciiTheme="minorEastAsia" w:hAnsiTheme="minorEastAsia" w:eastAsiaTheme="minorEastAsia" w:cstheme="minorEastAsia"/>
                <w:color w:val="000000"/>
                <w:sz w:val="24"/>
                <w:szCs w:val="24"/>
                <w:lang w:eastAsia="zh-CN"/>
              </w:rPr>
              <w:t>质保期</w:t>
            </w:r>
          </w:p>
        </w:tc>
        <w:tc>
          <w:tcPr>
            <w:tcW w:w="5867" w:type="dxa"/>
            <w:noWrap w:val="0"/>
            <w:vAlign w:val="center"/>
          </w:tcPr>
          <w:p w14:paraId="7CB34ED6">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Cs/>
                <w:color w:val="auto"/>
                <w:sz w:val="24"/>
                <w:szCs w:val="24"/>
                <w:lang w:val="en-US" w:eastAsia="zh-CN"/>
              </w:rPr>
              <w:t>一</w:t>
            </w:r>
            <w:r>
              <w:rPr>
                <w:rFonts w:hint="eastAsia" w:asciiTheme="minorEastAsia" w:hAnsiTheme="minorEastAsia" w:eastAsiaTheme="minorEastAsia" w:cstheme="minorEastAsia"/>
                <w:bCs/>
                <w:color w:val="auto"/>
                <w:sz w:val="24"/>
                <w:szCs w:val="24"/>
              </w:rPr>
              <w:t>年（通过采购人验收合格之日起开始计算）</w:t>
            </w:r>
          </w:p>
        </w:tc>
      </w:tr>
      <w:bookmarkEnd w:id="35"/>
      <w:bookmarkEnd w:id="36"/>
      <w:bookmarkEnd w:id="37"/>
      <w:tr w14:paraId="0B27708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600" w:hRule="atLeast"/>
        </w:trPr>
        <w:tc>
          <w:tcPr>
            <w:tcW w:w="1116" w:type="dxa"/>
            <w:noWrap w:val="0"/>
            <w:vAlign w:val="center"/>
          </w:tcPr>
          <w:p w14:paraId="5C46E762">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1.4.2.4</w:t>
            </w:r>
          </w:p>
        </w:tc>
        <w:tc>
          <w:tcPr>
            <w:tcW w:w="2166" w:type="dxa"/>
            <w:noWrap w:val="0"/>
            <w:vAlign w:val="center"/>
          </w:tcPr>
          <w:p w14:paraId="337794B2">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b w:val="0"/>
                <w:bCs/>
                <w:color w:val="auto"/>
                <w:sz w:val="24"/>
                <w:szCs w:val="24"/>
              </w:rPr>
              <w:t>投标人应具备的资格要求</w:t>
            </w:r>
          </w:p>
        </w:tc>
        <w:tc>
          <w:tcPr>
            <w:tcW w:w="5867" w:type="dxa"/>
            <w:noWrap w:val="0"/>
            <w:vAlign w:val="center"/>
          </w:tcPr>
          <w:p w14:paraId="4F4D0B12">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1.满足《中华人民共和国政府采购法》第二十二条规定：</w:t>
            </w:r>
          </w:p>
          <w:p w14:paraId="3408E643">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（1）具有独立承担民事责任的能力，提供有效的三证合一的营业执照或其他相关证明材料；</w:t>
            </w:r>
          </w:p>
          <w:p w14:paraId="51ED59CD">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（2）具有良好的商业信誉和健全的财务会计制度，提供2025年度财务审计报告，若投标人为成立时间不满一年，提供其基本开户银行出具的资信证明；</w:t>
            </w:r>
          </w:p>
          <w:p w14:paraId="2894120A">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（3）具有履行合同所必需的设备和专业技术能力（提供相关证明材料）；</w:t>
            </w:r>
          </w:p>
          <w:p w14:paraId="6B84BAD2">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（4）有依法缴纳税收和社会保障资金的良好记录，提供近一年（2025年8月1日）以来任意3个月依法缴纳税收和社会保障资金的证明材料，依法免税或不需要缴纳社会保障资金的投标人，应提供相应证明文件；</w:t>
            </w:r>
          </w:p>
          <w:p w14:paraId="0F5EACA2">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（5）参加政府采购活动前三年内，在经营活动中没有重大违法记录（提供书面声明）；</w:t>
            </w:r>
          </w:p>
          <w:p w14:paraId="41280BAB">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（6）法律、行政法规规定的其他条件。</w:t>
            </w:r>
          </w:p>
          <w:p w14:paraId="4D7E2FBA">
            <w:pPr>
              <w:keepNext w:val="0"/>
              <w:keepLines w:val="0"/>
              <w:pageBreakBefore w:val="0"/>
              <w:kinsoku/>
              <w:wordWrap/>
              <w:overflowPunct/>
              <w:topLinePunct w:val="0"/>
              <w:autoSpaceDE/>
              <w:autoSpaceDN/>
              <w:bidi w:val="0"/>
              <w:adjustRightInd/>
              <w:spacing w:line="400" w:lineRule="exact"/>
              <w:ind w:firstLine="480" w:firstLineChars="200"/>
              <w:textAlignment w:val="auto"/>
              <w:rPr>
                <w:rFonts w:hint="eastAsia" w:ascii="宋体" w:hAnsi="宋体" w:cs="宋体"/>
                <w:sz w:val="24"/>
                <w:szCs w:val="24"/>
              </w:rPr>
            </w:pPr>
            <w:r>
              <w:rPr>
                <w:rFonts w:hint="eastAsia" w:ascii="宋体" w:hAnsi="宋体" w:cs="宋体"/>
                <w:sz w:val="24"/>
                <w:szCs w:val="24"/>
              </w:rPr>
              <w:t>2</w:t>
            </w:r>
            <w:r>
              <w:rPr>
                <w:rFonts w:hint="eastAsia" w:ascii="宋体" w:hAnsi="宋体" w:cs="宋体"/>
                <w:sz w:val="24"/>
                <w:szCs w:val="24"/>
                <w:lang w:eastAsia="zh-CN"/>
              </w:rPr>
              <w:t>.</w:t>
            </w:r>
            <w:r>
              <w:rPr>
                <w:rFonts w:hint="eastAsia" w:ascii="宋体" w:hAnsi="宋体" w:cs="宋体"/>
                <w:sz w:val="24"/>
                <w:szCs w:val="24"/>
              </w:rPr>
              <w:t>落实政府采购政策需满足的资格要求：</w:t>
            </w:r>
          </w:p>
          <w:p w14:paraId="5119389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SourceHanSansCN-Regular" w:hAnsi="SourceHanSansCN-Regular" w:eastAsia="SourceHanSansCN-Regular" w:cs="SourceHanSansCN-Regular"/>
                <w:color w:val="333333"/>
                <w:sz w:val="24"/>
                <w:szCs w:val="24"/>
              </w:rPr>
            </w:pPr>
            <w:r>
              <w:rPr>
                <w:rFonts w:hint="eastAsia" w:ascii="宋体" w:hAnsi="宋体" w:cs="宋体"/>
                <w:sz w:val="24"/>
                <w:szCs w:val="24"/>
              </w:rPr>
              <w:t>本项目</w:t>
            </w:r>
            <w:r>
              <w:rPr>
                <w:rFonts w:hint="eastAsia" w:ascii="宋体" w:hAnsi="宋体" w:cs="宋体"/>
                <w:sz w:val="24"/>
                <w:szCs w:val="24"/>
                <w:lang w:eastAsia="zh-CN"/>
              </w:rPr>
              <w:t>专门面向中小企业采购</w:t>
            </w:r>
            <w:r>
              <w:rPr>
                <w:rFonts w:ascii="SourceHanSansCN-Regular" w:hAnsi="SourceHanSansCN-Regular" w:eastAsia="SourceHanSansCN-Regular" w:cs="SourceHanSansCN-Regular"/>
                <w:color w:val="333333"/>
                <w:sz w:val="24"/>
                <w:szCs w:val="24"/>
              </w:rPr>
              <w:t>。参加本项目的中小企业须提供《中小企业声明函》（格式详见</w:t>
            </w:r>
            <w:r>
              <w:rPr>
                <w:rFonts w:hint="eastAsia" w:ascii="SourceHanSansCN-Regular" w:hAnsi="SourceHanSansCN-Regular" w:eastAsia="宋体" w:cs="SourceHanSansCN-Regular"/>
                <w:color w:val="333333"/>
                <w:sz w:val="24"/>
                <w:szCs w:val="24"/>
                <w:lang w:val="en-US" w:eastAsia="zh-CN"/>
              </w:rPr>
              <w:t>招标</w:t>
            </w:r>
            <w:r>
              <w:rPr>
                <w:rFonts w:ascii="SourceHanSansCN-Regular" w:hAnsi="SourceHanSansCN-Regular" w:eastAsia="SourceHanSansCN-Regular" w:cs="SourceHanSansCN-Regular"/>
                <w:color w:val="333333"/>
                <w:sz w:val="24"/>
                <w:szCs w:val="24"/>
              </w:rPr>
              <w:t>文件内《中小企业声明函》样本），不符合要求的声明函或未提供的将视为不符合资格要求。本项目落实节约能源、保护环境、扶持不发达地区和少数民族地区发展，以及促进中小微企业、监狱企业及残疾人福利性单位发展等政府采购政策。</w:t>
            </w:r>
          </w:p>
          <w:p w14:paraId="57D781D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SourceHanSansCN-Regular" w:hAnsi="SourceHanSansCN-Regular" w:eastAsia="SourceHanSansCN-Regular" w:cs="SourceHanSansCN-Regular"/>
                <w:color w:val="333333"/>
                <w:sz w:val="24"/>
                <w:szCs w:val="24"/>
              </w:rPr>
            </w:pPr>
            <w:r>
              <w:rPr>
                <w:rFonts w:hint="eastAsia" w:ascii="SourceHanSansCN-Regular" w:hAnsi="SourceHanSansCN-Regular" w:eastAsia="SourceHanSansCN-Regular" w:cs="SourceHanSansCN-Regular"/>
                <w:color w:val="333333"/>
                <w:sz w:val="24"/>
                <w:szCs w:val="24"/>
                <w:lang w:val="en-US" w:eastAsia="zh-CN"/>
              </w:rPr>
              <w:t>3.</w:t>
            </w:r>
            <w:r>
              <w:rPr>
                <w:rFonts w:hint="eastAsia" w:ascii="SourceHanSansCN-Regular" w:hAnsi="SourceHanSansCN-Regular" w:eastAsia="SourceHanSansCN-Regular" w:cs="SourceHanSansCN-Regular"/>
                <w:color w:val="333333"/>
                <w:sz w:val="24"/>
                <w:szCs w:val="24"/>
              </w:rPr>
              <w:t>本项目的特定资格要求：</w:t>
            </w:r>
          </w:p>
          <w:p w14:paraId="21A959D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SourceHanSansCN-Regular" w:hAnsi="SourceHanSansCN-Regular" w:eastAsia="SourceHanSansCN-Regular" w:cs="SourceHanSansCN-Regular"/>
                <w:color w:val="333333"/>
                <w:sz w:val="24"/>
                <w:szCs w:val="24"/>
              </w:rPr>
            </w:pPr>
            <w:r>
              <w:rPr>
                <w:rFonts w:hint="eastAsia" w:ascii="SourceHanSansCN-Regular" w:hAnsi="SourceHanSansCN-Regular" w:eastAsia="SourceHanSansCN-Regular" w:cs="SourceHanSansCN-Regular"/>
                <w:color w:val="333333"/>
                <w:sz w:val="24"/>
                <w:szCs w:val="24"/>
              </w:rPr>
              <w:t>3.1单位负责人为同一人或者存在直接控股、管理关系的不同单位，不得同时参加同一合同项下的采购活动（提供加盖供应商公章的“国家企业信用信息公示系统”中公示的公司基础信息包含股东出资信息网页截图）。</w:t>
            </w:r>
          </w:p>
          <w:p w14:paraId="008CAAC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sz w:val="24"/>
                <w:szCs w:val="24"/>
                <w:lang w:eastAsia="zh-CN"/>
              </w:rPr>
            </w:pPr>
            <w:r>
              <w:rPr>
                <w:rFonts w:hint="eastAsia" w:ascii="SourceHanSansCN-Regular" w:hAnsi="SourceHanSansCN-Regular" w:eastAsia="SourceHanSansCN-Regular" w:cs="SourceHanSansCN-Regular"/>
                <w:color w:val="333333"/>
                <w:sz w:val="24"/>
                <w:szCs w:val="24"/>
              </w:rPr>
              <w:t>3.2根据《关于在政府采购活动中查询及使用信用记录有关问题的通知》财库[2016]125号文件和豫财购【2016】15号文件的规定，供应商应提供“信用中国”网站（www.creditchina.gov.cn）查询“失信被执行人”、“重大税收违法失信主体”；中国政府采购网（www.ccgp.gov.cn）查询“政府采购严重违法失信行为记录名单”渠道查询自身信用记录，提供查询网页截图，查询截止时点为：从公告发布之日起至投标截止之日止。</w:t>
            </w:r>
          </w:p>
        </w:tc>
      </w:tr>
      <w:tr w14:paraId="01B4098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306" w:hRule="atLeast"/>
        </w:trPr>
        <w:tc>
          <w:tcPr>
            <w:tcW w:w="1116" w:type="dxa"/>
            <w:noWrap w:val="0"/>
            <w:vAlign w:val="center"/>
          </w:tcPr>
          <w:p w14:paraId="24CC446D">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1.4.2.5</w:t>
            </w:r>
          </w:p>
        </w:tc>
        <w:tc>
          <w:tcPr>
            <w:tcW w:w="2166" w:type="dxa"/>
            <w:noWrap w:val="0"/>
            <w:vAlign w:val="center"/>
          </w:tcPr>
          <w:p w14:paraId="580353E9">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b/>
                <w:bCs/>
                <w:color w:val="auto"/>
                <w:sz w:val="24"/>
                <w:szCs w:val="24"/>
              </w:rPr>
            </w:pPr>
            <w:bookmarkStart w:id="38" w:name="OLE_LINK72"/>
            <w:bookmarkStart w:id="39" w:name="OLE_LINK69"/>
            <w:r>
              <w:rPr>
                <w:rFonts w:hint="eastAsia" w:asciiTheme="minorEastAsia" w:hAnsiTheme="minorEastAsia" w:eastAsiaTheme="minorEastAsia" w:cstheme="minorEastAsia"/>
                <w:b w:val="0"/>
                <w:bCs w:val="0"/>
                <w:color w:val="auto"/>
                <w:sz w:val="24"/>
                <w:szCs w:val="24"/>
              </w:rPr>
              <w:t>是否接受进口产品</w:t>
            </w:r>
            <w:bookmarkEnd w:id="38"/>
            <w:bookmarkEnd w:id="39"/>
          </w:p>
        </w:tc>
        <w:tc>
          <w:tcPr>
            <w:tcW w:w="5867" w:type="dxa"/>
            <w:noWrap w:val="0"/>
            <w:vAlign w:val="center"/>
          </w:tcPr>
          <w:p w14:paraId="25535555">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b w:val="0"/>
                <w:bCs w:val="0"/>
                <w:color w:val="auto"/>
                <w:sz w:val="24"/>
                <w:szCs w:val="24"/>
                <w:u w:val="single"/>
              </w:rPr>
            </w:pPr>
            <w:bookmarkStart w:id="40" w:name="OLE_LINK88"/>
            <w:bookmarkStart w:id="41" w:name="OLE_LINK89"/>
            <w:r>
              <w:rPr>
                <w:rFonts w:hint="eastAsia" w:asciiTheme="minorEastAsia" w:hAnsiTheme="minorEastAsia" w:eastAsiaTheme="minorEastAsia" w:cstheme="minorEastAsia"/>
                <w:color w:val="auto"/>
                <w:sz w:val="24"/>
                <w:szCs w:val="24"/>
              </w:rPr>
              <w:sym w:font="Wingdings 2" w:char="0052"/>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b w:val="0"/>
                <w:bCs w:val="0"/>
                <w:color w:val="auto"/>
                <w:sz w:val="24"/>
                <w:szCs w:val="24"/>
              </w:rPr>
              <w:t>不接受</w:t>
            </w:r>
          </w:p>
          <w:p w14:paraId="2E47D0B3">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color w:val="auto"/>
                <w:sz w:val="24"/>
                <w:szCs w:val="24"/>
              </w:rPr>
              <w:sym w:font="Wingdings 2" w:char="00A3"/>
            </w:r>
            <w:r>
              <w:rPr>
                <w:rFonts w:hint="eastAsia" w:asciiTheme="minorEastAsia" w:hAnsiTheme="minorEastAsia" w:eastAsiaTheme="minorEastAsia" w:cstheme="minorEastAsia"/>
                <w:b/>
                <w:bCs/>
                <w:color w:val="auto"/>
                <w:sz w:val="24"/>
                <w:szCs w:val="24"/>
              </w:rPr>
              <w:t xml:space="preserve"> </w:t>
            </w:r>
            <w:r>
              <w:rPr>
                <w:rFonts w:hint="eastAsia" w:asciiTheme="minorEastAsia" w:hAnsiTheme="minorEastAsia" w:eastAsiaTheme="minorEastAsia" w:cstheme="minorEastAsia"/>
                <w:color w:val="auto"/>
                <w:sz w:val="24"/>
                <w:szCs w:val="24"/>
              </w:rPr>
              <w:t>接受进口产品</w:t>
            </w:r>
            <w:bookmarkEnd w:id="40"/>
            <w:bookmarkEnd w:id="41"/>
          </w:p>
        </w:tc>
      </w:tr>
      <w:tr w14:paraId="18813979">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438" w:hRule="atLeast"/>
        </w:trPr>
        <w:tc>
          <w:tcPr>
            <w:tcW w:w="1116" w:type="dxa"/>
            <w:noWrap w:val="0"/>
            <w:vAlign w:val="center"/>
          </w:tcPr>
          <w:p w14:paraId="2C82D866">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1.4.2.6</w:t>
            </w:r>
          </w:p>
        </w:tc>
        <w:tc>
          <w:tcPr>
            <w:tcW w:w="2166" w:type="dxa"/>
            <w:noWrap w:val="0"/>
            <w:vAlign w:val="center"/>
          </w:tcPr>
          <w:p w14:paraId="4720E206">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是否为专门面向中小企业采购</w:t>
            </w:r>
          </w:p>
        </w:tc>
        <w:tc>
          <w:tcPr>
            <w:tcW w:w="5867" w:type="dxa"/>
            <w:noWrap w:val="0"/>
            <w:vAlign w:val="center"/>
          </w:tcPr>
          <w:p w14:paraId="292EFF89">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b/>
                <w:bCs/>
                <w:color w:val="auto"/>
                <w:sz w:val="24"/>
                <w:szCs w:val="24"/>
                <w:u w:val="single"/>
                <w:lang w:eastAsia="zh-CN"/>
              </w:rPr>
            </w:pPr>
            <w:r>
              <w:rPr>
                <w:rFonts w:hint="eastAsia" w:asciiTheme="minorEastAsia" w:hAnsiTheme="minorEastAsia" w:eastAsiaTheme="minorEastAsia" w:cstheme="minorEastAsia"/>
                <w:color w:val="auto"/>
                <w:sz w:val="24"/>
                <w:szCs w:val="24"/>
              </w:rPr>
              <w:sym w:font="Wingdings 2" w:char="0052"/>
            </w:r>
            <w:r>
              <w:rPr>
                <w:rFonts w:hint="eastAsia" w:asciiTheme="minorEastAsia" w:hAnsiTheme="minorEastAsia" w:eastAsiaTheme="minorEastAsia" w:cstheme="minorEastAsia"/>
                <w:b/>
                <w:bCs/>
                <w:color w:val="auto"/>
                <w:sz w:val="24"/>
                <w:szCs w:val="24"/>
                <w:lang w:val="en-US" w:eastAsia="zh-CN"/>
              </w:rPr>
              <w:t xml:space="preserve"> </w:t>
            </w:r>
            <w:r>
              <w:rPr>
                <w:rFonts w:hint="eastAsia" w:asciiTheme="minorEastAsia" w:hAnsiTheme="minorEastAsia" w:eastAsiaTheme="minorEastAsia" w:cstheme="minorEastAsia"/>
                <w:b w:val="0"/>
                <w:bCs w:val="0"/>
                <w:color w:val="auto"/>
                <w:sz w:val="24"/>
                <w:szCs w:val="24"/>
                <w:lang w:eastAsia="zh-CN"/>
              </w:rPr>
              <w:t>是</w:t>
            </w:r>
          </w:p>
          <w:p w14:paraId="682887B4">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sym w:font="Wingdings 2" w:char="00A3"/>
            </w:r>
            <w:r>
              <w:rPr>
                <w:rFonts w:hint="eastAsia" w:asciiTheme="minorEastAsia" w:hAnsiTheme="minorEastAsia" w:eastAsiaTheme="minorEastAsia" w:cstheme="minorEastAsia"/>
                <w:b/>
                <w:bCs/>
                <w:color w:val="auto"/>
                <w:sz w:val="24"/>
                <w:szCs w:val="24"/>
              </w:rPr>
              <w:t xml:space="preserve"> </w:t>
            </w:r>
            <w:r>
              <w:rPr>
                <w:rFonts w:hint="eastAsia" w:asciiTheme="minorEastAsia" w:hAnsiTheme="minorEastAsia" w:eastAsiaTheme="minorEastAsia" w:cstheme="minorEastAsia"/>
                <w:color w:val="auto"/>
                <w:sz w:val="24"/>
                <w:szCs w:val="24"/>
                <w:lang w:eastAsia="zh-CN"/>
              </w:rPr>
              <w:t>否</w:t>
            </w:r>
          </w:p>
        </w:tc>
      </w:tr>
      <w:tr w14:paraId="68F3C43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1675" w:hRule="atLeast"/>
        </w:trPr>
        <w:tc>
          <w:tcPr>
            <w:tcW w:w="1116" w:type="dxa"/>
            <w:noWrap w:val="0"/>
            <w:vAlign w:val="center"/>
          </w:tcPr>
          <w:p w14:paraId="3E86467D">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1.4.2.7</w:t>
            </w:r>
          </w:p>
        </w:tc>
        <w:tc>
          <w:tcPr>
            <w:tcW w:w="2166" w:type="dxa"/>
            <w:noWrap w:val="0"/>
            <w:vAlign w:val="center"/>
          </w:tcPr>
          <w:p w14:paraId="37A6652B">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政府强制采购产品</w:t>
            </w:r>
          </w:p>
        </w:tc>
        <w:tc>
          <w:tcPr>
            <w:tcW w:w="5867" w:type="dxa"/>
            <w:noWrap w:val="0"/>
            <w:vAlign w:val="center"/>
          </w:tcPr>
          <w:p w14:paraId="021DCD2D">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是否有政府强制采购的节能产品、网络关键设备和网络安全专用产品。</w:t>
            </w:r>
          </w:p>
          <w:p w14:paraId="071F2FF5">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sym w:font="Wingdings 2" w:char="00A3"/>
            </w:r>
            <w:r>
              <w:rPr>
                <w:rFonts w:hint="eastAsia" w:asciiTheme="minorEastAsia" w:hAnsiTheme="minorEastAsia" w:eastAsiaTheme="minorEastAsia" w:cstheme="minorEastAsia"/>
                <w:color w:val="auto"/>
                <w:sz w:val="24"/>
                <w:szCs w:val="24"/>
              </w:rPr>
              <w:t>有，具体产品为：</w:t>
            </w:r>
          </w:p>
          <w:p w14:paraId="538C145D">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color w:val="auto"/>
                <w:sz w:val="24"/>
                <w:szCs w:val="24"/>
                <w:u w:val="single"/>
                <w:lang w:eastAsia="zh-CN"/>
              </w:rPr>
            </w:pPr>
            <w:r>
              <w:rPr>
                <w:rFonts w:hint="eastAsia" w:asciiTheme="minorEastAsia" w:hAnsiTheme="minorEastAsia" w:eastAsiaTheme="minorEastAsia" w:cstheme="minorEastAsia"/>
                <w:color w:val="auto"/>
                <w:sz w:val="24"/>
                <w:szCs w:val="24"/>
              </w:rPr>
              <w:sym w:font="Wingdings 2" w:char="0052"/>
            </w:r>
            <w:r>
              <w:rPr>
                <w:rFonts w:hint="eastAsia" w:asciiTheme="minorEastAsia" w:hAnsiTheme="minorEastAsia" w:eastAsiaTheme="minorEastAsia" w:cstheme="minorEastAsia"/>
                <w:color w:val="auto"/>
                <w:sz w:val="24"/>
                <w:szCs w:val="24"/>
                <w:lang w:eastAsia="zh-CN"/>
              </w:rPr>
              <w:t>无</w:t>
            </w:r>
          </w:p>
        </w:tc>
      </w:tr>
      <w:tr w14:paraId="7A52FBA4">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438" w:hRule="atLeast"/>
        </w:trPr>
        <w:tc>
          <w:tcPr>
            <w:tcW w:w="1116" w:type="dxa"/>
            <w:noWrap w:val="0"/>
            <w:vAlign w:val="center"/>
          </w:tcPr>
          <w:p w14:paraId="4763C0D6">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1.4.3</w:t>
            </w:r>
          </w:p>
        </w:tc>
        <w:tc>
          <w:tcPr>
            <w:tcW w:w="2166" w:type="dxa"/>
            <w:noWrap w:val="0"/>
            <w:vAlign w:val="center"/>
          </w:tcPr>
          <w:p w14:paraId="2A732D87">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是否允许联合体投标</w:t>
            </w:r>
          </w:p>
        </w:tc>
        <w:tc>
          <w:tcPr>
            <w:tcW w:w="5867" w:type="dxa"/>
            <w:noWrap w:val="0"/>
            <w:vAlign w:val="center"/>
          </w:tcPr>
          <w:p w14:paraId="17C7D32F">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b/>
                <w:bCs/>
                <w:color w:val="auto"/>
                <w:sz w:val="24"/>
                <w:szCs w:val="24"/>
                <w:u w:val="single"/>
                <w:lang w:eastAsia="zh-CN"/>
              </w:rPr>
            </w:pPr>
            <w:r>
              <w:rPr>
                <w:rFonts w:hint="eastAsia" w:asciiTheme="minorEastAsia" w:hAnsiTheme="minorEastAsia" w:eastAsiaTheme="minorEastAsia" w:cstheme="minorEastAsia"/>
                <w:color w:val="auto"/>
                <w:sz w:val="24"/>
                <w:szCs w:val="24"/>
              </w:rPr>
              <w:sym w:font="Wingdings 2" w:char="00A3"/>
            </w:r>
            <w:r>
              <w:rPr>
                <w:rFonts w:hint="eastAsia" w:asciiTheme="minorEastAsia" w:hAnsiTheme="minorEastAsia" w:eastAsiaTheme="minorEastAsia" w:cstheme="minorEastAsia"/>
                <w:b/>
                <w:bCs/>
                <w:color w:val="auto"/>
                <w:sz w:val="24"/>
                <w:szCs w:val="24"/>
                <w:lang w:val="en-US" w:eastAsia="zh-CN"/>
              </w:rPr>
              <w:t xml:space="preserve"> </w:t>
            </w:r>
            <w:r>
              <w:rPr>
                <w:rFonts w:hint="eastAsia" w:asciiTheme="minorEastAsia" w:hAnsiTheme="minorEastAsia" w:eastAsiaTheme="minorEastAsia" w:cstheme="minorEastAsia"/>
                <w:b w:val="0"/>
                <w:bCs w:val="0"/>
                <w:color w:val="auto"/>
                <w:sz w:val="24"/>
                <w:szCs w:val="24"/>
                <w:lang w:eastAsia="zh-CN"/>
              </w:rPr>
              <w:t>是</w:t>
            </w:r>
          </w:p>
          <w:p w14:paraId="7F77F621">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sym w:font="Wingdings 2" w:char="0052"/>
            </w:r>
            <w:r>
              <w:rPr>
                <w:rFonts w:hint="eastAsia" w:asciiTheme="minorEastAsia" w:hAnsiTheme="minorEastAsia" w:eastAsiaTheme="minorEastAsia" w:cstheme="minorEastAsia"/>
                <w:b/>
                <w:bCs/>
                <w:color w:val="auto"/>
                <w:sz w:val="24"/>
                <w:szCs w:val="24"/>
              </w:rPr>
              <w:t xml:space="preserve"> </w:t>
            </w:r>
            <w:r>
              <w:rPr>
                <w:rFonts w:hint="eastAsia" w:asciiTheme="minorEastAsia" w:hAnsiTheme="minorEastAsia" w:eastAsiaTheme="minorEastAsia" w:cstheme="minorEastAsia"/>
                <w:color w:val="auto"/>
                <w:sz w:val="24"/>
                <w:szCs w:val="24"/>
                <w:lang w:eastAsia="zh-CN"/>
              </w:rPr>
              <w:t>否</w:t>
            </w:r>
          </w:p>
        </w:tc>
      </w:tr>
      <w:tr w14:paraId="0989904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301" w:hRule="atLeast"/>
        </w:trPr>
        <w:tc>
          <w:tcPr>
            <w:tcW w:w="1116" w:type="dxa"/>
            <w:noWrap w:val="0"/>
            <w:vAlign w:val="center"/>
          </w:tcPr>
          <w:p w14:paraId="781AB308">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1.4.3.8</w:t>
            </w:r>
          </w:p>
        </w:tc>
        <w:tc>
          <w:tcPr>
            <w:tcW w:w="2166" w:type="dxa"/>
            <w:noWrap w:val="0"/>
            <w:vAlign w:val="center"/>
          </w:tcPr>
          <w:p w14:paraId="470A46FC">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对联合体的其他资格要求</w:t>
            </w:r>
          </w:p>
        </w:tc>
        <w:tc>
          <w:tcPr>
            <w:tcW w:w="5867" w:type="dxa"/>
            <w:noWrap w:val="0"/>
            <w:vAlign w:val="center"/>
          </w:tcPr>
          <w:p w14:paraId="47259016">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b/>
                <w:bCs/>
                <w:color w:val="auto"/>
                <w:sz w:val="24"/>
                <w:szCs w:val="24"/>
                <w:u w:val="single"/>
                <w:lang w:eastAsia="zh-CN"/>
              </w:rPr>
            </w:pPr>
            <w:r>
              <w:rPr>
                <w:rFonts w:hint="eastAsia" w:asciiTheme="minorEastAsia" w:hAnsiTheme="minorEastAsia" w:eastAsiaTheme="minorEastAsia" w:cstheme="minorEastAsia"/>
                <w:color w:val="auto"/>
                <w:sz w:val="24"/>
                <w:szCs w:val="24"/>
              </w:rPr>
              <w:sym w:font="Wingdings 2" w:char="00A3"/>
            </w:r>
            <w:r>
              <w:rPr>
                <w:rFonts w:hint="eastAsia" w:asciiTheme="minorEastAsia" w:hAnsiTheme="minorEastAsia" w:eastAsiaTheme="minorEastAsia" w:cstheme="minorEastAsia"/>
                <w:b/>
                <w:bCs/>
                <w:color w:val="auto"/>
                <w:sz w:val="24"/>
                <w:szCs w:val="24"/>
                <w:lang w:val="en-US" w:eastAsia="zh-CN"/>
              </w:rPr>
              <w:t xml:space="preserve"> </w:t>
            </w:r>
            <w:r>
              <w:rPr>
                <w:rFonts w:hint="eastAsia" w:asciiTheme="minorEastAsia" w:hAnsiTheme="minorEastAsia" w:eastAsiaTheme="minorEastAsia" w:cstheme="minorEastAsia"/>
                <w:b w:val="0"/>
                <w:bCs w:val="0"/>
                <w:color w:val="auto"/>
                <w:sz w:val="24"/>
                <w:szCs w:val="24"/>
                <w:lang w:eastAsia="zh-CN"/>
              </w:rPr>
              <w:t>有，具体内容为：</w:t>
            </w:r>
          </w:p>
          <w:p w14:paraId="750D9302">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sym w:font="Wingdings 2" w:char="0052"/>
            </w:r>
            <w:r>
              <w:rPr>
                <w:rFonts w:hint="eastAsia" w:asciiTheme="minorEastAsia" w:hAnsiTheme="minorEastAsia" w:eastAsiaTheme="minorEastAsia" w:cstheme="minorEastAsia"/>
                <w:b/>
                <w:bCs/>
                <w:color w:val="auto"/>
                <w:sz w:val="24"/>
                <w:szCs w:val="24"/>
              </w:rPr>
              <w:t xml:space="preserve"> </w:t>
            </w:r>
            <w:r>
              <w:rPr>
                <w:rFonts w:hint="eastAsia" w:asciiTheme="minorEastAsia" w:hAnsiTheme="minorEastAsia" w:eastAsiaTheme="minorEastAsia" w:cstheme="minorEastAsia"/>
                <w:color w:val="auto"/>
                <w:sz w:val="24"/>
                <w:szCs w:val="24"/>
                <w:lang w:eastAsia="zh-CN"/>
              </w:rPr>
              <w:t>无</w:t>
            </w:r>
          </w:p>
        </w:tc>
      </w:tr>
      <w:tr w14:paraId="3675C2B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301" w:hRule="atLeast"/>
        </w:trPr>
        <w:tc>
          <w:tcPr>
            <w:tcW w:w="1116" w:type="dxa"/>
            <w:noWrap w:val="0"/>
            <w:vAlign w:val="center"/>
          </w:tcPr>
          <w:p w14:paraId="6A7B2A24">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2.3</w:t>
            </w:r>
          </w:p>
        </w:tc>
        <w:tc>
          <w:tcPr>
            <w:tcW w:w="2166" w:type="dxa"/>
            <w:noWrap w:val="0"/>
            <w:vAlign w:val="center"/>
          </w:tcPr>
          <w:p w14:paraId="011FCEA4">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8"/>
                <w:kern w:val="0"/>
                <w:sz w:val="24"/>
                <w:szCs w:val="24"/>
                <w:highlight w:val="none"/>
              </w:rPr>
              <w:t>是否执行对本国产品报价扣除政策</w:t>
            </w:r>
          </w:p>
        </w:tc>
        <w:tc>
          <w:tcPr>
            <w:tcW w:w="5867" w:type="dxa"/>
            <w:noWrap w:val="0"/>
            <w:vAlign w:val="center"/>
          </w:tcPr>
          <w:p w14:paraId="7A109970">
            <w:pPr>
              <w:keepNext w:val="0"/>
              <w:keepLines w:val="0"/>
              <w:pageBreakBefore w:val="0"/>
              <w:widowControl/>
              <w:shd w:val="clear" w:color="auto" w:fill="FFFFFF"/>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color w:val="auto"/>
                <w:spacing w:val="8"/>
                <w:kern w:val="0"/>
                <w:sz w:val="24"/>
                <w:szCs w:val="24"/>
                <w:highlight w:val="none"/>
              </w:rPr>
            </w:pPr>
            <w:r>
              <w:rPr>
                <w:rFonts w:hint="eastAsia" w:asciiTheme="minorEastAsia" w:hAnsiTheme="minorEastAsia" w:eastAsiaTheme="minorEastAsia" w:cstheme="minorEastAsia"/>
                <w:color w:val="auto"/>
                <w:sz w:val="24"/>
                <w:szCs w:val="24"/>
              </w:rPr>
              <w:sym w:font="Wingdings 2" w:char="00A3"/>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pacing w:val="8"/>
                <w:kern w:val="0"/>
                <w:sz w:val="24"/>
                <w:szCs w:val="24"/>
                <w:highlight w:val="none"/>
              </w:rPr>
              <w:t>否</w:t>
            </w:r>
          </w:p>
          <w:p w14:paraId="4D0613E7">
            <w:pPr>
              <w:keepNext w:val="0"/>
              <w:keepLines w:val="0"/>
              <w:pageBreakBefore w:val="0"/>
              <w:widowControl/>
              <w:shd w:val="clear" w:color="auto" w:fill="FFFFFF"/>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color w:val="auto"/>
                <w:spacing w:val="8"/>
                <w:kern w:val="0"/>
                <w:sz w:val="24"/>
                <w:szCs w:val="24"/>
                <w:highlight w:val="none"/>
              </w:rPr>
            </w:pPr>
            <w:r>
              <w:rPr>
                <w:rFonts w:hint="eastAsia" w:asciiTheme="minorEastAsia" w:hAnsiTheme="minorEastAsia" w:eastAsiaTheme="minorEastAsia" w:cstheme="minorEastAsia"/>
                <w:color w:val="auto"/>
                <w:sz w:val="24"/>
                <w:szCs w:val="24"/>
              </w:rPr>
              <w:sym w:font="Wingdings 2" w:char="0052"/>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pacing w:val="8"/>
                <w:kern w:val="0"/>
                <w:sz w:val="24"/>
                <w:szCs w:val="24"/>
                <w:highlight w:val="none"/>
              </w:rPr>
              <w:t>是</w:t>
            </w:r>
          </w:p>
          <w:p w14:paraId="4C5F5057">
            <w:pPr>
              <w:keepNext w:val="0"/>
              <w:keepLines w:val="0"/>
              <w:pageBreakBefore w:val="0"/>
              <w:kinsoku/>
              <w:wordWrap/>
              <w:overflowPunct/>
              <w:topLinePunct w:val="0"/>
              <w:autoSpaceDE/>
              <w:autoSpaceDN/>
              <w:bidi w:val="0"/>
              <w:adjustRightInd w:val="0"/>
              <w:snapToGrid w:val="0"/>
              <w:spacing w:line="390" w:lineRule="exact"/>
              <w:ind w:left="0" w:leftChars="0" w:firstLine="480" w:firstLineChars="20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tc>
      </w:tr>
      <w:tr w14:paraId="169C1125">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292" w:hRule="atLeast"/>
        </w:trPr>
        <w:tc>
          <w:tcPr>
            <w:tcW w:w="1116" w:type="dxa"/>
            <w:noWrap w:val="0"/>
            <w:vAlign w:val="center"/>
          </w:tcPr>
          <w:p w14:paraId="66785591">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1.7.2</w:t>
            </w:r>
          </w:p>
        </w:tc>
        <w:tc>
          <w:tcPr>
            <w:tcW w:w="2166" w:type="dxa"/>
            <w:noWrap w:val="0"/>
            <w:vAlign w:val="center"/>
          </w:tcPr>
          <w:p w14:paraId="3D316387">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投标</w:t>
            </w:r>
            <w:r>
              <w:rPr>
                <w:rFonts w:hint="eastAsia" w:asciiTheme="minorEastAsia" w:hAnsiTheme="minorEastAsia" w:eastAsiaTheme="minorEastAsia" w:cstheme="minorEastAsia"/>
                <w:color w:val="auto"/>
                <w:sz w:val="24"/>
                <w:szCs w:val="24"/>
              </w:rPr>
              <w:t>样品</w:t>
            </w:r>
          </w:p>
        </w:tc>
        <w:tc>
          <w:tcPr>
            <w:tcW w:w="5867" w:type="dxa"/>
            <w:noWrap w:val="0"/>
            <w:vAlign w:val="center"/>
          </w:tcPr>
          <w:p w14:paraId="49855543">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b/>
                <w:bCs/>
                <w:color w:val="auto"/>
                <w:sz w:val="24"/>
                <w:szCs w:val="24"/>
                <w:u w:val="single"/>
                <w:lang w:eastAsia="zh-CN"/>
              </w:rPr>
            </w:pPr>
            <w:r>
              <w:rPr>
                <w:rFonts w:hint="eastAsia" w:asciiTheme="minorEastAsia" w:hAnsiTheme="minorEastAsia" w:eastAsiaTheme="minorEastAsia" w:cstheme="minorEastAsia"/>
                <w:color w:val="auto"/>
                <w:sz w:val="24"/>
                <w:szCs w:val="24"/>
              </w:rPr>
              <w:sym w:font="Wingdings 2" w:char="00A3"/>
            </w:r>
            <w:r>
              <w:rPr>
                <w:rFonts w:hint="eastAsia" w:asciiTheme="minorEastAsia" w:hAnsiTheme="minorEastAsia" w:eastAsiaTheme="minorEastAsia" w:cstheme="minorEastAsia"/>
                <w:b/>
                <w:bCs/>
                <w:color w:val="auto"/>
                <w:sz w:val="24"/>
                <w:szCs w:val="24"/>
                <w:lang w:val="en-US" w:eastAsia="zh-CN"/>
              </w:rPr>
              <w:t xml:space="preserve"> </w:t>
            </w:r>
            <w:r>
              <w:rPr>
                <w:rFonts w:hint="eastAsia" w:asciiTheme="minorEastAsia" w:hAnsiTheme="minorEastAsia" w:eastAsiaTheme="minorEastAsia" w:cstheme="minorEastAsia"/>
                <w:b w:val="0"/>
                <w:bCs w:val="0"/>
                <w:color w:val="auto"/>
                <w:sz w:val="24"/>
                <w:szCs w:val="24"/>
                <w:lang w:eastAsia="zh-CN"/>
              </w:rPr>
              <w:t>有，具体要求为：</w:t>
            </w:r>
          </w:p>
          <w:p w14:paraId="20446710">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sym w:font="Wingdings 2" w:char="0052"/>
            </w:r>
            <w:r>
              <w:rPr>
                <w:rFonts w:hint="eastAsia" w:asciiTheme="minorEastAsia" w:hAnsiTheme="minorEastAsia" w:eastAsiaTheme="minorEastAsia" w:cstheme="minorEastAsia"/>
                <w:b/>
                <w:bCs/>
                <w:color w:val="auto"/>
                <w:sz w:val="24"/>
                <w:szCs w:val="24"/>
              </w:rPr>
              <w:t xml:space="preserve"> </w:t>
            </w:r>
            <w:r>
              <w:rPr>
                <w:rFonts w:hint="eastAsia" w:asciiTheme="minorEastAsia" w:hAnsiTheme="minorEastAsia" w:eastAsiaTheme="minorEastAsia" w:cstheme="minorEastAsia"/>
                <w:color w:val="auto"/>
                <w:sz w:val="24"/>
                <w:szCs w:val="24"/>
                <w:lang w:eastAsia="zh-CN"/>
              </w:rPr>
              <w:t>无</w:t>
            </w:r>
          </w:p>
        </w:tc>
      </w:tr>
      <w:tr w14:paraId="5C2A98E9">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292" w:hRule="atLeast"/>
        </w:trPr>
        <w:tc>
          <w:tcPr>
            <w:tcW w:w="1116" w:type="dxa"/>
            <w:noWrap w:val="0"/>
            <w:vAlign w:val="center"/>
          </w:tcPr>
          <w:p w14:paraId="309D9A8C">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3.2.1</w:t>
            </w:r>
          </w:p>
        </w:tc>
        <w:tc>
          <w:tcPr>
            <w:tcW w:w="2166" w:type="dxa"/>
            <w:noWrap w:val="0"/>
            <w:vAlign w:val="center"/>
          </w:tcPr>
          <w:p w14:paraId="60822ACB">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投标人提出</w:t>
            </w:r>
            <w:r>
              <w:rPr>
                <w:rFonts w:hint="eastAsia" w:asciiTheme="minorEastAsia" w:hAnsiTheme="minorEastAsia" w:eastAsiaTheme="minorEastAsia" w:cstheme="minorEastAsia"/>
                <w:color w:val="auto"/>
                <w:sz w:val="24"/>
                <w:szCs w:val="24"/>
                <w:lang w:eastAsia="zh-CN"/>
              </w:rPr>
              <w:t>质疑</w:t>
            </w:r>
            <w:r>
              <w:rPr>
                <w:rFonts w:hint="eastAsia" w:asciiTheme="minorEastAsia" w:hAnsiTheme="minorEastAsia" w:eastAsiaTheme="minorEastAsia" w:cstheme="minorEastAsia"/>
                <w:color w:val="auto"/>
                <w:sz w:val="24"/>
                <w:szCs w:val="24"/>
              </w:rPr>
              <w:t>的截止时间</w:t>
            </w:r>
          </w:p>
        </w:tc>
        <w:tc>
          <w:tcPr>
            <w:tcW w:w="5867" w:type="dxa"/>
            <w:noWrap w:val="0"/>
            <w:vAlign w:val="center"/>
          </w:tcPr>
          <w:p w14:paraId="4B759AD4">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获取招标文件之日或者招标文件公告期限届满之日起七个工作日内，由投标人在信阳市电子招投标交易平台上进行提问，</w:t>
            </w:r>
            <w:r>
              <w:rPr>
                <w:rFonts w:hint="eastAsia" w:asciiTheme="minorEastAsia" w:hAnsiTheme="minorEastAsia" w:eastAsiaTheme="minorEastAsia" w:cstheme="minorEastAsia"/>
                <w:color w:val="auto"/>
                <w:sz w:val="24"/>
                <w:szCs w:val="24"/>
                <w:lang w:val="en-US" w:eastAsia="zh-CN"/>
              </w:rPr>
              <w:t>并</w:t>
            </w:r>
            <w:r>
              <w:rPr>
                <w:rFonts w:hint="eastAsia" w:asciiTheme="minorEastAsia" w:hAnsiTheme="minorEastAsia" w:eastAsiaTheme="minorEastAsia" w:cstheme="minorEastAsia"/>
                <w:color w:val="auto"/>
                <w:sz w:val="24"/>
                <w:szCs w:val="24"/>
              </w:rPr>
              <w:t>附加盖企业公章的扫描件和Word电子版</w:t>
            </w:r>
            <w:r>
              <w:rPr>
                <w:rFonts w:hint="eastAsia" w:asciiTheme="minorEastAsia" w:hAnsiTheme="minorEastAsia" w:eastAsiaTheme="minorEastAsia" w:cstheme="minorEastAsia"/>
                <w:color w:val="auto"/>
                <w:sz w:val="24"/>
                <w:szCs w:val="24"/>
                <w:lang w:eastAsia="zh-CN"/>
              </w:rPr>
              <w:t>；</w:t>
            </w:r>
          </w:p>
          <w:p w14:paraId="2289C21A">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同时电话通知采购人或</w:t>
            </w:r>
            <w:r>
              <w:rPr>
                <w:rFonts w:hint="eastAsia" w:asciiTheme="minorEastAsia" w:hAnsiTheme="minorEastAsia" w:eastAsiaTheme="minorEastAsia" w:cstheme="minorEastAsia"/>
                <w:color w:val="auto"/>
                <w:sz w:val="24"/>
                <w:szCs w:val="24"/>
                <w:lang w:val="en-US" w:eastAsia="zh-CN"/>
              </w:rPr>
              <w:t>采购</w:t>
            </w:r>
            <w:r>
              <w:rPr>
                <w:rFonts w:hint="eastAsia" w:asciiTheme="minorEastAsia" w:hAnsiTheme="minorEastAsia" w:eastAsiaTheme="minorEastAsia" w:cstheme="minorEastAsia"/>
                <w:color w:val="auto"/>
                <w:sz w:val="24"/>
                <w:szCs w:val="24"/>
              </w:rPr>
              <w:t>代理机构。</w:t>
            </w:r>
          </w:p>
        </w:tc>
      </w:tr>
      <w:tr w14:paraId="486A3B0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292" w:hRule="atLeast"/>
        </w:trPr>
        <w:tc>
          <w:tcPr>
            <w:tcW w:w="1116" w:type="dxa"/>
            <w:noWrap w:val="0"/>
            <w:vAlign w:val="center"/>
          </w:tcPr>
          <w:p w14:paraId="64C99685">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3.2.3</w:t>
            </w:r>
          </w:p>
        </w:tc>
        <w:tc>
          <w:tcPr>
            <w:tcW w:w="2166" w:type="dxa"/>
            <w:noWrap w:val="0"/>
            <w:vAlign w:val="center"/>
          </w:tcPr>
          <w:p w14:paraId="5F46611A">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招标文件的澄清更正或修改</w:t>
            </w:r>
          </w:p>
        </w:tc>
        <w:tc>
          <w:tcPr>
            <w:tcW w:w="5867" w:type="dxa"/>
            <w:noWrap w:val="0"/>
            <w:vAlign w:val="center"/>
          </w:tcPr>
          <w:p w14:paraId="34BDC7A1">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发布时间：</w:t>
            </w:r>
            <w:r>
              <w:rPr>
                <w:rFonts w:hint="eastAsia" w:asciiTheme="minorEastAsia" w:hAnsiTheme="minorEastAsia" w:eastAsiaTheme="minorEastAsia" w:cstheme="minorEastAsia"/>
                <w:bCs/>
                <w:color w:val="auto"/>
                <w:sz w:val="24"/>
                <w:szCs w:val="24"/>
                <w:highlight w:val="none"/>
              </w:rPr>
              <w:t>澄清或修改的内容可能影响投标文件编制的，采购人或者采购代理机构应当在投标截止时间至少15日前，在招标公告发布媒体同时发布，并通过</w:t>
            </w:r>
            <w:r>
              <w:rPr>
                <w:rFonts w:hint="eastAsia" w:asciiTheme="minorEastAsia" w:hAnsiTheme="minorEastAsia" w:eastAsiaTheme="minorEastAsia" w:cstheme="minorEastAsia"/>
                <w:color w:val="auto"/>
                <w:sz w:val="24"/>
                <w:szCs w:val="24"/>
              </w:rPr>
              <w:t>信阳市电子招投标交易平台</w:t>
            </w:r>
            <w:r>
              <w:rPr>
                <w:rFonts w:hint="eastAsia" w:asciiTheme="minorEastAsia" w:hAnsiTheme="minorEastAsia" w:eastAsiaTheme="minorEastAsia" w:cstheme="minorEastAsia"/>
                <w:bCs/>
                <w:color w:val="auto"/>
                <w:sz w:val="24"/>
                <w:szCs w:val="24"/>
                <w:highlight w:val="none"/>
              </w:rPr>
              <w:t>发出通知；不足15日的，采购人或者采购代理机构应当顺延投标截止时间。</w:t>
            </w:r>
          </w:p>
        </w:tc>
      </w:tr>
      <w:tr w14:paraId="618F299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1291" w:hRule="atLeast"/>
        </w:trPr>
        <w:tc>
          <w:tcPr>
            <w:tcW w:w="1116" w:type="dxa"/>
            <w:noWrap w:val="0"/>
            <w:vAlign w:val="center"/>
          </w:tcPr>
          <w:p w14:paraId="07988CBC">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4.3.1</w:t>
            </w:r>
          </w:p>
        </w:tc>
        <w:tc>
          <w:tcPr>
            <w:tcW w:w="2166" w:type="dxa"/>
            <w:noWrap w:val="0"/>
            <w:vAlign w:val="center"/>
          </w:tcPr>
          <w:p w14:paraId="6D092F79">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技术证明文件</w:t>
            </w:r>
          </w:p>
        </w:tc>
        <w:tc>
          <w:tcPr>
            <w:tcW w:w="5867" w:type="dxa"/>
            <w:noWrap w:val="0"/>
            <w:vAlign w:val="center"/>
          </w:tcPr>
          <w:p w14:paraId="25622A2B">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招标文件中要求提供技术证明文件的条款，</w:t>
            </w:r>
            <w:r>
              <w:rPr>
                <w:rFonts w:hint="eastAsia" w:asciiTheme="minorEastAsia" w:hAnsiTheme="minorEastAsia" w:eastAsiaTheme="minorEastAsia" w:cstheme="minorEastAsia"/>
                <w:color w:val="auto"/>
                <w:sz w:val="24"/>
                <w:szCs w:val="24"/>
                <w:highlight w:val="none"/>
              </w:rPr>
              <w:t>投标人应在技术偏差表中为该条款标注技术证明文件在投标文件中的页码，供评委审查。</w:t>
            </w:r>
          </w:p>
        </w:tc>
      </w:tr>
      <w:tr w14:paraId="2407EC1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567" w:hRule="exact"/>
        </w:trPr>
        <w:tc>
          <w:tcPr>
            <w:tcW w:w="1116" w:type="dxa"/>
            <w:noWrap w:val="0"/>
            <w:vAlign w:val="center"/>
          </w:tcPr>
          <w:p w14:paraId="1937304B">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4.4</w:t>
            </w:r>
          </w:p>
        </w:tc>
        <w:tc>
          <w:tcPr>
            <w:tcW w:w="2166" w:type="dxa"/>
            <w:noWrap w:val="0"/>
            <w:vAlign w:val="center"/>
          </w:tcPr>
          <w:p w14:paraId="681A5232">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投标报价</w:t>
            </w:r>
          </w:p>
        </w:tc>
        <w:tc>
          <w:tcPr>
            <w:tcW w:w="5867" w:type="dxa"/>
            <w:noWrap w:val="0"/>
            <w:vAlign w:val="center"/>
          </w:tcPr>
          <w:p w14:paraId="38673E0E">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投标人应按招标文件中的相关要求进行报价</w:t>
            </w:r>
          </w:p>
        </w:tc>
      </w:tr>
      <w:tr w14:paraId="002488D6">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567" w:hRule="exact"/>
        </w:trPr>
        <w:tc>
          <w:tcPr>
            <w:tcW w:w="1116" w:type="dxa"/>
            <w:noWrap w:val="0"/>
            <w:vAlign w:val="center"/>
          </w:tcPr>
          <w:p w14:paraId="60F7D3FF">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4.6.1</w:t>
            </w:r>
          </w:p>
        </w:tc>
        <w:tc>
          <w:tcPr>
            <w:tcW w:w="2166" w:type="dxa"/>
            <w:noWrap w:val="0"/>
            <w:vAlign w:val="center"/>
          </w:tcPr>
          <w:p w14:paraId="1581A864">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投标保证金</w:t>
            </w:r>
          </w:p>
        </w:tc>
        <w:tc>
          <w:tcPr>
            <w:tcW w:w="5867" w:type="dxa"/>
            <w:noWrap w:val="0"/>
            <w:vAlign w:val="center"/>
          </w:tcPr>
          <w:p w14:paraId="608FA8CD">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本项目不收取投标保证金</w:t>
            </w:r>
          </w:p>
        </w:tc>
      </w:tr>
      <w:tr w14:paraId="6D1365F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567" w:hRule="exact"/>
        </w:trPr>
        <w:tc>
          <w:tcPr>
            <w:tcW w:w="1116" w:type="dxa"/>
            <w:noWrap w:val="0"/>
            <w:vAlign w:val="center"/>
          </w:tcPr>
          <w:p w14:paraId="778ECC8F">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4.7.1</w:t>
            </w:r>
          </w:p>
        </w:tc>
        <w:tc>
          <w:tcPr>
            <w:tcW w:w="2166" w:type="dxa"/>
            <w:noWrap w:val="0"/>
            <w:vAlign w:val="center"/>
          </w:tcPr>
          <w:p w14:paraId="54350875">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投标有效期</w:t>
            </w:r>
          </w:p>
        </w:tc>
        <w:tc>
          <w:tcPr>
            <w:tcW w:w="5867" w:type="dxa"/>
            <w:noWrap w:val="0"/>
            <w:vAlign w:val="center"/>
          </w:tcPr>
          <w:p w14:paraId="4A3D7ED3">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sz w:val="24"/>
                <w:szCs w:val="24"/>
                <w:u w:val="single"/>
                <w:lang w:val="en-US" w:eastAsia="zh-CN"/>
              </w:rPr>
            </w:pPr>
            <w:r>
              <w:rPr>
                <w:rFonts w:hint="eastAsia" w:asciiTheme="minorEastAsia" w:hAnsiTheme="minorEastAsia" w:eastAsiaTheme="minorEastAsia" w:cstheme="minorEastAsia"/>
                <w:sz w:val="24"/>
                <w:szCs w:val="24"/>
              </w:rPr>
              <w:t>提交投标文件截止之日起</w:t>
            </w:r>
            <w:r>
              <w:rPr>
                <w:rFonts w:hint="eastAsia" w:asciiTheme="minorEastAsia" w:hAnsiTheme="minorEastAsia" w:eastAsiaTheme="minorEastAsia" w:cstheme="minorEastAsia"/>
                <w:sz w:val="24"/>
                <w:szCs w:val="24"/>
                <w:u w:val="single"/>
                <w:lang w:val="en-US" w:eastAsia="zh-CN"/>
              </w:rPr>
              <w:t>60</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日历</w:t>
            </w:r>
            <w:r>
              <w:rPr>
                <w:rFonts w:hint="eastAsia" w:asciiTheme="minorEastAsia" w:hAnsiTheme="minorEastAsia" w:eastAsiaTheme="minorEastAsia" w:cstheme="minorEastAsia"/>
                <w:sz w:val="24"/>
                <w:szCs w:val="24"/>
                <w:lang w:val="en-US" w:eastAsia="zh-CN"/>
              </w:rPr>
              <w:t>天</w:t>
            </w:r>
          </w:p>
        </w:tc>
      </w:tr>
      <w:tr w14:paraId="11AECBC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567" w:hRule="exact"/>
        </w:trPr>
        <w:tc>
          <w:tcPr>
            <w:tcW w:w="1116" w:type="dxa"/>
            <w:noWrap w:val="0"/>
            <w:vAlign w:val="center"/>
          </w:tcPr>
          <w:p w14:paraId="53DA30FF">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5.2.1</w:t>
            </w:r>
          </w:p>
        </w:tc>
        <w:tc>
          <w:tcPr>
            <w:tcW w:w="2166" w:type="dxa"/>
            <w:noWrap w:val="0"/>
            <w:vAlign w:val="center"/>
          </w:tcPr>
          <w:p w14:paraId="20EB65D7">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投标截止时间</w:t>
            </w:r>
          </w:p>
        </w:tc>
        <w:tc>
          <w:tcPr>
            <w:tcW w:w="5867" w:type="dxa"/>
            <w:noWrap w:val="0"/>
            <w:vAlign w:val="center"/>
          </w:tcPr>
          <w:p w14:paraId="4F041F69">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b/>
                <w:bCs/>
                <w:color w:val="FF0000"/>
                <w:sz w:val="24"/>
                <w:szCs w:val="24"/>
              </w:rPr>
            </w:pPr>
            <w:r>
              <w:rPr>
                <w:rFonts w:hint="eastAsia" w:ascii="宋体" w:hAnsi="宋体" w:eastAsia="宋体" w:cs="宋体"/>
                <w:color w:val="auto"/>
                <w:sz w:val="24"/>
                <w:szCs w:val="24"/>
                <w:u w:val="single"/>
                <w:shd w:val="clear"/>
              </w:rPr>
              <w:t>202</w:t>
            </w:r>
            <w:r>
              <w:rPr>
                <w:rFonts w:hint="eastAsia" w:ascii="宋体" w:hAnsi="宋体" w:eastAsia="宋体" w:cs="宋体"/>
                <w:color w:val="auto"/>
                <w:sz w:val="24"/>
                <w:szCs w:val="24"/>
                <w:u w:val="single"/>
                <w:shd w:val="clear"/>
                <w:lang w:val="en-US" w:eastAsia="zh-CN"/>
              </w:rPr>
              <w:t>6</w:t>
            </w:r>
            <w:r>
              <w:rPr>
                <w:rFonts w:hint="eastAsia" w:ascii="宋体" w:hAnsi="宋体" w:eastAsia="宋体" w:cs="宋体"/>
                <w:color w:val="auto"/>
                <w:sz w:val="24"/>
                <w:szCs w:val="24"/>
                <w:u w:val="single"/>
                <w:shd w:val="clear"/>
              </w:rPr>
              <w:t>年</w:t>
            </w:r>
            <w:r>
              <w:rPr>
                <w:rFonts w:hint="eastAsia" w:ascii="宋体" w:hAnsi="宋体" w:cs="宋体"/>
                <w:color w:val="auto"/>
                <w:sz w:val="24"/>
                <w:szCs w:val="24"/>
                <w:u w:val="single"/>
                <w:shd w:val="clear"/>
                <w:lang w:val="en-US" w:eastAsia="zh-CN"/>
              </w:rPr>
              <w:t xml:space="preserve"> 10   </w:t>
            </w:r>
            <w:r>
              <w:rPr>
                <w:rFonts w:hint="eastAsia" w:ascii="宋体" w:hAnsi="宋体" w:eastAsia="宋体" w:cs="宋体"/>
                <w:color w:val="auto"/>
                <w:sz w:val="24"/>
                <w:szCs w:val="24"/>
                <w:u w:val="single"/>
                <w:shd w:val="clear"/>
              </w:rPr>
              <w:t>月</w:t>
            </w:r>
            <w:r>
              <w:rPr>
                <w:rFonts w:hint="eastAsia" w:ascii="宋体" w:hAnsi="宋体" w:cs="宋体"/>
                <w:color w:val="auto"/>
                <w:sz w:val="24"/>
                <w:szCs w:val="24"/>
                <w:u w:val="single"/>
                <w:shd w:val="clear"/>
                <w:lang w:val="en-US" w:eastAsia="zh-CN"/>
              </w:rPr>
              <w:t xml:space="preserve"> 12  </w:t>
            </w:r>
            <w:r>
              <w:rPr>
                <w:rFonts w:hint="eastAsia" w:ascii="宋体" w:hAnsi="宋体" w:eastAsia="宋体" w:cs="宋体"/>
                <w:color w:val="auto"/>
                <w:sz w:val="24"/>
                <w:szCs w:val="24"/>
                <w:u w:val="single"/>
                <w:shd w:val="clear"/>
              </w:rPr>
              <w:t>日09时</w:t>
            </w:r>
            <w:r>
              <w:rPr>
                <w:rFonts w:hint="eastAsia" w:ascii="宋体" w:hAnsi="宋体" w:eastAsia="宋体" w:cs="宋体"/>
                <w:color w:val="auto"/>
                <w:sz w:val="24"/>
                <w:szCs w:val="24"/>
                <w:u w:val="single"/>
                <w:shd w:val="clear"/>
                <w:lang w:val="en-US" w:eastAsia="zh-CN"/>
              </w:rPr>
              <w:t>00</w:t>
            </w:r>
            <w:r>
              <w:rPr>
                <w:rFonts w:hint="eastAsia" w:ascii="宋体" w:hAnsi="宋体" w:eastAsia="宋体" w:cs="宋体"/>
                <w:color w:val="auto"/>
                <w:sz w:val="24"/>
                <w:szCs w:val="24"/>
                <w:u w:val="single"/>
                <w:shd w:val="clear"/>
              </w:rPr>
              <w:t>分</w:t>
            </w:r>
            <w:r>
              <w:rPr>
                <w:rFonts w:hint="eastAsia" w:asciiTheme="minorEastAsia" w:hAnsiTheme="minorEastAsia" w:eastAsiaTheme="minorEastAsia" w:cstheme="minorEastAsia"/>
                <w:b/>
                <w:bCs/>
                <w:color w:val="auto"/>
                <w:sz w:val="24"/>
                <w:szCs w:val="24"/>
              </w:rPr>
              <w:t>（北京时间）</w:t>
            </w:r>
          </w:p>
        </w:tc>
      </w:tr>
      <w:tr w14:paraId="56D5E365">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415" w:hRule="atLeast"/>
        </w:trPr>
        <w:tc>
          <w:tcPr>
            <w:tcW w:w="1116" w:type="dxa"/>
            <w:noWrap w:val="0"/>
            <w:vAlign w:val="center"/>
          </w:tcPr>
          <w:p w14:paraId="0997ED1B">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6.1.1</w:t>
            </w:r>
          </w:p>
        </w:tc>
        <w:tc>
          <w:tcPr>
            <w:tcW w:w="2166" w:type="dxa"/>
            <w:noWrap w:val="0"/>
            <w:vAlign w:val="center"/>
          </w:tcPr>
          <w:p w14:paraId="3AA1C12C">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t>开标时间及地点</w:t>
            </w:r>
          </w:p>
        </w:tc>
        <w:tc>
          <w:tcPr>
            <w:tcW w:w="5867" w:type="dxa"/>
            <w:noWrap w:val="0"/>
            <w:vAlign w:val="center"/>
          </w:tcPr>
          <w:p w14:paraId="6E0705C0">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b w:val="0"/>
                <w:bCs w:val="0"/>
                <w:color w:val="auto"/>
                <w:sz w:val="24"/>
                <w:szCs w:val="24"/>
                <w:u w:val="single"/>
                <w:lang w:eastAsia="zh-CN"/>
              </w:rPr>
            </w:pPr>
            <w:r>
              <w:rPr>
                <w:rFonts w:hint="eastAsia" w:asciiTheme="minorEastAsia" w:hAnsiTheme="minorEastAsia" w:eastAsiaTheme="minorEastAsia" w:cstheme="minorEastAsia"/>
                <w:b w:val="0"/>
                <w:bCs w:val="0"/>
                <w:color w:val="auto"/>
                <w:sz w:val="24"/>
                <w:szCs w:val="24"/>
              </w:rPr>
              <w:t>开标时间：同投标截止时间</w:t>
            </w:r>
            <w:r>
              <w:rPr>
                <w:rFonts w:hint="eastAsia" w:asciiTheme="minorEastAsia" w:hAnsiTheme="minorEastAsia" w:eastAsiaTheme="minorEastAsia" w:cstheme="minorEastAsia"/>
                <w:b w:val="0"/>
                <w:bCs w:val="0"/>
                <w:color w:val="auto"/>
                <w:sz w:val="24"/>
                <w:szCs w:val="24"/>
                <w:lang w:eastAsia="zh-CN"/>
              </w:rPr>
              <w:t>；</w:t>
            </w:r>
          </w:p>
          <w:p w14:paraId="737BDB5B">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rPr>
              <w:t xml:space="preserve">开标地点：信阳市公共资源交易中心AI机器人开标虚拟 </w:t>
            </w:r>
            <w:r>
              <w:rPr>
                <w:rFonts w:hint="eastAsia" w:asciiTheme="minorEastAsia" w:hAnsiTheme="minorEastAsia" w:eastAsiaTheme="minorEastAsia" w:cstheme="minorEastAsia"/>
                <w:b w:val="0"/>
                <w:bCs w:val="0"/>
                <w:color w:val="auto"/>
                <w:sz w:val="24"/>
                <w:szCs w:val="24"/>
                <w:lang w:val="en-US" w:eastAsia="zh-CN"/>
              </w:rPr>
              <w:t>二</w:t>
            </w:r>
            <w:r>
              <w:rPr>
                <w:rFonts w:hint="eastAsia" w:asciiTheme="minorEastAsia" w:hAnsiTheme="minorEastAsia" w:eastAsiaTheme="minorEastAsia" w:cstheme="minorEastAsia"/>
                <w:b w:val="0"/>
                <w:bCs w:val="0"/>
                <w:color w:val="auto"/>
                <w:sz w:val="24"/>
                <w:szCs w:val="24"/>
              </w:rPr>
              <w:t>厅</w:t>
            </w:r>
            <w:r>
              <w:rPr>
                <w:rFonts w:hint="eastAsia" w:asciiTheme="minorEastAsia" w:hAnsiTheme="minorEastAsia" w:eastAsiaTheme="minorEastAsia" w:cstheme="minorEastAsia"/>
                <w:b w:val="0"/>
                <w:bCs w:val="0"/>
                <w:color w:val="auto"/>
                <w:sz w:val="24"/>
                <w:szCs w:val="24"/>
                <w:lang w:eastAsia="zh-CN"/>
              </w:rPr>
              <w:t>。</w:t>
            </w:r>
          </w:p>
        </w:tc>
      </w:tr>
      <w:tr w14:paraId="4D435AC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415" w:hRule="atLeast"/>
        </w:trPr>
        <w:tc>
          <w:tcPr>
            <w:tcW w:w="1116" w:type="dxa"/>
            <w:noWrap w:val="0"/>
            <w:vAlign w:val="center"/>
          </w:tcPr>
          <w:p w14:paraId="57C4842F">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6.1.2</w:t>
            </w:r>
          </w:p>
        </w:tc>
        <w:tc>
          <w:tcPr>
            <w:tcW w:w="2166" w:type="dxa"/>
            <w:noWrap w:val="0"/>
            <w:vAlign w:val="center"/>
          </w:tcPr>
          <w:p w14:paraId="409E88B8">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加密的电子投标文件解密时间</w:t>
            </w:r>
          </w:p>
        </w:tc>
        <w:tc>
          <w:tcPr>
            <w:tcW w:w="5867" w:type="dxa"/>
            <w:noWrap w:val="0"/>
            <w:vAlign w:val="center"/>
          </w:tcPr>
          <w:p w14:paraId="6633EE4A">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在开始解密本单位电子投标文件后的20分钟内完成远程解密。若在规定时间内未解密，也未在20分钟内联系到采购代理机构，交易系统会自动退回其投标文件</w:t>
            </w:r>
            <w:r>
              <w:rPr>
                <w:rFonts w:hint="eastAsia" w:asciiTheme="minorEastAsia" w:hAnsiTheme="minorEastAsia" w:eastAsiaTheme="minorEastAsia" w:cstheme="minorEastAsia"/>
                <w:bCs/>
                <w:sz w:val="24"/>
                <w:szCs w:val="24"/>
                <w:highlight w:val="none"/>
              </w:rPr>
              <w:t>。</w:t>
            </w:r>
          </w:p>
        </w:tc>
      </w:tr>
      <w:tr w14:paraId="2E2A887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415" w:hRule="atLeast"/>
        </w:trPr>
        <w:tc>
          <w:tcPr>
            <w:tcW w:w="1116" w:type="dxa"/>
            <w:noWrap w:val="0"/>
            <w:vAlign w:val="center"/>
          </w:tcPr>
          <w:p w14:paraId="45B0A798">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color w:val="FF0000"/>
                <w:sz w:val="24"/>
                <w:szCs w:val="24"/>
              </w:rPr>
            </w:pPr>
            <w:r>
              <w:rPr>
                <w:rFonts w:hint="eastAsia" w:asciiTheme="minorEastAsia" w:hAnsiTheme="minorEastAsia" w:eastAsiaTheme="minorEastAsia" w:cstheme="minorEastAsia"/>
                <w:sz w:val="24"/>
                <w:szCs w:val="24"/>
              </w:rPr>
              <w:t>6.3.2</w:t>
            </w:r>
          </w:p>
        </w:tc>
        <w:tc>
          <w:tcPr>
            <w:tcW w:w="2166" w:type="dxa"/>
            <w:noWrap w:val="0"/>
            <w:vAlign w:val="center"/>
          </w:tcPr>
          <w:p w14:paraId="73805F6F">
            <w:pPr>
              <w:keepNext w:val="0"/>
              <w:keepLines w:val="0"/>
              <w:pageBreakBefore w:val="0"/>
              <w:widowControl w:val="0"/>
              <w:tabs>
                <w:tab w:val="left" w:pos="720"/>
              </w:tabs>
              <w:kinsoku/>
              <w:wordWrap/>
              <w:overflowPunct/>
              <w:topLinePunct w:val="0"/>
              <w:autoSpaceDE/>
              <w:autoSpaceDN/>
              <w:bidi w:val="0"/>
              <w:adjustRightInd w:val="0"/>
              <w:snapToGrid w:val="0"/>
              <w:spacing w:line="390" w:lineRule="exact"/>
              <w:ind w:left="840" w:leftChars="0" w:hanging="840" w:hangingChars="35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评标委员会的组成</w:t>
            </w:r>
          </w:p>
        </w:tc>
        <w:tc>
          <w:tcPr>
            <w:tcW w:w="5867" w:type="dxa"/>
            <w:noWrap w:val="0"/>
            <w:vAlign w:val="center"/>
          </w:tcPr>
          <w:p w14:paraId="3D724309">
            <w:pPr>
              <w:keepNext w:val="0"/>
              <w:keepLines w:val="0"/>
              <w:pageBreakBefore w:val="0"/>
              <w:tabs>
                <w:tab w:val="left" w:pos="720"/>
              </w:tabs>
              <w:kinsoku/>
              <w:wordWrap/>
              <w:overflowPunct/>
              <w:topLinePunct w:val="0"/>
              <w:autoSpaceDE/>
              <w:autoSpaceDN/>
              <w:bidi w:val="0"/>
              <w:adjustRightInd w:val="0"/>
              <w:snapToGrid w:val="0"/>
              <w:spacing w:line="390" w:lineRule="exact"/>
              <w:ind w:left="840" w:leftChars="0" w:hanging="840" w:hangingChars="35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评标委员会成员人数：</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人。</w:t>
            </w:r>
          </w:p>
          <w:p w14:paraId="3E8D947B">
            <w:pPr>
              <w:pStyle w:val="18"/>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评标委员会由采购人代表和评审专家组成。</w:t>
            </w:r>
            <w:r>
              <w:rPr>
                <w:rFonts w:hint="eastAsia" w:asciiTheme="minorEastAsia" w:hAnsiTheme="minorEastAsia" w:eastAsiaTheme="minorEastAsia" w:cstheme="minorEastAsia"/>
                <w:bCs/>
                <w:color w:val="auto"/>
                <w:sz w:val="24"/>
                <w:szCs w:val="24"/>
                <w:highlight w:val="none"/>
              </w:rPr>
              <w:t>其中：采购人代表</w:t>
            </w:r>
            <w:r>
              <w:rPr>
                <w:rFonts w:hint="eastAsia" w:asciiTheme="minorEastAsia" w:hAnsiTheme="minorEastAsia" w:eastAsiaTheme="minorEastAsia" w:cstheme="minorEastAsia"/>
                <w:bCs/>
                <w:color w:val="auto"/>
                <w:sz w:val="24"/>
                <w:szCs w:val="24"/>
                <w:highlight w:val="none"/>
                <w:u w:val="single"/>
              </w:rPr>
              <w:t xml:space="preserve"> </w:t>
            </w:r>
            <w:r>
              <w:rPr>
                <w:rFonts w:hint="eastAsia" w:asciiTheme="minorEastAsia" w:hAnsiTheme="minorEastAsia" w:eastAsiaTheme="minorEastAsia" w:cstheme="minorEastAsia"/>
                <w:bCs/>
                <w:color w:val="auto"/>
                <w:sz w:val="24"/>
                <w:szCs w:val="24"/>
                <w:highlight w:val="none"/>
                <w:u w:val="single"/>
                <w:lang w:val="en-US" w:eastAsia="zh-CN"/>
              </w:rPr>
              <w:t>1</w:t>
            </w:r>
            <w:r>
              <w:rPr>
                <w:rFonts w:hint="eastAsia" w:asciiTheme="minorEastAsia" w:hAnsiTheme="minorEastAsia" w:eastAsiaTheme="minorEastAsia" w:cstheme="minorEastAsia"/>
                <w:bCs/>
                <w:color w:val="auto"/>
                <w:sz w:val="24"/>
                <w:szCs w:val="24"/>
                <w:highlight w:val="none"/>
                <w:u w:val="single"/>
              </w:rPr>
              <w:t xml:space="preserve"> </w:t>
            </w:r>
            <w:r>
              <w:rPr>
                <w:rFonts w:hint="eastAsia" w:asciiTheme="minorEastAsia" w:hAnsiTheme="minorEastAsia" w:eastAsiaTheme="minorEastAsia" w:cstheme="minorEastAsia"/>
                <w:bCs/>
                <w:color w:val="auto"/>
                <w:sz w:val="24"/>
                <w:szCs w:val="24"/>
                <w:highlight w:val="none"/>
              </w:rPr>
              <w:t>人，</w:t>
            </w:r>
            <w:r>
              <w:rPr>
                <w:rFonts w:hint="eastAsia" w:asciiTheme="minorEastAsia" w:hAnsiTheme="minorEastAsia" w:eastAsiaTheme="minorEastAsia" w:cstheme="minorEastAsia"/>
                <w:color w:val="auto"/>
                <w:sz w:val="24"/>
                <w:szCs w:val="24"/>
                <w:highlight w:val="none"/>
              </w:rPr>
              <w:t>评审专家</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u w:val="single"/>
                <w:lang w:val="en-US" w:eastAsia="zh-CN"/>
              </w:rPr>
              <w:t xml:space="preserve">4 </w:t>
            </w:r>
            <w:r>
              <w:rPr>
                <w:rFonts w:hint="eastAsia" w:asciiTheme="minorEastAsia" w:hAnsiTheme="minorEastAsia" w:eastAsiaTheme="minorEastAsia" w:cstheme="minorEastAsia"/>
                <w:color w:val="auto"/>
                <w:sz w:val="24"/>
                <w:szCs w:val="24"/>
                <w:highlight w:val="none"/>
              </w:rPr>
              <w:t xml:space="preserve"> 人。评审专家产生方式：</w:t>
            </w:r>
            <w:r>
              <w:rPr>
                <w:rFonts w:hint="eastAsia" w:asciiTheme="minorEastAsia" w:hAnsiTheme="minorEastAsia" w:eastAsiaTheme="minorEastAsia" w:cstheme="minorEastAsia"/>
                <w:bCs/>
                <w:color w:val="auto"/>
                <w:sz w:val="24"/>
                <w:szCs w:val="24"/>
                <w:highlight w:val="none"/>
              </w:rPr>
              <w:t>从财政部门的政府采购专家库中随机抽取。</w:t>
            </w:r>
          </w:p>
        </w:tc>
      </w:tr>
      <w:tr w14:paraId="46C8BC07">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415" w:hRule="atLeast"/>
        </w:trPr>
        <w:tc>
          <w:tcPr>
            <w:tcW w:w="1116" w:type="dxa"/>
            <w:noWrap w:val="0"/>
            <w:vAlign w:val="center"/>
          </w:tcPr>
          <w:p w14:paraId="7316C26D">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240" w:firstLineChars="10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6.2.2</w:t>
            </w:r>
          </w:p>
        </w:tc>
        <w:tc>
          <w:tcPr>
            <w:tcW w:w="2166" w:type="dxa"/>
            <w:noWrap w:val="0"/>
            <w:vAlign w:val="center"/>
          </w:tcPr>
          <w:p w14:paraId="00223CA0">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对投标人信用查询</w:t>
            </w:r>
          </w:p>
        </w:tc>
        <w:tc>
          <w:tcPr>
            <w:tcW w:w="5867" w:type="dxa"/>
            <w:noWrap w:val="0"/>
            <w:vAlign w:val="center"/>
          </w:tcPr>
          <w:p w14:paraId="3A04C0C3">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信用信息截止时间点：</w:t>
            </w:r>
            <w:r>
              <w:rPr>
                <w:rFonts w:hint="eastAsia" w:asciiTheme="minorEastAsia" w:hAnsiTheme="minorEastAsia" w:eastAsiaTheme="minorEastAsia" w:cstheme="minorEastAsia"/>
                <w:sz w:val="24"/>
                <w:szCs w:val="24"/>
                <w:highlight w:val="none"/>
                <w:lang w:eastAsia="zh-CN"/>
              </w:rPr>
              <w:t>评标结束之前</w:t>
            </w:r>
            <w:r>
              <w:rPr>
                <w:rFonts w:hint="eastAsia" w:asciiTheme="minorEastAsia" w:hAnsiTheme="minorEastAsia" w:eastAsiaTheme="minorEastAsia" w:cstheme="minorEastAsia"/>
                <w:sz w:val="24"/>
                <w:szCs w:val="24"/>
                <w:highlight w:val="none"/>
              </w:rPr>
              <w:t>；</w:t>
            </w:r>
          </w:p>
          <w:p w14:paraId="71026DE6">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信用查询时间</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在投标截止时间至评标</w:t>
            </w:r>
            <w:r>
              <w:rPr>
                <w:rFonts w:hint="eastAsia" w:asciiTheme="minorEastAsia" w:hAnsiTheme="minorEastAsia" w:eastAsiaTheme="minorEastAsia" w:cstheme="minorEastAsia"/>
                <w:sz w:val="24"/>
                <w:szCs w:val="24"/>
                <w:highlight w:val="none"/>
                <w:lang w:eastAsia="zh-CN"/>
              </w:rPr>
              <w:t>结束</w:t>
            </w:r>
            <w:r>
              <w:rPr>
                <w:rFonts w:hint="eastAsia" w:asciiTheme="minorEastAsia" w:hAnsiTheme="minorEastAsia" w:eastAsiaTheme="minorEastAsia" w:cstheme="minorEastAsia"/>
                <w:sz w:val="24"/>
                <w:szCs w:val="24"/>
                <w:highlight w:val="none"/>
              </w:rPr>
              <w:t>之前进行查询。</w:t>
            </w:r>
          </w:p>
          <w:p w14:paraId="5C455A59">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color w:val="FF0000"/>
                <w:sz w:val="24"/>
                <w:szCs w:val="24"/>
                <w:highlight w:val="none"/>
              </w:rPr>
            </w:pPr>
            <w:r>
              <w:rPr>
                <w:rFonts w:hint="eastAsia" w:asciiTheme="minorEastAsia" w:hAnsiTheme="minorEastAsia" w:eastAsiaTheme="minorEastAsia" w:cstheme="minorEastAsia"/>
                <w:sz w:val="24"/>
                <w:szCs w:val="24"/>
                <w:highlight w:val="none"/>
              </w:rPr>
              <w:t>信用查询记录方式：采购人或采购代理机构将根据要求进行查询</w:t>
            </w:r>
            <w:r>
              <w:rPr>
                <w:rFonts w:hint="eastAsia" w:asciiTheme="minorEastAsia" w:hAnsiTheme="minorEastAsia" w:eastAsiaTheme="minorEastAsia" w:cstheme="minorEastAsia"/>
                <w:sz w:val="24"/>
                <w:szCs w:val="24"/>
                <w:highlight w:val="none"/>
                <w:lang w:eastAsia="zh-CN"/>
              </w:rPr>
              <w:t>，并</w:t>
            </w:r>
            <w:r>
              <w:rPr>
                <w:rFonts w:hint="eastAsia" w:asciiTheme="minorEastAsia" w:hAnsiTheme="minorEastAsia" w:eastAsiaTheme="minorEastAsia" w:cstheme="minorEastAsia"/>
                <w:sz w:val="24"/>
                <w:szCs w:val="24"/>
                <w:highlight w:val="none"/>
              </w:rPr>
              <w:t>将查询结果</w:t>
            </w:r>
            <w:r>
              <w:rPr>
                <w:rFonts w:hint="eastAsia" w:asciiTheme="minorEastAsia" w:hAnsiTheme="minorEastAsia" w:eastAsiaTheme="minorEastAsia" w:cstheme="minorEastAsia"/>
                <w:sz w:val="24"/>
                <w:szCs w:val="24"/>
                <w:highlight w:val="none"/>
                <w:lang w:val="en-US" w:eastAsia="zh-CN"/>
              </w:rPr>
              <w:t>留档</w:t>
            </w:r>
            <w:r>
              <w:rPr>
                <w:rFonts w:hint="eastAsia" w:asciiTheme="minorEastAsia" w:hAnsiTheme="minorEastAsia" w:eastAsiaTheme="minorEastAsia" w:cstheme="minorEastAsia"/>
                <w:sz w:val="24"/>
                <w:szCs w:val="24"/>
                <w:highlight w:val="none"/>
              </w:rPr>
              <w:t>备案。投标人不良信用记录以采购人或采购代理机构查询结果为准。投标人自行提供的与网站信息不一致的其他证明材料亦不作为资格审查依据。</w:t>
            </w:r>
          </w:p>
        </w:tc>
      </w:tr>
      <w:tr w14:paraId="77337D5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415" w:hRule="atLeast"/>
        </w:trPr>
        <w:tc>
          <w:tcPr>
            <w:tcW w:w="1116" w:type="dxa"/>
            <w:noWrap w:val="0"/>
            <w:vAlign w:val="center"/>
          </w:tcPr>
          <w:p w14:paraId="2704F48B">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firstLineChars="0"/>
              <w:jc w:val="center"/>
              <w:textAlignment w:val="auto"/>
              <w:rPr>
                <w:rFonts w:hint="eastAsia" w:asciiTheme="minorEastAsia" w:hAnsiTheme="minorEastAsia" w:eastAsiaTheme="minorEastAsia" w:cstheme="minorEastAsia"/>
                <w:color w:val="FF0000"/>
                <w:sz w:val="24"/>
                <w:szCs w:val="24"/>
                <w:highlight w:val="magenta"/>
              </w:rPr>
            </w:pPr>
            <w:r>
              <w:rPr>
                <w:rFonts w:hint="eastAsia" w:asciiTheme="minorEastAsia" w:hAnsiTheme="minorEastAsia" w:eastAsiaTheme="minorEastAsia" w:cstheme="minorEastAsia"/>
                <w:sz w:val="24"/>
                <w:szCs w:val="24"/>
              </w:rPr>
              <w:t>6.4</w:t>
            </w:r>
          </w:p>
        </w:tc>
        <w:tc>
          <w:tcPr>
            <w:tcW w:w="2166" w:type="dxa"/>
            <w:noWrap w:val="0"/>
            <w:vAlign w:val="center"/>
          </w:tcPr>
          <w:p w14:paraId="1C217D8C">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sz w:val="24"/>
                <w:szCs w:val="24"/>
                <w:highlight w:val="magenta"/>
              </w:rPr>
            </w:pPr>
            <w:r>
              <w:rPr>
                <w:rFonts w:hint="eastAsia" w:asciiTheme="minorEastAsia" w:hAnsiTheme="minorEastAsia" w:eastAsiaTheme="minorEastAsia" w:cstheme="minorEastAsia"/>
                <w:sz w:val="24"/>
                <w:szCs w:val="24"/>
              </w:rPr>
              <w:t>评标方法</w:t>
            </w:r>
          </w:p>
        </w:tc>
        <w:tc>
          <w:tcPr>
            <w:tcW w:w="5867" w:type="dxa"/>
            <w:noWrap w:val="0"/>
            <w:vAlign w:val="center"/>
          </w:tcPr>
          <w:p w14:paraId="0E64363F">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sz w:val="24"/>
                <w:szCs w:val="24"/>
                <w:highlight w:val="magenta"/>
              </w:rPr>
            </w:pPr>
            <w:r>
              <w:rPr>
                <w:rFonts w:hint="eastAsia" w:asciiTheme="minorEastAsia" w:hAnsiTheme="minorEastAsia" w:eastAsiaTheme="minorEastAsia" w:cstheme="minorEastAsia"/>
                <w:sz w:val="24"/>
                <w:szCs w:val="24"/>
              </w:rPr>
              <w:t>采</w:t>
            </w:r>
            <w:r>
              <w:rPr>
                <w:rFonts w:hint="eastAsia" w:asciiTheme="minorEastAsia" w:hAnsiTheme="minorEastAsia" w:eastAsiaTheme="minorEastAsia" w:cstheme="minorEastAsia"/>
                <w:b w:val="0"/>
                <w:bCs w:val="0"/>
                <w:sz w:val="24"/>
                <w:szCs w:val="24"/>
              </w:rPr>
              <w:t xml:space="preserve">用综合评分法 </w:t>
            </w:r>
          </w:p>
        </w:tc>
      </w:tr>
      <w:tr w14:paraId="2072BF0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415" w:hRule="atLeast"/>
        </w:trPr>
        <w:tc>
          <w:tcPr>
            <w:tcW w:w="1116" w:type="dxa"/>
            <w:noWrap w:val="0"/>
            <w:vAlign w:val="center"/>
          </w:tcPr>
          <w:p w14:paraId="55F96C1C">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firstLineChars="0"/>
              <w:jc w:val="center"/>
              <w:textAlignment w:val="auto"/>
              <w:rPr>
                <w:rFonts w:hint="eastAsia" w:asciiTheme="minorEastAsia" w:hAnsiTheme="minorEastAsia" w:eastAsiaTheme="minorEastAsia" w:cstheme="minorEastAsia"/>
                <w:color w:val="FF0000"/>
                <w:sz w:val="24"/>
                <w:szCs w:val="24"/>
                <w:highlight w:val="magenta"/>
              </w:rPr>
            </w:pPr>
            <w:r>
              <w:rPr>
                <w:rFonts w:hint="eastAsia" w:asciiTheme="minorEastAsia" w:hAnsiTheme="minorEastAsia" w:eastAsiaTheme="minorEastAsia" w:cstheme="minorEastAsia"/>
                <w:sz w:val="24"/>
                <w:szCs w:val="24"/>
              </w:rPr>
              <w:t>7.1</w:t>
            </w:r>
          </w:p>
        </w:tc>
        <w:tc>
          <w:tcPr>
            <w:tcW w:w="2166" w:type="dxa"/>
            <w:noWrap w:val="0"/>
            <w:vAlign w:val="center"/>
          </w:tcPr>
          <w:p w14:paraId="0EDB0F37">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sz w:val="24"/>
                <w:szCs w:val="24"/>
                <w:highlight w:val="magenta"/>
              </w:rPr>
            </w:pPr>
            <w:r>
              <w:rPr>
                <w:rFonts w:hint="eastAsia" w:asciiTheme="minorEastAsia" w:hAnsiTheme="minorEastAsia" w:eastAsiaTheme="minorEastAsia" w:cstheme="minorEastAsia"/>
                <w:sz w:val="24"/>
                <w:szCs w:val="24"/>
              </w:rPr>
              <w:t>推荐中标候选人</w:t>
            </w:r>
          </w:p>
        </w:tc>
        <w:tc>
          <w:tcPr>
            <w:tcW w:w="5867" w:type="dxa"/>
            <w:noWrap w:val="0"/>
            <w:vAlign w:val="center"/>
          </w:tcPr>
          <w:p w14:paraId="117DF24C">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sz w:val="24"/>
                <w:szCs w:val="24"/>
                <w:highlight w:val="magenta"/>
              </w:rPr>
            </w:pPr>
            <w:r>
              <w:rPr>
                <w:rFonts w:hint="eastAsia" w:asciiTheme="minorEastAsia" w:hAnsiTheme="minorEastAsia" w:eastAsiaTheme="minorEastAsia" w:cstheme="minorEastAsia"/>
                <w:sz w:val="24"/>
                <w:szCs w:val="24"/>
              </w:rPr>
              <w:t>推荐中标候选人的数量：</w:t>
            </w:r>
            <w:r>
              <w:rPr>
                <w:rFonts w:hint="eastAsia" w:asciiTheme="minorEastAsia" w:hAnsiTheme="minorEastAsia" w:eastAsiaTheme="minorEastAsia" w:cstheme="minorEastAsia"/>
                <w:b w:val="0"/>
                <w:bCs/>
                <w:sz w:val="24"/>
                <w:szCs w:val="24"/>
                <w:u w:val="single"/>
              </w:rPr>
              <w:t>　</w:t>
            </w:r>
            <w:r>
              <w:rPr>
                <w:rFonts w:hint="eastAsia" w:asciiTheme="minorEastAsia" w:hAnsiTheme="minorEastAsia" w:eastAsiaTheme="minorEastAsia" w:cstheme="minorEastAsia"/>
                <w:b w:val="0"/>
                <w:bCs/>
                <w:sz w:val="24"/>
                <w:szCs w:val="24"/>
                <w:u w:val="single"/>
                <w:lang w:val="en-US" w:eastAsia="zh-CN"/>
              </w:rPr>
              <w:t>3</w:t>
            </w:r>
            <w:r>
              <w:rPr>
                <w:rFonts w:hint="eastAsia" w:asciiTheme="minorEastAsia" w:hAnsiTheme="minorEastAsia" w:eastAsiaTheme="minorEastAsia" w:cstheme="minorEastAsia"/>
                <w:b w:val="0"/>
                <w:bCs/>
                <w:sz w:val="24"/>
                <w:szCs w:val="24"/>
                <w:u w:val="single"/>
              </w:rPr>
              <w:t xml:space="preserve">名  </w:t>
            </w:r>
            <w:r>
              <w:rPr>
                <w:rFonts w:hint="eastAsia" w:asciiTheme="minorEastAsia" w:hAnsiTheme="minorEastAsia" w:eastAsiaTheme="minorEastAsia" w:cstheme="minorEastAsia"/>
                <w:b/>
                <w:sz w:val="24"/>
                <w:szCs w:val="24"/>
                <w:u w:val="single"/>
              </w:rPr>
              <w:t xml:space="preserve"> </w:t>
            </w:r>
          </w:p>
        </w:tc>
      </w:tr>
      <w:tr w14:paraId="315A7BF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260" w:hRule="atLeast"/>
        </w:trPr>
        <w:tc>
          <w:tcPr>
            <w:tcW w:w="1116" w:type="dxa"/>
            <w:noWrap w:val="0"/>
            <w:vAlign w:val="center"/>
          </w:tcPr>
          <w:p w14:paraId="6ADA4B36">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7.1</w:t>
            </w:r>
          </w:p>
        </w:tc>
        <w:tc>
          <w:tcPr>
            <w:tcW w:w="2166" w:type="dxa"/>
            <w:noWrap w:val="0"/>
            <w:vAlign w:val="center"/>
          </w:tcPr>
          <w:p w14:paraId="3325DFFE">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确定中标人</w:t>
            </w:r>
          </w:p>
        </w:tc>
        <w:tc>
          <w:tcPr>
            <w:tcW w:w="5867" w:type="dxa"/>
            <w:noWrap w:val="0"/>
            <w:vAlign w:val="center"/>
          </w:tcPr>
          <w:p w14:paraId="0A3D72CE">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采购人确定中标人：</w:t>
            </w:r>
            <w:r>
              <w:rPr>
                <w:rFonts w:hint="eastAsia" w:asciiTheme="minorEastAsia" w:hAnsiTheme="minorEastAsia" w:eastAsiaTheme="minorEastAsia" w:cstheme="minorEastAsia"/>
                <w:color w:val="auto"/>
                <w:sz w:val="24"/>
                <w:szCs w:val="24"/>
                <w:u w:val="single"/>
                <w:lang w:val="en-US" w:eastAsia="zh-CN"/>
              </w:rPr>
              <w:t xml:space="preserve"> 是 </w:t>
            </w:r>
            <w:r>
              <w:rPr>
                <w:rFonts w:hint="eastAsia" w:asciiTheme="minorEastAsia" w:hAnsiTheme="minorEastAsia" w:eastAsiaTheme="minorEastAsia" w:cstheme="minorEastAsia"/>
                <w:i/>
                <w:color w:val="auto"/>
                <w:sz w:val="24"/>
                <w:szCs w:val="24"/>
              </w:rPr>
              <w:t>（是、否）</w:t>
            </w:r>
          </w:p>
          <w:p w14:paraId="67CD66DA">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采购人委托评标委员会直接确定中标人：</w:t>
            </w:r>
            <w:r>
              <w:rPr>
                <w:rFonts w:hint="eastAsia" w:asciiTheme="minorEastAsia" w:hAnsiTheme="minorEastAsia" w:eastAsiaTheme="minorEastAsia" w:cstheme="minorEastAsia"/>
                <w:b w:val="0"/>
                <w:bCs/>
                <w:color w:val="auto"/>
                <w:sz w:val="24"/>
                <w:szCs w:val="24"/>
                <w:u w:val="single"/>
              </w:rPr>
              <w:t xml:space="preserve"> 否 </w:t>
            </w:r>
            <w:r>
              <w:rPr>
                <w:rFonts w:hint="eastAsia" w:asciiTheme="minorEastAsia" w:hAnsiTheme="minorEastAsia" w:eastAsiaTheme="minorEastAsia" w:cstheme="minorEastAsia"/>
                <w:i/>
                <w:color w:val="auto"/>
                <w:sz w:val="24"/>
                <w:szCs w:val="24"/>
              </w:rPr>
              <w:t>（是、否）</w:t>
            </w:r>
          </w:p>
        </w:tc>
      </w:tr>
      <w:tr w14:paraId="04513E0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260" w:hRule="atLeast"/>
        </w:trPr>
        <w:tc>
          <w:tcPr>
            <w:tcW w:w="1116" w:type="dxa"/>
            <w:noWrap w:val="0"/>
            <w:vAlign w:val="center"/>
          </w:tcPr>
          <w:p w14:paraId="3686D21A">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12.6</w:t>
            </w:r>
          </w:p>
        </w:tc>
        <w:tc>
          <w:tcPr>
            <w:tcW w:w="2166" w:type="dxa"/>
            <w:noWrap w:val="0"/>
            <w:vAlign w:val="center"/>
          </w:tcPr>
          <w:p w14:paraId="03CE15AC">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是否允许分包</w:t>
            </w:r>
          </w:p>
        </w:tc>
        <w:tc>
          <w:tcPr>
            <w:tcW w:w="5867" w:type="dxa"/>
            <w:noWrap w:val="0"/>
            <w:vAlign w:val="center"/>
          </w:tcPr>
          <w:p w14:paraId="47667A6D">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本项目的非主体、非关键性工作是否允许分包：</w:t>
            </w:r>
          </w:p>
          <w:p w14:paraId="23576F86">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不允许</w:t>
            </w:r>
          </w:p>
          <w:p w14:paraId="27331AB9">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□允许，具体要求：</w:t>
            </w:r>
          </w:p>
          <w:p w14:paraId="30A2D83B">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（1）可以分包履行的具体内容：</w:t>
            </w:r>
          </w:p>
          <w:p w14:paraId="7FE4BA29">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（2）允许分包的金额或者比例：</w:t>
            </w:r>
          </w:p>
          <w:p w14:paraId="32308EF5">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（3）其他要求：</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w:t>
            </w:r>
          </w:p>
        </w:tc>
      </w:tr>
      <w:tr w14:paraId="5A6DE089">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600" w:hRule="atLeast"/>
        </w:trPr>
        <w:tc>
          <w:tcPr>
            <w:tcW w:w="1116" w:type="dxa"/>
            <w:noWrap w:val="0"/>
            <w:vAlign w:val="center"/>
          </w:tcPr>
          <w:p w14:paraId="119AE3B8">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13.1</w:t>
            </w:r>
          </w:p>
        </w:tc>
        <w:tc>
          <w:tcPr>
            <w:tcW w:w="2166" w:type="dxa"/>
            <w:noWrap w:val="0"/>
            <w:vAlign w:val="center"/>
          </w:tcPr>
          <w:p w14:paraId="5939C355">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履约保证金</w:t>
            </w:r>
          </w:p>
        </w:tc>
        <w:tc>
          <w:tcPr>
            <w:tcW w:w="5867" w:type="dxa"/>
            <w:noWrap w:val="0"/>
            <w:vAlign w:val="center"/>
          </w:tcPr>
          <w:p w14:paraId="6884C25A">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sz w:val="24"/>
                <w:szCs w:val="24"/>
                <w:u w:val="single"/>
                <w:lang w:val="en-US"/>
              </w:rPr>
            </w:pPr>
            <w:r>
              <w:rPr>
                <w:rFonts w:hint="eastAsia" w:asciiTheme="minorEastAsia" w:hAnsiTheme="minorEastAsia" w:eastAsiaTheme="minorEastAsia" w:cstheme="minorEastAsia"/>
                <w:sz w:val="24"/>
                <w:szCs w:val="24"/>
              </w:rPr>
              <w:t>是否递交履约保证金：</w:t>
            </w:r>
            <w:r>
              <w:rPr>
                <w:rFonts w:hint="eastAsia" w:asciiTheme="minorEastAsia" w:hAnsiTheme="minorEastAsia" w:eastAsiaTheme="minorEastAsia" w:cstheme="minorEastAsia"/>
                <w:sz w:val="24"/>
                <w:szCs w:val="24"/>
                <w:u w:val="single"/>
                <w:lang w:val="en-US" w:eastAsia="zh-CN"/>
              </w:rPr>
              <w:t xml:space="preserve"> 否 </w:t>
            </w:r>
          </w:p>
        </w:tc>
      </w:tr>
      <w:tr w14:paraId="5A218C97">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600" w:hRule="atLeast"/>
        </w:trPr>
        <w:tc>
          <w:tcPr>
            <w:tcW w:w="1116" w:type="dxa"/>
            <w:shd w:val="clear" w:color="auto" w:fill="auto"/>
            <w:noWrap w:val="0"/>
            <w:vAlign w:val="center"/>
          </w:tcPr>
          <w:p w14:paraId="6D3F6F7F">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firstLine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14.1</w:t>
            </w:r>
          </w:p>
        </w:tc>
        <w:tc>
          <w:tcPr>
            <w:tcW w:w="2166" w:type="dxa"/>
            <w:shd w:val="clear" w:color="auto" w:fill="auto"/>
            <w:noWrap w:val="0"/>
            <w:vAlign w:val="center"/>
          </w:tcPr>
          <w:p w14:paraId="596E7F10">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eastAsia="zh-CN"/>
              </w:rPr>
              <w:t>付款方式</w:t>
            </w:r>
          </w:p>
        </w:tc>
        <w:tc>
          <w:tcPr>
            <w:tcW w:w="5867" w:type="dxa"/>
            <w:shd w:val="clear" w:color="auto" w:fill="auto"/>
            <w:noWrap w:val="0"/>
            <w:vAlign w:val="center"/>
          </w:tcPr>
          <w:p w14:paraId="36B867FF">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rPr>
              <w:t>签订合同时双方另行约定</w:t>
            </w:r>
          </w:p>
        </w:tc>
      </w:tr>
      <w:tr w14:paraId="4B03C7C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220" w:hRule="atLeast"/>
        </w:trPr>
        <w:tc>
          <w:tcPr>
            <w:tcW w:w="1116" w:type="dxa"/>
            <w:shd w:val="clear" w:color="auto" w:fill="auto"/>
            <w:noWrap w:val="0"/>
            <w:vAlign w:val="center"/>
          </w:tcPr>
          <w:p w14:paraId="0B3E268B">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firstLineChars="0"/>
              <w:jc w:val="center"/>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lang w:val="en-US" w:eastAsia="zh-CN"/>
              </w:rPr>
              <w:t>21</w:t>
            </w:r>
            <w:r>
              <w:rPr>
                <w:rFonts w:hint="eastAsia" w:asciiTheme="minorEastAsia" w:hAnsiTheme="minorEastAsia" w:eastAsiaTheme="minorEastAsia" w:cstheme="minorEastAsia"/>
                <w:color w:val="auto"/>
                <w:sz w:val="24"/>
                <w:szCs w:val="24"/>
              </w:rPr>
              <w:t>.1</w:t>
            </w:r>
          </w:p>
        </w:tc>
        <w:tc>
          <w:tcPr>
            <w:tcW w:w="2166" w:type="dxa"/>
            <w:shd w:val="clear" w:color="auto" w:fill="auto"/>
            <w:noWrap w:val="0"/>
            <w:vAlign w:val="center"/>
          </w:tcPr>
          <w:p w14:paraId="4098A339">
            <w:pPr>
              <w:keepNext w:val="0"/>
              <w:keepLines w:val="0"/>
              <w:pageBreakBefore w:val="0"/>
              <w:widowControl w:val="0"/>
              <w:kinsoku/>
              <w:wordWrap/>
              <w:overflowPunct/>
              <w:topLinePunct w:val="0"/>
              <w:autoSpaceDE/>
              <w:autoSpaceDN/>
              <w:bidi w:val="0"/>
              <w:adjustRightInd w:val="0"/>
              <w:snapToGrid w:val="0"/>
              <w:spacing w:line="390" w:lineRule="exact"/>
              <w:ind w:left="0" w:leftChars="0" w:firstLine="0"/>
              <w:jc w:val="center"/>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rPr>
              <w:t>招标代理服务费</w:t>
            </w:r>
          </w:p>
        </w:tc>
        <w:tc>
          <w:tcPr>
            <w:tcW w:w="5867" w:type="dxa"/>
            <w:shd w:val="clear" w:color="auto" w:fill="auto"/>
            <w:noWrap w:val="0"/>
            <w:vAlign w:val="center"/>
          </w:tcPr>
          <w:p w14:paraId="0060EF84">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color w:val="auto"/>
                <w:spacing w:val="-6"/>
                <w:sz w:val="24"/>
                <w:szCs w:val="24"/>
              </w:rPr>
            </w:pPr>
            <w:r>
              <w:rPr>
                <w:rFonts w:hint="eastAsia" w:asciiTheme="minorEastAsia" w:hAnsiTheme="minorEastAsia" w:eastAsiaTheme="minorEastAsia" w:cstheme="minorEastAsia"/>
                <w:color w:val="auto"/>
                <w:spacing w:val="-6"/>
                <w:sz w:val="24"/>
                <w:szCs w:val="24"/>
              </w:rPr>
              <w:t>1.收费约定</w:t>
            </w:r>
          </w:p>
          <w:p w14:paraId="52B7A953">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color w:val="auto"/>
                <w:spacing w:val="-6"/>
                <w:sz w:val="24"/>
                <w:szCs w:val="24"/>
              </w:rPr>
            </w:pPr>
            <w:r>
              <w:rPr>
                <w:rFonts w:hint="eastAsia" w:asciiTheme="minorEastAsia" w:hAnsiTheme="minorEastAsia" w:eastAsiaTheme="minorEastAsia" w:cstheme="minorEastAsia"/>
                <w:color w:val="auto"/>
                <w:spacing w:val="-6"/>
                <w:sz w:val="24"/>
                <w:szCs w:val="24"/>
              </w:rPr>
              <w:t>本项目招标代理服务费由中标人支付，投标人报价应当包含该项目招标代理服务费。</w:t>
            </w:r>
          </w:p>
          <w:p w14:paraId="3716F41A">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pacing w:val="-6"/>
                <w:sz w:val="24"/>
                <w:szCs w:val="24"/>
              </w:rPr>
              <w:t>2.本项目招标代理服务费按照“豫招协〔2023〕002号”规定的收费标准收取，中标人领取中标通知书时向采购代理机构一次性付清。本项目</w:t>
            </w:r>
            <w:r>
              <w:rPr>
                <w:rFonts w:hint="eastAsia" w:asciiTheme="minorEastAsia" w:hAnsiTheme="minorEastAsia" w:eastAsiaTheme="minorEastAsia" w:cstheme="minorEastAsia"/>
                <w:color w:val="auto"/>
                <w:sz w:val="24"/>
                <w:szCs w:val="24"/>
              </w:rPr>
              <w:t>招标代理服务费</w:t>
            </w:r>
            <w:r>
              <w:rPr>
                <w:rFonts w:hint="eastAsia" w:asciiTheme="minorEastAsia" w:hAnsiTheme="minorEastAsia" w:eastAsiaTheme="minorEastAsia" w:cstheme="minorEastAsia"/>
                <w:color w:val="auto"/>
                <w:spacing w:val="-6"/>
                <w:sz w:val="24"/>
                <w:szCs w:val="24"/>
              </w:rPr>
              <w:t>的收取按差额定率累进法计算，单标段上限不得超过10万元</w:t>
            </w:r>
            <w:r>
              <w:rPr>
                <w:rFonts w:hint="eastAsia" w:asciiTheme="minorEastAsia" w:hAnsiTheme="minorEastAsia" w:eastAsiaTheme="minorEastAsia" w:cstheme="minorEastAsia"/>
                <w:color w:val="auto"/>
                <w:sz w:val="24"/>
                <w:szCs w:val="24"/>
              </w:rPr>
              <w:t>。</w:t>
            </w:r>
          </w:p>
        </w:tc>
      </w:tr>
      <w:tr w14:paraId="5DDE9D4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611" w:hRule="atLeast"/>
        </w:trPr>
        <w:tc>
          <w:tcPr>
            <w:tcW w:w="1116" w:type="dxa"/>
            <w:noWrap w:val="0"/>
            <w:vAlign w:val="center"/>
          </w:tcPr>
          <w:p w14:paraId="3BF36671">
            <w:pPr>
              <w:keepNext w:val="0"/>
              <w:keepLines w:val="0"/>
              <w:pageBreakBefore w:val="0"/>
              <w:kinsoku/>
              <w:wordWrap/>
              <w:overflowPunct/>
              <w:topLinePunct w:val="0"/>
              <w:autoSpaceDE/>
              <w:autoSpaceDN/>
              <w:bidi w:val="0"/>
              <w:adjustRightInd w:val="0"/>
              <w:snapToGrid w:val="0"/>
              <w:spacing w:line="390" w:lineRule="exact"/>
              <w:ind w:left="0" w:leftChars="0"/>
              <w:jc w:val="center"/>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22</w:t>
            </w:r>
          </w:p>
        </w:tc>
        <w:tc>
          <w:tcPr>
            <w:tcW w:w="8033" w:type="dxa"/>
            <w:gridSpan w:val="2"/>
            <w:noWrap w:val="0"/>
            <w:vAlign w:val="center"/>
          </w:tcPr>
          <w:p w14:paraId="5ED6B06F">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b w:val="0"/>
                <w:bCs w:val="0"/>
                <w:color w:val="auto"/>
                <w:sz w:val="24"/>
                <w:szCs w:val="24"/>
                <w:highlight w:val="none"/>
                <w:lang w:eastAsia="zh-CN"/>
              </w:rPr>
            </w:pPr>
            <w:r>
              <w:rPr>
                <w:rFonts w:hint="eastAsia" w:asciiTheme="minorEastAsia" w:hAnsiTheme="minorEastAsia" w:eastAsiaTheme="minorEastAsia" w:cstheme="minorEastAsia"/>
                <w:b w:val="0"/>
                <w:bCs w:val="0"/>
                <w:color w:val="auto"/>
                <w:sz w:val="24"/>
                <w:szCs w:val="24"/>
                <w:highlight w:val="none"/>
                <w:lang w:eastAsia="zh-CN"/>
              </w:rPr>
              <w:t>需要补充的其他内容</w:t>
            </w:r>
          </w:p>
        </w:tc>
      </w:tr>
      <w:tr w14:paraId="625376D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611" w:hRule="atLeast"/>
        </w:trPr>
        <w:tc>
          <w:tcPr>
            <w:tcW w:w="1116" w:type="dxa"/>
            <w:noWrap w:val="0"/>
            <w:vAlign w:val="center"/>
          </w:tcPr>
          <w:p w14:paraId="4ED2A06A">
            <w:pPr>
              <w:keepNext w:val="0"/>
              <w:keepLines w:val="0"/>
              <w:pageBreakBefore w:val="0"/>
              <w:kinsoku/>
              <w:wordWrap/>
              <w:overflowPunct/>
              <w:topLinePunct w:val="0"/>
              <w:autoSpaceDE/>
              <w:autoSpaceDN/>
              <w:bidi w:val="0"/>
              <w:adjustRightInd w:val="0"/>
              <w:snapToGrid w:val="0"/>
              <w:spacing w:line="390" w:lineRule="exact"/>
              <w:ind w:left="0" w:leftChars="0"/>
              <w:jc w:val="center"/>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22.</w:t>
            </w:r>
            <w:r>
              <w:rPr>
                <w:rFonts w:hint="eastAsia" w:asciiTheme="minorEastAsia" w:hAnsiTheme="minorEastAsia" w:eastAsiaTheme="minorEastAsia" w:cstheme="minorEastAsia"/>
                <w:sz w:val="24"/>
                <w:szCs w:val="24"/>
                <w:lang w:val="en-US" w:eastAsia="zh-CN"/>
              </w:rPr>
              <w:t>1</w:t>
            </w:r>
          </w:p>
        </w:tc>
        <w:tc>
          <w:tcPr>
            <w:tcW w:w="8033" w:type="dxa"/>
            <w:gridSpan w:val="2"/>
            <w:noWrap w:val="0"/>
            <w:vAlign w:val="center"/>
          </w:tcPr>
          <w:p w14:paraId="0BB92E57">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color w:val="auto"/>
                <w:sz w:val="24"/>
                <w:szCs w:val="24"/>
                <w:highlight w:val="none"/>
                <w:lang w:eastAsia="zh-CN"/>
              </w:rPr>
              <w:t>解释顺序：</w:t>
            </w:r>
            <w:r>
              <w:rPr>
                <w:rFonts w:hint="eastAsia" w:asciiTheme="minorEastAsia" w:hAnsiTheme="minorEastAsia" w:eastAsiaTheme="minorEastAsia" w:cstheme="minorEastAsia"/>
                <w:b w:val="0"/>
                <w:bCs w:val="0"/>
                <w:color w:val="auto"/>
                <w:sz w:val="24"/>
                <w:szCs w:val="24"/>
                <w:highlight w:val="none"/>
              </w:rPr>
              <w:t>招标文件中有不一致</w:t>
            </w:r>
            <w:r>
              <w:rPr>
                <w:rFonts w:hint="eastAsia" w:asciiTheme="minorEastAsia" w:hAnsiTheme="minorEastAsia" w:eastAsiaTheme="minorEastAsia" w:cstheme="minorEastAsia"/>
                <w:b w:val="0"/>
                <w:bCs w:val="0"/>
                <w:color w:val="auto"/>
                <w:sz w:val="24"/>
                <w:szCs w:val="24"/>
                <w:highlight w:val="none"/>
                <w:lang w:eastAsia="zh-CN"/>
              </w:rPr>
              <w:t>（</w:t>
            </w:r>
            <w:r>
              <w:rPr>
                <w:rFonts w:hint="eastAsia" w:asciiTheme="minorEastAsia" w:hAnsiTheme="minorEastAsia" w:eastAsiaTheme="minorEastAsia" w:cstheme="minorEastAsia"/>
                <w:b w:val="0"/>
                <w:bCs w:val="0"/>
                <w:color w:val="auto"/>
                <w:sz w:val="24"/>
                <w:szCs w:val="24"/>
                <w:highlight w:val="none"/>
              </w:rPr>
              <w:t>或矛盾</w:t>
            </w:r>
            <w:r>
              <w:rPr>
                <w:rFonts w:hint="eastAsia" w:asciiTheme="minorEastAsia" w:hAnsiTheme="minorEastAsia" w:eastAsiaTheme="minorEastAsia" w:cstheme="minorEastAsia"/>
                <w:b w:val="0"/>
                <w:bCs w:val="0"/>
                <w:color w:val="auto"/>
                <w:sz w:val="24"/>
                <w:szCs w:val="24"/>
                <w:highlight w:val="none"/>
                <w:lang w:eastAsia="zh-CN"/>
              </w:rPr>
              <w:t>）</w:t>
            </w:r>
            <w:r>
              <w:rPr>
                <w:rFonts w:hint="eastAsia" w:asciiTheme="minorEastAsia" w:hAnsiTheme="minorEastAsia" w:eastAsiaTheme="minorEastAsia" w:cstheme="minorEastAsia"/>
                <w:b w:val="0"/>
                <w:bCs w:val="0"/>
                <w:color w:val="auto"/>
                <w:sz w:val="24"/>
                <w:szCs w:val="24"/>
                <w:highlight w:val="none"/>
              </w:rPr>
              <w:t>的，有变更的部分以最终的变更内容为准；未变更的，按照招标公告、</w:t>
            </w:r>
            <w:r>
              <w:rPr>
                <w:rFonts w:hint="eastAsia" w:asciiTheme="minorEastAsia" w:hAnsiTheme="minorEastAsia" w:eastAsiaTheme="minorEastAsia" w:cstheme="minorEastAsia"/>
                <w:b w:val="0"/>
                <w:bCs w:val="0"/>
                <w:color w:val="auto"/>
                <w:sz w:val="24"/>
                <w:szCs w:val="24"/>
                <w:highlight w:val="none"/>
                <w:lang w:eastAsia="zh-CN"/>
              </w:rPr>
              <w:t>评审办法</w:t>
            </w:r>
            <w:r>
              <w:rPr>
                <w:rFonts w:hint="eastAsia" w:asciiTheme="minorEastAsia" w:hAnsiTheme="minorEastAsia" w:eastAsiaTheme="minorEastAsia" w:cstheme="minorEastAsia"/>
                <w:b w:val="0"/>
                <w:bCs w:val="0"/>
                <w:color w:val="auto"/>
                <w:sz w:val="24"/>
                <w:szCs w:val="24"/>
                <w:highlight w:val="none"/>
              </w:rPr>
              <w:t>、采购需求、投标人须知、政府采购合同、投标文件格式的顺序进行解释，排名在前的具有优先解释权</w:t>
            </w:r>
            <w:r>
              <w:rPr>
                <w:rFonts w:hint="eastAsia" w:asciiTheme="minorEastAsia" w:hAnsiTheme="minorEastAsia" w:eastAsiaTheme="minorEastAsia" w:cstheme="minorEastAsia"/>
                <w:b w:val="0"/>
                <w:bCs w:val="0"/>
                <w:color w:val="auto"/>
                <w:sz w:val="24"/>
                <w:szCs w:val="24"/>
                <w:highlight w:val="none"/>
                <w:lang w:eastAsia="zh-CN"/>
              </w:rPr>
              <w:t>，同一章节</w:t>
            </w:r>
            <w:r>
              <w:rPr>
                <w:rFonts w:hint="eastAsia" w:asciiTheme="minorEastAsia" w:hAnsiTheme="minorEastAsia" w:eastAsiaTheme="minorEastAsia" w:cstheme="minorEastAsia"/>
                <w:b w:val="0"/>
                <w:bCs w:val="0"/>
                <w:color w:val="auto"/>
                <w:sz w:val="24"/>
                <w:szCs w:val="24"/>
                <w:highlight w:val="none"/>
              </w:rPr>
              <w:t>的内容有不一致</w:t>
            </w:r>
            <w:r>
              <w:rPr>
                <w:rFonts w:hint="eastAsia" w:asciiTheme="minorEastAsia" w:hAnsiTheme="minorEastAsia" w:eastAsiaTheme="minorEastAsia" w:cstheme="minorEastAsia"/>
                <w:b w:val="0"/>
                <w:bCs w:val="0"/>
                <w:color w:val="auto"/>
                <w:sz w:val="24"/>
                <w:szCs w:val="24"/>
                <w:highlight w:val="none"/>
                <w:lang w:eastAsia="zh-CN"/>
              </w:rPr>
              <w:t>（</w:t>
            </w:r>
            <w:r>
              <w:rPr>
                <w:rFonts w:hint="eastAsia" w:asciiTheme="minorEastAsia" w:hAnsiTheme="minorEastAsia" w:eastAsiaTheme="minorEastAsia" w:cstheme="minorEastAsia"/>
                <w:b w:val="0"/>
                <w:bCs w:val="0"/>
                <w:color w:val="auto"/>
                <w:sz w:val="24"/>
                <w:szCs w:val="24"/>
                <w:highlight w:val="none"/>
              </w:rPr>
              <w:t>或矛盾</w:t>
            </w:r>
            <w:r>
              <w:rPr>
                <w:rFonts w:hint="eastAsia" w:asciiTheme="minorEastAsia" w:hAnsiTheme="minorEastAsia" w:eastAsiaTheme="minorEastAsia" w:cstheme="minorEastAsia"/>
                <w:b w:val="0"/>
                <w:bCs w:val="0"/>
                <w:color w:val="auto"/>
                <w:sz w:val="24"/>
                <w:szCs w:val="24"/>
                <w:highlight w:val="none"/>
                <w:lang w:eastAsia="zh-CN"/>
              </w:rPr>
              <w:t>）</w:t>
            </w:r>
            <w:r>
              <w:rPr>
                <w:rFonts w:hint="eastAsia" w:asciiTheme="minorEastAsia" w:hAnsiTheme="minorEastAsia" w:eastAsiaTheme="minorEastAsia" w:cstheme="minorEastAsia"/>
                <w:b w:val="0"/>
                <w:bCs w:val="0"/>
                <w:color w:val="auto"/>
                <w:sz w:val="24"/>
                <w:szCs w:val="24"/>
                <w:highlight w:val="none"/>
              </w:rPr>
              <w:t>的以</w:t>
            </w:r>
            <w:r>
              <w:rPr>
                <w:rFonts w:hint="eastAsia" w:asciiTheme="minorEastAsia" w:hAnsiTheme="minorEastAsia" w:eastAsiaTheme="minorEastAsia" w:cstheme="minorEastAsia"/>
                <w:b w:val="0"/>
                <w:bCs w:val="0"/>
                <w:color w:val="auto"/>
                <w:sz w:val="24"/>
                <w:szCs w:val="24"/>
                <w:highlight w:val="none"/>
                <w:u w:val="none"/>
                <w:lang w:eastAsia="zh-CN"/>
              </w:rPr>
              <w:t>排序在前的</w:t>
            </w:r>
            <w:r>
              <w:rPr>
                <w:rFonts w:hint="eastAsia" w:asciiTheme="minorEastAsia" w:hAnsiTheme="minorEastAsia" w:eastAsiaTheme="minorEastAsia" w:cstheme="minorEastAsia"/>
                <w:b w:val="0"/>
                <w:bCs w:val="0"/>
                <w:color w:val="auto"/>
                <w:sz w:val="24"/>
                <w:szCs w:val="24"/>
                <w:highlight w:val="none"/>
              </w:rPr>
              <w:t>为准。按本款前述规定仍不能形成结论的，由采购人负责解释。</w:t>
            </w:r>
          </w:p>
        </w:tc>
      </w:tr>
      <w:tr w14:paraId="279C882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531" w:hRule="atLeast"/>
        </w:trPr>
        <w:tc>
          <w:tcPr>
            <w:tcW w:w="1116" w:type="dxa"/>
            <w:noWrap w:val="0"/>
            <w:vAlign w:val="center"/>
          </w:tcPr>
          <w:p w14:paraId="4FB453E1">
            <w:pPr>
              <w:keepNext w:val="0"/>
              <w:keepLines w:val="0"/>
              <w:pageBreakBefore w:val="0"/>
              <w:kinsoku/>
              <w:wordWrap/>
              <w:overflowPunct/>
              <w:topLinePunct w:val="0"/>
              <w:autoSpaceDE/>
              <w:autoSpaceDN/>
              <w:bidi w:val="0"/>
              <w:adjustRightInd w:val="0"/>
              <w:snapToGrid w:val="0"/>
              <w:spacing w:line="390" w:lineRule="exact"/>
              <w:ind w:left="0" w:leftChars="0"/>
              <w:jc w:val="center"/>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22.</w:t>
            </w:r>
            <w:r>
              <w:rPr>
                <w:rFonts w:hint="eastAsia" w:asciiTheme="minorEastAsia" w:hAnsiTheme="minorEastAsia" w:eastAsiaTheme="minorEastAsia" w:cstheme="minorEastAsia"/>
                <w:sz w:val="24"/>
                <w:szCs w:val="24"/>
                <w:lang w:val="en-US" w:eastAsia="zh-CN"/>
              </w:rPr>
              <w:t>2</w:t>
            </w:r>
          </w:p>
        </w:tc>
        <w:tc>
          <w:tcPr>
            <w:tcW w:w="8033" w:type="dxa"/>
            <w:gridSpan w:val="2"/>
            <w:noWrap w:val="0"/>
            <w:vAlign w:val="top"/>
          </w:tcPr>
          <w:p w14:paraId="56A8F086">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标书雷同性分析：文件制作机器码、文件创建标识码有相同的按无效投标处理。</w:t>
            </w:r>
          </w:p>
        </w:tc>
      </w:tr>
      <w:tr w14:paraId="5114DC24">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531" w:hRule="atLeast"/>
        </w:trPr>
        <w:tc>
          <w:tcPr>
            <w:tcW w:w="1116" w:type="dxa"/>
            <w:noWrap w:val="0"/>
            <w:vAlign w:val="center"/>
          </w:tcPr>
          <w:p w14:paraId="0956DA6B">
            <w:pPr>
              <w:keepNext w:val="0"/>
              <w:keepLines w:val="0"/>
              <w:pageBreakBefore w:val="0"/>
              <w:kinsoku/>
              <w:wordWrap/>
              <w:overflowPunct/>
              <w:topLinePunct w:val="0"/>
              <w:autoSpaceDE/>
              <w:autoSpaceDN/>
              <w:bidi w:val="0"/>
              <w:adjustRightInd w:val="0"/>
              <w:snapToGrid w:val="0"/>
              <w:spacing w:line="390" w:lineRule="exact"/>
              <w:ind w:left="0" w:leftChars="0"/>
              <w:jc w:val="center"/>
              <w:textAlignment w:val="auto"/>
              <w:rPr>
                <w:rFonts w:hint="eastAsia" w:asciiTheme="minorEastAsia" w:hAnsiTheme="minorEastAsia" w:eastAsiaTheme="minorEastAsia" w:cstheme="minorEastAsia"/>
                <w:b w:val="0"/>
                <w:bCs w:val="0"/>
                <w:sz w:val="24"/>
                <w:szCs w:val="24"/>
                <w:highlight w:val="none"/>
                <w:lang w:val="en-US" w:eastAsia="zh-CN"/>
              </w:rPr>
            </w:pPr>
            <w:r>
              <w:rPr>
                <w:rFonts w:hint="eastAsia" w:asciiTheme="minorEastAsia" w:hAnsiTheme="minorEastAsia" w:eastAsiaTheme="minorEastAsia" w:cstheme="minorEastAsia"/>
                <w:b w:val="0"/>
                <w:bCs w:val="0"/>
                <w:sz w:val="24"/>
                <w:szCs w:val="24"/>
                <w:highlight w:val="none"/>
                <w:lang w:val="en-US" w:eastAsia="zh-CN"/>
              </w:rPr>
              <w:t>22.3</w:t>
            </w:r>
          </w:p>
        </w:tc>
        <w:tc>
          <w:tcPr>
            <w:tcW w:w="8033" w:type="dxa"/>
            <w:gridSpan w:val="2"/>
            <w:noWrap w:val="0"/>
            <w:vAlign w:val="top"/>
          </w:tcPr>
          <w:p w14:paraId="2DBA2419">
            <w:pPr>
              <w:keepNext w:val="0"/>
              <w:keepLines w:val="0"/>
              <w:pageBreakBefore w:val="0"/>
              <w:kinsoku/>
              <w:wordWrap/>
              <w:overflowPunct/>
              <w:topLinePunct w:val="0"/>
              <w:autoSpaceDE/>
              <w:autoSpaceDN/>
              <w:bidi w:val="0"/>
              <w:adjustRightInd w:val="0"/>
              <w:snapToGrid w:val="0"/>
              <w:spacing w:line="390" w:lineRule="exact"/>
              <w:ind w:left="0" w:leftChars="0"/>
              <w:jc w:val="both"/>
              <w:textAlignment w:val="auto"/>
              <w:rPr>
                <w:rFonts w:hint="eastAsia" w:asciiTheme="minorEastAsia" w:hAnsiTheme="minorEastAsia" w:eastAsiaTheme="minorEastAsia" w:cstheme="minorEastAsia"/>
                <w:b w:val="0"/>
                <w:bCs w:val="0"/>
                <w:color w:val="auto"/>
                <w:sz w:val="24"/>
                <w:szCs w:val="24"/>
                <w:highlight w:val="none"/>
                <w:lang w:eastAsia="zh-CN"/>
              </w:rPr>
            </w:pPr>
            <w:r>
              <w:rPr>
                <w:rFonts w:hint="eastAsia" w:asciiTheme="minorEastAsia" w:hAnsiTheme="minorEastAsia" w:eastAsiaTheme="minorEastAsia" w:cstheme="minorEastAsia"/>
                <w:b w:val="0"/>
                <w:bCs w:val="0"/>
                <w:color w:val="auto"/>
                <w:sz w:val="24"/>
                <w:szCs w:val="24"/>
                <w:highlight w:val="none"/>
                <w:lang w:eastAsia="zh-CN"/>
              </w:rPr>
              <w:t>为防范投标人恶意低价中标后放弃中标，扰乱采购活动，对于投标人</w:t>
            </w:r>
            <w:r>
              <w:rPr>
                <w:rFonts w:hint="eastAsia" w:asciiTheme="minorEastAsia" w:hAnsiTheme="minorEastAsia" w:eastAsiaTheme="minorEastAsia" w:cstheme="minorEastAsia"/>
                <w:b w:val="0"/>
                <w:bCs w:val="0"/>
                <w:color w:val="auto"/>
                <w:sz w:val="24"/>
                <w:szCs w:val="24"/>
                <w:highlight w:val="none"/>
                <w:lang w:val="en-US" w:eastAsia="zh-CN"/>
              </w:rPr>
              <w:t>异常低价</w:t>
            </w:r>
            <w:r>
              <w:rPr>
                <w:rFonts w:hint="eastAsia" w:asciiTheme="minorEastAsia" w:hAnsiTheme="minorEastAsia" w:eastAsiaTheme="minorEastAsia" w:cstheme="minorEastAsia"/>
                <w:b w:val="0"/>
                <w:bCs w:val="0"/>
                <w:color w:val="auto"/>
                <w:sz w:val="24"/>
                <w:szCs w:val="24"/>
                <w:highlight w:val="none"/>
                <w:lang w:eastAsia="zh-CN"/>
              </w:rPr>
              <w:t>且中标后无故不履约的，财政部门将依法依规处理。不按质按量履行合同的，将按虚假响应依法依规处理</w:t>
            </w:r>
            <w:r>
              <w:rPr>
                <w:rFonts w:hint="eastAsia" w:asciiTheme="minorEastAsia" w:hAnsiTheme="minorEastAsia" w:eastAsiaTheme="minorEastAsia" w:cstheme="minorEastAsia"/>
                <w:b w:val="0"/>
                <w:bCs w:val="0"/>
                <w:color w:val="auto"/>
                <w:sz w:val="24"/>
                <w:szCs w:val="24"/>
                <w:highlight w:val="none"/>
              </w:rPr>
              <w:t>。</w:t>
            </w:r>
          </w:p>
        </w:tc>
      </w:tr>
    </w:tbl>
    <w:p w14:paraId="010AB98B">
      <w:pPr>
        <w:pStyle w:val="3"/>
        <w:keepNext/>
        <w:keepLines/>
        <w:pageBreakBefore w:val="0"/>
        <w:widowControl w:val="0"/>
        <w:numPr>
          <w:ilvl w:val="0"/>
          <w:numId w:val="0"/>
        </w:numPr>
        <w:kinsoku/>
        <w:wordWrap/>
        <w:overflowPunct/>
        <w:topLinePunct w:val="0"/>
        <w:autoSpaceDE/>
        <w:autoSpaceDN/>
        <w:bidi w:val="0"/>
        <w:adjustRightInd w:val="0"/>
        <w:snapToGrid w:val="0"/>
        <w:spacing w:before="0" w:after="0" w:line="360" w:lineRule="auto"/>
        <w:jc w:val="center"/>
        <w:textAlignment w:val="auto"/>
        <w:rPr>
          <w:rFonts w:hint="eastAsia" w:asciiTheme="minorEastAsia" w:hAnsiTheme="minorEastAsia" w:eastAsiaTheme="minorEastAsia" w:cstheme="minorEastAsia"/>
          <w:b/>
          <w:bCs/>
          <w:sz w:val="30"/>
          <w:szCs w:val="30"/>
          <w:lang w:val="en-US" w:eastAsia="zh-CN"/>
        </w:rPr>
      </w:pPr>
      <w:bookmarkStart w:id="42" w:name="_Toc29523"/>
      <w:bookmarkStart w:id="43" w:name="_Toc520356144"/>
      <w:bookmarkStart w:id="44" w:name="_Toc32623"/>
      <w:bookmarkStart w:id="45" w:name="_Toc532473450"/>
      <w:bookmarkStart w:id="46" w:name="_Toc515647758"/>
      <w:bookmarkStart w:id="47" w:name="_Toc32189"/>
      <w:bookmarkStart w:id="48" w:name="_Toc15048289"/>
    </w:p>
    <w:p w14:paraId="3CF1F9F4">
      <w:pPr>
        <w:rPr>
          <w:rFonts w:hint="eastAsia"/>
          <w:lang w:val="en-US" w:eastAsia="zh-CN"/>
        </w:rPr>
      </w:pPr>
    </w:p>
    <w:p w14:paraId="0F73721C">
      <w:pPr>
        <w:pStyle w:val="3"/>
        <w:keepNext/>
        <w:keepLines/>
        <w:pageBreakBefore w:val="0"/>
        <w:widowControl w:val="0"/>
        <w:numPr>
          <w:ilvl w:val="0"/>
          <w:numId w:val="0"/>
        </w:numPr>
        <w:kinsoku/>
        <w:wordWrap/>
        <w:overflowPunct/>
        <w:topLinePunct w:val="0"/>
        <w:autoSpaceDE/>
        <w:autoSpaceDN/>
        <w:bidi w:val="0"/>
        <w:adjustRightInd w:val="0"/>
        <w:snapToGrid w:val="0"/>
        <w:spacing w:before="0" w:after="0" w:line="360" w:lineRule="auto"/>
        <w:jc w:val="center"/>
        <w:textAlignment w:val="auto"/>
        <w:rPr>
          <w:rFonts w:hint="eastAsia" w:asciiTheme="minorEastAsia" w:hAnsiTheme="minorEastAsia" w:eastAsiaTheme="minorEastAsia" w:cstheme="minorEastAsia"/>
          <w:b w:val="0"/>
          <w:bCs w:val="0"/>
          <w:sz w:val="28"/>
          <w:lang w:eastAsia="zh-CN"/>
        </w:rPr>
      </w:pPr>
      <w:bookmarkStart w:id="49" w:name="_Toc25460"/>
      <w:r>
        <w:rPr>
          <w:rFonts w:hint="eastAsia" w:asciiTheme="minorEastAsia" w:hAnsiTheme="minorEastAsia" w:eastAsiaTheme="minorEastAsia" w:cstheme="minorEastAsia"/>
          <w:b/>
          <w:bCs/>
          <w:sz w:val="30"/>
          <w:szCs w:val="30"/>
          <w:lang w:val="en-US" w:eastAsia="zh-CN"/>
        </w:rPr>
        <w:t>二、</w:t>
      </w:r>
      <w:r>
        <w:rPr>
          <w:rFonts w:hint="eastAsia" w:asciiTheme="minorEastAsia" w:hAnsiTheme="minorEastAsia" w:eastAsiaTheme="minorEastAsia" w:cstheme="minorEastAsia"/>
          <w:b/>
          <w:bCs/>
          <w:sz w:val="30"/>
          <w:szCs w:val="30"/>
          <w:lang w:eastAsia="zh-CN"/>
        </w:rPr>
        <w:t>招</w:t>
      </w:r>
      <w:r>
        <w:rPr>
          <w:rFonts w:hint="eastAsia" w:asciiTheme="minorEastAsia" w:hAnsiTheme="minorEastAsia" w:eastAsiaTheme="minorEastAsia" w:cstheme="minorEastAsia"/>
          <w:b/>
          <w:bCs/>
          <w:sz w:val="30"/>
          <w:szCs w:val="30"/>
          <w:lang w:val="en-US" w:eastAsia="zh-CN"/>
        </w:rPr>
        <w:t xml:space="preserve">  </w:t>
      </w:r>
      <w:r>
        <w:rPr>
          <w:rFonts w:hint="eastAsia" w:asciiTheme="minorEastAsia" w:hAnsiTheme="minorEastAsia" w:eastAsiaTheme="minorEastAsia" w:cstheme="minorEastAsia"/>
          <w:b/>
          <w:bCs/>
          <w:sz w:val="30"/>
          <w:szCs w:val="30"/>
          <w:lang w:eastAsia="zh-CN"/>
        </w:rPr>
        <w:t>标</w:t>
      </w:r>
      <w:bookmarkEnd w:id="42"/>
      <w:bookmarkEnd w:id="49"/>
    </w:p>
    <w:p w14:paraId="449F38B0">
      <w:pPr>
        <w:pageBreakBefore w:val="0"/>
        <w:widowControl w:val="0"/>
        <w:kinsoku/>
        <w:wordWrap/>
        <w:overflowPunct/>
        <w:topLinePunct w:val="0"/>
        <w:bidi w:val="0"/>
        <w:adjustRightInd w:val="0"/>
        <w:snapToGrid w:val="0"/>
        <w:spacing w:before="0" w:after="0" w:line="360" w:lineRule="auto"/>
        <w:textAlignment w:val="auto"/>
        <w:outlineLvl w:val="9"/>
        <w:rPr>
          <w:rFonts w:hint="eastAsia" w:asciiTheme="minorEastAsia" w:hAnsiTheme="minorEastAsia" w:eastAsiaTheme="minorEastAsia" w:cstheme="minorEastAsia"/>
          <w:b/>
          <w:bCs/>
          <w:sz w:val="24"/>
          <w:szCs w:val="24"/>
        </w:rPr>
      </w:pPr>
      <w:bookmarkStart w:id="50" w:name="_Toc57211935"/>
      <w:bookmarkStart w:id="51" w:name="_Toc8307"/>
      <w:r>
        <w:rPr>
          <w:rFonts w:hint="eastAsia" w:asciiTheme="minorEastAsia" w:hAnsiTheme="minorEastAsia" w:eastAsiaTheme="minorEastAsia" w:cstheme="minorEastAsia"/>
          <w:b/>
          <w:bCs/>
          <w:sz w:val="24"/>
          <w:szCs w:val="24"/>
        </w:rPr>
        <w:t>1</w:t>
      </w:r>
      <w:r>
        <w:rPr>
          <w:rFonts w:hint="eastAsia" w:asciiTheme="minorEastAsia" w:hAnsiTheme="minorEastAsia" w:eastAsiaTheme="minorEastAsia" w:cstheme="minorEastAsia"/>
          <w:b/>
          <w:bCs/>
          <w:sz w:val="24"/>
          <w:szCs w:val="24"/>
          <w:lang w:eastAsia="zh-CN"/>
        </w:rPr>
        <w:t>.</w:t>
      </w:r>
      <w:r>
        <w:rPr>
          <w:rFonts w:hint="eastAsia" w:asciiTheme="minorEastAsia" w:hAnsiTheme="minorEastAsia" w:eastAsiaTheme="minorEastAsia" w:cstheme="minorEastAsia"/>
          <w:b/>
          <w:bCs/>
          <w:sz w:val="24"/>
          <w:szCs w:val="24"/>
        </w:rPr>
        <w:t>总 则</w:t>
      </w:r>
    </w:p>
    <w:p w14:paraId="2AAD05AF">
      <w:pPr>
        <w:pageBreakBefore w:val="0"/>
        <w:widowControl w:val="0"/>
        <w:kinsoku/>
        <w:wordWrap/>
        <w:overflowPunct/>
        <w:topLinePunct w:val="0"/>
        <w:bidi w:val="0"/>
        <w:adjustRightInd w:val="0"/>
        <w:snapToGrid w:val="0"/>
        <w:spacing w:before="0" w:after="0" w:line="360" w:lineRule="auto"/>
        <w:textAlignment w:val="auto"/>
        <w:outlineLvl w:val="9"/>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bCs/>
          <w:sz w:val="24"/>
          <w:szCs w:val="24"/>
        </w:rPr>
        <w:t>1.1 项目概况</w:t>
      </w:r>
      <w:bookmarkEnd w:id="50"/>
      <w:bookmarkEnd w:id="51"/>
    </w:p>
    <w:p w14:paraId="13A72BF3">
      <w:pPr>
        <w:pageBreakBefore w:val="0"/>
        <w:widowControl w:val="0"/>
        <w:tabs>
          <w:tab w:val="left" w:pos="0"/>
        </w:tabs>
        <w:kinsoku/>
        <w:wordWrap/>
        <w:overflowPunct/>
        <w:topLinePunct w:val="0"/>
        <w:bidi w:val="0"/>
        <w:adjustRightInd w:val="0"/>
        <w:snapToGrid w:val="0"/>
        <w:spacing w:line="360" w:lineRule="auto"/>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1.1.1 采购人：是指依法进行政府采购的国家机关、事业单位、团体组织。</w:t>
      </w:r>
    </w:p>
    <w:p w14:paraId="741C91D9">
      <w:pPr>
        <w:pageBreakBefore w:val="0"/>
        <w:widowControl w:val="0"/>
        <w:tabs>
          <w:tab w:val="left" w:pos="0"/>
        </w:tabs>
        <w:kinsoku/>
        <w:wordWrap/>
        <w:overflowPunct/>
        <w:topLinePunct w:val="0"/>
        <w:bidi w:val="0"/>
        <w:adjustRightInd w:val="0"/>
        <w:snapToGrid w:val="0"/>
        <w:spacing w:line="360" w:lineRule="auto"/>
        <w:ind w:firstLine="720" w:firstLineChars="300"/>
        <w:textAlignment w:val="auto"/>
        <w:outlineLvl w:val="9"/>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本项目的采购人详见：</w:t>
      </w:r>
      <w:r>
        <w:rPr>
          <w:rFonts w:hint="eastAsia" w:asciiTheme="minorEastAsia" w:hAnsiTheme="minorEastAsia" w:eastAsiaTheme="minorEastAsia" w:cstheme="minorEastAsia"/>
          <w:b w:val="0"/>
          <w:bCs w:val="0"/>
          <w:sz w:val="24"/>
          <w:szCs w:val="24"/>
          <w:u w:val="single"/>
        </w:rPr>
        <w:t>投标人须知前附表</w:t>
      </w:r>
      <w:r>
        <w:rPr>
          <w:rFonts w:hint="eastAsia" w:asciiTheme="minorEastAsia" w:hAnsiTheme="minorEastAsia" w:eastAsiaTheme="minorEastAsia" w:cstheme="minorEastAsia"/>
          <w:b w:val="0"/>
          <w:bCs w:val="0"/>
          <w:sz w:val="24"/>
          <w:szCs w:val="24"/>
        </w:rPr>
        <w:t>。</w:t>
      </w:r>
    </w:p>
    <w:p w14:paraId="4147277E">
      <w:pPr>
        <w:pageBreakBefore w:val="0"/>
        <w:widowControl w:val="0"/>
        <w:tabs>
          <w:tab w:val="left" w:pos="142"/>
        </w:tabs>
        <w:kinsoku/>
        <w:wordWrap/>
        <w:overflowPunct/>
        <w:topLinePunct w:val="0"/>
        <w:bidi w:val="0"/>
        <w:adjustRightInd w:val="0"/>
        <w:snapToGrid w:val="0"/>
        <w:spacing w:line="360" w:lineRule="auto"/>
        <w:textAlignment w:val="auto"/>
        <w:outlineLvl w:val="9"/>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1.1.2 采购代理机构是指：</w:t>
      </w:r>
      <w:r>
        <w:rPr>
          <w:rFonts w:hint="eastAsia" w:asciiTheme="minorEastAsia" w:hAnsiTheme="minorEastAsia" w:eastAsiaTheme="minorEastAsia" w:cstheme="minorEastAsia"/>
          <w:b w:val="0"/>
          <w:bCs w:val="0"/>
          <w:sz w:val="24"/>
          <w:szCs w:val="24"/>
          <w:u w:val="single"/>
          <w:lang w:eastAsia="zh-CN"/>
        </w:rPr>
        <w:t>中鼎景宏工程管理有限公司</w:t>
      </w:r>
      <w:r>
        <w:rPr>
          <w:rFonts w:hint="eastAsia" w:asciiTheme="minorEastAsia" w:hAnsiTheme="minorEastAsia" w:eastAsiaTheme="minorEastAsia" w:cstheme="minorEastAsia"/>
          <w:b w:val="0"/>
          <w:bCs w:val="0"/>
          <w:sz w:val="24"/>
          <w:szCs w:val="24"/>
        </w:rPr>
        <w:t>。</w:t>
      </w:r>
    </w:p>
    <w:p w14:paraId="7DF12041">
      <w:pPr>
        <w:pageBreakBefore w:val="0"/>
        <w:widowControl w:val="0"/>
        <w:tabs>
          <w:tab w:val="left" w:pos="142"/>
        </w:tabs>
        <w:kinsoku/>
        <w:wordWrap/>
        <w:overflowPunct/>
        <w:topLinePunct w:val="0"/>
        <w:bidi w:val="0"/>
        <w:adjustRightInd w:val="0"/>
        <w:snapToGrid w:val="0"/>
        <w:spacing w:line="360" w:lineRule="auto"/>
        <w:textAlignment w:val="auto"/>
        <w:outlineLvl w:val="9"/>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1.1.3 电子交易平台：</w:t>
      </w:r>
      <w:r>
        <w:rPr>
          <w:rFonts w:hint="eastAsia" w:asciiTheme="minorEastAsia" w:hAnsiTheme="minorEastAsia" w:eastAsiaTheme="minorEastAsia" w:cstheme="minorEastAsia"/>
          <w:b w:val="0"/>
          <w:bCs w:val="0"/>
          <w:sz w:val="24"/>
          <w:szCs w:val="24"/>
          <w:u w:val="single"/>
        </w:rPr>
        <w:t>见投标人须知前附表</w:t>
      </w:r>
      <w:r>
        <w:rPr>
          <w:rFonts w:hint="eastAsia" w:asciiTheme="minorEastAsia" w:hAnsiTheme="minorEastAsia" w:eastAsiaTheme="minorEastAsia" w:cstheme="minorEastAsia"/>
          <w:b w:val="0"/>
          <w:bCs w:val="0"/>
          <w:sz w:val="24"/>
          <w:szCs w:val="24"/>
        </w:rPr>
        <w:t>。</w:t>
      </w:r>
    </w:p>
    <w:p w14:paraId="3C725B19">
      <w:pPr>
        <w:pageBreakBefore w:val="0"/>
        <w:widowControl w:val="0"/>
        <w:tabs>
          <w:tab w:val="left" w:pos="142"/>
        </w:tabs>
        <w:kinsoku/>
        <w:wordWrap/>
        <w:overflowPunct/>
        <w:topLinePunct w:val="0"/>
        <w:bidi w:val="0"/>
        <w:adjustRightInd w:val="0"/>
        <w:snapToGrid w:val="0"/>
        <w:spacing w:line="360" w:lineRule="auto"/>
        <w:textAlignment w:val="auto"/>
        <w:outlineLvl w:val="9"/>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1.1.4 采购项目名称：</w:t>
      </w:r>
      <w:r>
        <w:rPr>
          <w:rFonts w:hint="eastAsia" w:asciiTheme="minorEastAsia" w:hAnsiTheme="minorEastAsia" w:eastAsiaTheme="minorEastAsia" w:cstheme="minorEastAsia"/>
          <w:b w:val="0"/>
          <w:bCs w:val="0"/>
          <w:sz w:val="24"/>
          <w:szCs w:val="24"/>
          <w:u w:val="single"/>
        </w:rPr>
        <w:t>见投标人须知前附表</w:t>
      </w:r>
      <w:r>
        <w:rPr>
          <w:rFonts w:hint="eastAsia" w:asciiTheme="minorEastAsia" w:hAnsiTheme="minorEastAsia" w:eastAsiaTheme="minorEastAsia" w:cstheme="minorEastAsia"/>
          <w:b w:val="0"/>
          <w:bCs w:val="0"/>
          <w:sz w:val="24"/>
          <w:szCs w:val="24"/>
        </w:rPr>
        <w:t>。</w:t>
      </w:r>
    </w:p>
    <w:p w14:paraId="21B6A124">
      <w:pPr>
        <w:pageBreakBefore w:val="0"/>
        <w:widowControl w:val="0"/>
        <w:tabs>
          <w:tab w:val="left" w:pos="142"/>
        </w:tabs>
        <w:kinsoku/>
        <w:wordWrap/>
        <w:overflowPunct/>
        <w:topLinePunct w:val="0"/>
        <w:bidi w:val="0"/>
        <w:adjustRightInd w:val="0"/>
        <w:snapToGrid w:val="0"/>
        <w:spacing w:line="360" w:lineRule="auto"/>
        <w:textAlignment w:val="auto"/>
        <w:outlineLvl w:val="9"/>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1.1.5 采购项目实施地点：</w:t>
      </w:r>
      <w:r>
        <w:rPr>
          <w:rFonts w:hint="eastAsia" w:asciiTheme="minorEastAsia" w:hAnsiTheme="minorEastAsia" w:eastAsiaTheme="minorEastAsia" w:cstheme="minorEastAsia"/>
          <w:b w:val="0"/>
          <w:bCs w:val="0"/>
          <w:sz w:val="24"/>
          <w:szCs w:val="24"/>
          <w:u w:val="single"/>
        </w:rPr>
        <w:t>见投标人须知前附表</w:t>
      </w:r>
      <w:r>
        <w:rPr>
          <w:rFonts w:hint="eastAsia" w:asciiTheme="minorEastAsia" w:hAnsiTheme="minorEastAsia" w:eastAsiaTheme="minorEastAsia" w:cstheme="minorEastAsia"/>
          <w:b w:val="0"/>
          <w:bCs w:val="0"/>
          <w:sz w:val="24"/>
          <w:szCs w:val="24"/>
        </w:rPr>
        <w:t>。</w:t>
      </w:r>
    </w:p>
    <w:p w14:paraId="5A36FAD9">
      <w:pPr>
        <w:pageBreakBefore w:val="0"/>
        <w:widowControl w:val="0"/>
        <w:kinsoku/>
        <w:wordWrap/>
        <w:overflowPunct/>
        <w:topLinePunct w:val="0"/>
        <w:bidi w:val="0"/>
        <w:adjustRightInd w:val="0"/>
        <w:snapToGrid w:val="0"/>
        <w:spacing w:line="360" w:lineRule="auto"/>
        <w:textAlignment w:val="auto"/>
        <w:outlineLvl w:val="9"/>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1.1.6 采购方式：</w:t>
      </w:r>
      <w:r>
        <w:rPr>
          <w:rFonts w:hint="eastAsia" w:asciiTheme="minorEastAsia" w:hAnsiTheme="minorEastAsia" w:eastAsiaTheme="minorEastAsia" w:cstheme="minorEastAsia"/>
          <w:b w:val="0"/>
          <w:bCs w:val="0"/>
          <w:sz w:val="24"/>
          <w:szCs w:val="24"/>
          <w:u w:val="single"/>
        </w:rPr>
        <w:t>见投标人须知前附表</w:t>
      </w:r>
      <w:r>
        <w:rPr>
          <w:rFonts w:hint="eastAsia" w:asciiTheme="minorEastAsia" w:hAnsiTheme="minorEastAsia" w:eastAsiaTheme="minorEastAsia" w:cstheme="minorEastAsia"/>
          <w:b w:val="0"/>
          <w:bCs w:val="0"/>
          <w:sz w:val="24"/>
          <w:szCs w:val="24"/>
        </w:rPr>
        <w:t>。</w:t>
      </w:r>
    </w:p>
    <w:p w14:paraId="480EBBD3">
      <w:pPr>
        <w:pageBreakBefore w:val="0"/>
        <w:widowControl w:val="0"/>
        <w:kinsoku/>
        <w:wordWrap/>
        <w:overflowPunct/>
        <w:topLinePunct w:val="0"/>
        <w:bidi w:val="0"/>
        <w:adjustRightInd w:val="0"/>
        <w:snapToGrid w:val="0"/>
        <w:spacing w:line="360" w:lineRule="auto"/>
        <w:textAlignment w:val="auto"/>
        <w:outlineLvl w:val="9"/>
        <w:rPr>
          <w:rFonts w:hint="eastAsia" w:asciiTheme="minorEastAsia" w:hAnsiTheme="minorEastAsia" w:eastAsiaTheme="minorEastAsia" w:cstheme="minorEastAsia"/>
          <w:b w:val="0"/>
          <w:bCs w:val="0"/>
          <w:sz w:val="24"/>
          <w:szCs w:val="24"/>
        </w:rPr>
      </w:pPr>
      <w:bookmarkStart w:id="52" w:name="_Toc57211936"/>
      <w:r>
        <w:rPr>
          <w:rFonts w:hint="eastAsia" w:asciiTheme="minorEastAsia" w:hAnsiTheme="minorEastAsia" w:eastAsiaTheme="minorEastAsia" w:cstheme="minorEastAsia"/>
          <w:b w:val="0"/>
          <w:bCs w:val="0"/>
          <w:sz w:val="24"/>
          <w:szCs w:val="24"/>
        </w:rPr>
        <w:t>1.1.7 采购标段（包）划分：</w:t>
      </w:r>
      <w:r>
        <w:rPr>
          <w:rFonts w:hint="eastAsia" w:asciiTheme="minorEastAsia" w:hAnsiTheme="minorEastAsia" w:eastAsiaTheme="minorEastAsia" w:cstheme="minorEastAsia"/>
          <w:b w:val="0"/>
          <w:bCs w:val="0"/>
          <w:sz w:val="24"/>
          <w:szCs w:val="24"/>
          <w:u w:val="single"/>
        </w:rPr>
        <w:t>见投标人须知前附表</w:t>
      </w:r>
      <w:r>
        <w:rPr>
          <w:rFonts w:hint="eastAsia" w:asciiTheme="minorEastAsia" w:hAnsiTheme="minorEastAsia" w:eastAsiaTheme="minorEastAsia" w:cstheme="minorEastAsia"/>
          <w:b w:val="0"/>
          <w:bCs w:val="0"/>
          <w:sz w:val="24"/>
          <w:szCs w:val="24"/>
        </w:rPr>
        <w:t>。</w:t>
      </w:r>
    </w:p>
    <w:p w14:paraId="1957CC3B">
      <w:pPr>
        <w:pageBreakBefore w:val="0"/>
        <w:widowControl w:val="0"/>
        <w:kinsoku/>
        <w:wordWrap/>
        <w:overflowPunct/>
        <w:topLinePunct w:val="0"/>
        <w:bidi w:val="0"/>
        <w:adjustRightInd w:val="0"/>
        <w:snapToGrid w:val="0"/>
        <w:spacing w:line="360" w:lineRule="auto"/>
        <w:textAlignment w:val="auto"/>
        <w:outlineLvl w:val="9"/>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1.1.8 采购项目属性：</w:t>
      </w:r>
      <w:r>
        <w:rPr>
          <w:rFonts w:hint="eastAsia" w:asciiTheme="minorEastAsia" w:hAnsiTheme="minorEastAsia" w:eastAsiaTheme="minorEastAsia" w:cstheme="minorEastAsia"/>
          <w:b w:val="0"/>
          <w:bCs w:val="0"/>
          <w:sz w:val="24"/>
          <w:szCs w:val="24"/>
          <w:u w:val="single"/>
        </w:rPr>
        <w:t>见投标人须知前附表</w:t>
      </w:r>
      <w:r>
        <w:rPr>
          <w:rFonts w:hint="eastAsia" w:asciiTheme="minorEastAsia" w:hAnsiTheme="minorEastAsia" w:eastAsiaTheme="minorEastAsia" w:cstheme="minorEastAsia"/>
          <w:b w:val="0"/>
          <w:bCs w:val="0"/>
          <w:sz w:val="24"/>
          <w:szCs w:val="24"/>
        </w:rPr>
        <w:t>。</w:t>
      </w:r>
    </w:p>
    <w:p w14:paraId="05258BC6">
      <w:pPr>
        <w:pageBreakBefore w:val="0"/>
        <w:widowControl w:val="0"/>
        <w:kinsoku/>
        <w:wordWrap/>
        <w:overflowPunct/>
        <w:topLinePunct w:val="0"/>
        <w:bidi w:val="0"/>
        <w:adjustRightInd w:val="0"/>
        <w:snapToGrid w:val="0"/>
        <w:spacing w:line="360" w:lineRule="auto"/>
        <w:textAlignment w:val="auto"/>
        <w:outlineLvl w:val="9"/>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1.1.9 标的物所属行业：</w:t>
      </w:r>
      <w:r>
        <w:rPr>
          <w:rFonts w:hint="eastAsia" w:asciiTheme="minorEastAsia" w:hAnsiTheme="minorEastAsia" w:eastAsiaTheme="minorEastAsia" w:cstheme="minorEastAsia"/>
          <w:b w:val="0"/>
          <w:bCs w:val="0"/>
          <w:sz w:val="24"/>
          <w:szCs w:val="24"/>
          <w:u w:val="single"/>
        </w:rPr>
        <w:t>见投标人须知前附表</w:t>
      </w:r>
      <w:r>
        <w:rPr>
          <w:rFonts w:hint="eastAsia" w:asciiTheme="minorEastAsia" w:hAnsiTheme="minorEastAsia" w:eastAsiaTheme="minorEastAsia" w:cstheme="minorEastAsia"/>
          <w:b w:val="0"/>
          <w:bCs w:val="0"/>
          <w:sz w:val="24"/>
          <w:szCs w:val="24"/>
        </w:rPr>
        <w:t>。</w:t>
      </w:r>
    </w:p>
    <w:p w14:paraId="5195EFDD">
      <w:pPr>
        <w:pageBreakBefore w:val="0"/>
        <w:widowControl w:val="0"/>
        <w:kinsoku/>
        <w:wordWrap/>
        <w:overflowPunct/>
        <w:topLinePunct w:val="0"/>
        <w:bidi w:val="0"/>
        <w:adjustRightInd w:val="0"/>
        <w:snapToGrid w:val="0"/>
        <w:spacing w:line="360" w:lineRule="auto"/>
        <w:textAlignment w:val="auto"/>
        <w:outlineLvl w:val="9"/>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1.1.10</w:t>
      </w:r>
      <w:r>
        <w:rPr>
          <w:rFonts w:hint="eastAsia" w:asciiTheme="minorEastAsia" w:hAnsiTheme="minorEastAsia" w:eastAsiaTheme="minorEastAsia" w:cstheme="minorEastAsia"/>
          <w:b w:val="0"/>
          <w:bCs w:val="0"/>
          <w:sz w:val="24"/>
          <w:szCs w:val="24"/>
          <w:lang w:eastAsia="zh-CN"/>
        </w:rPr>
        <w:t>项目核心产品</w:t>
      </w:r>
      <w:r>
        <w:rPr>
          <w:rFonts w:hint="eastAsia" w:asciiTheme="minorEastAsia" w:hAnsiTheme="minorEastAsia" w:eastAsiaTheme="minorEastAsia" w:cstheme="minorEastAsia"/>
          <w:b w:val="0"/>
          <w:bCs w:val="0"/>
          <w:sz w:val="24"/>
          <w:szCs w:val="24"/>
        </w:rPr>
        <w:t>：</w:t>
      </w:r>
      <w:r>
        <w:rPr>
          <w:rFonts w:hint="eastAsia" w:asciiTheme="minorEastAsia" w:hAnsiTheme="minorEastAsia" w:eastAsiaTheme="minorEastAsia" w:cstheme="minorEastAsia"/>
          <w:b w:val="0"/>
          <w:bCs w:val="0"/>
          <w:sz w:val="24"/>
          <w:szCs w:val="24"/>
          <w:u w:val="single"/>
        </w:rPr>
        <w:t>见投标人须知前附表</w:t>
      </w:r>
      <w:r>
        <w:rPr>
          <w:rFonts w:hint="eastAsia" w:asciiTheme="minorEastAsia" w:hAnsiTheme="minorEastAsia" w:eastAsiaTheme="minorEastAsia" w:cstheme="minorEastAsia"/>
          <w:b w:val="0"/>
          <w:bCs w:val="0"/>
          <w:sz w:val="24"/>
          <w:szCs w:val="24"/>
        </w:rPr>
        <w:t>。</w:t>
      </w:r>
    </w:p>
    <w:p w14:paraId="5AAE9FC2">
      <w:pPr>
        <w:pageBreakBefore w:val="0"/>
        <w:widowControl w:val="0"/>
        <w:kinsoku/>
        <w:wordWrap/>
        <w:overflowPunct/>
        <w:topLinePunct w:val="0"/>
        <w:bidi w:val="0"/>
        <w:adjustRightInd w:val="0"/>
        <w:snapToGrid w:val="0"/>
        <w:spacing w:before="0" w:after="0" w:line="360" w:lineRule="auto"/>
        <w:textAlignment w:val="auto"/>
        <w:outlineLvl w:val="9"/>
        <w:rPr>
          <w:rFonts w:hint="eastAsia" w:asciiTheme="minorEastAsia" w:hAnsiTheme="minorEastAsia" w:eastAsiaTheme="minorEastAsia" w:cstheme="minorEastAsia"/>
          <w:b/>
          <w:bCs/>
          <w:sz w:val="24"/>
          <w:szCs w:val="24"/>
        </w:rPr>
      </w:pPr>
      <w:bookmarkStart w:id="53" w:name="_Toc842"/>
      <w:r>
        <w:rPr>
          <w:rFonts w:hint="eastAsia" w:asciiTheme="minorEastAsia" w:hAnsiTheme="minorEastAsia" w:eastAsiaTheme="minorEastAsia" w:cstheme="minorEastAsia"/>
          <w:b/>
          <w:bCs/>
          <w:sz w:val="24"/>
          <w:szCs w:val="24"/>
        </w:rPr>
        <w:t>1.2 资金来源</w:t>
      </w:r>
      <w:bookmarkEnd w:id="52"/>
      <w:bookmarkEnd w:id="53"/>
    </w:p>
    <w:p w14:paraId="37E70B77">
      <w:pPr>
        <w:pageBreakBefore w:val="0"/>
        <w:widowControl w:val="0"/>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sz w:val="24"/>
          <w:szCs w:val="24"/>
        </w:rPr>
        <w:t xml:space="preserve">1.2.1 </w:t>
      </w:r>
      <w:r>
        <w:rPr>
          <w:rFonts w:hint="eastAsia" w:asciiTheme="minorEastAsia" w:hAnsiTheme="minorEastAsia" w:eastAsiaTheme="minorEastAsia" w:cstheme="minorEastAsia"/>
          <w:b w:val="0"/>
          <w:bCs w:val="0"/>
          <w:sz w:val="24"/>
          <w:szCs w:val="24"/>
        </w:rPr>
        <w:t>本项目的采购人已获得足以支付本次采购后所签订合同项下的资金（包括财政性资金和本项目采购中无法与财政性资金分割的非财政性资金）。</w:t>
      </w:r>
    </w:p>
    <w:p w14:paraId="1C468F2D">
      <w:pPr>
        <w:pageBreakBefore w:val="0"/>
        <w:widowControl w:val="0"/>
        <w:kinsoku/>
        <w:wordWrap/>
        <w:overflowPunct/>
        <w:topLinePunct w:val="0"/>
        <w:bidi w:val="0"/>
        <w:adjustRightInd w:val="0"/>
        <w:snapToGrid w:val="0"/>
        <w:spacing w:line="360" w:lineRule="auto"/>
        <w:textAlignment w:val="auto"/>
        <w:outlineLvl w:val="9"/>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1.2.2 项目预算金额和最高限价（如有）见：</w:t>
      </w:r>
      <w:r>
        <w:rPr>
          <w:rFonts w:hint="eastAsia" w:asciiTheme="minorEastAsia" w:hAnsiTheme="minorEastAsia" w:eastAsiaTheme="minorEastAsia" w:cstheme="minorEastAsia"/>
          <w:b w:val="0"/>
          <w:bCs w:val="0"/>
          <w:sz w:val="24"/>
          <w:szCs w:val="24"/>
          <w:u w:val="single"/>
        </w:rPr>
        <w:t>投标人须知前附表</w:t>
      </w:r>
      <w:r>
        <w:rPr>
          <w:rFonts w:hint="eastAsia" w:asciiTheme="minorEastAsia" w:hAnsiTheme="minorEastAsia" w:eastAsiaTheme="minorEastAsia" w:cstheme="minorEastAsia"/>
          <w:b w:val="0"/>
          <w:bCs w:val="0"/>
          <w:sz w:val="24"/>
          <w:szCs w:val="24"/>
        </w:rPr>
        <w:t>。</w:t>
      </w:r>
    </w:p>
    <w:p w14:paraId="026E94CD">
      <w:pPr>
        <w:pageBreakBefore w:val="0"/>
        <w:widowControl w:val="0"/>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1.2.3 投标人报价超过招标文件规定的预算金额或者最高限价的，其投标文件将被认定为无效投标文件。</w:t>
      </w:r>
    </w:p>
    <w:p w14:paraId="12DE9ED1">
      <w:pPr>
        <w:pageBreakBefore w:val="0"/>
        <w:widowControl w:val="0"/>
        <w:kinsoku/>
        <w:wordWrap/>
        <w:overflowPunct/>
        <w:topLinePunct w:val="0"/>
        <w:bidi w:val="0"/>
        <w:adjustRightInd w:val="0"/>
        <w:snapToGrid w:val="0"/>
        <w:spacing w:before="0" w:after="0" w:line="360" w:lineRule="auto"/>
        <w:textAlignment w:val="auto"/>
        <w:outlineLvl w:val="9"/>
        <w:rPr>
          <w:rFonts w:hint="eastAsia" w:asciiTheme="minorEastAsia" w:hAnsiTheme="minorEastAsia" w:eastAsiaTheme="minorEastAsia" w:cstheme="minorEastAsia"/>
          <w:b/>
          <w:bCs/>
          <w:sz w:val="24"/>
          <w:szCs w:val="24"/>
        </w:rPr>
      </w:pPr>
      <w:bookmarkStart w:id="54" w:name="_Toc13009"/>
      <w:bookmarkStart w:id="55" w:name="_Toc36564721"/>
      <w:bookmarkStart w:id="56" w:name="_Toc34732543"/>
      <w:bookmarkStart w:id="57" w:name="_Toc25832408"/>
      <w:bookmarkStart w:id="58" w:name="_Toc57211937"/>
      <w:bookmarkStart w:id="59" w:name="_Toc34733011"/>
      <w:bookmarkStart w:id="60" w:name="_Toc40972796"/>
      <w:r>
        <w:rPr>
          <w:rFonts w:hint="eastAsia" w:asciiTheme="minorEastAsia" w:hAnsiTheme="minorEastAsia" w:eastAsiaTheme="minorEastAsia" w:cstheme="minorEastAsia"/>
          <w:b/>
          <w:bCs/>
          <w:sz w:val="24"/>
          <w:szCs w:val="24"/>
        </w:rPr>
        <w:t>1.3 采购需求及其它相关要求</w:t>
      </w:r>
      <w:bookmarkEnd w:id="54"/>
      <w:bookmarkEnd w:id="55"/>
      <w:bookmarkEnd w:id="56"/>
      <w:bookmarkEnd w:id="57"/>
      <w:bookmarkEnd w:id="58"/>
      <w:bookmarkEnd w:id="59"/>
      <w:bookmarkEnd w:id="60"/>
    </w:p>
    <w:p w14:paraId="23E6B62B">
      <w:pPr>
        <w:pageBreakBefore w:val="0"/>
        <w:widowControl w:val="0"/>
        <w:kinsoku/>
        <w:wordWrap/>
        <w:overflowPunct/>
        <w:topLinePunct w:val="0"/>
        <w:bidi w:val="0"/>
        <w:adjustRightInd w:val="0"/>
        <w:snapToGrid w:val="0"/>
        <w:spacing w:line="360" w:lineRule="auto"/>
        <w:textAlignment w:val="auto"/>
        <w:outlineLvl w:val="9"/>
        <w:rPr>
          <w:rFonts w:hint="eastAsia" w:asciiTheme="minorEastAsia" w:hAnsiTheme="minorEastAsia" w:eastAsiaTheme="minorEastAsia" w:cstheme="minorEastAsia"/>
          <w:b w:val="0"/>
          <w:bCs w:val="0"/>
          <w:color w:val="auto"/>
          <w:sz w:val="24"/>
          <w:szCs w:val="24"/>
        </w:rPr>
      </w:pPr>
      <w:bookmarkStart w:id="61" w:name="OLE_LINK92"/>
      <w:bookmarkStart w:id="62" w:name="OLE_LINK93"/>
      <w:bookmarkStart w:id="63" w:name="OLE_LINK14"/>
      <w:bookmarkStart w:id="64" w:name="OLE_LINK15"/>
      <w:r>
        <w:rPr>
          <w:rFonts w:hint="eastAsia" w:asciiTheme="minorEastAsia" w:hAnsiTheme="minorEastAsia" w:eastAsiaTheme="minorEastAsia" w:cstheme="minorEastAsia"/>
          <w:color w:val="000000"/>
          <w:sz w:val="24"/>
          <w:szCs w:val="24"/>
        </w:rPr>
        <w:t>1</w:t>
      </w:r>
      <w:r>
        <w:rPr>
          <w:rFonts w:hint="eastAsia" w:asciiTheme="minorEastAsia" w:hAnsiTheme="minorEastAsia" w:eastAsiaTheme="minorEastAsia" w:cstheme="minorEastAsia"/>
          <w:b w:val="0"/>
          <w:bCs w:val="0"/>
          <w:color w:val="auto"/>
          <w:sz w:val="24"/>
          <w:szCs w:val="24"/>
        </w:rPr>
        <w:t>.3.1 采购需求、采购内容：</w:t>
      </w:r>
      <w:r>
        <w:rPr>
          <w:rFonts w:hint="eastAsia" w:asciiTheme="minorEastAsia" w:hAnsiTheme="minorEastAsia" w:eastAsiaTheme="minorEastAsia" w:cstheme="minorEastAsia"/>
          <w:b w:val="0"/>
          <w:bCs w:val="0"/>
          <w:color w:val="auto"/>
          <w:sz w:val="24"/>
          <w:szCs w:val="24"/>
          <w:u w:val="single"/>
        </w:rPr>
        <w:t>见“招标文件”</w:t>
      </w:r>
      <w:r>
        <w:rPr>
          <w:rFonts w:hint="eastAsia" w:asciiTheme="minorEastAsia" w:hAnsiTheme="minorEastAsia" w:eastAsiaTheme="minorEastAsia" w:cstheme="minorEastAsia"/>
          <w:b w:val="0"/>
          <w:bCs w:val="0"/>
          <w:color w:val="auto"/>
          <w:sz w:val="24"/>
          <w:szCs w:val="24"/>
          <w:u w:val="single"/>
          <w:lang w:eastAsia="zh-CN"/>
        </w:rPr>
        <w:t>相关章节</w:t>
      </w:r>
      <w:r>
        <w:rPr>
          <w:rFonts w:hint="eastAsia" w:asciiTheme="minorEastAsia" w:hAnsiTheme="minorEastAsia" w:eastAsiaTheme="minorEastAsia" w:cstheme="minorEastAsia"/>
          <w:b w:val="0"/>
          <w:bCs w:val="0"/>
          <w:color w:val="auto"/>
          <w:sz w:val="24"/>
          <w:szCs w:val="24"/>
        </w:rPr>
        <w:t>。</w:t>
      </w:r>
    </w:p>
    <w:p w14:paraId="3B3B25D3">
      <w:pPr>
        <w:pageBreakBefore w:val="0"/>
        <w:widowControl w:val="0"/>
        <w:tabs>
          <w:tab w:val="left" w:pos="142"/>
        </w:tabs>
        <w:kinsoku/>
        <w:wordWrap/>
        <w:overflowPunct/>
        <w:topLinePunct w:val="0"/>
        <w:bidi w:val="0"/>
        <w:adjustRightInd w:val="0"/>
        <w:snapToGrid w:val="0"/>
        <w:spacing w:line="360" w:lineRule="auto"/>
        <w:textAlignment w:val="auto"/>
        <w:outlineLvl w:val="9"/>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t>1.3.2 质量</w:t>
      </w:r>
      <w:r>
        <w:rPr>
          <w:rFonts w:hint="eastAsia" w:asciiTheme="minorEastAsia" w:hAnsiTheme="minorEastAsia" w:eastAsiaTheme="minorEastAsia" w:cstheme="minorEastAsia"/>
          <w:b w:val="0"/>
          <w:bCs w:val="0"/>
          <w:color w:val="auto"/>
          <w:sz w:val="24"/>
          <w:szCs w:val="24"/>
          <w:lang w:val="en-US" w:eastAsia="zh-CN"/>
        </w:rPr>
        <w:t>要求</w:t>
      </w:r>
      <w:r>
        <w:rPr>
          <w:rFonts w:hint="eastAsia" w:asciiTheme="minorEastAsia" w:hAnsiTheme="minorEastAsia" w:eastAsiaTheme="minorEastAsia" w:cstheme="minorEastAsia"/>
          <w:b w:val="0"/>
          <w:bCs w:val="0"/>
          <w:color w:val="auto"/>
          <w:sz w:val="24"/>
          <w:szCs w:val="24"/>
        </w:rPr>
        <w:t>：</w:t>
      </w:r>
      <w:r>
        <w:rPr>
          <w:rFonts w:hint="eastAsia" w:asciiTheme="minorEastAsia" w:hAnsiTheme="minorEastAsia" w:eastAsiaTheme="minorEastAsia" w:cstheme="minorEastAsia"/>
          <w:b w:val="0"/>
          <w:bCs w:val="0"/>
          <w:color w:val="auto"/>
          <w:sz w:val="24"/>
          <w:szCs w:val="24"/>
          <w:u w:val="single"/>
        </w:rPr>
        <w:t>见投标人须知前附表</w:t>
      </w:r>
      <w:r>
        <w:rPr>
          <w:rFonts w:hint="eastAsia" w:asciiTheme="minorEastAsia" w:hAnsiTheme="minorEastAsia" w:eastAsiaTheme="minorEastAsia" w:cstheme="minorEastAsia"/>
          <w:b w:val="0"/>
          <w:bCs w:val="0"/>
          <w:color w:val="auto"/>
          <w:sz w:val="24"/>
          <w:szCs w:val="24"/>
        </w:rPr>
        <w:t>。</w:t>
      </w:r>
    </w:p>
    <w:p w14:paraId="15E88BB8">
      <w:pPr>
        <w:pageBreakBefore w:val="0"/>
        <w:widowControl w:val="0"/>
        <w:tabs>
          <w:tab w:val="left" w:pos="142"/>
        </w:tabs>
        <w:kinsoku/>
        <w:wordWrap/>
        <w:overflowPunct/>
        <w:topLinePunct w:val="0"/>
        <w:bidi w:val="0"/>
        <w:adjustRightInd w:val="0"/>
        <w:snapToGrid w:val="0"/>
        <w:spacing w:line="360" w:lineRule="auto"/>
        <w:textAlignment w:val="auto"/>
        <w:outlineLvl w:val="9"/>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t>1.3.3 验收标准：采购人根据国家有关规定、招标文件、中标人的投标文件以及合同约定的内容和验收标准进行验收。验收情况作为支付货款的依据。如有异议，以相关质量技术检验检测机构的检验结果为准，如产生检验检测费用，则该费用由过失方承担</w:t>
      </w:r>
      <w:r>
        <w:rPr>
          <w:rFonts w:hint="eastAsia" w:asciiTheme="minorEastAsia" w:hAnsiTheme="minorEastAsia" w:eastAsiaTheme="minorEastAsia" w:cstheme="minorEastAsia"/>
          <w:b w:val="0"/>
          <w:bCs w:val="0"/>
          <w:color w:val="auto"/>
          <w:sz w:val="24"/>
          <w:szCs w:val="24"/>
          <w:lang w:eastAsia="zh-CN"/>
        </w:rPr>
        <w:t>，其他要求</w:t>
      </w:r>
      <w:r>
        <w:rPr>
          <w:rFonts w:hint="eastAsia" w:asciiTheme="minorEastAsia" w:hAnsiTheme="minorEastAsia" w:eastAsiaTheme="minorEastAsia" w:cstheme="minorEastAsia"/>
          <w:b w:val="0"/>
          <w:bCs w:val="0"/>
          <w:color w:val="auto"/>
          <w:sz w:val="24"/>
          <w:szCs w:val="24"/>
          <w:u w:val="single"/>
        </w:rPr>
        <w:t>见投标人须知前附表</w:t>
      </w:r>
      <w:r>
        <w:rPr>
          <w:rFonts w:hint="eastAsia" w:asciiTheme="minorEastAsia" w:hAnsiTheme="minorEastAsia" w:eastAsiaTheme="minorEastAsia" w:cstheme="minorEastAsia"/>
          <w:b w:val="0"/>
          <w:bCs w:val="0"/>
          <w:color w:val="auto"/>
          <w:sz w:val="24"/>
          <w:szCs w:val="24"/>
        </w:rPr>
        <w:t>。</w:t>
      </w:r>
    </w:p>
    <w:p w14:paraId="4751F5C2">
      <w:pPr>
        <w:pageBreakBefore w:val="0"/>
        <w:widowControl w:val="0"/>
        <w:tabs>
          <w:tab w:val="left" w:pos="142"/>
        </w:tabs>
        <w:kinsoku/>
        <w:wordWrap/>
        <w:overflowPunct/>
        <w:topLinePunct w:val="0"/>
        <w:bidi w:val="0"/>
        <w:adjustRightInd w:val="0"/>
        <w:snapToGrid w:val="0"/>
        <w:spacing w:line="360" w:lineRule="auto"/>
        <w:textAlignment w:val="auto"/>
        <w:outlineLvl w:val="9"/>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t>1.3.4 交货期及交货地点：</w:t>
      </w:r>
      <w:r>
        <w:rPr>
          <w:rFonts w:hint="eastAsia" w:asciiTheme="minorEastAsia" w:hAnsiTheme="minorEastAsia" w:eastAsiaTheme="minorEastAsia" w:cstheme="minorEastAsia"/>
          <w:b w:val="0"/>
          <w:bCs w:val="0"/>
          <w:color w:val="auto"/>
          <w:sz w:val="24"/>
          <w:szCs w:val="24"/>
          <w:u w:val="single"/>
        </w:rPr>
        <w:t>见投标人须知前附表</w:t>
      </w:r>
      <w:r>
        <w:rPr>
          <w:rFonts w:hint="eastAsia" w:asciiTheme="minorEastAsia" w:hAnsiTheme="minorEastAsia" w:eastAsiaTheme="minorEastAsia" w:cstheme="minorEastAsia"/>
          <w:b w:val="0"/>
          <w:bCs w:val="0"/>
          <w:color w:val="auto"/>
          <w:sz w:val="24"/>
          <w:szCs w:val="24"/>
        </w:rPr>
        <w:t>。</w:t>
      </w:r>
    </w:p>
    <w:p w14:paraId="64702A82">
      <w:pPr>
        <w:pageBreakBefore w:val="0"/>
        <w:widowControl w:val="0"/>
        <w:tabs>
          <w:tab w:val="left" w:pos="142"/>
        </w:tabs>
        <w:kinsoku/>
        <w:wordWrap/>
        <w:overflowPunct/>
        <w:topLinePunct w:val="0"/>
        <w:bidi w:val="0"/>
        <w:adjustRightInd w:val="0"/>
        <w:snapToGrid w:val="0"/>
        <w:spacing w:line="360" w:lineRule="auto"/>
        <w:textAlignment w:val="auto"/>
        <w:outlineLvl w:val="9"/>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t>1.3.5 合同履行期限：</w:t>
      </w:r>
      <w:r>
        <w:rPr>
          <w:rFonts w:hint="eastAsia" w:asciiTheme="minorEastAsia" w:hAnsiTheme="minorEastAsia" w:eastAsiaTheme="minorEastAsia" w:cstheme="minorEastAsia"/>
          <w:b w:val="0"/>
          <w:bCs w:val="0"/>
          <w:color w:val="auto"/>
          <w:sz w:val="24"/>
          <w:szCs w:val="24"/>
          <w:u w:val="single"/>
        </w:rPr>
        <w:t>见投标人须知前附表</w:t>
      </w:r>
      <w:r>
        <w:rPr>
          <w:rFonts w:hint="eastAsia" w:asciiTheme="minorEastAsia" w:hAnsiTheme="minorEastAsia" w:eastAsiaTheme="minorEastAsia" w:cstheme="minorEastAsia"/>
          <w:b w:val="0"/>
          <w:bCs w:val="0"/>
          <w:color w:val="auto"/>
          <w:sz w:val="24"/>
          <w:szCs w:val="24"/>
        </w:rPr>
        <w:t>。</w:t>
      </w:r>
    </w:p>
    <w:p w14:paraId="340CF47F">
      <w:pPr>
        <w:pageBreakBefore w:val="0"/>
        <w:widowControl w:val="0"/>
        <w:tabs>
          <w:tab w:val="left" w:pos="142"/>
        </w:tabs>
        <w:kinsoku/>
        <w:wordWrap/>
        <w:overflowPunct/>
        <w:topLinePunct w:val="0"/>
        <w:bidi w:val="0"/>
        <w:adjustRightInd w:val="0"/>
        <w:snapToGrid w:val="0"/>
        <w:spacing w:line="360" w:lineRule="auto"/>
        <w:textAlignment w:val="auto"/>
        <w:outlineLvl w:val="9"/>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t xml:space="preserve">1.3.6 </w:t>
      </w:r>
      <w:r>
        <w:rPr>
          <w:rFonts w:hint="eastAsia" w:asciiTheme="minorEastAsia" w:hAnsiTheme="minorEastAsia" w:eastAsiaTheme="minorEastAsia" w:cstheme="minorEastAsia"/>
          <w:b w:val="0"/>
          <w:bCs w:val="0"/>
          <w:color w:val="auto"/>
          <w:sz w:val="24"/>
          <w:szCs w:val="24"/>
          <w:lang w:eastAsia="zh-CN"/>
        </w:rPr>
        <w:t>质保期</w:t>
      </w:r>
      <w:r>
        <w:rPr>
          <w:rFonts w:hint="eastAsia" w:asciiTheme="minorEastAsia" w:hAnsiTheme="minorEastAsia" w:eastAsiaTheme="minorEastAsia" w:cstheme="minorEastAsia"/>
          <w:b w:val="0"/>
          <w:bCs w:val="0"/>
          <w:color w:val="auto"/>
          <w:sz w:val="24"/>
          <w:szCs w:val="24"/>
        </w:rPr>
        <w:t xml:space="preserve">： </w:t>
      </w:r>
      <w:r>
        <w:rPr>
          <w:rFonts w:hint="eastAsia" w:asciiTheme="minorEastAsia" w:hAnsiTheme="minorEastAsia" w:eastAsiaTheme="minorEastAsia" w:cstheme="minorEastAsia"/>
          <w:b w:val="0"/>
          <w:bCs w:val="0"/>
          <w:color w:val="auto"/>
          <w:sz w:val="24"/>
          <w:szCs w:val="24"/>
          <w:u w:val="single"/>
        </w:rPr>
        <w:t>见投标人须知前附表</w:t>
      </w:r>
      <w:r>
        <w:rPr>
          <w:rFonts w:hint="eastAsia" w:asciiTheme="minorEastAsia" w:hAnsiTheme="minorEastAsia" w:eastAsiaTheme="minorEastAsia" w:cstheme="minorEastAsia"/>
          <w:b w:val="0"/>
          <w:bCs w:val="0"/>
          <w:color w:val="auto"/>
          <w:sz w:val="24"/>
          <w:szCs w:val="24"/>
        </w:rPr>
        <w:t>。</w:t>
      </w:r>
      <w:bookmarkEnd w:id="61"/>
      <w:bookmarkEnd w:id="62"/>
    </w:p>
    <w:bookmarkEnd w:id="63"/>
    <w:bookmarkEnd w:id="64"/>
    <w:p w14:paraId="4AEA06CB">
      <w:pPr>
        <w:pageBreakBefore w:val="0"/>
        <w:widowControl w:val="0"/>
        <w:kinsoku/>
        <w:wordWrap/>
        <w:overflowPunct/>
        <w:topLinePunct w:val="0"/>
        <w:bidi w:val="0"/>
        <w:adjustRightInd w:val="0"/>
        <w:snapToGrid w:val="0"/>
        <w:spacing w:before="0" w:after="0" w:line="360" w:lineRule="auto"/>
        <w:textAlignment w:val="auto"/>
        <w:outlineLvl w:val="9"/>
        <w:rPr>
          <w:rFonts w:hint="eastAsia" w:asciiTheme="minorEastAsia" w:hAnsiTheme="minorEastAsia" w:eastAsiaTheme="minorEastAsia" w:cstheme="minorEastAsia"/>
          <w:b w:val="0"/>
          <w:bCs w:val="0"/>
          <w:sz w:val="24"/>
          <w:szCs w:val="24"/>
        </w:rPr>
      </w:pPr>
      <w:bookmarkStart w:id="65" w:name="_Toc40972797"/>
      <w:bookmarkStart w:id="66" w:name="_Toc57211938"/>
      <w:bookmarkStart w:id="67" w:name="_Toc34733012"/>
      <w:bookmarkStart w:id="68" w:name="_Toc25832409"/>
      <w:bookmarkStart w:id="69" w:name="_Toc34732544"/>
      <w:bookmarkStart w:id="70" w:name="_Toc36564722"/>
      <w:bookmarkStart w:id="71" w:name="_Toc6146"/>
      <w:r>
        <w:rPr>
          <w:rFonts w:hint="eastAsia" w:asciiTheme="minorEastAsia" w:hAnsiTheme="minorEastAsia" w:eastAsiaTheme="minorEastAsia" w:cstheme="minorEastAsia"/>
          <w:b/>
          <w:bCs/>
          <w:sz w:val="24"/>
          <w:szCs w:val="24"/>
        </w:rPr>
        <w:t>1.4 对投标人的要求</w:t>
      </w:r>
      <w:bookmarkEnd w:id="65"/>
      <w:bookmarkEnd w:id="66"/>
      <w:bookmarkEnd w:id="67"/>
      <w:bookmarkEnd w:id="68"/>
      <w:bookmarkEnd w:id="69"/>
      <w:bookmarkEnd w:id="70"/>
      <w:bookmarkEnd w:id="71"/>
    </w:p>
    <w:p w14:paraId="640C8B8D">
      <w:pPr>
        <w:pageBreakBefore w:val="0"/>
        <w:widowControl w:val="0"/>
        <w:kinsoku/>
        <w:wordWrap/>
        <w:overflowPunct/>
        <w:topLinePunct w:val="0"/>
        <w:bidi w:val="0"/>
        <w:adjustRightInd w:val="0"/>
        <w:snapToGrid w:val="0"/>
        <w:spacing w:line="360" w:lineRule="auto"/>
        <w:ind w:left="732" w:hanging="732" w:hangingChars="305"/>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sz w:val="24"/>
          <w:szCs w:val="24"/>
        </w:rPr>
        <w:t xml:space="preserve">1.4.1 </w:t>
      </w:r>
      <w:r>
        <w:rPr>
          <w:rFonts w:hint="eastAsia" w:asciiTheme="minorEastAsia" w:hAnsiTheme="minorEastAsia" w:eastAsiaTheme="minorEastAsia" w:cstheme="minorEastAsia"/>
          <w:color w:val="auto"/>
          <w:sz w:val="24"/>
          <w:szCs w:val="24"/>
        </w:rPr>
        <w:t>投标人是指以本项目招标公告中规定的方式获取了本项目的招标文件并在规定的时间内提交了投标文件，参加投标竞争，有意愿向采购人提</w:t>
      </w:r>
      <w:r>
        <w:rPr>
          <w:rFonts w:hint="eastAsia" w:asciiTheme="minorEastAsia" w:hAnsiTheme="minorEastAsia" w:eastAsiaTheme="minorEastAsia" w:cstheme="minorEastAsia"/>
          <w:b w:val="0"/>
          <w:bCs w:val="0"/>
          <w:color w:val="auto"/>
          <w:sz w:val="24"/>
          <w:szCs w:val="24"/>
        </w:rPr>
        <w:t>供货物（伴随的工程及服务）的法</w:t>
      </w:r>
      <w:r>
        <w:rPr>
          <w:rFonts w:hint="eastAsia" w:asciiTheme="minorEastAsia" w:hAnsiTheme="minorEastAsia" w:eastAsiaTheme="minorEastAsia" w:cstheme="minorEastAsia"/>
          <w:color w:val="auto"/>
          <w:sz w:val="24"/>
          <w:szCs w:val="24"/>
        </w:rPr>
        <w:t>人、非法人组织或者自然人。</w:t>
      </w:r>
    </w:p>
    <w:p w14:paraId="5352BC3B">
      <w:pPr>
        <w:pageBreakBefore w:val="0"/>
        <w:widowControl w:val="0"/>
        <w:tabs>
          <w:tab w:val="left" w:pos="142"/>
        </w:tabs>
        <w:kinsoku/>
        <w:wordWrap/>
        <w:overflowPunct/>
        <w:topLinePunct w:val="0"/>
        <w:bidi w:val="0"/>
        <w:adjustRightInd w:val="0"/>
        <w:snapToGrid w:val="0"/>
        <w:spacing w:line="360" w:lineRule="auto"/>
        <w:ind w:left="706" w:leftChars="336"/>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潜在投标人：以本项目招标公告中规定的方式获取本项目招标文件的法人、非法人组织或者自然人。</w:t>
      </w:r>
    </w:p>
    <w:p w14:paraId="09769819">
      <w:pPr>
        <w:pageBreakBefore w:val="0"/>
        <w:widowControl w:val="0"/>
        <w:kinsoku/>
        <w:wordWrap/>
        <w:overflowPunct/>
        <w:topLinePunct w:val="0"/>
        <w:bidi w:val="0"/>
        <w:adjustRightInd w:val="0"/>
        <w:snapToGrid w:val="0"/>
        <w:spacing w:line="360" w:lineRule="auto"/>
        <w:ind w:left="960" w:hanging="960" w:hangingChars="4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1.4.2 本项目的投标人及其</w:t>
      </w:r>
      <w:r>
        <w:rPr>
          <w:rFonts w:hint="eastAsia" w:asciiTheme="minorEastAsia" w:hAnsiTheme="minorEastAsia" w:eastAsiaTheme="minorEastAsia" w:cstheme="minorEastAsia"/>
          <w:b w:val="0"/>
          <w:bCs w:val="0"/>
          <w:color w:val="auto"/>
          <w:sz w:val="24"/>
          <w:szCs w:val="24"/>
        </w:rPr>
        <w:t>提供的货物（伴随的工程及服务）须</w:t>
      </w:r>
      <w:r>
        <w:rPr>
          <w:rFonts w:hint="eastAsia" w:asciiTheme="minorEastAsia" w:hAnsiTheme="minorEastAsia" w:eastAsiaTheme="minorEastAsia" w:cstheme="minorEastAsia"/>
          <w:color w:val="auto"/>
          <w:sz w:val="24"/>
          <w:szCs w:val="24"/>
        </w:rPr>
        <w:t>满足以下条件：</w:t>
      </w:r>
    </w:p>
    <w:p w14:paraId="4ADF6D44">
      <w:pPr>
        <w:pageBreakBefore w:val="0"/>
        <w:widowControl w:val="0"/>
        <w:kinsoku/>
        <w:wordWrap/>
        <w:overflowPunct/>
        <w:topLinePunct w:val="0"/>
        <w:bidi w:val="0"/>
        <w:adjustRightInd w:val="0"/>
        <w:snapToGrid w:val="0"/>
        <w:spacing w:line="360" w:lineRule="auto"/>
        <w:ind w:left="960" w:hanging="960" w:hangingChars="4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1.4.2.1 在中华人民共和国境内注册（或中华人民共和国公民），能够独立承担民事责任</w:t>
      </w:r>
      <w:r>
        <w:rPr>
          <w:rFonts w:hint="eastAsia" w:asciiTheme="minorEastAsia" w:hAnsiTheme="minorEastAsia" w:eastAsiaTheme="minorEastAsia" w:cstheme="minorEastAsia"/>
          <w:color w:val="auto"/>
          <w:sz w:val="24"/>
          <w:szCs w:val="24"/>
          <w:lang w:eastAsia="zh-CN"/>
        </w:rPr>
        <w:t>，具</w:t>
      </w:r>
      <w:bookmarkStart w:id="72" w:name="_Hlk174461703"/>
      <w:r>
        <w:rPr>
          <w:rFonts w:hint="eastAsia" w:asciiTheme="minorEastAsia" w:hAnsiTheme="minorEastAsia" w:eastAsiaTheme="minorEastAsia" w:cstheme="minorEastAsia"/>
          <w:b w:val="0"/>
          <w:bCs w:val="0"/>
          <w:color w:val="auto"/>
          <w:sz w:val="24"/>
          <w:szCs w:val="24"/>
        </w:rPr>
        <w:t>有制造或供应能力的本国投标人</w:t>
      </w:r>
      <w:bookmarkEnd w:id="72"/>
      <w:r>
        <w:rPr>
          <w:rFonts w:hint="eastAsia" w:asciiTheme="minorEastAsia" w:hAnsiTheme="minorEastAsia" w:eastAsiaTheme="minorEastAsia" w:cstheme="minorEastAsia"/>
          <w:b w:val="0"/>
          <w:bCs w:val="0"/>
          <w:color w:val="auto"/>
          <w:sz w:val="24"/>
          <w:szCs w:val="24"/>
        </w:rPr>
        <w:t>。</w:t>
      </w:r>
    </w:p>
    <w:p w14:paraId="2289F8E3">
      <w:pPr>
        <w:pageBreakBefore w:val="0"/>
        <w:widowControl w:val="0"/>
        <w:kinsoku/>
        <w:wordWrap/>
        <w:overflowPunct/>
        <w:topLinePunct w:val="0"/>
        <w:bidi w:val="0"/>
        <w:adjustRightInd w:val="0"/>
        <w:snapToGrid w:val="0"/>
        <w:spacing w:line="360" w:lineRule="auto"/>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1.4.2.2 符合《中华人民共和国政府采购法》第二十二条关于投标人条件的规定。</w:t>
      </w:r>
    </w:p>
    <w:p w14:paraId="492429EC">
      <w:pPr>
        <w:pageBreakBefore w:val="0"/>
        <w:widowControl w:val="0"/>
        <w:kinsoku/>
        <w:wordWrap/>
        <w:overflowPunct/>
        <w:topLinePunct w:val="0"/>
        <w:bidi w:val="0"/>
        <w:adjustRightInd w:val="0"/>
        <w:snapToGrid w:val="0"/>
        <w:spacing w:line="360" w:lineRule="auto"/>
        <w:ind w:firstLine="960" w:firstLineChars="400"/>
        <w:textAlignment w:val="auto"/>
        <w:outlineLvl w:val="9"/>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t>遵守本项目采购人本级和上级财政部门关于政府采购的有关规定。</w:t>
      </w:r>
    </w:p>
    <w:p w14:paraId="109D43EF">
      <w:pPr>
        <w:pageBreakBefore w:val="0"/>
        <w:widowControl w:val="0"/>
        <w:kinsoku/>
        <w:wordWrap/>
        <w:overflowPunct/>
        <w:topLinePunct w:val="0"/>
        <w:bidi w:val="0"/>
        <w:adjustRightInd w:val="0"/>
        <w:snapToGrid w:val="0"/>
        <w:spacing w:line="360" w:lineRule="auto"/>
        <w:textAlignment w:val="auto"/>
        <w:outlineLvl w:val="9"/>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t>1.4.2.3 以本项目招标公告中规定的方式获取了本项目的招标文件。</w:t>
      </w:r>
    </w:p>
    <w:p w14:paraId="0DB38CBC">
      <w:pPr>
        <w:pageBreakBefore w:val="0"/>
        <w:widowControl w:val="0"/>
        <w:kinsoku/>
        <w:wordWrap/>
        <w:overflowPunct/>
        <w:topLinePunct w:val="0"/>
        <w:bidi w:val="0"/>
        <w:adjustRightInd w:val="0"/>
        <w:snapToGrid w:val="0"/>
        <w:spacing w:line="360" w:lineRule="auto"/>
        <w:ind w:left="960" w:hanging="960" w:hangingChars="400"/>
        <w:textAlignment w:val="auto"/>
        <w:outlineLvl w:val="9"/>
        <w:rPr>
          <w:rFonts w:hint="eastAsia" w:asciiTheme="minorEastAsia" w:hAnsiTheme="minorEastAsia" w:eastAsiaTheme="minorEastAsia" w:cstheme="minorEastAsia"/>
          <w:b w:val="0"/>
          <w:bCs w:val="0"/>
          <w:color w:val="auto"/>
          <w:sz w:val="24"/>
          <w:szCs w:val="24"/>
        </w:rPr>
      </w:pPr>
      <w:bookmarkStart w:id="73" w:name="_Hlk56432737"/>
      <w:r>
        <w:rPr>
          <w:rFonts w:hint="eastAsia" w:asciiTheme="minorEastAsia" w:hAnsiTheme="minorEastAsia" w:eastAsiaTheme="minorEastAsia" w:cstheme="minorEastAsia"/>
          <w:b w:val="0"/>
          <w:bCs w:val="0"/>
          <w:color w:val="auto"/>
          <w:sz w:val="24"/>
          <w:szCs w:val="24"/>
        </w:rPr>
        <w:t>1.4.2.4 投标人应具备的资格要求：</w:t>
      </w:r>
      <w:r>
        <w:rPr>
          <w:rFonts w:hint="eastAsia" w:asciiTheme="minorEastAsia" w:hAnsiTheme="minorEastAsia" w:eastAsiaTheme="minorEastAsia" w:cstheme="minorEastAsia"/>
          <w:b w:val="0"/>
          <w:bCs w:val="0"/>
          <w:color w:val="auto"/>
          <w:sz w:val="24"/>
          <w:szCs w:val="24"/>
          <w:u w:val="single"/>
        </w:rPr>
        <w:t>见投标人须知前附表</w:t>
      </w:r>
      <w:r>
        <w:rPr>
          <w:rFonts w:hint="eastAsia" w:asciiTheme="minorEastAsia" w:hAnsiTheme="minorEastAsia" w:eastAsiaTheme="minorEastAsia" w:cstheme="minorEastAsia"/>
          <w:b w:val="0"/>
          <w:bCs w:val="0"/>
          <w:color w:val="auto"/>
          <w:sz w:val="24"/>
          <w:szCs w:val="24"/>
        </w:rPr>
        <w:t>。</w:t>
      </w:r>
    </w:p>
    <w:p w14:paraId="5EDA45C5">
      <w:pPr>
        <w:pageBreakBefore w:val="0"/>
        <w:widowControl w:val="0"/>
        <w:kinsoku/>
        <w:wordWrap/>
        <w:overflowPunct/>
        <w:topLinePunct w:val="0"/>
        <w:bidi w:val="0"/>
        <w:adjustRightInd w:val="0"/>
        <w:snapToGrid w:val="0"/>
        <w:spacing w:line="360" w:lineRule="auto"/>
        <w:ind w:left="960" w:hanging="960" w:hangingChars="400"/>
        <w:textAlignment w:val="auto"/>
        <w:outlineLvl w:val="9"/>
        <w:rPr>
          <w:rFonts w:hint="eastAsia" w:asciiTheme="minorEastAsia" w:hAnsiTheme="minorEastAsia" w:eastAsiaTheme="minorEastAsia" w:cstheme="minorEastAsia"/>
          <w:b w:val="0"/>
          <w:bCs w:val="0"/>
          <w:color w:val="auto"/>
          <w:sz w:val="24"/>
          <w:szCs w:val="24"/>
          <w:highlight w:val="cyan"/>
        </w:rPr>
      </w:pPr>
      <w:bookmarkStart w:id="74" w:name="_Hlk218414540"/>
      <w:r>
        <w:rPr>
          <w:rFonts w:hint="eastAsia" w:asciiTheme="minorEastAsia" w:hAnsiTheme="minorEastAsia" w:eastAsiaTheme="minorEastAsia" w:cstheme="minorEastAsia"/>
          <w:b w:val="0"/>
          <w:bCs w:val="0"/>
          <w:color w:val="auto"/>
          <w:sz w:val="24"/>
          <w:szCs w:val="24"/>
        </w:rPr>
        <w:t xml:space="preserve">1.4.2.5 </w:t>
      </w:r>
      <w:r>
        <w:rPr>
          <w:rFonts w:hint="eastAsia" w:asciiTheme="minorEastAsia" w:hAnsiTheme="minorEastAsia" w:eastAsiaTheme="minorEastAsia" w:cstheme="minorEastAsia"/>
          <w:b w:val="0"/>
          <w:bCs w:val="0"/>
          <w:color w:val="auto"/>
          <w:sz w:val="24"/>
          <w:szCs w:val="24"/>
          <w:highlight w:val="none"/>
        </w:rPr>
        <w:t>若</w:t>
      </w:r>
      <w:r>
        <w:rPr>
          <w:rFonts w:hint="eastAsia" w:asciiTheme="minorEastAsia" w:hAnsiTheme="minorEastAsia" w:eastAsiaTheme="minorEastAsia" w:cstheme="minorEastAsia"/>
          <w:b w:val="0"/>
          <w:bCs w:val="0"/>
          <w:color w:val="auto"/>
          <w:sz w:val="24"/>
          <w:szCs w:val="24"/>
          <w:highlight w:val="none"/>
          <w:u w:val="single"/>
        </w:rPr>
        <w:t>投标人须知前</w:t>
      </w:r>
      <w:r>
        <w:rPr>
          <w:rFonts w:hint="eastAsia" w:asciiTheme="minorEastAsia" w:hAnsiTheme="minorEastAsia" w:eastAsiaTheme="minorEastAsia" w:cstheme="minorEastAsia"/>
          <w:b w:val="0"/>
          <w:bCs w:val="0"/>
          <w:color w:val="auto"/>
          <w:sz w:val="24"/>
          <w:szCs w:val="24"/>
          <w:highlight w:val="none"/>
          <w:u w:val="single"/>
          <w:lang w:val="en-US" w:eastAsia="zh-CN"/>
        </w:rPr>
        <w:t xml:space="preserve"> </w:t>
      </w:r>
      <w:r>
        <w:rPr>
          <w:rFonts w:hint="eastAsia" w:asciiTheme="minorEastAsia" w:hAnsiTheme="minorEastAsia" w:eastAsiaTheme="minorEastAsia" w:cstheme="minorEastAsia"/>
          <w:b w:val="0"/>
          <w:bCs w:val="0"/>
          <w:color w:val="auto"/>
          <w:sz w:val="24"/>
          <w:szCs w:val="24"/>
          <w:highlight w:val="none"/>
          <w:u w:val="single"/>
        </w:rPr>
        <w:t>附表</w:t>
      </w:r>
      <w:r>
        <w:rPr>
          <w:rFonts w:hint="eastAsia" w:asciiTheme="minorEastAsia" w:hAnsiTheme="minorEastAsia" w:eastAsiaTheme="minorEastAsia" w:cstheme="minorEastAsia"/>
          <w:b w:val="0"/>
          <w:bCs w:val="0"/>
          <w:color w:val="auto"/>
          <w:sz w:val="24"/>
          <w:szCs w:val="24"/>
          <w:highlight w:val="none"/>
        </w:rPr>
        <w:t>中写明“接受进口产品”，当投标人提供进口产品时，投标人应保证所投进口产品可履行</w:t>
      </w:r>
      <w:r>
        <w:rPr>
          <w:rFonts w:hint="eastAsia" w:asciiTheme="minorEastAsia" w:hAnsiTheme="minorEastAsia" w:eastAsiaTheme="minorEastAsia" w:cstheme="minorEastAsia"/>
          <w:b w:val="0"/>
          <w:bCs w:val="0"/>
          <w:color w:val="auto"/>
          <w:sz w:val="24"/>
          <w:szCs w:val="24"/>
          <w:highlight w:val="none"/>
          <w:lang w:eastAsia="zh-CN"/>
        </w:rPr>
        <w:t>合法</w:t>
      </w:r>
      <w:r>
        <w:rPr>
          <w:rFonts w:hint="eastAsia" w:asciiTheme="minorEastAsia" w:hAnsiTheme="minorEastAsia" w:eastAsiaTheme="minorEastAsia" w:cstheme="minorEastAsia"/>
          <w:b w:val="0"/>
          <w:bCs w:val="0"/>
          <w:color w:val="auto"/>
          <w:sz w:val="24"/>
          <w:szCs w:val="24"/>
          <w:highlight w:val="none"/>
        </w:rPr>
        <w:t>通关手续进入中国关境内。</w:t>
      </w:r>
    </w:p>
    <w:bookmarkEnd w:id="73"/>
    <w:bookmarkEnd w:id="74"/>
    <w:p w14:paraId="6D28B402">
      <w:pPr>
        <w:pageBreakBefore w:val="0"/>
        <w:widowControl w:val="0"/>
        <w:kinsoku/>
        <w:wordWrap/>
        <w:overflowPunct/>
        <w:topLinePunct w:val="0"/>
        <w:bidi w:val="0"/>
        <w:adjustRightInd w:val="0"/>
        <w:snapToGrid w:val="0"/>
        <w:spacing w:line="360" w:lineRule="auto"/>
        <w:ind w:left="951" w:leftChars="453" w:firstLine="12" w:firstLineChars="5"/>
        <w:textAlignment w:val="auto"/>
        <w:outlineLvl w:val="9"/>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t>若</w:t>
      </w:r>
      <w:r>
        <w:rPr>
          <w:rFonts w:hint="eastAsia" w:asciiTheme="minorEastAsia" w:hAnsiTheme="minorEastAsia" w:eastAsiaTheme="minorEastAsia" w:cstheme="minorEastAsia"/>
          <w:b w:val="0"/>
          <w:bCs w:val="0"/>
          <w:color w:val="auto"/>
          <w:sz w:val="24"/>
          <w:szCs w:val="24"/>
          <w:u w:val="single"/>
        </w:rPr>
        <w:t>供应商须知前附表</w:t>
      </w:r>
      <w:r>
        <w:rPr>
          <w:rFonts w:hint="eastAsia" w:asciiTheme="minorEastAsia" w:hAnsiTheme="minorEastAsia" w:eastAsiaTheme="minorEastAsia" w:cstheme="minorEastAsia"/>
          <w:b w:val="0"/>
          <w:bCs w:val="0"/>
          <w:color w:val="auto"/>
          <w:sz w:val="24"/>
          <w:szCs w:val="24"/>
        </w:rPr>
        <w:t>中写明不接受进口产品，如供应商提供产品为进口产品，其</w:t>
      </w:r>
      <w:r>
        <w:rPr>
          <w:rFonts w:hint="eastAsia" w:asciiTheme="minorEastAsia" w:hAnsiTheme="minorEastAsia" w:eastAsiaTheme="minorEastAsia" w:cstheme="minorEastAsia"/>
          <w:b w:val="0"/>
          <w:bCs w:val="0"/>
          <w:color w:val="auto"/>
          <w:sz w:val="24"/>
          <w:szCs w:val="24"/>
          <w:lang w:val="en-US" w:eastAsia="zh-CN"/>
        </w:rPr>
        <w:t>投标</w:t>
      </w:r>
      <w:r>
        <w:rPr>
          <w:rFonts w:hint="eastAsia" w:asciiTheme="minorEastAsia" w:hAnsiTheme="minorEastAsia" w:eastAsiaTheme="minorEastAsia" w:cstheme="minorEastAsia"/>
          <w:b w:val="0"/>
          <w:bCs w:val="0"/>
          <w:color w:val="auto"/>
          <w:sz w:val="24"/>
          <w:szCs w:val="24"/>
        </w:rPr>
        <w:t>文件将被认定为无效</w:t>
      </w:r>
      <w:r>
        <w:rPr>
          <w:rFonts w:hint="eastAsia" w:asciiTheme="minorEastAsia" w:hAnsiTheme="minorEastAsia" w:eastAsiaTheme="minorEastAsia" w:cstheme="minorEastAsia"/>
          <w:b w:val="0"/>
          <w:bCs w:val="0"/>
          <w:color w:val="auto"/>
          <w:sz w:val="24"/>
          <w:szCs w:val="24"/>
          <w:lang w:val="en-US" w:eastAsia="zh-CN"/>
        </w:rPr>
        <w:t>投标</w:t>
      </w:r>
      <w:r>
        <w:rPr>
          <w:rFonts w:hint="eastAsia" w:asciiTheme="minorEastAsia" w:hAnsiTheme="minorEastAsia" w:eastAsiaTheme="minorEastAsia" w:cstheme="minorEastAsia"/>
          <w:b w:val="0"/>
          <w:bCs w:val="0"/>
          <w:color w:val="auto"/>
          <w:sz w:val="24"/>
          <w:szCs w:val="24"/>
        </w:rPr>
        <w:t>文件。</w:t>
      </w:r>
    </w:p>
    <w:p w14:paraId="5933A583">
      <w:pPr>
        <w:pageBreakBefore w:val="0"/>
        <w:widowControl w:val="0"/>
        <w:kinsoku/>
        <w:wordWrap/>
        <w:overflowPunct/>
        <w:topLinePunct w:val="0"/>
        <w:bidi w:val="0"/>
        <w:adjustRightInd w:val="0"/>
        <w:snapToGrid w:val="0"/>
        <w:spacing w:line="360" w:lineRule="auto"/>
        <w:ind w:left="960" w:hanging="960" w:hangingChars="400"/>
        <w:textAlignment w:val="auto"/>
        <w:outlineLvl w:val="9"/>
        <w:rPr>
          <w:rFonts w:hint="eastAsia" w:asciiTheme="minorEastAsia" w:hAnsiTheme="minorEastAsia" w:eastAsiaTheme="minorEastAsia" w:cstheme="minorEastAsia"/>
          <w:b w:val="0"/>
          <w:bCs w:val="0"/>
          <w:color w:val="auto"/>
          <w:sz w:val="24"/>
          <w:szCs w:val="24"/>
        </w:rPr>
      </w:pPr>
      <w:bookmarkStart w:id="75" w:name="_Hlk56432822"/>
      <w:r>
        <w:rPr>
          <w:rFonts w:hint="eastAsia" w:asciiTheme="minorEastAsia" w:hAnsiTheme="minorEastAsia" w:eastAsiaTheme="minorEastAsia" w:cstheme="minorEastAsia"/>
          <w:b w:val="0"/>
          <w:bCs w:val="0"/>
          <w:color w:val="auto"/>
          <w:sz w:val="24"/>
          <w:szCs w:val="24"/>
        </w:rPr>
        <w:t>1.4.2.6 若</w:t>
      </w:r>
      <w:r>
        <w:rPr>
          <w:rFonts w:hint="eastAsia" w:asciiTheme="minorEastAsia" w:hAnsiTheme="minorEastAsia" w:eastAsiaTheme="minorEastAsia" w:cstheme="minorEastAsia"/>
          <w:b w:val="0"/>
          <w:bCs w:val="0"/>
          <w:color w:val="auto"/>
          <w:sz w:val="24"/>
          <w:szCs w:val="24"/>
          <w:u w:val="single"/>
        </w:rPr>
        <w:t>投标人须知前附表</w:t>
      </w:r>
      <w:r>
        <w:rPr>
          <w:rFonts w:hint="eastAsia" w:asciiTheme="minorEastAsia" w:hAnsiTheme="minorEastAsia" w:eastAsiaTheme="minorEastAsia" w:cstheme="minorEastAsia"/>
          <w:b w:val="0"/>
          <w:bCs w:val="0"/>
          <w:color w:val="auto"/>
          <w:sz w:val="24"/>
          <w:szCs w:val="24"/>
        </w:rPr>
        <w:t>中写明专门面向中小企业采购的，投标人所投产品应符合招标文件中的</w:t>
      </w:r>
      <w:r>
        <w:rPr>
          <w:rFonts w:hint="eastAsia" w:asciiTheme="minorEastAsia" w:hAnsiTheme="minorEastAsia" w:eastAsiaTheme="minorEastAsia" w:cstheme="minorEastAsia"/>
          <w:b w:val="0"/>
          <w:bCs w:val="0"/>
          <w:color w:val="auto"/>
          <w:sz w:val="24"/>
          <w:szCs w:val="24"/>
          <w:lang w:eastAsia="zh-CN"/>
        </w:rPr>
        <w:t>相关</w:t>
      </w:r>
      <w:r>
        <w:rPr>
          <w:rFonts w:hint="eastAsia" w:asciiTheme="minorEastAsia" w:hAnsiTheme="minorEastAsia" w:eastAsiaTheme="minorEastAsia" w:cstheme="minorEastAsia"/>
          <w:b w:val="0"/>
          <w:bCs w:val="0"/>
          <w:color w:val="auto"/>
          <w:sz w:val="24"/>
          <w:szCs w:val="24"/>
        </w:rPr>
        <w:t>要求，否则其投标文件将被认定为无效投标文件。</w:t>
      </w:r>
    </w:p>
    <w:bookmarkEnd w:id="75"/>
    <w:p w14:paraId="672513CC">
      <w:pPr>
        <w:pageBreakBefore w:val="0"/>
        <w:widowControl w:val="0"/>
        <w:kinsoku/>
        <w:wordWrap/>
        <w:overflowPunct/>
        <w:topLinePunct w:val="0"/>
        <w:bidi w:val="0"/>
        <w:adjustRightInd w:val="0"/>
        <w:snapToGrid w:val="0"/>
        <w:spacing w:line="360" w:lineRule="auto"/>
        <w:ind w:left="960" w:hanging="960" w:hangingChars="400"/>
        <w:textAlignment w:val="auto"/>
        <w:outlineLvl w:val="9"/>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t>1.4.2.7 若</w:t>
      </w:r>
      <w:r>
        <w:rPr>
          <w:rFonts w:hint="eastAsia" w:asciiTheme="minorEastAsia" w:hAnsiTheme="minorEastAsia" w:eastAsiaTheme="minorEastAsia" w:cstheme="minorEastAsia"/>
          <w:b w:val="0"/>
          <w:bCs w:val="0"/>
          <w:color w:val="auto"/>
          <w:sz w:val="24"/>
          <w:szCs w:val="24"/>
          <w:u w:val="single"/>
        </w:rPr>
        <w:t>投标人须知前附表</w:t>
      </w:r>
      <w:r>
        <w:rPr>
          <w:rFonts w:hint="eastAsia" w:asciiTheme="minorEastAsia" w:hAnsiTheme="minorEastAsia" w:eastAsiaTheme="minorEastAsia" w:cstheme="minorEastAsia"/>
          <w:b w:val="0"/>
          <w:bCs w:val="0"/>
          <w:color w:val="auto"/>
          <w:sz w:val="24"/>
          <w:szCs w:val="24"/>
        </w:rPr>
        <w:t>中写明采购的产品为财政部、国家发展和改革委员会、生态环境部等部门发布的品目清单中属于实施政府强制采购品目清单范围的节能产品，投标人应按招标文件中的具体要求提供相关证明材料。</w:t>
      </w:r>
    </w:p>
    <w:p w14:paraId="64753889">
      <w:pPr>
        <w:pageBreakBefore w:val="0"/>
        <w:widowControl w:val="0"/>
        <w:kinsoku/>
        <w:wordWrap/>
        <w:overflowPunct/>
        <w:topLinePunct w:val="0"/>
        <w:bidi w:val="0"/>
        <w:adjustRightInd w:val="0"/>
        <w:snapToGrid w:val="0"/>
        <w:spacing w:line="360" w:lineRule="auto"/>
        <w:ind w:left="960" w:hanging="960" w:hangingChars="400"/>
        <w:textAlignment w:val="auto"/>
        <w:outlineLvl w:val="9"/>
        <w:rPr>
          <w:rFonts w:hint="eastAsia" w:asciiTheme="minorEastAsia" w:hAnsiTheme="minorEastAsia" w:eastAsiaTheme="minorEastAsia" w:cstheme="minorEastAsia"/>
          <w:color w:val="auto"/>
          <w:sz w:val="24"/>
          <w:szCs w:val="24"/>
        </w:rPr>
      </w:pPr>
      <w:bookmarkStart w:id="76" w:name="_Hlk56432968"/>
      <w:r>
        <w:rPr>
          <w:rFonts w:hint="eastAsia" w:asciiTheme="minorEastAsia" w:hAnsiTheme="minorEastAsia" w:eastAsiaTheme="minorEastAsia" w:cstheme="minorEastAsia"/>
          <w:b w:val="0"/>
          <w:bCs w:val="0"/>
          <w:color w:val="auto"/>
          <w:sz w:val="24"/>
          <w:szCs w:val="24"/>
        </w:rPr>
        <w:t>1.4.3   如</w:t>
      </w:r>
      <w:r>
        <w:rPr>
          <w:rFonts w:hint="eastAsia" w:asciiTheme="minorEastAsia" w:hAnsiTheme="minorEastAsia" w:eastAsiaTheme="minorEastAsia" w:cstheme="minorEastAsia"/>
          <w:b w:val="0"/>
          <w:bCs w:val="0"/>
          <w:color w:val="auto"/>
          <w:sz w:val="24"/>
          <w:szCs w:val="24"/>
          <w:u w:val="single"/>
        </w:rPr>
        <w:t>投标人须知前附表</w:t>
      </w:r>
      <w:r>
        <w:rPr>
          <w:rFonts w:hint="eastAsia" w:asciiTheme="minorEastAsia" w:hAnsiTheme="minorEastAsia" w:eastAsiaTheme="minorEastAsia" w:cstheme="minorEastAsia"/>
          <w:b w:val="0"/>
          <w:bCs w:val="0"/>
          <w:color w:val="auto"/>
          <w:sz w:val="24"/>
          <w:szCs w:val="24"/>
        </w:rPr>
        <w:t>中允许</w:t>
      </w:r>
      <w:r>
        <w:rPr>
          <w:rFonts w:hint="eastAsia" w:asciiTheme="minorEastAsia" w:hAnsiTheme="minorEastAsia" w:eastAsiaTheme="minorEastAsia" w:cstheme="minorEastAsia"/>
          <w:color w:val="auto"/>
          <w:sz w:val="24"/>
          <w:szCs w:val="24"/>
        </w:rPr>
        <w:t>以联合体形式参加投标，对联合体规定如下：</w:t>
      </w:r>
    </w:p>
    <w:p w14:paraId="50AE23A4">
      <w:pPr>
        <w:pageBreakBefore w:val="0"/>
        <w:widowControl w:val="0"/>
        <w:kinsoku/>
        <w:wordWrap/>
        <w:overflowPunct/>
        <w:topLinePunct w:val="0"/>
        <w:bidi w:val="0"/>
        <w:adjustRightInd w:val="0"/>
        <w:snapToGrid w:val="0"/>
        <w:spacing w:line="360" w:lineRule="auto"/>
        <w:ind w:left="960" w:hanging="960" w:hangingChars="4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rPr>
        <w:t>1.4.3.1 两个以上的自然人、法人或者其他组织可以组成一个联合</w:t>
      </w:r>
      <w:r>
        <w:rPr>
          <w:rFonts w:hint="eastAsia" w:asciiTheme="minorEastAsia" w:hAnsiTheme="minorEastAsia" w:eastAsiaTheme="minorEastAsia" w:cstheme="minorEastAsia"/>
          <w:sz w:val="24"/>
          <w:szCs w:val="24"/>
        </w:rPr>
        <w:t>体，以一个投标人的身份共同参加本项目的投标。</w:t>
      </w:r>
    </w:p>
    <w:p w14:paraId="2869C2AF">
      <w:pPr>
        <w:pageBreakBefore w:val="0"/>
        <w:widowControl w:val="0"/>
        <w:kinsoku/>
        <w:wordWrap/>
        <w:overflowPunct/>
        <w:topLinePunct w:val="0"/>
        <w:bidi w:val="0"/>
        <w:adjustRightInd w:val="0"/>
        <w:snapToGrid w:val="0"/>
        <w:spacing w:line="360" w:lineRule="auto"/>
        <w:ind w:left="960" w:hanging="960" w:hangingChars="4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1.4.3.2 联合体各方均应当符合《中华人民共和国政府采购法》第二十二条规定的条件。</w:t>
      </w:r>
    </w:p>
    <w:p w14:paraId="052B818E">
      <w:pPr>
        <w:pageBreakBefore w:val="0"/>
        <w:widowControl w:val="0"/>
        <w:kinsoku/>
        <w:wordWrap/>
        <w:overflowPunct/>
        <w:topLinePunct w:val="0"/>
        <w:bidi w:val="0"/>
        <w:adjustRightInd w:val="0"/>
        <w:snapToGrid w:val="0"/>
        <w:spacing w:line="360" w:lineRule="auto"/>
        <w:ind w:left="962" w:leftChars="1" w:hanging="960" w:hangingChars="4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1.4.3.3 联合体各方应当签订“联合体共同参加投标协议”，明确约定联合体各方承担的工作和相应的责任，</w:t>
      </w:r>
      <w:bookmarkStart w:id="77" w:name="_Hlk86848023"/>
      <w:r>
        <w:rPr>
          <w:rFonts w:hint="eastAsia" w:asciiTheme="minorEastAsia" w:hAnsiTheme="minorEastAsia" w:eastAsiaTheme="minorEastAsia" w:cstheme="minorEastAsia"/>
          <w:sz w:val="24"/>
          <w:szCs w:val="24"/>
        </w:rPr>
        <w:t>并将“联合体共同参加投标协议”作为投标文件的组成部分随投标文件一同提交。</w:t>
      </w:r>
      <w:bookmarkEnd w:id="77"/>
    </w:p>
    <w:p w14:paraId="68B41180">
      <w:pPr>
        <w:pageBreakBefore w:val="0"/>
        <w:widowControl w:val="0"/>
        <w:kinsoku/>
        <w:wordWrap/>
        <w:overflowPunct/>
        <w:topLinePunct w:val="0"/>
        <w:bidi w:val="0"/>
        <w:adjustRightInd w:val="0"/>
        <w:snapToGrid w:val="0"/>
        <w:spacing w:line="360" w:lineRule="auto"/>
        <w:ind w:left="960" w:hanging="960" w:hangingChars="4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sz w:val="24"/>
          <w:szCs w:val="24"/>
        </w:rPr>
        <w:t>1.4.3.4 大中型企业、其他</w:t>
      </w:r>
      <w:r>
        <w:rPr>
          <w:rFonts w:hint="eastAsia" w:asciiTheme="minorEastAsia" w:hAnsiTheme="minorEastAsia" w:eastAsiaTheme="minorEastAsia" w:cstheme="minorEastAsia"/>
          <w:color w:val="auto"/>
          <w:sz w:val="24"/>
          <w:szCs w:val="24"/>
        </w:rPr>
        <w:t>自然人、法人或者非法人组织与小型、微型企业组成联合体共同参加投标，联合体协议中应写明小型、微型企业所提供产品的合同金额</w:t>
      </w:r>
      <w:r>
        <w:rPr>
          <w:rFonts w:hint="eastAsia" w:asciiTheme="minorEastAsia" w:hAnsiTheme="minorEastAsia" w:eastAsiaTheme="minorEastAsia" w:cstheme="minorEastAsia"/>
          <w:color w:val="auto"/>
          <w:sz w:val="24"/>
          <w:szCs w:val="24"/>
          <w:lang w:eastAsia="zh-CN"/>
        </w:rPr>
        <w:t>占</w:t>
      </w:r>
      <w:r>
        <w:rPr>
          <w:rFonts w:hint="eastAsia" w:asciiTheme="minorEastAsia" w:hAnsiTheme="minorEastAsia" w:eastAsiaTheme="minorEastAsia" w:cstheme="minorEastAsia"/>
          <w:color w:val="auto"/>
          <w:sz w:val="24"/>
          <w:szCs w:val="24"/>
        </w:rPr>
        <w:t>联合体各方全部提供产品合同总金额的比例。</w:t>
      </w:r>
    </w:p>
    <w:p w14:paraId="515EA3A3">
      <w:pPr>
        <w:pageBreakBefore w:val="0"/>
        <w:widowControl w:val="0"/>
        <w:kinsoku/>
        <w:wordWrap/>
        <w:overflowPunct/>
        <w:topLinePunct w:val="0"/>
        <w:bidi w:val="0"/>
        <w:adjustRightInd w:val="0"/>
        <w:snapToGrid w:val="0"/>
        <w:spacing w:line="360" w:lineRule="auto"/>
        <w:ind w:left="960" w:hanging="960" w:hangingChars="4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1.4.3.5 联合体中有同类资质的投标人按照联合体分工承担相同工作的，按照较低的资质等级确定联合体的资质等级。</w:t>
      </w:r>
    </w:p>
    <w:p w14:paraId="40FE80E8">
      <w:pPr>
        <w:pageBreakBefore w:val="0"/>
        <w:widowControl w:val="0"/>
        <w:kinsoku/>
        <w:wordWrap/>
        <w:overflowPunct/>
        <w:topLinePunct w:val="0"/>
        <w:bidi w:val="0"/>
        <w:adjustRightInd w:val="0"/>
        <w:snapToGrid w:val="0"/>
        <w:spacing w:line="360" w:lineRule="auto"/>
        <w:ind w:left="960" w:hanging="960" w:hangingChars="400"/>
        <w:textAlignment w:val="auto"/>
        <w:outlineLvl w:val="9"/>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color w:val="auto"/>
          <w:sz w:val="24"/>
          <w:szCs w:val="24"/>
        </w:rPr>
        <w:t>1.4.3.6</w:t>
      </w:r>
      <w:r>
        <w:rPr>
          <w:rFonts w:hint="eastAsia" w:asciiTheme="minorEastAsia" w:hAnsiTheme="minorEastAsia" w:eastAsiaTheme="minorEastAsia" w:cstheme="minorEastAsia"/>
          <w:b w:val="0"/>
          <w:bCs w:val="0"/>
          <w:color w:val="auto"/>
          <w:sz w:val="24"/>
          <w:szCs w:val="24"/>
        </w:rPr>
        <w:t xml:space="preserve"> 以联合体形式参加政府采购活动的，联合体各方不得再单独参加或者与其他投标人另外组成联合体参加本项目同一合同项下的采购活动，否则相关投标文件将被认定为无效投标文件。</w:t>
      </w:r>
    </w:p>
    <w:p w14:paraId="1F573D18">
      <w:pPr>
        <w:pageBreakBefore w:val="0"/>
        <w:widowControl w:val="0"/>
        <w:kinsoku/>
        <w:wordWrap/>
        <w:overflowPunct/>
        <w:topLinePunct w:val="0"/>
        <w:bidi w:val="0"/>
        <w:adjustRightInd w:val="0"/>
        <w:snapToGrid w:val="0"/>
        <w:spacing w:line="360" w:lineRule="auto"/>
        <w:ind w:left="960" w:hanging="960" w:hangingChars="400"/>
        <w:textAlignment w:val="auto"/>
        <w:outlineLvl w:val="9"/>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t>1.4.3.7 以联合体形式中标的，联合体各方应共同与采购人签订采购合同，就采购合同约定的事项对采购人承担连带责任。</w:t>
      </w:r>
    </w:p>
    <w:p w14:paraId="0B26D068">
      <w:pPr>
        <w:pageBreakBefore w:val="0"/>
        <w:widowControl w:val="0"/>
        <w:kinsoku/>
        <w:wordWrap/>
        <w:overflowPunct/>
        <w:topLinePunct w:val="0"/>
        <w:bidi w:val="0"/>
        <w:adjustRightInd w:val="0"/>
        <w:snapToGrid w:val="0"/>
        <w:spacing w:line="360" w:lineRule="auto"/>
        <w:textAlignment w:val="auto"/>
        <w:outlineLvl w:val="9"/>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t>1.4.3.8 对联合体的其他资格要求见</w:t>
      </w:r>
      <w:r>
        <w:rPr>
          <w:rFonts w:hint="eastAsia" w:asciiTheme="minorEastAsia" w:hAnsiTheme="minorEastAsia" w:eastAsiaTheme="minorEastAsia" w:cstheme="minorEastAsia"/>
          <w:b w:val="0"/>
          <w:bCs w:val="0"/>
          <w:color w:val="auto"/>
          <w:sz w:val="24"/>
          <w:szCs w:val="24"/>
          <w:u w:val="single"/>
        </w:rPr>
        <w:t>投标人须知前附表</w:t>
      </w:r>
      <w:r>
        <w:rPr>
          <w:rFonts w:hint="eastAsia" w:asciiTheme="minorEastAsia" w:hAnsiTheme="minorEastAsia" w:eastAsiaTheme="minorEastAsia" w:cstheme="minorEastAsia"/>
          <w:b w:val="0"/>
          <w:bCs w:val="0"/>
          <w:color w:val="auto"/>
          <w:sz w:val="24"/>
          <w:szCs w:val="24"/>
        </w:rPr>
        <w:t>。</w:t>
      </w:r>
      <w:bookmarkEnd w:id="76"/>
    </w:p>
    <w:p w14:paraId="6EB5BBB4">
      <w:pPr>
        <w:pageBreakBefore w:val="0"/>
        <w:widowControl w:val="0"/>
        <w:kinsoku/>
        <w:wordWrap/>
        <w:overflowPunct/>
        <w:topLinePunct w:val="0"/>
        <w:bidi w:val="0"/>
        <w:adjustRightInd w:val="0"/>
        <w:snapToGrid w:val="0"/>
        <w:spacing w:line="360" w:lineRule="auto"/>
        <w:ind w:left="960" w:hanging="960" w:hangingChars="400"/>
        <w:textAlignment w:val="auto"/>
        <w:outlineLvl w:val="9"/>
        <w:rPr>
          <w:rFonts w:hint="eastAsia" w:asciiTheme="minorEastAsia" w:hAnsiTheme="minorEastAsia" w:eastAsiaTheme="minorEastAsia" w:cstheme="minorEastAsia"/>
          <w:b w:val="0"/>
          <w:bCs w:val="0"/>
          <w:color w:val="auto"/>
          <w:sz w:val="24"/>
          <w:szCs w:val="24"/>
        </w:rPr>
      </w:pPr>
      <w:bookmarkStart w:id="78" w:name="_Hlk56433056"/>
      <w:r>
        <w:rPr>
          <w:rFonts w:hint="eastAsia" w:asciiTheme="minorEastAsia" w:hAnsiTheme="minorEastAsia" w:eastAsiaTheme="minorEastAsia" w:cstheme="minorEastAsia"/>
          <w:b w:val="0"/>
          <w:bCs w:val="0"/>
          <w:color w:val="auto"/>
          <w:sz w:val="24"/>
          <w:szCs w:val="24"/>
        </w:rPr>
        <w:t>1.4.4 单位负责人为同一人或者存在直接控股、管理关系的不同投标人参与本项目同一合同项下采购活动的，其相关投标文件将被认定为无效投标文件。</w:t>
      </w:r>
    </w:p>
    <w:p w14:paraId="30771D7E">
      <w:pPr>
        <w:pageBreakBefore w:val="0"/>
        <w:widowControl w:val="0"/>
        <w:kinsoku/>
        <w:wordWrap/>
        <w:overflowPunct/>
        <w:topLinePunct w:val="0"/>
        <w:bidi w:val="0"/>
        <w:adjustRightInd w:val="0"/>
        <w:snapToGrid w:val="0"/>
        <w:spacing w:line="360" w:lineRule="auto"/>
        <w:ind w:left="722" w:leftChars="1" w:hanging="720" w:hangingChars="300"/>
        <w:textAlignment w:val="auto"/>
        <w:outlineLvl w:val="9"/>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t>1.4.5 为本项目提供过整体设计、规范编制或者项目管理、监理、检测等服务的投标人，不得再参加本项目上述服务以外的其他采购活动。否则其相关投标文件将被认定为无效投标文件。</w:t>
      </w:r>
    </w:p>
    <w:p w14:paraId="7780A5BC">
      <w:pPr>
        <w:pageBreakBefore w:val="0"/>
        <w:widowControl w:val="0"/>
        <w:kinsoku/>
        <w:wordWrap/>
        <w:overflowPunct/>
        <w:topLinePunct w:val="0"/>
        <w:bidi w:val="0"/>
        <w:adjustRightInd w:val="0"/>
        <w:snapToGrid w:val="0"/>
        <w:spacing w:line="360" w:lineRule="auto"/>
        <w:ind w:left="722" w:leftChars="1" w:hanging="720" w:hangingChars="300"/>
        <w:textAlignment w:val="auto"/>
        <w:outlineLvl w:val="9"/>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t>1.4.</w:t>
      </w:r>
      <w:r>
        <w:rPr>
          <w:rFonts w:hint="eastAsia" w:asciiTheme="minorEastAsia" w:hAnsiTheme="minorEastAsia" w:eastAsiaTheme="minorEastAsia" w:cstheme="minorEastAsia"/>
          <w:b w:val="0"/>
          <w:bCs w:val="0"/>
          <w:color w:val="auto"/>
          <w:sz w:val="24"/>
          <w:szCs w:val="24"/>
          <w:lang w:val="en-US" w:eastAsia="zh-CN"/>
        </w:rPr>
        <w:t xml:space="preserve">6 </w:t>
      </w:r>
      <w:r>
        <w:rPr>
          <w:rFonts w:hint="eastAsia" w:asciiTheme="minorEastAsia" w:hAnsiTheme="minorEastAsia" w:eastAsiaTheme="minorEastAsia" w:cstheme="minorEastAsia"/>
          <w:b w:val="0"/>
          <w:bCs w:val="0"/>
          <w:color w:val="auto"/>
          <w:sz w:val="24"/>
          <w:szCs w:val="24"/>
        </w:rPr>
        <w:t>凡有下列情况之一者，投标文件也将被视为未实</w:t>
      </w:r>
      <w:r>
        <w:rPr>
          <w:rFonts w:hint="eastAsia" w:asciiTheme="minorEastAsia" w:hAnsiTheme="minorEastAsia" w:eastAsiaTheme="minorEastAsia" w:cstheme="minorEastAsia"/>
          <w:b w:val="0"/>
          <w:bCs w:val="0"/>
          <w:color w:val="auto"/>
          <w:sz w:val="24"/>
          <w:szCs w:val="24"/>
          <w:lang w:val="en-US" w:eastAsia="zh-CN"/>
        </w:rPr>
        <w:t xml:space="preserve"> </w:t>
      </w:r>
      <w:r>
        <w:rPr>
          <w:rFonts w:hint="eastAsia" w:asciiTheme="minorEastAsia" w:hAnsiTheme="minorEastAsia" w:eastAsiaTheme="minorEastAsia" w:cstheme="minorEastAsia"/>
          <w:b w:val="0"/>
          <w:bCs w:val="0"/>
          <w:color w:val="auto"/>
          <w:sz w:val="24"/>
          <w:szCs w:val="24"/>
        </w:rPr>
        <w:t>质性响应招标文件要求：</w:t>
      </w:r>
    </w:p>
    <w:p w14:paraId="1FB028B3">
      <w:pPr>
        <w:pageBreakBefore w:val="0"/>
        <w:widowControl w:val="0"/>
        <w:kinsoku/>
        <w:wordWrap/>
        <w:overflowPunct/>
        <w:topLinePunct w:val="0"/>
        <w:bidi w:val="0"/>
        <w:adjustRightInd w:val="0"/>
        <w:snapToGrid w:val="0"/>
        <w:spacing w:line="360" w:lineRule="auto"/>
        <w:ind w:left="960" w:hanging="960" w:hangingChars="4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1.4.</w:t>
      </w:r>
      <w:r>
        <w:rPr>
          <w:rFonts w:hint="eastAsia" w:asciiTheme="minorEastAsia" w:hAnsiTheme="minorEastAsia" w:eastAsiaTheme="minorEastAsia" w:cstheme="minorEastAsia"/>
          <w:color w:val="auto"/>
          <w:sz w:val="24"/>
          <w:szCs w:val="24"/>
          <w:lang w:val="en-US" w:eastAsia="zh-CN"/>
        </w:rPr>
        <w:t>6</w:t>
      </w:r>
      <w:r>
        <w:rPr>
          <w:rFonts w:hint="eastAsia" w:asciiTheme="minorEastAsia" w:hAnsiTheme="minorEastAsia" w:eastAsiaTheme="minorEastAsia" w:cstheme="minorEastAsia"/>
          <w:color w:val="auto"/>
          <w:sz w:val="24"/>
          <w:szCs w:val="24"/>
        </w:rPr>
        <w:t>.1</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投标文件未按规定签字、盖章的；</w:t>
      </w:r>
    </w:p>
    <w:p w14:paraId="3B6C4EA1">
      <w:pPr>
        <w:pageBreakBefore w:val="0"/>
        <w:widowControl w:val="0"/>
        <w:kinsoku/>
        <w:wordWrap/>
        <w:overflowPunct/>
        <w:topLinePunct w:val="0"/>
        <w:bidi w:val="0"/>
        <w:adjustRightInd w:val="0"/>
        <w:snapToGrid w:val="0"/>
        <w:spacing w:line="360" w:lineRule="auto"/>
        <w:ind w:left="960" w:hanging="960" w:hangingChars="4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1.4.</w:t>
      </w:r>
      <w:r>
        <w:rPr>
          <w:rFonts w:hint="eastAsia" w:asciiTheme="minorEastAsia" w:hAnsiTheme="minorEastAsia" w:eastAsiaTheme="minorEastAsia" w:cstheme="minorEastAsia"/>
          <w:color w:val="auto"/>
          <w:sz w:val="24"/>
          <w:szCs w:val="24"/>
          <w:lang w:val="en-US" w:eastAsia="zh-CN"/>
        </w:rPr>
        <w:t>6</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val="en-US" w:eastAsia="zh-CN"/>
        </w:rPr>
        <w:t xml:space="preserve">2 </w:t>
      </w:r>
      <w:r>
        <w:rPr>
          <w:rFonts w:hint="eastAsia" w:asciiTheme="minorEastAsia" w:hAnsiTheme="minorEastAsia" w:eastAsiaTheme="minorEastAsia" w:cstheme="minorEastAsia"/>
          <w:color w:val="auto"/>
          <w:sz w:val="24"/>
          <w:szCs w:val="24"/>
        </w:rPr>
        <w:t>投标人代表未能出具有效身份证明，或与身份不符的；</w:t>
      </w:r>
    </w:p>
    <w:p w14:paraId="77C7356D">
      <w:pPr>
        <w:pageBreakBefore w:val="0"/>
        <w:widowControl w:val="0"/>
        <w:kinsoku/>
        <w:wordWrap/>
        <w:overflowPunct/>
        <w:topLinePunct w:val="0"/>
        <w:bidi w:val="0"/>
        <w:adjustRightInd w:val="0"/>
        <w:snapToGrid w:val="0"/>
        <w:spacing w:line="360" w:lineRule="auto"/>
        <w:ind w:left="960" w:hanging="960" w:hangingChars="4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1.4.</w:t>
      </w:r>
      <w:r>
        <w:rPr>
          <w:rFonts w:hint="eastAsia" w:asciiTheme="minorEastAsia" w:hAnsiTheme="minorEastAsia" w:eastAsiaTheme="minorEastAsia" w:cstheme="minorEastAsia"/>
          <w:color w:val="auto"/>
          <w:sz w:val="24"/>
          <w:szCs w:val="24"/>
          <w:lang w:val="en-US" w:eastAsia="zh-CN"/>
        </w:rPr>
        <w:t>6</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val="en-US" w:eastAsia="zh-CN"/>
        </w:rPr>
        <w:t xml:space="preserve">3 </w:t>
      </w:r>
      <w:r>
        <w:rPr>
          <w:rFonts w:hint="eastAsia" w:asciiTheme="minorEastAsia" w:hAnsiTheme="minorEastAsia" w:eastAsiaTheme="minorEastAsia" w:cstheme="minorEastAsia"/>
          <w:color w:val="auto"/>
          <w:sz w:val="24"/>
          <w:szCs w:val="24"/>
        </w:rPr>
        <w:t>投标有效期、质保期等不满足招标文件要求的；</w:t>
      </w:r>
    </w:p>
    <w:p w14:paraId="53BAD769">
      <w:pPr>
        <w:pageBreakBefore w:val="0"/>
        <w:widowControl w:val="0"/>
        <w:kinsoku/>
        <w:wordWrap/>
        <w:overflowPunct/>
        <w:topLinePunct w:val="0"/>
        <w:bidi w:val="0"/>
        <w:adjustRightInd w:val="0"/>
        <w:snapToGrid w:val="0"/>
        <w:spacing w:line="360" w:lineRule="auto"/>
        <w:ind w:left="960" w:hanging="960" w:hangingChars="4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1.4.</w:t>
      </w:r>
      <w:r>
        <w:rPr>
          <w:rFonts w:hint="eastAsia" w:asciiTheme="minorEastAsia" w:hAnsiTheme="minorEastAsia" w:eastAsiaTheme="minorEastAsia" w:cstheme="minorEastAsia"/>
          <w:color w:val="auto"/>
          <w:sz w:val="24"/>
          <w:szCs w:val="24"/>
          <w:lang w:val="en-US" w:eastAsia="zh-CN"/>
        </w:rPr>
        <w:t>6</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val="en-US" w:eastAsia="zh-CN"/>
        </w:rPr>
        <w:t xml:space="preserve">4 </w:t>
      </w:r>
      <w:r>
        <w:rPr>
          <w:rFonts w:hint="eastAsia" w:asciiTheme="minorEastAsia" w:hAnsiTheme="minorEastAsia" w:eastAsiaTheme="minorEastAsia" w:cstheme="minorEastAsia"/>
          <w:color w:val="auto"/>
          <w:sz w:val="24"/>
          <w:szCs w:val="24"/>
        </w:rPr>
        <w:t>未按招标文件规定报价的；</w:t>
      </w:r>
    </w:p>
    <w:p w14:paraId="68CEB428">
      <w:pPr>
        <w:pageBreakBefore w:val="0"/>
        <w:widowControl w:val="0"/>
        <w:kinsoku/>
        <w:wordWrap/>
        <w:overflowPunct/>
        <w:topLinePunct w:val="0"/>
        <w:bidi w:val="0"/>
        <w:adjustRightInd w:val="0"/>
        <w:snapToGrid w:val="0"/>
        <w:spacing w:line="360" w:lineRule="auto"/>
        <w:ind w:left="960" w:hanging="960" w:hangingChars="4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1.4.</w:t>
      </w:r>
      <w:r>
        <w:rPr>
          <w:rFonts w:hint="eastAsia" w:asciiTheme="minorEastAsia" w:hAnsiTheme="minorEastAsia" w:eastAsiaTheme="minorEastAsia" w:cstheme="minorEastAsia"/>
          <w:color w:val="auto"/>
          <w:sz w:val="24"/>
          <w:szCs w:val="24"/>
          <w:lang w:val="en-US" w:eastAsia="zh-CN"/>
        </w:rPr>
        <w:t>6</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val="en-US" w:eastAsia="zh-CN"/>
        </w:rPr>
        <w:t xml:space="preserve">5 </w:t>
      </w:r>
      <w:r>
        <w:rPr>
          <w:rFonts w:hint="eastAsia" w:asciiTheme="minorEastAsia" w:hAnsiTheme="minorEastAsia" w:eastAsiaTheme="minorEastAsia" w:cstheme="minorEastAsia"/>
          <w:color w:val="auto"/>
          <w:sz w:val="24"/>
          <w:szCs w:val="24"/>
        </w:rPr>
        <w:t>未按招标文件提供的格式填列、项目不齐全或内容虚假的；</w:t>
      </w:r>
    </w:p>
    <w:p w14:paraId="50A2AA58">
      <w:pPr>
        <w:pageBreakBefore w:val="0"/>
        <w:widowControl w:val="0"/>
        <w:kinsoku/>
        <w:wordWrap/>
        <w:overflowPunct/>
        <w:topLinePunct w:val="0"/>
        <w:bidi w:val="0"/>
        <w:adjustRightInd w:val="0"/>
        <w:snapToGrid w:val="0"/>
        <w:spacing w:line="360" w:lineRule="auto"/>
        <w:ind w:left="960" w:hanging="960" w:hangingChars="4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1.4.</w:t>
      </w:r>
      <w:r>
        <w:rPr>
          <w:rFonts w:hint="eastAsia" w:asciiTheme="minorEastAsia" w:hAnsiTheme="minorEastAsia" w:eastAsiaTheme="minorEastAsia" w:cstheme="minorEastAsia"/>
          <w:color w:val="auto"/>
          <w:sz w:val="24"/>
          <w:szCs w:val="24"/>
          <w:lang w:val="en-US" w:eastAsia="zh-CN"/>
        </w:rPr>
        <w:t>6</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val="en-US" w:eastAsia="zh-CN"/>
        </w:rPr>
        <w:t xml:space="preserve">6 </w:t>
      </w:r>
      <w:r>
        <w:rPr>
          <w:rFonts w:hint="eastAsia" w:asciiTheme="minorEastAsia" w:hAnsiTheme="minorEastAsia" w:eastAsiaTheme="minorEastAsia" w:cstheme="minorEastAsia"/>
          <w:color w:val="auto"/>
          <w:sz w:val="24"/>
          <w:szCs w:val="24"/>
        </w:rPr>
        <w:t>投标文件的实质性内容未使用中文表述，或意思表述不明确，或前后矛盾，或使用计量单位不符合招标文件要求的（经评标委员会认定允许其当场更正的笔误除外）；</w:t>
      </w:r>
    </w:p>
    <w:p w14:paraId="68C4C44A">
      <w:pPr>
        <w:pageBreakBefore w:val="0"/>
        <w:widowControl w:val="0"/>
        <w:kinsoku/>
        <w:wordWrap/>
        <w:overflowPunct/>
        <w:topLinePunct w:val="0"/>
        <w:bidi w:val="0"/>
        <w:adjustRightInd w:val="0"/>
        <w:snapToGrid w:val="0"/>
        <w:spacing w:line="360" w:lineRule="auto"/>
        <w:ind w:left="960" w:hanging="960" w:hangingChars="4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1.4.</w:t>
      </w:r>
      <w:r>
        <w:rPr>
          <w:rFonts w:hint="eastAsia" w:asciiTheme="minorEastAsia" w:hAnsiTheme="minorEastAsia" w:eastAsiaTheme="minorEastAsia" w:cstheme="minorEastAsia"/>
          <w:color w:val="auto"/>
          <w:sz w:val="24"/>
          <w:szCs w:val="24"/>
          <w:lang w:val="en-US" w:eastAsia="zh-CN"/>
        </w:rPr>
        <w:t>6</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val="en-US" w:eastAsia="zh-CN"/>
        </w:rPr>
        <w:t xml:space="preserve">7 </w:t>
      </w:r>
      <w:r>
        <w:rPr>
          <w:rFonts w:hint="eastAsia" w:asciiTheme="minorEastAsia" w:hAnsiTheme="minorEastAsia" w:eastAsiaTheme="minorEastAsia" w:cstheme="minorEastAsia"/>
          <w:color w:val="auto"/>
          <w:sz w:val="24"/>
          <w:szCs w:val="24"/>
        </w:rPr>
        <w:t>投标文件的关键内容字迹模糊、无法辨认，或投标文件中经修正的内容字迹模糊无法辨认，或修改处未按规定签名盖章的；</w:t>
      </w:r>
    </w:p>
    <w:p w14:paraId="7FA1E26A">
      <w:pPr>
        <w:pageBreakBefore w:val="0"/>
        <w:widowControl w:val="0"/>
        <w:kinsoku/>
        <w:wordWrap/>
        <w:overflowPunct/>
        <w:topLinePunct w:val="0"/>
        <w:bidi w:val="0"/>
        <w:adjustRightInd w:val="0"/>
        <w:snapToGrid w:val="0"/>
        <w:spacing w:line="360" w:lineRule="auto"/>
        <w:ind w:left="960" w:hanging="960" w:hangingChars="400"/>
        <w:textAlignment w:val="auto"/>
        <w:outlineLvl w:val="9"/>
        <w:rPr>
          <w:rFonts w:hint="eastAsia" w:asciiTheme="minorEastAsia" w:hAnsiTheme="minorEastAsia" w:eastAsiaTheme="minorEastAsia" w:cstheme="minorEastAsia"/>
          <w:color w:val="auto"/>
          <w:sz w:val="24"/>
          <w:szCs w:val="24"/>
          <w:highlight w:val="yellow"/>
          <w:lang w:val="en-US" w:eastAsia="zh-CN"/>
        </w:rPr>
      </w:pPr>
      <w:r>
        <w:rPr>
          <w:rFonts w:hint="eastAsia" w:asciiTheme="minorEastAsia" w:hAnsiTheme="minorEastAsia" w:eastAsiaTheme="minorEastAsia" w:cstheme="minorEastAsia"/>
          <w:color w:val="auto"/>
          <w:sz w:val="24"/>
          <w:szCs w:val="24"/>
          <w:highlight w:val="none"/>
          <w:lang w:val="en-US" w:eastAsia="zh-CN"/>
        </w:rPr>
        <w:t>14.6.8 若</w:t>
      </w:r>
      <w:r>
        <w:rPr>
          <w:rFonts w:hint="eastAsia" w:asciiTheme="minorEastAsia" w:hAnsiTheme="minorEastAsia" w:eastAsiaTheme="minorEastAsia" w:cstheme="minorEastAsia"/>
          <w:color w:val="auto"/>
          <w:sz w:val="24"/>
          <w:szCs w:val="24"/>
          <w:highlight w:val="none"/>
        </w:rPr>
        <w:t>在本次招标投标活动中，被有关管理部门认定有违法</w:t>
      </w:r>
      <w:r>
        <w:rPr>
          <w:rFonts w:hint="eastAsia" w:asciiTheme="minorEastAsia" w:hAnsiTheme="minorEastAsia" w:eastAsiaTheme="minorEastAsia" w:cstheme="minorEastAsia"/>
          <w:color w:val="auto"/>
          <w:sz w:val="24"/>
          <w:szCs w:val="24"/>
          <w:highlight w:val="none"/>
          <w:lang w:val="en-US" w:eastAsia="zh-CN"/>
        </w:rPr>
        <w:t>违规情形</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将依法判定投标无效或中标无效，自愿接受失信公示、行政处罚以及相应的法律后果。</w:t>
      </w:r>
      <w:r>
        <w:rPr>
          <w:rFonts w:hint="eastAsia" w:asciiTheme="minorEastAsia" w:hAnsiTheme="minorEastAsia" w:eastAsiaTheme="minorEastAsia" w:cstheme="minorEastAsia"/>
          <w:color w:val="auto"/>
          <w:sz w:val="24"/>
          <w:szCs w:val="24"/>
          <w:highlight w:val="none"/>
        </w:rPr>
        <w:t>投标</w:t>
      </w:r>
      <w:r>
        <w:rPr>
          <w:rFonts w:hint="eastAsia" w:asciiTheme="minorEastAsia" w:hAnsiTheme="minorEastAsia" w:eastAsiaTheme="minorEastAsia" w:cstheme="minorEastAsia"/>
          <w:color w:val="auto"/>
          <w:sz w:val="24"/>
          <w:szCs w:val="24"/>
          <w:highlight w:val="none"/>
          <w:lang w:val="en-US" w:eastAsia="zh-CN"/>
        </w:rPr>
        <w:t>人未提供相关承 诺的；</w:t>
      </w:r>
    </w:p>
    <w:p w14:paraId="38F63CC5">
      <w:pPr>
        <w:pageBreakBefore w:val="0"/>
        <w:widowControl w:val="0"/>
        <w:kinsoku/>
        <w:wordWrap/>
        <w:overflowPunct/>
        <w:topLinePunct w:val="0"/>
        <w:bidi w:val="0"/>
        <w:adjustRightInd w:val="0"/>
        <w:snapToGrid w:val="0"/>
        <w:spacing w:line="360" w:lineRule="auto"/>
        <w:ind w:left="960" w:hanging="960" w:hangingChars="4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1.4.</w:t>
      </w:r>
      <w:r>
        <w:rPr>
          <w:rFonts w:hint="eastAsia" w:asciiTheme="minorEastAsia" w:hAnsiTheme="minorEastAsia" w:eastAsiaTheme="minorEastAsia" w:cstheme="minorEastAsia"/>
          <w:color w:val="auto"/>
          <w:sz w:val="24"/>
          <w:szCs w:val="24"/>
          <w:lang w:val="en-US" w:eastAsia="zh-CN"/>
        </w:rPr>
        <w:t>6</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val="en-US" w:eastAsia="zh-CN"/>
        </w:rPr>
        <w:t xml:space="preserve">9 </w:t>
      </w:r>
      <w:r>
        <w:rPr>
          <w:rFonts w:hint="eastAsia" w:asciiTheme="minorEastAsia" w:hAnsiTheme="minorEastAsia" w:eastAsiaTheme="minorEastAsia" w:cstheme="minorEastAsia"/>
          <w:color w:val="auto"/>
          <w:sz w:val="24"/>
          <w:szCs w:val="24"/>
        </w:rPr>
        <w:t>不符合招标文件中规定的其他实质性条款。</w:t>
      </w:r>
    </w:p>
    <w:p w14:paraId="4A442844">
      <w:pPr>
        <w:pageBreakBefore w:val="0"/>
        <w:widowControl w:val="0"/>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1.4.</w:t>
      </w:r>
      <w:r>
        <w:rPr>
          <w:rFonts w:hint="eastAsia" w:asciiTheme="minorEastAsia" w:hAnsiTheme="minorEastAsia" w:eastAsiaTheme="minorEastAsia" w:cstheme="minorEastAsia"/>
          <w:color w:val="auto"/>
          <w:sz w:val="24"/>
          <w:szCs w:val="24"/>
          <w:lang w:val="en-US" w:eastAsia="zh-CN"/>
        </w:rPr>
        <w:t>6</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val="en-US" w:eastAsia="zh-CN"/>
        </w:rPr>
        <w:t>10</w:t>
      </w:r>
      <w:r>
        <w:rPr>
          <w:rFonts w:hint="eastAsia" w:asciiTheme="minorEastAsia" w:hAnsiTheme="minorEastAsia" w:eastAsiaTheme="minorEastAsia" w:cstheme="minorEastAsia"/>
          <w:color w:val="auto"/>
          <w:sz w:val="24"/>
          <w:szCs w:val="24"/>
        </w:rPr>
        <w:t>合格的</w:t>
      </w:r>
      <w:r>
        <w:rPr>
          <w:rFonts w:hint="eastAsia" w:asciiTheme="minorEastAsia" w:hAnsiTheme="minorEastAsia" w:eastAsiaTheme="minorEastAsia" w:cstheme="minorEastAsia"/>
          <w:color w:val="auto"/>
          <w:sz w:val="24"/>
          <w:szCs w:val="24"/>
          <w:lang w:eastAsia="zh-CN"/>
        </w:rPr>
        <w:t>投标供应商</w:t>
      </w:r>
      <w:r>
        <w:rPr>
          <w:rFonts w:hint="eastAsia" w:asciiTheme="minorEastAsia" w:hAnsiTheme="minorEastAsia" w:eastAsiaTheme="minorEastAsia" w:cstheme="minorEastAsia"/>
          <w:color w:val="auto"/>
          <w:sz w:val="24"/>
          <w:szCs w:val="24"/>
        </w:rPr>
        <w:t>不应有违法行为，在近三年内无不良经营行为。</w:t>
      </w:r>
      <w:r>
        <w:rPr>
          <w:rFonts w:hint="eastAsia" w:asciiTheme="minorEastAsia" w:hAnsiTheme="minorEastAsia" w:eastAsiaTheme="minorEastAsia" w:cstheme="minorEastAsia"/>
          <w:color w:val="auto"/>
          <w:sz w:val="24"/>
          <w:szCs w:val="24"/>
          <w:lang w:eastAsia="zh-CN"/>
        </w:rPr>
        <w:t>投标供应商</w:t>
      </w:r>
      <w:r>
        <w:rPr>
          <w:rFonts w:hint="eastAsia" w:asciiTheme="minorEastAsia" w:hAnsiTheme="minorEastAsia" w:eastAsiaTheme="minorEastAsia" w:cstheme="minorEastAsia"/>
          <w:color w:val="auto"/>
          <w:sz w:val="24"/>
          <w:szCs w:val="24"/>
        </w:rPr>
        <w:t>如果在本次招标投标活动中，被有关管理部门认定有违法行为，</w:t>
      </w:r>
      <w:r>
        <w:rPr>
          <w:rFonts w:hint="eastAsia" w:asciiTheme="minorEastAsia" w:hAnsiTheme="minorEastAsia" w:eastAsiaTheme="minorEastAsia" w:cstheme="minorEastAsia"/>
          <w:color w:val="auto"/>
          <w:sz w:val="24"/>
          <w:szCs w:val="24"/>
          <w:lang w:eastAsia="zh-CN"/>
        </w:rPr>
        <w:t>采购人</w:t>
      </w:r>
      <w:r>
        <w:rPr>
          <w:rFonts w:hint="eastAsia" w:asciiTheme="minorEastAsia" w:hAnsiTheme="minorEastAsia" w:eastAsiaTheme="minorEastAsia" w:cstheme="minorEastAsia"/>
          <w:color w:val="auto"/>
          <w:sz w:val="24"/>
          <w:szCs w:val="24"/>
        </w:rPr>
        <w:t>有权拒绝其投标、取消其中标资格。</w:t>
      </w:r>
      <w:r>
        <w:rPr>
          <w:rFonts w:hint="eastAsia" w:asciiTheme="minorEastAsia" w:hAnsiTheme="minorEastAsia" w:eastAsiaTheme="minorEastAsia" w:cstheme="minorEastAsia"/>
          <w:color w:val="auto"/>
          <w:sz w:val="24"/>
          <w:szCs w:val="24"/>
          <w:lang w:eastAsia="zh-CN"/>
        </w:rPr>
        <w:t>投标供应商</w:t>
      </w:r>
      <w:r>
        <w:rPr>
          <w:rFonts w:hint="eastAsia" w:asciiTheme="minorEastAsia" w:hAnsiTheme="minorEastAsia" w:eastAsiaTheme="minorEastAsia" w:cstheme="minorEastAsia"/>
          <w:color w:val="auto"/>
          <w:sz w:val="24"/>
          <w:szCs w:val="24"/>
        </w:rPr>
        <w:t>须在投标文件中提供相关承诺，格式自拟，否则投标将被否决。</w:t>
      </w:r>
    </w:p>
    <w:bookmarkEnd w:id="78"/>
    <w:p w14:paraId="1C77DC43">
      <w:pPr>
        <w:pageBreakBefore w:val="0"/>
        <w:widowControl w:val="0"/>
        <w:kinsoku/>
        <w:wordWrap/>
        <w:overflowPunct/>
        <w:topLinePunct w:val="0"/>
        <w:bidi w:val="0"/>
        <w:adjustRightInd w:val="0"/>
        <w:snapToGrid w:val="0"/>
        <w:spacing w:before="0" w:after="0" w:line="360" w:lineRule="auto"/>
        <w:textAlignment w:val="auto"/>
        <w:outlineLvl w:val="9"/>
        <w:rPr>
          <w:rFonts w:hint="eastAsia" w:asciiTheme="minorEastAsia" w:hAnsiTheme="minorEastAsia" w:eastAsiaTheme="minorEastAsia" w:cstheme="minorEastAsia"/>
          <w:b w:val="0"/>
          <w:bCs w:val="0"/>
          <w:color w:val="auto"/>
          <w:sz w:val="24"/>
          <w:szCs w:val="24"/>
        </w:rPr>
      </w:pPr>
      <w:bookmarkStart w:id="79" w:name="_Toc22863"/>
      <w:bookmarkStart w:id="80" w:name="_Toc57211939"/>
      <w:r>
        <w:rPr>
          <w:rFonts w:hint="eastAsia" w:asciiTheme="minorEastAsia" w:hAnsiTheme="minorEastAsia" w:eastAsiaTheme="minorEastAsia" w:cstheme="minorEastAsia"/>
          <w:b/>
          <w:bCs/>
          <w:color w:val="auto"/>
          <w:sz w:val="24"/>
          <w:szCs w:val="24"/>
        </w:rPr>
        <w:t>1.5 监督管理部门</w:t>
      </w:r>
      <w:bookmarkEnd w:id="79"/>
      <w:bookmarkEnd w:id="80"/>
    </w:p>
    <w:p w14:paraId="4DA0141D">
      <w:pPr>
        <w:pageBreakBefore w:val="0"/>
        <w:widowControl w:val="0"/>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1.5.1 本次采购活动的政府采购监督管理部门为：本次采购项目的采购人所属预算级次的财政部门。</w:t>
      </w:r>
    </w:p>
    <w:p w14:paraId="0885D27A">
      <w:pPr>
        <w:pageBreakBefore w:val="0"/>
        <w:widowControl w:val="0"/>
        <w:kinsoku/>
        <w:wordWrap/>
        <w:overflowPunct/>
        <w:topLinePunct w:val="0"/>
        <w:bidi w:val="0"/>
        <w:adjustRightInd w:val="0"/>
        <w:snapToGrid w:val="0"/>
        <w:spacing w:before="0" w:after="0" w:line="360" w:lineRule="auto"/>
        <w:textAlignment w:val="auto"/>
        <w:outlineLvl w:val="9"/>
        <w:rPr>
          <w:rFonts w:hint="eastAsia" w:asciiTheme="minorEastAsia" w:hAnsiTheme="minorEastAsia" w:eastAsiaTheme="minorEastAsia" w:cstheme="minorEastAsia"/>
          <w:b/>
          <w:bCs/>
          <w:color w:val="auto"/>
          <w:sz w:val="24"/>
          <w:szCs w:val="24"/>
        </w:rPr>
      </w:pPr>
      <w:bookmarkStart w:id="81" w:name="_Toc7737"/>
      <w:bookmarkStart w:id="82" w:name="_Toc57211940"/>
      <w:r>
        <w:rPr>
          <w:rFonts w:hint="eastAsia" w:asciiTheme="minorEastAsia" w:hAnsiTheme="minorEastAsia" w:eastAsiaTheme="minorEastAsia" w:cstheme="minorEastAsia"/>
          <w:b/>
          <w:bCs/>
          <w:color w:val="auto"/>
          <w:sz w:val="24"/>
          <w:szCs w:val="24"/>
        </w:rPr>
        <w:t>1.6 投标人参加采购活动的费用</w:t>
      </w:r>
      <w:bookmarkEnd w:id="81"/>
      <w:bookmarkEnd w:id="82"/>
    </w:p>
    <w:p w14:paraId="57433D1A">
      <w:pPr>
        <w:pageBreakBefore w:val="0"/>
        <w:widowControl w:val="0"/>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sz w:val="24"/>
          <w:szCs w:val="24"/>
        </w:rPr>
      </w:pPr>
      <w:bookmarkStart w:id="83" w:name="_Hlk174375396"/>
      <w:r>
        <w:rPr>
          <w:rFonts w:hint="eastAsia" w:asciiTheme="minorEastAsia" w:hAnsiTheme="minorEastAsia" w:eastAsiaTheme="minorEastAsia" w:cstheme="minorEastAsia"/>
          <w:color w:val="auto"/>
          <w:sz w:val="24"/>
          <w:szCs w:val="24"/>
        </w:rPr>
        <w:t>1.6.1 无论招标过程中</w:t>
      </w:r>
      <w:r>
        <w:rPr>
          <w:rFonts w:hint="eastAsia" w:asciiTheme="minorEastAsia" w:hAnsiTheme="minorEastAsia" w:eastAsiaTheme="minorEastAsia" w:cstheme="minorEastAsia"/>
          <w:color w:val="auto"/>
          <w:sz w:val="24"/>
          <w:szCs w:val="24"/>
          <w:lang w:eastAsia="zh-CN"/>
        </w:rPr>
        <w:t>的做法</w:t>
      </w:r>
      <w:r>
        <w:rPr>
          <w:rFonts w:hint="eastAsia" w:asciiTheme="minorEastAsia" w:hAnsiTheme="minorEastAsia" w:eastAsiaTheme="minorEastAsia" w:cstheme="minorEastAsia"/>
          <w:color w:val="auto"/>
          <w:sz w:val="24"/>
          <w:szCs w:val="24"/>
        </w:rPr>
        <w:t>和招标的结果如何</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投标</w:t>
      </w:r>
      <w:r>
        <w:rPr>
          <w:rFonts w:hint="eastAsia" w:asciiTheme="minorEastAsia" w:hAnsiTheme="minorEastAsia" w:eastAsiaTheme="minorEastAsia" w:cstheme="minorEastAsia"/>
          <w:sz w:val="24"/>
          <w:szCs w:val="24"/>
        </w:rPr>
        <w:t>人均</w:t>
      </w:r>
      <w:r>
        <w:rPr>
          <w:rFonts w:hint="eastAsia" w:asciiTheme="minorEastAsia" w:hAnsiTheme="minorEastAsia" w:eastAsiaTheme="minorEastAsia" w:cstheme="minorEastAsia"/>
          <w:spacing w:val="-3"/>
          <w:sz w:val="24"/>
          <w:szCs w:val="24"/>
        </w:rPr>
        <w:t>应自行承担所有与准备和</w:t>
      </w:r>
      <w:r>
        <w:rPr>
          <w:rFonts w:hint="eastAsia" w:asciiTheme="minorEastAsia" w:hAnsiTheme="minorEastAsia" w:eastAsiaTheme="minorEastAsia" w:cstheme="minorEastAsia"/>
          <w:sz w:val="24"/>
          <w:szCs w:val="24"/>
        </w:rPr>
        <w:t>参加本次投标活动</w:t>
      </w:r>
      <w:r>
        <w:rPr>
          <w:rFonts w:hint="eastAsia" w:asciiTheme="minorEastAsia" w:hAnsiTheme="minorEastAsia" w:eastAsiaTheme="minorEastAsia" w:cstheme="minorEastAsia"/>
          <w:spacing w:val="-3"/>
          <w:sz w:val="24"/>
          <w:szCs w:val="24"/>
        </w:rPr>
        <w:t>有关的费用，</w:t>
      </w:r>
      <w:r>
        <w:rPr>
          <w:rFonts w:hint="eastAsia" w:asciiTheme="minorEastAsia" w:hAnsiTheme="minorEastAsia" w:eastAsiaTheme="minorEastAsia" w:cstheme="minorEastAsia"/>
          <w:sz w:val="24"/>
          <w:szCs w:val="24"/>
        </w:rPr>
        <w:t>采购人和采购代理机构在任何情况下均无承担这些费用的义务和责任。</w:t>
      </w:r>
      <w:bookmarkEnd w:id="83"/>
    </w:p>
    <w:p w14:paraId="662D26AD">
      <w:pPr>
        <w:pageBreakBefore w:val="0"/>
        <w:widowControl w:val="0"/>
        <w:kinsoku/>
        <w:wordWrap/>
        <w:overflowPunct/>
        <w:topLinePunct w:val="0"/>
        <w:bidi w:val="0"/>
        <w:adjustRightInd w:val="0"/>
        <w:snapToGrid w:val="0"/>
        <w:spacing w:before="0" w:after="0" w:line="360" w:lineRule="auto"/>
        <w:textAlignment w:val="auto"/>
        <w:outlineLvl w:val="9"/>
        <w:rPr>
          <w:rFonts w:hint="eastAsia" w:asciiTheme="minorEastAsia" w:hAnsiTheme="minorEastAsia" w:eastAsiaTheme="minorEastAsia" w:cstheme="minorEastAsia"/>
          <w:b/>
          <w:bCs/>
          <w:sz w:val="24"/>
          <w:szCs w:val="24"/>
        </w:rPr>
      </w:pPr>
      <w:bookmarkStart w:id="84" w:name="_Toc25277"/>
      <w:bookmarkStart w:id="85" w:name="_Toc57211942"/>
      <w:r>
        <w:rPr>
          <w:rFonts w:hint="eastAsia" w:asciiTheme="minorEastAsia" w:hAnsiTheme="minorEastAsia" w:eastAsiaTheme="minorEastAsia" w:cstheme="minorEastAsia"/>
          <w:b/>
          <w:bCs/>
          <w:sz w:val="24"/>
          <w:szCs w:val="24"/>
        </w:rPr>
        <w:t>1.7 样品</w:t>
      </w:r>
      <w:bookmarkEnd w:id="84"/>
      <w:bookmarkEnd w:id="85"/>
    </w:p>
    <w:p w14:paraId="69117D99">
      <w:pPr>
        <w:pageBreakBefore w:val="0"/>
        <w:widowControl w:val="0"/>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1.7.1 原则上采购人、采购代理机构不要求投标人提供样</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品。除仅凭书面方式不能准确描述采购需求，或者需要对样品进行主观判断以确认是否满足采购需求等特殊情况除外。</w:t>
      </w:r>
    </w:p>
    <w:p w14:paraId="5FC10CE4">
      <w:pPr>
        <w:pageBreakBefore w:val="0"/>
        <w:widowControl w:val="0"/>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1.7.2 如需提供样品，对样品相关要求见</w:t>
      </w:r>
      <w:r>
        <w:rPr>
          <w:rFonts w:hint="eastAsia" w:asciiTheme="minorEastAsia" w:hAnsiTheme="minorEastAsia" w:eastAsiaTheme="minorEastAsia" w:cstheme="minorEastAsia"/>
          <w:b w:val="0"/>
          <w:bCs/>
          <w:sz w:val="24"/>
          <w:szCs w:val="24"/>
          <w:u w:val="single"/>
        </w:rPr>
        <w:t>投标人须知前附表及招标文件</w:t>
      </w:r>
      <w:r>
        <w:rPr>
          <w:rFonts w:hint="eastAsia" w:asciiTheme="minorEastAsia" w:hAnsiTheme="minorEastAsia" w:eastAsiaTheme="minorEastAsia" w:cstheme="minorEastAsia"/>
          <w:b w:val="0"/>
          <w:bCs/>
          <w:color w:val="000000"/>
          <w:sz w:val="24"/>
          <w:szCs w:val="24"/>
          <w:u w:val="single"/>
          <w:lang w:eastAsia="zh-CN"/>
        </w:rPr>
        <w:t>相关要求</w:t>
      </w:r>
      <w:r>
        <w:rPr>
          <w:rFonts w:hint="eastAsia" w:asciiTheme="minorEastAsia" w:hAnsiTheme="minorEastAsia" w:eastAsiaTheme="minorEastAsia" w:cstheme="minorEastAsia"/>
          <w:b w:val="0"/>
          <w:bCs/>
          <w:color w:val="000000"/>
          <w:sz w:val="24"/>
          <w:szCs w:val="24"/>
        </w:rPr>
        <w:t>，对样</w:t>
      </w:r>
      <w:r>
        <w:rPr>
          <w:rFonts w:hint="eastAsia" w:asciiTheme="minorEastAsia" w:hAnsiTheme="minorEastAsia" w:eastAsiaTheme="minorEastAsia" w:cstheme="minorEastAsia"/>
          <w:b w:val="0"/>
          <w:bCs/>
          <w:sz w:val="24"/>
          <w:szCs w:val="24"/>
        </w:rPr>
        <w:t>品的评审方法及评审标准见</w:t>
      </w:r>
      <w:r>
        <w:rPr>
          <w:rFonts w:hint="eastAsia" w:asciiTheme="minorEastAsia" w:hAnsiTheme="minorEastAsia" w:eastAsiaTheme="minorEastAsia" w:cstheme="minorEastAsia"/>
          <w:b w:val="0"/>
          <w:bCs/>
          <w:sz w:val="24"/>
          <w:szCs w:val="24"/>
          <w:lang w:eastAsia="zh-CN"/>
        </w:rPr>
        <w:t>采购</w:t>
      </w:r>
      <w:r>
        <w:rPr>
          <w:rFonts w:hint="eastAsia" w:asciiTheme="minorEastAsia" w:hAnsiTheme="minorEastAsia" w:eastAsiaTheme="minorEastAsia" w:cstheme="minorEastAsia"/>
          <w:b w:val="0"/>
          <w:bCs/>
          <w:sz w:val="24"/>
          <w:szCs w:val="24"/>
        </w:rPr>
        <w:t>文件</w:t>
      </w:r>
      <w:r>
        <w:rPr>
          <w:rFonts w:hint="eastAsia" w:asciiTheme="minorEastAsia" w:hAnsiTheme="minorEastAsia" w:eastAsiaTheme="minorEastAsia" w:cstheme="minorEastAsia"/>
          <w:b w:val="0"/>
          <w:bCs/>
          <w:sz w:val="24"/>
          <w:szCs w:val="24"/>
          <w:lang w:eastAsia="zh-CN"/>
        </w:rPr>
        <w:t>相应的内容</w:t>
      </w:r>
      <w:r>
        <w:rPr>
          <w:rFonts w:hint="eastAsia" w:asciiTheme="minorEastAsia" w:hAnsiTheme="minorEastAsia" w:eastAsiaTheme="minorEastAsia" w:cstheme="minorEastAsia"/>
          <w:b w:val="0"/>
          <w:bCs/>
          <w:sz w:val="24"/>
          <w:szCs w:val="24"/>
        </w:rPr>
        <w:t>。</w:t>
      </w:r>
    </w:p>
    <w:p w14:paraId="7D7AA968">
      <w:pPr>
        <w:pageBreakBefore w:val="0"/>
        <w:widowControl w:val="0"/>
        <w:kinsoku/>
        <w:wordWrap/>
        <w:overflowPunct/>
        <w:topLinePunct w:val="0"/>
        <w:bidi w:val="0"/>
        <w:adjustRightInd w:val="0"/>
        <w:snapToGrid w:val="0"/>
        <w:spacing w:before="0" w:after="0" w:line="360" w:lineRule="auto"/>
        <w:textAlignment w:val="auto"/>
        <w:outlineLvl w:val="9"/>
        <w:rPr>
          <w:rFonts w:hint="eastAsia" w:asciiTheme="minorEastAsia" w:hAnsiTheme="minorEastAsia" w:eastAsiaTheme="minorEastAsia" w:cstheme="minorEastAsia"/>
          <w:b w:val="0"/>
          <w:bCs w:val="0"/>
          <w:sz w:val="24"/>
          <w:szCs w:val="24"/>
        </w:rPr>
      </w:pPr>
      <w:bookmarkStart w:id="86" w:name="_Toc57211943"/>
      <w:bookmarkStart w:id="87" w:name="_Toc4701"/>
      <w:r>
        <w:rPr>
          <w:rFonts w:hint="eastAsia" w:asciiTheme="minorEastAsia" w:hAnsiTheme="minorEastAsia" w:eastAsiaTheme="minorEastAsia" w:cstheme="minorEastAsia"/>
          <w:b/>
          <w:bCs/>
          <w:sz w:val="24"/>
          <w:szCs w:val="24"/>
        </w:rPr>
        <w:t>1.8 适用法律</w:t>
      </w:r>
      <w:bookmarkEnd w:id="86"/>
      <w:bookmarkEnd w:id="87"/>
    </w:p>
    <w:p w14:paraId="10B646A6">
      <w:pPr>
        <w:pageBreakBefore w:val="0"/>
        <w:widowControl w:val="0"/>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1.8.1 本项目采购人、采购代理机构、投标人、评标委员会的相关行为均</w:t>
      </w:r>
      <w:r>
        <w:rPr>
          <w:rFonts w:hint="eastAsia" w:asciiTheme="minorEastAsia" w:hAnsiTheme="minorEastAsia" w:eastAsiaTheme="minorEastAsia" w:cstheme="minorEastAsia"/>
          <w:sz w:val="24"/>
          <w:szCs w:val="24"/>
          <w:lang w:eastAsia="zh-CN"/>
        </w:rPr>
        <w:t>受到</w:t>
      </w:r>
      <w:r>
        <w:rPr>
          <w:rFonts w:hint="eastAsia" w:asciiTheme="minorEastAsia" w:hAnsiTheme="minorEastAsia" w:eastAsiaTheme="minorEastAsia" w:cstheme="minorEastAsia"/>
          <w:sz w:val="24"/>
          <w:szCs w:val="24"/>
        </w:rPr>
        <w:t>《中华人民共和国政府采购法</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中华人民共和国政府采购法实施条例</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政府采购货物和服务招标投标管理办法》及本项目本级和上级财政部门政府采购有关规定的约束和保护。</w:t>
      </w:r>
    </w:p>
    <w:p w14:paraId="2501942F">
      <w:pPr>
        <w:pageBreakBefore w:val="0"/>
        <w:widowControl w:val="0"/>
        <w:kinsoku/>
        <w:wordWrap/>
        <w:overflowPunct/>
        <w:topLinePunct w:val="0"/>
        <w:bidi w:val="0"/>
        <w:adjustRightInd w:val="0"/>
        <w:snapToGrid w:val="0"/>
        <w:spacing w:before="0" w:after="0" w:line="360" w:lineRule="auto"/>
        <w:textAlignment w:val="auto"/>
        <w:outlineLvl w:val="9"/>
        <w:rPr>
          <w:rFonts w:hint="eastAsia" w:asciiTheme="minorEastAsia" w:hAnsiTheme="minorEastAsia" w:eastAsiaTheme="minorEastAsia" w:cstheme="minorEastAsia"/>
          <w:b/>
          <w:bCs/>
          <w:sz w:val="24"/>
          <w:szCs w:val="24"/>
        </w:rPr>
      </w:pPr>
      <w:bookmarkStart w:id="88" w:name="_Toc10022"/>
      <w:bookmarkStart w:id="89" w:name="_Toc57211944"/>
      <w:bookmarkStart w:id="90" w:name="_Toc40972799"/>
      <w:bookmarkStart w:id="91" w:name="_Toc36564724"/>
      <w:bookmarkStart w:id="92" w:name="_Toc34733014"/>
      <w:bookmarkStart w:id="93" w:name="_Toc34732546"/>
      <w:bookmarkStart w:id="94" w:name="_Toc25832411"/>
      <w:r>
        <w:rPr>
          <w:rFonts w:hint="eastAsia" w:asciiTheme="minorEastAsia" w:hAnsiTheme="minorEastAsia" w:eastAsiaTheme="minorEastAsia" w:cstheme="minorEastAsia"/>
          <w:b/>
          <w:bCs/>
          <w:sz w:val="24"/>
          <w:szCs w:val="24"/>
        </w:rPr>
        <w:t>1.9 保密</w:t>
      </w:r>
      <w:bookmarkEnd w:id="88"/>
      <w:bookmarkEnd w:id="89"/>
      <w:bookmarkEnd w:id="90"/>
      <w:bookmarkEnd w:id="91"/>
      <w:bookmarkEnd w:id="92"/>
      <w:bookmarkEnd w:id="93"/>
      <w:bookmarkEnd w:id="94"/>
    </w:p>
    <w:p w14:paraId="2D565B50">
      <w:pPr>
        <w:pageBreakBefore w:val="0"/>
        <w:widowControl w:val="0"/>
        <w:kinsoku/>
        <w:wordWrap/>
        <w:overflowPunct/>
        <w:topLinePunct w:val="0"/>
        <w:bidi w:val="0"/>
        <w:adjustRightInd w:val="0"/>
        <w:snapToGrid w:val="0"/>
        <w:spacing w:line="360" w:lineRule="auto"/>
        <w:ind w:left="698" w:hanging="698" w:hangingChars="291"/>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1.9.1 参与采购活动的各方应对招标文件和投标文件中的商业和技术等秘密保密，违者应对由此造成的后果承担法律责任。</w:t>
      </w:r>
    </w:p>
    <w:p w14:paraId="765AF059">
      <w:pPr>
        <w:pageBreakBefore w:val="0"/>
        <w:widowControl w:val="0"/>
        <w:kinsoku/>
        <w:wordWrap/>
        <w:overflowPunct/>
        <w:topLinePunct w:val="0"/>
        <w:bidi w:val="0"/>
        <w:adjustRightInd w:val="0"/>
        <w:snapToGrid w:val="0"/>
        <w:spacing w:before="0" w:after="0" w:line="360" w:lineRule="auto"/>
        <w:textAlignment w:val="auto"/>
        <w:outlineLvl w:val="9"/>
        <w:rPr>
          <w:rFonts w:hint="eastAsia" w:asciiTheme="minorEastAsia" w:hAnsiTheme="minorEastAsia" w:eastAsiaTheme="minorEastAsia" w:cstheme="minorEastAsia"/>
          <w:b/>
          <w:bCs/>
          <w:sz w:val="24"/>
          <w:szCs w:val="24"/>
        </w:rPr>
      </w:pPr>
      <w:bookmarkStart w:id="95" w:name="_Toc29536"/>
      <w:bookmarkStart w:id="96" w:name="_Toc146098531"/>
      <w:bookmarkStart w:id="97" w:name="_Toc27711"/>
      <w:r>
        <w:rPr>
          <w:rFonts w:hint="eastAsia" w:asciiTheme="minorEastAsia" w:hAnsiTheme="minorEastAsia" w:eastAsiaTheme="minorEastAsia" w:cstheme="minorEastAsia"/>
          <w:b/>
          <w:bCs/>
          <w:sz w:val="24"/>
          <w:szCs w:val="24"/>
          <w:lang w:eastAsia="zh-CN"/>
        </w:rPr>
        <w:t>2.</w:t>
      </w:r>
      <w:r>
        <w:rPr>
          <w:rFonts w:hint="eastAsia" w:asciiTheme="minorEastAsia" w:hAnsiTheme="minorEastAsia" w:eastAsiaTheme="minorEastAsia" w:cstheme="minorEastAsia"/>
          <w:b/>
          <w:bCs/>
          <w:sz w:val="24"/>
          <w:szCs w:val="24"/>
        </w:rPr>
        <w:t>政府采购政策</w:t>
      </w:r>
      <w:bookmarkEnd w:id="95"/>
      <w:bookmarkEnd w:id="96"/>
      <w:bookmarkEnd w:id="97"/>
    </w:p>
    <w:p w14:paraId="6E0A3BDB">
      <w:pPr>
        <w:pageBreakBefore w:val="0"/>
        <w:widowControl w:val="0"/>
        <w:kinsoku/>
        <w:wordWrap/>
        <w:overflowPunct/>
        <w:topLinePunct w:val="0"/>
        <w:bidi w:val="0"/>
        <w:adjustRightInd w:val="0"/>
        <w:snapToGrid w:val="0"/>
        <w:spacing w:before="0" w:after="0" w:line="360" w:lineRule="auto"/>
        <w:textAlignment w:val="auto"/>
        <w:outlineLvl w:val="9"/>
        <w:rPr>
          <w:rFonts w:hint="eastAsia" w:asciiTheme="minorEastAsia" w:hAnsiTheme="minorEastAsia" w:eastAsiaTheme="minorEastAsia" w:cstheme="minorEastAsia"/>
          <w:b/>
          <w:bCs/>
          <w:color w:val="auto"/>
          <w:sz w:val="24"/>
          <w:szCs w:val="24"/>
        </w:rPr>
      </w:pPr>
      <w:bookmarkStart w:id="98" w:name="_Toc146098532"/>
      <w:bookmarkStart w:id="99" w:name="_Toc1861"/>
      <w:r>
        <w:rPr>
          <w:rFonts w:hint="eastAsia" w:asciiTheme="minorEastAsia" w:hAnsiTheme="minorEastAsia" w:eastAsiaTheme="minorEastAsia" w:cstheme="minorEastAsia"/>
          <w:b/>
          <w:bCs/>
          <w:sz w:val="24"/>
          <w:szCs w:val="24"/>
        </w:rPr>
        <w:t>2.</w:t>
      </w:r>
      <w:r>
        <w:rPr>
          <w:rFonts w:hint="eastAsia" w:asciiTheme="minorEastAsia" w:hAnsiTheme="minorEastAsia" w:eastAsiaTheme="minorEastAsia" w:cstheme="minorEastAsia"/>
          <w:b/>
          <w:bCs/>
          <w:sz w:val="24"/>
          <w:szCs w:val="24"/>
          <w:lang w:val="en-US" w:eastAsia="zh-CN"/>
        </w:rPr>
        <w:t>1</w:t>
      </w:r>
      <w:r>
        <w:rPr>
          <w:rFonts w:hint="eastAsia" w:asciiTheme="minorEastAsia" w:hAnsiTheme="minorEastAsia" w:eastAsiaTheme="minorEastAsia" w:cstheme="minorEastAsia"/>
          <w:b/>
          <w:bCs/>
          <w:sz w:val="24"/>
          <w:szCs w:val="24"/>
        </w:rPr>
        <w:t>采购</w:t>
      </w:r>
      <w:bookmarkEnd w:id="98"/>
      <w:r>
        <w:rPr>
          <w:rFonts w:hint="eastAsia" w:asciiTheme="minorEastAsia" w:hAnsiTheme="minorEastAsia" w:eastAsiaTheme="minorEastAsia" w:cstheme="minorEastAsia"/>
          <w:b/>
          <w:bCs/>
          <w:sz w:val="24"/>
          <w:szCs w:val="24"/>
        </w:rPr>
        <w:t>本</w:t>
      </w:r>
      <w:r>
        <w:rPr>
          <w:rFonts w:hint="eastAsia" w:asciiTheme="minorEastAsia" w:hAnsiTheme="minorEastAsia" w:eastAsiaTheme="minorEastAsia" w:cstheme="minorEastAsia"/>
          <w:b/>
          <w:bCs/>
          <w:color w:val="auto"/>
          <w:sz w:val="24"/>
          <w:szCs w:val="24"/>
        </w:rPr>
        <w:t>国货物</w:t>
      </w:r>
      <w:bookmarkEnd w:id="99"/>
    </w:p>
    <w:p w14:paraId="72160E8A">
      <w:pPr>
        <w:pageBreakBefore w:val="0"/>
        <w:widowControl w:val="0"/>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w:t>
      </w: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rPr>
        <w:t xml:space="preserve">.1 </w:t>
      </w:r>
      <w:r>
        <w:rPr>
          <w:rFonts w:hint="eastAsia" w:asciiTheme="minorEastAsia" w:hAnsiTheme="minorEastAsia" w:eastAsiaTheme="minorEastAsia" w:cstheme="minorEastAsia"/>
          <w:color w:val="auto"/>
          <w:sz w:val="24"/>
          <w:szCs w:val="24"/>
          <w:highlight w:val="none"/>
        </w:rPr>
        <w:t>政府采购应当采购本国货物。但有《中华人民共和国政府采购法》第十条规定情形的除外。</w:t>
      </w:r>
    </w:p>
    <w:p w14:paraId="1C33C6E2">
      <w:pPr>
        <w:pageBreakBefore w:val="0"/>
        <w:widowControl w:val="0"/>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.2 本国货物</w:t>
      </w:r>
      <w:r>
        <w:rPr>
          <w:rFonts w:hint="eastAsia" w:asciiTheme="minorEastAsia" w:hAnsiTheme="minorEastAsia" w:eastAsiaTheme="minorEastAsia" w:cstheme="minorEastAsia"/>
          <w:color w:val="auto"/>
          <w:sz w:val="24"/>
          <w:szCs w:val="24"/>
          <w:highlight w:val="none"/>
          <w:lang w:eastAsia="zh-CN"/>
        </w:rPr>
        <w:t>（或产品）的标准、适用范围、支持政策、执行要求</w:t>
      </w:r>
      <w:r>
        <w:rPr>
          <w:rFonts w:hint="eastAsia" w:asciiTheme="minorEastAsia" w:hAnsiTheme="minorEastAsia" w:eastAsiaTheme="minorEastAsia" w:cstheme="minorEastAsia"/>
          <w:color w:val="auto"/>
          <w:sz w:val="24"/>
          <w:szCs w:val="24"/>
          <w:highlight w:val="none"/>
        </w:rPr>
        <w:t>，具体</w:t>
      </w:r>
      <w:r>
        <w:rPr>
          <w:rFonts w:hint="eastAsia" w:asciiTheme="minorEastAsia" w:hAnsiTheme="minorEastAsia" w:eastAsiaTheme="minorEastAsia" w:cstheme="minorEastAsia"/>
          <w:color w:val="auto"/>
          <w:sz w:val="24"/>
          <w:szCs w:val="24"/>
          <w:highlight w:val="none"/>
          <w:lang w:eastAsia="zh-CN"/>
        </w:rPr>
        <w:t>详</w:t>
      </w:r>
      <w:r>
        <w:rPr>
          <w:rFonts w:hint="eastAsia" w:asciiTheme="minorEastAsia" w:hAnsiTheme="minorEastAsia" w:eastAsiaTheme="minorEastAsia" w:cstheme="minorEastAsia"/>
          <w:color w:val="auto"/>
          <w:sz w:val="24"/>
          <w:szCs w:val="24"/>
          <w:highlight w:val="none"/>
        </w:rPr>
        <w:t>见《国务院办公厅关于在政府采购中实施本国产品标准及相关政策的通知》国办发〔2025〕34号。</w:t>
      </w:r>
    </w:p>
    <w:p w14:paraId="489257F9">
      <w:pPr>
        <w:pageBreakBefore w:val="0"/>
        <w:widowControl w:val="0"/>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2.1.3</w:t>
      </w:r>
      <w:r>
        <w:rPr>
          <w:rFonts w:hint="eastAsia" w:asciiTheme="minorEastAsia" w:hAnsiTheme="minorEastAsia" w:eastAsiaTheme="minorEastAsia" w:cstheme="minorEastAsia"/>
          <w:color w:val="auto"/>
          <w:sz w:val="24"/>
          <w:szCs w:val="24"/>
          <w:highlight w:val="none"/>
        </w:rPr>
        <w:t>投标</w:t>
      </w:r>
      <w:r>
        <w:rPr>
          <w:rFonts w:hint="eastAsia" w:asciiTheme="minorEastAsia" w:hAnsiTheme="minorEastAsia" w:eastAsiaTheme="minorEastAsia" w:cstheme="minorEastAsia"/>
          <w:color w:val="auto"/>
          <w:sz w:val="24"/>
          <w:szCs w:val="24"/>
          <w:highlight w:val="none"/>
          <w:lang w:eastAsia="zh-CN"/>
        </w:rPr>
        <w:t>产品若为本国货物（或产品）的</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供应商应</w:t>
      </w:r>
      <w:r>
        <w:rPr>
          <w:rFonts w:hint="eastAsia" w:asciiTheme="minorEastAsia" w:hAnsiTheme="minorEastAsia" w:eastAsiaTheme="minorEastAsia" w:cstheme="minorEastAsia"/>
          <w:color w:val="auto"/>
          <w:sz w:val="24"/>
          <w:szCs w:val="24"/>
          <w:highlight w:val="none"/>
        </w:rPr>
        <w:t>对其提供的产品出具《关于符合本国产品标准的声明函》（格式见招标文件第</w:t>
      </w:r>
      <w:r>
        <w:rPr>
          <w:rFonts w:hint="eastAsia" w:asciiTheme="minorEastAsia" w:hAnsiTheme="minorEastAsia" w:eastAsiaTheme="minorEastAsia" w:cstheme="minorEastAsia"/>
          <w:color w:val="auto"/>
          <w:sz w:val="24"/>
          <w:szCs w:val="24"/>
          <w:highlight w:val="none"/>
          <w:lang w:eastAsia="zh-CN"/>
        </w:rPr>
        <w:t>六</w:t>
      </w:r>
      <w:r>
        <w:rPr>
          <w:rFonts w:hint="eastAsia" w:asciiTheme="minorEastAsia" w:hAnsiTheme="minorEastAsia" w:eastAsiaTheme="minorEastAsia" w:cstheme="minorEastAsia"/>
          <w:color w:val="auto"/>
          <w:sz w:val="24"/>
          <w:szCs w:val="24"/>
          <w:highlight w:val="none"/>
        </w:rPr>
        <w:t>章）或财政部会同有关部门规定的有关证明文件。出具符合要求的《关于符合本国产品标准的声明函》或有关证明文件的，该产品视为本国产品</w:t>
      </w:r>
      <w:r>
        <w:rPr>
          <w:rFonts w:hint="eastAsia" w:asciiTheme="minorEastAsia" w:hAnsiTheme="minorEastAsia" w:eastAsiaTheme="minorEastAsia" w:cstheme="minorEastAsia"/>
          <w:color w:val="auto"/>
          <w:sz w:val="24"/>
          <w:szCs w:val="24"/>
          <w:highlight w:val="none"/>
          <w:lang w:eastAsia="zh-CN"/>
        </w:rPr>
        <w:t>，并</w:t>
      </w:r>
      <w:r>
        <w:rPr>
          <w:rFonts w:hint="eastAsia" w:asciiTheme="minorEastAsia" w:hAnsiTheme="minorEastAsia" w:eastAsiaTheme="minorEastAsia" w:cstheme="minorEastAsia"/>
          <w:color w:val="auto"/>
          <w:sz w:val="24"/>
          <w:szCs w:val="24"/>
          <w:highlight w:val="none"/>
        </w:rPr>
        <w:t>享受相应</w:t>
      </w:r>
      <w:r>
        <w:rPr>
          <w:rFonts w:hint="eastAsia" w:asciiTheme="minorEastAsia" w:hAnsiTheme="minorEastAsia" w:eastAsiaTheme="minorEastAsia" w:cstheme="minorEastAsia"/>
          <w:color w:val="auto"/>
          <w:sz w:val="24"/>
          <w:szCs w:val="24"/>
          <w:highlight w:val="none"/>
          <w:lang w:eastAsia="zh-CN"/>
        </w:rPr>
        <w:t>的支持</w:t>
      </w:r>
      <w:r>
        <w:rPr>
          <w:rFonts w:hint="eastAsia" w:asciiTheme="minorEastAsia" w:hAnsiTheme="minorEastAsia" w:eastAsiaTheme="minorEastAsia" w:cstheme="minorEastAsia"/>
          <w:color w:val="auto"/>
          <w:sz w:val="24"/>
          <w:szCs w:val="24"/>
          <w:highlight w:val="none"/>
        </w:rPr>
        <w:t>政策。</w:t>
      </w:r>
    </w:p>
    <w:p w14:paraId="313CC879">
      <w:pPr>
        <w:pageBreakBefore w:val="0"/>
        <w:widowControl w:val="0"/>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rPr>
        <w:t>2.</w:t>
      </w: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val="en-US" w:eastAsia="zh-CN"/>
        </w:rPr>
        <w:t>4</w:t>
      </w:r>
      <w:r>
        <w:rPr>
          <w:rFonts w:hint="eastAsia" w:asciiTheme="minorEastAsia" w:hAnsiTheme="minorEastAsia" w:eastAsiaTheme="minorEastAsia" w:cstheme="minorEastAsia"/>
          <w:color w:val="auto"/>
          <w:sz w:val="24"/>
          <w:szCs w:val="24"/>
        </w:rPr>
        <w:t xml:space="preserve"> 进口产品指通过中国海关报关</w:t>
      </w:r>
      <w:r>
        <w:rPr>
          <w:rFonts w:hint="eastAsia" w:asciiTheme="minorEastAsia" w:hAnsiTheme="minorEastAsia" w:eastAsiaTheme="minorEastAsia" w:cstheme="minorEastAsia"/>
          <w:sz w:val="24"/>
          <w:szCs w:val="24"/>
        </w:rPr>
        <w:t>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19BB5375">
      <w:pPr>
        <w:pageBreakBefore w:val="0"/>
        <w:widowControl w:val="0"/>
        <w:kinsoku/>
        <w:wordWrap/>
        <w:overflowPunct/>
        <w:topLinePunct w:val="0"/>
        <w:bidi w:val="0"/>
        <w:adjustRightInd w:val="0"/>
        <w:snapToGrid w:val="0"/>
        <w:spacing w:before="0" w:after="0" w:line="360" w:lineRule="auto"/>
        <w:textAlignment w:val="auto"/>
        <w:outlineLvl w:val="9"/>
        <w:rPr>
          <w:rFonts w:hint="eastAsia" w:asciiTheme="minorEastAsia" w:hAnsiTheme="minorEastAsia" w:eastAsiaTheme="minorEastAsia" w:cstheme="minorEastAsia"/>
          <w:b/>
          <w:bCs/>
          <w:sz w:val="24"/>
          <w:szCs w:val="24"/>
        </w:rPr>
      </w:pPr>
      <w:bookmarkStart w:id="100" w:name="_Toc146098533"/>
      <w:bookmarkStart w:id="101" w:name="_Toc22835"/>
      <w:r>
        <w:rPr>
          <w:rFonts w:hint="eastAsia" w:asciiTheme="minorEastAsia" w:hAnsiTheme="minorEastAsia" w:eastAsiaTheme="minorEastAsia" w:cstheme="minorEastAsia"/>
          <w:b/>
          <w:bCs/>
          <w:sz w:val="24"/>
          <w:szCs w:val="24"/>
        </w:rPr>
        <w:t>2.</w:t>
      </w:r>
      <w:r>
        <w:rPr>
          <w:rFonts w:hint="eastAsia" w:asciiTheme="minorEastAsia" w:hAnsiTheme="minorEastAsia" w:eastAsiaTheme="minorEastAsia" w:cstheme="minorEastAsia"/>
          <w:b/>
          <w:bCs/>
          <w:sz w:val="24"/>
          <w:szCs w:val="24"/>
          <w:lang w:val="en-US" w:eastAsia="zh-CN"/>
        </w:rPr>
        <w:t>2</w:t>
      </w:r>
      <w:r>
        <w:rPr>
          <w:rFonts w:hint="eastAsia" w:asciiTheme="minorEastAsia" w:hAnsiTheme="minorEastAsia" w:eastAsiaTheme="minorEastAsia" w:cstheme="minorEastAsia"/>
          <w:b/>
          <w:bCs/>
          <w:sz w:val="24"/>
          <w:szCs w:val="24"/>
        </w:rPr>
        <w:t xml:space="preserve"> 中小企业、监狱企业及残疾人福利性单位</w:t>
      </w:r>
      <w:bookmarkEnd w:id="100"/>
      <w:bookmarkEnd w:id="101"/>
    </w:p>
    <w:p w14:paraId="482FFFFF">
      <w:pPr>
        <w:pageBreakBefore w:val="0"/>
        <w:widowControl w:val="0"/>
        <w:kinsoku/>
        <w:wordWrap/>
        <w:overflowPunct/>
        <w:topLinePunct w:val="0"/>
        <w:bidi w:val="0"/>
        <w:adjustRightInd w:val="0"/>
        <w:snapToGrid w:val="0"/>
        <w:spacing w:line="360" w:lineRule="auto"/>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.1 中小企业定义：</w:t>
      </w:r>
    </w:p>
    <w:p w14:paraId="4ED920AA">
      <w:pPr>
        <w:pageBreakBefore w:val="0"/>
        <w:widowControl w:val="0"/>
        <w:tabs>
          <w:tab w:val="left" w:pos="1980"/>
          <w:tab w:val="left" w:pos="2035"/>
          <w:tab w:val="left" w:pos="2977"/>
        </w:tabs>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.1.1 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相关规定依据《中华人民共和国中小企业促进法》 《政府采购促进中小企业发展管理办法》（财库〔2020〕46号） 《关于进一步加大政府采购支持中小企业力度的通知》（财库〔2022〕19号）</w:t>
      </w:r>
      <w:r>
        <w:rPr>
          <w:rFonts w:hint="eastAsia" w:asciiTheme="minorEastAsia" w:hAnsiTheme="minorEastAsia" w:eastAsiaTheme="minorEastAsia" w:cstheme="minorEastAsia"/>
          <w:color w:val="FF0000"/>
          <w:sz w:val="24"/>
          <w:szCs w:val="24"/>
        </w:rPr>
        <w:t xml:space="preserve"> </w:t>
      </w:r>
      <w:r>
        <w:rPr>
          <w:rFonts w:hint="eastAsia" w:asciiTheme="minorEastAsia" w:hAnsiTheme="minorEastAsia" w:eastAsiaTheme="minorEastAsia" w:cstheme="minorEastAsia"/>
          <w:sz w:val="24"/>
          <w:szCs w:val="24"/>
        </w:rPr>
        <w:t>《关于印发中小企业划型标准规定的通知》（工信部联企业〔2011〕300 号） 《国务院关于进一步促进中小企业发展的若干意见》（国发〔2009〕36号）。</w:t>
      </w:r>
    </w:p>
    <w:p w14:paraId="017856ED">
      <w:pPr>
        <w:pageBreakBefore w:val="0"/>
        <w:widowControl w:val="0"/>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highlight w:val="none"/>
        </w:rPr>
        <w:t>2.</w:t>
      </w:r>
      <w:r>
        <w:rPr>
          <w:rFonts w:hint="eastAsia" w:asciiTheme="minorEastAsia" w:hAnsiTheme="minorEastAsia" w:eastAsiaTheme="minorEastAsia" w:cstheme="minorEastAsia"/>
          <w:sz w:val="24"/>
          <w:szCs w:val="24"/>
          <w:highlight w:val="none"/>
          <w:lang w:val="en-US" w:eastAsia="zh-CN"/>
        </w:rPr>
        <w:t>2</w:t>
      </w:r>
      <w:r>
        <w:rPr>
          <w:rFonts w:hint="eastAsia" w:asciiTheme="minorEastAsia" w:hAnsiTheme="minorEastAsia" w:eastAsiaTheme="minorEastAsia" w:cstheme="minorEastAsia"/>
          <w:sz w:val="24"/>
          <w:szCs w:val="24"/>
          <w:highlight w:val="none"/>
        </w:rPr>
        <w:t>.</w:t>
      </w:r>
      <w:r>
        <w:rPr>
          <w:rFonts w:hint="eastAsia" w:asciiTheme="minorEastAsia" w:hAnsiTheme="minorEastAsia" w:eastAsiaTheme="minorEastAsia" w:cstheme="minorEastAsia"/>
          <w:sz w:val="24"/>
          <w:szCs w:val="24"/>
          <w:highlight w:val="none"/>
          <w:lang w:val="en-US" w:eastAsia="zh-CN"/>
        </w:rPr>
        <w:t>2</w:t>
      </w:r>
      <w:r>
        <w:rPr>
          <w:rFonts w:hint="eastAsia" w:asciiTheme="minorEastAsia" w:hAnsiTheme="minorEastAsia" w:eastAsiaTheme="minorEastAsia" w:cstheme="minorEastAsia"/>
          <w:sz w:val="24"/>
          <w:szCs w:val="24"/>
          <w:highlight w:val="none"/>
        </w:rPr>
        <w:t xml:space="preserve"> </w:t>
      </w:r>
      <w:r>
        <w:rPr>
          <w:rFonts w:hint="eastAsia" w:asciiTheme="minorEastAsia" w:hAnsiTheme="minorEastAsia" w:eastAsiaTheme="minorEastAsia" w:cstheme="minorEastAsia"/>
          <w:spacing w:val="-1"/>
          <w:sz w:val="24"/>
          <w:szCs w:val="24"/>
          <w:highlight w:val="none"/>
        </w:rPr>
        <w:t>在政府采购活动中，监狱企业视同小型、微型企业，享受预留份额、</w:t>
      </w:r>
      <w:r>
        <w:rPr>
          <w:rFonts w:hint="eastAsia" w:asciiTheme="minorEastAsia" w:hAnsiTheme="minorEastAsia" w:eastAsiaTheme="minorEastAsia" w:cstheme="minorEastAsia"/>
          <w:spacing w:val="-1"/>
          <w:sz w:val="24"/>
          <w:szCs w:val="24"/>
          <w:highlight w:val="none"/>
          <w:lang w:eastAsia="zh-CN"/>
        </w:rPr>
        <w:t>评审</w:t>
      </w:r>
      <w:r>
        <w:rPr>
          <w:rFonts w:hint="eastAsia" w:asciiTheme="minorEastAsia" w:hAnsiTheme="minorEastAsia" w:eastAsiaTheme="minorEastAsia" w:cstheme="minorEastAsia"/>
          <w:spacing w:val="-4"/>
          <w:sz w:val="24"/>
          <w:szCs w:val="24"/>
          <w:highlight w:val="none"/>
        </w:rPr>
        <w:t>价格扣除等政府采购促进中小企业发展的政府采购政策。</w:t>
      </w:r>
      <w:r>
        <w:rPr>
          <w:rFonts w:hint="eastAsia" w:asciiTheme="minorEastAsia" w:hAnsiTheme="minorEastAsia" w:eastAsiaTheme="minorEastAsia" w:cstheme="minorEastAsia"/>
          <w:sz w:val="24"/>
          <w:szCs w:val="24"/>
          <w:highlight w:val="none"/>
        </w:rPr>
        <w:t>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18ECB4CC">
      <w:pPr>
        <w:pageBreakBefore w:val="0"/>
        <w:widowControl w:val="0"/>
        <w:kinsoku/>
        <w:wordWrap/>
        <w:overflowPunct/>
        <w:topLinePunct w:val="0"/>
        <w:bidi w:val="0"/>
        <w:adjustRightInd w:val="0"/>
        <w:snapToGrid w:val="0"/>
        <w:spacing w:before="0" w:after="0" w:line="360" w:lineRule="auto"/>
        <w:textAlignment w:val="auto"/>
        <w:outlineLvl w:val="9"/>
        <w:rPr>
          <w:rFonts w:hint="eastAsia" w:asciiTheme="minorEastAsia" w:hAnsiTheme="minorEastAsia" w:eastAsiaTheme="minorEastAsia" w:cstheme="minorEastAsia"/>
          <w:b/>
          <w:bCs/>
          <w:color w:val="000000"/>
          <w:sz w:val="24"/>
          <w:szCs w:val="24"/>
        </w:rPr>
      </w:pPr>
      <w:bookmarkStart w:id="102" w:name="_Toc5271"/>
      <w:bookmarkStart w:id="103" w:name="_Toc146098534"/>
      <w:r>
        <w:rPr>
          <w:rFonts w:hint="eastAsia" w:asciiTheme="minorEastAsia" w:hAnsiTheme="minorEastAsia" w:eastAsiaTheme="minorEastAsia" w:cstheme="minorEastAsia"/>
          <w:b/>
          <w:bCs/>
          <w:color w:val="000000"/>
          <w:sz w:val="24"/>
          <w:szCs w:val="24"/>
        </w:rPr>
        <w:t>2.</w:t>
      </w:r>
      <w:r>
        <w:rPr>
          <w:rFonts w:hint="eastAsia" w:asciiTheme="minorEastAsia" w:hAnsiTheme="minorEastAsia" w:eastAsiaTheme="minorEastAsia" w:cstheme="minorEastAsia"/>
          <w:b/>
          <w:bCs/>
          <w:color w:val="000000"/>
          <w:sz w:val="24"/>
          <w:szCs w:val="24"/>
          <w:lang w:val="en-US" w:eastAsia="zh-CN"/>
        </w:rPr>
        <w:t>3</w:t>
      </w:r>
      <w:r>
        <w:rPr>
          <w:rFonts w:hint="eastAsia" w:asciiTheme="minorEastAsia" w:hAnsiTheme="minorEastAsia" w:eastAsiaTheme="minorEastAsia" w:cstheme="minorEastAsia"/>
          <w:b/>
          <w:bCs/>
          <w:color w:val="000000"/>
          <w:sz w:val="24"/>
          <w:szCs w:val="24"/>
        </w:rPr>
        <w:t xml:space="preserve"> 政府采购节能产品、环境标志产品</w:t>
      </w:r>
      <w:bookmarkEnd w:id="102"/>
      <w:bookmarkEnd w:id="103"/>
    </w:p>
    <w:p w14:paraId="25F8DEB2">
      <w:pPr>
        <w:pageBreakBefore w:val="0"/>
        <w:widowControl w:val="0"/>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rPr>
        <w:t xml:space="preserve"> 关于政府采购节能产品、环境标志产品的相关规定依据《关于调整优化节能产品、环境标志产品政府采购执行机制的通知》（财库〔2019〕9</w:t>
      </w:r>
      <w:r>
        <w:rPr>
          <w:rFonts w:hint="eastAsia" w:asciiTheme="minorEastAsia" w:hAnsiTheme="minorEastAsia" w:eastAsiaTheme="minorEastAsia" w:cstheme="minorEastAsia"/>
          <w:color w:val="000000"/>
          <w:sz w:val="24"/>
          <w:szCs w:val="24"/>
        </w:rPr>
        <w:t>号）、《关于印发节能产品政府采购品目清单的通知》（财库〔2019〕19号）、《关于印发环境标志产品政府采购品目清单的通知》（财库〔2019〕18号）。</w:t>
      </w:r>
    </w:p>
    <w:p w14:paraId="370174A9">
      <w:pPr>
        <w:pageBreakBefore w:val="0"/>
        <w:widowControl w:val="0"/>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b w:val="0"/>
          <w:bCs w:val="0"/>
          <w:sz w:val="24"/>
          <w:szCs w:val="24"/>
        </w:rPr>
        <w:t>如本项目采购产品属于实施政府强制采购品目清单范围的节能产品，则投标人所报产品必须获得国家确定的认证机构出具的、处于有效期之内的节能产品认</w:t>
      </w:r>
      <w:r>
        <w:rPr>
          <w:rFonts w:hint="eastAsia" w:asciiTheme="minorEastAsia" w:hAnsiTheme="minorEastAsia" w:eastAsiaTheme="minorEastAsia" w:cstheme="minorEastAsia"/>
          <w:b w:val="0"/>
          <w:bCs w:val="0"/>
          <w:color w:val="auto"/>
          <w:sz w:val="24"/>
          <w:szCs w:val="24"/>
        </w:rPr>
        <w:t>证证书，否则投标无效。</w:t>
      </w:r>
    </w:p>
    <w:p w14:paraId="431CBEA0">
      <w:pPr>
        <w:pageBreakBefore w:val="0"/>
        <w:widowControl w:val="0"/>
        <w:kinsoku/>
        <w:wordWrap/>
        <w:overflowPunct/>
        <w:topLinePunct w:val="0"/>
        <w:bidi w:val="0"/>
        <w:adjustRightInd w:val="0"/>
        <w:snapToGrid w:val="0"/>
        <w:spacing w:before="0" w:after="0" w:line="360" w:lineRule="auto"/>
        <w:textAlignment w:val="auto"/>
        <w:outlineLvl w:val="9"/>
        <w:rPr>
          <w:rFonts w:hint="eastAsia" w:asciiTheme="minorEastAsia" w:hAnsiTheme="minorEastAsia" w:eastAsiaTheme="minorEastAsia" w:cstheme="minorEastAsia"/>
          <w:b/>
          <w:bCs/>
          <w:sz w:val="24"/>
          <w:szCs w:val="24"/>
        </w:rPr>
      </w:pPr>
      <w:bookmarkStart w:id="104" w:name="_Toc24361"/>
      <w:bookmarkStart w:id="105" w:name="_Toc10522"/>
      <w:bookmarkStart w:id="106" w:name="_Toc57211945"/>
      <w:r>
        <w:rPr>
          <w:rFonts w:hint="eastAsia" w:asciiTheme="minorEastAsia" w:hAnsiTheme="minorEastAsia" w:eastAsiaTheme="minorEastAsia" w:cstheme="minorEastAsia"/>
          <w:b/>
          <w:bCs/>
          <w:sz w:val="24"/>
          <w:szCs w:val="24"/>
          <w:lang w:eastAsia="zh-CN"/>
        </w:rPr>
        <w:t>3.</w:t>
      </w:r>
      <w:r>
        <w:rPr>
          <w:rFonts w:hint="eastAsia" w:asciiTheme="minorEastAsia" w:hAnsiTheme="minorEastAsia" w:eastAsiaTheme="minorEastAsia" w:cstheme="minorEastAsia"/>
          <w:b/>
          <w:bCs/>
          <w:sz w:val="24"/>
          <w:szCs w:val="24"/>
        </w:rPr>
        <w:t>招标文件</w:t>
      </w:r>
      <w:bookmarkEnd w:id="104"/>
      <w:bookmarkEnd w:id="105"/>
      <w:bookmarkEnd w:id="106"/>
    </w:p>
    <w:p w14:paraId="4690C333">
      <w:pPr>
        <w:pageBreakBefore w:val="0"/>
        <w:widowControl w:val="0"/>
        <w:kinsoku/>
        <w:wordWrap/>
        <w:overflowPunct/>
        <w:topLinePunct w:val="0"/>
        <w:bidi w:val="0"/>
        <w:adjustRightInd w:val="0"/>
        <w:snapToGrid w:val="0"/>
        <w:spacing w:before="0" w:after="0" w:line="360" w:lineRule="auto"/>
        <w:textAlignment w:val="auto"/>
        <w:outlineLvl w:val="9"/>
        <w:rPr>
          <w:rFonts w:hint="eastAsia" w:asciiTheme="minorEastAsia" w:hAnsiTheme="minorEastAsia" w:eastAsiaTheme="minorEastAsia" w:cstheme="minorEastAsia"/>
          <w:b/>
          <w:bCs/>
          <w:sz w:val="24"/>
          <w:szCs w:val="24"/>
        </w:rPr>
      </w:pPr>
      <w:bookmarkStart w:id="107" w:name="_Toc4825"/>
      <w:bookmarkStart w:id="108" w:name="_Toc57211946"/>
      <w:r>
        <w:rPr>
          <w:rFonts w:hint="eastAsia" w:asciiTheme="minorEastAsia" w:hAnsiTheme="minorEastAsia" w:eastAsiaTheme="minorEastAsia" w:cstheme="minorEastAsia"/>
          <w:b/>
          <w:bCs/>
          <w:sz w:val="24"/>
          <w:szCs w:val="24"/>
        </w:rPr>
        <w:t>3.1 招标文件构成</w:t>
      </w:r>
      <w:bookmarkEnd w:id="107"/>
      <w:bookmarkEnd w:id="108"/>
    </w:p>
    <w:p w14:paraId="4801B185">
      <w:pPr>
        <w:pageBreakBefore w:val="0"/>
        <w:widowControl w:val="0"/>
        <w:kinsoku/>
        <w:wordWrap/>
        <w:overflowPunct/>
        <w:topLinePunct w:val="0"/>
        <w:bidi w:val="0"/>
        <w:adjustRightInd w:val="0"/>
        <w:snapToGrid w:val="0"/>
        <w:spacing w:line="360" w:lineRule="auto"/>
        <w:textAlignment w:val="auto"/>
        <w:outlineLvl w:val="9"/>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3.1.1 招标文件共</w:t>
      </w:r>
      <w:r>
        <w:rPr>
          <w:rFonts w:hint="eastAsia" w:asciiTheme="minorEastAsia" w:hAnsiTheme="minorEastAsia" w:eastAsiaTheme="minorEastAsia" w:cstheme="minorEastAsia"/>
          <w:color w:val="000000"/>
          <w:sz w:val="24"/>
          <w:szCs w:val="24"/>
          <w:lang w:eastAsia="zh-CN"/>
        </w:rPr>
        <w:t>六</w:t>
      </w:r>
      <w:r>
        <w:rPr>
          <w:rFonts w:hint="eastAsia" w:asciiTheme="minorEastAsia" w:hAnsiTheme="minorEastAsia" w:eastAsiaTheme="minorEastAsia" w:cstheme="minorEastAsia"/>
          <w:color w:val="000000"/>
          <w:sz w:val="24"/>
          <w:szCs w:val="24"/>
        </w:rPr>
        <w:t>章，构成如下：</w:t>
      </w:r>
    </w:p>
    <w:p w14:paraId="1478587D">
      <w:pPr>
        <w:pageBreakBefore w:val="0"/>
        <w:widowControl w:val="0"/>
        <w:kinsoku/>
        <w:wordWrap/>
        <w:overflowPunct/>
        <w:topLinePunct w:val="0"/>
        <w:bidi w:val="0"/>
        <w:adjustRightInd w:val="0"/>
        <w:snapToGrid w:val="0"/>
        <w:spacing w:line="360" w:lineRule="auto"/>
        <w:ind w:firstLine="720" w:firstLineChars="300"/>
        <w:textAlignment w:val="auto"/>
        <w:outlineLvl w:val="9"/>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第一章  招标公告</w:t>
      </w:r>
    </w:p>
    <w:p w14:paraId="6B4C6754">
      <w:pPr>
        <w:pageBreakBefore w:val="0"/>
        <w:widowControl w:val="0"/>
        <w:kinsoku/>
        <w:wordWrap/>
        <w:overflowPunct/>
        <w:topLinePunct w:val="0"/>
        <w:bidi w:val="0"/>
        <w:adjustRightInd w:val="0"/>
        <w:snapToGrid w:val="0"/>
        <w:spacing w:line="360" w:lineRule="auto"/>
        <w:ind w:firstLine="720" w:firstLineChars="300"/>
        <w:textAlignment w:val="auto"/>
        <w:outlineLvl w:val="9"/>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第二章  投标人须知</w:t>
      </w:r>
    </w:p>
    <w:p w14:paraId="1BA8ACC2">
      <w:pPr>
        <w:pageBreakBefore w:val="0"/>
        <w:widowControl w:val="0"/>
        <w:kinsoku/>
        <w:wordWrap/>
        <w:overflowPunct/>
        <w:topLinePunct w:val="0"/>
        <w:bidi w:val="0"/>
        <w:adjustRightInd w:val="0"/>
        <w:snapToGrid w:val="0"/>
        <w:spacing w:line="360" w:lineRule="auto"/>
        <w:ind w:firstLine="720" w:firstLineChars="300"/>
        <w:textAlignment w:val="auto"/>
        <w:outlineLvl w:val="9"/>
        <w:rPr>
          <w:rFonts w:hint="eastAsia" w:asciiTheme="minorEastAsia" w:hAnsiTheme="minorEastAsia" w:eastAsiaTheme="minorEastAsia" w:cstheme="minorEastAsia"/>
          <w:color w:val="000000"/>
          <w:sz w:val="24"/>
          <w:szCs w:val="24"/>
          <w:highlight w:val="none"/>
          <w:lang w:eastAsia="zh-CN"/>
        </w:rPr>
      </w:pPr>
      <w:r>
        <w:rPr>
          <w:rFonts w:hint="eastAsia" w:asciiTheme="minorEastAsia" w:hAnsiTheme="minorEastAsia" w:eastAsiaTheme="minorEastAsia" w:cstheme="minorEastAsia"/>
          <w:color w:val="000000"/>
          <w:sz w:val="24"/>
          <w:szCs w:val="24"/>
          <w:highlight w:val="none"/>
        </w:rPr>
        <w:t>第</w:t>
      </w:r>
      <w:r>
        <w:rPr>
          <w:rFonts w:hint="eastAsia" w:asciiTheme="minorEastAsia" w:hAnsiTheme="minorEastAsia" w:eastAsiaTheme="minorEastAsia" w:cstheme="minorEastAsia"/>
          <w:color w:val="000000"/>
          <w:sz w:val="24"/>
          <w:szCs w:val="24"/>
          <w:highlight w:val="none"/>
          <w:lang w:eastAsia="zh-CN"/>
        </w:rPr>
        <w:t>三</w:t>
      </w:r>
      <w:r>
        <w:rPr>
          <w:rFonts w:hint="eastAsia" w:asciiTheme="minorEastAsia" w:hAnsiTheme="minorEastAsia" w:eastAsiaTheme="minorEastAsia" w:cstheme="minorEastAsia"/>
          <w:color w:val="000000"/>
          <w:sz w:val="24"/>
          <w:szCs w:val="24"/>
          <w:highlight w:val="none"/>
        </w:rPr>
        <w:t xml:space="preserve">章  </w:t>
      </w:r>
      <w:r>
        <w:rPr>
          <w:rFonts w:hint="eastAsia" w:asciiTheme="minorEastAsia" w:hAnsiTheme="minorEastAsia" w:eastAsiaTheme="minorEastAsia" w:cstheme="minorEastAsia"/>
          <w:color w:val="000000"/>
          <w:sz w:val="24"/>
          <w:szCs w:val="24"/>
          <w:highlight w:val="none"/>
          <w:lang w:eastAsia="zh-CN"/>
        </w:rPr>
        <w:t>评审办法</w:t>
      </w:r>
    </w:p>
    <w:p w14:paraId="1AD4DE46">
      <w:pPr>
        <w:pageBreakBefore w:val="0"/>
        <w:widowControl w:val="0"/>
        <w:kinsoku/>
        <w:wordWrap/>
        <w:overflowPunct/>
        <w:topLinePunct w:val="0"/>
        <w:bidi w:val="0"/>
        <w:adjustRightInd w:val="0"/>
        <w:snapToGrid w:val="0"/>
        <w:spacing w:line="360" w:lineRule="auto"/>
        <w:ind w:firstLine="720" w:firstLineChars="300"/>
        <w:textAlignment w:val="auto"/>
        <w:outlineLvl w:val="9"/>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第</w:t>
      </w:r>
      <w:r>
        <w:rPr>
          <w:rFonts w:hint="eastAsia" w:asciiTheme="minorEastAsia" w:hAnsiTheme="minorEastAsia" w:eastAsiaTheme="minorEastAsia" w:cstheme="minorEastAsia"/>
          <w:color w:val="000000"/>
          <w:sz w:val="24"/>
          <w:szCs w:val="24"/>
          <w:highlight w:val="none"/>
          <w:lang w:eastAsia="zh-CN"/>
        </w:rPr>
        <w:t>四</w:t>
      </w:r>
      <w:r>
        <w:rPr>
          <w:rFonts w:hint="eastAsia" w:asciiTheme="minorEastAsia" w:hAnsiTheme="minorEastAsia" w:eastAsiaTheme="minorEastAsia" w:cstheme="minorEastAsia"/>
          <w:color w:val="000000"/>
          <w:sz w:val="24"/>
          <w:szCs w:val="24"/>
          <w:highlight w:val="none"/>
        </w:rPr>
        <w:t>章  政府采购合同</w:t>
      </w:r>
    </w:p>
    <w:p w14:paraId="66A67D3A">
      <w:pPr>
        <w:pageBreakBefore w:val="0"/>
        <w:widowControl w:val="0"/>
        <w:kinsoku/>
        <w:wordWrap/>
        <w:overflowPunct/>
        <w:topLinePunct w:val="0"/>
        <w:bidi w:val="0"/>
        <w:adjustRightInd w:val="0"/>
        <w:snapToGrid w:val="0"/>
        <w:spacing w:line="360" w:lineRule="auto"/>
        <w:ind w:firstLine="720" w:firstLineChars="300"/>
        <w:textAlignment w:val="auto"/>
        <w:outlineLvl w:val="9"/>
        <w:rPr>
          <w:rFonts w:hint="eastAsia" w:asciiTheme="minorEastAsia" w:hAnsiTheme="minorEastAsia" w:eastAsiaTheme="minorEastAsia" w:cstheme="minorEastAsia"/>
          <w:color w:val="000000"/>
          <w:sz w:val="24"/>
          <w:szCs w:val="24"/>
          <w:highlight w:val="none"/>
          <w:lang w:eastAsia="zh-CN"/>
        </w:rPr>
      </w:pPr>
      <w:r>
        <w:rPr>
          <w:rFonts w:hint="eastAsia" w:asciiTheme="minorEastAsia" w:hAnsiTheme="minorEastAsia" w:eastAsiaTheme="minorEastAsia" w:cstheme="minorEastAsia"/>
          <w:color w:val="000000"/>
          <w:sz w:val="24"/>
          <w:szCs w:val="24"/>
          <w:highlight w:val="none"/>
        </w:rPr>
        <w:t xml:space="preserve">第五章  </w:t>
      </w:r>
      <w:r>
        <w:rPr>
          <w:rFonts w:hint="eastAsia" w:asciiTheme="minorEastAsia" w:hAnsiTheme="minorEastAsia" w:eastAsiaTheme="minorEastAsia" w:cstheme="minorEastAsia"/>
          <w:color w:val="000000"/>
          <w:sz w:val="24"/>
          <w:szCs w:val="24"/>
          <w:highlight w:val="none"/>
          <w:lang w:eastAsia="zh-CN"/>
        </w:rPr>
        <w:t>采购需求</w:t>
      </w:r>
    </w:p>
    <w:p w14:paraId="0A1345AB">
      <w:pPr>
        <w:pageBreakBefore w:val="0"/>
        <w:widowControl w:val="0"/>
        <w:kinsoku/>
        <w:wordWrap/>
        <w:overflowPunct/>
        <w:topLinePunct w:val="0"/>
        <w:bidi w:val="0"/>
        <w:adjustRightInd w:val="0"/>
        <w:snapToGrid w:val="0"/>
        <w:spacing w:line="360" w:lineRule="auto"/>
        <w:ind w:firstLine="720" w:firstLineChars="300"/>
        <w:textAlignment w:val="auto"/>
        <w:outlineLvl w:val="9"/>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第</w:t>
      </w:r>
      <w:r>
        <w:rPr>
          <w:rFonts w:hint="eastAsia" w:asciiTheme="minorEastAsia" w:hAnsiTheme="minorEastAsia" w:eastAsiaTheme="minorEastAsia" w:cstheme="minorEastAsia"/>
          <w:color w:val="000000"/>
          <w:sz w:val="24"/>
          <w:szCs w:val="24"/>
          <w:highlight w:val="none"/>
          <w:lang w:eastAsia="zh-CN"/>
        </w:rPr>
        <w:t>六</w:t>
      </w:r>
      <w:r>
        <w:rPr>
          <w:rFonts w:hint="eastAsia" w:asciiTheme="minorEastAsia" w:hAnsiTheme="minorEastAsia" w:eastAsiaTheme="minorEastAsia" w:cstheme="minorEastAsia"/>
          <w:color w:val="000000"/>
          <w:sz w:val="24"/>
          <w:szCs w:val="24"/>
          <w:highlight w:val="none"/>
        </w:rPr>
        <w:t>章  投标文件格式</w:t>
      </w:r>
    </w:p>
    <w:p w14:paraId="4D4AD210">
      <w:pPr>
        <w:pageBreakBefore w:val="0"/>
        <w:widowControl w:val="0"/>
        <w:kinsoku/>
        <w:wordWrap/>
        <w:overflowPunct/>
        <w:topLinePunct w:val="0"/>
        <w:bidi w:val="0"/>
        <w:adjustRightInd w:val="0"/>
        <w:snapToGrid w:val="0"/>
        <w:spacing w:line="360" w:lineRule="auto"/>
        <w:ind w:left="722" w:leftChars="1" w:hanging="720" w:hangingChars="300"/>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color w:val="auto"/>
          <w:sz w:val="24"/>
          <w:szCs w:val="24"/>
        </w:rPr>
        <w:t>3.1.2 招标文件中有不一致</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或矛盾</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的，</w:t>
      </w:r>
      <w:r>
        <w:rPr>
          <w:rFonts w:hint="eastAsia" w:asciiTheme="minorEastAsia" w:hAnsiTheme="minorEastAsia" w:eastAsiaTheme="minorEastAsia" w:cstheme="minorEastAsia"/>
          <w:b w:val="0"/>
          <w:bCs w:val="0"/>
          <w:color w:val="auto"/>
          <w:sz w:val="24"/>
          <w:szCs w:val="24"/>
        </w:rPr>
        <w:t>有变更的部分以最终的变更内容为准；未变更的，按照招标公告、</w:t>
      </w:r>
      <w:r>
        <w:rPr>
          <w:rFonts w:hint="eastAsia" w:asciiTheme="minorEastAsia" w:hAnsiTheme="minorEastAsia" w:eastAsiaTheme="minorEastAsia" w:cstheme="minorEastAsia"/>
          <w:b w:val="0"/>
          <w:bCs w:val="0"/>
          <w:color w:val="auto"/>
          <w:sz w:val="24"/>
          <w:szCs w:val="24"/>
          <w:lang w:eastAsia="zh-CN"/>
        </w:rPr>
        <w:t>评审办法</w:t>
      </w:r>
      <w:r>
        <w:rPr>
          <w:rFonts w:hint="eastAsia" w:asciiTheme="minorEastAsia" w:hAnsiTheme="minorEastAsia" w:eastAsiaTheme="minorEastAsia" w:cstheme="minorEastAsia"/>
          <w:b w:val="0"/>
          <w:bCs w:val="0"/>
          <w:color w:val="auto"/>
          <w:sz w:val="24"/>
          <w:szCs w:val="24"/>
        </w:rPr>
        <w:t>、采购需求、投标人须知、政府采购合同、投标文件格式的顺序进行解释，排名在前的具有优先解释权</w:t>
      </w:r>
      <w:r>
        <w:rPr>
          <w:rFonts w:hint="eastAsia" w:asciiTheme="minorEastAsia" w:hAnsiTheme="minorEastAsia" w:eastAsiaTheme="minorEastAsia" w:cstheme="minorEastAsia"/>
          <w:b w:val="0"/>
          <w:bCs w:val="0"/>
          <w:color w:val="auto"/>
          <w:sz w:val="24"/>
          <w:szCs w:val="24"/>
          <w:lang w:eastAsia="zh-CN"/>
        </w:rPr>
        <w:t>，</w:t>
      </w:r>
      <w:r>
        <w:rPr>
          <w:rFonts w:hint="eastAsia" w:asciiTheme="minorEastAsia" w:hAnsiTheme="minorEastAsia" w:eastAsiaTheme="minorEastAsia" w:cstheme="minorEastAsia"/>
          <w:b w:val="0"/>
          <w:bCs w:val="0"/>
          <w:color w:val="auto"/>
          <w:sz w:val="24"/>
          <w:szCs w:val="24"/>
          <w:highlight w:val="none"/>
          <w:lang w:eastAsia="zh-CN"/>
        </w:rPr>
        <w:t>同一章节</w:t>
      </w:r>
      <w:r>
        <w:rPr>
          <w:rFonts w:hint="eastAsia" w:asciiTheme="minorEastAsia" w:hAnsiTheme="minorEastAsia" w:eastAsiaTheme="minorEastAsia" w:cstheme="minorEastAsia"/>
          <w:b w:val="0"/>
          <w:bCs w:val="0"/>
          <w:color w:val="auto"/>
          <w:sz w:val="24"/>
          <w:szCs w:val="24"/>
          <w:highlight w:val="none"/>
        </w:rPr>
        <w:t>的内容有不一致</w:t>
      </w:r>
      <w:r>
        <w:rPr>
          <w:rFonts w:hint="eastAsia" w:asciiTheme="minorEastAsia" w:hAnsiTheme="minorEastAsia" w:eastAsiaTheme="minorEastAsia" w:cstheme="minorEastAsia"/>
          <w:b w:val="0"/>
          <w:bCs w:val="0"/>
          <w:color w:val="auto"/>
          <w:sz w:val="24"/>
          <w:szCs w:val="24"/>
          <w:highlight w:val="none"/>
          <w:lang w:eastAsia="zh-CN"/>
        </w:rPr>
        <w:t>（</w:t>
      </w:r>
      <w:r>
        <w:rPr>
          <w:rFonts w:hint="eastAsia" w:asciiTheme="minorEastAsia" w:hAnsiTheme="minorEastAsia" w:eastAsiaTheme="minorEastAsia" w:cstheme="minorEastAsia"/>
          <w:b w:val="0"/>
          <w:bCs w:val="0"/>
          <w:color w:val="auto"/>
          <w:sz w:val="24"/>
          <w:szCs w:val="24"/>
          <w:highlight w:val="none"/>
        </w:rPr>
        <w:t>或矛盾</w:t>
      </w:r>
      <w:r>
        <w:rPr>
          <w:rFonts w:hint="eastAsia" w:asciiTheme="minorEastAsia" w:hAnsiTheme="minorEastAsia" w:eastAsiaTheme="minorEastAsia" w:cstheme="minorEastAsia"/>
          <w:b w:val="0"/>
          <w:bCs w:val="0"/>
          <w:color w:val="auto"/>
          <w:sz w:val="24"/>
          <w:szCs w:val="24"/>
          <w:highlight w:val="none"/>
          <w:lang w:eastAsia="zh-CN"/>
        </w:rPr>
        <w:t>）</w:t>
      </w:r>
      <w:r>
        <w:rPr>
          <w:rFonts w:hint="eastAsia" w:asciiTheme="minorEastAsia" w:hAnsiTheme="minorEastAsia" w:eastAsiaTheme="minorEastAsia" w:cstheme="minorEastAsia"/>
          <w:b w:val="0"/>
          <w:bCs w:val="0"/>
          <w:color w:val="auto"/>
          <w:sz w:val="24"/>
          <w:szCs w:val="24"/>
          <w:highlight w:val="none"/>
        </w:rPr>
        <w:t>的以</w:t>
      </w:r>
      <w:r>
        <w:rPr>
          <w:rFonts w:hint="eastAsia" w:asciiTheme="minorEastAsia" w:hAnsiTheme="minorEastAsia" w:eastAsiaTheme="minorEastAsia" w:cstheme="minorEastAsia"/>
          <w:b w:val="0"/>
          <w:bCs w:val="0"/>
          <w:color w:val="auto"/>
          <w:sz w:val="24"/>
          <w:szCs w:val="24"/>
          <w:highlight w:val="none"/>
          <w:u w:val="none"/>
          <w:lang w:eastAsia="zh-CN"/>
        </w:rPr>
        <w:t>排序在前的</w:t>
      </w:r>
      <w:r>
        <w:rPr>
          <w:rFonts w:hint="eastAsia" w:asciiTheme="minorEastAsia" w:hAnsiTheme="minorEastAsia" w:eastAsiaTheme="minorEastAsia" w:cstheme="minorEastAsia"/>
          <w:b w:val="0"/>
          <w:bCs w:val="0"/>
          <w:color w:val="auto"/>
          <w:sz w:val="24"/>
          <w:szCs w:val="24"/>
          <w:highlight w:val="none"/>
        </w:rPr>
        <w:t>为准</w:t>
      </w:r>
      <w:r>
        <w:rPr>
          <w:rFonts w:hint="eastAsia" w:asciiTheme="minorEastAsia" w:hAnsiTheme="minorEastAsia" w:eastAsiaTheme="minorEastAsia" w:cstheme="minorEastAsia"/>
          <w:b w:val="0"/>
          <w:bCs w:val="0"/>
          <w:color w:val="auto"/>
          <w:sz w:val="24"/>
          <w:szCs w:val="24"/>
          <w:highlight w:val="none"/>
          <w:lang w:eastAsia="zh-CN"/>
        </w:rPr>
        <w:t>，如果前附表有特殊规定的，以</w:t>
      </w:r>
      <w:r>
        <w:rPr>
          <w:rFonts w:hint="eastAsia" w:asciiTheme="minorEastAsia" w:hAnsiTheme="minorEastAsia" w:eastAsiaTheme="minorEastAsia" w:cstheme="minorEastAsia"/>
          <w:b w:val="0"/>
          <w:bCs w:val="0"/>
          <w:color w:val="auto"/>
          <w:sz w:val="24"/>
          <w:szCs w:val="24"/>
          <w:highlight w:val="none"/>
        </w:rPr>
        <w:t>投标人须知前附表</w:t>
      </w:r>
      <w:r>
        <w:rPr>
          <w:rFonts w:hint="eastAsia" w:asciiTheme="minorEastAsia" w:hAnsiTheme="minorEastAsia" w:eastAsiaTheme="minorEastAsia" w:cstheme="minorEastAsia"/>
          <w:b w:val="0"/>
          <w:bCs w:val="0"/>
          <w:color w:val="auto"/>
          <w:sz w:val="24"/>
          <w:szCs w:val="24"/>
          <w:highlight w:val="none"/>
          <w:lang w:eastAsia="zh-CN"/>
        </w:rPr>
        <w:t>为准</w:t>
      </w:r>
      <w:r>
        <w:rPr>
          <w:rFonts w:hint="eastAsia" w:asciiTheme="minorEastAsia" w:hAnsiTheme="minorEastAsia" w:eastAsiaTheme="minorEastAsia" w:cstheme="minorEastAsia"/>
          <w:b w:val="0"/>
          <w:bCs w:val="0"/>
          <w:color w:val="auto"/>
          <w:sz w:val="24"/>
          <w:szCs w:val="24"/>
          <w:highlight w:val="none"/>
        </w:rPr>
        <w:t>。</w:t>
      </w:r>
    </w:p>
    <w:p w14:paraId="2AC475DD">
      <w:pPr>
        <w:pageBreakBefore w:val="0"/>
        <w:widowControl w:val="0"/>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t>3.1.3 投标人应认真阅读招标文件的全部内容。投标人应按照招标文件要求提交投标文件并保证所提供的全部资料的真实性，并对招标文件做出实质性响应，否则投标无效。</w:t>
      </w:r>
    </w:p>
    <w:p w14:paraId="3CDEBE14">
      <w:pPr>
        <w:pageBreakBefore w:val="0"/>
        <w:widowControl w:val="0"/>
        <w:kinsoku/>
        <w:wordWrap/>
        <w:overflowPunct/>
        <w:topLinePunct w:val="0"/>
        <w:bidi w:val="0"/>
        <w:adjustRightInd w:val="0"/>
        <w:snapToGrid w:val="0"/>
        <w:spacing w:before="0" w:after="0" w:line="360" w:lineRule="auto"/>
        <w:textAlignment w:val="auto"/>
        <w:outlineLvl w:val="9"/>
        <w:rPr>
          <w:rFonts w:hint="eastAsia" w:asciiTheme="minorEastAsia" w:hAnsiTheme="minorEastAsia" w:eastAsiaTheme="minorEastAsia" w:cstheme="minorEastAsia"/>
          <w:b/>
          <w:bCs/>
          <w:color w:val="auto"/>
          <w:sz w:val="24"/>
          <w:szCs w:val="24"/>
        </w:rPr>
      </w:pPr>
      <w:bookmarkStart w:id="109" w:name="_Toc57211947"/>
      <w:bookmarkStart w:id="110" w:name="_Toc11399"/>
      <w:r>
        <w:rPr>
          <w:rFonts w:hint="eastAsia" w:asciiTheme="minorEastAsia" w:hAnsiTheme="minorEastAsia" w:eastAsiaTheme="minorEastAsia" w:cstheme="minorEastAsia"/>
          <w:b/>
          <w:bCs/>
          <w:color w:val="auto"/>
          <w:sz w:val="24"/>
          <w:szCs w:val="24"/>
        </w:rPr>
        <w:t>3.2 招标文件的澄清与修改</w:t>
      </w:r>
      <w:bookmarkEnd w:id="109"/>
      <w:bookmarkEnd w:id="110"/>
    </w:p>
    <w:p w14:paraId="54A71FF9">
      <w:pPr>
        <w:pageBreakBefore w:val="0"/>
        <w:widowControl w:val="0"/>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color w:val="auto"/>
          <w:sz w:val="24"/>
          <w:szCs w:val="24"/>
        </w:rPr>
        <w:t>3.2.1 投标人应仔细阅读和检查招标文件的全部内容，如发现缺页或附件不全，应及时向采购代理机构提出，以便补齐。如有</w:t>
      </w:r>
      <w:r>
        <w:rPr>
          <w:rFonts w:hint="eastAsia" w:asciiTheme="minorEastAsia" w:hAnsiTheme="minorEastAsia" w:eastAsiaTheme="minorEastAsia" w:cstheme="minorEastAsia"/>
          <w:color w:val="auto"/>
          <w:sz w:val="24"/>
          <w:szCs w:val="24"/>
          <w:lang w:eastAsia="zh-CN"/>
        </w:rPr>
        <w:t>质疑</w:t>
      </w:r>
      <w:r>
        <w:rPr>
          <w:rFonts w:hint="eastAsia" w:asciiTheme="minorEastAsia" w:hAnsiTheme="minorEastAsia" w:eastAsiaTheme="minorEastAsia" w:cstheme="minorEastAsia"/>
          <w:color w:val="auto"/>
          <w:sz w:val="24"/>
          <w:szCs w:val="24"/>
        </w:rPr>
        <w:t>，应在</w:t>
      </w:r>
      <w:r>
        <w:rPr>
          <w:rFonts w:hint="eastAsia" w:asciiTheme="minorEastAsia" w:hAnsiTheme="minorEastAsia" w:eastAsiaTheme="minorEastAsia" w:cstheme="minorEastAsia"/>
          <w:b w:val="0"/>
          <w:bCs/>
          <w:color w:val="auto"/>
          <w:sz w:val="24"/>
          <w:szCs w:val="24"/>
          <w:u w:val="single"/>
        </w:rPr>
        <w:t>投标人须知前附表</w:t>
      </w:r>
      <w:r>
        <w:rPr>
          <w:rFonts w:hint="eastAsia" w:asciiTheme="minorEastAsia" w:hAnsiTheme="minorEastAsia" w:eastAsiaTheme="minorEastAsia" w:cstheme="minorEastAsia"/>
          <w:b w:val="0"/>
          <w:bCs/>
          <w:color w:val="auto"/>
          <w:sz w:val="24"/>
          <w:szCs w:val="24"/>
        </w:rPr>
        <w:t>规定的时间前在电子交易平台上进行提</w:t>
      </w:r>
      <w:r>
        <w:rPr>
          <w:rFonts w:hint="eastAsia" w:asciiTheme="minorEastAsia" w:hAnsiTheme="minorEastAsia" w:eastAsiaTheme="minorEastAsia" w:cstheme="minorEastAsia"/>
          <w:b w:val="0"/>
          <w:bCs/>
          <w:color w:val="auto"/>
          <w:sz w:val="24"/>
          <w:szCs w:val="24"/>
          <w:lang w:eastAsia="zh-CN"/>
        </w:rPr>
        <w:t>出</w:t>
      </w:r>
      <w:r>
        <w:rPr>
          <w:rFonts w:hint="eastAsia" w:asciiTheme="minorEastAsia" w:hAnsiTheme="minorEastAsia" w:eastAsiaTheme="minorEastAsia" w:cstheme="minorEastAsia"/>
          <w:b w:val="0"/>
          <w:bCs/>
          <w:color w:val="auto"/>
          <w:sz w:val="24"/>
          <w:szCs w:val="24"/>
        </w:rPr>
        <w:t>，要求采购代理机构对招标文件予以澄清。</w:t>
      </w:r>
    </w:p>
    <w:p w14:paraId="422DB725">
      <w:pPr>
        <w:pageBreakBefore w:val="0"/>
        <w:widowControl w:val="0"/>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color w:val="auto"/>
          <w:sz w:val="24"/>
          <w:szCs w:val="24"/>
        </w:rPr>
        <w:t>3.2.2 采购代理机构可主动地或在解答投标人提出的澄清问题时对招标文件进行变更或修改。采购代理机构将以发布变更公告的方式，变更或修改招标文件，变更或修改的内容作为招标文件的组成部分。变更或</w:t>
      </w:r>
      <w:r>
        <w:rPr>
          <w:rFonts w:hint="eastAsia" w:asciiTheme="minorEastAsia" w:hAnsiTheme="minorEastAsia" w:eastAsiaTheme="minorEastAsia" w:cstheme="minorEastAsia"/>
          <w:b w:val="0"/>
          <w:bCs/>
          <w:sz w:val="24"/>
          <w:szCs w:val="24"/>
        </w:rPr>
        <w:t>修改的内容可能影响投标文件编制的，采购代理机构将在投标截止时间15日前，在原公告发布媒体上发布变更（更正）公告（或澄清公告），不足15日的，采购代理机构将顺延提交投标文件的截止时间。</w:t>
      </w:r>
    </w:p>
    <w:p w14:paraId="5E5CA9A7">
      <w:pPr>
        <w:pageBreakBefore w:val="0"/>
        <w:widowControl w:val="0"/>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bCs/>
          <w:sz w:val="24"/>
          <w:szCs w:val="24"/>
        </w:rPr>
        <w:t>3.2.3 招标文件的变更或修改将在</w:t>
      </w:r>
      <w:r>
        <w:rPr>
          <w:rFonts w:hint="eastAsia" w:asciiTheme="minorEastAsia" w:hAnsiTheme="minorEastAsia" w:eastAsiaTheme="minorEastAsia" w:cstheme="minorEastAsia"/>
          <w:b w:val="0"/>
          <w:bCs/>
          <w:sz w:val="24"/>
          <w:szCs w:val="24"/>
          <w:u w:val="single"/>
        </w:rPr>
        <w:t>投标人须知前附表</w:t>
      </w:r>
      <w:r>
        <w:rPr>
          <w:rFonts w:hint="eastAsia" w:asciiTheme="minorEastAsia" w:hAnsiTheme="minorEastAsia" w:eastAsiaTheme="minorEastAsia" w:cstheme="minorEastAsia"/>
          <w:b w:val="0"/>
          <w:bCs/>
          <w:sz w:val="24"/>
          <w:szCs w:val="24"/>
        </w:rPr>
        <w:t>规定的时</w:t>
      </w:r>
      <w:r>
        <w:rPr>
          <w:rFonts w:hint="eastAsia" w:asciiTheme="minorEastAsia" w:hAnsiTheme="minorEastAsia" w:eastAsiaTheme="minorEastAsia" w:cstheme="minorEastAsia"/>
          <w:sz w:val="24"/>
          <w:szCs w:val="24"/>
        </w:rPr>
        <w:t>间在交易平台上公布给投标人，但不指明变更问题的来源。</w:t>
      </w:r>
    </w:p>
    <w:p w14:paraId="35F30545">
      <w:pPr>
        <w:pageBreakBefore w:val="0"/>
        <w:widowControl w:val="0"/>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sz w:val="24"/>
          <w:szCs w:val="24"/>
        </w:rPr>
        <w:t>3.2.4 采购代理机构对已发出的招标文件进行的变更或修改，变更或修改的内容将作为招标文件的组成部分，对所有招标文件的收受人具有约束力。采购代理机构</w:t>
      </w:r>
      <w:r>
        <w:rPr>
          <w:rFonts w:hint="eastAsia" w:asciiTheme="minorEastAsia" w:hAnsiTheme="minorEastAsia" w:eastAsiaTheme="minorEastAsia" w:cstheme="minorEastAsia"/>
          <w:color w:val="auto"/>
          <w:sz w:val="24"/>
          <w:szCs w:val="24"/>
        </w:rPr>
        <w:t>将通过《河南省政府采购网》（https://zfcg.henan.gov.cn/）、《全国公共资源交易平台（河南省·信阳市）》（https://ggzyjy.xinyang.gov.cn/）网站“变更（澄清或更正）公告”和系统内部“答疑文件”告知投标人，各投标人应重新下载最新的变更（答疑、澄清或更正）文件，据此编制投标文件。</w:t>
      </w:r>
    </w:p>
    <w:p w14:paraId="1129A36E">
      <w:pPr>
        <w:pageBreakBefore w:val="0"/>
        <w:widowControl w:val="0"/>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b/>
          <w:bCs/>
          <w:color w:val="auto"/>
          <w:sz w:val="24"/>
          <w:szCs w:val="24"/>
        </w:rPr>
      </w:pPr>
      <w:bookmarkStart w:id="111" w:name="_Hlk86850663"/>
      <w:r>
        <w:rPr>
          <w:rFonts w:hint="eastAsia" w:asciiTheme="minorEastAsia" w:hAnsiTheme="minorEastAsia" w:eastAsiaTheme="minorEastAsia" w:cstheme="minorEastAsia"/>
          <w:color w:val="auto"/>
          <w:sz w:val="24"/>
          <w:szCs w:val="24"/>
        </w:rPr>
        <w:t>3.2.5</w:t>
      </w:r>
      <w:r>
        <w:rPr>
          <w:rFonts w:hint="eastAsia" w:asciiTheme="minorEastAsia" w:hAnsiTheme="minorEastAsia" w:eastAsiaTheme="minorEastAsia" w:cstheme="minorEastAsia"/>
          <w:b w:val="0"/>
          <w:bCs w:val="0"/>
          <w:color w:val="auto"/>
          <w:sz w:val="24"/>
          <w:szCs w:val="24"/>
        </w:rPr>
        <w:t>公共资源交易中心电子交易平台上投标人信息在投标截止时间前具有保密性，投标人在投标截止时间前应当自行查看项目进展、变更（答疑、澄清或更正）通知及回复，因投标人未及时查看（或未按要求编制投标文件）而造成的后果由投标人自行承担。</w:t>
      </w:r>
    </w:p>
    <w:bookmarkEnd w:id="111"/>
    <w:p w14:paraId="5EA24A88">
      <w:pPr>
        <w:pageBreakBefore w:val="0"/>
        <w:widowControl w:val="0"/>
        <w:tabs>
          <w:tab w:val="left" w:pos="900"/>
        </w:tabs>
        <w:kinsoku/>
        <w:wordWrap/>
        <w:overflowPunct/>
        <w:topLinePunct w:val="0"/>
        <w:bidi w:val="0"/>
        <w:adjustRightInd w:val="0"/>
        <w:snapToGrid w:val="0"/>
        <w:spacing w:before="0" w:after="0" w:line="360" w:lineRule="auto"/>
        <w:textAlignment w:val="auto"/>
        <w:outlineLvl w:val="9"/>
        <w:rPr>
          <w:rFonts w:hint="eastAsia" w:asciiTheme="minorEastAsia" w:hAnsiTheme="minorEastAsia" w:eastAsiaTheme="minorEastAsia" w:cstheme="minorEastAsia"/>
          <w:b/>
          <w:bCs/>
          <w:color w:val="auto"/>
          <w:sz w:val="24"/>
          <w:szCs w:val="24"/>
        </w:rPr>
      </w:pPr>
      <w:bookmarkStart w:id="112" w:name="_Toc57211948"/>
      <w:bookmarkStart w:id="113" w:name="_Toc15204250"/>
      <w:bookmarkStart w:id="114" w:name="_Toc744"/>
      <w:bookmarkStart w:id="115" w:name="_Toc40972811"/>
      <w:bookmarkStart w:id="116" w:name="_Toc36564736"/>
      <w:r>
        <w:rPr>
          <w:rFonts w:hint="eastAsia" w:asciiTheme="minorEastAsia" w:hAnsiTheme="minorEastAsia" w:eastAsiaTheme="minorEastAsia" w:cstheme="minorEastAsia"/>
          <w:b/>
          <w:bCs/>
          <w:color w:val="auto"/>
          <w:sz w:val="24"/>
          <w:szCs w:val="24"/>
        </w:rPr>
        <w:t>3.3 招标文件的解释</w:t>
      </w:r>
      <w:bookmarkEnd w:id="112"/>
      <w:bookmarkEnd w:id="113"/>
      <w:bookmarkEnd w:id="114"/>
      <w:bookmarkEnd w:id="115"/>
      <w:bookmarkEnd w:id="116"/>
    </w:p>
    <w:p w14:paraId="2BC0E63A">
      <w:pPr>
        <w:pageBreakBefore w:val="0"/>
        <w:widowControl w:val="0"/>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3.3.1 招标文件的最终解释权归采购人，所有解释均依据本招标文件及有关的</w:t>
      </w:r>
      <w:r>
        <w:rPr>
          <w:rFonts w:hint="eastAsia" w:asciiTheme="minorEastAsia" w:hAnsiTheme="minorEastAsia" w:eastAsiaTheme="minorEastAsia" w:cstheme="minorEastAsia"/>
          <w:color w:val="auto"/>
          <w:sz w:val="24"/>
          <w:szCs w:val="24"/>
          <w:lang w:eastAsia="zh-CN"/>
        </w:rPr>
        <w:t>法律法规</w:t>
      </w:r>
      <w:r>
        <w:rPr>
          <w:rFonts w:hint="eastAsia" w:asciiTheme="minorEastAsia" w:hAnsiTheme="minorEastAsia" w:eastAsiaTheme="minorEastAsia" w:cstheme="minorEastAsia"/>
          <w:color w:val="auto"/>
          <w:sz w:val="24"/>
          <w:szCs w:val="24"/>
        </w:rPr>
        <w:t>；在评标时，若出现招标文件无明确说明和处理的情况时，由评标委员会讨论确定处理方案；评标委员会成员之间对处理方案有争议时，采取少数服从多数的方式确定。</w:t>
      </w:r>
    </w:p>
    <w:p w14:paraId="4DF6ED19">
      <w:pPr>
        <w:pageBreakBefore w:val="0"/>
        <w:widowControl w:val="0"/>
        <w:tabs>
          <w:tab w:val="left" w:pos="900"/>
        </w:tabs>
        <w:kinsoku/>
        <w:wordWrap/>
        <w:overflowPunct/>
        <w:topLinePunct w:val="0"/>
        <w:bidi w:val="0"/>
        <w:adjustRightInd w:val="0"/>
        <w:snapToGrid w:val="0"/>
        <w:spacing w:before="0" w:after="0" w:line="360" w:lineRule="auto"/>
        <w:textAlignment w:val="auto"/>
        <w:outlineLvl w:val="9"/>
        <w:rPr>
          <w:rFonts w:hint="eastAsia" w:asciiTheme="minorEastAsia" w:hAnsiTheme="minorEastAsia" w:eastAsiaTheme="minorEastAsia" w:cstheme="minorEastAsia"/>
          <w:b w:val="0"/>
          <w:bCs w:val="0"/>
          <w:color w:val="auto"/>
          <w:sz w:val="24"/>
          <w:szCs w:val="24"/>
        </w:rPr>
      </w:pPr>
      <w:bookmarkStart w:id="117" w:name="_Toc23798"/>
      <w:bookmarkStart w:id="118" w:name="_Toc57211949"/>
      <w:r>
        <w:rPr>
          <w:rFonts w:hint="eastAsia" w:asciiTheme="minorEastAsia" w:hAnsiTheme="minorEastAsia" w:eastAsiaTheme="minorEastAsia" w:cstheme="minorEastAsia"/>
          <w:b/>
          <w:bCs/>
          <w:color w:val="auto"/>
          <w:sz w:val="24"/>
          <w:szCs w:val="24"/>
        </w:rPr>
        <w:t>3.4 投标文件提交截止时间的顺延</w:t>
      </w:r>
      <w:bookmarkEnd w:id="117"/>
      <w:bookmarkEnd w:id="118"/>
    </w:p>
    <w:p w14:paraId="6A8574BB">
      <w:pPr>
        <w:pageBreakBefore w:val="0"/>
        <w:widowControl w:val="0"/>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rPr>
        <w:t>3.4.1 为使投标人有足够的时间对招标文件的</w:t>
      </w:r>
      <w:r>
        <w:rPr>
          <w:rFonts w:hint="eastAsia" w:asciiTheme="minorEastAsia" w:hAnsiTheme="minorEastAsia" w:eastAsiaTheme="minorEastAsia" w:cstheme="minorEastAsia"/>
          <w:b w:val="0"/>
          <w:bCs w:val="0"/>
          <w:color w:val="auto"/>
          <w:sz w:val="24"/>
          <w:szCs w:val="24"/>
        </w:rPr>
        <w:t>变更（答疑、澄清、更正）</w:t>
      </w:r>
      <w:r>
        <w:rPr>
          <w:rFonts w:hint="eastAsia" w:asciiTheme="minorEastAsia" w:hAnsiTheme="minorEastAsia" w:eastAsiaTheme="minorEastAsia" w:cstheme="minorEastAsia"/>
          <w:color w:val="auto"/>
          <w:sz w:val="24"/>
          <w:szCs w:val="24"/>
        </w:rPr>
        <w:t>或者修改部分进行研究而准备编制投标文件或因其他原因，采购人</w:t>
      </w:r>
      <w:r>
        <w:rPr>
          <w:rFonts w:hint="eastAsia" w:asciiTheme="minorEastAsia" w:hAnsiTheme="minorEastAsia" w:eastAsiaTheme="minorEastAsia" w:cstheme="minorEastAsia"/>
          <w:sz w:val="24"/>
          <w:szCs w:val="24"/>
        </w:rPr>
        <w:t>将依法决定是否顺延投标截止时间。</w:t>
      </w:r>
    </w:p>
    <w:p w14:paraId="6CE13CF0">
      <w:pPr>
        <w:keepNext w:val="0"/>
        <w:keepLines w:val="0"/>
        <w:pageBreakBefore w:val="0"/>
        <w:widowControl w:val="0"/>
        <w:numPr>
          <w:ilvl w:val="0"/>
          <w:numId w:val="0"/>
        </w:numPr>
        <w:kinsoku/>
        <w:wordWrap/>
        <w:overflowPunct/>
        <w:topLinePunct w:val="0"/>
        <w:autoSpaceDE/>
        <w:autoSpaceDN/>
        <w:bidi w:val="0"/>
        <w:adjustRightInd w:val="0"/>
        <w:snapToGrid w:val="0"/>
        <w:spacing w:before="157" w:beforeLines="50" w:after="157" w:afterLines="50" w:line="360" w:lineRule="auto"/>
        <w:jc w:val="center"/>
        <w:textAlignment w:val="auto"/>
        <w:outlineLvl w:val="1"/>
        <w:rPr>
          <w:rFonts w:hint="eastAsia" w:asciiTheme="minorEastAsia" w:hAnsiTheme="minorEastAsia" w:eastAsiaTheme="minorEastAsia" w:cstheme="minorEastAsia"/>
          <w:sz w:val="30"/>
          <w:szCs w:val="30"/>
        </w:rPr>
      </w:pPr>
      <w:bookmarkStart w:id="119" w:name="_Toc8432"/>
      <w:bookmarkStart w:id="120" w:name="_Toc29836"/>
      <w:r>
        <w:rPr>
          <w:rFonts w:hint="eastAsia" w:asciiTheme="minorEastAsia" w:hAnsiTheme="minorEastAsia" w:eastAsiaTheme="minorEastAsia" w:cstheme="minorEastAsia"/>
          <w:b/>
          <w:bCs/>
          <w:sz w:val="30"/>
          <w:szCs w:val="30"/>
          <w:lang w:val="en-US" w:eastAsia="zh-CN"/>
        </w:rPr>
        <w:t>三、</w:t>
      </w:r>
      <w:r>
        <w:rPr>
          <w:rFonts w:hint="eastAsia" w:asciiTheme="minorEastAsia" w:hAnsiTheme="minorEastAsia" w:eastAsiaTheme="minorEastAsia" w:cstheme="minorEastAsia"/>
          <w:b/>
          <w:bCs/>
          <w:sz w:val="30"/>
          <w:szCs w:val="30"/>
          <w:lang w:eastAsia="zh-CN"/>
        </w:rPr>
        <w:t>投</w:t>
      </w:r>
      <w:r>
        <w:rPr>
          <w:rFonts w:hint="eastAsia" w:asciiTheme="minorEastAsia" w:hAnsiTheme="minorEastAsia" w:eastAsiaTheme="minorEastAsia" w:cstheme="minorEastAsia"/>
          <w:b/>
          <w:bCs/>
          <w:sz w:val="30"/>
          <w:szCs w:val="30"/>
          <w:lang w:val="en-US" w:eastAsia="zh-CN"/>
        </w:rPr>
        <w:t xml:space="preserve">  </w:t>
      </w:r>
      <w:r>
        <w:rPr>
          <w:rFonts w:hint="eastAsia" w:asciiTheme="minorEastAsia" w:hAnsiTheme="minorEastAsia" w:eastAsiaTheme="minorEastAsia" w:cstheme="minorEastAsia"/>
          <w:b/>
          <w:bCs/>
          <w:sz w:val="30"/>
          <w:szCs w:val="30"/>
          <w:lang w:eastAsia="zh-CN"/>
        </w:rPr>
        <w:t>标</w:t>
      </w:r>
      <w:bookmarkEnd w:id="119"/>
      <w:bookmarkEnd w:id="120"/>
    </w:p>
    <w:p w14:paraId="5C13B0B5">
      <w:pPr>
        <w:pageBreakBefore w:val="0"/>
        <w:widowControl w:val="0"/>
        <w:tabs>
          <w:tab w:val="left" w:pos="900"/>
        </w:tabs>
        <w:kinsoku/>
        <w:wordWrap/>
        <w:overflowPunct/>
        <w:topLinePunct w:val="0"/>
        <w:bidi w:val="0"/>
        <w:adjustRightInd w:val="0"/>
        <w:snapToGrid w:val="0"/>
        <w:spacing w:before="0" w:after="0" w:line="360" w:lineRule="auto"/>
        <w:textAlignment w:val="auto"/>
        <w:outlineLvl w:val="9"/>
        <w:rPr>
          <w:rFonts w:hint="eastAsia" w:asciiTheme="minorEastAsia" w:hAnsiTheme="minorEastAsia" w:eastAsiaTheme="minorEastAsia" w:cstheme="minorEastAsia"/>
          <w:b/>
          <w:bCs/>
          <w:sz w:val="24"/>
          <w:szCs w:val="24"/>
        </w:rPr>
      </w:pPr>
      <w:bookmarkStart w:id="121" w:name="_Toc24965"/>
      <w:bookmarkStart w:id="122" w:name="_Toc57211950"/>
      <w:bookmarkStart w:id="123" w:name="_Toc15240"/>
      <w:r>
        <w:rPr>
          <w:rFonts w:hint="eastAsia" w:asciiTheme="minorEastAsia" w:hAnsiTheme="minorEastAsia" w:eastAsiaTheme="minorEastAsia" w:cstheme="minorEastAsia"/>
          <w:b/>
          <w:bCs/>
          <w:sz w:val="24"/>
          <w:szCs w:val="24"/>
          <w:lang w:eastAsia="zh-CN"/>
        </w:rPr>
        <w:t>4.</w:t>
      </w:r>
      <w:r>
        <w:rPr>
          <w:rFonts w:hint="eastAsia" w:asciiTheme="minorEastAsia" w:hAnsiTheme="minorEastAsia" w:eastAsiaTheme="minorEastAsia" w:cstheme="minorEastAsia"/>
          <w:b/>
          <w:bCs/>
          <w:sz w:val="24"/>
          <w:szCs w:val="24"/>
        </w:rPr>
        <w:t>投标文件的编制</w:t>
      </w:r>
      <w:bookmarkEnd w:id="121"/>
      <w:bookmarkEnd w:id="122"/>
      <w:bookmarkEnd w:id="123"/>
    </w:p>
    <w:p w14:paraId="56284B07">
      <w:pPr>
        <w:pageBreakBefore w:val="0"/>
        <w:widowControl w:val="0"/>
        <w:tabs>
          <w:tab w:val="left" w:pos="900"/>
        </w:tabs>
        <w:kinsoku/>
        <w:wordWrap/>
        <w:overflowPunct/>
        <w:topLinePunct w:val="0"/>
        <w:bidi w:val="0"/>
        <w:adjustRightInd w:val="0"/>
        <w:snapToGrid w:val="0"/>
        <w:spacing w:before="0" w:after="0" w:line="360" w:lineRule="auto"/>
        <w:textAlignment w:val="auto"/>
        <w:outlineLvl w:val="9"/>
        <w:rPr>
          <w:rFonts w:hint="eastAsia" w:asciiTheme="minorEastAsia" w:hAnsiTheme="minorEastAsia" w:eastAsiaTheme="minorEastAsia" w:cstheme="minorEastAsia"/>
          <w:b w:val="0"/>
          <w:bCs w:val="0"/>
          <w:sz w:val="24"/>
          <w:szCs w:val="24"/>
        </w:rPr>
      </w:pPr>
      <w:bookmarkStart w:id="124" w:name="_Toc57211951"/>
      <w:bookmarkStart w:id="125" w:name="_Toc12650"/>
      <w:r>
        <w:rPr>
          <w:rFonts w:hint="eastAsia" w:asciiTheme="minorEastAsia" w:hAnsiTheme="minorEastAsia" w:eastAsiaTheme="minorEastAsia" w:cstheme="minorEastAsia"/>
          <w:b/>
          <w:bCs/>
          <w:sz w:val="24"/>
          <w:szCs w:val="24"/>
        </w:rPr>
        <w:t>4.1 投标范围、投标文件中的标准和计量单位的使用</w:t>
      </w:r>
      <w:bookmarkEnd w:id="124"/>
      <w:r>
        <w:rPr>
          <w:rFonts w:hint="eastAsia" w:asciiTheme="minorEastAsia" w:hAnsiTheme="minorEastAsia" w:eastAsiaTheme="minorEastAsia" w:cstheme="minorEastAsia"/>
          <w:b/>
          <w:bCs/>
          <w:sz w:val="24"/>
          <w:szCs w:val="24"/>
        </w:rPr>
        <w:t>及投标语言</w:t>
      </w:r>
      <w:bookmarkEnd w:id="125"/>
    </w:p>
    <w:p w14:paraId="42C14436">
      <w:pPr>
        <w:pageBreakBefore w:val="0"/>
        <w:widowControl w:val="0"/>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b w:val="0"/>
          <w:bCs w:val="0"/>
          <w:sz w:val="24"/>
          <w:szCs w:val="24"/>
        </w:rPr>
      </w:pPr>
      <w:bookmarkStart w:id="126" w:name="_Hlk86850922"/>
      <w:r>
        <w:rPr>
          <w:rFonts w:hint="eastAsia" w:asciiTheme="minorEastAsia" w:hAnsiTheme="minorEastAsia" w:eastAsiaTheme="minorEastAsia" w:cstheme="minorEastAsia"/>
          <w:b w:val="0"/>
          <w:bCs w:val="0"/>
          <w:sz w:val="24"/>
          <w:szCs w:val="24"/>
        </w:rPr>
        <w:t>4.1.1 当采购项目未划分“包”或“标段”的，投标人应当按招标文件中规定的内容编制投标文件；投标人应当对招标文件中所列的所有采购内容进行投标及报价，如仅对招标文件中的部分内容进行投标（或报价），该投标文件将被认定为无效投标文件。招标文件中允许的偏差除外。</w:t>
      </w:r>
      <w:bookmarkEnd w:id="126"/>
    </w:p>
    <w:p w14:paraId="51EDFED1">
      <w:pPr>
        <w:pageBreakBefore w:val="0"/>
        <w:widowControl w:val="0"/>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4.1.2 当采购项目分为两个及以上不同“包”或“标段”的，投标人可以同时参加各个“包”或“标段”的采购活动，除非在</w:t>
      </w:r>
      <w:r>
        <w:rPr>
          <w:rFonts w:hint="eastAsia" w:asciiTheme="minorEastAsia" w:hAnsiTheme="minorEastAsia" w:eastAsiaTheme="minorEastAsia" w:cstheme="minorEastAsia"/>
          <w:b w:val="0"/>
          <w:bCs w:val="0"/>
          <w:sz w:val="24"/>
          <w:szCs w:val="24"/>
          <w:u w:val="single"/>
        </w:rPr>
        <w:t>投标人须知前附表</w:t>
      </w:r>
      <w:r>
        <w:rPr>
          <w:rFonts w:hint="eastAsia" w:asciiTheme="minorEastAsia" w:hAnsiTheme="minorEastAsia" w:eastAsiaTheme="minorEastAsia" w:cstheme="minorEastAsia"/>
          <w:b w:val="0"/>
          <w:bCs w:val="0"/>
          <w:sz w:val="24"/>
          <w:szCs w:val="24"/>
        </w:rPr>
        <w:t>中另有规定。</w:t>
      </w:r>
    </w:p>
    <w:p w14:paraId="44B1A36D">
      <w:pPr>
        <w:pageBreakBefore w:val="0"/>
        <w:widowControl w:val="0"/>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b w:val="0"/>
          <w:bCs w:val="0"/>
          <w:color w:val="auto"/>
          <w:sz w:val="24"/>
          <w:szCs w:val="24"/>
        </w:rPr>
      </w:pPr>
      <w:bookmarkStart w:id="127" w:name="_Hlk86851159"/>
      <w:r>
        <w:rPr>
          <w:rFonts w:hint="eastAsia" w:asciiTheme="minorEastAsia" w:hAnsiTheme="minorEastAsia" w:eastAsiaTheme="minorEastAsia" w:cstheme="minorEastAsia"/>
          <w:b w:val="0"/>
          <w:bCs w:val="0"/>
          <w:sz w:val="24"/>
          <w:szCs w:val="24"/>
        </w:rPr>
        <w:t>4.1.3 当采购项目分为两个及以上不同“包”或“标段”的，投标人应当以招标文件中的“</w:t>
      </w:r>
      <w:r>
        <w:rPr>
          <w:rFonts w:hint="eastAsia" w:asciiTheme="minorEastAsia" w:hAnsiTheme="minorEastAsia" w:eastAsiaTheme="minorEastAsia" w:cstheme="minorEastAsia"/>
          <w:b w:val="0"/>
          <w:bCs w:val="0"/>
          <w:color w:val="auto"/>
          <w:sz w:val="24"/>
          <w:szCs w:val="24"/>
        </w:rPr>
        <w:t>包”或“标段”为单位编制投标文件；投标人应当对所投“包”或“标段”按照招标文件中对应“包”或“标段”的 “采购需求”中所列的所有采购内容进行投标及报价；如仅对“包”或“标段”中 “采购需求”的部分内容进行投标（或报价），其该包（或标段）的投标文件将被认定为无效投标文件。招标文件中允许的偏差除外。</w:t>
      </w:r>
    </w:p>
    <w:bookmarkEnd w:id="127"/>
    <w:p w14:paraId="55989398">
      <w:pPr>
        <w:pageBreakBefore w:val="0"/>
        <w:widowControl w:val="0"/>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4.1.4 无论招标文件中是否要求，投标人所提供的</w:t>
      </w:r>
      <w:r>
        <w:rPr>
          <w:rFonts w:hint="eastAsia" w:asciiTheme="minorEastAsia" w:hAnsiTheme="minorEastAsia" w:eastAsiaTheme="minorEastAsia" w:cstheme="minorEastAsia"/>
          <w:b w:val="0"/>
          <w:bCs w:val="0"/>
          <w:color w:val="auto"/>
          <w:sz w:val="24"/>
          <w:szCs w:val="24"/>
        </w:rPr>
        <w:t>货物（伴随的工程及服务）</w:t>
      </w:r>
      <w:r>
        <w:rPr>
          <w:rFonts w:hint="eastAsia" w:asciiTheme="minorEastAsia" w:hAnsiTheme="minorEastAsia" w:eastAsiaTheme="minorEastAsia" w:cstheme="minorEastAsia"/>
          <w:color w:val="auto"/>
          <w:sz w:val="24"/>
          <w:szCs w:val="24"/>
        </w:rPr>
        <w:t>均应符合国家强制性标准。</w:t>
      </w:r>
    </w:p>
    <w:p w14:paraId="561ABB89">
      <w:pPr>
        <w:pageBreakBefore w:val="0"/>
        <w:widowControl w:val="0"/>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color w:val="auto"/>
          <w:sz w:val="24"/>
          <w:szCs w:val="24"/>
        </w:rPr>
      </w:pPr>
      <w:bookmarkStart w:id="128" w:name="_Hlk86851390"/>
      <w:r>
        <w:rPr>
          <w:rFonts w:hint="eastAsia" w:asciiTheme="minorEastAsia" w:hAnsiTheme="minorEastAsia" w:eastAsiaTheme="minorEastAsia" w:cstheme="minorEastAsia"/>
          <w:color w:val="auto"/>
          <w:sz w:val="24"/>
          <w:szCs w:val="24"/>
        </w:rPr>
        <w:t xml:space="preserve">4.1.5 </w:t>
      </w:r>
      <w:r>
        <w:rPr>
          <w:rFonts w:hint="eastAsia" w:asciiTheme="minorEastAsia" w:hAnsiTheme="minorEastAsia" w:eastAsiaTheme="minorEastAsia" w:cstheme="minorEastAsia"/>
          <w:b w:val="0"/>
          <w:bCs w:val="0"/>
          <w:color w:val="auto"/>
          <w:sz w:val="24"/>
          <w:szCs w:val="24"/>
        </w:rPr>
        <w:t>计量单位：</w:t>
      </w:r>
      <w:r>
        <w:rPr>
          <w:rFonts w:hint="eastAsia" w:asciiTheme="minorEastAsia" w:hAnsiTheme="minorEastAsia" w:eastAsiaTheme="minorEastAsia" w:cstheme="minorEastAsia"/>
          <w:color w:val="auto"/>
          <w:sz w:val="24"/>
          <w:szCs w:val="24"/>
        </w:rPr>
        <w:t>除招标文件中有特殊要求外，投标文件中所使用的计量单位，均应采用中华人民共和国法定计量单位。</w:t>
      </w:r>
      <w:bookmarkEnd w:id="128"/>
    </w:p>
    <w:p w14:paraId="55E0DBBA">
      <w:pPr>
        <w:pageBreakBefore w:val="0"/>
        <w:widowControl w:val="0"/>
        <w:tabs>
          <w:tab w:val="left" w:pos="360"/>
          <w:tab w:val="left" w:pos="1904"/>
        </w:tabs>
        <w:kinsoku/>
        <w:wordWrap/>
        <w:overflowPunct/>
        <w:topLinePunct w:val="0"/>
        <w:bidi w:val="0"/>
        <w:adjustRightInd w:val="0"/>
        <w:snapToGrid w:val="0"/>
        <w:spacing w:line="360" w:lineRule="auto"/>
        <w:ind w:left="723" w:hanging="720" w:hangingChars="300"/>
        <w:textAlignment w:val="auto"/>
        <w:outlineLvl w:val="9"/>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val="0"/>
          <w:bCs w:val="0"/>
          <w:color w:val="auto"/>
          <w:sz w:val="24"/>
          <w:szCs w:val="24"/>
        </w:rPr>
        <w:t>4.1.6 投标语言文字：</w:t>
      </w:r>
      <w:r>
        <w:rPr>
          <w:rFonts w:hint="eastAsia" w:asciiTheme="minorEastAsia" w:hAnsiTheme="minorEastAsia" w:eastAsiaTheme="minorEastAsia" w:cstheme="minorEastAsia"/>
          <w:color w:val="auto"/>
          <w:sz w:val="24"/>
          <w:szCs w:val="24"/>
        </w:rPr>
        <w:t>除专用术语外，投</w:t>
      </w:r>
      <w:r>
        <w:rPr>
          <w:rFonts w:hint="eastAsia" w:asciiTheme="minorEastAsia" w:hAnsiTheme="minorEastAsia" w:eastAsiaTheme="minorEastAsia" w:cstheme="minorEastAsia"/>
          <w:bCs/>
          <w:color w:val="auto"/>
          <w:sz w:val="24"/>
          <w:szCs w:val="24"/>
        </w:rPr>
        <w:t>标文件</w:t>
      </w:r>
      <w:r>
        <w:rPr>
          <w:rFonts w:hint="eastAsia" w:asciiTheme="minorEastAsia" w:hAnsiTheme="minorEastAsia" w:eastAsiaTheme="minorEastAsia" w:cstheme="minorEastAsia"/>
          <w:color w:val="auto"/>
          <w:sz w:val="24"/>
          <w:szCs w:val="24"/>
        </w:rPr>
        <w:t>以及投标人所有与采购人及采购代理机构就投标来往的文件、资料均使用中文。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6E5CF447">
      <w:pPr>
        <w:pageBreakBefore w:val="0"/>
        <w:widowControl w:val="0"/>
        <w:tabs>
          <w:tab w:val="left" w:pos="900"/>
        </w:tabs>
        <w:kinsoku/>
        <w:wordWrap/>
        <w:overflowPunct/>
        <w:topLinePunct w:val="0"/>
        <w:bidi w:val="0"/>
        <w:adjustRightInd w:val="0"/>
        <w:snapToGrid w:val="0"/>
        <w:spacing w:before="0" w:after="0" w:line="360" w:lineRule="auto"/>
        <w:textAlignment w:val="auto"/>
        <w:outlineLvl w:val="9"/>
        <w:rPr>
          <w:rFonts w:hint="eastAsia" w:asciiTheme="minorEastAsia" w:hAnsiTheme="minorEastAsia" w:eastAsiaTheme="minorEastAsia" w:cstheme="minorEastAsia"/>
          <w:b/>
          <w:bCs/>
          <w:color w:val="auto"/>
          <w:sz w:val="24"/>
          <w:szCs w:val="24"/>
        </w:rPr>
      </w:pPr>
      <w:bookmarkStart w:id="129" w:name="_Toc57211952"/>
      <w:bookmarkStart w:id="130" w:name="_Toc10048"/>
      <w:r>
        <w:rPr>
          <w:rFonts w:hint="eastAsia" w:asciiTheme="minorEastAsia" w:hAnsiTheme="minorEastAsia" w:eastAsiaTheme="minorEastAsia" w:cstheme="minorEastAsia"/>
          <w:b/>
          <w:bCs/>
          <w:color w:val="auto"/>
          <w:sz w:val="24"/>
          <w:szCs w:val="24"/>
        </w:rPr>
        <w:t>4.2 投标文件组成</w:t>
      </w:r>
      <w:bookmarkEnd w:id="129"/>
      <w:bookmarkEnd w:id="130"/>
    </w:p>
    <w:p w14:paraId="6A9E6E2D">
      <w:pPr>
        <w:pageBreakBefore w:val="0"/>
        <w:widowControl w:val="0"/>
        <w:tabs>
          <w:tab w:val="left" w:pos="900"/>
          <w:tab w:val="left" w:pos="5580"/>
        </w:tabs>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rPr>
        <w:t>4.2.1 投标人应当按照招标文件的要求编制投标文件</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投标人</w:t>
      </w:r>
      <w:r>
        <w:rPr>
          <w:rFonts w:hint="eastAsia" w:asciiTheme="minorEastAsia" w:hAnsiTheme="minorEastAsia" w:eastAsiaTheme="minorEastAsia" w:cstheme="minorEastAsia"/>
          <w:color w:val="auto"/>
          <w:sz w:val="24"/>
          <w:szCs w:val="24"/>
          <w:lang w:eastAsia="zh-CN"/>
        </w:rPr>
        <w:t>需</w:t>
      </w:r>
      <w:r>
        <w:rPr>
          <w:rFonts w:hint="eastAsia" w:asciiTheme="minorEastAsia" w:hAnsiTheme="minorEastAsia" w:eastAsiaTheme="minorEastAsia" w:cstheme="minorEastAsia"/>
          <w:color w:val="auto"/>
          <w:sz w:val="24"/>
          <w:szCs w:val="24"/>
        </w:rPr>
        <w:t>按照招标文件“投标文件格式”中提供的格式、要求及顺序，编制投标文</w:t>
      </w:r>
      <w:r>
        <w:rPr>
          <w:rFonts w:hint="eastAsia" w:asciiTheme="minorEastAsia" w:hAnsiTheme="minorEastAsia" w:eastAsiaTheme="minorEastAsia" w:cstheme="minorEastAsia"/>
          <w:sz w:val="24"/>
          <w:szCs w:val="24"/>
        </w:rPr>
        <w:t>件。</w:t>
      </w:r>
    </w:p>
    <w:p w14:paraId="127654C8">
      <w:pPr>
        <w:pageBreakBefore w:val="0"/>
        <w:widowControl w:val="0"/>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color w:val="auto"/>
          <w:sz w:val="24"/>
          <w:szCs w:val="24"/>
        </w:rPr>
      </w:pPr>
      <w:bookmarkStart w:id="131" w:name="_Hlk218415588"/>
      <w:r>
        <w:rPr>
          <w:rFonts w:hint="eastAsia" w:asciiTheme="minorEastAsia" w:hAnsiTheme="minorEastAsia" w:eastAsiaTheme="minorEastAsia" w:cstheme="minorEastAsia"/>
          <w:color w:val="auto"/>
          <w:sz w:val="24"/>
          <w:szCs w:val="24"/>
        </w:rPr>
        <w:t>4.2.2 除招标文件另有规定外，投标人不得改变格式中给定的文字所表达的含义，不得删减格式中的实质性内容，不得自行添加与格式中给定的文字内容相矛盾的内容，不得对实质性</w:t>
      </w:r>
      <w:r>
        <w:rPr>
          <w:rFonts w:hint="eastAsia" w:asciiTheme="minorEastAsia" w:hAnsiTheme="minorEastAsia" w:eastAsiaTheme="minorEastAsia" w:cstheme="minorEastAsia"/>
          <w:color w:val="auto"/>
          <w:sz w:val="24"/>
          <w:szCs w:val="24"/>
          <w:lang w:eastAsia="zh-CN"/>
        </w:rPr>
        <w:t>内容不</w:t>
      </w:r>
      <w:r>
        <w:rPr>
          <w:rFonts w:hint="eastAsia" w:asciiTheme="minorEastAsia" w:hAnsiTheme="minorEastAsia" w:eastAsiaTheme="minorEastAsia" w:cstheme="minorEastAsia"/>
          <w:color w:val="auto"/>
          <w:sz w:val="24"/>
          <w:szCs w:val="24"/>
        </w:rPr>
        <w:t>响应，否则投标无效。</w:t>
      </w:r>
      <w:bookmarkEnd w:id="131"/>
    </w:p>
    <w:p w14:paraId="4868786A">
      <w:pPr>
        <w:pageBreakBefore w:val="0"/>
        <w:widowControl w:val="0"/>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4.2.</w:t>
      </w: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rPr>
        <w:t xml:space="preserve"> 招标文件未提供格式的或写明可以由投标人自行编制的，可由投标人自行编写。</w:t>
      </w:r>
    </w:p>
    <w:p w14:paraId="621D1838">
      <w:pPr>
        <w:pageBreakBefore w:val="0"/>
        <w:widowControl w:val="0"/>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4.2.</w:t>
      </w:r>
      <w:r>
        <w:rPr>
          <w:rFonts w:hint="eastAsia" w:asciiTheme="minorEastAsia" w:hAnsiTheme="minorEastAsia" w:eastAsiaTheme="minorEastAsia" w:cstheme="minorEastAsia"/>
          <w:color w:val="auto"/>
          <w:sz w:val="24"/>
          <w:szCs w:val="24"/>
          <w:lang w:val="en-US" w:eastAsia="zh-CN"/>
        </w:rPr>
        <w:t>4</w:t>
      </w:r>
      <w:r>
        <w:rPr>
          <w:rFonts w:hint="eastAsia" w:asciiTheme="minorEastAsia" w:hAnsiTheme="minorEastAsia" w:eastAsiaTheme="minorEastAsia" w:cstheme="minorEastAsia"/>
          <w:color w:val="auto"/>
          <w:sz w:val="24"/>
          <w:szCs w:val="24"/>
        </w:rPr>
        <w:t xml:space="preserve"> 样品</w:t>
      </w:r>
      <w:bookmarkStart w:id="132" w:name="_Hlk166223063"/>
      <w:r>
        <w:rPr>
          <w:rFonts w:hint="eastAsia" w:asciiTheme="minorEastAsia" w:hAnsiTheme="minorEastAsia" w:eastAsiaTheme="minorEastAsia" w:cstheme="minorEastAsia"/>
          <w:color w:val="auto"/>
          <w:sz w:val="24"/>
          <w:szCs w:val="24"/>
        </w:rPr>
        <w:t>（如有）</w:t>
      </w:r>
      <w:bookmarkEnd w:id="132"/>
      <w:r>
        <w:rPr>
          <w:rFonts w:hint="eastAsia" w:asciiTheme="minorEastAsia" w:hAnsiTheme="minorEastAsia" w:eastAsiaTheme="minorEastAsia" w:cstheme="minorEastAsia"/>
          <w:color w:val="auto"/>
          <w:sz w:val="24"/>
          <w:szCs w:val="24"/>
        </w:rPr>
        <w:t>要求详见投标人须知前附表及招标文件中的相关要求。</w:t>
      </w:r>
    </w:p>
    <w:p w14:paraId="59A3F48B">
      <w:pPr>
        <w:pageBreakBefore w:val="0"/>
        <w:widowControl w:val="0"/>
        <w:tabs>
          <w:tab w:val="left" w:pos="900"/>
        </w:tabs>
        <w:kinsoku/>
        <w:wordWrap/>
        <w:overflowPunct/>
        <w:topLinePunct w:val="0"/>
        <w:bidi w:val="0"/>
        <w:adjustRightInd w:val="0"/>
        <w:snapToGrid w:val="0"/>
        <w:spacing w:before="0" w:after="0" w:line="360" w:lineRule="auto"/>
        <w:jc w:val="left"/>
        <w:textAlignment w:val="auto"/>
        <w:outlineLvl w:val="9"/>
        <w:rPr>
          <w:rFonts w:hint="eastAsia" w:asciiTheme="minorEastAsia" w:hAnsiTheme="minorEastAsia" w:eastAsiaTheme="minorEastAsia" w:cstheme="minorEastAsia"/>
          <w:b/>
          <w:bCs/>
          <w:color w:val="auto"/>
          <w:sz w:val="24"/>
          <w:szCs w:val="24"/>
        </w:rPr>
      </w:pPr>
      <w:bookmarkStart w:id="133" w:name="_Toc1505"/>
      <w:bookmarkStart w:id="134" w:name="_Toc57211953"/>
      <w:r>
        <w:rPr>
          <w:rFonts w:hint="eastAsia" w:asciiTheme="minorEastAsia" w:hAnsiTheme="minorEastAsia" w:eastAsiaTheme="minorEastAsia" w:cstheme="minorEastAsia"/>
          <w:b/>
          <w:bCs/>
          <w:color w:val="auto"/>
          <w:sz w:val="24"/>
          <w:szCs w:val="24"/>
        </w:rPr>
        <w:t>4.3  投标人证明投标标的的合格性和符合招标文件规定的技术文件</w:t>
      </w:r>
      <w:bookmarkEnd w:id="133"/>
      <w:bookmarkEnd w:id="134"/>
    </w:p>
    <w:p w14:paraId="5A687D0A">
      <w:pPr>
        <w:pageBreakBefore w:val="0"/>
        <w:widowControl w:val="0"/>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4.3.1 投标人应按招标文件中的具体要求提交证明文件，证明所提供产品符合招标文件的规定。该证明文件是投标文件的技术文件。</w:t>
      </w:r>
    </w:p>
    <w:p w14:paraId="4556079E">
      <w:pPr>
        <w:pageBreakBefore w:val="0"/>
        <w:widowControl w:val="0"/>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4.3.2 上款所述的证明文件，可以是文字资料、图纸和数据，包括：</w:t>
      </w:r>
      <w:r>
        <w:rPr>
          <w:rFonts w:hint="eastAsia" w:asciiTheme="minorEastAsia" w:hAnsiTheme="minorEastAsia" w:eastAsiaTheme="minorEastAsia" w:cstheme="minorEastAsia"/>
          <w:b w:val="0"/>
          <w:bCs w:val="0"/>
          <w:color w:val="auto"/>
          <w:sz w:val="24"/>
          <w:szCs w:val="24"/>
        </w:rPr>
        <w:t>货物</w:t>
      </w:r>
      <w:r>
        <w:rPr>
          <w:rFonts w:hint="eastAsia" w:asciiTheme="minorEastAsia" w:hAnsiTheme="minorEastAsia" w:eastAsiaTheme="minorEastAsia" w:cstheme="minorEastAsia"/>
          <w:color w:val="auto"/>
          <w:sz w:val="24"/>
          <w:szCs w:val="24"/>
        </w:rPr>
        <w:t>主要技术指标和性能的详细说明</w:t>
      </w:r>
      <w:r>
        <w:rPr>
          <w:rFonts w:hint="eastAsia" w:asciiTheme="minorEastAsia" w:hAnsiTheme="minorEastAsia" w:eastAsiaTheme="minorEastAsia" w:cstheme="minorEastAsia"/>
          <w:color w:val="auto"/>
          <w:sz w:val="24"/>
          <w:szCs w:val="24"/>
          <w:lang w:eastAsia="zh-CN"/>
        </w:rPr>
        <w:t>。</w:t>
      </w:r>
    </w:p>
    <w:p w14:paraId="5CDE7D5A">
      <w:pPr>
        <w:pageBreakBefore w:val="0"/>
        <w:widowControl w:val="0"/>
        <w:kinsoku/>
        <w:wordWrap/>
        <w:overflowPunct/>
        <w:topLinePunct w:val="0"/>
        <w:bidi w:val="0"/>
        <w:adjustRightInd w:val="0"/>
        <w:snapToGrid w:val="0"/>
        <w:spacing w:line="360" w:lineRule="auto"/>
        <w:ind w:left="960" w:hanging="960" w:hangingChars="400"/>
        <w:textAlignment w:val="auto"/>
        <w:outlineLvl w:val="9"/>
        <w:rPr>
          <w:rFonts w:hint="eastAsia" w:asciiTheme="minorEastAsia" w:hAnsiTheme="minorEastAsia" w:eastAsiaTheme="minorEastAsia" w:cstheme="minorEastAsia"/>
          <w:color w:val="auto"/>
          <w:sz w:val="24"/>
          <w:szCs w:val="24"/>
        </w:rPr>
      </w:pPr>
      <w:bookmarkStart w:id="135" w:name="_Hlk57102979"/>
      <w:r>
        <w:rPr>
          <w:rFonts w:hint="eastAsia" w:asciiTheme="minorEastAsia" w:hAnsiTheme="minorEastAsia" w:eastAsiaTheme="minorEastAsia" w:cstheme="minorEastAsia"/>
          <w:color w:val="auto"/>
          <w:sz w:val="24"/>
          <w:szCs w:val="24"/>
        </w:rPr>
        <w:t>4.3.3 若招标文件未明确要求提供相应技术证明文件的，投标人可不提供。</w:t>
      </w:r>
      <w:bookmarkEnd w:id="135"/>
    </w:p>
    <w:p w14:paraId="49060CEA">
      <w:pPr>
        <w:pageBreakBefore w:val="0"/>
        <w:widowControl w:val="0"/>
        <w:kinsoku/>
        <w:wordWrap/>
        <w:overflowPunct/>
        <w:topLinePunct w:val="0"/>
        <w:bidi w:val="0"/>
        <w:adjustRightInd w:val="0"/>
        <w:snapToGrid w:val="0"/>
        <w:spacing w:before="0" w:after="0" w:line="360" w:lineRule="auto"/>
        <w:textAlignment w:val="auto"/>
        <w:outlineLvl w:val="9"/>
        <w:rPr>
          <w:rFonts w:hint="eastAsia" w:asciiTheme="minorEastAsia" w:hAnsiTheme="minorEastAsia" w:eastAsiaTheme="minorEastAsia" w:cstheme="minorEastAsia"/>
          <w:b w:val="0"/>
          <w:bCs w:val="0"/>
          <w:color w:val="auto"/>
          <w:sz w:val="24"/>
          <w:szCs w:val="24"/>
        </w:rPr>
      </w:pPr>
      <w:bookmarkStart w:id="136" w:name="_Toc57211954"/>
      <w:bookmarkStart w:id="137" w:name="_Toc6021"/>
      <w:r>
        <w:rPr>
          <w:rFonts w:hint="eastAsia" w:asciiTheme="minorEastAsia" w:hAnsiTheme="minorEastAsia" w:eastAsiaTheme="minorEastAsia" w:cstheme="minorEastAsia"/>
          <w:b/>
          <w:bCs/>
          <w:color w:val="auto"/>
          <w:sz w:val="24"/>
          <w:szCs w:val="24"/>
        </w:rPr>
        <w:t>4.4 投标报价</w:t>
      </w:r>
      <w:bookmarkEnd w:id="136"/>
      <w:bookmarkEnd w:id="137"/>
    </w:p>
    <w:p w14:paraId="3AEAFE7A">
      <w:pPr>
        <w:pageBreakBefore w:val="0"/>
        <w:widowControl w:val="0"/>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color w:val="auto"/>
          <w:sz w:val="24"/>
          <w:szCs w:val="24"/>
        </w:rPr>
      </w:pPr>
      <w:bookmarkStart w:id="138" w:name="_Hlk56443665"/>
      <w:r>
        <w:rPr>
          <w:rFonts w:hint="eastAsia" w:asciiTheme="minorEastAsia" w:hAnsiTheme="minorEastAsia" w:eastAsiaTheme="minorEastAsia" w:cstheme="minorEastAsia"/>
          <w:color w:val="auto"/>
          <w:sz w:val="24"/>
          <w:szCs w:val="24"/>
        </w:rPr>
        <w:t>4.4.1 所有投标均应以人民币报价。</w:t>
      </w:r>
    </w:p>
    <w:p w14:paraId="2EB61A82">
      <w:pPr>
        <w:pageBreakBefore w:val="0"/>
        <w:widowControl w:val="0"/>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4.4.2 当采购项目未划分“包”或“标段”的，投标人的报价应包括为完成本项目所发生的一切费用和税费，采购人将不再</w:t>
      </w:r>
      <w:r>
        <w:rPr>
          <w:rFonts w:hint="eastAsia" w:asciiTheme="minorEastAsia" w:hAnsiTheme="minorEastAsia" w:eastAsiaTheme="minorEastAsia" w:cstheme="minorEastAsia"/>
          <w:color w:val="auto"/>
          <w:spacing w:val="-2"/>
          <w:sz w:val="24"/>
          <w:szCs w:val="24"/>
        </w:rPr>
        <w:t>支付报价以外的任何费用。</w:t>
      </w:r>
    </w:p>
    <w:p w14:paraId="29D83F2D">
      <w:pPr>
        <w:pageBreakBefore w:val="0"/>
        <w:widowControl w:val="0"/>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4.4.3 当采购项目分为两个及以上不同“包”或“标段”的，投标人应当对所投“包”或“标段”按照招标文件中对应“包”或“标段”所应提供</w:t>
      </w:r>
      <w:r>
        <w:rPr>
          <w:rFonts w:hint="eastAsia" w:asciiTheme="minorEastAsia" w:hAnsiTheme="minorEastAsia" w:eastAsiaTheme="minorEastAsia" w:cstheme="minorEastAsia"/>
          <w:b w:val="0"/>
          <w:bCs w:val="0"/>
          <w:color w:val="auto"/>
          <w:sz w:val="24"/>
          <w:szCs w:val="24"/>
        </w:rPr>
        <w:t>货物（伴随的工程及服务）</w:t>
      </w:r>
      <w:r>
        <w:rPr>
          <w:rFonts w:hint="eastAsia" w:asciiTheme="minorEastAsia" w:hAnsiTheme="minorEastAsia" w:eastAsiaTheme="minorEastAsia" w:cstheme="minorEastAsia"/>
          <w:color w:val="auto"/>
          <w:sz w:val="24"/>
          <w:szCs w:val="24"/>
        </w:rPr>
        <w:t>的全部内容</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除非</w:t>
      </w:r>
      <w:r>
        <w:rPr>
          <w:rFonts w:hint="eastAsia" w:asciiTheme="minorEastAsia" w:hAnsiTheme="minorEastAsia" w:eastAsiaTheme="minorEastAsia" w:cstheme="minorEastAsia"/>
          <w:b w:val="0"/>
          <w:bCs w:val="0"/>
          <w:color w:val="auto"/>
          <w:sz w:val="24"/>
          <w:szCs w:val="24"/>
        </w:rPr>
        <w:t>在</w:t>
      </w:r>
      <w:r>
        <w:rPr>
          <w:rFonts w:hint="eastAsia" w:asciiTheme="minorEastAsia" w:hAnsiTheme="minorEastAsia" w:eastAsiaTheme="minorEastAsia" w:cstheme="minorEastAsia"/>
          <w:b w:val="0"/>
          <w:bCs w:val="0"/>
          <w:color w:val="auto"/>
          <w:sz w:val="24"/>
          <w:szCs w:val="24"/>
          <w:u w:val="single"/>
        </w:rPr>
        <w:t>投标人须知前附表</w:t>
      </w:r>
      <w:r>
        <w:rPr>
          <w:rFonts w:hint="eastAsia" w:asciiTheme="minorEastAsia" w:hAnsiTheme="minorEastAsia" w:eastAsiaTheme="minorEastAsia" w:cstheme="minorEastAsia"/>
          <w:b w:val="0"/>
          <w:bCs w:val="0"/>
          <w:color w:val="auto"/>
          <w:sz w:val="24"/>
          <w:szCs w:val="24"/>
        </w:rPr>
        <w:t>中</w:t>
      </w:r>
      <w:r>
        <w:rPr>
          <w:rFonts w:hint="eastAsia" w:asciiTheme="minorEastAsia" w:hAnsiTheme="minorEastAsia" w:eastAsiaTheme="minorEastAsia" w:cstheme="minorEastAsia"/>
          <w:color w:val="auto"/>
          <w:sz w:val="24"/>
          <w:szCs w:val="24"/>
        </w:rPr>
        <w:t>另有规定</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进行报价，该报价应包括为完成所投“包”或“标段”发生的一切费用和税费，采购人将不再</w:t>
      </w:r>
      <w:r>
        <w:rPr>
          <w:rFonts w:hint="eastAsia" w:asciiTheme="minorEastAsia" w:hAnsiTheme="minorEastAsia" w:eastAsiaTheme="minorEastAsia" w:cstheme="minorEastAsia"/>
          <w:color w:val="auto"/>
          <w:spacing w:val="-2"/>
          <w:sz w:val="24"/>
          <w:szCs w:val="24"/>
        </w:rPr>
        <w:t>支付报价以外的任何费用。</w:t>
      </w:r>
    </w:p>
    <w:p w14:paraId="059C9116">
      <w:pPr>
        <w:pageBreakBefore w:val="0"/>
        <w:widowControl w:val="0"/>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sz w:val="24"/>
          <w:szCs w:val="24"/>
        </w:rPr>
      </w:pPr>
      <w:bookmarkStart w:id="139" w:name="_Hlk164348686"/>
      <w:r>
        <w:rPr>
          <w:rFonts w:hint="eastAsia" w:asciiTheme="minorEastAsia" w:hAnsiTheme="minorEastAsia" w:eastAsiaTheme="minorEastAsia" w:cstheme="minorEastAsia"/>
          <w:sz w:val="24"/>
          <w:szCs w:val="24"/>
        </w:rPr>
        <w:t>4.4.4 投标人的投标报价应遵守《中华人民共和国价格法》。</w:t>
      </w:r>
    </w:p>
    <w:bookmarkEnd w:id="138"/>
    <w:bookmarkEnd w:id="139"/>
    <w:p w14:paraId="7B1BA9AC">
      <w:pPr>
        <w:pageBreakBefore w:val="0"/>
        <w:widowControl w:val="0"/>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b w:val="0"/>
          <w:bCs w:val="0"/>
          <w:sz w:val="24"/>
          <w:szCs w:val="24"/>
        </w:rPr>
      </w:pPr>
      <w:bookmarkStart w:id="140" w:name="_Hlk56443788"/>
      <w:r>
        <w:rPr>
          <w:rFonts w:hint="eastAsia" w:asciiTheme="minorEastAsia" w:hAnsiTheme="minorEastAsia" w:eastAsiaTheme="minorEastAsia" w:cstheme="minorEastAsia"/>
          <w:sz w:val="24"/>
          <w:szCs w:val="24"/>
        </w:rPr>
        <w:t xml:space="preserve">4.4.5 </w:t>
      </w:r>
      <w:r>
        <w:rPr>
          <w:rFonts w:hint="eastAsia" w:asciiTheme="minorEastAsia" w:hAnsiTheme="minorEastAsia" w:eastAsiaTheme="minorEastAsia" w:cstheme="minorEastAsia"/>
          <w:b w:val="0"/>
          <w:bCs w:val="0"/>
          <w:sz w:val="24"/>
          <w:szCs w:val="24"/>
        </w:rPr>
        <w:t>投标人应按照招标文件中所提供的“采购需求”、质量要求、采购预算等全部内容，结合本项目实际情况和投标人自身成本、市场行情等因素，自主报价，且不得高于采购人给定的预算价或最高限价，否则投标文件将被认定为无效投标文件。</w:t>
      </w:r>
    </w:p>
    <w:p w14:paraId="157C226A">
      <w:pPr>
        <w:pageBreakBefore w:val="0"/>
        <w:widowControl w:val="0"/>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b w:val="0"/>
          <w:bCs w:val="0"/>
          <w:color w:val="auto"/>
          <w:sz w:val="24"/>
          <w:szCs w:val="24"/>
        </w:rPr>
      </w:pPr>
      <w:bookmarkStart w:id="141" w:name="_Hlk218416102"/>
      <w:r>
        <w:rPr>
          <w:rFonts w:hint="eastAsia" w:asciiTheme="minorEastAsia" w:hAnsiTheme="minorEastAsia" w:eastAsiaTheme="minorEastAsia" w:cstheme="minorEastAsia"/>
          <w:b w:val="0"/>
          <w:bCs w:val="0"/>
          <w:sz w:val="24"/>
          <w:szCs w:val="24"/>
        </w:rPr>
        <w:t>4.4.6 评标委员会认为投标人的报价明显低于其他通过符合性审查投标人的报价，有</w:t>
      </w:r>
      <w:r>
        <w:rPr>
          <w:rFonts w:hint="eastAsia" w:asciiTheme="minorEastAsia" w:hAnsiTheme="minorEastAsia" w:eastAsiaTheme="minorEastAsia" w:cstheme="minorEastAsia"/>
          <w:b w:val="0"/>
          <w:bCs w:val="0"/>
          <w:color w:val="auto"/>
          <w:sz w:val="24"/>
          <w:szCs w:val="24"/>
        </w:rPr>
        <w:t>可能影响产品质量或者不能诚信履约的，应当要求其在评标现场合理的时间内提供书面说明，必要时提交相关证明材料；投标人不能证明其报价合理性的，评标委员会应当将其作为无效投标处理。</w:t>
      </w:r>
      <w:bookmarkEnd w:id="141"/>
    </w:p>
    <w:bookmarkEnd w:id="140"/>
    <w:p w14:paraId="7C9C61B5">
      <w:pPr>
        <w:pageBreakBefore w:val="0"/>
        <w:widowControl w:val="0"/>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b w:val="0"/>
          <w:bCs/>
          <w:color w:val="auto"/>
          <w:sz w:val="24"/>
          <w:szCs w:val="24"/>
        </w:rPr>
      </w:pPr>
      <w:bookmarkStart w:id="142" w:name="_Hlk56443824"/>
      <w:bookmarkStart w:id="143" w:name="_Hlk86854370"/>
      <w:r>
        <w:rPr>
          <w:rFonts w:hint="eastAsia" w:asciiTheme="minorEastAsia" w:hAnsiTheme="minorEastAsia" w:eastAsiaTheme="minorEastAsia" w:cstheme="minorEastAsia"/>
          <w:color w:val="auto"/>
          <w:sz w:val="24"/>
          <w:szCs w:val="24"/>
        </w:rPr>
        <w:t>4.4.7 投标人应当按照招标文件提供的报价表格式如实填写各项</w:t>
      </w:r>
      <w:r>
        <w:rPr>
          <w:rFonts w:hint="eastAsia" w:asciiTheme="minorEastAsia" w:hAnsiTheme="minorEastAsia" w:eastAsiaTheme="minorEastAsia" w:cstheme="minorEastAsia"/>
          <w:b w:val="0"/>
          <w:bCs w:val="0"/>
          <w:color w:val="auto"/>
          <w:sz w:val="24"/>
          <w:szCs w:val="24"/>
        </w:rPr>
        <w:t>货物（伴随的工程及服务）</w:t>
      </w:r>
      <w:r>
        <w:rPr>
          <w:rFonts w:hint="eastAsia" w:asciiTheme="minorEastAsia" w:hAnsiTheme="minorEastAsia" w:eastAsiaTheme="minorEastAsia" w:cstheme="minorEastAsia"/>
          <w:color w:val="auto"/>
          <w:sz w:val="24"/>
          <w:szCs w:val="24"/>
        </w:rPr>
        <w:t>的单价、分项总价和投标总报价。投标人应认真填报所有项目的单价和合价，投标文件中若有漏项、漏报，采购人视为该部分的报价投标人已包含在投标总报价中，风险由投标人自行承担，采购人将不再给予调整。投标人如果被确定为中标人，该投标人所报价格，在合同履行过程中是固定不变的，除因设计</w:t>
      </w:r>
      <w:r>
        <w:rPr>
          <w:rFonts w:hint="eastAsia" w:asciiTheme="minorEastAsia" w:hAnsiTheme="minorEastAsia" w:eastAsiaTheme="minorEastAsia" w:cstheme="minorEastAsia"/>
          <w:color w:val="auto"/>
          <w:sz w:val="24"/>
          <w:szCs w:val="24"/>
          <w:lang w:eastAsia="zh-CN"/>
        </w:rPr>
        <w:t>或</w:t>
      </w:r>
      <w:r>
        <w:rPr>
          <w:rFonts w:hint="eastAsia" w:asciiTheme="minorEastAsia" w:hAnsiTheme="minorEastAsia" w:eastAsiaTheme="minorEastAsia" w:cstheme="minorEastAsia"/>
          <w:color w:val="auto"/>
          <w:sz w:val="24"/>
          <w:szCs w:val="24"/>
        </w:rPr>
        <w:t>采购人原因引起的变更外，不予调整。投标人</w:t>
      </w:r>
      <w:r>
        <w:rPr>
          <w:rFonts w:hint="eastAsia" w:asciiTheme="minorEastAsia" w:hAnsiTheme="minorEastAsia" w:eastAsiaTheme="minorEastAsia" w:cstheme="minorEastAsia"/>
          <w:b w:val="0"/>
          <w:bCs/>
          <w:color w:val="auto"/>
          <w:sz w:val="24"/>
          <w:szCs w:val="24"/>
        </w:rPr>
        <w:t>报价有算术错误的，其风险由投标人承担。</w:t>
      </w:r>
      <w:bookmarkEnd w:id="142"/>
    </w:p>
    <w:bookmarkEnd w:id="143"/>
    <w:p w14:paraId="2A8D8600">
      <w:pPr>
        <w:pageBreakBefore w:val="0"/>
        <w:widowControl w:val="0"/>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color w:val="auto"/>
          <w:sz w:val="24"/>
          <w:szCs w:val="24"/>
        </w:rPr>
      </w:pPr>
      <w:bookmarkStart w:id="144" w:name="_Hlk165216890"/>
      <w:bookmarkStart w:id="145" w:name="_Hlk56443893"/>
      <w:r>
        <w:rPr>
          <w:rFonts w:hint="eastAsia" w:asciiTheme="minorEastAsia" w:hAnsiTheme="minorEastAsia" w:eastAsiaTheme="minorEastAsia" w:cstheme="minorEastAsia"/>
          <w:color w:val="auto"/>
          <w:sz w:val="24"/>
          <w:szCs w:val="24"/>
        </w:rPr>
        <w:t xml:space="preserve">4.4.8 </w:t>
      </w:r>
      <w:bookmarkStart w:id="146" w:name="OLE_LINK34"/>
      <w:bookmarkStart w:id="147" w:name="OLE_LINK33"/>
      <w:r>
        <w:rPr>
          <w:rFonts w:hint="eastAsia" w:asciiTheme="minorEastAsia" w:hAnsiTheme="minorEastAsia" w:eastAsiaTheme="minorEastAsia" w:cstheme="minorEastAsia"/>
          <w:color w:val="auto"/>
          <w:sz w:val="24"/>
          <w:szCs w:val="24"/>
        </w:rPr>
        <w:t>投标人的投标总报价应当包括：</w:t>
      </w:r>
      <w:bookmarkEnd w:id="146"/>
      <w:bookmarkEnd w:id="147"/>
      <w:r>
        <w:rPr>
          <w:rFonts w:hint="eastAsia" w:asciiTheme="minorEastAsia" w:hAnsiTheme="minorEastAsia" w:eastAsiaTheme="minorEastAsia" w:cstheme="minorEastAsia"/>
          <w:b w:val="0"/>
          <w:bCs w:val="0"/>
          <w:color w:val="auto"/>
          <w:sz w:val="24"/>
          <w:szCs w:val="24"/>
        </w:rPr>
        <w:t>所提供货物</w:t>
      </w:r>
      <w:r>
        <w:rPr>
          <w:rFonts w:hint="eastAsia" w:asciiTheme="minorEastAsia" w:hAnsiTheme="minorEastAsia" w:eastAsiaTheme="minorEastAsia" w:cstheme="minorEastAsia"/>
          <w:color w:val="auto"/>
          <w:sz w:val="24"/>
          <w:szCs w:val="24"/>
        </w:rPr>
        <w:t>（包括备品备件、专用工具等）和伴随服务需要缴纳的所有税费的价格（包括已在中国国</w:t>
      </w:r>
      <w:r>
        <w:rPr>
          <w:rFonts w:hint="eastAsia" w:asciiTheme="minorEastAsia" w:hAnsiTheme="minorEastAsia" w:eastAsiaTheme="minorEastAsia" w:cstheme="minorEastAsia"/>
          <w:sz w:val="24"/>
          <w:szCs w:val="24"/>
        </w:rPr>
        <w:t>内的进口货物完税后的仓库交货价、展室交货价或货架交货价），所提供货物的运输（含保险）、装</w:t>
      </w:r>
      <w:r>
        <w:rPr>
          <w:rFonts w:hint="eastAsia" w:asciiTheme="minorEastAsia" w:hAnsiTheme="minorEastAsia" w:eastAsiaTheme="minorEastAsia" w:cstheme="minorEastAsia"/>
          <w:color w:val="auto"/>
          <w:sz w:val="24"/>
          <w:szCs w:val="24"/>
        </w:rPr>
        <w:t>卸、安装（如有）、调试、检验、质量保证、技术服务、售后服务、培训、税费和招标文件要求提供的所有伴随服务、工程等费用及交付采购人使用前发生</w:t>
      </w:r>
      <w:r>
        <w:rPr>
          <w:rFonts w:hint="eastAsia" w:asciiTheme="minorEastAsia" w:hAnsiTheme="minorEastAsia" w:eastAsiaTheme="minorEastAsia" w:cstheme="minorEastAsia"/>
          <w:color w:val="auto"/>
          <w:sz w:val="24"/>
          <w:szCs w:val="24"/>
          <w:lang w:eastAsia="zh-CN"/>
        </w:rPr>
        <w:t>的其他费用</w:t>
      </w:r>
      <w:r>
        <w:rPr>
          <w:rFonts w:hint="eastAsia" w:asciiTheme="minorEastAsia" w:hAnsiTheme="minorEastAsia" w:eastAsiaTheme="minorEastAsia" w:cstheme="minorEastAsia"/>
          <w:color w:val="auto"/>
          <w:sz w:val="24"/>
          <w:szCs w:val="24"/>
        </w:rPr>
        <w:t>。</w:t>
      </w:r>
    </w:p>
    <w:bookmarkEnd w:id="144"/>
    <w:bookmarkEnd w:id="145"/>
    <w:p w14:paraId="5D29F4B2">
      <w:pPr>
        <w:pageBreakBefore w:val="0"/>
        <w:widowControl w:val="0"/>
        <w:tabs>
          <w:tab w:val="left" w:pos="720"/>
        </w:tabs>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b w:val="0"/>
          <w:bCs w:val="0"/>
          <w:color w:val="auto"/>
          <w:sz w:val="24"/>
          <w:szCs w:val="24"/>
        </w:rPr>
      </w:pPr>
      <w:bookmarkStart w:id="148" w:name="_Hlk56443945"/>
      <w:r>
        <w:rPr>
          <w:rFonts w:hint="eastAsia" w:asciiTheme="minorEastAsia" w:hAnsiTheme="minorEastAsia" w:eastAsiaTheme="minorEastAsia" w:cstheme="minorEastAsia"/>
          <w:snapToGrid w:val="0"/>
          <w:color w:val="auto"/>
          <w:kern w:val="0"/>
          <w:sz w:val="24"/>
          <w:szCs w:val="24"/>
        </w:rPr>
        <w:t xml:space="preserve">4.4.9 </w:t>
      </w:r>
      <w:r>
        <w:rPr>
          <w:rFonts w:hint="eastAsia" w:asciiTheme="minorEastAsia" w:hAnsiTheme="minorEastAsia" w:eastAsiaTheme="minorEastAsia" w:cstheme="minorEastAsia"/>
          <w:b w:val="0"/>
          <w:bCs w:val="0"/>
          <w:snapToGrid w:val="0"/>
          <w:color w:val="auto"/>
          <w:kern w:val="0"/>
          <w:sz w:val="24"/>
          <w:szCs w:val="24"/>
        </w:rPr>
        <w:t>除非招标文件另有规定，每一“包”或“标段”只允许有一个投标总报价，任何有选择的投标总报价或替代方案将导致投标文件无效。</w:t>
      </w:r>
    </w:p>
    <w:bookmarkEnd w:id="148"/>
    <w:p w14:paraId="61C889BB">
      <w:pPr>
        <w:pageBreakBefore w:val="0"/>
        <w:widowControl w:val="0"/>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color w:val="auto"/>
          <w:sz w:val="24"/>
          <w:szCs w:val="24"/>
        </w:rPr>
      </w:pPr>
      <w:bookmarkStart w:id="149" w:name="_Hlk56443977"/>
      <w:r>
        <w:rPr>
          <w:rFonts w:hint="eastAsia" w:asciiTheme="minorEastAsia" w:hAnsiTheme="minorEastAsia" w:eastAsiaTheme="minorEastAsia" w:cstheme="minorEastAsia"/>
          <w:color w:val="auto"/>
          <w:sz w:val="24"/>
          <w:szCs w:val="24"/>
        </w:rPr>
        <w:t>4.4.10 除招标文件中规定的情况外，投标人不得以任何理由在投标截止时间后对投标报价予以修改。投标报价在投标有效期内是固定的，除招标文件中约定的原因外，不因任何原因而改变。</w:t>
      </w:r>
    </w:p>
    <w:p w14:paraId="4F86599A">
      <w:pPr>
        <w:pageBreakBefore w:val="0"/>
        <w:widowControl w:val="0"/>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4.4.11 投标人在报价时应考虑期间的物价上涨，政策性调整等诸多因素以及由此引起的费用变动并计入总报价。</w:t>
      </w:r>
    </w:p>
    <w:p w14:paraId="132931F4">
      <w:pPr>
        <w:pageBreakBefore w:val="0"/>
        <w:widowControl w:val="0"/>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t>4.4.12 投标人不能提供任何有选择性或可调整的报价</w:t>
      </w:r>
      <w:r>
        <w:rPr>
          <w:rFonts w:hint="eastAsia" w:asciiTheme="minorEastAsia" w:hAnsiTheme="minorEastAsia" w:eastAsiaTheme="minorEastAsia" w:cstheme="minorEastAsia"/>
          <w:b w:val="0"/>
          <w:bCs w:val="0"/>
          <w:color w:val="auto"/>
          <w:sz w:val="24"/>
          <w:szCs w:val="24"/>
          <w:lang w:eastAsia="zh-CN"/>
        </w:rPr>
        <w:t>或</w:t>
      </w:r>
      <w:r>
        <w:rPr>
          <w:rFonts w:hint="eastAsia" w:asciiTheme="minorEastAsia" w:hAnsiTheme="minorEastAsia" w:eastAsiaTheme="minorEastAsia" w:cstheme="minorEastAsia"/>
          <w:b w:val="0"/>
          <w:bCs w:val="0"/>
          <w:color w:val="auto"/>
          <w:sz w:val="24"/>
          <w:szCs w:val="24"/>
        </w:rPr>
        <w:t>具有附加条件的报价</w:t>
      </w:r>
      <w:r>
        <w:rPr>
          <w:rFonts w:hint="eastAsia" w:asciiTheme="minorEastAsia" w:hAnsiTheme="minorEastAsia" w:eastAsiaTheme="minorEastAsia" w:cstheme="minorEastAsia"/>
          <w:b w:val="0"/>
          <w:bCs w:val="0"/>
          <w:color w:val="auto"/>
          <w:sz w:val="24"/>
          <w:szCs w:val="24"/>
          <w:lang w:eastAsia="zh-CN"/>
        </w:rPr>
        <w:t>或</w:t>
      </w:r>
      <w:r>
        <w:rPr>
          <w:rFonts w:hint="eastAsia" w:asciiTheme="minorEastAsia" w:hAnsiTheme="minorEastAsia" w:eastAsiaTheme="minorEastAsia" w:cstheme="minorEastAsia"/>
          <w:b w:val="0"/>
          <w:bCs w:val="0"/>
          <w:color w:val="auto"/>
          <w:sz w:val="24"/>
          <w:szCs w:val="24"/>
        </w:rPr>
        <w:t>多个方案的报价（招标文件另有规定的除外），否则其投标无效。</w:t>
      </w:r>
    </w:p>
    <w:p w14:paraId="11A446A1">
      <w:pPr>
        <w:pageBreakBefore w:val="0"/>
        <w:widowControl w:val="0"/>
        <w:tabs>
          <w:tab w:val="left" w:pos="720"/>
        </w:tabs>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4.4.13 投标人的投标总报价应是采购</w:t>
      </w:r>
      <w:r>
        <w:rPr>
          <w:rFonts w:hint="eastAsia" w:asciiTheme="minorEastAsia" w:hAnsiTheme="minorEastAsia" w:eastAsiaTheme="minorEastAsia" w:cstheme="minorEastAsia"/>
          <w:color w:val="auto"/>
          <w:sz w:val="24"/>
          <w:szCs w:val="24"/>
          <w:lang w:eastAsia="zh-CN"/>
        </w:rPr>
        <w:t>人在</w:t>
      </w:r>
      <w:r>
        <w:rPr>
          <w:rFonts w:hint="eastAsia" w:asciiTheme="minorEastAsia" w:hAnsiTheme="minorEastAsia" w:eastAsiaTheme="minorEastAsia" w:cstheme="minorEastAsia"/>
          <w:color w:val="auto"/>
          <w:sz w:val="24"/>
          <w:szCs w:val="24"/>
        </w:rPr>
        <w:t>指定地点交货（包括需要</w:t>
      </w:r>
      <w:r>
        <w:rPr>
          <w:rFonts w:hint="eastAsia" w:asciiTheme="minorEastAsia" w:hAnsiTheme="minorEastAsia" w:eastAsiaTheme="minorEastAsia" w:cstheme="minorEastAsia"/>
          <w:b w:val="0"/>
          <w:bCs w:val="0"/>
          <w:color w:val="auto"/>
          <w:sz w:val="24"/>
          <w:szCs w:val="24"/>
        </w:rPr>
        <w:t>完成的工程或应提供服务</w:t>
      </w:r>
      <w:r>
        <w:rPr>
          <w:rFonts w:hint="eastAsia" w:asciiTheme="minorEastAsia" w:hAnsiTheme="minorEastAsia" w:eastAsiaTheme="minorEastAsia" w:cstheme="minorEastAsia"/>
          <w:color w:val="auto"/>
          <w:sz w:val="24"/>
          <w:szCs w:val="24"/>
        </w:rPr>
        <w:t>）的，包括交货前发生的各种税费、运费及保险费、运杂费</w:t>
      </w:r>
      <w:r>
        <w:rPr>
          <w:rFonts w:hint="eastAsia" w:asciiTheme="minorEastAsia" w:hAnsiTheme="minorEastAsia" w:eastAsiaTheme="minorEastAsia" w:cstheme="minorEastAsia"/>
          <w:color w:val="auto"/>
          <w:sz w:val="24"/>
          <w:szCs w:val="24"/>
          <w:lang w:eastAsia="zh-CN"/>
        </w:rPr>
        <w:t>，以及</w:t>
      </w:r>
      <w:r>
        <w:rPr>
          <w:rFonts w:hint="eastAsia" w:asciiTheme="minorEastAsia" w:hAnsiTheme="minorEastAsia" w:eastAsiaTheme="minorEastAsia" w:cstheme="minorEastAsia"/>
          <w:color w:val="auto"/>
          <w:sz w:val="24"/>
          <w:szCs w:val="24"/>
        </w:rPr>
        <w:t>伴随的</w:t>
      </w:r>
      <w:r>
        <w:rPr>
          <w:rFonts w:hint="eastAsia" w:asciiTheme="minorEastAsia" w:hAnsiTheme="minorEastAsia" w:eastAsiaTheme="minorEastAsia" w:cstheme="minorEastAsia"/>
          <w:color w:val="auto"/>
          <w:sz w:val="24"/>
          <w:szCs w:val="24"/>
          <w:lang w:eastAsia="zh-CN"/>
        </w:rPr>
        <w:t>其他</w:t>
      </w:r>
      <w:r>
        <w:rPr>
          <w:rFonts w:hint="eastAsia" w:asciiTheme="minorEastAsia" w:hAnsiTheme="minorEastAsia" w:eastAsiaTheme="minorEastAsia" w:cstheme="minorEastAsia"/>
          <w:color w:val="auto"/>
          <w:sz w:val="24"/>
          <w:szCs w:val="24"/>
        </w:rPr>
        <w:t>服务费总报价。</w:t>
      </w:r>
    </w:p>
    <w:p w14:paraId="4FBB31A9">
      <w:pPr>
        <w:pageBreakBefore w:val="0"/>
        <w:widowControl w:val="0"/>
        <w:tabs>
          <w:tab w:val="left" w:pos="0"/>
        </w:tabs>
        <w:kinsoku/>
        <w:wordWrap/>
        <w:overflowPunct/>
        <w:topLinePunct w:val="0"/>
        <w:autoSpaceDE w:val="0"/>
        <w:autoSpaceDN w:val="0"/>
        <w:bidi w:val="0"/>
        <w:adjustRightInd w:val="0"/>
        <w:snapToGrid w:val="0"/>
        <w:spacing w:line="360" w:lineRule="auto"/>
        <w:ind w:left="826" w:right="44" w:hanging="825" w:hangingChars="344"/>
        <w:jc w:val="left"/>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 xml:space="preserve">4.4.14 </w:t>
      </w:r>
      <w:r>
        <w:rPr>
          <w:rFonts w:hint="eastAsia" w:asciiTheme="minorEastAsia" w:hAnsiTheme="minorEastAsia" w:eastAsiaTheme="minorEastAsia" w:cstheme="minorEastAsia"/>
          <w:color w:val="auto"/>
          <w:sz w:val="24"/>
          <w:szCs w:val="24"/>
        </w:rPr>
        <w:t>投标人的投标总报价应是</w:t>
      </w:r>
      <w:r>
        <w:rPr>
          <w:rFonts w:hint="eastAsia" w:asciiTheme="minorEastAsia" w:hAnsiTheme="minorEastAsia" w:eastAsiaTheme="minorEastAsia" w:cstheme="minorEastAsia"/>
          <w:color w:val="auto"/>
          <w:kern w:val="0"/>
          <w:sz w:val="24"/>
          <w:szCs w:val="24"/>
        </w:rPr>
        <w:t>由投标人计算的完成招标文件中规定的全部工作内容所需一切费用的期望值。</w:t>
      </w:r>
      <w:bookmarkEnd w:id="149"/>
    </w:p>
    <w:p w14:paraId="0B57772D">
      <w:pPr>
        <w:pageBreakBefore w:val="0"/>
        <w:widowControl w:val="0"/>
        <w:kinsoku/>
        <w:wordWrap/>
        <w:overflowPunct/>
        <w:topLinePunct w:val="0"/>
        <w:bidi w:val="0"/>
        <w:adjustRightInd w:val="0"/>
        <w:snapToGrid w:val="0"/>
        <w:spacing w:before="0" w:after="0" w:line="360" w:lineRule="auto"/>
        <w:textAlignment w:val="auto"/>
        <w:outlineLvl w:val="9"/>
        <w:rPr>
          <w:rFonts w:hint="eastAsia" w:asciiTheme="minorEastAsia" w:hAnsiTheme="minorEastAsia" w:eastAsiaTheme="minorEastAsia" w:cstheme="minorEastAsia"/>
          <w:b/>
          <w:bCs/>
          <w:color w:val="auto"/>
          <w:sz w:val="24"/>
          <w:szCs w:val="24"/>
        </w:rPr>
      </w:pPr>
      <w:bookmarkStart w:id="150" w:name="_Toc57211957"/>
      <w:bookmarkStart w:id="151" w:name="_Toc20530"/>
      <w:r>
        <w:rPr>
          <w:rFonts w:hint="eastAsia" w:asciiTheme="minorEastAsia" w:hAnsiTheme="minorEastAsia" w:eastAsiaTheme="minorEastAsia" w:cstheme="minorEastAsia"/>
          <w:b/>
          <w:bCs/>
          <w:color w:val="auto"/>
          <w:sz w:val="24"/>
          <w:szCs w:val="24"/>
        </w:rPr>
        <w:t>4.5 投标文件的制作</w:t>
      </w:r>
      <w:bookmarkEnd w:id="150"/>
      <w:bookmarkEnd w:id="151"/>
    </w:p>
    <w:p w14:paraId="3E06DFB5">
      <w:pPr>
        <w:pageBreakBefore w:val="0"/>
        <w:widowControl w:val="0"/>
        <w:tabs>
          <w:tab w:val="left" w:pos="720"/>
        </w:tabs>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4.5.1 投标人在制作电子投标文件时，应按照信阳市公共资源交易中心提供的“投标文件制作工具”制作电子投标文件。具体查询信阳市公共资源交易中心网站主页→办事指南及下载专区。</w:t>
      </w:r>
    </w:p>
    <w:p w14:paraId="388F1A19">
      <w:pPr>
        <w:pageBreakBefore w:val="0"/>
        <w:widowControl w:val="0"/>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b w:val="0"/>
          <w:bCs w:val="0"/>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4.5.2 投标文件格式所要求包含的全部资料应全部制作在投标文件内（格式中写明可以不提供的除外），按照本项目招标文件中提供的所有格式如实填写（不涉及的内容除外），不应存在漏项或缺项，否则将存在投标文件被拒绝的风险。</w:t>
      </w:r>
      <w:bookmarkStart w:id="152" w:name="_Hlk57213199"/>
      <w:r>
        <w:rPr>
          <w:rFonts w:hint="eastAsia" w:asciiTheme="minorEastAsia" w:hAnsiTheme="minorEastAsia" w:eastAsiaTheme="minorEastAsia" w:cstheme="minorEastAsia"/>
          <w:b w:val="0"/>
          <w:bCs w:val="0"/>
          <w:color w:val="auto"/>
          <w:sz w:val="24"/>
          <w:szCs w:val="24"/>
          <w:highlight w:val="none"/>
          <w:u w:val="single"/>
        </w:rPr>
        <w:t>投标函及投标报价一览表，须严格按照格式编辑，</w:t>
      </w:r>
      <w:bookmarkEnd w:id="152"/>
      <w:bookmarkStart w:id="153" w:name="_Hlk164349597"/>
      <w:r>
        <w:rPr>
          <w:rFonts w:hint="eastAsia" w:asciiTheme="minorEastAsia" w:hAnsiTheme="minorEastAsia" w:eastAsiaTheme="minorEastAsia" w:cstheme="minorEastAsia"/>
          <w:b w:val="0"/>
          <w:bCs w:val="0"/>
          <w:color w:val="auto"/>
          <w:sz w:val="24"/>
          <w:szCs w:val="24"/>
          <w:highlight w:val="none"/>
          <w:u w:val="single"/>
        </w:rPr>
        <w:t>并作为电子开评标系统的依据。</w:t>
      </w:r>
    </w:p>
    <w:p w14:paraId="659F32E4">
      <w:pPr>
        <w:pageBreakBefore w:val="0"/>
        <w:widowControl w:val="0"/>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4.5.3 </w:t>
      </w:r>
      <w:r>
        <w:rPr>
          <w:rFonts w:hint="eastAsia" w:asciiTheme="minorEastAsia" w:hAnsiTheme="minorEastAsia" w:eastAsiaTheme="minorEastAsia" w:cstheme="minorEastAsia"/>
          <w:b w:val="0"/>
          <w:bCs w:val="0"/>
          <w:color w:val="auto"/>
          <w:sz w:val="24"/>
          <w:szCs w:val="24"/>
          <w:highlight w:val="none"/>
        </w:rPr>
        <w:t>投标人在编辑电子投标文件时，根据招标文件要求用法人CA密</w:t>
      </w:r>
      <w:r>
        <w:rPr>
          <w:rFonts w:hint="eastAsia" w:asciiTheme="minorEastAsia" w:hAnsiTheme="minorEastAsia" w:eastAsiaTheme="minorEastAsia" w:cstheme="minorEastAsia"/>
          <w:b w:val="0"/>
          <w:bCs w:val="0"/>
          <w:color w:val="000000"/>
          <w:sz w:val="24"/>
          <w:szCs w:val="24"/>
          <w:highlight w:val="none"/>
        </w:rPr>
        <w:t>钥</w:t>
      </w:r>
      <w:r>
        <w:rPr>
          <w:rFonts w:hint="eastAsia" w:asciiTheme="minorEastAsia" w:hAnsiTheme="minorEastAsia" w:eastAsiaTheme="minorEastAsia" w:cstheme="minorEastAsia"/>
          <w:b w:val="0"/>
          <w:bCs w:val="0"/>
          <w:color w:val="auto"/>
          <w:sz w:val="24"/>
          <w:szCs w:val="24"/>
          <w:highlight w:val="none"/>
        </w:rPr>
        <w:t>和单位CA密钥进行签章制作；投标人应特别注意，在电子投标文件的制作、加盖电子章、电子投标文件的加密、电子投标文件的上传、电子投标文件的解密过程中，确保使用同一把CA密钥开展相关工作。</w:t>
      </w:r>
      <w:bookmarkEnd w:id="153"/>
    </w:p>
    <w:p w14:paraId="72ADCB82">
      <w:pPr>
        <w:pageBreakBefore w:val="0"/>
        <w:widowControl w:val="0"/>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color w:val="auto"/>
          <w:sz w:val="24"/>
          <w:szCs w:val="24"/>
          <w:highlight w:val="none"/>
        </w:rPr>
      </w:pPr>
      <w:bookmarkStart w:id="154" w:name="_Hlk164349714"/>
      <w:r>
        <w:rPr>
          <w:rFonts w:hint="eastAsia" w:asciiTheme="minorEastAsia" w:hAnsiTheme="minorEastAsia" w:eastAsiaTheme="minorEastAsia" w:cstheme="minorEastAsia"/>
          <w:color w:val="auto"/>
          <w:sz w:val="24"/>
          <w:szCs w:val="24"/>
          <w:highlight w:val="none"/>
        </w:rPr>
        <w:t>4.5.4 电子投标文件的签字或盖章：投标人必须按照招标文件的要求签字、盖章或加盖电子章。招标文件要求签字的内容（如授权委托书等），可以使用电子签章或使用电子件（电子件指的扫描件、照片等形式电子文件）；要求第三方出具的盖章件（如联合协议、分包意向协议、制造商授权书等），投标文件中应使用电子件。</w:t>
      </w:r>
    </w:p>
    <w:bookmarkEnd w:id="154"/>
    <w:p w14:paraId="3EC7CF46">
      <w:pPr>
        <w:pageBreakBefore w:val="0"/>
        <w:widowControl w:val="0"/>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color w:val="auto"/>
          <w:sz w:val="24"/>
          <w:szCs w:val="24"/>
          <w:highlight w:val="none"/>
        </w:rPr>
      </w:pPr>
      <w:bookmarkStart w:id="155" w:name="_Hlk86854982"/>
      <w:bookmarkStart w:id="156" w:name="_Hlk56444404"/>
      <w:r>
        <w:rPr>
          <w:rFonts w:hint="eastAsia" w:asciiTheme="minorEastAsia" w:hAnsiTheme="minorEastAsia" w:eastAsiaTheme="minorEastAsia" w:cstheme="minorEastAsia"/>
          <w:color w:val="auto"/>
          <w:sz w:val="24"/>
          <w:szCs w:val="24"/>
          <w:highlight w:val="none"/>
        </w:rPr>
        <w:t>4.5.5 投标人须在投标</w:t>
      </w:r>
      <w:r>
        <w:rPr>
          <w:rFonts w:hint="eastAsia" w:asciiTheme="minorEastAsia" w:hAnsiTheme="minorEastAsia" w:eastAsiaTheme="minorEastAsia" w:cstheme="minorEastAsia"/>
          <w:color w:val="auto"/>
          <w:kern w:val="0"/>
          <w:sz w:val="24"/>
          <w:szCs w:val="24"/>
          <w:highlight w:val="none"/>
          <w:lang w:val="zh-CN"/>
        </w:rPr>
        <w:t>截止时间</w:t>
      </w:r>
      <w:r>
        <w:rPr>
          <w:rFonts w:hint="eastAsia" w:asciiTheme="minorEastAsia" w:hAnsiTheme="minorEastAsia" w:eastAsiaTheme="minorEastAsia" w:cstheme="minorEastAsia"/>
          <w:color w:val="auto"/>
          <w:sz w:val="24"/>
          <w:szCs w:val="24"/>
          <w:highlight w:val="none"/>
        </w:rPr>
        <w:t>前，制作、加密并上传电子投标文件。加密的电子投标文件</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应在投标截止时间前通过《全国公共资源交易平台（河南省·信阳市）》网站电子交易平台</w:t>
      </w:r>
      <w:bookmarkStart w:id="157" w:name="_Hlk166399470"/>
      <w:r>
        <w:rPr>
          <w:rFonts w:hint="eastAsia" w:asciiTheme="minorEastAsia" w:hAnsiTheme="minorEastAsia" w:eastAsiaTheme="minorEastAsia" w:cstheme="minorEastAsia"/>
          <w:color w:val="auto"/>
          <w:sz w:val="24"/>
          <w:szCs w:val="24"/>
          <w:highlight w:val="none"/>
        </w:rPr>
        <w:t>成功上传。</w:t>
      </w:r>
      <w:bookmarkEnd w:id="155"/>
      <w:bookmarkEnd w:id="157"/>
    </w:p>
    <w:p w14:paraId="764BEFE0">
      <w:pPr>
        <w:pageBreakBefore w:val="0"/>
        <w:widowControl w:val="0"/>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highlight w:val="none"/>
        </w:rPr>
        <w:t>4.5.6 加密的电子投标文件为《全国公共资源交易平台（河南省·信阳市）》网站提供的“投标文件制</w:t>
      </w:r>
      <w:r>
        <w:rPr>
          <w:rFonts w:hint="eastAsia" w:asciiTheme="minorEastAsia" w:hAnsiTheme="minorEastAsia" w:eastAsiaTheme="minorEastAsia" w:cstheme="minorEastAsia"/>
          <w:color w:val="auto"/>
          <w:sz w:val="24"/>
          <w:szCs w:val="24"/>
        </w:rPr>
        <w:t>作工具”软件制作生成的加密版投标文件。</w:t>
      </w:r>
      <w:bookmarkEnd w:id="156"/>
    </w:p>
    <w:p w14:paraId="04430614">
      <w:pPr>
        <w:pageBreakBefore w:val="0"/>
        <w:widowControl w:val="0"/>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color w:val="FF0000"/>
          <w:sz w:val="24"/>
          <w:szCs w:val="24"/>
        </w:rPr>
      </w:pPr>
      <w:bookmarkStart w:id="158" w:name="_Hlk57218246"/>
      <w:bookmarkStart w:id="159" w:name="_Hlk57213248"/>
      <w:r>
        <w:rPr>
          <w:rFonts w:hint="eastAsia" w:asciiTheme="minorEastAsia" w:hAnsiTheme="minorEastAsia" w:eastAsiaTheme="minorEastAsia" w:cstheme="minorEastAsia"/>
          <w:color w:val="auto"/>
          <w:sz w:val="24"/>
          <w:szCs w:val="24"/>
        </w:rPr>
        <w:t>4.5.7 投标文件的修改：在投标截止时</w:t>
      </w:r>
      <w:r>
        <w:rPr>
          <w:rFonts w:hint="eastAsia" w:asciiTheme="minorEastAsia" w:hAnsiTheme="minorEastAsia" w:eastAsiaTheme="minorEastAsia" w:cstheme="minorEastAsia"/>
          <w:color w:val="auto"/>
          <w:sz w:val="24"/>
          <w:szCs w:val="24"/>
          <w:lang w:eastAsia="zh-CN"/>
        </w:rPr>
        <w:t>间之</w:t>
      </w:r>
      <w:r>
        <w:rPr>
          <w:rFonts w:hint="eastAsia" w:asciiTheme="minorEastAsia" w:hAnsiTheme="minorEastAsia" w:eastAsiaTheme="minorEastAsia" w:cstheme="minorEastAsia"/>
          <w:color w:val="auto"/>
          <w:sz w:val="24"/>
          <w:szCs w:val="24"/>
        </w:rPr>
        <w:t>前，投标人如果</w:t>
      </w:r>
      <w:r>
        <w:rPr>
          <w:rFonts w:hint="eastAsia" w:asciiTheme="minorEastAsia" w:hAnsiTheme="minorEastAsia" w:eastAsiaTheme="minorEastAsia" w:cstheme="minorEastAsia"/>
          <w:sz w:val="24"/>
          <w:szCs w:val="24"/>
        </w:rPr>
        <w:t>对投标文件进行了修改，则应在修改处加</w:t>
      </w:r>
      <w:bookmarkStart w:id="160" w:name="_Hlk166399646"/>
      <w:r>
        <w:rPr>
          <w:rFonts w:hint="eastAsia" w:asciiTheme="minorEastAsia" w:hAnsiTheme="minorEastAsia" w:eastAsiaTheme="minorEastAsia" w:cstheme="minorEastAsia"/>
          <w:sz w:val="24"/>
          <w:szCs w:val="24"/>
        </w:rPr>
        <w:t>盖单位的公章。</w:t>
      </w:r>
      <w:bookmarkEnd w:id="158"/>
      <w:bookmarkEnd w:id="160"/>
    </w:p>
    <w:p w14:paraId="451A2FED">
      <w:pPr>
        <w:pageBreakBefore w:val="0"/>
        <w:widowControl w:val="0"/>
        <w:kinsoku/>
        <w:wordWrap/>
        <w:overflowPunct/>
        <w:topLinePunct w:val="0"/>
        <w:bidi w:val="0"/>
        <w:adjustRightInd w:val="0"/>
        <w:snapToGrid w:val="0"/>
        <w:spacing w:before="0" w:after="0" w:line="360" w:lineRule="auto"/>
        <w:textAlignment w:val="auto"/>
        <w:outlineLvl w:val="9"/>
        <w:rPr>
          <w:rFonts w:hint="eastAsia" w:asciiTheme="minorEastAsia" w:hAnsiTheme="minorEastAsia" w:eastAsiaTheme="minorEastAsia" w:cstheme="minorEastAsia"/>
          <w:b/>
          <w:bCs/>
          <w:sz w:val="24"/>
          <w:szCs w:val="24"/>
        </w:rPr>
      </w:pPr>
      <w:bookmarkStart w:id="161" w:name="_Toc57211955"/>
      <w:bookmarkStart w:id="162" w:name="_Toc15058"/>
      <w:r>
        <w:rPr>
          <w:rFonts w:hint="eastAsia" w:asciiTheme="minorEastAsia" w:hAnsiTheme="minorEastAsia" w:eastAsiaTheme="minorEastAsia" w:cstheme="minorEastAsia"/>
          <w:b/>
          <w:bCs/>
          <w:sz w:val="24"/>
          <w:szCs w:val="24"/>
        </w:rPr>
        <w:t>4.6 投标保证金</w:t>
      </w:r>
      <w:bookmarkEnd w:id="161"/>
      <w:bookmarkEnd w:id="162"/>
    </w:p>
    <w:p w14:paraId="4444A8B1">
      <w:pPr>
        <w:pageBreakBefore w:val="0"/>
        <w:widowControl w:val="0"/>
        <w:kinsoku/>
        <w:wordWrap/>
        <w:overflowPunct/>
        <w:topLinePunct w:val="0"/>
        <w:bidi w:val="0"/>
        <w:adjustRightInd w:val="0"/>
        <w:snapToGrid w:val="0"/>
        <w:spacing w:line="360" w:lineRule="auto"/>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4.6.1参加本项目采购活动的投标人无需交纳投标保证金。</w:t>
      </w:r>
    </w:p>
    <w:p w14:paraId="4966885F">
      <w:pPr>
        <w:pageBreakBefore w:val="0"/>
        <w:widowControl w:val="0"/>
        <w:kinsoku/>
        <w:wordWrap/>
        <w:overflowPunct/>
        <w:topLinePunct w:val="0"/>
        <w:bidi w:val="0"/>
        <w:adjustRightInd w:val="0"/>
        <w:snapToGrid w:val="0"/>
        <w:spacing w:before="0" w:after="0" w:line="360" w:lineRule="auto"/>
        <w:textAlignment w:val="auto"/>
        <w:outlineLvl w:val="9"/>
        <w:rPr>
          <w:rFonts w:hint="eastAsia" w:asciiTheme="minorEastAsia" w:hAnsiTheme="minorEastAsia" w:eastAsiaTheme="minorEastAsia" w:cstheme="minorEastAsia"/>
          <w:b/>
          <w:bCs/>
          <w:sz w:val="24"/>
          <w:szCs w:val="24"/>
        </w:rPr>
      </w:pPr>
      <w:bookmarkStart w:id="163" w:name="_Toc57211956"/>
      <w:bookmarkStart w:id="164" w:name="_Toc25775"/>
      <w:r>
        <w:rPr>
          <w:rFonts w:hint="eastAsia" w:asciiTheme="minorEastAsia" w:hAnsiTheme="minorEastAsia" w:eastAsiaTheme="minorEastAsia" w:cstheme="minorEastAsia"/>
          <w:b/>
          <w:bCs/>
          <w:sz w:val="24"/>
          <w:szCs w:val="24"/>
        </w:rPr>
        <w:t>4.7 投标有效期</w:t>
      </w:r>
      <w:bookmarkEnd w:id="163"/>
      <w:bookmarkEnd w:id="164"/>
    </w:p>
    <w:p w14:paraId="39AE017A">
      <w:pPr>
        <w:pageBreakBefore w:val="0"/>
        <w:widowControl w:val="0"/>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sz w:val="24"/>
          <w:szCs w:val="24"/>
        </w:rPr>
        <w:t xml:space="preserve">4.7.1 </w:t>
      </w:r>
      <w:r>
        <w:rPr>
          <w:rFonts w:hint="eastAsia" w:asciiTheme="minorEastAsia" w:hAnsiTheme="minorEastAsia" w:eastAsiaTheme="minorEastAsia" w:cstheme="minorEastAsia"/>
          <w:b w:val="0"/>
          <w:bCs w:val="0"/>
          <w:sz w:val="24"/>
          <w:szCs w:val="24"/>
        </w:rPr>
        <w:t>投标文件应在</w:t>
      </w:r>
      <w:r>
        <w:rPr>
          <w:rFonts w:hint="eastAsia" w:asciiTheme="minorEastAsia" w:hAnsiTheme="minorEastAsia" w:eastAsiaTheme="minorEastAsia" w:cstheme="minorEastAsia"/>
          <w:b w:val="0"/>
          <w:bCs w:val="0"/>
          <w:sz w:val="24"/>
          <w:szCs w:val="24"/>
          <w:u w:val="single"/>
        </w:rPr>
        <w:t>投标人须知前附表</w:t>
      </w:r>
      <w:r>
        <w:rPr>
          <w:rFonts w:hint="eastAsia" w:asciiTheme="minorEastAsia" w:hAnsiTheme="minorEastAsia" w:eastAsiaTheme="minorEastAsia" w:cstheme="minorEastAsia"/>
          <w:b w:val="0"/>
          <w:bCs w:val="0"/>
          <w:sz w:val="24"/>
          <w:szCs w:val="24"/>
        </w:rPr>
        <w:t>中规定时间内保持有效。投标有效期不满足要求的投标文件，将被认定为无效投标文件。</w:t>
      </w:r>
    </w:p>
    <w:p w14:paraId="06346AC3">
      <w:pPr>
        <w:pageBreakBefore w:val="0"/>
        <w:widowControl w:val="0"/>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4.7.2 因特殊原因，采购人或采购代理机构可在原投标有效期截止之前，要求投标人延长投标文件的有效期。接受该要求的投标人将不会被要求和允许修正其投标文件。投标人也可以拒绝延长投标文件有效期的要求，且不承担任何责任。上述要求和答复都应以书面形式提交。</w:t>
      </w:r>
    </w:p>
    <w:bookmarkEnd w:id="159"/>
    <w:p w14:paraId="39684C3F">
      <w:pPr>
        <w:pageBreakBefore w:val="0"/>
        <w:widowControl w:val="0"/>
        <w:kinsoku/>
        <w:wordWrap/>
        <w:overflowPunct/>
        <w:topLinePunct w:val="0"/>
        <w:bidi w:val="0"/>
        <w:adjustRightInd w:val="0"/>
        <w:snapToGrid w:val="0"/>
        <w:spacing w:before="0" w:after="0" w:line="360" w:lineRule="auto"/>
        <w:textAlignment w:val="auto"/>
        <w:outlineLvl w:val="9"/>
        <w:rPr>
          <w:rFonts w:hint="eastAsia" w:asciiTheme="minorEastAsia" w:hAnsiTheme="minorEastAsia" w:eastAsiaTheme="minorEastAsia" w:cstheme="minorEastAsia"/>
          <w:b w:val="0"/>
          <w:bCs w:val="0"/>
          <w:sz w:val="24"/>
          <w:szCs w:val="24"/>
        </w:rPr>
      </w:pPr>
      <w:bookmarkStart w:id="165" w:name="_Toc57211958"/>
      <w:bookmarkStart w:id="166" w:name="_Toc29390"/>
      <w:bookmarkStart w:id="167" w:name="_Toc8804"/>
      <w:r>
        <w:rPr>
          <w:rFonts w:hint="eastAsia" w:asciiTheme="minorEastAsia" w:hAnsiTheme="minorEastAsia" w:eastAsiaTheme="minorEastAsia" w:cstheme="minorEastAsia"/>
          <w:b/>
          <w:bCs/>
          <w:sz w:val="24"/>
          <w:szCs w:val="24"/>
          <w:lang w:eastAsia="zh-CN"/>
        </w:rPr>
        <w:t>5.</w:t>
      </w:r>
      <w:r>
        <w:rPr>
          <w:rFonts w:hint="eastAsia" w:asciiTheme="minorEastAsia" w:hAnsiTheme="minorEastAsia" w:eastAsiaTheme="minorEastAsia" w:cstheme="minorEastAsia"/>
          <w:b/>
          <w:bCs/>
          <w:sz w:val="24"/>
          <w:szCs w:val="24"/>
        </w:rPr>
        <w:t>投标文件的</w:t>
      </w:r>
      <w:bookmarkEnd w:id="165"/>
      <w:r>
        <w:rPr>
          <w:rFonts w:hint="eastAsia" w:asciiTheme="minorEastAsia" w:hAnsiTheme="minorEastAsia" w:eastAsiaTheme="minorEastAsia" w:cstheme="minorEastAsia"/>
          <w:b/>
          <w:bCs/>
          <w:sz w:val="24"/>
          <w:szCs w:val="24"/>
        </w:rPr>
        <w:t>提交</w:t>
      </w:r>
      <w:bookmarkEnd w:id="166"/>
      <w:bookmarkEnd w:id="167"/>
    </w:p>
    <w:p w14:paraId="4493CAA5">
      <w:pPr>
        <w:pageBreakBefore w:val="0"/>
        <w:widowControl w:val="0"/>
        <w:kinsoku/>
        <w:wordWrap/>
        <w:overflowPunct/>
        <w:topLinePunct w:val="0"/>
        <w:bidi w:val="0"/>
        <w:adjustRightInd w:val="0"/>
        <w:snapToGrid w:val="0"/>
        <w:spacing w:before="0" w:after="0" w:line="360" w:lineRule="auto"/>
        <w:textAlignment w:val="auto"/>
        <w:outlineLvl w:val="9"/>
        <w:rPr>
          <w:rFonts w:hint="eastAsia" w:asciiTheme="minorEastAsia" w:hAnsiTheme="minorEastAsia" w:eastAsiaTheme="minorEastAsia" w:cstheme="minorEastAsia"/>
          <w:b/>
          <w:bCs/>
          <w:sz w:val="24"/>
          <w:szCs w:val="24"/>
        </w:rPr>
      </w:pPr>
      <w:bookmarkStart w:id="168" w:name="_Toc2683"/>
      <w:bookmarkStart w:id="169" w:name="_Toc57211959"/>
      <w:r>
        <w:rPr>
          <w:rFonts w:hint="eastAsia" w:asciiTheme="minorEastAsia" w:hAnsiTheme="minorEastAsia" w:eastAsiaTheme="minorEastAsia" w:cstheme="minorEastAsia"/>
          <w:b/>
          <w:bCs/>
          <w:sz w:val="24"/>
          <w:szCs w:val="24"/>
        </w:rPr>
        <w:t>5.1 投标文件的密封和标记</w:t>
      </w:r>
      <w:bookmarkEnd w:id="168"/>
      <w:bookmarkEnd w:id="169"/>
    </w:p>
    <w:p w14:paraId="4C78DB5F">
      <w:pPr>
        <w:pageBreakBefore w:val="0"/>
        <w:widowControl w:val="0"/>
        <w:kinsoku/>
        <w:wordWrap/>
        <w:overflowPunct/>
        <w:topLinePunct w:val="0"/>
        <w:bidi w:val="0"/>
        <w:adjustRightInd w:val="0"/>
        <w:snapToGrid w:val="0"/>
        <w:spacing w:line="360" w:lineRule="auto"/>
        <w:ind w:left="480" w:hanging="480" w:hangingChars="200"/>
        <w:textAlignment w:val="auto"/>
        <w:outlineLvl w:val="9"/>
        <w:rPr>
          <w:rFonts w:hint="eastAsia" w:asciiTheme="minorEastAsia" w:hAnsiTheme="minorEastAsia" w:eastAsiaTheme="minorEastAsia" w:cstheme="minorEastAsia"/>
          <w:sz w:val="24"/>
          <w:szCs w:val="24"/>
        </w:rPr>
      </w:pPr>
      <w:bookmarkStart w:id="170" w:name="_Hlk164350440"/>
      <w:r>
        <w:rPr>
          <w:rFonts w:hint="eastAsia" w:asciiTheme="minorEastAsia" w:hAnsiTheme="minorEastAsia" w:eastAsiaTheme="minorEastAsia" w:cstheme="minorEastAsia"/>
          <w:color w:val="000000"/>
          <w:sz w:val="24"/>
          <w:szCs w:val="24"/>
        </w:rPr>
        <w:t>5.1.1本项目使用电子交易平台，采用全程不见面投标、开标、评标的方式。投标人根据招标文件及电子交易平台投标人操作手册要求编制、生成并提交电子投标文件。</w:t>
      </w:r>
    </w:p>
    <w:bookmarkEnd w:id="170"/>
    <w:p w14:paraId="3F5817B7">
      <w:pPr>
        <w:pageBreakBefore w:val="0"/>
        <w:widowControl w:val="0"/>
        <w:kinsoku/>
        <w:wordWrap/>
        <w:overflowPunct/>
        <w:topLinePunct w:val="0"/>
        <w:bidi w:val="0"/>
        <w:adjustRightInd w:val="0"/>
        <w:snapToGrid w:val="0"/>
        <w:spacing w:before="0" w:after="0" w:line="360" w:lineRule="auto"/>
        <w:textAlignment w:val="auto"/>
        <w:outlineLvl w:val="9"/>
        <w:rPr>
          <w:rFonts w:hint="eastAsia" w:asciiTheme="minorEastAsia" w:hAnsiTheme="minorEastAsia" w:eastAsiaTheme="minorEastAsia" w:cstheme="minorEastAsia"/>
          <w:b/>
          <w:bCs/>
          <w:sz w:val="24"/>
          <w:szCs w:val="24"/>
        </w:rPr>
      </w:pPr>
      <w:bookmarkStart w:id="171" w:name="_Toc57211960"/>
      <w:bookmarkStart w:id="172" w:name="_Toc3528"/>
      <w:r>
        <w:rPr>
          <w:rFonts w:hint="eastAsia" w:asciiTheme="minorEastAsia" w:hAnsiTheme="minorEastAsia" w:eastAsiaTheme="minorEastAsia" w:cstheme="minorEastAsia"/>
          <w:b/>
          <w:bCs/>
          <w:sz w:val="24"/>
          <w:szCs w:val="24"/>
        </w:rPr>
        <w:t>5.2 投标截止时间</w:t>
      </w:r>
      <w:bookmarkEnd w:id="171"/>
      <w:bookmarkEnd w:id="172"/>
    </w:p>
    <w:p w14:paraId="4F14A1E0">
      <w:pPr>
        <w:pageBreakBefore w:val="0"/>
        <w:widowControl w:val="0"/>
        <w:tabs>
          <w:tab w:val="left" w:pos="360"/>
          <w:tab w:val="left" w:pos="720"/>
          <w:tab w:val="left" w:pos="1185"/>
        </w:tabs>
        <w:kinsoku/>
        <w:wordWrap/>
        <w:overflowPunct/>
        <w:topLinePunct w:val="0"/>
        <w:bidi w:val="0"/>
        <w:adjustRightInd w:val="0"/>
        <w:snapToGrid w:val="0"/>
        <w:spacing w:line="360" w:lineRule="auto"/>
        <w:textAlignment w:val="auto"/>
        <w:outlineLvl w:val="9"/>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sz w:val="24"/>
          <w:szCs w:val="24"/>
        </w:rPr>
        <w:t>5.2.1 投标截止时间（投标文件提交的截止时间）：</w:t>
      </w:r>
      <w:r>
        <w:rPr>
          <w:rFonts w:hint="eastAsia" w:asciiTheme="minorEastAsia" w:hAnsiTheme="minorEastAsia" w:eastAsiaTheme="minorEastAsia" w:cstheme="minorEastAsia"/>
          <w:b w:val="0"/>
          <w:bCs/>
          <w:sz w:val="24"/>
          <w:szCs w:val="24"/>
          <w:u w:val="single"/>
        </w:rPr>
        <w:t>见投标人须知前附表</w:t>
      </w:r>
      <w:r>
        <w:rPr>
          <w:rFonts w:hint="eastAsia" w:asciiTheme="minorEastAsia" w:hAnsiTheme="minorEastAsia" w:eastAsiaTheme="minorEastAsia" w:cstheme="minorEastAsia"/>
          <w:b w:val="0"/>
          <w:bCs/>
          <w:sz w:val="24"/>
          <w:szCs w:val="24"/>
        </w:rPr>
        <w:t>。</w:t>
      </w:r>
    </w:p>
    <w:p w14:paraId="05D8542E">
      <w:pPr>
        <w:pageBreakBefore w:val="0"/>
        <w:widowControl w:val="0"/>
        <w:tabs>
          <w:tab w:val="left" w:pos="360"/>
          <w:tab w:val="left" w:pos="720"/>
          <w:tab w:val="left" w:pos="1185"/>
        </w:tabs>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5.2.2 加密的电子投标文件应在投标截止时间前通过电子交易平台</w:t>
      </w:r>
      <w:bookmarkStart w:id="173" w:name="_Hlk86855331"/>
      <w:r>
        <w:rPr>
          <w:rFonts w:hint="eastAsia" w:asciiTheme="minorEastAsia" w:hAnsiTheme="minorEastAsia" w:eastAsiaTheme="minorEastAsia" w:cstheme="minorEastAsia"/>
          <w:sz w:val="24"/>
          <w:szCs w:val="24"/>
        </w:rPr>
        <w:t>成功上传。</w:t>
      </w:r>
      <w:bookmarkEnd w:id="173"/>
    </w:p>
    <w:p w14:paraId="431C37A5">
      <w:pPr>
        <w:pageBreakBefore w:val="0"/>
        <w:widowControl w:val="0"/>
        <w:tabs>
          <w:tab w:val="left" w:pos="360"/>
          <w:tab w:val="left" w:pos="720"/>
          <w:tab w:val="left" w:pos="1185"/>
        </w:tabs>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5.2.3 采购人和采购代理机构可以按本章的规定，通过修改招标文件自行决定是否酌情延长投标文件提交截止时间的期限。</w:t>
      </w:r>
      <w:bookmarkStart w:id="174" w:name="_Hlk57213292"/>
      <w:r>
        <w:rPr>
          <w:rFonts w:hint="eastAsia" w:asciiTheme="minorEastAsia" w:hAnsiTheme="minorEastAsia" w:eastAsiaTheme="minorEastAsia" w:cstheme="minorEastAsia"/>
          <w:sz w:val="24"/>
          <w:szCs w:val="24"/>
        </w:rPr>
        <w:t>如果采购人和采购代理机构延长了投标文件提交截止时间的期限，投标人提交投标文件的截止时间则以延长后的时间为准。</w:t>
      </w:r>
      <w:bookmarkEnd w:id="174"/>
    </w:p>
    <w:p w14:paraId="26ED893A">
      <w:pPr>
        <w:pageBreakBefore w:val="0"/>
        <w:widowControl w:val="0"/>
        <w:tabs>
          <w:tab w:val="left" w:pos="360"/>
          <w:tab w:val="left" w:pos="720"/>
          <w:tab w:val="left" w:pos="1185"/>
        </w:tabs>
        <w:kinsoku/>
        <w:wordWrap/>
        <w:overflowPunct/>
        <w:topLinePunct w:val="0"/>
        <w:bidi w:val="0"/>
        <w:adjustRightInd w:val="0"/>
        <w:snapToGrid w:val="0"/>
        <w:spacing w:line="360" w:lineRule="auto"/>
        <w:textAlignment w:val="auto"/>
        <w:outlineLvl w:val="9"/>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5.2.4 迟交的投标文件</w:t>
      </w:r>
    </w:p>
    <w:p w14:paraId="471E9225">
      <w:pPr>
        <w:pageBreakBefore w:val="0"/>
        <w:widowControl w:val="0"/>
        <w:tabs>
          <w:tab w:val="left" w:pos="360"/>
          <w:tab w:val="left" w:pos="720"/>
          <w:tab w:val="left" w:pos="1185"/>
        </w:tabs>
        <w:kinsoku/>
        <w:wordWrap/>
        <w:overflowPunct/>
        <w:topLinePunct w:val="0"/>
        <w:bidi w:val="0"/>
        <w:adjustRightInd w:val="0"/>
        <w:snapToGrid w:val="0"/>
        <w:spacing w:line="360" w:lineRule="auto"/>
        <w:ind w:firstLine="720" w:firstLineChars="3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采购人和采购代理机构将拒绝在规定的时间内未上传、未解密的投标文件。</w:t>
      </w:r>
    </w:p>
    <w:p w14:paraId="5FD45118">
      <w:pPr>
        <w:pageBreakBefore w:val="0"/>
        <w:widowControl w:val="0"/>
        <w:kinsoku/>
        <w:wordWrap/>
        <w:overflowPunct/>
        <w:topLinePunct w:val="0"/>
        <w:bidi w:val="0"/>
        <w:adjustRightInd w:val="0"/>
        <w:snapToGrid w:val="0"/>
        <w:spacing w:before="0" w:after="0" w:line="360" w:lineRule="auto"/>
        <w:textAlignment w:val="auto"/>
        <w:outlineLvl w:val="9"/>
        <w:rPr>
          <w:rFonts w:hint="eastAsia" w:asciiTheme="minorEastAsia" w:hAnsiTheme="minorEastAsia" w:eastAsiaTheme="minorEastAsia" w:cstheme="minorEastAsia"/>
          <w:b w:val="0"/>
          <w:bCs w:val="0"/>
          <w:sz w:val="24"/>
          <w:szCs w:val="24"/>
        </w:rPr>
      </w:pPr>
      <w:bookmarkStart w:id="175" w:name="_Toc13204"/>
      <w:bookmarkStart w:id="176" w:name="_Toc57211961"/>
      <w:r>
        <w:rPr>
          <w:rFonts w:hint="eastAsia" w:asciiTheme="minorEastAsia" w:hAnsiTheme="minorEastAsia" w:eastAsiaTheme="minorEastAsia" w:cstheme="minorEastAsia"/>
          <w:b/>
          <w:bCs/>
          <w:sz w:val="24"/>
          <w:szCs w:val="24"/>
        </w:rPr>
        <w:t>5.3 投标文件的提交、修改与撤回</w:t>
      </w:r>
      <w:bookmarkEnd w:id="175"/>
      <w:bookmarkEnd w:id="176"/>
    </w:p>
    <w:p w14:paraId="16941426">
      <w:pPr>
        <w:pageBreakBefore w:val="0"/>
        <w:widowControl w:val="0"/>
        <w:tabs>
          <w:tab w:val="left" w:pos="360"/>
          <w:tab w:val="left" w:pos="720"/>
        </w:tabs>
        <w:kinsoku/>
        <w:wordWrap/>
        <w:overflowPunct/>
        <w:topLinePunct w:val="0"/>
        <w:bidi w:val="0"/>
        <w:adjustRightInd w:val="0"/>
        <w:snapToGrid w:val="0"/>
        <w:spacing w:line="360" w:lineRule="auto"/>
        <w:textAlignment w:val="auto"/>
        <w:outlineLvl w:val="9"/>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5.3.1 投标文件的提交</w:t>
      </w:r>
    </w:p>
    <w:p w14:paraId="7FFA7E79">
      <w:pPr>
        <w:pageBreakBefore w:val="0"/>
        <w:widowControl w:val="0"/>
        <w:kinsoku/>
        <w:wordWrap/>
        <w:overflowPunct/>
        <w:topLinePunct w:val="0"/>
        <w:bidi w:val="0"/>
        <w:adjustRightInd w:val="0"/>
        <w:snapToGrid w:val="0"/>
        <w:spacing w:line="360" w:lineRule="auto"/>
        <w:ind w:left="960" w:hanging="960" w:hangingChars="400"/>
        <w:textAlignment w:val="auto"/>
        <w:outlineLvl w:val="9"/>
        <w:rPr>
          <w:rFonts w:hint="eastAsia" w:asciiTheme="minorEastAsia" w:hAnsiTheme="minorEastAsia" w:eastAsiaTheme="minorEastAsia" w:cstheme="minorEastAsia"/>
          <w:b w:val="0"/>
          <w:bCs w:val="0"/>
          <w:color w:val="000000"/>
          <w:sz w:val="24"/>
          <w:szCs w:val="24"/>
        </w:rPr>
      </w:pPr>
      <w:r>
        <w:rPr>
          <w:rFonts w:hint="eastAsia" w:asciiTheme="minorEastAsia" w:hAnsiTheme="minorEastAsia" w:eastAsiaTheme="minorEastAsia" w:cstheme="minorEastAsia"/>
          <w:b w:val="0"/>
          <w:bCs w:val="0"/>
          <w:sz w:val="24"/>
          <w:szCs w:val="24"/>
        </w:rPr>
        <w:t xml:space="preserve">5.3.1.1 </w:t>
      </w:r>
      <w:r>
        <w:rPr>
          <w:rFonts w:hint="eastAsia" w:asciiTheme="minorEastAsia" w:hAnsiTheme="minorEastAsia" w:eastAsiaTheme="minorEastAsia" w:cstheme="minorEastAsia"/>
          <w:b w:val="0"/>
          <w:bCs w:val="0"/>
          <w:color w:val="000000"/>
          <w:sz w:val="24"/>
          <w:szCs w:val="24"/>
        </w:rPr>
        <w:t>投标人应在投标截止时间前上传加密的电子投标文件到电子交易平台系统的指定位置</w:t>
      </w:r>
      <w:bookmarkStart w:id="177" w:name="_Hlk164350837"/>
      <w:r>
        <w:rPr>
          <w:rFonts w:hint="eastAsia" w:asciiTheme="minorEastAsia" w:hAnsiTheme="minorEastAsia" w:eastAsiaTheme="minorEastAsia" w:cstheme="minorEastAsia"/>
          <w:b w:val="0"/>
          <w:bCs w:val="0"/>
          <w:color w:val="000000"/>
          <w:sz w:val="24"/>
          <w:szCs w:val="24"/>
        </w:rPr>
        <w:t>，上传时必须得到系统“上传成功”的确认。请投标人在上传时认真检查上传的投标文件是否完整、正确。</w:t>
      </w:r>
    </w:p>
    <w:bookmarkEnd w:id="177"/>
    <w:p w14:paraId="32B27592">
      <w:pPr>
        <w:pageBreakBefore w:val="0"/>
        <w:widowControl w:val="0"/>
        <w:kinsoku/>
        <w:wordWrap/>
        <w:overflowPunct/>
        <w:topLinePunct w:val="0"/>
        <w:bidi w:val="0"/>
        <w:adjustRightInd w:val="0"/>
        <w:snapToGrid w:val="0"/>
        <w:spacing w:line="360" w:lineRule="auto"/>
        <w:ind w:left="960" w:hanging="960" w:hangingChars="400"/>
        <w:textAlignment w:val="auto"/>
        <w:outlineLvl w:val="9"/>
        <w:rPr>
          <w:rFonts w:hint="eastAsia" w:asciiTheme="minorEastAsia" w:hAnsiTheme="minorEastAsia" w:eastAsiaTheme="minorEastAsia" w:cstheme="minorEastAsia"/>
          <w:b w:val="0"/>
          <w:bCs w:val="0"/>
          <w:color w:val="auto"/>
          <w:sz w:val="24"/>
          <w:szCs w:val="24"/>
          <w:highlight w:val="none"/>
        </w:rPr>
      </w:pPr>
      <w:bookmarkStart w:id="178" w:name="_Hlk164350916"/>
      <w:r>
        <w:rPr>
          <w:rFonts w:hint="eastAsia" w:asciiTheme="minorEastAsia" w:hAnsiTheme="minorEastAsia" w:eastAsiaTheme="minorEastAsia" w:cstheme="minorEastAsia"/>
          <w:b w:val="0"/>
          <w:bCs w:val="0"/>
          <w:color w:val="000000"/>
          <w:sz w:val="24"/>
          <w:szCs w:val="24"/>
          <w:highlight w:val="none"/>
        </w:rPr>
        <w:t>5.3.1.2 投标人因电子交易平台系统问题无</w:t>
      </w:r>
      <w:r>
        <w:rPr>
          <w:rFonts w:hint="eastAsia" w:asciiTheme="minorEastAsia" w:hAnsiTheme="minorEastAsia" w:eastAsiaTheme="minorEastAsia" w:cstheme="minorEastAsia"/>
          <w:b w:val="0"/>
          <w:bCs w:val="0"/>
          <w:sz w:val="24"/>
          <w:szCs w:val="24"/>
          <w:highlight w:val="none"/>
        </w:rPr>
        <w:t>法上传电子投标文件时，请在工作时间与</w:t>
      </w:r>
      <w:r>
        <w:rPr>
          <w:rFonts w:hint="eastAsia" w:asciiTheme="minorEastAsia" w:hAnsiTheme="minorEastAsia" w:eastAsiaTheme="minorEastAsia" w:cstheme="minorEastAsia"/>
          <w:b w:val="0"/>
          <w:bCs w:val="0"/>
          <w:color w:val="auto"/>
          <w:sz w:val="24"/>
          <w:szCs w:val="24"/>
          <w:highlight w:val="none"/>
          <w:lang w:val="en-US" w:eastAsia="zh-CN"/>
        </w:rPr>
        <w:t>信阳</w:t>
      </w:r>
      <w:r>
        <w:rPr>
          <w:rFonts w:hint="eastAsia" w:asciiTheme="minorEastAsia" w:hAnsiTheme="minorEastAsia" w:eastAsiaTheme="minorEastAsia" w:cstheme="minorEastAsia"/>
          <w:b w:val="0"/>
          <w:bCs w:val="0"/>
          <w:color w:val="auto"/>
          <w:sz w:val="24"/>
          <w:szCs w:val="24"/>
          <w:highlight w:val="none"/>
          <w:lang w:eastAsia="zh-CN"/>
        </w:rPr>
        <w:t>市公共资源交易中心</w:t>
      </w:r>
      <w:r>
        <w:rPr>
          <w:rFonts w:hint="eastAsia" w:asciiTheme="minorEastAsia" w:hAnsiTheme="minorEastAsia" w:eastAsiaTheme="minorEastAsia" w:cstheme="minorEastAsia"/>
          <w:b w:val="0"/>
          <w:bCs w:val="0"/>
          <w:color w:val="auto"/>
          <w:sz w:val="24"/>
          <w:szCs w:val="24"/>
          <w:highlight w:val="none"/>
        </w:rPr>
        <w:t>联系。</w:t>
      </w:r>
    </w:p>
    <w:bookmarkEnd w:id="178"/>
    <w:p w14:paraId="5E6E6CD2">
      <w:pPr>
        <w:pageBreakBefore w:val="0"/>
        <w:widowControl w:val="0"/>
        <w:kinsoku/>
        <w:wordWrap/>
        <w:overflowPunct/>
        <w:topLinePunct w:val="0"/>
        <w:bidi w:val="0"/>
        <w:adjustRightInd w:val="0"/>
        <w:snapToGrid w:val="0"/>
        <w:spacing w:line="360" w:lineRule="auto"/>
        <w:ind w:left="960" w:hanging="960" w:hangingChars="400"/>
        <w:textAlignment w:val="auto"/>
        <w:outlineLvl w:val="9"/>
        <w:rPr>
          <w:rFonts w:hint="eastAsia" w:asciiTheme="minorEastAsia" w:hAnsiTheme="minorEastAsia" w:eastAsiaTheme="minorEastAsia" w:cstheme="minorEastAsia"/>
          <w:b w:val="0"/>
          <w:bCs w:val="0"/>
          <w:color w:val="000000"/>
          <w:sz w:val="24"/>
          <w:szCs w:val="24"/>
        </w:rPr>
      </w:pPr>
      <w:bookmarkStart w:id="179" w:name="_Hlk164350982"/>
      <w:r>
        <w:rPr>
          <w:rFonts w:hint="eastAsia" w:asciiTheme="minorEastAsia" w:hAnsiTheme="minorEastAsia" w:eastAsiaTheme="minorEastAsia" w:cstheme="minorEastAsia"/>
          <w:b w:val="0"/>
          <w:bCs w:val="0"/>
          <w:color w:val="000000"/>
          <w:sz w:val="24"/>
          <w:szCs w:val="24"/>
          <w:highlight w:val="none"/>
        </w:rPr>
        <w:t>5.3.1.3 采购人及采购代理机构拒绝接受通过电子交易平台以外任何形式提交的投标</w:t>
      </w:r>
      <w:r>
        <w:rPr>
          <w:rFonts w:hint="eastAsia" w:asciiTheme="minorEastAsia" w:hAnsiTheme="minorEastAsia" w:eastAsiaTheme="minorEastAsia" w:cstheme="minorEastAsia"/>
          <w:b w:val="0"/>
          <w:bCs w:val="0"/>
          <w:color w:val="000000"/>
          <w:sz w:val="24"/>
          <w:szCs w:val="24"/>
        </w:rPr>
        <w:t>文件</w:t>
      </w:r>
      <w:bookmarkStart w:id="180" w:name="_Hlk164351037"/>
      <w:r>
        <w:rPr>
          <w:rFonts w:hint="eastAsia" w:asciiTheme="minorEastAsia" w:hAnsiTheme="minorEastAsia" w:eastAsiaTheme="minorEastAsia" w:cstheme="minorEastAsia"/>
          <w:b w:val="0"/>
          <w:bCs w:val="0"/>
          <w:sz w:val="24"/>
          <w:szCs w:val="24"/>
        </w:rPr>
        <w:t>（样品资料除外）</w:t>
      </w:r>
      <w:bookmarkEnd w:id="180"/>
      <w:r>
        <w:rPr>
          <w:rFonts w:hint="eastAsia" w:asciiTheme="minorEastAsia" w:hAnsiTheme="minorEastAsia" w:eastAsiaTheme="minorEastAsia" w:cstheme="minorEastAsia"/>
          <w:b w:val="0"/>
          <w:bCs w:val="0"/>
          <w:color w:val="000000"/>
          <w:sz w:val="24"/>
          <w:szCs w:val="24"/>
        </w:rPr>
        <w:t>。</w:t>
      </w:r>
      <w:bookmarkEnd w:id="179"/>
    </w:p>
    <w:p w14:paraId="75A0E3E0">
      <w:pPr>
        <w:pageBreakBefore w:val="0"/>
        <w:widowControl w:val="0"/>
        <w:tabs>
          <w:tab w:val="left" w:pos="360"/>
          <w:tab w:val="left" w:pos="720"/>
        </w:tabs>
        <w:kinsoku/>
        <w:wordWrap/>
        <w:overflowPunct/>
        <w:topLinePunct w:val="0"/>
        <w:bidi w:val="0"/>
        <w:adjustRightInd w:val="0"/>
        <w:snapToGrid w:val="0"/>
        <w:spacing w:line="360" w:lineRule="auto"/>
        <w:textAlignment w:val="auto"/>
        <w:outlineLvl w:val="9"/>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5.3.2 投标文件的修改和撤回</w:t>
      </w:r>
    </w:p>
    <w:p w14:paraId="089A820D">
      <w:pPr>
        <w:pageBreakBefore w:val="0"/>
        <w:widowControl w:val="0"/>
        <w:kinsoku/>
        <w:wordWrap/>
        <w:overflowPunct/>
        <w:topLinePunct w:val="0"/>
        <w:bidi w:val="0"/>
        <w:adjustRightInd w:val="0"/>
        <w:snapToGrid w:val="0"/>
        <w:spacing w:line="360" w:lineRule="auto"/>
        <w:ind w:left="960" w:hanging="960" w:hangingChars="4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5.3.2.1 投标人在提交投标文件后，在投标截止时间之前可以修改或撤回其投标文件；在投标截止时间之后，投标人不得对其投标文件做任何修改。</w:t>
      </w:r>
    </w:p>
    <w:p w14:paraId="10E91389">
      <w:pPr>
        <w:pageBreakBefore w:val="0"/>
        <w:widowControl w:val="0"/>
        <w:kinsoku/>
        <w:wordWrap/>
        <w:overflowPunct/>
        <w:topLinePunct w:val="0"/>
        <w:bidi w:val="0"/>
        <w:adjustRightInd w:val="0"/>
        <w:snapToGrid w:val="0"/>
        <w:spacing w:line="360" w:lineRule="auto"/>
        <w:ind w:left="960" w:hanging="960" w:hangingChars="400"/>
        <w:textAlignment w:val="auto"/>
        <w:outlineLvl w:val="9"/>
        <w:rPr>
          <w:rFonts w:hint="eastAsia" w:asciiTheme="minorEastAsia" w:hAnsiTheme="minorEastAsia" w:eastAsiaTheme="minorEastAsia" w:cstheme="minorEastAsia"/>
          <w:sz w:val="24"/>
          <w:szCs w:val="24"/>
        </w:rPr>
      </w:pPr>
      <w:bookmarkStart w:id="181" w:name="_Hlk57218343"/>
      <w:r>
        <w:rPr>
          <w:rFonts w:hint="eastAsia" w:asciiTheme="minorEastAsia" w:hAnsiTheme="minorEastAsia" w:eastAsiaTheme="minorEastAsia" w:cstheme="minorEastAsia"/>
          <w:sz w:val="24"/>
          <w:szCs w:val="24"/>
        </w:rPr>
        <w:t xml:space="preserve">5.3.2.2 </w:t>
      </w:r>
      <w:bookmarkStart w:id="182" w:name="OLE_LINK97"/>
      <w:bookmarkStart w:id="183" w:name="_Hlk218416754"/>
      <w:r>
        <w:rPr>
          <w:rFonts w:hint="eastAsia" w:asciiTheme="minorEastAsia" w:hAnsiTheme="minorEastAsia" w:eastAsiaTheme="minorEastAsia" w:cstheme="minorEastAsia"/>
          <w:sz w:val="24"/>
          <w:szCs w:val="24"/>
        </w:rPr>
        <w:t>在投标有效期内，投标人不得撤回（撤销）其投标文件，否则应当承担相应的法律责任。</w:t>
      </w:r>
      <w:bookmarkEnd w:id="181"/>
      <w:bookmarkEnd w:id="182"/>
      <w:bookmarkEnd w:id="183"/>
    </w:p>
    <w:p w14:paraId="0330BD54">
      <w:pPr>
        <w:keepNext w:val="0"/>
        <w:keepLines w:val="0"/>
        <w:pageBreakBefore w:val="0"/>
        <w:widowControl w:val="0"/>
        <w:numPr>
          <w:ilvl w:val="0"/>
          <w:numId w:val="0"/>
        </w:numPr>
        <w:kinsoku/>
        <w:wordWrap/>
        <w:overflowPunct/>
        <w:topLinePunct w:val="0"/>
        <w:autoSpaceDE/>
        <w:autoSpaceDN/>
        <w:bidi w:val="0"/>
        <w:adjustRightInd w:val="0"/>
        <w:snapToGrid w:val="0"/>
        <w:spacing w:before="157" w:beforeLines="50" w:after="157" w:afterLines="50" w:line="360" w:lineRule="auto"/>
        <w:jc w:val="center"/>
        <w:textAlignment w:val="auto"/>
        <w:outlineLvl w:val="1"/>
        <w:rPr>
          <w:rFonts w:hint="eastAsia" w:asciiTheme="minorEastAsia" w:hAnsiTheme="minorEastAsia" w:eastAsiaTheme="minorEastAsia" w:cstheme="minorEastAsia"/>
          <w:sz w:val="24"/>
          <w:szCs w:val="24"/>
        </w:rPr>
      </w:pPr>
      <w:bookmarkStart w:id="184" w:name="_Toc18180"/>
      <w:bookmarkStart w:id="185" w:name="_Toc21136"/>
      <w:r>
        <w:rPr>
          <w:rFonts w:hint="eastAsia" w:asciiTheme="minorEastAsia" w:hAnsiTheme="minorEastAsia" w:eastAsiaTheme="minorEastAsia" w:cstheme="minorEastAsia"/>
          <w:b/>
          <w:bCs/>
          <w:sz w:val="30"/>
          <w:szCs w:val="30"/>
          <w:lang w:val="en-US" w:eastAsia="zh-CN"/>
        </w:rPr>
        <w:t>四、</w:t>
      </w:r>
      <w:r>
        <w:rPr>
          <w:rFonts w:hint="eastAsia" w:asciiTheme="minorEastAsia" w:hAnsiTheme="minorEastAsia" w:eastAsiaTheme="minorEastAsia" w:cstheme="minorEastAsia"/>
          <w:b/>
          <w:bCs/>
          <w:sz w:val="30"/>
          <w:szCs w:val="30"/>
          <w:lang w:eastAsia="zh-CN"/>
        </w:rPr>
        <w:t>开标、资格审查及评标</w:t>
      </w:r>
      <w:bookmarkEnd w:id="184"/>
      <w:bookmarkEnd w:id="185"/>
    </w:p>
    <w:p w14:paraId="330310CE">
      <w:pPr>
        <w:pageBreakBefore w:val="0"/>
        <w:widowControl w:val="0"/>
        <w:kinsoku/>
        <w:wordWrap/>
        <w:overflowPunct/>
        <w:topLinePunct w:val="0"/>
        <w:bidi w:val="0"/>
        <w:adjustRightInd w:val="0"/>
        <w:snapToGrid w:val="0"/>
        <w:spacing w:before="0" w:after="0" w:line="360" w:lineRule="auto"/>
        <w:textAlignment w:val="auto"/>
        <w:outlineLvl w:val="9"/>
        <w:rPr>
          <w:rFonts w:hint="eastAsia" w:asciiTheme="minorEastAsia" w:hAnsiTheme="minorEastAsia" w:eastAsiaTheme="minorEastAsia" w:cstheme="minorEastAsia"/>
          <w:b/>
          <w:bCs/>
          <w:sz w:val="24"/>
          <w:szCs w:val="24"/>
        </w:rPr>
      </w:pPr>
      <w:bookmarkStart w:id="186" w:name="_Toc17047"/>
      <w:bookmarkStart w:id="187" w:name="_Toc57211962"/>
      <w:bookmarkStart w:id="188" w:name="_Toc617"/>
      <w:r>
        <w:rPr>
          <w:rFonts w:hint="eastAsia" w:asciiTheme="minorEastAsia" w:hAnsiTheme="minorEastAsia" w:eastAsiaTheme="minorEastAsia" w:cstheme="minorEastAsia"/>
          <w:b/>
          <w:bCs/>
          <w:sz w:val="24"/>
          <w:szCs w:val="24"/>
          <w:lang w:eastAsia="zh-CN"/>
        </w:rPr>
        <w:t>6.</w:t>
      </w:r>
      <w:r>
        <w:rPr>
          <w:rFonts w:hint="eastAsia" w:asciiTheme="minorEastAsia" w:hAnsiTheme="minorEastAsia" w:eastAsiaTheme="minorEastAsia" w:cstheme="minorEastAsia"/>
          <w:b/>
          <w:bCs/>
          <w:sz w:val="24"/>
          <w:szCs w:val="24"/>
        </w:rPr>
        <w:t>开标、资格审查及评标</w:t>
      </w:r>
      <w:bookmarkEnd w:id="186"/>
      <w:bookmarkEnd w:id="187"/>
      <w:bookmarkEnd w:id="188"/>
    </w:p>
    <w:p w14:paraId="7E0D95BD">
      <w:pPr>
        <w:pageBreakBefore w:val="0"/>
        <w:widowControl w:val="0"/>
        <w:kinsoku/>
        <w:wordWrap/>
        <w:overflowPunct/>
        <w:topLinePunct w:val="0"/>
        <w:autoSpaceDE w:val="0"/>
        <w:autoSpaceDN w:val="0"/>
        <w:bidi w:val="0"/>
        <w:adjustRightInd w:val="0"/>
        <w:snapToGrid w:val="0"/>
        <w:spacing w:before="0" w:after="0" w:line="360" w:lineRule="auto"/>
        <w:jc w:val="left"/>
        <w:textAlignment w:val="auto"/>
        <w:outlineLvl w:val="9"/>
        <w:rPr>
          <w:rFonts w:hint="eastAsia" w:asciiTheme="minorEastAsia" w:hAnsiTheme="minorEastAsia" w:eastAsiaTheme="minorEastAsia" w:cstheme="minorEastAsia"/>
          <w:b/>
          <w:bCs/>
          <w:color w:val="000000"/>
          <w:sz w:val="24"/>
          <w:szCs w:val="24"/>
        </w:rPr>
      </w:pPr>
      <w:bookmarkStart w:id="189" w:name="_Toc57211963"/>
      <w:bookmarkStart w:id="190" w:name="_Toc8840"/>
      <w:r>
        <w:rPr>
          <w:rFonts w:hint="eastAsia" w:asciiTheme="minorEastAsia" w:hAnsiTheme="minorEastAsia" w:eastAsiaTheme="minorEastAsia" w:cstheme="minorEastAsia"/>
          <w:b/>
          <w:bCs/>
          <w:color w:val="000000"/>
          <w:sz w:val="24"/>
          <w:szCs w:val="24"/>
        </w:rPr>
        <w:t xml:space="preserve">6.1 </w:t>
      </w:r>
      <w:bookmarkEnd w:id="189"/>
      <w:r>
        <w:rPr>
          <w:rFonts w:hint="eastAsia" w:asciiTheme="minorEastAsia" w:hAnsiTheme="minorEastAsia" w:eastAsiaTheme="minorEastAsia" w:cstheme="minorEastAsia"/>
          <w:b/>
          <w:bCs/>
          <w:color w:val="000000"/>
          <w:sz w:val="24"/>
          <w:szCs w:val="24"/>
        </w:rPr>
        <w:t>公开开标</w:t>
      </w:r>
      <w:bookmarkEnd w:id="190"/>
    </w:p>
    <w:p w14:paraId="50FA99CF">
      <w:pPr>
        <w:pageBreakBefore w:val="0"/>
        <w:widowControl w:val="0"/>
        <w:kinsoku/>
        <w:wordWrap/>
        <w:overflowPunct/>
        <w:topLinePunct w:val="0"/>
        <w:bidi w:val="0"/>
        <w:adjustRightInd w:val="0"/>
        <w:snapToGrid w:val="0"/>
        <w:spacing w:line="360" w:lineRule="auto"/>
        <w:ind w:left="480" w:hanging="480" w:hangingChars="200"/>
        <w:textAlignment w:val="auto"/>
        <w:outlineLvl w:val="9"/>
        <w:rPr>
          <w:rFonts w:hint="eastAsia" w:asciiTheme="minorEastAsia" w:hAnsiTheme="minorEastAsia" w:eastAsiaTheme="minorEastAsia" w:cstheme="minorEastAsia"/>
          <w:b w:val="0"/>
          <w:bCs w:val="0"/>
          <w:sz w:val="24"/>
          <w:szCs w:val="24"/>
        </w:rPr>
      </w:pPr>
      <w:bookmarkStart w:id="191" w:name="_Hlk86855542"/>
      <w:r>
        <w:rPr>
          <w:rFonts w:hint="eastAsia" w:asciiTheme="minorEastAsia" w:hAnsiTheme="minorEastAsia" w:eastAsiaTheme="minorEastAsia" w:cstheme="minorEastAsia"/>
          <w:color w:val="000000"/>
          <w:sz w:val="24"/>
          <w:szCs w:val="24"/>
        </w:rPr>
        <w:t>6.1.1 采购人和采购代理机构将在</w:t>
      </w:r>
      <w:r>
        <w:rPr>
          <w:rFonts w:hint="eastAsia" w:asciiTheme="minorEastAsia" w:hAnsiTheme="minorEastAsia" w:eastAsiaTheme="minorEastAsia" w:cstheme="minorEastAsia"/>
          <w:b w:val="0"/>
          <w:bCs w:val="0"/>
          <w:color w:val="000000"/>
          <w:sz w:val="24"/>
          <w:szCs w:val="24"/>
        </w:rPr>
        <w:t>“</w:t>
      </w:r>
      <w:r>
        <w:rPr>
          <w:rFonts w:hint="eastAsia" w:asciiTheme="minorEastAsia" w:hAnsiTheme="minorEastAsia" w:eastAsiaTheme="minorEastAsia" w:cstheme="minorEastAsia"/>
          <w:b w:val="0"/>
          <w:bCs w:val="0"/>
          <w:color w:val="000000"/>
          <w:sz w:val="24"/>
          <w:szCs w:val="24"/>
          <w:u w:val="single"/>
        </w:rPr>
        <w:t>投标人须知前附表</w:t>
      </w:r>
      <w:r>
        <w:rPr>
          <w:rFonts w:hint="eastAsia" w:asciiTheme="minorEastAsia" w:hAnsiTheme="minorEastAsia" w:eastAsiaTheme="minorEastAsia" w:cstheme="minorEastAsia"/>
          <w:b w:val="0"/>
          <w:bCs w:val="0"/>
          <w:color w:val="000000"/>
          <w:sz w:val="24"/>
          <w:szCs w:val="24"/>
        </w:rPr>
        <w:t>”中规定的时间和地点组织公开开标。</w:t>
      </w:r>
    </w:p>
    <w:p w14:paraId="443B59AA">
      <w:pPr>
        <w:pageBreakBefore w:val="0"/>
        <w:widowControl w:val="0"/>
        <w:kinsoku/>
        <w:wordWrap/>
        <w:overflowPunct/>
        <w:topLinePunct w:val="0"/>
        <w:bidi w:val="0"/>
        <w:adjustRightInd w:val="0"/>
        <w:snapToGrid w:val="0"/>
        <w:spacing w:line="360" w:lineRule="auto"/>
        <w:ind w:left="480" w:hanging="480" w:hangingChars="2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val="0"/>
          <w:bCs w:val="0"/>
          <w:sz w:val="24"/>
          <w:szCs w:val="24"/>
        </w:rPr>
        <w:t>6.1.2 本项目使用电子交易平台进行开标，投标人应在</w:t>
      </w:r>
      <w:r>
        <w:rPr>
          <w:rFonts w:hint="eastAsia" w:asciiTheme="minorEastAsia" w:hAnsiTheme="minorEastAsia" w:eastAsiaTheme="minorEastAsia" w:cstheme="minorEastAsia"/>
          <w:b w:val="0"/>
          <w:bCs w:val="0"/>
          <w:color w:val="000000"/>
          <w:sz w:val="24"/>
          <w:szCs w:val="24"/>
        </w:rPr>
        <w:t>“</w:t>
      </w:r>
      <w:r>
        <w:rPr>
          <w:rFonts w:hint="eastAsia" w:asciiTheme="minorEastAsia" w:hAnsiTheme="minorEastAsia" w:eastAsiaTheme="minorEastAsia" w:cstheme="minorEastAsia"/>
          <w:b w:val="0"/>
          <w:bCs w:val="0"/>
          <w:color w:val="000000"/>
          <w:sz w:val="24"/>
          <w:szCs w:val="24"/>
          <w:u w:val="single"/>
        </w:rPr>
        <w:t>投标人须知前附表</w:t>
      </w:r>
      <w:r>
        <w:rPr>
          <w:rFonts w:hint="eastAsia" w:asciiTheme="minorEastAsia" w:hAnsiTheme="minorEastAsia" w:eastAsiaTheme="minorEastAsia" w:cstheme="minorEastAsia"/>
          <w:b w:val="0"/>
          <w:bCs w:val="0"/>
          <w:color w:val="000000"/>
          <w:sz w:val="24"/>
          <w:szCs w:val="24"/>
        </w:rPr>
        <w:t>”</w:t>
      </w:r>
      <w:r>
        <w:rPr>
          <w:rFonts w:hint="eastAsia" w:asciiTheme="minorEastAsia" w:hAnsiTheme="minorEastAsia" w:eastAsiaTheme="minorEastAsia" w:cstheme="minorEastAsia"/>
          <w:b w:val="0"/>
          <w:bCs w:val="0"/>
          <w:sz w:val="24"/>
          <w:szCs w:val="24"/>
        </w:rPr>
        <w:t>规定</w:t>
      </w:r>
      <w:r>
        <w:rPr>
          <w:rFonts w:hint="eastAsia" w:asciiTheme="minorEastAsia" w:hAnsiTheme="minorEastAsia" w:eastAsiaTheme="minorEastAsia" w:cstheme="minorEastAsia"/>
          <w:sz w:val="24"/>
          <w:szCs w:val="24"/>
        </w:rPr>
        <w:t>的时间内对</w:t>
      </w:r>
      <w:r>
        <w:rPr>
          <w:rFonts w:hint="eastAsia" w:asciiTheme="minorEastAsia" w:hAnsiTheme="minorEastAsia" w:eastAsiaTheme="minorEastAsia" w:cstheme="minorEastAsia"/>
          <w:color w:val="auto"/>
          <w:sz w:val="24"/>
          <w:szCs w:val="24"/>
        </w:rPr>
        <w:t>投标文件进行解密，</w:t>
      </w:r>
      <w:bookmarkStart w:id="192" w:name="_Hlk164351621"/>
      <w:r>
        <w:rPr>
          <w:rFonts w:hint="eastAsia" w:asciiTheme="minorEastAsia" w:hAnsiTheme="minorEastAsia" w:eastAsiaTheme="minorEastAsia" w:cstheme="minorEastAsia"/>
          <w:color w:val="auto"/>
          <w:sz w:val="24"/>
          <w:szCs w:val="24"/>
        </w:rPr>
        <w:t>逾期解密</w:t>
      </w:r>
      <w:r>
        <w:rPr>
          <w:rFonts w:hint="eastAsia" w:asciiTheme="minorEastAsia" w:hAnsiTheme="minorEastAsia" w:eastAsiaTheme="minorEastAsia" w:cstheme="minorEastAsia"/>
          <w:color w:val="auto"/>
          <w:sz w:val="24"/>
          <w:szCs w:val="24"/>
          <w:lang w:eastAsia="zh-CN"/>
        </w:rPr>
        <w:t>或</w:t>
      </w:r>
      <w:r>
        <w:rPr>
          <w:rFonts w:hint="eastAsia" w:asciiTheme="minorEastAsia" w:hAnsiTheme="minorEastAsia" w:eastAsiaTheme="minorEastAsia" w:cstheme="minorEastAsia"/>
          <w:color w:val="auto"/>
          <w:sz w:val="24"/>
          <w:szCs w:val="24"/>
        </w:rPr>
        <w:t>因非系统原因导致的解密失败，视为投标无效。</w:t>
      </w:r>
      <w:bookmarkEnd w:id="192"/>
    </w:p>
    <w:p w14:paraId="0878CA78">
      <w:pPr>
        <w:pageBreakBefore w:val="0"/>
        <w:widowControl w:val="0"/>
        <w:tabs>
          <w:tab w:val="left" w:pos="360"/>
          <w:tab w:val="left" w:pos="720"/>
        </w:tabs>
        <w:kinsoku/>
        <w:wordWrap/>
        <w:overflowPunct/>
        <w:topLinePunct w:val="0"/>
        <w:bidi w:val="0"/>
        <w:adjustRightInd w:val="0"/>
        <w:snapToGrid w:val="0"/>
        <w:spacing w:line="360" w:lineRule="auto"/>
        <w:ind w:left="480" w:hanging="480" w:hangingChars="2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6.1.3 开标将使用电子交易平台公布投标人名称、投标价格等信息并进行记录。</w:t>
      </w:r>
    </w:p>
    <w:p w14:paraId="3E261625">
      <w:pPr>
        <w:pageBreakBefore w:val="0"/>
        <w:widowControl w:val="0"/>
        <w:tabs>
          <w:tab w:val="left" w:pos="360"/>
          <w:tab w:val="left" w:pos="720"/>
        </w:tabs>
        <w:kinsoku/>
        <w:wordWrap/>
        <w:overflowPunct/>
        <w:topLinePunct w:val="0"/>
        <w:bidi w:val="0"/>
        <w:adjustRightInd w:val="0"/>
        <w:snapToGrid w:val="0"/>
        <w:spacing w:line="360" w:lineRule="auto"/>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6.1.4 投标人不足3家的，不予开标。</w:t>
      </w:r>
    </w:p>
    <w:p w14:paraId="3C703FC8">
      <w:pPr>
        <w:pageBreakBefore w:val="0"/>
        <w:widowControl w:val="0"/>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6.1.5 在规定的时间内完成投标文件解密的投标人不足3家的，将不再进行开标。</w:t>
      </w:r>
    </w:p>
    <w:p w14:paraId="5FE09988">
      <w:pPr>
        <w:pageBreakBefore w:val="0"/>
        <w:widowControl w:val="0"/>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sz w:val="24"/>
          <w:szCs w:val="24"/>
        </w:rPr>
        <w:t xml:space="preserve">6.1.6 </w:t>
      </w:r>
      <w:r>
        <w:rPr>
          <w:rFonts w:hint="eastAsia" w:asciiTheme="minorEastAsia" w:hAnsiTheme="minorEastAsia" w:eastAsiaTheme="minorEastAsia" w:cstheme="minorEastAsia"/>
          <w:color w:val="000000"/>
          <w:sz w:val="24"/>
          <w:szCs w:val="24"/>
        </w:rPr>
        <w:t>开标异议：投标人对开标过程有异议的，应当在开标时提出，采购人（或采购代理机构）应及时作出答复，并制作记录。</w:t>
      </w:r>
      <w:r>
        <w:rPr>
          <w:rFonts w:hint="eastAsia" w:asciiTheme="minorEastAsia" w:hAnsiTheme="minorEastAsia" w:eastAsiaTheme="minorEastAsia" w:cstheme="minorEastAsia"/>
          <w:sz w:val="24"/>
          <w:szCs w:val="24"/>
        </w:rPr>
        <w:t>投标人</w:t>
      </w:r>
      <w:r>
        <w:rPr>
          <w:rFonts w:hint="eastAsia" w:asciiTheme="minorEastAsia" w:hAnsiTheme="minorEastAsia" w:eastAsiaTheme="minorEastAsia" w:cstheme="minorEastAsia"/>
          <w:color w:val="000000"/>
          <w:sz w:val="24"/>
          <w:szCs w:val="24"/>
        </w:rPr>
        <w:t>未参加开标或未在开标过程中提出异议的，视同认可开标结果。</w:t>
      </w:r>
    </w:p>
    <w:p w14:paraId="7457E6FF">
      <w:pPr>
        <w:pageBreakBefore w:val="0"/>
        <w:widowControl w:val="0"/>
        <w:kinsoku/>
        <w:wordWrap/>
        <w:overflowPunct/>
        <w:topLinePunct w:val="0"/>
        <w:autoSpaceDE w:val="0"/>
        <w:autoSpaceDN w:val="0"/>
        <w:bidi w:val="0"/>
        <w:adjustRightInd w:val="0"/>
        <w:snapToGrid w:val="0"/>
        <w:spacing w:before="0" w:after="0" w:line="360" w:lineRule="auto"/>
        <w:jc w:val="left"/>
        <w:textAlignment w:val="auto"/>
        <w:outlineLvl w:val="9"/>
        <w:rPr>
          <w:rFonts w:hint="eastAsia" w:asciiTheme="minorEastAsia" w:hAnsiTheme="minorEastAsia" w:eastAsiaTheme="minorEastAsia" w:cstheme="minorEastAsia"/>
          <w:b/>
          <w:bCs/>
          <w:color w:val="000000"/>
          <w:sz w:val="24"/>
          <w:szCs w:val="24"/>
        </w:rPr>
      </w:pPr>
      <w:bookmarkStart w:id="193" w:name="_Toc28915"/>
      <w:r>
        <w:rPr>
          <w:rFonts w:hint="eastAsia" w:asciiTheme="minorEastAsia" w:hAnsiTheme="minorEastAsia" w:eastAsiaTheme="minorEastAsia" w:cstheme="minorEastAsia"/>
          <w:b/>
          <w:bCs/>
          <w:color w:val="000000"/>
          <w:sz w:val="24"/>
          <w:szCs w:val="24"/>
        </w:rPr>
        <w:t>6.2 资格审查</w:t>
      </w:r>
      <w:bookmarkEnd w:id="193"/>
    </w:p>
    <w:p w14:paraId="5CC20E36">
      <w:pPr>
        <w:pageBreakBefore w:val="0"/>
        <w:widowControl w:val="0"/>
        <w:kinsoku/>
        <w:wordWrap/>
        <w:overflowPunct/>
        <w:topLinePunct w:val="0"/>
        <w:bidi w:val="0"/>
        <w:adjustRightInd w:val="0"/>
        <w:snapToGrid w:val="0"/>
        <w:spacing w:line="360" w:lineRule="auto"/>
        <w:ind w:left="600" w:hanging="600" w:hangingChars="250"/>
        <w:textAlignment w:val="auto"/>
        <w:outlineLvl w:val="9"/>
        <w:rPr>
          <w:rFonts w:hint="eastAsia" w:asciiTheme="minorEastAsia" w:hAnsiTheme="minorEastAsia" w:eastAsiaTheme="minorEastAsia" w:cstheme="minorEastAsia"/>
          <w:sz w:val="24"/>
          <w:szCs w:val="24"/>
        </w:rPr>
      </w:pPr>
      <w:bookmarkStart w:id="194" w:name="_Toc39568655"/>
      <w:r>
        <w:rPr>
          <w:rFonts w:hint="eastAsia" w:asciiTheme="minorEastAsia" w:hAnsiTheme="minorEastAsia" w:eastAsiaTheme="minorEastAsia" w:cstheme="minorEastAsia"/>
          <w:sz w:val="24"/>
          <w:szCs w:val="24"/>
        </w:rPr>
        <w:t>6.2.1开标结束后，评标开始前，采购人或采购代理机构依据法律法规和招标文件中规      定的内容，对投标人进行资格审查（提交的资格证明材料见投标人须知前附表）。未通过资格审查的投标人不得进入评标。通过资格审查的投标人不足三家的，不得评标。</w:t>
      </w:r>
      <w:r>
        <w:rPr>
          <w:rFonts w:hint="eastAsia" w:asciiTheme="minorEastAsia" w:hAnsiTheme="minorEastAsia" w:eastAsiaTheme="minorEastAsia" w:cstheme="minorEastAsia"/>
          <w:sz w:val="24"/>
          <w:szCs w:val="24"/>
          <w:lang w:eastAsia="zh-CN"/>
        </w:rPr>
        <w:t>评审因素详见</w:t>
      </w:r>
      <w:r>
        <w:rPr>
          <w:rFonts w:hint="eastAsia" w:asciiTheme="minorEastAsia" w:hAnsiTheme="minorEastAsia" w:eastAsiaTheme="minorEastAsia" w:cstheme="minorEastAsia"/>
          <w:sz w:val="24"/>
          <w:szCs w:val="24"/>
        </w:rPr>
        <w:t>《资格审查》。</w:t>
      </w:r>
    </w:p>
    <w:p w14:paraId="6E4570D5">
      <w:pPr>
        <w:pageBreakBefore w:val="0"/>
        <w:widowControl w:val="0"/>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6.2.2采购人或采购代</w:t>
      </w:r>
      <w:r>
        <w:rPr>
          <w:rFonts w:hint="eastAsia" w:asciiTheme="minorEastAsia" w:hAnsiTheme="minorEastAsia" w:eastAsiaTheme="minorEastAsia" w:cstheme="minorEastAsia"/>
          <w:b w:val="0"/>
          <w:bCs/>
          <w:sz w:val="24"/>
          <w:szCs w:val="24"/>
        </w:rPr>
        <w:t>理机构将按投标人须知前附表中规定的时间查询投标人的信用记录。信用查询记录方式：按投标人须知前附表中规定方式查询投标人的信用记录。在本招标文件规定的查询时间之外，网站信息发生的任何</w:t>
      </w:r>
      <w:r>
        <w:rPr>
          <w:rFonts w:hint="eastAsia" w:asciiTheme="minorEastAsia" w:hAnsiTheme="minorEastAsia" w:eastAsiaTheme="minorEastAsia" w:cstheme="minorEastAsia"/>
          <w:sz w:val="24"/>
          <w:szCs w:val="24"/>
        </w:rPr>
        <w:t>变更均不作为资格审查依据。</w:t>
      </w:r>
    </w:p>
    <w:p w14:paraId="12B5220C">
      <w:pPr>
        <w:pageBreakBefore w:val="0"/>
        <w:widowControl w:val="0"/>
        <w:kinsoku/>
        <w:wordWrap/>
        <w:overflowPunct/>
        <w:topLinePunct w:val="0"/>
        <w:bidi w:val="0"/>
        <w:adjustRightInd w:val="0"/>
        <w:snapToGrid w:val="0"/>
        <w:spacing w:before="0" w:after="0" w:line="360" w:lineRule="auto"/>
        <w:textAlignment w:val="auto"/>
        <w:outlineLvl w:val="9"/>
        <w:rPr>
          <w:rFonts w:hint="eastAsia" w:asciiTheme="minorEastAsia" w:hAnsiTheme="minorEastAsia" w:eastAsiaTheme="minorEastAsia" w:cstheme="minorEastAsia"/>
          <w:b w:val="0"/>
          <w:bCs w:val="0"/>
          <w:sz w:val="24"/>
          <w:szCs w:val="24"/>
        </w:rPr>
      </w:pPr>
      <w:bookmarkStart w:id="195" w:name="_Toc18509"/>
      <w:r>
        <w:rPr>
          <w:rFonts w:hint="eastAsia" w:asciiTheme="minorEastAsia" w:hAnsiTheme="minorEastAsia" w:eastAsiaTheme="minorEastAsia" w:cstheme="minorEastAsia"/>
          <w:b/>
          <w:bCs/>
          <w:sz w:val="24"/>
          <w:szCs w:val="24"/>
        </w:rPr>
        <w:t>6.3 组建评标委员会</w:t>
      </w:r>
      <w:bookmarkEnd w:id="194"/>
      <w:bookmarkEnd w:id="195"/>
    </w:p>
    <w:p w14:paraId="3AA6C773">
      <w:pPr>
        <w:pageBreakBefore w:val="0"/>
        <w:widowControl w:val="0"/>
        <w:kinsoku/>
        <w:wordWrap/>
        <w:overflowPunct/>
        <w:topLinePunct w:val="0"/>
        <w:bidi w:val="0"/>
        <w:adjustRightInd w:val="0"/>
        <w:snapToGrid w:val="0"/>
        <w:spacing w:line="360" w:lineRule="auto"/>
        <w:ind w:left="480" w:hanging="480" w:hangingChars="2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6.3.1 按照《中华人民共和国政府采购法》《中华人民共和国政府采购法实施条例》《政府采购货物和服务招标投标管理办法</w:t>
      </w:r>
      <w:r>
        <w:rPr>
          <w:rFonts w:hint="eastAsia" w:asciiTheme="minorEastAsia" w:hAnsiTheme="minorEastAsia" w:eastAsiaTheme="minorEastAsia" w:cstheme="minorEastAsia"/>
          <w:sz w:val="24"/>
          <w:szCs w:val="24"/>
          <w:lang w:eastAsia="zh-CN"/>
        </w:rPr>
        <w:t>》以</w:t>
      </w:r>
      <w:r>
        <w:rPr>
          <w:rFonts w:hint="eastAsia" w:asciiTheme="minorEastAsia" w:hAnsiTheme="minorEastAsia" w:eastAsiaTheme="minorEastAsia" w:cstheme="minorEastAsia"/>
          <w:sz w:val="24"/>
          <w:szCs w:val="24"/>
        </w:rPr>
        <w:t>及本项目本级和上级财政部门的有关规定依法组建的评标委员会，负责具体评标工作，独立履行职责。</w:t>
      </w:r>
    </w:p>
    <w:p w14:paraId="2BDDCF5F">
      <w:pPr>
        <w:pageBreakBefore w:val="0"/>
        <w:widowControl w:val="0"/>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6.3.2 评标委员会由采购人代表和评审专家组成，成员人数为五人以上单数。其中，评审专家不得少于成员总数的三分之二。具体成员人数见</w:t>
      </w:r>
      <w:r>
        <w:rPr>
          <w:rFonts w:hint="eastAsia" w:asciiTheme="minorEastAsia" w:hAnsiTheme="minorEastAsia" w:eastAsiaTheme="minorEastAsia" w:cstheme="minorEastAsia"/>
          <w:b w:val="0"/>
          <w:bCs/>
          <w:sz w:val="24"/>
          <w:szCs w:val="24"/>
          <w:u w:val="single"/>
        </w:rPr>
        <w:t>投标人须知前附表</w:t>
      </w:r>
      <w:r>
        <w:rPr>
          <w:rFonts w:hint="eastAsia" w:asciiTheme="minorEastAsia" w:hAnsiTheme="minorEastAsia" w:eastAsiaTheme="minorEastAsia" w:cstheme="minorEastAsia"/>
          <w:sz w:val="24"/>
          <w:szCs w:val="24"/>
        </w:rPr>
        <w:t>。</w:t>
      </w:r>
    </w:p>
    <w:p w14:paraId="540D65F6">
      <w:pPr>
        <w:pageBreakBefore w:val="0"/>
        <w:widowControl w:val="0"/>
        <w:kinsoku/>
        <w:wordWrap/>
        <w:overflowPunct/>
        <w:topLinePunct w:val="0"/>
        <w:autoSpaceDE w:val="0"/>
        <w:autoSpaceDN w:val="0"/>
        <w:bidi w:val="0"/>
        <w:adjustRightInd w:val="0"/>
        <w:snapToGrid w:val="0"/>
        <w:spacing w:before="0" w:after="0" w:line="360" w:lineRule="auto"/>
        <w:jc w:val="left"/>
        <w:textAlignment w:val="auto"/>
        <w:outlineLvl w:val="9"/>
        <w:rPr>
          <w:rFonts w:hint="eastAsia" w:asciiTheme="minorEastAsia" w:hAnsiTheme="minorEastAsia" w:eastAsiaTheme="minorEastAsia" w:cstheme="minorEastAsia"/>
          <w:sz w:val="24"/>
          <w:szCs w:val="24"/>
          <w:lang w:eastAsia="zh-CN"/>
        </w:rPr>
      </w:pPr>
      <w:bookmarkStart w:id="196" w:name="_Toc19869"/>
      <w:r>
        <w:rPr>
          <w:rFonts w:hint="eastAsia" w:asciiTheme="minorEastAsia" w:hAnsiTheme="minorEastAsia" w:eastAsiaTheme="minorEastAsia" w:cstheme="minorEastAsia"/>
          <w:b w:val="0"/>
          <w:bCs w:val="0"/>
          <w:sz w:val="24"/>
          <w:szCs w:val="24"/>
        </w:rPr>
        <w:t>6.4 评标程序、评标方法和评标标准</w:t>
      </w:r>
      <w:r>
        <w:rPr>
          <w:rFonts w:hint="eastAsia" w:asciiTheme="minorEastAsia" w:hAnsiTheme="minorEastAsia" w:eastAsiaTheme="minorEastAsia" w:cstheme="minorEastAsia"/>
          <w:b w:val="0"/>
          <w:bCs w:val="0"/>
          <w:sz w:val="24"/>
          <w:szCs w:val="24"/>
          <w:lang w:eastAsia="zh-CN"/>
        </w:rPr>
        <w:t>：</w:t>
      </w:r>
      <w:r>
        <w:rPr>
          <w:rFonts w:hint="eastAsia" w:asciiTheme="minorEastAsia" w:hAnsiTheme="minorEastAsia" w:eastAsiaTheme="minorEastAsia" w:cstheme="minorEastAsia"/>
          <w:sz w:val="24"/>
          <w:szCs w:val="24"/>
          <w:highlight w:val="none"/>
          <w:lang w:eastAsia="zh-CN"/>
        </w:rPr>
        <w:t>详见评审办法相关内容。</w:t>
      </w:r>
      <w:bookmarkEnd w:id="196"/>
    </w:p>
    <w:p w14:paraId="0596D7FA">
      <w:pPr>
        <w:keepNext w:val="0"/>
        <w:keepLines w:val="0"/>
        <w:pageBreakBefore w:val="0"/>
        <w:widowControl w:val="0"/>
        <w:numPr>
          <w:ilvl w:val="0"/>
          <w:numId w:val="0"/>
        </w:numPr>
        <w:kinsoku/>
        <w:wordWrap/>
        <w:overflowPunct/>
        <w:topLinePunct w:val="0"/>
        <w:autoSpaceDE/>
        <w:autoSpaceDN/>
        <w:bidi w:val="0"/>
        <w:adjustRightInd w:val="0"/>
        <w:snapToGrid w:val="0"/>
        <w:spacing w:before="157" w:beforeLines="50" w:after="157" w:afterLines="50" w:line="360" w:lineRule="auto"/>
        <w:jc w:val="center"/>
        <w:textAlignment w:val="auto"/>
        <w:outlineLvl w:val="1"/>
        <w:rPr>
          <w:rFonts w:hint="eastAsia" w:asciiTheme="minorEastAsia" w:hAnsiTheme="minorEastAsia" w:eastAsiaTheme="minorEastAsia" w:cstheme="minorEastAsia"/>
          <w:sz w:val="24"/>
          <w:szCs w:val="24"/>
          <w:lang w:eastAsia="zh-CN"/>
        </w:rPr>
      </w:pPr>
      <w:bookmarkStart w:id="197" w:name="_Toc14156"/>
      <w:bookmarkStart w:id="198" w:name="_Toc25088"/>
      <w:r>
        <w:rPr>
          <w:rFonts w:hint="eastAsia" w:asciiTheme="minorEastAsia" w:hAnsiTheme="minorEastAsia" w:eastAsiaTheme="minorEastAsia" w:cstheme="minorEastAsia"/>
          <w:b/>
          <w:bCs/>
          <w:sz w:val="30"/>
          <w:szCs w:val="30"/>
          <w:lang w:val="en-US" w:eastAsia="zh-CN"/>
        </w:rPr>
        <w:t>五、</w:t>
      </w:r>
      <w:r>
        <w:rPr>
          <w:rFonts w:hint="eastAsia" w:asciiTheme="minorEastAsia" w:hAnsiTheme="minorEastAsia" w:eastAsiaTheme="minorEastAsia" w:cstheme="minorEastAsia"/>
          <w:b/>
          <w:bCs/>
          <w:sz w:val="30"/>
          <w:szCs w:val="30"/>
          <w:lang w:eastAsia="zh-CN"/>
        </w:rPr>
        <w:t>中标和合同</w:t>
      </w:r>
      <w:bookmarkEnd w:id="197"/>
      <w:bookmarkEnd w:id="198"/>
    </w:p>
    <w:bookmarkEnd w:id="191"/>
    <w:p w14:paraId="047EF2C9">
      <w:pPr>
        <w:pageBreakBefore w:val="0"/>
        <w:widowControl w:val="0"/>
        <w:kinsoku/>
        <w:wordWrap/>
        <w:overflowPunct/>
        <w:topLinePunct w:val="0"/>
        <w:bidi w:val="0"/>
        <w:adjustRightInd w:val="0"/>
        <w:snapToGrid w:val="0"/>
        <w:spacing w:before="0" w:after="0" w:line="360" w:lineRule="auto"/>
        <w:textAlignment w:val="auto"/>
        <w:outlineLvl w:val="9"/>
        <w:rPr>
          <w:rFonts w:hint="eastAsia" w:asciiTheme="minorEastAsia" w:hAnsiTheme="minorEastAsia" w:eastAsiaTheme="minorEastAsia" w:cstheme="minorEastAsia"/>
          <w:b/>
          <w:bCs/>
          <w:sz w:val="24"/>
          <w:szCs w:val="24"/>
        </w:rPr>
      </w:pPr>
      <w:bookmarkStart w:id="199" w:name="_Toc9358"/>
      <w:bookmarkStart w:id="200" w:name="_Toc57211974"/>
      <w:bookmarkStart w:id="201" w:name="_Toc22905"/>
      <w:r>
        <w:rPr>
          <w:rFonts w:hint="eastAsia" w:asciiTheme="minorEastAsia" w:hAnsiTheme="minorEastAsia" w:eastAsiaTheme="minorEastAsia" w:cstheme="minorEastAsia"/>
          <w:b/>
          <w:bCs/>
          <w:sz w:val="24"/>
          <w:szCs w:val="24"/>
          <w:lang w:eastAsia="zh-CN"/>
        </w:rPr>
        <w:t>7.</w:t>
      </w:r>
      <w:r>
        <w:rPr>
          <w:rFonts w:hint="eastAsia" w:asciiTheme="minorEastAsia" w:hAnsiTheme="minorEastAsia" w:eastAsiaTheme="minorEastAsia" w:cstheme="minorEastAsia"/>
          <w:b/>
          <w:bCs/>
          <w:sz w:val="24"/>
          <w:szCs w:val="24"/>
        </w:rPr>
        <w:t>确定中标人</w:t>
      </w:r>
      <w:bookmarkEnd w:id="199"/>
      <w:bookmarkEnd w:id="200"/>
      <w:bookmarkEnd w:id="201"/>
    </w:p>
    <w:p w14:paraId="5F9B9183">
      <w:pPr>
        <w:pageBreakBefore w:val="0"/>
        <w:widowControl w:val="0"/>
        <w:kinsoku/>
        <w:wordWrap/>
        <w:overflowPunct/>
        <w:topLinePunct w:val="0"/>
        <w:bidi w:val="0"/>
        <w:adjustRightInd w:val="0"/>
        <w:snapToGrid w:val="0"/>
        <w:spacing w:line="360" w:lineRule="auto"/>
        <w:ind w:left="480" w:hanging="480" w:hangingChars="200"/>
        <w:textAlignment w:val="auto"/>
        <w:outlineLvl w:val="9"/>
        <w:rPr>
          <w:rFonts w:hint="eastAsia" w:asciiTheme="minorEastAsia" w:hAnsiTheme="minorEastAsia" w:eastAsiaTheme="minorEastAsia" w:cstheme="minorEastAsia"/>
          <w:color w:val="FF0000"/>
          <w:sz w:val="24"/>
          <w:szCs w:val="24"/>
        </w:rPr>
      </w:pPr>
      <w:bookmarkStart w:id="202" w:name="_Hlk164354320"/>
      <w:bookmarkStart w:id="203" w:name="_Toc39568662"/>
      <w:bookmarkStart w:id="204" w:name="_Toc57211975"/>
      <w:r>
        <w:rPr>
          <w:rFonts w:hint="eastAsia" w:asciiTheme="minorEastAsia" w:hAnsiTheme="minorEastAsia" w:eastAsiaTheme="minorEastAsia" w:cstheme="minorEastAsia"/>
          <w:sz w:val="24"/>
          <w:szCs w:val="24"/>
        </w:rPr>
        <w:t xml:space="preserve">7.1 </w:t>
      </w:r>
      <w:bookmarkEnd w:id="202"/>
      <w:bookmarkEnd w:id="203"/>
      <w:r>
        <w:rPr>
          <w:rFonts w:hint="eastAsia" w:asciiTheme="minorEastAsia" w:hAnsiTheme="minorEastAsia" w:eastAsiaTheme="minorEastAsia" w:cstheme="minorEastAsia"/>
          <w:sz w:val="24"/>
          <w:szCs w:val="24"/>
        </w:rPr>
        <w:t>评标委员会将根据评标标准，按</w:t>
      </w:r>
      <w:r>
        <w:rPr>
          <w:rFonts w:hint="eastAsia" w:asciiTheme="minorEastAsia" w:hAnsiTheme="minorEastAsia" w:eastAsiaTheme="minorEastAsia" w:cstheme="minorEastAsia"/>
          <w:b w:val="0"/>
          <w:bCs w:val="0"/>
          <w:sz w:val="24"/>
          <w:szCs w:val="24"/>
          <w:u w:val="single"/>
        </w:rPr>
        <w:t>投标人须知前附表</w:t>
      </w:r>
      <w:r>
        <w:rPr>
          <w:rFonts w:hint="eastAsia" w:asciiTheme="minorEastAsia" w:hAnsiTheme="minorEastAsia" w:eastAsiaTheme="minorEastAsia" w:cstheme="minorEastAsia"/>
          <w:b w:val="0"/>
          <w:bCs w:val="0"/>
          <w:sz w:val="24"/>
          <w:szCs w:val="24"/>
        </w:rPr>
        <w:t>中</w:t>
      </w:r>
      <w:r>
        <w:rPr>
          <w:rFonts w:hint="eastAsia" w:asciiTheme="minorEastAsia" w:hAnsiTheme="minorEastAsia" w:eastAsiaTheme="minorEastAsia" w:cstheme="minorEastAsia"/>
          <w:sz w:val="24"/>
          <w:szCs w:val="24"/>
        </w:rPr>
        <w:t>规定的数量推荐中标候选人或确定中标人。</w:t>
      </w:r>
    </w:p>
    <w:p w14:paraId="5B0C746E">
      <w:pPr>
        <w:pageBreakBefore w:val="0"/>
        <w:widowControl w:val="0"/>
        <w:kinsoku/>
        <w:wordWrap/>
        <w:overflowPunct/>
        <w:topLinePunct w:val="0"/>
        <w:bidi w:val="0"/>
        <w:adjustRightInd w:val="0"/>
        <w:snapToGrid w:val="0"/>
        <w:spacing w:before="0" w:after="0" w:line="360" w:lineRule="auto"/>
        <w:textAlignment w:val="auto"/>
        <w:outlineLvl w:val="9"/>
        <w:rPr>
          <w:rFonts w:hint="eastAsia" w:asciiTheme="minorEastAsia" w:hAnsiTheme="minorEastAsia" w:eastAsiaTheme="minorEastAsia" w:cstheme="minorEastAsia"/>
          <w:b/>
          <w:bCs/>
          <w:sz w:val="24"/>
          <w:szCs w:val="24"/>
        </w:rPr>
      </w:pPr>
      <w:bookmarkStart w:id="205" w:name="_Toc22451"/>
      <w:bookmarkStart w:id="206" w:name="_Toc187"/>
      <w:r>
        <w:rPr>
          <w:rFonts w:hint="eastAsia" w:asciiTheme="minorEastAsia" w:hAnsiTheme="minorEastAsia" w:eastAsiaTheme="minorEastAsia" w:cstheme="minorEastAsia"/>
          <w:b/>
          <w:bCs/>
          <w:sz w:val="24"/>
          <w:szCs w:val="24"/>
          <w:lang w:eastAsia="zh-CN"/>
        </w:rPr>
        <w:t>8.</w:t>
      </w:r>
      <w:r>
        <w:rPr>
          <w:rFonts w:hint="eastAsia" w:asciiTheme="minorEastAsia" w:hAnsiTheme="minorEastAsia" w:eastAsiaTheme="minorEastAsia" w:cstheme="minorEastAsia"/>
          <w:b/>
          <w:bCs/>
          <w:sz w:val="24"/>
          <w:szCs w:val="24"/>
        </w:rPr>
        <w:t>采购任务取消</w:t>
      </w:r>
      <w:bookmarkEnd w:id="205"/>
      <w:bookmarkEnd w:id="206"/>
    </w:p>
    <w:p w14:paraId="0402B013">
      <w:pPr>
        <w:pageBreakBefore w:val="0"/>
        <w:widowControl w:val="0"/>
        <w:kinsoku/>
        <w:wordWrap/>
        <w:overflowPunct/>
        <w:topLinePunct w:val="0"/>
        <w:bidi w:val="0"/>
        <w:adjustRightInd w:val="0"/>
        <w:snapToGrid w:val="0"/>
        <w:spacing w:line="360" w:lineRule="auto"/>
        <w:ind w:left="480" w:hanging="480" w:hangingChars="200"/>
        <w:textAlignment w:val="auto"/>
        <w:outlineLvl w:val="9"/>
        <w:rPr>
          <w:rFonts w:hint="eastAsia" w:asciiTheme="minorEastAsia" w:hAnsiTheme="minorEastAsia" w:eastAsiaTheme="minorEastAsia" w:cstheme="minorEastAsia"/>
          <w:sz w:val="24"/>
          <w:szCs w:val="24"/>
        </w:rPr>
      </w:pPr>
      <w:bookmarkStart w:id="207" w:name="_Hlk174375623"/>
      <w:r>
        <w:rPr>
          <w:rFonts w:hint="eastAsia" w:asciiTheme="minorEastAsia" w:hAnsiTheme="minorEastAsia" w:eastAsiaTheme="minorEastAsia" w:cstheme="minorEastAsia"/>
          <w:sz w:val="24"/>
          <w:szCs w:val="24"/>
        </w:rPr>
        <w:t>8.1 如果出现变故，本项目采购任务取消（全部取消或部分取消）的情况，采购人有权利拒绝任何投标人中标，且对受影响的投标人不承担任何责任。</w:t>
      </w:r>
      <w:bookmarkEnd w:id="207"/>
    </w:p>
    <w:p w14:paraId="4B14FAC0">
      <w:pPr>
        <w:pageBreakBefore w:val="0"/>
        <w:widowControl w:val="0"/>
        <w:kinsoku/>
        <w:wordWrap/>
        <w:overflowPunct/>
        <w:topLinePunct w:val="0"/>
        <w:bidi w:val="0"/>
        <w:adjustRightInd w:val="0"/>
        <w:snapToGrid w:val="0"/>
        <w:spacing w:before="0" w:after="0" w:line="360" w:lineRule="auto"/>
        <w:textAlignment w:val="auto"/>
        <w:outlineLvl w:val="9"/>
        <w:rPr>
          <w:rFonts w:hint="eastAsia" w:asciiTheme="minorEastAsia" w:hAnsiTheme="minorEastAsia" w:eastAsiaTheme="minorEastAsia" w:cstheme="minorEastAsia"/>
          <w:b w:val="0"/>
          <w:bCs w:val="0"/>
          <w:sz w:val="24"/>
          <w:szCs w:val="24"/>
        </w:rPr>
      </w:pPr>
      <w:bookmarkStart w:id="208" w:name="_Toc30098"/>
      <w:bookmarkStart w:id="209" w:name="_Toc8200"/>
      <w:bookmarkStart w:id="210" w:name="_Toc39568664"/>
      <w:r>
        <w:rPr>
          <w:rFonts w:hint="eastAsia" w:asciiTheme="minorEastAsia" w:hAnsiTheme="minorEastAsia" w:eastAsiaTheme="minorEastAsia" w:cstheme="minorEastAsia"/>
          <w:b/>
          <w:bCs/>
          <w:sz w:val="24"/>
          <w:szCs w:val="24"/>
          <w:lang w:eastAsia="zh-CN"/>
        </w:rPr>
        <w:t>9.</w:t>
      </w:r>
      <w:r>
        <w:rPr>
          <w:rFonts w:hint="eastAsia" w:asciiTheme="minorEastAsia" w:hAnsiTheme="minorEastAsia" w:eastAsiaTheme="minorEastAsia" w:cstheme="minorEastAsia"/>
          <w:b/>
          <w:bCs/>
          <w:sz w:val="24"/>
          <w:szCs w:val="24"/>
        </w:rPr>
        <w:t>中标公告与中标通知书</w:t>
      </w:r>
      <w:bookmarkEnd w:id="208"/>
      <w:bookmarkEnd w:id="209"/>
      <w:bookmarkEnd w:id="210"/>
    </w:p>
    <w:p w14:paraId="6DFBF37F">
      <w:pPr>
        <w:pageBreakBefore w:val="0"/>
        <w:widowControl w:val="0"/>
        <w:kinsoku/>
        <w:wordWrap/>
        <w:overflowPunct/>
        <w:topLinePunct w:val="0"/>
        <w:bidi w:val="0"/>
        <w:adjustRightInd w:val="0"/>
        <w:snapToGrid w:val="0"/>
        <w:spacing w:line="360" w:lineRule="auto"/>
        <w:ind w:left="490" w:hanging="489" w:hangingChars="204"/>
        <w:textAlignment w:val="auto"/>
        <w:outlineLvl w:val="9"/>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rPr>
        <w:t>9.1 采购人或者采购代理机构应当在中标人确</w:t>
      </w:r>
      <w:r>
        <w:rPr>
          <w:rFonts w:hint="eastAsia" w:asciiTheme="minorEastAsia" w:hAnsiTheme="minorEastAsia" w:eastAsiaTheme="minorEastAsia" w:cstheme="minorEastAsia"/>
          <w:sz w:val="24"/>
          <w:szCs w:val="24"/>
          <w:highlight w:val="none"/>
        </w:rPr>
        <w:t>定之日起2个工作日内，在《</w:t>
      </w:r>
      <w:r>
        <w:rPr>
          <w:rFonts w:hint="eastAsia" w:asciiTheme="minorEastAsia" w:hAnsiTheme="minorEastAsia" w:eastAsiaTheme="minorEastAsia" w:cstheme="minorEastAsia"/>
          <w:sz w:val="24"/>
          <w:szCs w:val="24"/>
          <w:highlight w:val="none"/>
          <w:lang w:val="en-US" w:eastAsia="zh-CN"/>
        </w:rPr>
        <w:t>河南省</w:t>
      </w:r>
      <w:r>
        <w:rPr>
          <w:rFonts w:hint="eastAsia" w:asciiTheme="minorEastAsia" w:hAnsiTheme="minorEastAsia" w:eastAsiaTheme="minorEastAsia" w:cstheme="minorEastAsia"/>
          <w:sz w:val="24"/>
          <w:szCs w:val="24"/>
          <w:highlight w:val="none"/>
          <w:lang w:eastAsia="zh-CN"/>
        </w:rPr>
        <w:t>政府采购网</w:t>
      </w:r>
      <w:r>
        <w:rPr>
          <w:rFonts w:hint="eastAsia" w:asciiTheme="minorEastAsia" w:hAnsiTheme="minorEastAsia" w:eastAsiaTheme="minorEastAsia" w:cstheme="minorEastAsia"/>
          <w:sz w:val="24"/>
          <w:szCs w:val="24"/>
          <w:highlight w:val="none"/>
        </w:rPr>
        <w:t>》及其它相关网站公告中标结果，同时向中标人发出中标通知书，</w:t>
      </w:r>
      <w:r>
        <w:rPr>
          <w:rFonts w:hint="eastAsia" w:asciiTheme="minorEastAsia" w:hAnsiTheme="minorEastAsia" w:eastAsiaTheme="minorEastAsia" w:cstheme="minorEastAsia"/>
          <w:spacing w:val="-2"/>
          <w:sz w:val="24"/>
          <w:szCs w:val="24"/>
          <w:highlight w:val="none"/>
        </w:rPr>
        <w:t>中标公告期限为</w:t>
      </w:r>
      <w:r>
        <w:rPr>
          <w:rFonts w:hint="eastAsia" w:asciiTheme="minorEastAsia" w:hAnsiTheme="minorEastAsia" w:eastAsiaTheme="minorEastAsia" w:cstheme="minorEastAsia"/>
          <w:sz w:val="24"/>
          <w:szCs w:val="24"/>
          <w:highlight w:val="none"/>
        </w:rPr>
        <w:t>1个工作日。</w:t>
      </w:r>
    </w:p>
    <w:p w14:paraId="18C91CA4">
      <w:pPr>
        <w:pageBreakBefore w:val="0"/>
        <w:widowControl w:val="0"/>
        <w:kinsoku/>
        <w:wordWrap/>
        <w:overflowPunct/>
        <w:topLinePunct w:val="0"/>
        <w:bidi w:val="0"/>
        <w:adjustRightInd w:val="0"/>
        <w:snapToGrid w:val="0"/>
        <w:spacing w:line="360" w:lineRule="auto"/>
        <w:ind w:left="480" w:hanging="480" w:hangingChars="200"/>
        <w:textAlignment w:val="auto"/>
        <w:outlineLvl w:val="9"/>
        <w:rPr>
          <w:rFonts w:hint="eastAsia" w:asciiTheme="minorEastAsia" w:hAnsiTheme="minorEastAsia" w:eastAsiaTheme="minorEastAsia" w:cstheme="minorEastAsia"/>
          <w:sz w:val="24"/>
          <w:szCs w:val="24"/>
          <w:highlight w:val="none"/>
        </w:rPr>
      </w:pPr>
      <w:bookmarkStart w:id="211" w:name="_Hlk164354677"/>
      <w:r>
        <w:rPr>
          <w:rFonts w:hint="eastAsia" w:asciiTheme="minorEastAsia" w:hAnsiTheme="minorEastAsia" w:eastAsiaTheme="minorEastAsia" w:cstheme="minorEastAsia"/>
          <w:sz w:val="24"/>
          <w:szCs w:val="24"/>
          <w:highlight w:val="none"/>
        </w:rPr>
        <w:t>9.2 中标通知书对采购人和中标人均具有法律效力。中标通知书发出后，采购人改变中标结果的，或者中标人放弃中标项目的，应当依法承担法律责任。</w:t>
      </w:r>
      <w:bookmarkEnd w:id="211"/>
    </w:p>
    <w:p w14:paraId="31061D67">
      <w:pPr>
        <w:pageBreakBefore w:val="0"/>
        <w:widowControl w:val="0"/>
        <w:kinsoku/>
        <w:wordWrap/>
        <w:overflowPunct/>
        <w:topLinePunct w:val="0"/>
        <w:bidi w:val="0"/>
        <w:adjustRightInd w:val="0"/>
        <w:snapToGrid w:val="0"/>
        <w:spacing w:before="0" w:after="0" w:line="360" w:lineRule="auto"/>
        <w:textAlignment w:val="auto"/>
        <w:outlineLvl w:val="9"/>
        <w:rPr>
          <w:rFonts w:hint="eastAsia" w:asciiTheme="minorEastAsia" w:hAnsiTheme="minorEastAsia" w:eastAsiaTheme="minorEastAsia" w:cstheme="minorEastAsia"/>
          <w:b/>
          <w:bCs/>
          <w:sz w:val="24"/>
          <w:szCs w:val="24"/>
          <w:highlight w:val="none"/>
        </w:rPr>
      </w:pPr>
      <w:bookmarkStart w:id="212" w:name="_Toc39568665"/>
      <w:bookmarkStart w:id="213" w:name="_Toc27439"/>
      <w:bookmarkStart w:id="214" w:name="_Toc169"/>
      <w:r>
        <w:rPr>
          <w:rFonts w:hint="eastAsia" w:asciiTheme="minorEastAsia" w:hAnsiTheme="minorEastAsia" w:eastAsiaTheme="minorEastAsia" w:cstheme="minorEastAsia"/>
          <w:b/>
          <w:bCs/>
          <w:sz w:val="24"/>
          <w:szCs w:val="24"/>
          <w:highlight w:val="none"/>
          <w:lang w:eastAsia="zh-CN"/>
        </w:rPr>
        <w:t>10.</w:t>
      </w:r>
      <w:r>
        <w:rPr>
          <w:rFonts w:hint="eastAsia" w:asciiTheme="minorEastAsia" w:hAnsiTheme="minorEastAsia" w:eastAsiaTheme="minorEastAsia" w:cstheme="minorEastAsia"/>
          <w:b/>
          <w:bCs/>
          <w:sz w:val="24"/>
          <w:szCs w:val="24"/>
          <w:highlight w:val="none"/>
        </w:rPr>
        <w:t>告知招标结果</w:t>
      </w:r>
      <w:bookmarkEnd w:id="212"/>
      <w:bookmarkEnd w:id="213"/>
      <w:bookmarkEnd w:id="214"/>
    </w:p>
    <w:p w14:paraId="10968BD3">
      <w:pPr>
        <w:pageBreakBefore w:val="0"/>
        <w:widowControl w:val="0"/>
        <w:kinsoku/>
        <w:wordWrap/>
        <w:overflowPunct/>
        <w:topLinePunct w:val="0"/>
        <w:bidi w:val="0"/>
        <w:adjustRightInd w:val="0"/>
        <w:snapToGrid w:val="0"/>
        <w:spacing w:line="360" w:lineRule="auto"/>
        <w:ind w:left="480" w:hanging="480" w:hangingChars="200"/>
        <w:textAlignment w:val="auto"/>
        <w:outlineLvl w:val="9"/>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10.1 在公告中标结果的同时，告知未通过资格审查投标人未通过的原因；采用综合评分法评审的，还将告知未中标投标人本人的评审得分和排序。</w:t>
      </w:r>
    </w:p>
    <w:p w14:paraId="072FAD54">
      <w:pPr>
        <w:pageBreakBefore w:val="0"/>
        <w:widowControl w:val="0"/>
        <w:kinsoku/>
        <w:wordWrap/>
        <w:overflowPunct/>
        <w:topLinePunct w:val="0"/>
        <w:bidi w:val="0"/>
        <w:adjustRightInd w:val="0"/>
        <w:snapToGrid w:val="0"/>
        <w:spacing w:line="360" w:lineRule="auto"/>
        <w:ind w:left="480" w:hanging="480" w:hangingChars="200"/>
        <w:textAlignment w:val="auto"/>
        <w:outlineLvl w:val="9"/>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10.2 项目采购采用最低评标价法的，公告中标结果时同时公告因落实政府采购政策等原因进行价格扣除后中标人、成交人的评审报价；项目采购采用综合评分法的，公告中标结果时同时公告中标人的评审总得分。</w:t>
      </w:r>
    </w:p>
    <w:p w14:paraId="1CDF9750">
      <w:pPr>
        <w:pageBreakBefore w:val="0"/>
        <w:widowControl w:val="0"/>
        <w:kinsoku/>
        <w:wordWrap/>
        <w:overflowPunct/>
        <w:topLinePunct w:val="0"/>
        <w:bidi w:val="0"/>
        <w:adjustRightInd w:val="0"/>
        <w:snapToGrid w:val="0"/>
        <w:spacing w:before="0" w:after="0" w:line="360" w:lineRule="auto"/>
        <w:textAlignment w:val="auto"/>
        <w:outlineLvl w:val="9"/>
        <w:rPr>
          <w:rFonts w:hint="eastAsia" w:asciiTheme="minorEastAsia" w:hAnsiTheme="minorEastAsia" w:eastAsiaTheme="minorEastAsia" w:cstheme="minorEastAsia"/>
          <w:b w:val="0"/>
          <w:bCs w:val="0"/>
          <w:sz w:val="24"/>
          <w:szCs w:val="24"/>
          <w:highlight w:val="none"/>
        </w:rPr>
      </w:pPr>
      <w:bookmarkStart w:id="215" w:name="_Toc26174"/>
      <w:bookmarkStart w:id="216" w:name="_Toc249"/>
      <w:r>
        <w:rPr>
          <w:rFonts w:hint="eastAsia" w:asciiTheme="minorEastAsia" w:hAnsiTheme="minorEastAsia" w:eastAsiaTheme="minorEastAsia" w:cstheme="minorEastAsia"/>
          <w:b/>
          <w:bCs/>
          <w:sz w:val="24"/>
          <w:szCs w:val="24"/>
          <w:highlight w:val="none"/>
          <w:lang w:eastAsia="zh-CN"/>
        </w:rPr>
        <w:t>11.</w:t>
      </w:r>
      <w:r>
        <w:rPr>
          <w:rFonts w:hint="eastAsia" w:asciiTheme="minorEastAsia" w:hAnsiTheme="minorEastAsia" w:eastAsiaTheme="minorEastAsia" w:cstheme="minorEastAsia"/>
          <w:b/>
          <w:bCs/>
          <w:sz w:val="24"/>
          <w:szCs w:val="24"/>
          <w:highlight w:val="none"/>
        </w:rPr>
        <w:t>废标</w:t>
      </w:r>
      <w:bookmarkEnd w:id="215"/>
      <w:bookmarkEnd w:id="216"/>
    </w:p>
    <w:p w14:paraId="33AFB4F1">
      <w:pPr>
        <w:pageBreakBefore w:val="0"/>
        <w:widowControl w:val="0"/>
        <w:kinsoku/>
        <w:wordWrap/>
        <w:overflowPunct/>
        <w:topLinePunct w:val="0"/>
        <w:bidi w:val="0"/>
        <w:adjustRightInd w:val="0"/>
        <w:snapToGrid w:val="0"/>
        <w:spacing w:line="360" w:lineRule="auto"/>
        <w:textAlignment w:val="auto"/>
        <w:outlineLvl w:val="9"/>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11.1 在采购过程中出现下列情形之一，将导致项目废标： </w:t>
      </w:r>
    </w:p>
    <w:p w14:paraId="73F75C97">
      <w:pPr>
        <w:pageBreakBefore w:val="0"/>
        <w:widowControl w:val="0"/>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11.1.1 符合专业条件的投标人或者满足招标文件实质性要求的投标人不足三家的；</w:t>
      </w:r>
    </w:p>
    <w:p w14:paraId="640A89CC">
      <w:pPr>
        <w:pageBreakBefore w:val="0"/>
        <w:widowControl w:val="0"/>
        <w:kinsoku/>
        <w:wordWrap/>
        <w:overflowPunct/>
        <w:topLinePunct w:val="0"/>
        <w:bidi w:val="0"/>
        <w:adjustRightInd w:val="0"/>
        <w:snapToGrid w:val="0"/>
        <w:spacing w:line="360" w:lineRule="auto"/>
        <w:textAlignment w:val="auto"/>
        <w:outlineLvl w:val="9"/>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11.1.2 出现影响采购公正的违法、违规行为的；</w:t>
      </w:r>
    </w:p>
    <w:p w14:paraId="25760FD2">
      <w:pPr>
        <w:pageBreakBefore w:val="0"/>
        <w:widowControl w:val="0"/>
        <w:kinsoku/>
        <w:wordWrap/>
        <w:overflowPunct/>
        <w:topLinePunct w:val="0"/>
        <w:bidi w:val="0"/>
        <w:adjustRightInd w:val="0"/>
        <w:snapToGrid w:val="0"/>
        <w:spacing w:line="360" w:lineRule="auto"/>
        <w:textAlignment w:val="auto"/>
        <w:outlineLvl w:val="9"/>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11.1.3 投标人的报价均超过了采购预算或最高限价的，采购人不能支付的；</w:t>
      </w:r>
    </w:p>
    <w:p w14:paraId="3B2D8185">
      <w:pPr>
        <w:pageBreakBefore w:val="0"/>
        <w:widowControl w:val="0"/>
        <w:kinsoku/>
        <w:wordWrap/>
        <w:overflowPunct/>
        <w:topLinePunct w:val="0"/>
        <w:bidi w:val="0"/>
        <w:adjustRightInd w:val="0"/>
        <w:snapToGrid w:val="0"/>
        <w:spacing w:line="360" w:lineRule="auto"/>
        <w:textAlignment w:val="auto"/>
        <w:outlineLvl w:val="9"/>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11.1.4 因重大变故，采购任务取消的。</w:t>
      </w:r>
    </w:p>
    <w:p w14:paraId="76C850EE">
      <w:pPr>
        <w:pageBreakBefore w:val="0"/>
        <w:widowControl w:val="0"/>
        <w:kinsoku/>
        <w:wordWrap/>
        <w:overflowPunct/>
        <w:topLinePunct w:val="0"/>
        <w:bidi w:val="0"/>
        <w:adjustRightInd w:val="0"/>
        <w:snapToGrid w:val="0"/>
        <w:spacing w:line="360" w:lineRule="auto"/>
        <w:ind w:left="490" w:hanging="489" w:hangingChars="204"/>
        <w:textAlignment w:val="auto"/>
        <w:outlineLvl w:val="9"/>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11.2 废标后，采购人将废标理由通知所有投标人。</w:t>
      </w:r>
    </w:p>
    <w:p w14:paraId="36850259">
      <w:pPr>
        <w:pageBreakBefore w:val="0"/>
        <w:widowControl w:val="0"/>
        <w:kinsoku/>
        <w:wordWrap/>
        <w:overflowPunct/>
        <w:topLinePunct w:val="0"/>
        <w:bidi w:val="0"/>
        <w:adjustRightInd w:val="0"/>
        <w:snapToGrid w:val="0"/>
        <w:spacing w:before="0" w:after="0" w:line="360" w:lineRule="auto"/>
        <w:textAlignment w:val="auto"/>
        <w:outlineLvl w:val="9"/>
        <w:rPr>
          <w:rFonts w:hint="eastAsia" w:asciiTheme="minorEastAsia" w:hAnsiTheme="minorEastAsia" w:eastAsiaTheme="minorEastAsia" w:cstheme="minorEastAsia"/>
          <w:b/>
          <w:bCs/>
          <w:sz w:val="24"/>
          <w:szCs w:val="24"/>
          <w:highlight w:val="none"/>
        </w:rPr>
      </w:pPr>
      <w:bookmarkStart w:id="217" w:name="_Toc5605"/>
      <w:bookmarkStart w:id="218" w:name="_Toc39568666"/>
      <w:bookmarkStart w:id="219" w:name="_Toc28362"/>
      <w:r>
        <w:rPr>
          <w:rFonts w:hint="eastAsia" w:asciiTheme="minorEastAsia" w:hAnsiTheme="minorEastAsia" w:eastAsiaTheme="minorEastAsia" w:cstheme="minorEastAsia"/>
          <w:b/>
          <w:bCs/>
          <w:sz w:val="24"/>
          <w:szCs w:val="24"/>
          <w:highlight w:val="none"/>
          <w:lang w:eastAsia="zh-CN"/>
        </w:rPr>
        <w:t>12.</w:t>
      </w:r>
      <w:r>
        <w:rPr>
          <w:rFonts w:hint="eastAsia" w:asciiTheme="minorEastAsia" w:hAnsiTheme="minorEastAsia" w:eastAsiaTheme="minorEastAsia" w:cstheme="minorEastAsia"/>
          <w:b/>
          <w:bCs/>
          <w:sz w:val="24"/>
          <w:szCs w:val="24"/>
          <w:highlight w:val="none"/>
        </w:rPr>
        <w:t>签订合同</w:t>
      </w:r>
      <w:bookmarkEnd w:id="217"/>
      <w:bookmarkEnd w:id="218"/>
      <w:bookmarkEnd w:id="219"/>
    </w:p>
    <w:p w14:paraId="5E7CD409">
      <w:pPr>
        <w:pageBreakBefore w:val="0"/>
        <w:widowControl w:val="0"/>
        <w:kinsoku/>
        <w:wordWrap/>
        <w:overflowPunct/>
        <w:topLinePunct w:val="0"/>
        <w:bidi w:val="0"/>
        <w:adjustRightInd w:val="0"/>
        <w:snapToGrid w:val="0"/>
        <w:spacing w:line="360" w:lineRule="auto"/>
        <w:ind w:left="600" w:hanging="600" w:hangingChars="250"/>
        <w:textAlignment w:val="auto"/>
        <w:outlineLvl w:val="9"/>
        <w:rPr>
          <w:rFonts w:hint="eastAsia" w:asciiTheme="minorEastAsia" w:hAnsiTheme="minorEastAsia" w:eastAsiaTheme="minorEastAsia" w:cstheme="minorEastAsia"/>
          <w:sz w:val="24"/>
          <w:szCs w:val="24"/>
          <w:highlight w:val="none"/>
        </w:rPr>
      </w:pPr>
      <w:bookmarkStart w:id="220" w:name="_Hlk96070483"/>
      <w:r>
        <w:rPr>
          <w:rFonts w:hint="eastAsia" w:asciiTheme="minorEastAsia" w:hAnsiTheme="minorEastAsia" w:eastAsiaTheme="minorEastAsia" w:cstheme="minorEastAsia"/>
          <w:sz w:val="24"/>
          <w:szCs w:val="24"/>
          <w:highlight w:val="none"/>
        </w:rPr>
        <w:t>12.1 中标人与</w:t>
      </w:r>
      <w:r>
        <w:rPr>
          <w:rFonts w:hint="eastAsia" w:asciiTheme="minorEastAsia" w:hAnsiTheme="minorEastAsia" w:eastAsiaTheme="minorEastAsia" w:cstheme="minorEastAsia"/>
          <w:spacing w:val="-10"/>
          <w:sz w:val="24"/>
          <w:szCs w:val="24"/>
          <w:highlight w:val="none"/>
        </w:rPr>
        <w:t>采购人</w:t>
      </w:r>
      <w:r>
        <w:rPr>
          <w:rFonts w:hint="eastAsia" w:asciiTheme="minorEastAsia" w:hAnsiTheme="minorEastAsia" w:eastAsiaTheme="minorEastAsia" w:cstheme="minorEastAsia"/>
          <w:sz w:val="24"/>
          <w:szCs w:val="24"/>
          <w:highlight w:val="none"/>
        </w:rPr>
        <w:t>原则上</w:t>
      </w:r>
      <w:r>
        <w:rPr>
          <w:rFonts w:hint="eastAsia" w:asciiTheme="minorEastAsia" w:hAnsiTheme="minorEastAsia" w:eastAsiaTheme="minorEastAsia" w:cstheme="minorEastAsia"/>
          <w:spacing w:val="-10"/>
          <w:sz w:val="24"/>
          <w:szCs w:val="24"/>
          <w:highlight w:val="none"/>
          <w:lang w:eastAsia="zh-CN"/>
        </w:rPr>
        <w:t>需</w:t>
      </w:r>
      <w:r>
        <w:rPr>
          <w:rFonts w:hint="eastAsia" w:asciiTheme="minorEastAsia" w:hAnsiTheme="minorEastAsia" w:eastAsiaTheme="minorEastAsia" w:cstheme="minorEastAsia"/>
          <w:sz w:val="24"/>
          <w:szCs w:val="24"/>
          <w:highlight w:val="none"/>
        </w:rPr>
        <w:t>在发出中标通知书后，争取1个工作日内与中标</w:t>
      </w:r>
      <w:r>
        <w:rPr>
          <w:rFonts w:hint="eastAsia" w:asciiTheme="minorEastAsia" w:hAnsiTheme="minorEastAsia" w:eastAsiaTheme="minorEastAsia" w:cstheme="minorEastAsia"/>
          <w:sz w:val="24"/>
          <w:szCs w:val="24"/>
          <w:highlight w:val="none"/>
          <w:lang w:val="en-US" w:eastAsia="zh-CN"/>
        </w:rPr>
        <w:t>人</w:t>
      </w:r>
      <w:r>
        <w:rPr>
          <w:rFonts w:hint="eastAsia" w:asciiTheme="minorEastAsia" w:hAnsiTheme="minorEastAsia" w:eastAsiaTheme="minorEastAsia" w:cstheme="minorEastAsia"/>
          <w:sz w:val="24"/>
          <w:szCs w:val="24"/>
          <w:highlight w:val="none"/>
        </w:rPr>
        <w:t>签订政府采购合同，合同签订后1个工作日内报同级财政部门备案。</w:t>
      </w:r>
    </w:p>
    <w:bookmarkEnd w:id="220"/>
    <w:p w14:paraId="407AED1B">
      <w:pPr>
        <w:pageBreakBefore w:val="0"/>
        <w:widowControl w:val="0"/>
        <w:kinsoku/>
        <w:wordWrap/>
        <w:overflowPunct/>
        <w:topLinePunct w:val="0"/>
        <w:bidi w:val="0"/>
        <w:adjustRightInd w:val="0"/>
        <w:snapToGrid w:val="0"/>
        <w:spacing w:line="360" w:lineRule="auto"/>
        <w:ind w:left="480" w:hanging="480" w:hangingChars="200"/>
        <w:textAlignment w:val="auto"/>
        <w:outlineLvl w:val="9"/>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12.2 招标文件、中标投标人的投标文件及其澄清文件等，均为签订合同的依据</w:t>
      </w:r>
      <w:r>
        <w:rPr>
          <w:rFonts w:hint="eastAsia" w:asciiTheme="minorEastAsia" w:hAnsiTheme="minorEastAsia" w:eastAsiaTheme="minorEastAsia" w:cstheme="minorEastAsia"/>
          <w:sz w:val="24"/>
          <w:szCs w:val="24"/>
          <w:highlight w:val="none"/>
          <w:lang w:eastAsia="zh-CN"/>
        </w:rPr>
        <w:t>，双方需</w:t>
      </w:r>
      <w:r>
        <w:rPr>
          <w:rFonts w:hint="eastAsia" w:asciiTheme="minorEastAsia" w:hAnsiTheme="minorEastAsia" w:eastAsiaTheme="minorEastAsia" w:cstheme="minorEastAsia"/>
          <w:spacing w:val="-9"/>
          <w:sz w:val="24"/>
          <w:szCs w:val="24"/>
          <w:highlight w:val="none"/>
        </w:rPr>
        <w:t>按照</w:t>
      </w:r>
      <w:r>
        <w:rPr>
          <w:rFonts w:hint="eastAsia" w:asciiTheme="minorEastAsia" w:hAnsiTheme="minorEastAsia" w:eastAsiaTheme="minorEastAsia" w:cstheme="minorEastAsia"/>
          <w:spacing w:val="-9"/>
          <w:sz w:val="24"/>
          <w:szCs w:val="24"/>
          <w:highlight w:val="none"/>
          <w:lang w:eastAsia="zh-CN"/>
        </w:rPr>
        <w:t>以上依据</w:t>
      </w:r>
      <w:r>
        <w:rPr>
          <w:rFonts w:hint="eastAsia" w:asciiTheme="minorEastAsia" w:hAnsiTheme="minorEastAsia" w:eastAsiaTheme="minorEastAsia" w:cstheme="minorEastAsia"/>
          <w:sz w:val="24"/>
          <w:szCs w:val="24"/>
          <w:highlight w:val="none"/>
        </w:rPr>
        <w:t>签订书面合同</w:t>
      </w:r>
      <w:bookmarkStart w:id="221" w:name="_Hlk164356064"/>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所签订的合同不得对招标文件确定的事项和中标人的投标文件作实质性修改</w:t>
      </w:r>
      <w:bookmarkEnd w:id="221"/>
      <w:r>
        <w:rPr>
          <w:rFonts w:hint="eastAsia" w:asciiTheme="minorEastAsia" w:hAnsiTheme="minorEastAsia" w:eastAsiaTheme="minorEastAsia" w:cstheme="minorEastAsia"/>
          <w:sz w:val="24"/>
          <w:szCs w:val="24"/>
          <w:highlight w:val="none"/>
        </w:rPr>
        <w:t>。</w:t>
      </w:r>
    </w:p>
    <w:p w14:paraId="72AFBB02">
      <w:pPr>
        <w:pageBreakBefore w:val="0"/>
        <w:widowControl w:val="0"/>
        <w:kinsoku/>
        <w:wordWrap/>
        <w:overflowPunct/>
        <w:topLinePunct w:val="0"/>
        <w:bidi w:val="0"/>
        <w:adjustRightInd w:val="0"/>
        <w:snapToGrid w:val="0"/>
        <w:spacing w:line="360" w:lineRule="auto"/>
        <w:ind w:left="480" w:hanging="480" w:hangingChars="2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12.3 如中标人拒绝与采购人签订合同的，应当承担相应的法律责任；采购人可以按照评标报告推荐的中标候选人名单排序，确定下一中标候选人为中标人，也可以重新开展采购活动。</w:t>
      </w:r>
    </w:p>
    <w:p w14:paraId="4B45D0C2">
      <w:pPr>
        <w:pageBreakBefore w:val="0"/>
        <w:widowControl w:val="0"/>
        <w:kinsoku/>
        <w:wordWrap/>
        <w:overflowPunct/>
        <w:topLinePunct w:val="0"/>
        <w:bidi w:val="0"/>
        <w:adjustRightInd w:val="0"/>
        <w:snapToGrid w:val="0"/>
        <w:spacing w:line="360" w:lineRule="auto"/>
        <w:ind w:left="600" w:hanging="600" w:hangingChars="250"/>
        <w:textAlignment w:val="auto"/>
        <w:outlineLvl w:val="9"/>
        <w:rPr>
          <w:rFonts w:hint="eastAsia" w:asciiTheme="minorEastAsia" w:hAnsiTheme="minorEastAsia" w:eastAsiaTheme="minorEastAsia" w:cstheme="minorEastAsia"/>
          <w:sz w:val="24"/>
          <w:szCs w:val="24"/>
        </w:rPr>
      </w:pPr>
      <w:bookmarkStart w:id="222" w:name="_Hlk164356484"/>
      <w:r>
        <w:rPr>
          <w:rFonts w:hint="eastAsia" w:asciiTheme="minorEastAsia" w:hAnsiTheme="minorEastAsia" w:eastAsiaTheme="minorEastAsia" w:cstheme="minorEastAsia"/>
          <w:sz w:val="24"/>
          <w:szCs w:val="24"/>
        </w:rPr>
        <w:t>12.4 联合体中标的，联合体各方应当共同与采购人签订合同，就采购合同约定的事项向采购人承担连带责任。</w:t>
      </w:r>
    </w:p>
    <w:p w14:paraId="6C977443">
      <w:pPr>
        <w:pageBreakBefore w:val="0"/>
        <w:widowControl w:val="0"/>
        <w:kinsoku/>
        <w:wordWrap/>
        <w:overflowPunct/>
        <w:topLinePunct w:val="0"/>
        <w:bidi w:val="0"/>
        <w:adjustRightInd w:val="0"/>
        <w:snapToGrid w:val="0"/>
        <w:spacing w:line="360" w:lineRule="auto"/>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12.5 政府采购合同不能转包。</w:t>
      </w:r>
    </w:p>
    <w:p w14:paraId="37DF1D84">
      <w:pPr>
        <w:pageBreakBefore w:val="0"/>
        <w:widowControl w:val="0"/>
        <w:kinsoku/>
        <w:wordWrap/>
        <w:overflowPunct/>
        <w:topLinePunct w:val="0"/>
        <w:bidi w:val="0"/>
        <w:adjustRightInd w:val="0"/>
        <w:snapToGrid w:val="0"/>
        <w:spacing w:line="360" w:lineRule="auto"/>
        <w:ind w:left="600" w:hanging="600" w:hangingChars="250"/>
        <w:textAlignment w:val="auto"/>
        <w:outlineLvl w:val="9"/>
        <w:rPr>
          <w:rFonts w:hint="eastAsia" w:asciiTheme="minorEastAsia" w:hAnsiTheme="minorEastAsia" w:eastAsiaTheme="minorEastAsia" w:cstheme="minorEastAsia"/>
          <w:color w:val="FF0000"/>
          <w:sz w:val="24"/>
          <w:szCs w:val="24"/>
        </w:rPr>
      </w:pPr>
      <w:r>
        <w:rPr>
          <w:rFonts w:hint="eastAsia" w:asciiTheme="minorEastAsia" w:hAnsiTheme="minorEastAsia" w:eastAsiaTheme="minorEastAsia" w:cstheme="minorEastAsia"/>
          <w:sz w:val="24"/>
          <w:szCs w:val="24"/>
        </w:rPr>
        <w:t>12.6 采购人允许采用分包方式履行合同的，中标人可以依法在中标后将中标项目的非主体、非关键性工作采取分包方式履行合同。本项目的非主体、非关键性工作是否允许分包，见：</w:t>
      </w:r>
      <w:r>
        <w:rPr>
          <w:rFonts w:hint="eastAsia" w:asciiTheme="minorEastAsia" w:hAnsiTheme="minorEastAsia" w:eastAsiaTheme="minorEastAsia" w:cstheme="minorEastAsia"/>
          <w:b w:val="0"/>
          <w:bCs w:val="0"/>
          <w:sz w:val="24"/>
          <w:szCs w:val="24"/>
          <w:u w:val="single"/>
        </w:rPr>
        <w:t>投标人须知前附表</w:t>
      </w:r>
      <w:r>
        <w:rPr>
          <w:rFonts w:hint="eastAsia" w:asciiTheme="minorEastAsia" w:hAnsiTheme="minorEastAsia" w:eastAsiaTheme="minorEastAsia" w:cstheme="minorEastAsia"/>
          <w:b w:val="0"/>
          <w:bCs w:val="0"/>
          <w:sz w:val="24"/>
          <w:szCs w:val="24"/>
        </w:rPr>
        <w:t>。政府采购合同分包履行的，应当在投标文件中载明分包承担主体，分包承担主体应当具备相应资质条件且不得再次分包，否则投标无效。中标人就采</w:t>
      </w:r>
      <w:r>
        <w:rPr>
          <w:rFonts w:hint="eastAsia" w:asciiTheme="minorEastAsia" w:hAnsiTheme="minorEastAsia" w:eastAsiaTheme="minorEastAsia" w:cstheme="minorEastAsia"/>
          <w:sz w:val="24"/>
          <w:szCs w:val="24"/>
        </w:rPr>
        <w:t>购项目和分包项目向采购人负责，分包承担主体就分包项目承担责任。</w:t>
      </w:r>
      <w:bookmarkEnd w:id="222"/>
    </w:p>
    <w:p w14:paraId="228D46A5">
      <w:pPr>
        <w:pageBreakBefore w:val="0"/>
        <w:widowControl w:val="0"/>
        <w:kinsoku/>
        <w:wordWrap/>
        <w:overflowPunct/>
        <w:topLinePunct w:val="0"/>
        <w:bidi w:val="0"/>
        <w:adjustRightInd w:val="0"/>
        <w:snapToGrid w:val="0"/>
        <w:spacing w:before="0" w:after="0" w:line="360" w:lineRule="auto"/>
        <w:textAlignment w:val="auto"/>
        <w:outlineLvl w:val="9"/>
        <w:rPr>
          <w:rFonts w:hint="eastAsia" w:asciiTheme="minorEastAsia" w:hAnsiTheme="minorEastAsia" w:eastAsiaTheme="minorEastAsia" w:cstheme="minorEastAsia"/>
          <w:sz w:val="24"/>
          <w:szCs w:val="24"/>
          <w:lang w:eastAsia="zh-CN"/>
        </w:rPr>
      </w:pPr>
      <w:bookmarkStart w:id="223" w:name="_Toc39568667"/>
      <w:bookmarkStart w:id="224" w:name="_Toc18155"/>
      <w:bookmarkStart w:id="225" w:name="_Toc6396"/>
      <w:r>
        <w:rPr>
          <w:rFonts w:hint="eastAsia" w:asciiTheme="minorEastAsia" w:hAnsiTheme="minorEastAsia" w:eastAsiaTheme="minorEastAsia" w:cstheme="minorEastAsia"/>
          <w:b/>
          <w:bCs/>
          <w:sz w:val="24"/>
          <w:szCs w:val="24"/>
          <w:lang w:eastAsia="zh-CN"/>
        </w:rPr>
        <w:t>13.</w:t>
      </w:r>
      <w:r>
        <w:rPr>
          <w:rFonts w:hint="eastAsia" w:asciiTheme="minorEastAsia" w:hAnsiTheme="minorEastAsia" w:eastAsiaTheme="minorEastAsia" w:cstheme="minorEastAsia"/>
          <w:b/>
          <w:bCs/>
          <w:sz w:val="24"/>
          <w:szCs w:val="24"/>
        </w:rPr>
        <w:t>履约保证金</w:t>
      </w:r>
      <w:bookmarkEnd w:id="223"/>
      <w:bookmarkEnd w:id="224"/>
      <w:bookmarkEnd w:id="225"/>
      <w:r>
        <w:rPr>
          <w:rFonts w:hint="eastAsia" w:asciiTheme="minorEastAsia" w:hAnsiTheme="minorEastAsia" w:eastAsiaTheme="minorEastAsia" w:cstheme="minorEastAsia"/>
          <w:b/>
          <w:bCs/>
          <w:sz w:val="24"/>
          <w:szCs w:val="24"/>
          <w:lang w:eastAsia="zh-CN"/>
        </w:rPr>
        <w:t>（</w:t>
      </w:r>
      <w:r>
        <w:rPr>
          <w:rFonts w:hint="eastAsia" w:asciiTheme="minorEastAsia" w:hAnsiTheme="minorEastAsia" w:eastAsiaTheme="minorEastAsia" w:cstheme="minorEastAsia"/>
          <w:b/>
          <w:bCs/>
          <w:sz w:val="24"/>
          <w:szCs w:val="24"/>
          <w:lang w:val="en-US" w:eastAsia="zh-CN"/>
        </w:rPr>
        <w:t>本项目不适用</w:t>
      </w:r>
      <w:r>
        <w:rPr>
          <w:rFonts w:hint="eastAsia" w:asciiTheme="minorEastAsia" w:hAnsiTheme="minorEastAsia" w:eastAsiaTheme="minorEastAsia" w:cstheme="minorEastAsia"/>
          <w:b/>
          <w:bCs/>
          <w:sz w:val="24"/>
          <w:szCs w:val="24"/>
          <w:lang w:eastAsia="zh-CN"/>
        </w:rPr>
        <w:t>）</w:t>
      </w:r>
    </w:p>
    <w:p w14:paraId="00EF9641">
      <w:pPr>
        <w:pageBreakBefore w:val="0"/>
        <w:widowControl w:val="0"/>
        <w:kinsoku/>
        <w:wordWrap/>
        <w:overflowPunct/>
        <w:topLinePunct w:val="0"/>
        <w:bidi w:val="0"/>
        <w:adjustRightInd w:val="0"/>
        <w:snapToGrid w:val="0"/>
        <w:spacing w:before="0" w:after="0" w:line="360" w:lineRule="auto"/>
        <w:textAlignment w:val="auto"/>
        <w:outlineLvl w:val="9"/>
        <w:rPr>
          <w:rFonts w:hint="eastAsia" w:asciiTheme="minorEastAsia" w:hAnsiTheme="minorEastAsia" w:eastAsiaTheme="minorEastAsia" w:cstheme="minorEastAsia"/>
          <w:b w:val="0"/>
          <w:bCs w:val="0"/>
          <w:sz w:val="24"/>
          <w:szCs w:val="24"/>
          <w:lang w:eastAsia="zh-CN"/>
        </w:rPr>
      </w:pPr>
      <w:bookmarkStart w:id="226" w:name="_Toc39568668"/>
      <w:bookmarkStart w:id="227" w:name="_Toc31719"/>
      <w:bookmarkStart w:id="228" w:name="_Toc4182"/>
      <w:r>
        <w:rPr>
          <w:rFonts w:hint="eastAsia" w:asciiTheme="minorEastAsia" w:hAnsiTheme="minorEastAsia" w:eastAsiaTheme="minorEastAsia" w:cstheme="minorEastAsia"/>
          <w:b/>
          <w:bCs/>
          <w:sz w:val="24"/>
          <w:szCs w:val="24"/>
          <w:lang w:eastAsia="zh-CN"/>
        </w:rPr>
        <w:t>14.</w:t>
      </w:r>
      <w:bookmarkEnd w:id="226"/>
      <w:r>
        <w:rPr>
          <w:rFonts w:hint="eastAsia" w:asciiTheme="minorEastAsia" w:hAnsiTheme="minorEastAsia" w:eastAsiaTheme="minorEastAsia" w:cstheme="minorEastAsia"/>
          <w:b/>
          <w:bCs/>
          <w:sz w:val="24"/>
          <w:szCs w:val="24"/>
          <w:lang w:eastAsia="zh-CN"/>
        </w:rPr>
        <w:t>付款方式</w:t>
      </w:r>
      <w:bookmarkEnd w:id="227"/>
      <w:bookmarkEnd w:id="228"/>
    </w:p>
    <w:p w14:paraId="77DF2639">
      <w:pPr>
        <w:pageBreakBefore w:val="0"/>
        <w:widowControl w:val="0"/>
        <w:kinsoku/>
        <w:wordWrap/>
        <w:overflowPunct/>
        <w:topLinePunct w:val="0"/>
        <w:bidi w:val="0"/>
        <w:adjustRightInd w:val="0"/>
        <w:snapToGrid w:val="0"/>
        <w:spacing w:line="360" w:lineRule="auto"/>
        <w:ind w:left="600" w:hanging="600" w:hangingChars="250"/>
        <w:textAlignment w:val="auto"/>
        <w:outlineLvl w:val="9"/>
        <w:rPr>
          <w:rFonts w:hint="eastAsia" w:asciiTheme="minorEastAsia" w:hAnsiTheme="minorEastAsia" w:eastAsiaTheme="minorEastAsia" w:cstheme="minorEastAsia"/>
          <w:sz w:val="24"/>
          <w:szCs w:val="24"/>
        </w:rPr>
      </w:pPr>
      <w:bookmarkStart w:id="229" w:name="_Toc39568669"/>
      <w:r>
        <w:rPr>
          <w:rFonts w:hint="eastAsia" w:asciiTheme="minorEastAsia" w:hAnsiTheme="minorEastAsia" w:eastAsiaTheme="minorEastAsia" w:cstheme="minorEastAsia"/>
          <w:sz w:val="24"/>
          <w:szCs w:val="24"/>
        </w:rPr>
        <w:t>14.1付款方式比例按照</w:t>
      </w:r>
      <w:r>
        <w:rPr>
          <w:rFonts w:hint="eastAsia" w:asciiTheme="minorEastAsia" w:hAnsiTheme="minorEastAsia" w:eastAsiaTheme="minorEastAsia" w:cstheme="minorEastAsia"/>
          <w:b w:val="0"/>
          <w:bCs/>
          <w:sz w:val="24"/>
          <w:szCs w:val="24"/>
          <w:u w:val="single"/>
        </w:rPr>
        <w:t>投标人须知前附表</w:t>
      </w:r>
      <w:r>
        <w:rPr>
          <w:rFonts w:hint="eastAsia" w:asciiTheme="minorEastAsia" w:hAnsiTheme="minorEastAsia" w:eastAsiaTheme="minorEastAsia" w:cstheme="minorEastAsia"/>
          <w:b w:val="0"/>
          <w:bCs/>
          <w:sz w:val="24"/>
          <w:szCs w:val="24"/>
        </w:rPr>
        <w:t>规定执行</w:t>
      </w:r>
      <w:r>
        <w:rPr>
          <w:rFonts w:hint="eastAsia" w:asciiTheme="minorEastAsia" w:hAnsiTheme="minorEastAsia" w:eastAsiaTheme="minorEastAsia" w:cstheme="minorEastAsia"/>
          <w:sz w:val="24"/>
          <w:szCs w:val="24"/>
        </w:rPr>
        <w:t>。</w:t>
      </w:r>
    </w:p>
    <w:bookmarkEnd w:id="229"/>
    <w:p w14:paraId="3DFE8C3C">
      <w:pPr>
        <w:pageBreakBefore w:val="0"/>
        <w:widowControl w:val="0"/>
        <w:kinsoku/>
        <w:wordWrap/>
        <w:overflowPunct/>
        <w:topLinePunct w:val="0"/>
        <w:bidi w:val="0"/>
        <w:adjustRightInd w:val="0"/>
        <w:snapToGrid w:val="0"/>
        <w:spacing w:before="0" w:after="0" w:line="360" w:lineRule="auto"/>
        <w:textAlignment w:val="auto"/>
        <w:outlineLvl w:val="9"/>
        <w:rPr>
          <w:rFonts w:hint="eastAsia" w:asciiTheme="minorEastAsia" w:hAnsiTheme="minorEastAsia" w:eastAsiaTheme="minorEastAsia" w:cstheme="minorEastAsia"/>
          <w:b/>
          <w:bCs/>
          <w:sz w:val="24"/>
          <w:szCs w:val="24"/>
        </w:rPr>
      </w:pPr>
      <w:bookmarkStart w:id="230" w:name="_Toc14671"/>
      <w:bookmarkStart w:id="231" w:name="_Toc2387"/>
      <w:bookmarkStart w:id="232" w:name="_Toc96071960"/>
      <w:r>
        <w:rPr>
          <w:rFonts w:hint="eastAsia" w:asciiTheme="minorEastAsia" w:hAnsiTheme="minorEastAsia" w:eastAsiaTheme="minorEastAsia" w:cstheme="minorEastAsia"/>
          <w:b/>
          <w:bCs/>
          <w:sz w:val="24"/>
          <w:szCs w:val="24"/>
          <w:lang w:val="en-US" w:eastAsia="zh-CN"/>
        </w:rPr>
        <w:t>15</w:t>
      </w:r>
      <w:r>
        <w:rPr>
          <w:rFonts w:hint="eastAsia" w:asciiTheme="minorEastAsia" w:hAnsiTheme="minorEastAsia" w:eastAsiaTheme="minorEastAsia" w:cstheme="minorEastAsia"/>
          <w:b/>
          <w:bCs/>
          <w:sz w:val="24"/>
          <w:szCs w:val="24"/>
          <w:lang w:eastAsia="zh-CN"/>
        </w:rPr>
        <w:t>.</w:t>
      </w:r>
      <w:r>
        <w:rPr>
          <w:rFonts w:hint="eastAsia" w:asciiTheme="minorEastAsia" w:hAnsiTheme="minorEastAsia" w:eastAsiaTheme="minorEastAsia" w:cstheme="minorEastAsia"/>
          <w:b/>
          <w:bCs/>
          <w:sz w:val="24"/>
          <w:szCs w:val="24"/>
        </w:rPr>
        <w:t>履约验收</w:t>
      </w:r>
      <w:bookmarkEnd w:id="230"/>
      <w:bookmarkEnd w:id="231"/>
      <w:bookmarkEnd w:id="232"/>
    </w:p>
    <w:p w14:paraId="05F0F88A">
      <w:pPr>
        <w:pageBreakBefore w:val="0"/>
        <w:widowControl w:val="0"/>
        <w:kinsoku/>
        <w:wordWrap/>
        <w:overflowPunct/>
        <w:topLinePunct w:val="0"/>
        <w:bidi w:val="0"/>
        <w:adjustRightInd w:val="0"/>
        <w:snapToGrid w:val="0"/>
        <w:spacing w:line="360" w:lineRule="auto"/>
        <w:ind w:firstLine="42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本项目采购人将严格按照政府采购相关法律法规的要求进行验收。</w:t>
      </w:r>
    </w:p>
    <w:p w14:paraId="371D3393">
      <w:pPr>
        <w:keepNext w:val="0"/>
        <w:keepLines w:val="0"/>
        <w:pageBreakBefore w:val="0"/>
        <w:widowControl w:val="0"/>
        <w:numPr>
          <w:ilvl w:val="0"/>
          <w:numId w:val="0"/>
        </w:numPr>
        <w:kinsoku/>
        <w:wordWrap/>
        <w:overflowPunct/>
        <w:topLinePunct w:val="0"/>
        <w:autoSpaceDE/>
        <w:autoSpaceDN/>
        <w:bidi w:val="0"/>
        <w:adjustRightInd w:val="0"/>
        <w:snapToGrid w:val="0"/>
        <w:spacing w:before="157" w:beforeLines="50" w:after="157" w:afterLines="50" w:line="360" w:lineRule="auto"/>
        <w:jc w:val="center"/>
        <w:textAlignment w:val="auto"/>
        <w:outlineLvl w:val="1"/>
        <w:rPr>
          <w:rFonts w:hint="eastAsia" w:asciiTheme="minorEastAsia" w:hAnsiTheme="minorEastAsia" w:eastAsiaTheme="minorEastAsia" w:cstheme="minorEastAsia"/>
          <w:sz w:val="24"/>
          <w:szCs w:val="24"/>
        </w:rPr>
      </w:pPr>
      <w:bookmarkStart w:id="233" w:name="_Toc28306"/>
      <w:bookmarkStart w:id="234" w:name="_Toc13484"/>
      <w:r>
        <w:rPr>
          <w:rFonts w:hint="eastAsia" w:asciiTheme="minorEastAsia" w:hAnsiTheme="minorEastAsia" w:eastAsiaTheme="minorEastAsia" w:cstheme="minorEastAsia"/>
          <w:b/>
          <w:bCs/>
          <w:sz w:val="30"/>
          <w:szCs w:val="30"/>
          <w:lang w:val="en-US" w:eastAsia="zh-CN"/>
        </w:rPr>
        <w:t>六、</w:t>
      </w:r>
      <w:r>
        <w:rPr>
          <w:rFonts w:hint="eastAsia" w:asciiTheme="minorEastAsia" w:hAnsiTheme="minorEastAsia" w:eastAsiaTheme="minorEastAsia" w:cstheme="minorEastAsia"/>
          <w:b/>
          <w:bCs/>
          <w:sz w:val="30"/>
          <w:szCs w:val="30"/>
          <w:lang w:eastAsia="zh-CN"/>
        </w:rPr>
        <w:t>质疑</w:t>
      </w:r>
      <w:bookmarkEnd w:id="233"/>
      <w:bookmarkEnd w:id="234"/>
    </w:p>
    <w:p w14:paraId="14D17DFE">
      <w:pPr>
        <w:pageBreakBefore w:val="0"/>
        <w:widowControl w:val="0"/>
        <w:kinsoku/>
        <w:wordWrap/>
        <w:overflowPunct/>
        <w:topLinePunct w:val="0"/>
        <w:bidi w:val="0"/>
        <w:adjustRightInd w:val="0"/>
        <w:snapToGrid w:val="0"/>
        <w:spacing w:before="0" w:after="0" w:line="360" w:lineRule="auto"/>
        <w:textAlignment w:val="auto"/>
        <w:outlineLvl w:val="9"/>
        <w:rPr>
          <w:rFonts w:hint="eastAsia" w:asciiTheme="minorEastAsia" w:hAnsiTheme="minorEastAsia" w:eastAsiaTheme="minorEastAsia" w:cstheme="minorEastAsia"/>
          <w:b/>
          <w:bCs/>
          <w:sz w:val="24"/>
          <w:szCs w:val="24"/>
        </w:rPr>
      </w:pPr>
      <w:bookmarkStart w:id="235" w:name="_Toc26249"/>
      <w:bookmarkStart w:id="236" w:name="_Toc39568673"/>
      <w:bookmarkStart w:id="237" w:name="_Toc7797"/>
      <w:r>
        <w:rPr>
          <w:rFonts w:hint="eastAsia" w:asciiTheme="minorEastAsia" w:hAnsiTheme="minorEastAsia" w:eastAsiaTheme="minorEastAsia" w:cstheme="minorEastAsia"/>
          <w:b/>
          <w:bCs/>
          <w:sz w:val="24"/>
          <w:szCs w:val="24"/>
          <w:lang w:val="en-US" w:eastAsia="zh-CN"/>
        </w:rPr>
        <w:t>16</w:t>
      </w:r>
      <w:r>
        <w:rPr>
          <w:rFonts w:hint="eastAsia" w:asciiTheme="minorEastAsia" w:hAnsiTheme="minorEastAsia" w:eastAsiaTheme="minorEastAsia" w:cstheme="minorEastAsia"/>
          <w:b/>
          <w:bCs/>
          <w:sz w:val="24"/>
          <w:szCs w:val="24"/>
          <w:lang w:eastAsia="zh-CN"/>
        </w:rPr>
        <w:t>.</w:t>
      </w:r>
      <w:r>
        <w:rPr>
          <w:rFonts w:hint="eastAsia" w:asciiTheme="minorEastAsia" w:hAnsiTheme="minorEastAsia" w:eastAsiaTheme="minorEastAsia" w:cstheme="minorEastAsia"/>
          <w:b/>
          <w:bCs/>
          <w:sz w:val="24"/>
          <w:szCs w:val="24"/>
        </w:rPr>
        <w:t>质疑的提出与</w:t>
      </w:r>
      <w:r>
        <w:rPr>
          <w:rFonts w:hint="eastAsia" w:asciiTheme="minorEastAsia" w:hAnsiTheme="minorEastAsia" w:eastAsiaTheme="minorEastAsia" w:cstheme="minorEastAsia"/>
          <w:b/>
          <w:bCs/>
          <w:sz w:val="24"/>
          <w:szCs w:val="24"/>
          <w:lang w:eastAsia="zh-CN"/>
        </w:rPr>
        <w:t>接受</w:t>
      </w:r>
      <w:bookmarkEnd w:id="235"/>
      <w:bookmarkEnd w:id="236"/>
      <w:bookmarkEnd w:id="237"/>
    </w:p>
    <w:p w14:paraId="4A4767BD">
      <w:pPr>
        <w:pageBreakBefore w:val="0"/>
        <w:widowControl w:val="0"/>
        <w:kinsoku/>
        <w:wordWrap/>
        <w:overflowPunct/>
        <w:topLinePunct w:val="0"/>
        <w:bidi w:val="0"/>
        <w:adjustRightInd w:val="0"/>
        <w:snapToGrid w:val="0"/>
        <w:spacing w:line="360" w:lineRule="auto"/>
        <w:ind w:left="566" w:hanging="566" w:hangingChars="236"/>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16</w:t>
      </w:r>
      <w:r>
        <w:rPr>
          <w:rFonts w:hint="eastAsia" w:asciiTheme="minorEastAsia" w:hAnsiTheme="minorEastAsia" w:eastAsiaTheme="minorEastAsia" w:cstheme="minorEastAsia"/>
          <w:sz w:val="24"/>
          <w:szCs w:val="24"/>
        </w:rPr>
        <w:t>.1 投标人认为招标文件、招标过程、中标结果使自己的权益受到损害的，可以根据《中华人民共和国政府采购法》《中华人民共和国政府采购法实施条例》《政府采购货物和服务招标投标管理办法》和《政府采购质疑和投诉办法》的有关规定，依法向采购人或其委托的采购代理机构提出质疑。</w:t>
      </w:r>
    </w:p>
    <w:p w14:paraId="2EA91D01">
      <w:pPr>
        <w:pageBreakBefore w:val="0"/>
        <w:widowControl w:val="0"/>
        <w:kinsoku/>
        <w:wordWrap/>
        <w:overflowPunct/>
        <w:topLinePunct w:val="0"/>
        <w:bidi w:val="0"/>
        <w:adjustRightInd w:val="0"/>
        <w:snapToGrid w:val="0"/>
        <w:spacing w:line="360" w:lineRule="auto"/>
        <w:ind w:left="588" w:hanging="588" w:hangingChars="245"/>
        <w:textAlignment w:val="auto"/>
        <w:outlineLvl w:val="9"/>
        <w:rPr>
          <w:rFonts w:hint="eastAsia" w:asciiTheme="minorEastAsia" w:hAnsiTheme="minorEastAsia" w:eastAsiaTheme="minorEastAsia" w:cstheme="minorEastAsia"/>
          <w:sz w:val="24"/>
          <w:szCs w:val="24"/>
        </w:rPr>
      </w:pPr>
      <w:bookmarkStart w:id="238" w:name="_Hlk164357294"/>
      <w:r>
        <w:rPr>
          <w:rFonts w:hint="eastAsia" w:asciiTheme="minorEastAsia" w:hAnsiTheme="minorEastAsia" w:eastAsiaTheme="minorEastAsia" w:cstheme="minorEastAsia"/>
          <w:sz w:val="24"/>
          <w:szCs w:val="24"/>
          <w:lang w:val="en-US" w:eastAsia="zh-CN"/>
        </w:rPr>
        <w:t>16</w:t>
      </w:r>
      <w:r>
        <w:rPr>
          <w:rFonts w:hint="eastAsia" w:asciiTheme="minorEastAsia" w:hAnsiTheme="minorEastAsia" w:eastAsiaTheme="minorEastAsia" w:cstheme="minorEastAsia"/>
          <w:sz w:val="24"/>
          <w:szCs w:val="24"/>
        </w:rPr>
        <w:t>.2 提出质疑的投标人应按照财政部制定的《政府采购质疑函范本》格式（可从财政部官方网站下载）和《政府采购质疑和投诉办法》的要求，在法定质疑期内以书面形式</w:t>
      </w:r>
      <w:r>
        <w:rPr>
          <w:rFonts w:hint="eastAsia" w:asciiTheme="minorEastAsia" w:hAnsiTheme="minorEastAsia" w:eastAsiaTheme="minorEastAsia" w:cstheme="minorEastAsia"/>
          <w:sz w:val="24"/>
          <w:szCs w:val="24"/>
          <w:lang w:eastAsia="zh-CN"/>
        </w:rPr>
        <w:t>质疑</w:t>
      </w:r>
      <w:r>
        <w:rPr>
          <w:rFonts w:hint="eastAsia" w:asciiTheme="minorEastAsia" w:hAnsiTheme="minorEastAsia" w:eastAsiaTheme="minorEastAsia" w:cstheme="minorEastAsia"/>
          <w:sz w:val="24"/>
          <w:szCs w:val="24"/>
        </w:rPr>
        <w:t>。</w:t>
      </w:r>
    </w:p>
    <w:p w14:paraId="6C7BECA7">
      <w:pPr>
        <w:pageBreakBefore w:val="0"/>
        <w:widowControl w:val="0"/>
        <w:kinsoku/>
        <w:wordWrap/>
        <w:overflowPunct/>
        <w:topLinePunct w:val="0"/>
        <w:bidi w:val="0"/>
        <w:adjustRightInd w:val="0"/>
        <w:snapToGrid w:val="0"/>
        <w:spacing w:line="360" w:lineRule="auto"/>
        <w:ind w:left="480" w:hanging="480" w:hangingChars="2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16</w:t>
      </w:r>
      <w:r>
        <w:rPr>
          <w:rFonts w:hint="eastAsia" w:asciiTheme="minorEastAsia" w:hAnsiTheme="minorEastAsia" w:eastAsiaTheme="minorEastAsia" w:cstheme="minorEastAsia"/>
          <w:sz w:val="24"/>
          <w:szCs w:val="24"/>
        </w:rPr>
        <w:t>.3</w:t>
      </w:r>
      <w:bookmarkStart w:id="239" w:name="_Hlk177372888"/>
      <w:r>
        <w:rPr>
          <w:rFonts w:hint="eastAsia" w:asciiTheme="minorEastAsia" w:hAnsiTheme="minorEastAsia" w:eastAsiaTheme="minorEastAsia" w:cstheme="minorEastAsia"/>
          <w:sz w:val="24"/>
          <w:szCs w:val="24"/>
        </w:rPr>
        <w:t xml:space="preserve"> 投标人为自然人的，质疑函应当由本人签字；投标人为法人或者其他组织的，质疑函应当由法定代表人、主要负责人签字或者盖章，并加盖单位公章。</w:t>
      </w:r>
      <w:bookmarkEnd w:id="239"/>
    </w:p>
    <w:p w14:paraId="3CD4ACEE">
      <w:pPr>
        <w:pageBreakBefore w:val="0"/>
        <w:widowControl w:val="0"/>
        <w:kinsoku/>
        <w:wordWrap/>
        <w:overflowPunct/>
        <w:topLinePunct w:val="0"/>
        <w:bidi w:val="0"/>
        <w:adjustRightInd w:val="0"/>
        <w:snapToGrid w:val="0"/>
        <w:spacing w:line="360" w:lineRule="auto"/>
        <w:ind w:left="480" w:hanging="480" w:hangingChars="200"/>
        <w:textAlignment w:val="auto"/>
        <w:outlineLvl w:val="9"/>
        <w:rPr>
          <w:rFonts w:hint="eastAsia" w:asciiTheme="minorEastAsia" w:hAnsiTheme="minorEastAsia" w:eastAsiaTheme="minorEastAsia" w:cstheme="minorEastAsia"/>
          <w:sz w:val="24"/>
          <w:szCs w:val="24"/>
        </w:rPr>
      </w:pPr>
      <w:bookmarkStart w:id="240" w:name="_Hlk175152316"/>
      <w:r>
        <w:rPr>
          <w:rFonts w:hint="eastAsia" w:asciiTheme="minorEastAsia" w:hAnsiTheme="minorEastAsia" w:eastAsiaTheme="minorEastAsia" w:cstheme="minorEastAsia"/>
          <w:sz w:val="24"/>
          <w:szCs w:val="24"/>
          <w:lang w:val="en-US" w:eastAsia="zh-CN"/>
        </w:rPr>
        <w:t>16</w:t>
      </w:r>
      <w:r>
        <w:rPr>
          <w:rFonts w:hint="eastAsia" w:asciiTheme="minorEastAsia" w:hAnsiTheme="minorEastAsia" w:eastAsiaTheme="minorEastAsia" w:cstheme="minorEastAsia"/>
          <w:sz w:val="24"/>
          <w:szCs w:val="24"/>
        </w:rPr>
        <w:t>.4 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或者其授权代表签字或者盖章，并加盖单位公章。</w:t>
      </w:r>
      <w:bookmarkEnd w:id="240"/>
    </w:p>
    <w:p w14:paraId="21E47625">
      <w:pPr>
        <w:pageBreakBefore w:val="0"/>
        <w:widowControl w:val="0"/>
        <w:kinsoku/>
        <w:wordWrap/>
        <w:overflowPunct/>
        <w:topLinePunct w:val="0"/>
        <w:bidi w:val="0"/>
        <w:adjustRightInd w:val="0"/>
        <w:snapToGrid w:val="0"/>
        <w:spacing w:line="360" w:lineRule="auto"/>
        <w:ind w:left="480" w:hanging="480" w:hangingChars="2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16</w:t>
      </w:r>
      <w:r>
        <w:rPr>
          <w:rFonts w:hint="eastAsia" w:asciiTheme="minorEastAsia" w:hAnsiTheme="minorEastAsia" w:eastAsiaTheme="minorEastAsia" w:cstheme="minorEastAsia"/>
          <w:sz w:val="24"/>
          <w:szCs w:val="24"/>
        </w:rPr>
        <w:t>.5 投标人应在法定质疑期内一次性提出针对同一采购程序环节的质疑，法定质疑期内针对同一采购程序环节再次提出的质疑，采购人、采购代理机构有权不予答复。</w:t>
      </w:r>
    </w:p>
    <w:p w14:paraId="2B666EB2">
      <w:pPr>
        <w:pageBreakBefore w:val="0"/>
        <w:widowControl w:val="0"/>
        <w:kinsoku/>
        <w:wordWrap/>
        <w:overflowPunct/>
        <w:topLinePunct w:val="0"/>
        <w:bidi w:val="0"/>
        <w:adjustRightInd w:val="0"/>
        <w:snapToGrid w:val="0"/>
        <w:spacing w:line="360" w:lineRule="auto"/>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16</w:t>
      </w:r>
      <w:r>
        <w:rPr>
          <w:rFonts w:hint="eastAsia" w:asciiTheme="minorEastAsia" w:hAnsiTheme="minorEastAsia" w:eastAsiaTheme="minorEastAsia" w:cstheme="minorEastAsia"/>
          <w:sz w:val="24"/>
          <w:szCs w:val="24"/>
        </w:rPr>
        <w:t>.6 超出法定质疑期提交的质疑将不予答复。</w:t>
      </w:r>
    </w:p>
    <w:p w14:paraId="2F2A7EF1">
      <w:pPr>
        <w:pageBreakBefore w:val="0"/>
        <w:widowControl w:val="0"/>
        <w:kinsoku/>
        <w:wordWrap/>
        <w:overflowPunct/>
        <w:topLinePunct w:val="0"/>
        <w:bidi w:val="0"/>
        <w:adjustRightInd w:val="0"/>
        <w:snapToGrid w:val="0"/>
        <w:spacing w:line="360" w:lineRule="auto"/>
        <w:textAlignment w:val="auto"/>
        <w:outlineLvl w:val="9"/>
        <w:rPr>
          <w:rFonts w:hint="eastAsia" w:asciiTheme="minorEastAsia" w:hAnsiTheme="minorEastAsia" w:eastAsiaTheme="minorEastAsia" w:cstheme="minorEastAsia"/>
          <w:b w:val="0"/>
          <w:bCs w:val="0"/>
          <w:sz w:val="24"/>
          <w:szCs w:val="24"/>
          <w:u w:val="single"/>
        </w:rPr>
      </w:pPr>
      <w:r>
        <w:rPr>
          <w:rFonts w:hint="eastAsia" w:asciiTheme="minorEastAsia" w:hAnsiTheme="minorEastAsia" w:eastAsiaTheme="minorEastAsia" w:cstheme="minorEastAsia"/>
          <w:sz w:val="24"/>
          <w:szCs w:val="24"/>
          <w:lang w:val="en-US" w:eastAsia="zh-CN"/>
        </w:rPr>
        <w:t>16</w:t>
      </w:r>
      <w:r>
        <w:rPr>
          <w:rFonts w:hint="eastAsia" w:asciiTheme="minorEastAsia" w:hAnsiTheme="minorEastAsia" w:eastAsiaTheme="minorEastAsia" w:cstheme="minorEastAsia"/>
          <w:sz w:val="24"/>
          <w:szCs w:val="24"/>
        </w:rPr>
        <w:t>.7 质疑函接收部门、联系电话和通讯地址</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b w:val="0"/>
          <w:bCs w:val="0"/>
          <w:sz w:val="24"/>
          <w:szCs w:val="24"/>
        </w:rPr>
        <w:t>见</w:t>
      </w:r>
      <w:r>
        <w:rPr>
          <w:rFonts w:hint="eastAsia" w:asciiTheme="minorEastAsia" w:hAnsiTheme="minorEastAsia" w:eastAsiaTheme="minorEastAsia" w:cstheme="minorEastAsia"/>
          <w:b w:val="0"/>
          <w:bCs w:val="0"/>
          <w:sz w:val="24"/>
          <w:szCs w:val="24"/>
          <w:u w:val="single"/>
        </w:rPr>
        <w:t>投标人须知前附表。</w:t>
      </w:r>
    </w:p>
    <w:p w14:paraId="58378C9F">
      <w:pPr>
        <w:keepNext w:val="0"/>
        <w:keepLines w:val="0"/>
        <w:pageBreakBefore w:val="0"/>
        <w:widowControl w:val="0"/>
        <w:numPr>
          <w:ilvl w:val="0"/>
          <w:numId w:val="0"/>
        </w:numPr>
        <w:kinsoku/>
        <w:wordWrap/>
        <w:overflowPunct/>
        <w:topLinePunct w:val="0"/>
        <w:autoSpaceDE/>
        <w:autoSpaceDN/>
        <w:bidi w:val="0"/>
        <w:adjustRightInd w:val="0"/>
        <w:snapToGrid w:val="0"/>
        <w:spacing w:before="157" w:beforeLines="50" w:after="157" w:afterLines="50" w:line="360" w:lineRule="auto"/>
        <w:jc w:val="center"/>
        <w:textAlignment w:val="auto"/>
        <w:outlineLvl w:val="1"/>
        <w:rPr>
          <w:rFonts w:hint="eastAsia" w:asciiTheme="minorEastAsia" w:hAnsiTheme="minorEastAsia" w:eastAsiaTheme="minorEastAsia" w:cstheme="minorEastAsia"/>
          <w:sz w:val="30"/>
          <w:szCs w:val="30"/>
          <w:u w:val="single"/>
        </w:rPr>
      </w:pPr>
      <w:bookmarkStart w:id="241" w:name="_Toc513"/>
      <w:bookmarkStart w:id="242" w:name="_Toc22225"/>
      <w:r>
        <w:rPr>
          <w:rFonts w:hint="eastAsia" w:asciiTheme="minorEastAsia" w:hAnsiTheme="minorEastAsia" w:eastAsiaTheme="minorEastAsia" w:cstheme="minorEastAsia"/>
          <w:b/>
          <w:bCs/>
          <w:sz w:val="30"/>
          <w:szCs w:val="30"/>
          <w:lang w:val="en-US" w:eastAsia="zh-CN"/>
        </w:rPr>
        <w:t>七、</w:t>
      </w:r>
      <w:r>
        <w:rPr>
          <w:rFonts w:hint="eastAsia" w:asciiTheme="minorEastAsia" w:hAnsiTheme="minorEastAsia" w:eastAsiaTheme="minorEastAsia" w:cstheme="minorEastAsia"/>
          <w:b/>
          <w:bCs/>
          <w:sz w:val="30"/>
          <w:szCs w:val="30"/>
          <w:lang w:eastAsia="zh-CN"/>
        </w:rPr>
        <w:t>其他事项</w:t>
      </w:r>
      <w:bookmarkEnd w:id="241"/>
      <w:bookmarkEnd w:id="242"/>
    </w:p>
    <w:bookmarkEnd w:id="238"/>
    <w:p w14:paraId="6D5934A0">
      <w:pPr>
        <w:pageBreakBefore w:val="0"/>
        <w:widowControl w:val="0"/>
        <w:kinsoku/>
        <w:wordWrap/>
        <w:overflowPunct/>
        <w:topLinePunct w:val="0"/>
        <w:bidi w:val="0"/>
        <w:adjustRightInd w:val="0"/>
        <w:snapToGrid w:val="0"/>
        <w:spacing w:before="0" w:after="0" w:line="360" w:lineRule="auto"/>
        <w:textAlignment w:val="auto"/>
        <w:outlineLvl w:val="9"/>
        <w:rPr>
          <w:rFonts w:hint="eastAsia" w:asciiTheme="minorEastAsia" w:hAnsiTheme="minorEastAsia" w:eastAsiaTheme="minorEastAsia" w:cstheme="minorEastAsia"/>
          <w:b/>
          <w:bCs/>
          <w:sz w:val="24"/>
          <w:szCs w:val="24"/>
          <w:highlight w:val="none"/>
        </w:rPr>
      </w:pPr>
      <w:bookmarkStart w:id="243" w:name="_Toc7254"/>
      <w:bookmarkStart w:id="244" w:name="_Toc24355"/>
      <w:bookmarkStart w:id="245" w:name="_Toc39568671"/>
      <w:bookmarkStart w:id="246" w:name="_Toc39568674"/>
      <w:r>
        <w:rPr>
          <w:rFonts w:hint="eastAsia" w:asciiTheme="minorEastAsia" w:hAnsiTheme="minorEastAsia" w:eastAsiaTheme="minorEastAsia" w:cstheme="minorEastAsia"/>
          <w:b/>
          <w:bCs/>
          <w:sz w:val="24"/>
          <w:szCs w:val="24"/>
          <w:highlight w:val="none"/>
          <w:lang w:eastAsia="zh-CN"/>
        </w:rPr>
        <w:t>1</w:t>
      </w:r>
      <w:r>
        <w:rPr>
          <w:rFonts w:hint="eastAsia" w:asciiTheme="minorEastAsia" w:hAnsiTheme="minorEastAsia" w:eastAsiaTheme="minorEastAsia" w:cstheme="minorEastAsia"/>
          <w:b/>
          <w:bCs/>
          <w:sz w:val="24"/>
          <w:szCs w:val="24"/>
          <w:highlight w:val="none"/>
          <w:lang w:val="en-US" w:eastAsia="zh-CN"/>
        </w:rPr>
        <w:t>7</w:t>
      </w:r>
      <w:r>
        <w:rPr>
          <w:rFonts w:hint="eastAsia" w:asciiTheme="minorEastAsia" w:hAnsiTheme="minorEastAsia" w:eastAsiaTheme="minorEastAsia" w:cstheme="minorEastAsia"/>
          <w:b/>
          <w:bCs/>
          <w:sz w:val="24"/>
          <w:szCs w:val="24"/>
          <w:highlight w:val="none"/>
          <w:lang w:eastAsia="zh-CN"/>
        </w:rPr>
        <w:t>.</w:t>
      </w:r>
      <w:r>
        <w:rPr>
          <w:rFonts w:hint="eastAsia" w:asciiTheme="minorEastAsia" w:hAnsiTheme="minorEastAsia" w:eastAsiaTheme="minorEastAsia" w:cstheme="minorEastAsia"/>
          <w:b/>
          <w:bCs/>
          <w:sz w:val="24"/>
          <w:szCs w:val="24"/>
          <w:highlight w:val="none"/>
        </w:rPr>
        <w:t>廉洁自律规定</w:t>
      </w:r>
      <w:bookmarkEnd w:id="243"/>
      <w:bookmarkEnd w:id="244"/>
      <w:bookmarkEnd w:id="245"/>
    </w:p>
    <w:p w14:paraId="6E503798">
      <w:pPr>
        <w:pageBreakBefore w:val="0"/>
        <w:widowControl w:val="0"/>
        <w:kinsoku/>
        <w:wordWrap/>
        <w:overflowPunct/>
        <w:topLinePunct w:val="0"/>
        <w:bidi w:val="0"/>
        <w:adjustRightInd w:val="0"/>
        <w:snapToGrid w:val="0"/>
        <w:spacing w:line="360" w:lineRule="auto"/>
        <w:ind w:left="559" w:hanging="559" w:hangingChars="233"/>
        <w:textAlignment w:val="auto"/>
        <w:outlineLvl w:val="9"/>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w:t>
      </w:r>
      <w:r>
        <w:rPr>
          <w:rFonts w:hint="eastAsia" w:asciiTheme="minorEastAsia" w:hAnsiTheme="minorEastAsia" w:eastAsiaTheme="minorEastAsia" w:cstheme="minorEastAsia"/>
          <w:sz w:val="24"/>
          <w:szCs w:val="24"/>
          <w:highlight w:val="none"/>
          <w:lang w:val="en-US" w:eastAsia="zh-CN"/>
        </w:rPr>
        <w:t>7</w:t>
      </w:r>
      <w:r>
        <w:rPr>
          <w:rFonts w:hint="eastAsia" w:asciiTheme="minorEastAsia" w:hAnsiTheme="minorEastAsia" w:eastAsiaTheme="minorEastAsia" w:cstheme="minorEastAsia"/>
          <w:sz w:val="24"/>
          <w:szCs w:val="24"/>
          <w:highlight w:val="none"/>
        </w:rPr>
        <w:t>.1采购代理机构工作人员不得与采购人、投标人恶意串通。</w:t>
      </w:r>
    </w:p>
    <w:p w14:paraId="42D23295">
      <w:pPr>
        <w:pageBreakBefore w:val="0"/>
        <w:widowControl w:val="0"/>
        <w:kinsoku/>
        <w:wordWrap/>
        <w:overflowPunct/>
        <w:topLinePunct w:val="0"/>
        <w:bidi w:val="0"/>
        <w:adjustRightInd w:val="0"/>
        <w:snapToGrid w:val="0"/>
        <w:spacing w:line="360" w:lineRule="auto"/>
        <w:ind w:left="559" w:hanging="559" w:hangingChars="233"/>
        <w:textAlignment w:val="auto"/>
        <w:outlineLvl w:val="9"/>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w:t>
      </w:r>
      <w:r>
        <w:rPr>
          <w:rFonts w:hint="eastAsia" w:asciiTheme="minorEastAsia" w:hAnsiTheme="minorEastAsia" w:eastAsiaTheme="minorEastAsia" w:cstheme="minorEastAsia"/>
          <w:sz w:val="24"/>
          <w:szCs w:val="24"/>
          <w:highlight w:val="none"/>
          <w:lang w:val="en-US" w:eastAsia="zh-CN"/>
        </w:rPr>
        <w:t>7</w:t>
      </w:r>
      <w:r>
        <w:rPr>
          <w:rFonts w:hint="eastAsia" w:asciiTheme="minorEastAsia" w:hAnsiTheme="minorEastAsia" w:eastAsiaTheme="minorEastAsia" w:cstheme="minorEastAsia"/>
          <w:sz w:val="24"/>
          <w:szCs w:val="24"/>
          <w:highlight w:val="none"/>
        </w:rPr>
        <w:t>.2采购代理机构工作人员不得接受采购人或者投标人组织的宴请、旅游、娱乐，不得收受礼品、现金、有价证券等，不得向采购人或者投标人报销应当由个人承担的费用。</w:t>
      </w:r>
    </w:p>
    <w:p w14:paraId="2FE82D35">
      <w:pPr>
        <w:pageBreakBefore w:val="0"/>
        <w:widowControl w:val="0"/>
        <w:kinsoku/>
        <w:wordWrap/>
        <w:overflowPunct/>
        <w:topLinePunct w:val="0"/>
        <w:bidi w:val="0"/>
        <w:adjustRightInd w:val="0"/>
        <w:snapToGrid w:val="0"/>
        <w:spacing w:line="360" w:lineRule="auto"/>
        <w:ind w:left="588" w:hanging="588" w:hangingChars="245"/>
        <w:textAlignment w:val="auto"/>
        <w:outlineLvl w:val="9"/>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w:t>
      </w:r>
      <w:r>
        <w:rPr>
          <w:rFonts w:hint="eastAsia" w:asciiTheme="minorEastAsia" w:hAnsiTheme="minorEastAsia" w:eastAsiaTheme="minorEastAsia" w:cstheme="minorEastAsia"/>
          <w:sz w:val="24"/>
          <w:szCs w:val="24"/>
          <w:highlight w:val="none"/>
          <w:lang w:val="en-US" w:eastAsia="zh-CN"/>
        </w:rPr>
        <w:t>7</w:t>
      </w:r>
      <w:r>
        <w:rPr>
          <w:rFonts w:hint="eastAsia" w:asciiTheme="minorEastAsia" w:hAnsiTheme="minorEastAsia" w:eastAsiaTheme="minorEastAsia" w:cstheme="minorEastAsia"/>
          <w:sz w:val="24"/>
          <w:szCs w:val="24"/>
          <w:highlight w:val="none"/>
        </w:rPr>
        <w:t>.3为强化内部监督机制，投标人可按</w:t>
      </w:r>
      <w:r>
        <w:rPr>
          <w:rFonts w:hint="eastAsia" w:asciiTheme="minorEastAsia" w:hAnsiTheme="minorEastAsia" w:eastAsiaTheme="minorEastAsia" w:cstheme="minorEastAsia"/>
          <w:b w:val="0"/>
          <w:bCs/>
          <w:sz w:val="24"/>
          <w:szCs w:val="24"/>
          <w:highlight w:val="none"/>
          <w:u w:val="single"/>
        </w:rPr>
        <w:t>投标人须知前附表</w:t>
      </w:r>
      <w:r>
        <w:rPr>
          <w:rFonts w:hint="eastAsia" w:asciiTheme="minorEastAsia" w:hAnsiTheme="minorEastAsia" w:eastAsiaTheme="minorEastAsia" w:cstheme="minorEastAsia"/>
          <w:sz w:val="24"/>
          <w:szCs w:val="24"/>
          <w:highlight w:val="none"/>
        </w:rPr>
        <w:t>中代理机构的反腐倡廉监督电话/邮箱，反映采购代理机构的廉洁自律等问题。</w:t>
      </w:r>
    </w:p>
    <w:p w14:paraId="0954C5A8">
      <w:pPr>
        <w:pageBreakBefore w:val="0"/>
        <w:widowControl w:val="0"/>
        <w:kinsoku/>
        <w:wordWrap/>
        <w:overflowPunct/>
        <w:topLinePunct w:val="0"/>
        <w:bidi w:val="0"/>
        <w:adjustRightInd w:val="0"/>
        <w:snapToGrid w:val="0"/>
        <w:spacing w:before="0" w:after="0" w:line="360" w:lineRule="auto"/>
        <w:textAlignment w:val="auto"/>
        <w:outlineLvl w:val="9"/>
        <w:rPr>
          <w:rFonts w:hint="eastAsia" w:asciiTheme="minorEastAsia" w:hAnsiTheme="minorEastAsia" w:eastAsiaTheme="minorEastAsia" w:cstheme="minorEastAsia"/>
          <w:b w:val="0"/>
          <w:bCs w:val="0"/>
          <w:sz w:val="24"/>
          <w:szCs w:val="24"/>
          <w:highlight w:val="none"/>
        </w:rPr>
      </w:pPr>
      <w:bookmarkStart w:id="247" w:name="_Toc24880"/>
      <w:bookmarkStart w:id="248" w:name="_Toc39568672"/>
      <w:bookmarkStart w:id="249" w:name="_Toc21918"/>
      <w:r>
        <w:rPr>
          <w:rFonts w:hint="eastAsia" w:asciiTheme="minorEastAsia" w:hAnsiTheme="minorEastAsia" w:eastAsiaTheme="minorEastAsia" w:cstheme="minorEastAsia"/>
          <w:b/>
          <w:bCs/>
          <w:sz w:val="24"/>
          <w:szCs w:val="24"/>
          <w:highlight w:val="none"/>
          <w:lang w:eastAsia="zh-CN"/>
        </w:rPr>
        <w:t>1</w:t>
      </w:r>
      <w:r>
        <w:rPr>
          <w:rFonts w:hint="eastAsia" w:asciiTheme="minorEastAsia" w:hAnsiTheme="minorEastAsia" w:eastAsiaTheme="minorEastAsia" w:cstheme="minorEastAsia"/>
          <w:b/>
          <w:bCs/>
          <w:sz w:val="24"/>
          <w:szCs w:val="24"/>
          <w:highlight w:val="none"/>
          <w:lang w:val="en-US" w:eastAsia="zh-CN"/>
        </w:rPr>
        <w:t>8</w:t>
      </w:r>
      <w:r>
        <w:rPr>
          <w:rFonts w:hint="eastAsia" w:asciiTheme="minorEastAsia" w:hAnsiTheme="minorEastAsia" w:eastAsiaTheme="minorEastAsia" w:cstheme="minorEastAsia"/>
          <w:b/>
          <w:bCs/>
          <w:sz w:val="24"/>
          <w:szCs w:val="24"/>
          <w:highlight w:val="none"/>
          <w:lang w:eastAsia="zh-CN"/>
        </w:rPr>
        <w:t>.</w:t>
      </w:r>
      <w:r>
        <w:rPr>
          <w:rFonts w:hint="eastAsia" w:asciiTheme="minorEastAsia" w:hAnsiTheme="minorEastAsia" w:eastAsiaTheme="minorEastAsia" w:cstheme="minorEastAsia"/>
          <w:b/>
          <w:bCs/>
          <w:sz w:val="24"/>
          <w:szCs w:val="24"/>
          <w:highlight w:val="none"/>
        </w:rPr>
        <w:t>人员回避</w:t>
      </w:r>
      <w:bookmarkEnd w:id="247"/>
      <w:bookmarkEnd w:id="248"/>
      <w:bookmarkEnd w:id="249"/>
    </w:p>
    <w:p w14:paraId="69D2D79D">
      <w:pPr>
        <w:pageBreakBefore w:val="0"/>
        <w:widowControl w:val="0"/>
        <w:kinsoku/>
        <w:wordWrap/>
        <w:overflowPunct/>
        <w:topLinePunct w:val="0"/>
        <w:bidi w:val="0"/>
        <w:adjustRightInd w:val="0"/>
        <w:snapToGrid w:val="0"/>
        <w:spacing w:line="360" w:lineRule="auto"/>
        <w:ind w:left="720" w:hanging="720" w:hangingChars="300"/>
        <w:textAlignment w:val="auto"/>
        <w:outlineLvl w:val="9"/>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18</w:t>
      </w:r>
      <w:r>
        <w:rPr>
          <w:rFonts w:hint="eastAsia" w:asciiTheme="minorEastAsia" w:hAnsiTheme="minorEastAsia" w:eastAsiaTheme="minorEastAsia" w:cstheme="minorEastAsia"/>
          <w:sz w:val="24"/>
          <w:szCs w:val="24"/>
          <w:highlight w:val="none"/>
        </w:rPr>
        <w:t>.1 潜在投标人认为采购人员及其相关人员有</w:t>
      </w:r>
      <w:r>
        <w:rPr>
          <w:rFonts w:hint="eastAsia" w:asciiTheme="minorEastAsia" w:hAnsiTheme="minorEastAsia" w:eastAsiaTheme="minorEastAsia" w:cstheme="minorEastAsia"/>
          <w:sz w:val="24"/>
          <w:szCs w:val="24"/>
          <w:highlight w:val="none"/>
          <w:lang w:eastAsia="zh-CN"/>
        </w:rPr>
        <w:t>法律法规</w:t>
      </w:r>
      <w:r>
        <w:rPr>
          <w:rFonts w:hint="eastAsia" w:asciiTheme="minorEastAsia" w:hAnsiTheme="minorEastAsia" w:eastAsiaTheme="minorEastAsia" w:cstheme="minorEastAsia"/>
          <w:sz w:val="24"/>
          <w:szCs w:val="24"/>
          <w:highlight w:val="none"/>
        </w:rPr>
        <w:t>所列与其他投标人有利害关系的，可以向采购人或采购代理机构书面提出回避申请，并说明理由。</w:t>
      </w:r>
    </w:p>
    <w:p w14:paraId="1749D28C">
      <w:pPr>
        <w:pageBreakBefore w:val="0"/>
        <w:widowControl w:val="0"/>
        <w:kinsoku/>
        <w:wordWrap/>
        <w:overflowPunct/>
        <w:topLinePunct w:val="0"/>
        <w:bidi w:val="0"/>
        <w:adjustRightInd w:val="0"/>
        <w:snapToGrid w:val="0"/>
        <w:spacing w:before="0" w:after="0" w:line="360" w:lineRule="auto"/>
        <w:textAlignment w:val="auto"/>
        <w:outlineLvl w:val="9"/>
        <w:rPr>
          <w:rFonts w:hint="eastAsia" w:asciiTheme="minorEastAsia" w:hAnsiTheme="minorEastAsia" w:eastAsiaTheme="minorEastAsia" w:cstheme="minorEastAsia"/>
          <w:b/>
          <w:bCs/>
          <w:sz w:val="24"/>
          <w:szCs w:val="24"/>
        </w:rPr>
      </w:pPr>
      <w:bookmarkStart w:id="250" w:name="_Toc13062"/>
      <w:bookmarkStart w:id="251" w:name="_Toc28371"/>
      <w:r>
        <w:rPr>
          <w:rFonts w:hint="eastAsia" w:asciiTheme="minorEastAsia" w:hAnsiTheme="minorEastAsia" w:eastAsiaTheme="minorEastAsia" w:cstheme="minorEastAsia"/>
          <w:b/>
          <w:bCs/>
          <w:sz w:val="24"/>
          <w:szCs w:val="24"/>
          <w:lang w:eastAsia="zh-CN"/>
        </w:rPr>
        <w:t>19.</w:t>
      </w:r>
      <w:r>
        <w:rPr>
          <w:rFonts w:hint="eastAsia" w:asciiTheme="minorEastAsia" w:hAnsiTheme="minorEastAsia" w:eastAsiaTheme="minorEastAsia" w:cstheme="minorEastAsia"/>
          <w:b/>
          <w:bCs/>
          <w:sz w:val="24"/>
          <w:szCs w:val="24"/>
        </w:rPr>
        <w:t>知识产权</w:t>
      </w:r>
      <w:bookmarkEnd w:id="246"/>
      <w:bookmarkEnd w:id="250"/>
      <w:bookmarkEnd w:id="251"/>
    </w:p>
    <w:p w14:paraId="722C5D4A">
      <w:pPr>
        <w:pageBreakBefore w:val="0"/>
        <w:widowControl w:val="0"/>
        <w:tabs>
          <w:tab w:val="left" w:pos="360"/>
        </w:tabs>
        <w:kinsoku/>
        <w:wordWrap/>
        <w:overflowPunct/>
        <w:topLinePunct w:val="0"/>
        <w:bidi w:val="0"/>
        <w:adjustRightInd w:val="0"/>
        <w:snapToGrid w:val="0"/>
        <w:spacing w:line="360" w:lineRule="auto"/>
        <w:ind w:left="614" w:hanging="614" w:hangingChars="256"/>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19.1 投标人须保证采购人在中华人民共和国境内使用投标货物、资料、技术、服务或其任何一部分时，不会产生因第三方提出侵犯其专利权、商标权或</w:t>
      </w:r>
      <w:r>
        <w:rPr>
          <w:rFonts w:hint="eastAsia" w:asciiTheme="minorEastAsia" w:hAnsiTheme="minorEastAsia" w:eastAsiaTheme="minorEastAsia" w:cstheme="minorEastAsia"/>
          <w:sz w:val="24"/>
          <w:szCs w:val="24"/>
          <w:lang w:eastAsia="zh-CN"/>
        </w:rPr>
        <w:t>其他</w:t>
      </w:r>
      <w:r>
        <w:rPr>
          <w:rFonts w:hint="eastAsia" w:asciiTheme="minorEastAsia" w:hAnsiTheme="minorEastAsia" w:eastAsiaTheme="minorEastAsia" w:cstheme="minorEastAsia"/>
          <w:sz w:val="24"/>
          <w:szCs w:val="24"/>
        </w:rPr>
        <w:t>知识产权而引起的法律或经济纠纷。如投标人不拥有相应的知识产权，则在投标报价中必须包含合法获取该知识产权的一切相关费用。如因此导致采购人损失的，投标人须承担全部赔偿责任。</w:t>
      </w:r>
    </w:p>
    <w:p w14:paraId="4182FC32">
      <w:pPr>
        <w:pageBreakBefore w:val="0"/>
        <w:widowControl w:val="0"/>
        <w:kinsoku/>
        <w:wordWrap/>
        <w:overflowPunct/>
        <w:topLinePunct w:val="0"/>
        <w:bidi w:val="0"/>
        <w:adjustRightInd w:val="0"/>
        <w:snapToGrid w:val="0"/>
        <w:spacing w:before="0" w:after="0" w:line="360" w:lineRule="auto"/>
        <w:textAlignment w:val="auto"/>
        <w:outlineLvl w:val="9"/>
        <w:rPr>
          <w:rFonts w:hint="eastAsia" w:asciiTheme="minorEastAsia" w:hAnsiTheme="minorEastAsia" w:eastAsiaTheme="minorEastAsia" w:cstheme="minorEastAsia"/>
          <w:b w:val="0"/>
          <w:bCs w:val="0"/>
          <w:sz w:val="24"/>
          <w:szCs w:val="24"/>
        </w:rPr>
      </w:pPr>
      <w:bookmarkStart w:id="252" w:name="_Toc34732584"/>
      <w:bookmarkStart w:id="253" w:name="_Toc96071955"/>
      <w:bookmarkStart w:id="254" w:name="_Toc40972840"/>
      <w:bookmarkStart w:id="255" w:name="_Toc965"/>
      <w:bookmarkStart w:id="256" w:name="_Toc25832449"/>
      <w:bookmarkStart w:id="257" w:name="_Toc36564765"/>
      <w:bookmarkStart w:id="258" w:name="_Toc34733052"/>
      <w:bookmarkStart w:id="259" w:name="_Toc19121"/>
      <w:bookmarkStart w:id="260" w:name="_Toc34732664"/>
      <w:r>
        <w:rPr>
          <w:rFonts w:hint="eastAsia" w:asciiTheme="minorEastAsia" w:hAnsiTheme="minorEastAsia" w:eastAsiaTheme="minorEastAsia" w:cstheme="minorEastAsia"/>
          <w:b/>
          <w:bCs/>
          <w:sz w:val="24"/>
          <w:szCs w:val="24"/>
          <w:lang w:eastAsia="zh-CN"/>
        </w:rPr>
        <w:t>20.</w:t>
      </w:r>
      <w:r>
        <w:rPr>
          <w:rFonts w:hint="eastAsia" w:asciiTheme="minorEastAsia" w:hAnsiTheme="minorEastAsia" w:eastAsiaTheme="minorEastAsia" w:cstheme="minorEastAsia"/>
          <w:b/>
          <w:bCs/>
          <w:sz w:val="24"/>
          <w:szCs w:val="24"/>
        </w:rPr>
        <w:t>纪律和监督</w:t>
      </w:r>
      <w:bookmarkEnd w:id="252"/>
      <w:bookmarkEnd w:id="253"/>
      <w:bookmarkEnd w:id="254"/>
      <w:bookmarkEnd w:id="255"/>
      <w:bookmarkEnd w:id="256"/>
      <w:bookmarkEnd w:id="257"/>
      <w:bookmarkEnd w:id="258"/>
      <w:bookmarkEnd w:id="259"/>
      <w:bookmarkEnd w:id="260"/>
    </w:p>
    <w:p w14:paraId="5C3EAF3A">
      <w:pPr>
        <w:keepNext/>
        <w:keepLines/>
        <w:pageBreakBefore w:val="0"/>
        <w:widowControl w:val="0"/>
        <w:kinsoku/>
        <w:wordWrap/>
        <w:overflowPunct/>
        <w:topLinePunct w:val="0"/>
        <w:bidi w:val="0"/>
        <w:adjustRightInd w:val="0"/>
        <w:snapToGrid w:val="0"/>
        <w:spacing w:line="360" w:lineRule="auto"/>
        <w:textAlignment w:val="auto"/>
        <w:outlineLvl w:val="9"/>
        <w:rPr>
          <w:rFonts w:hint="eastAsia" w:asciiTheme="minorEastAsia" w:hAnsiTheme="minorEastAsia" w:eastAsiaTheme="minorEastAsia" w:cstheme="minorEastAsia"/>
          <w:sz w:val="24"/>
          <w:szCs w:val="24"/>
        </w:rPr>
      </w:pPr>
      <w:bookmarkStart w:id="261" w:name="_Toc34733053"/>
      <w:bookmarkStart w:id="262" w:name="_Toc96071956"/>
      <w:bookmarkStart w:id="263" w:name="_Toc23737"/>
      <w:bookmarkStart w:id="264" w:name="_Toc25832450"/>
      <w:bookmarkStart w:id="265" w:name="_Toc40972841"/>
      <w:bookmarkStart w:id="266" w:name="_Toc34732585"/>
      <w:bookmarkStart w:id="267" w:name="_Toc36564766"/>
      <w:r>
        <w:rPr>
          <w:rFonts w:hint="eastAsia" w:asciiTheme="minorEastAsia" w:hAnsiTheme="minorEastAsia" w:eastAsiaTheme="minorEastAsia" w:cstheme="minorEastAsia"/>
          <w:sz w:val="24"/>
          <w:szCs w:val="24"/>
        </w:rPr>
        <w:t>20.1对采购人的纪律要求</w:t>
      </w:r>
      <w:bookmarkEnd w:id="261"/>
      <w:bookmarkEnd w:id="262"/>
      <w:bookmarkEnd w:id="263"/>
      <w:bookmarkEnd w:id="264"/>
      <w:bookmarkEnd w:id="265"/>
      <w:bookmarkEnd w:id="266"/>
      <w:bookmarkEnd w:id="267"/>
    </w:p>
    <w:p w14:paraId="6D1E452D">
      <w:pPr>
        <w:pageBreakBefore w:val="0"/>
        <w:widowControl w:val="0"/>
        <w:kinsoku/>
        <w:wordWrap/>
        <w:overflowPunct/>
        <w:topLinePunct w:val="0"/>
        <w:bidi w:val="0"/>
        <w:adjustRightInd w:val="0"/>
        <w:snapToGrid w:val="0"/>
        <w:spacing w:line="360" w:lineRule="auto"/>
        <w:ind w:left="420" w:leftChars="2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采购人</w:t>
      </w:r>
      <w:r>
        <w:rPr>
          <w:rFonts w:hint="eastAsia" w:asciiTheme="minorEastAsia" w:hAnsiTheme="minorEastAsia" w:eastAsiaTheme="minorEastAsia" w:cstheme="minorEastAsia"/>
          <w:sz w:val="24"/>
          <w:szCs w:val="24"/>
          <w:lang w:eastAsia="zh-CN"/>
        </w:rPr>
        <w:t>不得泄露</w:t>
      </w:r>
      <w:r>
        <w:rPr>
          <w:rFonts w:hint="eastAsia" w:asciiTheme="minorEastAsia" w:hAnsiTheme="minorEastAsia" w:eastAsiaTheme="minorEastAsia" w:cstheme="minorEastAsia"/>
          <w:sz w:val="24"/>
          <w:szCs w:val="24"/>
        </w:rPr>
        <w:t>采购活动中应当保密的情况和资料，不得与投标人串通损害国家利益、社会公共利益或者他人合法权益。</w:t>
      </w:r>
    </w:p>
    <w:p w14:paraId="40D62476">
      <w:pPr>
        <w:keepNext/>
        <w:keepLines/>
        <w:pageBreakBefore w:val="0"/>
        <w:widowControl w:val="0"/>
        <w:kinsoku/>
        <w:wordWrap/>
        <w:overflowPunct/>
        <w:topLinePunct w:val="0"/>
        <w:bidi w:val="0"/>
        <w:adjustRightInd w:val="0"/>
        <w:snapToGrid w:val="0"/>
        <w:spacing w:line="360" w:lineRule="auto"/>
        <w:textAlignment w:val="auto"/>
        <w:outlineLvl w:val="9"/>
        <w:rPr>
          <w:rFonts w:hint="eastAsia" w:asciiTheme="minorEastAsia" w:hAnsiTheme="minorEastAsia" w:eastAsiaTheme="minorEastAsia" w:cstheme="minorEastAsia"/>
          <w:bCs/>
          <w:sz w:val="24"/>
          <w:szCs w:val="24"/>
        </w:rPr>
      </w:pPr>
      <w:bookmarkStart w:id="268" w:name="_Toc8566"/>
      <w:bookmarkStart w:id="269" w:name="_Toc96071957"/>
      <w:bookmarkStart w:id="270" w:name="_Toc25832451"/>
      <w:bookmarkStart w:id="271" w:name="_Toc36564767"/>
      <w:bookmarkStart w:id="272" w:name="_Toc40972842"/>
      <w:bookmarkStart w:id="273" w:name="_Toc34733054"/>
      <w:bookmarkStart w:id="274" w:name="_Toc34732586"/>
      <w:r>
        <w:rPr>
          <w:rFonts w:hint="eastAsia" w:asciiTheme="minorEastAsia" w:hAnsiTheme="minorEastAsia" w:eastAsiaTheme="minorEastAsia" w:cstheme="minorEastAsia"/>
          <w:bCs/>
          <w:sz w:val="24"/>
          <w:szCs w:val="24"/>
        </w:rPr>
        <w:t>20.2对投标人的纪律要求</w:t>
      </w:r>
      <w:bookmarkEnd w:id="268"/>
      <w:bookmarkEnd w:id="269"/>
      <w:bookmarkEnd w:id="270"/>
      <w:bookmarkEnd w:id="271"/>
      <w:bookmarkEnd w:id="272"/>
      <w:bookmarkEnd w:id="273"/>
      <w:bookmarkEnd w:id="274"/>
    </w:p>
    <w:p w14:paraId="791A97AE">
      <w:pPr>
        <w:pageBreakBefore w:val="0"/>
        <w:widowControl w:val="0"/>
        <w:kinsoku/>
        <w:wordWrap/>
        <w:overflowPunct/>
        <w:topLinePunct w:val="0"/>
        <w:bidi w:val="0"/>
        <w:adjustRightInd w:val="0"/>
        <w:snapToGrid w:val="0"/>
        <w:spacing w:line="360" w:lineRule="auto"/>
        <w:ind w:left="420" w:leftChars="2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投标人不得相互串通或者与采购人串通，不得向采购人或评标委员会成员行贿谋取中标，不得以他人名义参加采购活动或者以其他方式弄虚作假骗取中标；投标人不得以任何方式干扰、影响采购工作。</w:t>
      </w:r>
    </w:p>
    <w:p w14:paraId="1227E87F">
      <w:pPr>
        <w:keepNext/>
        <w:keepLines/>
        <w:pageBreakBefore w:val="0"/>
        <w:widowControl w:val="0"/>
        <w:kinsoku/>
        <w:wordWrap/>
        <w:overflowPunct/>
        <w:topLinePunct w:val="0"/>
        <w:bidi w:val="0"/>
        <w:adjustRightInd w:val="0"/>
        <w:snapToGrid w:val="0"/>
        <w:spacing w:line="360" w:lineRule="auto"/>
        <w:textAlignment w:val="auto"/>
        <w:outlineLvl w:val="9"/>
        <w:rPr>
          <w:rFonts w:hint="eastAsia" w:asciiTheme="minorEastAsia" w:hAnsiTheme="minorEastAsia" w:eastAsiaTheme="minorEastAsia" w:cstheme="minorEastAsia"/>
          <w:bCs/>
          <w:sz w:val="24"/>
          <w:szCs w:val="24"/>
        </w:rPr>
      </w:pPr>
      <w:bookmarkStart w:id="275" w:name="_Toc40972843"/>
      <w:bookmarkStart w:id="276" w:name="_Toc34733055"/>
      <w:bookmarkStart w:id="277" w:name="_Toc36564768"/>
      <w:bookmarkStart w:id="278" w:name="_Toc34732587"/>
      <w:bookmarkStart w:id="279" w:name="_Toc4334"/>
      <w:bookmarkStart w:id="280" w:name="_Toc25832452"/>
      <w:bookmarkStart w:id="281" w:name="_Toc96071958"/>
      <w:bookmarkStart w:id="282" w:name="_Hlk56617385"/>
      <w:r>
        <w:rPr>
          <w:rFonts w:hint="eastAsia" w:asciiTheme="minorEastAsia" w:hAnsiTheme="minorEastAsia" w:eastAsiaTheme="minorEastAsia" w:cstheme="minorEastAsia"/>
          <w:bCs/>
          <w:sz w:val="24"/>
          <w:szCs w:val="24"/>
        </w:rPr>
        <w:t>20.3对评标委员会成员的纪律要求</w:t>
      </w:r>
      <w:bookmarkEnd w:id="275"/>
      <w:bookmarkEnd w:id="276"/>
      <w:bookmarkEnd w:id="277"/>
      <w:bookmarkEnd w:id="278"/>
      <w:bookmarkEnd w:id="279"/>
      <w:bookmarkEnd w:id="280"/>
      <w:bookmarkEnd w:id="281"/>
    </w:p>
    <w:p w14:paraId="65392773">
      <w:pPr>
        <w:pageBreakBefore w:val="0"/>
        <w:widowControl w:val="0"/>
        <w:kinsoku/>
        <w:wordWrap/>
        <w:overflowPunct/>
        <w:topLinePunct w:val="0"/>
        <w:bidi w:val="0"/>
        <w:adjustRightInd w:val="0"/>
        <w:snapToGrid w:val="0"/>
        <w:spacing w:line="360" w:lineRule="auto"/>
        <w:ind w:left="420" w:leftChars="2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评标委员会成员不得收受他人的财物或者其他好处，不得向他人</w:t>
      </w:r>
      <w:r>
        <w:rPr>
          <w:rFonts w:hint="eastAsia" w:asciiTheme="minorEastAsia" w:hAnsiTheme="minorEastAsia" w:eastAsiaTheme="minorEastAsia" w:cstheme="minorEastAsia"/>
          <w:sz w:val="24"/>
          <w:szCs w:val="24"/>
          <w:lang w:eastAsia="zh-CN"/>
        </w:rPr>
        <w:t>透露</w:t>
      </w:r>
      <w:r>
        <w:rPr>
          <w:rFonts w:hint="eastAsia" w:asciiTheme="minorEastAsia" w:hAnsiTheme="minorEastAsia" w:eastAsiaTheme="minorEastAsia" w:cstheme="minorEastAsia"/>
          <w:sz w:val="24"/>
          <w:szCs w:val="24"/>
        </w:rPr>
        <w:t>对投标文件的评审和比较、中标候选人的推荐情况以及评审有关的其他情况。在评审过程中，评标委员会成员不得擅离职守，影响评审程序正常进行，不得使用招标文件中没有规定的评审因素和标准进行评审。</w:t>
      </w:r>
      <w:bookmarkEnd w:id="282"/>
    </w:p>
    <w:p w14:paraId="57EC57D1">
      <w:pPr>
        <w:keepNext/>
        <w:keepLines/>
        <w:pageBreakBefore w:val="0"/>
        <w:widowControl w:val="0"/>
        <w:kinsoku/>
        <w:wordWrap/>
        <w:overflowPunct/>
        <w:topLinePunct w:val="0"/>
        <w:bidi w:val="0"/>
        <w:adjustRightInd w:val="0"/>
        <w:snapToGrid w:val="0"/>
        <w:spacing w:line="360" w:lineRule="auto"/>
        <w:textAlignment w:val="auto"/>
        <w:outlineLvl w:val="9"/>
        <w:rPr>
          <w:rFonts w:hint="eastAsia" w:asciiTheme="minorEastAsia" w:hAnsiTheme="minorEastAsia" w:eastAsiaTheme="minorEastAsia" w:cstheme="minorEastAsia"/>
          <w:bCs/>
          <w:sz w:val="24"/>
          <w:szCs w:val="24"/>
        </w:rPr>
      </w:pPr>
      <w:bookmarkStart w:id="283" w:name="_Toc34733056"/>
      <w:bookmarkStart w:id="284" w:name="_Toc16107"/>
      <w:bookmarkStart w:id="285" w:name="_Toc25832453"/>
      <w:bookmarkStart w:id="286" w:name="_Toc96071959"/>
      <w:bookmarkStart w:id="287" w:name="_Toc40972844"/>
      <w:bookmarkStart w:id="288" w:name="_Toc34732588"/>
      <w:bookmarkStart w:id="289" w:name="_Toc36564769"/>
      <w:r>
        <w:rPr>
          <w:rFonts w:hint="eastAsia" w:asciiTheme="minorEastAsia" w:hAnsiTheme="minorEastAsia" w:eastAsiaTheme="minorEastAsia" w:cstheme="minorEastAsia"/>
          <w:bCs/>
          <w:sz w:val="24"/>
          <w:szCs w:val="24"/>
        </w:rPr>
        <w:t>20.4对与评审活动有关的工作人员的纪律要求</w:t>
      </w:r>
      <w:bookmarkEnd w:id="283"/>
      <w:bookmarkEnd w:id="284"/>
      <w:bookmarkEnd w:id="285"/>
      <w:bookmarkEnd w:id="286"/>
      <w:bookmarkEnd w:id="287"/>
      <w:bookmarkEnd w:id="288"/>
      <w:bookmarkEnd w:id="289"/>
    </w:p>
    <w:p w14:paraId="4AAE3B81">
      <w:pPr>
        <w:pageBreakBefore w:val="0"/>
        <w:widowControl w:val="0"/>
        <w:kinsoku/>
        <w:wordWrap/>
        <w:overflowPunct/>
        <w:topLinePunct w:val="0"/>
        <w:bidi w:val="0"/>
        <w:adjustRightInd w:val="0"/>
        <w:snapToGrid w:val="0"/>
        <w:spacing w:line="360" w:lineRule="auto"/>
        <w:ind w:left="420" w:leftChars="2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与评审活动有关的工作人员不得收受他人的财物或者其他好处，不得向他人</w:t>
      </w:r>
      <w:r>
        <w:rPr>
          <w:rFonts w:hint="eastAsia" w:asciiTheme="minorEastAsia" w:hAnsiTheme="minorEastAsia" w:eastAsiaTheme="minorEastAsia" w:cstheme="minorEastAsia"/>
          <w:sz w:val="24"/>
          <w:szCs w:val="24"/>
          <w:lang w:eastAsia="zh-CN"/>
        </w:rPr>
        <w:t>透露</w:t>
      </w:r>
      <w:r>
        <w:rPr>
          <w:rFonts w:hint="eastAsia" w:asciiTheme="minorEastAsia" w:hAnsiTheme="minorEastAsia" w:eastAsiaTheme="minorEastAsia" w:cstheme="minorEastAsia"/>
          <w:sz w:val="24"/>
          <w:szCs w:val="24"/>
        </w:rPr>
        <w:t>对招标文件的评审和比较、中标候选人的推荐情况以及评审有关的其他情况。在评审过程中，与评审活动有关的工作人员不得擅离职守，影响评审程序正常进行。</w:t>
      </w:r>
    </w:p>
    <w:p w14:paraId="60722B39">
      <w:pPr>
        <w:pageBreakBefore w:val="0"/>
        <w:widowControl w:val="0"/>
        <w:kinsoku/>
        <w:wordWrap/>
        <w:overflowPunct/>
        <w:topLinePunct w:val="0"/>
        <w:bidi w:val="0"/>
        <w:adjustRightInd w:val="0"/>
        <w:snapToGrid w:val="0"/>
        <w:spacing w:before="0" w:after="0" w:line="360" w:lineRule="auto"/>
        <w:textAlignment w:val="auto"/>
        <w:outlineLvl w:val="9"/>
        <w:rPr>
          <w:rFonts w:hint="eastAsia" w:asciiTheme="minorEastAsia" w:hAnsiTheme="minorEastAsia" w:eastAsiaTheme="minorEastAsia" w:cstheme="minorEastAsia"/>
          <w:b/>
          <w:bCs/>
          <w:sz w:val="24"/>
          <w:szCs w:val="24"/>
          <w:highlight w:val="none"/>
        </w:rPr>
      </w:pPr>
      <w:bookmarkStart w:id="290" w:name="_Toc24438"/>
      <w:bookmarkStart w:id="291" w:name="_Toc21521"/>
      <w:r>
        <w:rPr>
          <w:rFonts w:hint="eastAsia" w:asciiTheme="minorEastAsia" w:hAnsiTheme="minorEastAsia" w:eastAsiaTheme="minorEastAsia" w:cstheme="minorEastAsia"/>
          <w:b/>
          <w:bCs/>
          <w:sz w:val="24"/>
          <w:szCs w:val="24"/>
          <w:highlight w:val="none"/>
          <w:lang w:val="en-US" w:eastAsia="zh-CN"/>
        </w:rPr>
        <w:t>21</w:t>
      </w:r>
      <w:r>
        <w:rPr>
          <w:rFonts w:hint="eastAsia" w:asciiTheme="minorEastAsia" w:hAnsiTheme="minorEastAsia" w:eastAsiaTheme="minorEastAsia" w:cstheme="minorEastAsia"/>
          <w:b/>
          <w:bCs/>
          <w:sz w:val="24"/>
          <w:szCs w:val="24"/>
          <w:highlight w:val="none"/>
          <w:lang w:eastAsia="zh-CN"/>
        </w:rPr>
        <w:t>.</w:t>
      </w:r>
      <w:r>
        <w:rPr>
          <w:rFonts w:hint="eastAsia" w:asciiTheme="minorEastAsia" w:hAnsiTheme="minorEastAsia" w:eastAsiaTheme="minorEastAsia" w:cstheme="minorEastAsia"/>
          <w:b/>
          <w:bCs/>
          <w:sz w:val="24"/>
          <w:szCs w:val="24"/>
          <w:highlight w:val="none"/>
        </w:rPr>
        <w:t>招标代理服务费</w:t>
      </w:r>
      <w:bookmarkEnd w:id="290"/>
      <w:bookmarkEnd w:id="291"/>
    </w:p>
    <w:p w14:paraId="7D5856C8">
      <w:pPr>
        <w:pageBreakBefore w:val="0"/>
        <w:widowControl w:val="0"/>
        <w:kinsoku/>
        <w:wordWrap/>
        <w:overflowPunct/>
        <w:topLinePunct w:val="0"/>
        <w:bidi w:val="0"/>
        <w:adjustRightInd w:val="0"/>
        <w:snapToGrid w:val="0"/>
        <w:spacing w:line="360" w:lineRule="auto"/>
        <w:ind w:left="708" w:hanging="708" w:hangingChars="295"/>
        <w:textAlignment w:val="auto"/>
        <w:outlineLvl w:val="9"/>
        <w:rPr>
          <w:rFonts w:hint="eastAsia" w:asciiTheme="minorEastAsia" w:hAnsiTheme="minorEastAsia" w:eastAsiaTheme="minorEastAsia" w:cstheme="minorEastAsia"/>
          <w:b w:val="0"/>
          <w:bCs/>
          <w:sz w:val="24"/>
          <w:szCs w:val="24"/>
          <w:highlight w:val="none"/>
        </w:rPr>
      </w:pPr>
      <w:bookmarkStart w:id="292" w:name="_Hlk165220215"/>
      <w:r>
        <w:rPr>
          <w:rFonts w:hint="eastAsia" w:asciiTheme="minorEastAsia" w:hAnsiTheme="minorEastAsia" w:eastAsiaTheme="minorEastAsia" w:cstheme="minorEastAsia"/>
          <w:sz w:val="24"/>
          <w:szCs w:val="24"/>
          <w:highlight w:val="none"/>
          <w:lang w:val="en-US" w:eastAsia="zh-CN"/>
        </w:rPr>
        <w:t>21</w:t>
      </w:r>
      <w:r>
        <w:rPr>
          <w:rFonts w:hint="eastAsia" w:asciiTheme="minorEastAsia" w:hAnsiTheme="minorEastAsia" w:eastAsiaTheme="minorEastAsia" w:cstheme="minorEastAsia"/>
          <w:sz w:val="24"/>
          <w:szCs w:val="24"/>
          <w:highlight w:val="none"/>
        </w:rPr>
        <w:t>.1 本项目是否由中标人向采购代理机构支付招标代理服务费，按照</w:t>
      </w:r>
      <w:r>
        <w:rPr>
          <w:rFonts w:hint="eastAsia" w:asciiTheme="minorEastAsia" w:hAnsiTheme="minorEastAsia" w:eastAsiaTheme="minorEastAsia" w:cstheme="minorEastAsia"/>
          <w:b w:val="0"/>
          <w:bCs/>
          <w:sz w:val="24"/>
          <w:szCs w:val="24"/>
          <w:highlight w:val="none"/>
          <w:u w:val="single"/>
        </w:rPr>
        <w:t>投标人须知前附表</w:t>
      </w:r>
      <w:r>
        <w:rPr>
          <w:rFonts w:hint="eastAsia" w:asciiTheme="minorEastAsia" w:hAnsiTheme="minorEastAsia" w:eastAsiaTheme="minorEastAsia" w:cstheme="minorEastAsia"/>
          <w:b w:val="0"/>
          <w:bCs/>
          <w:sz w:val="24"/>
          <w:szCs w:val="24"/>
          <w:highlight w:val="none"/>
        </w:rPr>
        <w:t>规定执行。</w:t>
      </w:r>
    </w:p>
    <w:bookmarkEnd w:id="292"/>
    <w:p w14:paraId="55298098">
      <w:pPr>
        <w:pageBreakBefore w:val="0"/>
        <w:widowControl w:val="0"/>
        <w:kinsoku/>
        <w:wordWrap/>
        <w:overflowPunct/>
        <w:topLinePunct w:val="0"/>
        <w:bidi w:val="0"/>
        <w:adjustRightInd w:val="0"/>
        <w:snapToGrid w:val="0"/>
        <w:spacing w:before="0" w:after="0" w:line="360" w:lineRule="auto"/>
        <w:textAlignment w:val="auto"/>
        <w:outlineLvl w:val="9"/>
        <w:rPr>
          <w:rFonts w:hint="eastAsia" w:asciiTheme="minorEastAsia" w:hAnsiTheme="minorEastAsia" w:eastAsiaTheme="minorEastAsia" w:cstheme="minorEastAsia"/>
          <w:b/>
          <w:bCs/>
          <w:sz w:val="24"/>
          <w:szCs w:val="24"/>
        </w:rPr>
      </w:pPr>
      <w:bookmarkStart w:id="293" w:name="_Toc7098"/>
      <w:bookmarkStart w:id="294" w:name="_Toc24379"/>
      <w:r>
        <w:rPr>
          <w:rFonts w:hint="eastAsia" w:asciiTheme="minorEastAsia" w:hAnsiTheme="minorEastAsia" w:eastAsiaTheme="minorEastAsia" w:cstheme="minorEastAsia"/>
          <w:b/>
          <w:bCs/>
          <w:sz w:val="24"/>
          <w:szCs w:val="24"/>
          <w:lang w:eastAsia="zh-CN"/>
        </w:rPr>
        <w:t>22.</w:t>
      </w:r>
      <w:r>
        <w:rPr>
          <w:rFonts w:hint="eastAsia" w:asciiTheme="minorEastAsia" w:hAnsiTheme="minorEastAsia" w:eastAsiaTheme="minorEastAsia" w:cstheme="minorEastAsia"/>
          <w:b/>
          <w:bCs/>
          <w:sz w:val="24"/>
          <w:szCs w:val="24"/>
        </w:rPr>
        <w:t>需要补充的</w:t>
      </w:r>
      <w:r>
        <w:rPr>
          <w:rFonts w:hint="eastAsia" w:asciiTheme="minorEastAsia" w:hAnsiTheme="minorEastAsia" w:eastAsiaTheme="minorEastAsia" w:cstheme="minorEastAsia"/>
          <w:b/>
          <w:bCs/>
          <w:sz w:val="24"/>
          <w:szCs w:val="24"/>
          <w:lang w:eastAsia="zh-CN"/>
        </w:rPr>
        <w:t>其他</w:t>
      </w:r>
      <w:r>
        <w:rPr>
          <w:rFonts w:hint="eastAsia" w:asciiTheme="minorEastAsia" w:hAnsiTheme="minorEastAsia" w:eastAsiaTheme="minorEastAsia" w:cstheme="minorEastAsia"/>
          <w:b/>
          <w:bCs/>
          <w:sz w:val="24"/>
          <w:szCs w:val="24"/>
        </w:rPr>
        <w:t>内容</w:t>
      </w:r>
      <w:bookmarkEnd w:id="293"/>
      <w:bookmarkEnd w:id="294"/>
    </w:p>
    <w:p w14:paraId="4B806AF4">
      <w:pPr>
        <w:pageBreakBefore w:val="0"/>
        <w:widowControl w:val="0"/>
        <w:kinsoku/>
        <w:wordWrap/>
        <w:overflowPunct/>
        <w:topLinePunct w:val="0"/>
        <w:bidi w:val="0"/>
        <w:adjustRightInd w:val="0"/>
        <w:snapToGrid w:val="0"/>
        <w:spacing w:line="360" w:lineRule="auto"/>
        <w:ind w:firstLine="480" w:firstLineChars="200"/>
        <w:textAlignment w:val="auto"/>
        <w:outlineLvl w:val="9"/>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sz w:val="24"/>
          <w:szCs w:val="24"/>
        </w:rPr>
        <w:t>需要补充的</w:t>
      </w:r>
      <w:r>
        <w:rPr>
          <w:rFonts w:hint="eastAsia" w:asciiTheme="minorEastAsia" w:hAnsiTheme="minorEastAsia" w:eastAsiaTheme="minorEastAsia" w:cstheme="minorEastAsia"/>
          <w:sz w:val="24"/>
          <w:szCs w:val="24"/>
          <w:lang w:eastAsia="zh-CN"/>
        </w:rPr>
        <w:t>其他</w:t>
      </w:r>
      <w:r>
        <w:rPr>
          <w:rFonts w:hint="eastAsia" w:asciiTheme="minorEastAsia" w:hAnsiTheme="minorEastAsia" w:eastAsiaTheme="minorEastAsia" w:cstheme="minorEastAsia"/>
          <w:sz w:val="24"/>
          <w:szCs w:val="24"/>
        </w:rPr>
        <w:t>内容：</w:t>
      </w:r>
      <w:r>
        <w:rPr>
          <w:rFonts w:hint="eastAsia" w:asciiTheme="minorEastAsia" w:hAnsiTheme="minorEastAsia" w:eastAsiaTheme="minorEastAsia" w:cstheme="minorEastAsia"/>
          <w:b w:val="0"/>
          <w:bCs w:val="0"/>
          <w:sz w:val="24"/>
          <w:szCs w:val="24"/>
          <w:u w:val="single"/>
        </w:rPr>
        <w:t>见投标人须知前附表</w:t>
      </w:r>
      <w:r>
        <w:rPr>
          <w:rFonts w:hint="eastAsia" w:asciiTheme="minorEastAsia" w:hAnsiTheme="minorEastAsia" w:eastAsiaTheme="minorEastAsia" w:cstheme="minorEastAsia"/>
          <w:b w:val="0"/>
          <w:bCs w:val="0"/>
          <w:sz w:val="24"/>
          <w:szCs w:val="24"/>
        </w:rPr>
        <w:t>。</w:t>
      </w:r>
      <w:bookmarkEnd w:id="43"/>
      <w:bookmarkEnd w:id="44"/>
      <w:bookmarkEnd w:id="45"/>
      <w:bookmarkEnd w:id="46"/>
      <w:bookmarkEnd w:id="47"/>
      <w:bookmarkEnd w:id="48"/>
      <w:bookmarkEnd w:id="204"/>
      <w:bookmarkStart w:id="295" w:name="_Toc15048359"/>
    </w:p>
    <w:p w14:paraId="6E4B6D06">
      <w:pPr>
        <w:pageBreakBefore w:val="0"/>
        <w:widowControl w:val="0"/>
        <w:kinsoku/>
        <w:wordWrap/>
        <w:overflowPunct/>
        <w:topLinePunct w:val="0"/>
        <w:bidi w:val="0"/>
        <w:adjustRightInd w:val="0"/>
        <w:snapToGrid w:val="0"/>
        <w:spacing w:line="360" w:lineRule="auto"/>
        <w:ind w:firstLine="480" w:firstLineChars="200"/>
        <w:textAlignment w:val="auto"/>
        <w:outlineLvl w:val="9"/>
        <w:rPr>
          <w:rFonts w:hint="eastAsia" w:asciiTheme="minorEastAsia" w:hAnsiTheme="minorEastAsia" w:eastAsiaTheme="minorEastAsia" w:cstheme="minorEastAsia"/>
          <w:b w:val="0"/>
          <w:bCs w:val="0"/>
          <w:sz w:val="24"/>
          <w:szCs w:val="24"/>
        </w:rPr>
      </w:pPr>
    </w:p>
    <w:p w14:paraId="032C0331">
      <w:pPr>
        <w:pStyle w:val="2"/>
        <w:keepNext/>
        <w:keepLines/>
        <w:pageBreakBefore w:val="0"/>
        <w:widowControl w:val="0"/>
        <w:tabs>
          <w:tab w:val="left" w:pos="0"/>
        </w:tabs>
        <w:kinsoku/>
        <w:wordWrap/>
        <w:overflowPunct/>
        <w:topLinePunct w:val="0"/>
        <w:autoSpaceDE w:val="0"/>
        <w:autoSpaceDN w:val="0"/>
        <w:bidi w:val="0"/>
        <w:adjustRightInd w:val="0"/>
        <w:snapToGrid w:val="0"/>
        <w:spacing w:before="0" w:after="0" w:line="360" w:lineRule="auto"/>
        <w:ind w:left="0" w:leftChars="0" w:firstLine="0"/>
        <w:jc w:val="center"/>
        <w:textAlignment w:val="auto"/>
        <w:rPr>
          <w:rFonts w:hint="eastAsia" w:asciiTheme="minorEastAsia" w:hAnsiTheme="minorEastAsia" w:eastAsiaTheme="majorEastAsia" w:cstheme="minorEastAsia"/>
          <w:sz w:val="24"/>
          <w:lang w:eastAsia="zh-CN"/>
        </w:rPr>
      </w:pPr>
      <w:bookmarkStart w:id="296" w:name="_Toc12567"/>
      <w:bookmarkStart w:id="297" w:name="_Toc22766"/>
      <w:r>
        <w:rPr>
          <w:rFonts w:hint="eastAsia" w:asciiTheme="majorEastAsia" w:hAnsiTheme="majorEastAsia" w:eastAsiaTheme="majorEastAsia" w:cstheme="majorEastAsia"/>
          <w:b/>
          <w:bCs/>
        </w:rPr>
        <w:t>第</w:t>
      </w:r>
      <w:r>
        <w:rPr>
          <w:rFonts w:hint="eastAsia" w:asciiTheme="majorEastAsia" w:hAnsiTheme="majorEastAsia" w:eastAsiaTheme="majorEastAsia" w:cstheme="majorEastAsia"/>
          <w:b/>
          <w:bCs/>
          <w:lang w:eastAsia="zh-CN"/>
        </w:rPr>
        <w:t>三</w:t>
      </w:r>
      <w:r>
        <w:rPr>
          <w:rFonts w:hint="eastAsia" w:asciiTheme="majorEastAsia" w:hAnsiTheme="majorEastAsia" w:eastAsiaTheme="majorEastAsia" w:cstheme="majorEastAsia"/>
          <w:b/>
          <w:bCs/>
        </w:rPr>
        <w:t xml:space="preserve">章  </w:t>
      </w:r>
      <w:bookmarkEnd w:id="295"/>
      <w:bookmarkEnd w:id="296"/>
      <w:bookmarkEnd w:id="297"/>
      <w:r>
        <w:rPr>
          <w:rFonts w:hint="eastAsia" w:asciiTheme="majorEastAsia" w:hAnsiTheme="majorEastAsia" w:eastAsiaTheme="majorEastAsia" w:cstheme="majorEastAsia"/>
          <w:b/>
          <w:bCs/>
          <w:lang w:val="en-US" w:eastAsia="zh-CN"/>
        </w:rPr>
        <w:t>评分办法</w:t>
      </w:r>
    </w:p>
    <w:p w14:paraId="0C6EF6B3">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textAlignment w:val="auto"/>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eastAsia="zh-CN"/>
        </w:rPr>
        <w:t>一</w:t>
      </w:r>
      <w:r>
        <w:rPr>
          <w:rFonts w:hint="eastAsia" w:asciiTheme="minorEastAsia" w:hAnsiTheme="minorEastAsia" w:eastAsiaTheme="minorEastAsia" w:cstheme="minorEastAsia"/>
          <w:b/>
          <w:bCs/>
          <w:sz w:val="24"/>
          <w:szCs w:val="24"/>
        </w:rPr>
        <w:t>、资格审查</w:t>
      </w:r>
      <w:r>
        <w:rPr>
          <w:rFonts w:hint="eastAsia" w:asciiTheme="minorEastAsia" w:hAnsiTheme="minorEastAsia" w:eastAsiaTheme="minorEastAsia" w:cstheme="minorEastAsia"/>
          <w:b/>
          <w:bCs/>
          <w:sz w:val="24"/>
          <w:szCs w:val="24"/>
          <w:lang w:eastAsia="zh-CN"/>
        </w:rPr>
        <w:t>表</w:t>
      </w:r>
    </w:p>
    <w:tbl>
      <w:tblPr>
        <w:tblStyle w:val="47"/>
        <w:tblW w:w="885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56"/>
        <w:gridCol w:w="2237"/>
        <w:gridCol w:w="5666"/>
      </w:tblGrid>
      <w:tr w14:paraId="7F964B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4" w:hRule="atLeast"/>
          <w:tblHeader/>
        </w:trPr>
        <w:tc>
          <w:tcPr>
            <w:tcW w:w="956" w:type="dxa"/>
            <w:noWrap w:val="0"/>
            <w:vAlign w:val="center"/>
          </w:tcPr>
          <w:p w14:paraId="6C8D7F46">
            <w:pPr>
              <w:keepNext w:val="0"/>
              <w:keepLines w:val="0"/>
              <w:pageBreakBefore w:val="0"/>
              <w:widowControl w:val="0"/>
              <w:kinsoku/>
              <w:overflowPunct/>
              <w:topLinePunct w:val="0"/>
              <w:autoSpaceDE/>
              <w:autoSpaceDN/>
              <w:bidi w:val="0"/>
              <w:adjustRightInd w:val="0"/>
              <w:snapToGrid w:val="0"/>
              <w:spacing w:line="52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w:t>
            </w:r>
          </w:p>
        </w:tc>
        <w:tc>
          <w:tcPr>
            <w:tcW w:w="2237" w:type="dxa"/>
            <w:noWrap w:val="0"/>
            <w:vAlign w:val="center"/>
          </w:tcPr>
          <w:p w14:paraId="1A2BAF4E">
            <w:pPr>
              <w:keepNext w:val="0"/>
              <w:keepLines w:val="0"/>
              <w:pageBreakBefore w:val="0"/>
              <w:widowControl w:val="0"/>
              <w:kinsoku/>
              <w:overflowPunct/>
              <w:topLinePunct w:val="0"/>
              <w:autoSpaceDE/>
              <w:autoSpaceDN/>
              <w:bidi w:val="0"/>
              <w:adjustRightInd w:val="0"/>
              <w:snapToGrid w:val="0"/>
              <w:spacing w:line="52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审查因素</w:t>
            </w:r>
          </w:p>
        </w:tc>
        <w:tc>
          <w:tcPr>
            <w:tcW w:w="5666" w:type="dxa"/>
            <w:noWrap w:val="0"/>
            <w:vAlign w:val="center"/>
          </w:tcPr>
          <w:p w14:paraId="49D19042">
            <w:pPr>
              <w:keepNext w:val="0"/>
              <w:keepLines w:val="0"/>
              <w:pageBreakBefore w:val="0"/>
              <w:widowControl w:val="0"/>
              <w:kinsoku/>
              <w:overflowPunct/>
              <w:topLinePunct w:val="0"/>
              <w:autoSpaceDE/>
              <w:autoSpaceDN/>
              <w:bidi w:val="0"/>
              <w:adjustRightInd w:val="0"/>
              <w:snapToGrid w:val="0"/>
              <w:spacing w:line="52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审查内容</w:t>
            </w:r>
          </w:p>
        </w:tc>
      </w:tr>
      <w:tr w14:paraId="14D644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39" w:hRule="atLeast"/>
        </w:trPr>
        <w:tc>
          <w:tcPr>
            <w:tcW w:w="956" w:type="dxa"/>
            <w:noWrap w:val="0"/>
            <w:vAlign w:val="center"/>
          </w:tcPr>
          <w:p w14:paraId="72ADB597">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1</w:t>
            </w:r>
          </w:p>
        </w:tc>
        <w:tc>
          <w:tcPr>
            <w:tcW w:w="2237" w:type="dxa"/>
            <w:noWrap w:val="0"/>
            <w:vAlign w:val="center"/>
          </w:tcPr>
          <w:p w14:paraId="455F79A5">
            <w:pPr>
              <w:pStyle w:val="18"/>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2"/>
                <w:sz w:val="24"/>
                <w:szCs w:val="24"/>
                <w:lang w:val="en-US" w:eastAsia="zh-CN" w:bidi="ar-SA"/>
              </w:rPr>
              <w:t>满足《中华人民共和国政府采购法》第二十二条规定</w:t>
            </w:r>
          </w:p>
        </w:tc>
        <w:tc>
          <w:tcPr>
            <w:tcW w:w="5666" w:type="dxa"/>
            <w:noWrap w:val="0"/>
            <w:vAlign w:val="center"/>
          </w:tcPr>
          <w:p w14:paraId="6D9FC98B">
            <w:pPr>
              <w:keepNext w:val="0"/>
              <w:keepLines w:val="0"/>
              <w:pageBreakBefore w:val="0"/>
              <w:widowControl w:val="0"/>
              <w:kinsoku/>
              <w:overflowPunct/>
              <w:topLinePunct w:val="0"/>
              <w:autoSpaceDE/>
              <w:autoSpaceDN/>
              <w:bidi w:val="0"/>
              <w:adjustRightInd w:val="0"/>
              <w:snapToGrid w:val="0"/>
              <w:spacing w:line="520" w:lineRule="exact"/>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sz w:val="24"/>
                <w:szCs w:val="24"/>
              </w:rPr>
              <w:t>符合第二章“</w:t>
            </w:r>
            <w:r>
              <w:rPr>
                <w:rFonts w:hint="eastAsia" w:asciiTheme="minorEastAsia" w:hAnsiTheme="minorEastAsia" w:eastAsiaTheme="minorEastAsia" w:cstheme="minorEastAsia"/>
                <w:sz w:val="24"/>
                <w:szCs w:val="24"/>
                <w:lang w:val="en-US" w:eastAsia="zh-CN"/>
              </w:rPr>
              <w:t>投标人</w:t>
            </w:r>
            <w:r>
              <w:rPr>
                <w:rFonts w:hint="eastAsia" w:asciiTheme="minorEastAsia" w:hAnsiTheme="minorEastAsia" w:eastAsiaTheme="minorEastAsia" w:cstheme="minorEastAsia"/>
                <w:sz w:val="24"/>
                <w:szCs w:val="24"/>
              </w:rPr>
              <w:t>须知”第</w:t>
            </w:r>
            <w:r>
              <w:rPr>
                <w:rFonts w:hint="eastAsia" w:asciiTheme="minorEastAsia" w:hAnsiTheme="minorEastAsia" w:eastAsiaTheme="minorEastAsia" w:cstheme="minorEastAsia"/>
                <w:kern w:val="2"/>
                <w:sz w:val="24"/>
                <w:szCs w:val="24"/>
                <w:lang w:val="en-US" w:eastAsia="zh-CN" w:bidi="ar-SA"/>
              </w:rPr>
              <w:t>1.4.2.4</w:t>
            </w:r>
            <w:r>
              <w:rPr>
                <w:rFonts w:hint="eastAsia" w:asciiTheme="minorEastAsia" w:hAnsiTheme="minorEastAsia" w:eastAsiaTheme="minorEastAsia" w:cstheme="minorEastAsia"/>
                <w:sz w:val="24"/>
                <w:szCs w:val="24"/>
              </w:rPr>
              <w:t>项规定</w:t>
            </w:r>
          </w:p>
        </w:tc>
      </w:tr>
      <w:tr w14:paraId="5B7F41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695" w:hRule="atLeast"/>
        </w:trPr>
        <w:tc>
          <w:tcPr>
            <w:tcW w:w="956" w:type="dxa"/>
            <w:noWrap w:val="0"/>
            <w:vAlign w:val="center"/>
          </w:tcPr>
          <w:p w14:paraId="32CC90DC">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val="en-US" w:eastAsia="zh-CN"/>
              </w:rPr>
              <w:t>2</w:t>
            </w:r>
          </w:p>
        </w:tc>
        <w:tc>
          <w:tcPr>
            <w:tcW w:w="2237" w:type="dxa"/>
            <w:noWrap w:val="0"/>
            <w:vAlign w:val="center"/>
          </w:tcPr>
          <w:p w14:paraId="67049925">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落实政府采购政策</w:t>
            </w:r>
          </w:p>
        </w:tc>
        <w:tc>
          <w:tcPr>
            <w:tcW w:w="5666" w:type="dxa"/>
            <w:noWrap w:val="0"/>
            <w:vAlign w:val="center"/>
          </w:tcPr>
          <w:p w14:paraId="2D77D00F">
            <w:pPr>
              <w:keepNext w:val="0"/>
              <w:keepLines w:val="0"/>
              <w:pageBreakBefore w:val="0"/>
              <w:widowControl w:val="0"/>
              <w:kinsoku/>
              <w:overflowPunct/>
              <w:topLinePunct w:val="0"/>
              <w:autoSpaceDE/>
              <w:autoSpaceDN/>
              <w:bidi w:val="0"/>
              <w:adjustRightInd w:val="0"/>
              <w:snapToGrid w:val="0"/>
              <w:spacing w:line="520" w:lineRule="exact"/>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sz w:val="24"/>
                <w:szCs w:val="24"/>
              </w:rPr>
              <w:t>符合第二章“</w:t>
            </w:r>
            <w:r>
              <w:rPr>
                <w:rFonts w:hint="eastAsia" w:asciiTheme="minorEastAsia" w:hAnsiTheme="minorEastAsia" w:eastAsiaTheme="minorEastAsia" w:cstheme="minorEastAsia"/>
                <w:sz w:val="24"/>
                <w:szCs w:val="24"/>
                <w:lang w:val="en-US" w:eastAsia="zh-CN"/>
              </w:rPr>
              <w:t>投标人</w:t>
            </w:r>
            <w:r>
              <w:rPr>
                <w:rFonts w:hint="eastAsia" w:asciiTheme="minorEastAsia" w:hAnsiTheme="minorEastAsia" w:eastAsiaTheme="minorEastAsia" w:cstheme="minorEastAsia"/>
                <w:sz w:val="24"/>
                <w:szCs w:val="24"/>
              </w:rPr>
              <w:t>须知”第</w:t>
            </w:r>
            <w:r>
              <w:rPr>
                <w:rFonts w:hint="eastAsia" w:asciiTheme="minorEastAsia" w:hAnsiTheme="minorEastAsia" w:eastAsiaTheme="minorEastAsia" w:cstheme="minorEastAsia"/>
                <w:kern w:val="2"/>
                <w:sz w:val="24"/>
                <w:szCs w:val="24"/>
                <w:lang w:val="en-US" w:eastAsia="zh-CN" w:bidi="ar-SA"/>
              </w:rPr>
              <w:t>1.4.2.4</w:t>
            </w:r>
            <w:r>
              <w:rPr>
                <w:rFonts w:hint="eastAsia" w:asciiTheme="minorEastAsia" w:hAnsiTheme="minorEastAsia" w:eastAsiaTheme="minorEastAsia" w:cstheme="minorEastAsia"/>
                <w:sz w:val="24"/>
                <w:szCs w:val="24"/>
              </w:rPr>
              <w:t>项规定</w:t>
            </w:r>
          </w:p>
        </w:tc>
      </w:tr>
      <w:tr w14:paraId="5F757F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90" w:hRule="atLeast"/>
        </w:trPr>
        <w:tc>
          <w:tcPr>
            <w:tcW w:w="956" w:type="dxa"/>
            <w:noWrap w:val="0"/>
            <w:vAlign w:val="center"/>
          </w:tcPr>
          <w:p w14:paraId="294F4324">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w:t>
            </w:r>
          </w:p>
        </w:tc>
        <w:tc>
          <w:tcPr>
            <w:tcW w:w="2237" w:type="dxa"/>
            <w:noWrap w:val="0"/>
            <w:vAlign w:val="center"/>
          </w:tcPr>
          <w:p w14:paraId="11E20DB0">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sz w:val="24"/>
                <w:szCs w:val="24"/>
                <w:lang w:val="en-US" w:eastAsia="zh-CN"/>
              </w:rPr>
              <w:t>特定资格要求</w:t>
            </w:r>
          </w:p>
        </w:tc>
        <w:tc>
          <w:tcPr>
            <w:tcW w:w="5666" w:type="dxa"/>
            <w:noWrap w:val="0"/>
            <w:vAlign w:val="center"/>
          </w:tcPr>
          <w:p w14:paraId="628DCAED">
            <w:pPr>
              <w:keepNext w:val="0"/>
              <w:keepLines w:val="0"/>
              <w:pageBreakBefore w:val="0"/>
              <w:widowControl w:val="0"/>
              <w:kinsoku/>
              <w:wordWrap w:val="0"/>
              <w:overflowPunct/>
              <w:topLinePunct w:val="0"/>
              <w:autoSpaceDE/>
              <w:autoSpaceDN/>
              <w:bidi w:val="0"/>
              <w:adjustRightInd w:val="0"/>
              <w:snapToGrid w:val="0"/>
              <w:spacing w:line="520" w:lineRule="exact"/>
              <w:jc w:val="both"/>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sz w:val="24"/>
                <w:szCs w:val="24"/>
              </w:rPr>
              <w:t>符合第二章“</w:t>
            </w:r>
            <w:r>
              <w:rPr>
                <w:rFonts w:hint="eastAsia" w:asciiTheme="minorEastAsia" w:hAnsiTheme="minorEastAsia" w:eastAsiaTheme="minorEastAsia" w:cstheme="minorEastAsia"/>
                <w:sz w:val="24"/>
                <w:szCs w:val="24"/>
                <w:lang w:val="en-US" w:eastAsia="zh-CN"/>
              </w:rPr>
              <w:t>投标人</w:t>
            </w:r>
            <w:r>
              <w:rPr>
                <w:rFonts w:hint="eastAsia" w:asciiTheme="minorEastAsia" w:hAnsiTheme="minorEastAsia" w:eastAsiaTheme="minorEastAsia" w:cstheme="minorEastAsia"/>
                <w:sz w:val="24"/>
                <w:szCs w:val="24"/>
              </w:rPr>
              <w:t>须知”第</w:t>
            </w:r>
            <w:r>
              <w:rPr>
                <w:rFonts w:hint="eastAsia" w:asciiTheme="minorEastAsia" w:hAnsiTheme="minorEastAsia" w:eastAsiaTheme="minorEastAsia" w:cstheme="minorEastAsia"/>
                <w:kern w:val="2"/>
                <w:sz w:val="24"/>
                <w:szCs w:val="24"/>
                <w:lang w:val="en-US" w:eastAsia="zh-CN" w:bidi="ar-SA"/>
              </w:rPr>
              <w:t>1.4.2.4</w:t>
            </w:r>
            <w:r>
              <w:rPr>
                <w:rFonts w:hint="eastAsia" w:asciiTheme="minorEastAsia" w:hAnsiTheme="minorEastAsia" w:eastAsiaTheme="minorEastAsia" w:cstheme="minorEastAsia"/>
                <w:sz w:val="24"/>
                <w:szCs w:val="24"/>
              </w:rPr>
              <w:t>项规定</w:t>
            </w:r>
          </w:p>
        </w:tc>
      </w:tr>
      <w:tr w14:paraId="247D15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90" w:hRule="atLeast"/>
        </w:trPr>
        <w:tc>
          <w:tcPr>
            <w:tcW w:w="956" w:type="dxa"/>
            <w:noWrap w:val="0"/>
            <w:vAlign w:val="center"/>
          </w:tcPr>
          <w:p w14:paraId="5C8CB73A">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w:t>
            </w:r>
          </w:p>
        </w:tc>
        <w:tc>
          <w:tcPr>
            <w:tcW w:w="2237" w:type="dxa"/>
            <w:noWrap w:val="0"/>
            <w:vAlign w:val="center"/>
          </w:tcPr>
          <w:p w14:paraId="35A9014A">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其他要求</w:t>
            </w:r>
          </w:p>
        </w:tc>
        <w:tc>
          <w:tcPr>
            <w:tcW w:w="5666" w:type="dxa"/>
            <w:noWrap w:val="0"/>
            <w:vAlign w:val="center"/>
          </w:tcPr>
          <w:p w14:paraId="6A96BDAF">
            <w:pPr>
              <w:keepNext w:val="0"/>
              <w:keepLines w:val="0"/>
              <w:pageBreakBefore w:val="0"/>
              <w:widowControl w:val="0"/>
              <w:kinsoku/>
              <w:wordWrap w:val="0"/>
              <w:overflowPunct/>
              <w:topLinePunct w:val="0"/>
              <w:autoSpaceDE/>
              <w:autoSpaceDN/>
              <w:bidi w:val="0"/>
              <w:adjustRightInd w:val="0"/>
              <w:snapToGrid w:val="0"/>
              <w:spacing w:line="520" w:lineRule="exact"/>
              <w:jc w:val="both"/>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符合招标文件要求</w:t>
            </w:r>
          </w:p>
        </w:tc>
      </w:tr>
    </w:tbl>
    <w:p w14:paraId="55AD95B9">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注：审查项目有一项不满足则结论为不合格。</w:t>
      </w:r>
    </w:p>
    <w:p w14:paraId="5EBFE339">
      <w:pPr>
        <w:keepNext w:val="0"/>
        <w:keepLines w:val="0"/>
        <w:pageBreakBefore w:val="0"/>
        <w:widowControl w:val="0"/>
        <w:kinsoku/>
        <w:wordWrap/>
        <w:overflowPunct/>
        <w:topLinePunct w:val="0"/>
        <w:autoSpaceDE/>
        <w:autoSpaceDN/>
        <w:bidi w:val="0"/>
        <w:adjustRightInd w:val="0"/>
        <w:snapToGrid w:val="0"/>
        <w:spacing w:after="157" w:afterLines="50" w:line="360" w:lineRule="auto"/>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eastAsia="zh-CN"/>
        </w:rPr>
        <w:t>二、</w:t>
      </w:r>
      <w:r>
        <w:rPr>
          <w:rFonts w:hint="eastAsia" w:asciiTheme="minorEastAsia" w:hAnsiTheme="minorEastAsia" w:eastAsiaTheme="minorEastAsia" w:cstheme="minorEastAsia"/>
          <w:b/>
          <w:bCs/>
          <w:sz w:val="24"/>
          <w:szCs w:val="24"/>
        </w:rPr>
        <w:t>符合性审查表</w:t>
      </w:r>
    </w:p>
    <w:tbl>
      <w:tblPr>
        <w:tblStyle w:val="47"/>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30"/>
        <w:gridCol w:w="2305"/>
        <w:gridCol w:w="5783"/>
      </w:tblGrid>
      <w:tr w14:paraId="4BC782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4" w:hRule="atLeast"/>
          <w:tblHeader/>
        </w:trPr>
        <w:tc>
          <w:tcPr>
            <w:tcW w:w="730" w:type="dxa"/>
            <w:noWrap w:val="0"/>
            <w:vAlign w:val="center"/>
          </w:tcPr>
          <w:p w14:paraId="1F21A5C1">
            <w:pPr>
              <w:keepNext w:val="0"/>
              <w:keepLines w:val="0"/>
              <w:pageBreakBefore w:val="0"/>
              <w:widowControl w:val="0"/>
              <w:kinsoku/>
              <w:wordWrap/>
              <w:overflowPunct/>
              <w:topLinePunct w:val="0"/>
              <w:autoSpaceDE/>
              <w:autoSpaceDN/>
              <w:bidi w:val="0"/>
              <w:spacing w:line="40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w:t>
            </w:r>
          </w:p>
        </w:tc>
        <w:tc>
          <w:tcPr>
            <w:tcW w:w="2305" w:type="dxa"/>
            <w:noWrap w:val="0"/>
            <w:vAlign w:val="center"/>
          </w:tcPr>
          <w:p w14:paraId="1DB72BF7">
            <w:pPr>
              <w:keepNext w:val="0"/>
              <w:keepLines w:val="0"/>
              <w:pageBreakBefore w:val="0"/>
              <w:widowControl w:val="0"/>
              <w:kinsoku/>
              <w:wordWrap/>
              <w:overflowPunct/>
              <w:topLinePunct w:val="0"/>
              <w:autoSpaceDE/>
              <w:autoSpaceDN/>
              <w:bidi w:val="0"/>
              <w:spacing w:line="40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审查因素</w:t>
            </w:r>
          </w:p>
        </w:tc>
        <w:tc>
          <w:tcPr>
            <w:tcW w:w="5783" w:type="dxa"/>
            <w:noWrap w:val="0"/>
            <w:vAlign w:val="center"/>
          </w:tcPr>
          <w:p w14:paraId="47543A74">
            <w:pPr>
              <w:keepNext w:val="0"/>
              <w:keepLines w:val="0"/>
              <w:pageBreakBefore w:val="0"/>
              <w:widowControl w:val="0"/>
              <w:kinsoku/>
              <w:wordWrap/>
              <w:overflowPunct/>
              <w:topLinePunct w:val="0"/>
              <w:autoSpaceDE/>
              <w:autoSpaceDN/>
              <w:bidi w:val="0"/>
              <w:spacing w:line="40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审查内容</w:t>
            </w:r>
          </w:p>
        </w:tc>
      </w:tr>
      <w:tr w14:paraId="64745C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65" w:hRule="atLeast"/>
        </w:trPr>
        <w:tc>
          <w:tcPr>
            <w:tcW w:w="730" w:type="dxa"/>
            <w:noWrap w:val="0"/>
            <w:vAlign w:val="center"/>
          </w:tcPr>
          <w:p w14:paraId="7BB07774">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w:t>
            </w:r>
          </w:p>
        </w:tc>
        <w:tc>
          <w:tcPr>
            <w:tcW w:w="2305" w:type="dxa"/>
            <w:noWrap w:val="0"/>
            <w:vAlign w:val="center"/>
          </w:tcPr>
          <w:p w14:paraId="5AB4BF2A">
            <w:pPr>
              <w:spacing w:line="400" w:lineRule="exact"/>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sz w:val="24"/>
                <w:szCs w:val="24"/>
              </w:rPr>
              <w:t>投标人名称</w:t>
            </w:r>
          </w:p>
        </w:tc>
        <w:tc>
          <w:tcPr>
            <w:tcW w:w="5783" w:type="dxa"/>
            <w:noWrap w:val="0"/>
            <w:vAlign w:val="center"/>
          </w:tcPr>
          <w:p w14:paraId="45A8343E">
            <w:pPr>
              <w:spacing w:line="400" w:lineRule="exac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sz w:val="24"/>
                <w:szCs w:val="24"/>
              </w:rPr>
              <w:t>与营业执照或事业单位法人证书一致（自然人投标的与自然人的身份证明一致）</w:t>
            </w:r>
          </w:p>
        </w:tc>
      </w:tr>
      <w:tr w14:paraId="3EC65B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65" w:hRule="atLeast"/>
        </w:trPr>
        <w:tc>
          <w:tcPr>
            <w:tcW w:w="730" w:type="dxa"/>
            <w:noWrap w:val="0"/>
            <w:vAlign w:val="center"/>
          </w:tcPr>
          <w:p w14:paraId="42D73FFC">
            <w:pPr>
              <w:keepNext w:val="0"/>
              <w:keepLines w:val="0"/>
              <w:pageBreakBefore w:val="0"/>
              <w:widowControl w:val="0"/>
              <w:kinsoku/>
              <w:wordWrap/>
              <w:overflowPunct/>
              <w:topLinePunct w:val="0"/>
              <w:autoSpaceDE/>
              <w:autoSpaceDN/>
              <w:bidi w:val="0"/>
              <w:spacing w:line="400" w:lineRule="exact"/>
              <w:jc w:val="center"/>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2</w:t>
            </w:r>
          </w:p>
        </w:tc>
        <w:tc>
          <w:tcPr>
            <w:tcW w:w="2305" w:type="dxa"/>
            <w:noWrap w:val="0"/>
            <w:vAlign w:val="center"/>
          </w:tcPr>
          <w:p w14:paraId="027C208C">
            <w:pPr>
              <w:keepNext w:val="0"/>
              <w:keepLines w:val="0"/>
              <w:pageBreakBefore w:val="0"/>
              <w:widowControl w:val="0"/>
              <w:kinsoku/>
              <w:wordWrap/>
              <w:overflowPunct/>
              <w:topLinePunct w:val="0"/>
              <w:autoSpaceDE/>
              <w:autoSpaceDN/>
              <w:bidi w:val="0"/>
              <w:spacing w:line="400" w:lineRule="exact"/>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投标报价</w:t>
            </w:r>
          </w:p>
        </w:tc>
        <w:tc>
          <w:tcPr>
            <w:tcW w:w="5783" w:type="dxa"/>
            <w:noWrap w:val="0"/>
            <w:vAlign w:val="center"/>
          </w:tcPr>
          <w:p w14:paraId="7873BFC3">
            <w:pPr>
              <w:keepNext w:val="0"/>
              <w:keepLines w:val="0"/>
              <w:pageBreakBefore w:val="0"/>
              <w:widowControl w:val="0"/>
              <w:kinsoku/>
              <w:wordWrap/>
              <w:overflowPunct/>
              <w:topLinePunct w:val="0"/>
              <w:autoSpaceDE/>
              <w:autoSpaceDN/>
              <w:bidi w:val="0"/>
              <w:spacing w:line="40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只能有一个有效报价，按招标文件要求报价且不能超过预算金额或最高限价</w:t>
            </w:r>
          </w:p>
        </w:tc>
      </w:tr>
      <w:tr w14:paraId="37155B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65" w:hRule="atLeast"/>
        </w:trPr>
        <w:tc>
          <w:tcPr>
            <w:tcW w:w="730" w:type="dxa"/>
            <w:noWrap w:val="0"/>
            <w:vAlign w:val="center"/>
          </w:tcPr>
          <w:p w14:paraId="3FD1B875">
            <w:pPr>
              <w:keepNext w:val="0"/>
              <w:keepLines w:val="0"/>
              <w:pageBreakBefore w:val="0"/>
              <w:widowControl w:val="0"/>
              <w:kinsoku/>
              <w:wordWrap/>
              <w:overflowPunct/>
              <w:topLinePunct w:val="0"/>
              <w:autoSpaceDE/>
              <w:autoSpaceDN/>
              <w:bidi w:val="0"/>
              <w:spacing w:line="400" w:lineRule="exact"/>
              <w:jc w:val="center"/>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w:t>
            </w:r>
          </w:p>
        </w:tc>
        <w:tc>
          <w:tcPr>
            <w:tcW w:w="2305" w:type="dxa"/>
            <w:noWrap w:val="0"/>
            <w:vAlign w:val="center"/>
          </w:tcPr>
          <w:p w14:paraId="748F2EB9">
            <w:pPr>
              <w:keepNext w:val="0"/>
              <w:keepLines w:val="0"/>
              <w:pageBreakBefore w:val="0"/>
              <w:widowControl w:val="0"/>
              <w:kinsoku/>
              <w:wordWrap/>
              <w:overflowPunct/>
              <w:topLinePunct w:val="0"/>
              <w:autoSpaceDE/>
              <w:autoSpaceDN/>
              <w:bidi w:val="0"/>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投标有效期</w:t>
            </w:r>
          </w:p>
        </w:tc>
        <w:tc>
          <w:tcPr>
            <w:tcW w:w="5783" w:type="dxa"/>
            <w:noWrap w:val="0"/>
            <w:vAlign w:val="center"/>
          </w:tcPr>
          <w:p w14:paraId="30809035">
            <w:pPr>
              <w:keepNext w:val="0"/>
              <w:keepLines w:val="0"/>
              <w:pageBreakBefore w:val="0"/>
              <w:widowControl w:val="0"/>
              <w:kinsoku/>
              <w:wordWrap/>
              <w:overflowPunct/>
              <w:topLinePunct w:val="0"/>
              <w:autoSpaceDE/>
              <w:autoSpaceDN/>
              <w:bidi w:val="0"/>
              <w:spacing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投标文件中承诺的投标有效期满足招标文件中载明的投标有效期</w:t>
            </w:r>
          </w:p>
        </w:tc>
      </w:tr>
      <w:tr w14:paraId="35B981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2" w:hRule="atLeast"/>
        </w:trPr>
        <w:tc>
          <w:tcPr>
            <w:tcW w:w="730" w:type="dxa"/>
            <w:noWrap w:val="0"/>
            <w:vAlign w:val="center"/>
          </w:tcPr>
          <w:p w14:paraId="5CCA53CA">
            <w:pPr>
              <w:keepNext w:val="0"/>
              <w:keepLines w:val="0"/>
              <w:pageBreakBefore w:val="0"/>
              <w:widowControl w:val="0"/>
              <w:kinsoku/>
              <w:wordWrap/>
              <w:overflowPunct/>
              <w:topLinePunct w:val="0"/>
              <w:autoSpaceDE/>
              <w:autoSpaceDN/>
              <w:bidi w:val="0"/>
              <w:spacing w:line="400" w:lineRule="exact"/>
              <w:jc w:val="center"/>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4</w:t>
            </w:r>
          </w:p>
        </w:tc>
        <w:tc>
          <w:tcPr>
            <w:tcW w:w="2305" w:type="dxa"/>
            <w:noWrap w:val="0"/>
            <w:vAlign w:val="center"/>
          </w:tcPr>
          <w:p w14:paraId="2818F9AD">
            <w:pPr>
              <w:keepNext w:val="0"/>
              <w:keepLines w:val="0"/>
              <w:pageBreakBefore w:val="0"/>
              <w:widowControl w:val="0"/>
              <w:kinsoku/>
              <w:wordWrap/>
              <w:overflowPunct/>
              <w:topLinePunct w:val="0"/>
              <w:autoSpaceDE/>
              <w:autoSpaceDN/>
              <w:bidi w:val="0"/>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投标文件签字、盖章</w:t>
            </w:r>
          </w:p>
        </w:tc>
        <w:tc>
          <w:tcPr>
            <w:tcW w:w="5783" w:type="dxa"/>
            <w:noWrap w:val="0"/>
            <w:vAlign w:val="center"/>
          </w:tcPr>
          <w:p w14:paraId="4F16E88E">
            <w:pPr>
              <w:keepNext w:val="0"/>
              <w:keepLines w:val="0"/>
              <w:pageBreakBefore w:val="0"/>
              <w:widowControl w:val="0"/>
              <w:kinsoku/>
              <w:wordWrap/>
              <w:overflowPunct/>
              <w:topLinePunct w:val="0"/>
              <w:autoSpaceDE/>
              <w:autoSpaceDN/>
              <w:bidi w:val="0"/>
              <w:spacing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按照招标</w:t>
            </w:r>
            <w:r>
              <w:rPr>
                <w:rFonts w:hint="eastAsia" w:asciiTheme="minorEastAsia" w:hAnsiTheme="minorEastAsia" w:eastAsiaTheme="minorEastAsia" w:cstheme="minorEastAsia"/>
                <w:color w:val="auto"/>
                <w:sz w:val="24"/>
                <w:szCs w:val="24"/>
                <w:lang w:eastAsia="zh-CN"/>
              </w:rPr>
              <w:t>文件</w:t>
            </w:r>
            <w:r>
              <w:rPr>
                <w:rFonts w:hint="eastAsia" w:asciiTheme="minorEastAsia" w:hAnsiTheme="minorEastAsia" w:eastAsiaTheme="minorEastAsia" w:cstheme="minorEastAsia"/>
                <w:color w:val="auto"/>
                <w:sz w:val="24"/>
                <w:szCs w:val="24"/>
                <w:lang w:val="en-US" w:eastAsia="zh-CN"/>
              </w:rPr>
              <w:t>中</w:t>
            </w:r>
            <w:r>
              <w:rPr>
                <w:rFonts w:hint="eastAsia" w:asciiTheme="minorEastAsia" w:hAnsiTheme="minorEastAsia" w:eastAsiaTheme="minorEastAsia" w:cstheme="minorEastAsia"/>
                <w:color w:val="auto"/>
                <w:sz w:val="24"/>
                <w:szCs w:val="24"/>
              </w:rPr>
              <w:t>的要求签字盖章</w:t>
            </w:r>
          </w:p>
        </w:tc>
      </w:tr>
      <w:tr w14:paraId="1370CF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3" w:hRule="atLeast"/>
        </w:trPr>
        <w:tc>
          <w:tcPr>
            <w:tcW w:w="730" w:type="dxa"/>
            <w:noWrap w:val="0"/>
            <w:vAlign w:val="center"/>
          </w:tcPr>
          <w:p w14:paraId="0D2AEFC7">
            <w:pPr>
              <w:keepNext w:val="0"/>
              <w:keepLines w:val="0"/>
              <w:pageBreakBefore w:val="0"/>
              <w:widowControl w:val="0"/>
              <w:kinsoku/>
              <w:wordWrap/>
              <w:overflowPunct/>
              <w:topLinePunct w:val="0"/>
              <w:autoSpaceDE/>
              <w:autoSpaceDN/>
              <w:bidi w:val="0"/>
              <w:spacing w:line="400" w:lineRule="exact"/>
              <w:jc w:val="center"/>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5</w:t>
            </w:r>
          </w:p>
        </w:tc>
        <w:tc>
          <w:tcPr>
            <w:tcW w:w="2305" w:type="dxa"/>
            <w:noWrap w:val="0"/>
            <w:vAlign w:val="center"/>
          </w:tcPr>
          <w:p w14:paraId="64766D2D">
            <w:pPr>
              <w:spacing w:line="400" w:lineRule="exact"/>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sz w:val="24"/>
                <w:szCs w:val="24"/>
              </w:rPr>
              <w:t>投标文件格式</w:t>
            </w:r>
          </w:p>
        </w:tc>
        <w:tc>
          <w:tcPr>
            <w:tcW w:w="5783" w:type="dxa"/>
            <w:noWrap w:val="0"/>
            <w:vAlign w:val="center"/>
          </w:tcPr>
          <w:p w14:paraId="40DFC0AC">
            <w:pPr>
              <w:spacing w:line="400" w:lineRule="exac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sz w:val="24"/>
                <w:szCs w:val="24"/>
              </w:rPr>
              <w:t>符合招标文件“第六章投标文件格式”的要求</w:t>
            </w:r>
          </w:p>
        </w:tc>
      </w:tr>
      <w:tr w14:paraId="502F94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3" w:hRule="atLeast"/>
        </w:trPr>
        <w:tc>
          <w:tcPr>
            <w:tcW w:w="730" w:type="dxa"/>
            <w:noWrap w:val="0"/>
            <w:vAlign w:val="center"/>
          </w:tcPr>
          <w:p w14:paraId="52033884">
            <w:pPr>
              <w:keepNext w:val="0"/>
              <w:keepLines w:val="0"/>
              <w:pageBreakBefore w:val="0"/>
              <w:widowControl w:val="0"/>
              <w:kinsoku/>
              <w:wordWrap/>
              <w:overflowPunct/>
              <w:topLinePunct w:val="0"/>
              <w:autoSpaceDE/>
              <w:autoSpaceDN/>
              <w:bidi w:val="0"/>
              <w:spacing w:line="400" w:lineRule="exact"/>
              <w:jc w:val="center"/>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6</w:t>
            </w:r>
          </w:p>
        </w:tc>
        <w:tc>
          <w:tcPr>
            <w:tcW w:w="2305" w:type="dxa"/>
            <w:noWrap w:val="0"/>
            <w:vAlign w:val="center"/>
          </w:tcPr>
          <w:p w14:paraId="1F4B895F">
            <w:pPr>
              <w:keepNext w:val="0"/>
              <w:keepLines w:val="0"/>
              <w:pageBreakBefore w:val="0"/>
              <w:widowControl w:val="0"/>
              <w:kinsoku/>
              <w:wordWrap/>
              <w:overflowPunct/>
              <w:topLinePunct w:val="0"/>
              <w:autoSpaceDE/>
              <w:autoSpaceDN/>
              <w:bidi w:val="0"/>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交货期</w:t>
            </w:r>
          </w:p>
        </w:tc>
        <w:tc>
          <w:tcPr>
            <w:tcW w:w="5783" w:type="dxa"/>
            <w:noWrap w:val="0"/>
            <w:vAlign w:val="center"/>
          </w:tcPr>
          <w:p w14:paraId="4A2BCEBA">
            <w:pPr>
              <w:keepNext w:val="0"/>
              <w:keepLines w:val="0"/>
              <w:pageBreakBefore w:val="0"/>
              <w:widowControl w:val="0"/>
              <w:kinsoku/>
              <w:wordWrap/>
              <w:overflowPunct/>
              <w:topLinePunct w:val="0"/>
              <w:autoSpaceDE/>
              <w:autoSpaceDN/>
              <w:bidi w:val="0"/>
              <w:spacing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合同签订之日起</w:t>
            </w:r>
            <w:r>
              <w:rPr>
                <w:rFonts w:hint="eastAsia" w:asciiTheme="minorEastAsia" w:hAnsiTheme="minorEastAsia" w:eastAsiaTheme="minorEastAsia" w:cstheme="minorEastAsia"/>
                <w:color w:val="auto"/>
                <w:sz w:val="24"/>
                <w:szCs w:val="24"/>
                <w:lang w:val="en-US" w:eastAsia="zh-CN"/>
              </w:rPr>
              <w:t>20日历天内</w:t>
            </w:r>
          </w:p>
        </w:tc>
      </w:tr>
      <w:tr w14:paraId="60846E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3" w:hRule="atLeast"/>
        </w:trPr>
        <w:tc>
          <w:tcPr>
            <w:tcW w:w="730" w:type="dxa"/>
            <w:noWrap w:val="0"/>
            <w:vAlign w:val="center"/>
          </w:tcPr>
          <w:p w14:paraId="6A4F1E4A">
            <w:pPr>
              <w:keepNext w:val="0"/>
              <w:keepLines w:val="0"/>
              <w:pageBreakBefore w:val="0"/>
              <w:widowControl w:val="0"/>
              <w:kinsoku/>
              <w:wordWrap/>
              <w:overflowPunct/>
              <w:topLinePunct w:val="0"/>
              <w:autoSpaceDE/>
              <w:autoSpaceDN/>
              <w:bidi w:val="0"/>
              <w:spacing w:line="400" w:lineRule="exact"/>
              <w:jc w:val="center"/>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7</w:t>
            </w:r>
          </w:p>
        </w:tc>
        <w:tc>
          <w:tcPr>
            <w:tcW w:w="2305" w:type="dxa"/>
            <w:noWrap w:val="0"/>
            <w:vAlign w:val="center"/>
          </w:tcPr>
          <w:p w14:paraId="6C8D62B3">
            <w:pPr>
              <w:keepNext w:val="0"/>
              <w:keepLines w:val="0"/>
              <w:pageBreakBefore w:val="0"/>
              <w:widowControl w:val="0"/>
              <w:kinsoku/>
              <w:wordWrap/>
              <w:overflowPunct/>
              <w:topLinePunct w:val="0"/>
              <w:autoSpaceDE/>
              <w:autoSpaceDN/>
              <w:bidi w:val="0"/>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质量要求</w:t>
            </w:r>
          </w:p>
        </w:tc>
        <w:tc>
          <w:tcPr>
            <w:tcW w:w="5783" w:type="dxa"/>
            <w:noWrap w:val="0"/>
            <w:vAlign w:val="center"/>
          </w:tcPr>
          <w:p w14:paraId="315D0004">
            <w:pPr>
              <w:keepNext w:val="0"/>
              <w:keepLines w:val="0"/>
              <w:pageBreakBefore w:val="0"/>
              <w:widowControl w:val="0"/>
              <w:kinsoku/>
              <w:wordWrap/>
              <w:overflowPunct/>
              <w:topLinePunct w:val="0"/>
              <w:autoSpaceDE/>
              <w:autoSpaceDN/>
              <w:bidi w:val="0"/>
              <w:spacing w:line="400" w:lineRule="exac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符合国家及行业相关要求合格标准，满足采购人要求</w:t>
            </w:r>
          </w:p>
        </w:tc>
      </w:tr>
      <w:tr w14:paraId="500C76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3" w:hRule="atLeast"/>
        </w:trPr>
        <w:tc>
          <w:tcPr>
            <w:tcW w:w="730" w:type="dxa"/>
            <w:noWrap w:val="0"/>
            <w:vAlign w:val="center"/>
          </w:tcPr>
          <w:p w14:paraId="479E297E">
            <w:pPr>
              <w:keepNext w:val="0"/>
              <w:keepLines w:val="0"/>
              <w:pageBreakBefore w:val="0"/>
              <w:widowControl w:val="0"/>
              <w:kinsoku/>
              <w:wordWrap/>
              <w:overflowPunct/>
              <w:topLinePunct w:val="0"/>
              <w:autoSpaceDE/>
              <w:autoSpaceDN/>
              <w:bidi w:val="0"/>
              <w:spacing w:line="400" w:lineRule="exact"/>
              <w:jc w:val="center"/>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8</w:t>
            </w:r>
          </w:p>
        </w:tc>
        <w:tc>
          <w:tcPr>
            <w:tcW w:w="2305" w:type="dxa"/>
            <w:noWrap w:val="0"/>
            <w:vAlign w:val="center"/>
          </w:tcPr>
          <w:p w14:paraId="532CCB44">
            <w:pPr>
              <w:keepNext w:val="0"/>
              <w:keepLines w:val="0"/>
              <w:pageBreakBefore w:val="0"/>
              <w:widowControl w:val="0"/>
              <w:kinsoku/>
              <w:wordWrap/>
              <w:overflowPunct/>
              <w:topLinePunct w:val="0"/>
              <w:autoSpaceDE/>
              <w:autoSpaceDN/>
              <w:bidi w:val="0"/>
              <w:spacing w:line="40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质保期</w:t>
            </w:r>
          </w:p>
        </w:tc>
        <w:tc>
          <w:tcPr>
            <w:tcW w:w="5783" w:type="dxa"/>
            <w:noWrap w:val="0"/>
            <w:vAlign w:val="center"/>
          </w:tcPr>
          <w:p w14:paraId="67DD3430">
            <w:pPr>
              <w:keepNext w:val="0"/>
              <w:keepLines w:val="0"/>
              <w:pageBreakBefore w:val="0"/>
              <w:widowControl w:val="0"/>
              <w:kinsoku/>
              <w:wordWrap/>
              <w:overflowPunct/>
              <w:topLinePunct w:val="0"/>
              <w:autoSpaceDE/>
              <w:autoSpaceDN/>
              <w:bidi w:val="0"/>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lang w:val="en-US" w:eastAsia="zh-CN"/>
              </w:rPr>
              <w:t>一</w:t>
            </w:r>
            <w:r>
              <w:rPr>
                <w:rFonts w:hint="eastAsia" w:asciiTheme="minorEastAsia" w:hAnsiTheme="minorEastAsia" w:eastAsiaTheme="minorEastAsia" w:cstheme="minorEastAsia"/>
                <w:color w:val="auto"/>
                <w:sz w:val="24"/>
                <w:szCs w:val="24"/>
                <w:lang w:eastAsia="zh-CN"/>
              </w:rPr>
              <w:t>年（通过采购人验收合格之日起开始计算）</w:t>
            </w:r>
          </w:p>
        </w:tc>
      </w:tr>
      <w:tr w14:paraId="2A40CE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3" w:hRule="atLeast"/>
        </w:trPr>
        <w:tc>
          <w:tcPr>
            <w:tcW w:w="730" w:type="dxa"/>
            <w:noWrap w:val="0"/>
            <w:vAlign w:val="center"/>
          </w:tcPr>
          <w:p w14:paraId="117175F9">
            <w:pPr>
              <w:keepNext w:val="0"/>
              <w:keepLines w:val="0"/>
              <w:pageBreakBefore w:val="0"/>
              <w:widowControl w:val="0"/>
              <w:kinsoku/>
              <w:wordWrap/>
              <w:overflowPunct/>
              <w:topLinePunct w:val="0"/>
              <w:autoSpaceDE/>
              <w:autoSpaceDN/>
              <w:bidi w:val="0"/>
              <w:spacing w:line="400" w:lineRule="exact"/>
              <w:jc w:val="center"/>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9</w:t>
            </w:r>
          </w:p>
        </w:tc>
        <w:tc>
          <w:tcPr>
            <w:tcW w:w="2305" w:type="dxa"/>
            <w:noWrap w:val="0"/>
            <w:vAlign w:val="center"/>
          </w:tcPr>
          <w:p w14:paraId="11B8A5B1">
            <w:pPr>
              <w:keepNext w:val="0"/>
              <w:keepLines w:val="0"/>
              <w:pageBreakBefore w:val="0"/>
              <w:widowControl w:val="0"/>
              <w:kinsoku/>
              <w:wordWrap/>
              <w:overflowPunct/>
              <w:topLinePunct w:val="0"/>
              <w:autoSpaceDE/>
              <w:autoSpaceDN/>
              <w:bidi w:val="0"/>
              <w:spacing w:line="400" w:lineRule="exact"/>
              <w:jc w:val="center"/>
              <w:textAlignment w:val="auto"/>
              <w:rPr>
                <w:rFonts w:hint="default"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其他</w:t>
            </w:r>
          </w:p>
        </w:tc>
        <w:tc>
          <w:tcPr>
            <w:tcW w:w="5783" w:type="dxa"/>
            <w:noWrap w:val="0"/>
            <w:vAlign w:val="center"/>
          </w:tcPr>
          <w:p w14:paraId="5854E54A">
            <w:pPr>
              <w:keepNext w:val="0"/>
              <w:keepLines w:val="0"/>
              <w:pageBreakBefore w:val="0"/>
              <w:widowControl w:val="0"/>
              <w:kinsoku/>
              <w:wordWrap/>
              <w:overflowPunct/>
              <w:topLinePunct w:val="0"/>
              <w:autoSpaceDE/>
              <w:autoSpaceDN/>
              <w:bidi w:val="0"/>
              <w:spacing w:line="400" w:lineRule="exac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符合招标文件规定的其他实质性响应</w:t>
            </w:r>
          </w:p>
        </w:tc>
      </w:tr>
    </w:tbl>
    <w:p w14:paraId="16D912E5">
      <w:pPr>
        <w:pStyle w:val="20"/>
        <w:keepNext w:val="0"/>
        <w:keepLines w:val="0"/>
        <w:pageBreakBefore w:val="0"/>
        <w:widowControl w:val="0"/>
        <w:kinsoku/>
        <w:wordWrap/>
        <w:overflowPunct/>
        <w:topLinePunct w:val="0"/>
        <w:autoSpaceDE/>
        <w:autoSpaceDN/>
        <w:bidi w:val="0"/>
        <w:adjustRightInd w:val="0"/>
        <w:snapToGrid w:val="0"/>
        <w:spacing w:before="157" w:beforeLines="50" w:after="0" w:line="360" w:lineRule="auto"/>
        <w:ind w:firstLine="482" w:firstLineChars="200"/>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注：审查项目有一项不满足则结论为不合格。</w:t>
      </w:r>
    </w:p>
    <w:p w14:paraId="0423B2A3">
      <w:pPr>
        <w:keepNext w:val="0"/>
        <w:keepLines w:val="0"/>
        <w:pageBreakBefore w:val="0"/>
        <w:widowControl w:val="0"/>
        <w:numPr>
          <w:ilvl w:val="0"/>
          <w:numId w:val="1"/>
        </w:numPr>
        <w:kinsoku/>
        <w:wordWrap/>
        <w:overflowPunct/>
        <w:topLinePunct w:val="0"/>
        <w:autoSpaceDE/>
        <w:autoSpaceDN/>
        <w:bidi w:val="0"/>
        <w:adjustRightInd w:val="0"/>
        <w:snapToGrid w:val="0"/>
        <w:spacing w:after="157" w:afterLines="50" w:line="360" w:lineRule="auto"/>
        <w:textAlignment w:val="auto"/>
        <w:rPr>
          <w:rFonts w:hint="eastAsia" w:ascii="黑体" w:hAnsi="黑体" w:cs="Times New Roman"/>
          <w:b/>
          <w:bCs/>
          <w:sz w:val="24"/>
          <w:lang w:eastAsia="zh-CN"/>
        </w:rPr>
      </w:pPr>
      <w:r>
        <w:rPr>
          <w:rFonts w:hint="eastAsia" w:ascii="黑体" w:hAnsi="黑体" w:cs="Times New Roman"/>
          <w:b/>
          <w:bCs/>
          <w:sz w:val="24"/>
          <w:lang w:eastAsia="zh-CN"/>
        </w:rPr>
        <w:t>评分标准表</w:t>
      </w:r>
    </w:p>
    <w:tbl>
      <w:tblPr>
        <w:tblStyle w:val="47"/>
        <w:tblpPr w:leftFromText="180" w:rightFromText="180" w:vertAnchor="text" w:horzAnchor="page" w:tblpX="1060" w:tblpY="535"/>
        <w:tblOverlap w:val="never"/>
        <w:tblW w:w="9939" w:type="dxa"/>
        <w:tblInd w:w="0" w:type="dxa"/>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 w:type="dxa"/>
          <w:bottom w:w="0" w:type="dxa"/>
          <w:right w:w="10" w:type="dxa"/>
        </w:tblCellMar>
      </w:tblPr>
      <w:tblGrid>
        <w:gridCol w:w="483"/>
        <w:gridCol w:w="945"/>
        <w:gridCol w:w="1245"/>
        <w:gridCol w:w="7266"/>
      </w:tblGrid>
      <w:tr w14:paraId="31B581AB">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 w:type="dxa"/>
            <w:bottom w:w="0" w:type="dxa"/>
            <w:right w:w="10" w:type="dxa"/>
          </w:tblCellMar>
        </w:tblPrEx>
        <w:trPr>
          <w:trHeight w:val="482" w:hRule="atLeast"/>
        </w:trPr>
        <w:tc>
          <w:tcPr>
            <w:tcW w:w="483" w:type="dxa"/>
            <w:noWrap w:val="0"/>
            <w:tcMar>
              <w:top w:w="0" w:type="dxa"/>
              <w:left w:w="108" w:type="dxa"/>
              <w:bottom w:w="0" w:type="dxa"/>
              <w:right w:w="108" w:type="dxa"/>
            </w:tcMar>
            <w:vAlign w:val="center"/>
          </w:tcPr>
          <w:p w14:paraId="5412C9DB">
            <w:pPr>
              <w:keepNext w:val="0"/>
              <w:keepLines w:val="0"/>
              <w:pageBreakBefore w:val="0"/>
              <w:kinsoku/>
              <w:wordWrap/>
              <w:overflowPunct/>
              <w:topLinePunct w:val="0"/>
              <w:bidi w:val="0"/>
              <w:adjustRightInd w:val="0"/>
              <w:snapToGrid w:val="0"/>
              <w:spacing w:line="400" w:lineRule="exact"/>
              <w:ind w:left="-190" w:right="-108" w:firstLine="48"/>
              <w:jc w:val="center"/>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bCs/>
                <w:sz w:val="24"/>
                <w:szCs w:val="24"/>
              </w:rPr>
              <w:t>序号</w:t>
            </w:r>
          </w:p>
        </w:tc>
        <w:tc>
          <w:tcPr>
            <w:tcW w:w="2190" w:type="dxa"/>
            <w:gridSpan w:val="2"/>
            <w:noWrap w:val="0"/>
            <w:tcMar>
              <w:top w:w="0" w:type="dxa"/>
              <w:left w:w="108" w:type="dxa"/>
              <w:bottom w:w="0" w:type="dxa"/>
              <w:right w:w="108" w:type="dxa"/>
            </w:tcMar>
            <w:vAlign w:val="top"/>
          </w:tcPr>
          <w:p w14:paraId="603056B3">
            <w:pPr>
              <w:keepNext w:val="0"/>
              <w:keepLines w:val="0"/>
              <w:pageBreakBefore w:val="0"/>
              <w:widowControl/>
              <w:kinsoku/>
              <w:wordWrap/>
              <w:overflowPunct/>
              <w:topLinePunct w:val="0"/>
              <w:bidi w:val="0"/>
              <w:adjustRightInd w:val="0"/>
              <w:snapToGrid w:val="0"/>
              <w:spacing w:line="400" w:lineRule="exact"/>
              <w:jc w:val="center"/>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bCs/>
                <w:sz w:val="24"/>
                <w:szCs w:val="24"/>
              </w:rPr>
              <w:t>评审项目</w:t>
            </w:r>
          </w:p>
        </w:tc>
        <w:tc>
          <w:tcPr>
            <w:tcW w:w="7266" w:type="dxa"/>
            <w:noWrap w:val="0"/>
            <w:tcMar>
              <w:top w:w="0" w:type="dxa"/>
              <w:left w:w="108" w:type="dxa"/>
              <w:bottom w:w="0" w:type="dxa"/>
              <w:right w:w="108" w:type="dxa"/>
            </w:tcMar>
            <w:vAlign w:val="center"/>
          </w:tcPr>
          <w:p w14:paraId="597127FA">
            <w:pPr>
              <w:keepNext w:val="0"/>
              <w:keepLines w:val="0"/>
              <w:pageBreakBefore w:val="0"/>
              <w:widowControl/>
              <w:kinsoku/>
              <w:wordWrap/>
              <w:overflowPunct/>
              <w:topLinePunct w:val="0"/>
              <w:bidi w:val="0"/>
              <w:adjustRightInd w:val="0"/>
              <w:snapToGrid w:val="0"/>
              <w:spacing w:line="400" w:lineRule="exact"/>
              <w:jc w:val="center"/>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bCs/>
                <w:sz w:val="24"/>
                <w:szCs w:val="24"/>
              </w:rPr>
              <w:t>评分标准细则（得分保留小数点后两位数字，第三位四舍五入）</w:t>
            </w:r>
          </w:p>
        </w:tc>
      </w:tr>
      <w:tr w14:paraId="7BE1D438">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 w:type="dxa"/>
            <w:bottom w:w="0" w:type="dxa"/>
            <w:right w:w="10" w:type="dxa"/>
          </w:tblCellMar>
        </w:tblPrEx>
        <w:trPr>
          <w:trHeight w:val="734" w:hRule="atLeast"/>
        </w:trPr>
        <w:tc>
          <w:tcPr>
            <w:tcW w:w="483" w:type="dxa"/>
            <w:noWrap w:val="0"/>
            <w:tcMar>
              <w:top w:w="0" w:type="dxa"/>
              <w:left w:w="108" w:type="dxa"/>
              <w:bottom w:w="0" w:type="dxa"/>
              <w:right w:w="108" w:type="dxa"/>
            </w:tcMar>
            <w:vAlign w:val="center"/>
          </w:tcPr>
          <w:p w14:paraId="3C7DAAB2">
            <w:pPr>
              <w:keepNext w:val="0"/>
              <w:keepLines w:val="0"/>
              <w:pageBreakBefore w:val="0"/>
              <w:widowControl/>
              <w:kinsoku/>
              <w:wordWrap/>
              <w:overflowPunct/>
              <w:topLinePunct w:val="0"/>
              <w:bidi w:val="0"/>
              <w:adjustRightInd w:val="0"/>
              <w:snapToGrid w:val="0"/>
              <w:spacing w:line="40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945" w:type="dxa"/>
            <w:noWrap w:val="0"/>
            <w:tcMar>
              <w:top w:w="0" w:type="dxa"/>
              <w:left w:w="108" w:type="dxa"/>
              <w:bottom w:w="0" w:type="dxa"/>
              <w:right w:w="108" w:type="dxa"/>
            </w:tcMar>
            <w:vAlign w:val="center"/>
          </w:tcPr>
          <w:p w14:paraId="3B59A002">
            <w:pPr>
              <w:keepNext w:val="0"/>
              <w:keepLines w:val="0"/>
              <w:pageBreakBefore w:val="0"/>
              <w:kinsoku/>
              <w:wordWrap/>
              <w:overflowPunct/>
              <w:topLinePunct w:val="0"/>
              <w:bidi w:val="0"/>
              <w:adjustRightInd w:val="0"/>
              <w:snapToGrid w:val="0"/>
              <w:spacing w:line="40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商务标</w:t>
            </w:r>
          </w:p>
          <w:p w14:paraId="658B9921">
            <w:pPr>
              <w:keepNext w:val="0"/>
              <w:keepLines w:val="0"/>
              <w:pageBreakBefore w:val="0"/>
              <w:kinsoku/>
              <w:wordWrap/>
              <w:overflowPunct/>
              <w:topLinePunct w:val="0"/>
              <w:bidi w:val="0"/>
              <w:adjustRightInd w:val="0"/>
              <w:snapToGrid w:val="0"/>
              <w:spacing w:line="40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（30分）</w:t>
            </w:r>
          </w:p>
        </w:tc>
        <w:tc>
          <w:tcPr>
            <w:tcW w:w="1245" w:type="dxa"/>
            <w:noWrap w:val="0"/>
            <w:tcMar>
              <w:top w:w="0" w:type="dxa"/>
              <w:left w:w="108" w:type="dxa"/>
              <w:bottom w:w="0" w:type="dxa"/>
              <w:right w:w="108" w:type="dxa"/>
            </w:tcMar>
            <w:vAlign w:val="center"/>
          </w:tcPr>
          <w:p w14:paraId="726AB468">
            <w:pPr>
              <w:keepNext w:val="0"/>
              <w:keepLines w:val="0"/>
              <w:pageBreakBefore w:val="0"/>
              <w:kinsoku/>
              <w:wordWrap/>
              <w:overflowPunct/>
              <w:topLinePunct w:val="0"/>
              <w:bidi w:val="0"/>
              <w:adjustRightInd w:val="0"/>
              <w:snapToGrid w:val="0"/>
              <w:spacing w:line="400" w:lineRule="exact"/>
              <w:jc w:val="center"/>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sz w:val="24"/>
                <w:szCs w:val="24"/>
              </w:rPr>
              <w:t>投标报价（</w:t>
            </w:r>
            <w:r>
              <w:rPr>
                <w:rFonts w:hint="eastAsia" w:asciiTheme="minorEastAsia" w:hAnsiTheme="minorEastAsia" w:eastAsiaTheme="minorEastAsia" w:cstheme="minorEastAsia"/>
                <w:sz w:val="24"/>
                <w:szCs w:val="24"/>
                <w:lang w:val="en-US" w:eastAsia="zh-CN"/>
              </w:rPr>
              <w:t>30</w:t>
            </w:r>
            <w:r>
              <w:rPr>
                <w:rFonts w:hint="eastAsia" w:asciiTheme="minorEastAsia" w:hAnsiTheme="minorEastAsia" w:eastAsiaTheme="minorEastAsia" w:cstheme="minorEastAsia"/>
                <w:sz w:val="24"/>
                <w:szCs w:val="24"/>
              </w:rPr>
              <w:t>分）</w:t>
            </w:r>
          </w:p>
        </w:tc>
        <w:tc>
          <w:tcPr>
            <w:tcW w:w="7266" w:type="dxa"/>
            <w:noWrap w:val="0"/>
            <w:tcMar>
              <w:top w:w="0" w:type="dxa"/>
              <w:left w:w="108" w:type="dxa"/>
              <w:bottom w:w="0" w:type="dxa"/>
              <w:right w:w="108" w:type="dxa"/>
            </w:tcMar>
            <w:vAlign w:val="center"/>
          </w:tcPr>
          <w:p w14:paraId="52B9C10A">
            <w:pPr>
              <w:keepNext w:val="0"/>
              <w:keepLines w:val="0"/>
              <w:pageBreakBefore w:val="0"/>
              <w:kinsoku/>
              <w:wordWrap/>
              <w:overflowPunct/>
              <w:topLinePunct w:val="0"/>
              <w:autoSpaceDE w:val="0"/>
              <w:autoSpaceDN w:val="0"/>
              <w:bidi w:val="0"/>
              <w:adjustRightInd w:val="0"/>
              <w:snapToGrid w:val="0"/>
              <w:spacing w:line="400" w:lineRule="exact"/>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r>
              <w:rPr>
                <w:rFonts w:hint="eastAsia" w:asciiTheme="minorEastAsia" w:hAnsiTheme="minorEastAsia" w:eastAsiaTheme="minorEastAsia" w:cstheme="minorEastAsia"/>
                <w:kern w:val="0"/>
                <w:sz w:val="24"/>
                <w:szCs w:val="24"/>
                <w:lang w:eastAsia="zh-CN"/>
              </w:rPr>
              <w:t>.</w:t>
            </w:r>
            <w:r>
              <w:rPr>
                <w:rFonts w:hint="eastAsia" w:asciiTheme="minorEastAsia" w:hAnsiTheme="minorEastAsia" w:eastAsiaTheme="minorEastAsia" w:cstheme="minorEastAsia"/>
                <w:kern w:val="0"/>
                <w:sz w:val="24"/>
                <w:szCs w:val="24"/>
              </w:rPr>
              <w:t>投标报价得分采用低价优先法计算，即满足招标文件要求且投标价格最低的投标报价为评标基准价，其价格分为满分。其他投标人的价格分统一按照下列公式计算：</w:t>
            </w:r>
          </w:p>
          <w:p w14:paraId="21F28EA9">
            <w:pPr>
              <w:keepNext w:val="0"/>
              <w:keepLines w:val="0"/>
              <w:pageBreakBefore w:val="0"/>
              <w:kinsoku/>
              <w:wordWrap/>
              <w:overflowPunct/>
              <w:topLinePunct w:val="0"/>
              <w:autoSpaceDE w:val="0"/>
              <w:autoSpaceDN w:val="0"/>
              <w:bidi w:val="0"/>
              <w:adjustRightInd w:val="0"/>
              <w:snapToGrid w:val="0"/>
              <w:spacing w:line="400" w:lineRule="exact"/>
              <w:jc w:val="left"/>
              <w:textAlignment w:val="auto"/>
              <w:rPr>
                <w:rFonts w:hint="eastAsia" w:asciiTheme="minorEastAsia" w:hAnsiTheme="minorEastAsia" w:eastAsiaTheme="minorEastAsia" w:cstheme="minorEastAsia"/>
                <w:b/>
                <w:bCs/>
                <w:kern w:val="0"/>
                <w:sz w:val="24"/>
                <w:szCs w:val="24"/>
              </w:rPr>
            </w:pPr>
            <w:r>
              <w:rPr>
                <w:rFonts w:hint="eastAsia" w:asciiTheme="minorEastAsia" w:hAnsiTheme="minorEastAsia" w:eastAsiaTheme="minorEastAsia" w:cstheme="minorEastAsia"/>
                <w:kern w:val="0"/>
                <w:sz w:val="24"/>
                <w:szCs w:val="24"/>
              </w:rPr>
              <w:t>　　</w:t>
            </w:r>
            <w:r>
              <w:rPr>
                <w:rFonts w:hint="eastAsia" w:asciiTheme="minorEastAsia" w:hAnsiTheme="minorEastAsia" w:eastAsiaTheme="minorEastAsia" w:cstheme="minorEastAsia"/>
                <w:b/>
                <w:bCs/>
                <w:kern w:val="0"/>
                <w:sz w:val="24"/>
                <w:szCs w:val="24"/>
              </w:rPr>
              <w:t>投标报价得分=（评标基准价/投标报价）×30</w:t>
            </w:r>
          </w:p>
          <w:p w14:paraId="55D76956">
            <w:pPr>
              <w:keepNext w:val="0"/>
              <w:keepLines w:val="0"/>
              <w:pageBreakBefore w:val="0"/>
              <w:widowControl/>
              <w:numPr>
                <w:ilvl w:val="0"/>
                <w:numId w:val="0"/>
              </w:numPr>
              <w:kinsoku/>
              <w:wordWrap/>
              <w:overflowPunct/>
              <w:topLinePunct w:val="0"/>
              <w:bidi w:val="0"/>
              <w:adjustRightInd w:val="0"/>
              <w:snapToGrid w:val="0"/>
              <w:spacing w:line="400" w:lineRule="exact"/>
              <w:textAlignment w:val="auto"/>
              <w:rPr>
                <w:rFonts w:hint="eastAsia" w:asciiTheme="minorEastAsia" w:hAnsiTheme="minorEastAsia" w:eastAsiaTheme="minorEastAsia" w:cstheme="minorEastAsia"/>
                <w:sz w:val="24"/>
                <w:szCs w:val="24"/>
                <w:lang w:bidi="ar"/>
              </w:rPr>
            </w:pPr>
            <w:r>
              <w:rPr>
                <w:rFonts w:hint="eastAsia" w:asciiTheme="minorEastAsia" w:hAnsiTheme="minorEastAsia" w:eastAsiaTheme="minorEastAsia" w:cstheme="minorEastAsia"/>
                <w:sz w:val="24"/>
                <w:szCs w:val="24"/>
                <w:lang w:val="en-US" w:eastAsia="zh-CN" w:bidi="ar"/>
              </w:rPr>
              <w:t>2.</w:t>
            </w:r>
            <w:r>
              <w:rPr>
                <w:rFonts w:hint="eastAsia" w:asciiTheme="minorEastAsia" w:hAnsiTheme="minorEastAsia" w:eastAsiaTheme="minorEastAsia" w:cstheme="minorEastAsia"/>
                <w:sz w:val="24"/>
                <w:szCs w:val="24"/>
                <w:lang w:bidi="ar"/>
              </w:rPr>
              <w:t>评审原则：</w:t>
            </w:r>
          </w:p>
          <w:p w14:paraId="6DDBDEF4">
            <w:pPr>
              <w:keepNext w:val="0"/>
              <w:keepLines w:val="0"/>
              <w:pageBreakBefore w:val="0"/>
              <w:widowControl/>
              <w:kinsoku/>
              <w:wordWrap/>
              <w:overflowPunct/>
              <w:topLinePunct w:val="0"/>
              <w:bidi w:val="0"/>
              <w:adjustRightInd w:val="0"/>
              <w:snapToGrid w:val="0"/>
              <w:spacing w:line="400" w:lineRule="exact"/>
              <w:ind w:firstLine="240" w:firstLineChars="100"/>
              <w:textAlignment w:val="auto"/>
              <w:rPr>
                <w:rFonts w:hint="eastAsia" w:asciiTheme="minorEastAsia" w:hAnsiTheme="minorEastAsia" w:eastAsiaTheme="minorEastAsia" w:cstheme="minorEastAsia"/>
                <w:sz w:val="24"/>
                <w:szCs w:val="24"/>
                <w:lang w:eastAsia="zh-CN" w:bidi="ar"/>
              </w:rPr>
            </w:pPr>
            <w:r>
              <w:rPr>
                <w:rFonts w:hint="eastAsia" w:asciiTheme="minorEastAsia" w:hAnsiTheme="minorEastAsia" w:eastAsiaTheme="minorEastAsia" w:cstheme="minorEastAsia"/>
                <w:sz w:val="24"/>
                <w:szCs w:val="24"/>
                <w:lang w:bidi="ar"/>
              </w:rPr>
              <w:t>（1）评标委员会认为投标人的报价出现本章总则中异常低价情形之一</w:t>
            </w:r>
            <w:r>
              <w:rPr>
                <w:rFonts w:hint="eastAsia" w:asciiTheme="minorEastAsia" w:hAnsiTheme="minorEastAsia" w:eastAsiaTheme="minorEastAsia" w:cstheme="minorEastAsia"/>
                <w:sz w:val="24"/>
                <w:szCs w:val="24"/>
                <w:lang w:val="en-US" w:eastAsia="zh-CN" w:bidi="ar"/>
              </w:rPr>
              <w:t>的，</w:t>
            </w:r>
            <w:r>
              <w:rPr>
                <w:rFonts w:hint="eastAsia" w:asciiTheme="minorEastAsia" w:hAnsiTheme="minorEastAsia" w:eastAsiaTheme="minorEastAsia" w:cstheme="minorEastAsia"/>
                <w:sz w:val="24"/>
                <w:szCs w:val="24"/>
                <w:lang w:bidi="ar"/>
              </w:rPr>
              <w:t>有可能影响</w:t>
            </w:r>
            <w:r>
              <w:rPr>
                <w:rFonts w:hint="eastAsia" w:asciiTheme="minorEastAsia" w:hAnsiTheme="minorEastAsia" w:eastAsiaTheme="minorEastAsia" w:cstheme="minorEastAsia"/>
                <w:sz w:val="24"/>
                <w:szCs w:val="24"/>
                <w:lang w:val="en-US" w:eastAsia="zh-CN" w:bidi="ar"/>
              </w:rPr>
              <w:t>产品</w:t>
            </w:r>
            <w:r>
              <w:rPr>
                <w:rFonts w:hint="eastAsia" w:asciiTheme="minorEastAsia" w:hAnsiTheme="minorEastAsia" w:eastAsiaTheme="minorEastAsia" w:cstheme="minorEastAsia"/>
                <w:sz w:val="24"/>
                <w:szCs w:val="24"/>
                <w:lang w:bidi="ar"/>
              </w:rPr>
              <w:t>质量或者不能诚信履约的（结合</w:t>
            </w:r>
            <w:r>
              <w:rPr>
                <w:rFonts w:hint="eastAsia" w:asciiTheme="minorEastAsia" w:hAnsiTheme="minorEastAsia" w:eastAsiaTheme="minorEastAsia" w:cstheme="minorEastAsia"/>
                <w:sz w:val="24"/>
                <w:szCs w:val="24"/>
                <w:lang w:val="en-US" w:eastAsia="zh-CN" w:bidi="ar"/>
              </w:rPr>
              <w:t>投标人</w:t>
            </w:r>
            <w:r>
              <w:rPr>
                <w:rFonts w:hint="eastAsia" w:asciiTheme="minorEastAsia" w:hAnsiTheme="minorEastAsia" w:eastAsiaTheme="minorEastAsia" w:cstheme="minorEastAsia"/>
                <w:sz w:val="24"/>
                <w:szCs w:val="24"/>
                <w:lang w:bidi="ar"/>
              </w:rPr>
              <w:t>提供的产品响应采购需求的程度判断），评标委员会</w:t>
            </w:r>
            <w:r>
              <w:rPr>
                <w:rFonts w:hint="eastAsia" w:asciiTheme="minorEastAsia" w:hAnsiTheme="minorEastAsia" w:eastAsiaTheme="minorEastAsia" w:cstheme="minorEastAsia"/>
                <w:b w:val="0"/>
                <w:bCs w:val="0"/>
                <w:sz w:val="24"/>
                <w:szCs w:val="24"/>
                <w:lang w:bidi="ar"/>
              </w:rPr>
              <w:t>应当启动异常低价投标审查程序</w:t>
            </w:r>
            <w:r>
              <w:rPr>
                <w:rFonts w:hint="eastAsia" w:asciiTheme="minorEastAsia" w:hAnsiTheme="minorEastAsia" w:eastAsiaTheme="minorEastAsia" w:cstheme="minorEastAsia"/>
                <w:b w:val="0"/>
                <w:bCs w:val="0"/>
                <w:sz w:val="24"/>
                <w:szCs w:val="24"/>
                <w:lang w:eastAsia="zh-CN" w:bidi="ar"/>
              </w:rPr>
              <w:t>。</w:t>
            </w:r>
          </w:p>
          <w:p w14:paraId="094BACA4">
            <w:pPr>
              <w:keepNext w:val="0"/>
              <w:keepLines w:val="0"/>
              <w:pageBreakBefore w:val="0"/>
              <w:widowControl/>
              <w:kinsoku/>
              <w:wordWrap/>
              <w:overflowPunct/>
              <w:topLinePunct w:val="0"/>
              <w:bidi w:val="0"/>
              <w:adjustRightInd w:val="0"/>
              <w:snapToGrid w:val="0"/>
              <w:spacing w:line="400" w:lineRule="exact"/>
              <w:ind w:firstLine="240" w:firstLineChars="100"/>
              <w:textAlignment w:val="auto"/>
              <w:rPr>
                <w:rFonts w:hint="eastAsia" w:asciiTheme="minorEastAsia" w:hAnsiTheme="minorEastAsia" w:eastAsiaTheme="minorEastAsia" w:cstheme="minorEastAsia"/>
                <w:sz w:val="24"/>
                <w:szCs w:val="24"/>
                <w:lang w:bidi="ar"/>
              </w:rPr>
            </w:pPr>
            <w:r>
              <w:rPr>
                <w:rFonts w:hint="eastAsia" w:asciiTheme="minorEastAsia" w:hAnsiTheme="minorEastAsia" w:eastAsiaTheme="minorEastAsia" w:cstheme="minorEastAsia"/>
                <w:sz w:val="24"/>
                <w:szCs w:val="24"/>
                <w:lang w:val="en-US" w:eastAsia="zh-CN" w:bidi="ar"/>
              </w:rPr>
              <w:t>评标委员会</w:t>
            </w:r>
            <w:r>
              <w:rPr>
                <w:rFonts w:hint="eastAsia" w:asciiTheme="minorEastAsia" w:hAnsiTheme="minorEastAsia" w:eastAsiaTheme="minorEastAsia" w:cstheme="minorEastAsia"/>
                <w:sz w:val="24"/>
                <w:szCs w:val="24"/>
                <w:lang w:bidi="ar"/>
              </w:rPr>
              <w:t>将向该</w:t>
            </w:r>
            <w:r>
              <w:rPr>
                <w:rFonts w:hint="eastAsia" w:asciiTheme="minorEastAsia" w:hAnsiTheme="minorEastAsia" w:eastAsiaTheme="minorEastAsia" w:cstheme="minorEastAsia"/>
                <w:sz w:val="24"/>
                <w:szCs w:val="24"/>
                <w:lang w:val="en-US" w:eastAsia="zh-CN" w:bidi="ar"/>
              </w:rPr>
              <w:t>投标人</w:t>
            </w:r>
            <w:r>
              <w:rPr>
                <w:rFonts w:hint="eastAsia" w:asciiTheme="minorEastAsia" w:hAnsiTheme="minorEastAsia" w:eastAsiaTheme="minorEastAsia" w:cstheme="minorEastAsia"/>
                <w:sz w:val="24"/>
                <w:szCs w:val="24"/>
                <w:lang w:bidi="ar"/>
              </w:rPr>
              <w:t>发出书面通知，要求该投标人（接到通知后 在规定时间内）提供书面说明，并提交相关证明材料（相关证明材料说明应当按照国家财务会计制度的规定要求，逐项就</w:t>
            </w:r>
            <w:r>
              <w:rPr>
                <w:rFonts w:hint="eastAsia" w:asciiTheme="minorEastAsia" w:hAnsiTheme="minorEastAsia" w:eastAsiaTheme="minorEastAsia" w:cstheme="minorEastAsia"/>
                <w:sz w:val="24"/>
                <w:szCs w:val="24"/>
                <w:lang w:val="en-US" w:eastAsia="zh-CN" w:bidi="ar"/>
              </w:rPr>
              <w:t>投标人</w:t>
            </w:r>
            <w:r>
              <w:rPr>
                <w:rFonts w:hint="eastAsia" w:asciiTheme="minorEastAsia" w:hAnsiTheme="minorEastAsia" w:eastAsiaTheme="minorEastAsia" w:cstheme="minorEastAsia"/>
                <w:sz w:val="24"/>
                <w:szCs w:val="24"/>
                <w:lang w:bidi="ar"/>
              </w:rPr>
              <w:t>提供的货物的主营业务成本、利润、税金及附加、销售费用、管理费用、财务费用、人工费用等成本构成事项进行陈述，并列出成本的具体计算过程；经营范围内的货物需提供制造商盖章的详细报价证明）；投标人不能证明其报价合理性的，评标委员会</w:t>
            </w:r>
            <w:r>
              <w:rPr>
                <w:rFonts w:hint="eastAsia" w:asciiTheme="minorEastAsia" w:hAnsiTheme="minorEastAsia" w:eastAsiaTheme="minorEastAsia" w:cstheme="minorEastAsia"/>
                <w:sz w:val="24"/>
                <w:szCs w:val="24"/>
                <w:lang w:val="en-US" w:eastAsia="zh-CN" w:bidi="ar"/>
              </w:rPr>
              <w:t>应当</w:t>
            </w:r>
            <w:r>
              <w:rPr>
                <w:rFonts w:hint="eastAsia" w:asciiTheme="minorEastAsia" w:hAnsiTheme="minorEastAsia" w:eastAsiaTheme="minorEastAsia" w:cstheme="minorEastAsia"/>
                <w:sz w:val="24"/>
                <w:szCs w:val="24"/>
                <w:lang w:bidi="ar"/>
              </w:rPr>
              <w:t>将其作为无效</w:t>
            </w:r>
            <w:r>
              <w:rPr>
                <w:rFonts w:hint="eastAsia" w:asciiTheme="minorEastAsia" w:hAnsiTheme="minorEastAsia" w:eastAsiaTheme="minorEastAsia" w:cstheme="minorEastAsia"/>
                <w:sz w:val="24"/>
                <w:szCs w:val="24"/>
                <w:lang w:val="en-US" w:eastAsia="zh-CN" w:bidi="ar"/>
              </w:rPr>
              <w:t>投标</w:t>
            </w:r>
            <w:r>
              <w:rPr>
                <w:rFonts w:hint="eastAsia" w:asciiTheme="minorEastAsia" w:hAnsiTheme="minorEastAsia" w:eastAsiaTheme="minorEastAsia" w:cstheme="minorEastAsia"/>
                <w:sz w:val="24"/>
                <w:szCs w:val="24"/>
                <w:lang w:bidi="ar"/>
              </w:rPr>
              <w:t>处理。</w:t>
            </w:r>
          </w:p>
          <w:p w14:paraId="08BAF78E">
            <w:pPr>
              <w:keepNext w:val="0"/>
              <w:keepLines w:val="0"/>
              <w:pageBreakBefore w:val="0"/>
              <w:widowControl/>
              <w:numPr>
                <w:ilvl w:val="0"/>
                <w:numId w:val="2"/>
              </w:numPr>
              <w:kinsoku/>
              <w:wordWrap/>
              <w:overflowPunct/>
              <w:topLinePunct w:val="0"/>
              <w:bidi w:val="0"/>
              <w:adjustRightInd w:val="0"/>
              <w:snapToGrid w:val="0"/>
              <w:spacing w:line="400" w:lineRule="exact"/>
              <w:ind w:firstLine="240" w:firstLineChars="100"/>
              <w:textAlignment w:val="auto"/>
              <w:rPr>
                <w:rFonts w:hint="eastAsia" w:asciiTheme="minorEastAsia" w:hAnsiTheme="minorEastAsia" w:eastAsiaTheme="minorEastAsia" w:cstheme="minorEastAsia"/>
                <w:sz w:val="24"/>
                <w:szCs w:val="24"/>
                <w:lang w:bidi="ar"/>
              </w:rPr>
            </w:pPr>
            <w:r>
              <w:rPr>
                <w:rFonts w:hint="eastAsia" w:asciiTheme="minorEastAsia" w:hAnsiTheme="minorEastAsia" w:eastAsiaTheme="minorEastAsia" w:cstheme="minorEastAsia"/>
                <w:sz w:val="24"/>
                <w:szCs w:val="24"/>
                <w:lang w:bidi="ar"/>
              </w:rPr>
              <w:t>小微企业价格扣除标准：专门面向中小企业采购</w:t>
            </w:r>
            <w:r>
              <w:rPr>
                <w:rFonts w:hint="eastAsia" w:asciiTheme="minorEastAsia" w:hAnsiTheme="minorEastAsia" w:eastAsiaTheme="minorEastAsia" w:cstheme="minorEastAsia"/>
                <w:sz w:val="24"/>
                <w:szCs w:val="24"/>
                <w:lang w:eastAsia="zh-CN" w:bidi="ar"/>
              </w:rPr>
              <w:t>，</w:t>
            </w:r>
            <w:r>
              <w:rPr>
                <w:rFonts w:hint="eastAsia" w:asciiTheme="minorEastAsia" w:hAnsiTheme="minorEastAsia" w:eastAsiaTheme="minorEastAsia" w:cstheme="minorEastAsia"/>
                <w:sz w:val="24"/>
                <w:szCs w:val="24"/>
                <w:lang w:val="en-US" w:eastAsia="zh-CN" w:bidi="ar"/>
              </w:rPr>
              <w:t>故不再进行价格扣除</w:t>
            </w:r>
          </w:p>
          <w:p w14:paraId="6127871D">
            <w:pPr>
              <w:keepNext w:val="0"/>
              <w:keepLines w:val="0"/>
              <w:pageBreakBefore w:val="0"/>
              <w:widowControl/>
              <w:kinsoku/>
              <w:wordWrap/>
              <w:overflowPunct/>
              <w:topLinePunct w:val="0"/>
              <w:bidi w:val="0"/>
              <w:adjustRightInd w:val="0"/>
              <w:snapToGrid w:val="0"/>
              <w:spacing w:line="400" w:lineRule="exact"/>
              <w:ind w:firstLine="240" w:firstLineChars="100"/>
              <w:textAlignment w:val="auto"/>
              <w:rPr>
                <w:rFonts w:hint="eastAsia" w:asciiTheme="minorEastAsia" w:hAnsiTheme="minorEastAsia" w:eastAsiaTheme="minorEastAsia" w:cstheme="minorEastAsia"/>
                <w:sz w:val="24"/>
                <w:szCs w:val="24"/>
                <w:lang w:bidi="ar"/>
              </w:rPr>
            </w:pPr>
            <w:r>
              <w:rPr>
                <w:rFonts w:hint="eastAsia" w:asciiTheme="minorEastAsia" w:hAnsiTheme="minorEastAsia" w:eastAsiaTheme="minorEastAsia" w:cstheme="minorEastAsia"/>
                <w:sz w:val="24"/>
                <w:szCs w:val="24"/>
                <w:lang w:eastAsia="zh-CN" w:bidi="ar"/>
              </w:rPr>
              <w:t>（</w:t>
            </w:r>
            <w:r>
              <w:rPr>
                <w:rFonts w:hint="eastAsia" w:asciiTheme="minorEastAsia" w:hAnsiTheme="minorEastAsia" w:eastAsiaTheme="minorEastAsia" w:cstheme="minorEastAsia"/>
                <w:sz w:val="24"/>
                <w:szCs w:val="24"/>
                <w:lang w:val="en-US" w:eastAsia="zh-CN" w:bidi="ar"/>
              </w:rPr>
              <w:t>3</w:t>
            </w:r>
            <w:r>
              <w:rPr>
                <w:rFonts w:hint="eastAsia" w:asciiTheme="minorEastAsia" w:hAnsiTheme="minorEastAsia" w:eastAsiaTheme="minorEastAsia" w:cstheme="minorEastAsia"/>
                <w:sz w:val="24"/>
                <w:szCs w:val="24"/>
                <w:lang w:eastAsia="zh-CN" w:bidi="ar"/>
              </w:rPr>
              <w:t>）</w:t>
            </w:r>
            <w:r>
              <w:rPr>
                <w:rFonts w:hint="eastAsia" w:asciiTheme="minorEastAsia" w:hAnsiTheme="minorEastAsia" w:eastAsiaTheme="minorEastAsia" w:cstheme="minorEastAsia"/>
                <w:sz w:val="24"/>
                <w:szCs w:val="24"/>
                <w:lang w:bidi="ar"/>
              </w:rPr>
              <w:t>本国产品价格扣除标准：</w:t>
            </w:r>
          </w:p>
          <w:p w14:paraId="603BD9B6">
            <w:pPr>
              <w:keepNext w:val="0"/>
              <w:keepLines w:val="0"/>
              <w:pageBreakBefore w:val="0"/>
              <w:widowControl/>
              <w:kinsoku/>
              <w:wordWrap/>
              <w:overflowPunct/>
              <w:topLinePunct w:val="0"/>
              <w:bidi w:val="0"/>
              <w:adjustRightInd w:val="0"/>
              <w:snapToGrid w:val="0"/>
              <w:spacing w:line="400" w:lineRule="exact"/>
              <w:ind w:firstLine="240" w:firstLineChars="100"/>
              <w:textAlignment w:val="auto"/>
              <w:rPr>
                <w:rFonts w:hint="eastAsia" w:asciiTheme="minorEastAsia" w:hAnsiTheme="minorEastAsia" w:eastAsiaTheme="minorEastAsia" w:cstheme="minorEastAsia"/>
                <w:sz w:val="24"/>
                <w:szCs w:val="24"/>
                <w:lang w:bidi="ar"/>
              </w:rPr>
            </w:pPr>
            <w:r>
              <w:rPr>
                <w:rFonts w:hint="eastAsia" w:asciiTheme="minorEastAsia" w:hAnsiTheme="minorEastAsia" w:eastAsiaTheme="minorEastAsia" w:cstheme="minorEastAsia"/>
                <w:sz w:val="24"/>
                <w:szCs w:val="24"/>
                <w:lang w:bidi="ar"/>
              </w:rPr>
              <w:t>①政府采购活动中既有本国产品又有非本国产品参与竞争的，依法对本国产品给予价格评审优惠，对本国产品的报价给予20%的价格扣除，用扣除后的价格参与评审；对于仅有本国产品参与竞争的政府采购项目，本国产品可不享受价格扣除评审优惠。</w:t>
            </w:r>
          </w:p>
          <w:p w14:paraId="4C995541">
            <w:pPr>
              <w:keepNext w:val="0"/>
              <w:keepLines w:val="0"/>
              <w:pageBreakBefore w:val="0"/>
              <w:widowControl/>
              <w:kinsoku/>
              <w:wordWrap/>
              <w:overflowPunct/>
              <w:topLinePunct w:val="0"/>
              <w:bidi w:val="0"/>
              <w:adjustRightInd w:val="0"/>
              <w:snapToGrid w:val="0"/>
              <w:spacing w:line="400" w:lineRule="exact"/>
              <w:ind w:firstLine="240" w:firstLineChars="100"/>
              <w:textAlignment w:val="auto"/>
              <w:rPr>
                <w:rFonts w:hint="eastAsia" w:asciiTheme="minorEastAsia" w:hAnsiTheme="minorEastAsia" w:eastAsiaTheme="minorEastAsia" w:cstheme="minorEastAsia"/>
                <w:sz w:val="24"/>
                <w:szCs w:val="24"/>
                <w:lang w:bidi="ar"/>
              </w:rPr>
            </w:pPr>
            <w:r>
              <w:rPr>
                <w:rFonts w:hint="eastAsia" w:asciiTheme="minorEastAsia" w:hAnsiTheme="minorEastAsia" w:eastAsiaTheme="minorEastAsia" w:cstheme="minorEastAsia"/>
                <w:sz w:val="24"/>
                <w:szCs w:val="24"/>
                <w:lang w:bidi="ar"/>
              </w:rPr>
              <w:t>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17717132">
            <w:pPr>
              <w:keepNext w:val="0"/>
              <w:keepLines w:val="0"/>
              <w:pageBreakBefore w:val="0"/>
              <w:widowControl/>
              <w:kinsoku/>
              <w:wordWrap/>
              <w:overflowPunct/>
              <w:topLinePunct w:val="0"/>
              <w:bidi w:val="0"/>
              <w:adjustRightInd w:val="0"/>
              <w:snapToGrid w:val="0"/>
              <w:spacing w:line="400" w:lineRule="exact"/>
              <w:ind w:firstLine="240" w:firstLineChars="1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bidi="ar"/>
              </w:rPr>
              <w:t>③供应商属于上述第①种情况的应提供《关于符合本国产品标准的声明函》，其内容和要求详见采购文件投标文件格式中相应内容和要求，否则不予享受评审价格扣除；供应商属于上述第②种情况的应提供</w:t>
            </w:r>
            <w:r>
              <w:rPr>
                <w:rFonts w:hint="eastAsia" w:asciiTheme="minorEastAsia" w:hAnsiTheme="minorEastAsia" w:eastAsiaTheme="minorEastAsia" w:cstheme="minorEastAsia"/>
                <w:color w:val="auto"/>
                <w:sz w:val="24"/>
                <w:szCs w:val="24"/>
                <w:lang w:bidi="ar"/>
              </w:rPr>
              <w:t>《关于符合本国产品标准的声明函》和《关于产品成本的声明函》，其内容和</w:t>
            </w:r>
            <w:r>
              <w:rPr>
                <w:rFonts w:hint="eastAsia" w:asciiTheme="minorEastAsia" w:hAnsiTheme="minorEastAsia" w:eastAsiaTheme="minorEastAsia" w:cstheme="minorEastAsia"/>
                <w:sz w:val="24"/>
                <w:szCs w:val="24"/>
                <w:lang w:bidi="ar"/>
              </w:rPr>
              <w:t>要求详见采购文件投标文件格式中相应内容和要求，否则不予享受评审价格扣除</w:t>
            </w:r>
            <w:r>
              <w:rPr>
                <w:rFonts w:hint="eastAsia" w:asciiTheme="minorEastAsia" w:hAnsiTheme="minorEastAsia" w:eastAsiaTheme="minorEastAsia" w:cstheme="minorEastAsia"/>
                <w:sz w:val="24"/>
                <w:szCs w:val="24"/>
                <w:lang w:eastAsia="zh-CN" w:bidi="ar"/>
              </w:rPr>
              <w:t>。</w:t>
            </w:r>
          </w:p>
        </w:tc>
      </w:tr>
      <w:tr w14:paraId="7A1989D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 w:type="dxa"/>
            <w:bottom w:w="0" w:type="dxa"/>
            <w:right w:w="10" w:type="dxa"/>
          </w:tblCellMar>
        </w:tblPrEx>
        <w:trPr>
          <w:trHeight w:val="928" w:hRule="atLeast"/>
        </w:trPr>
        <w:tc>
          <w:tcPr>
            <w:tcW w:w="483" w:type="dxa"/>
            <w:vMerge w:val="restart"/>
            <w:noWrap w:val="0"/>
            <w:tcMar>
              <w:top w:w="0" w:type="dxa"/>
              <w:left w:w="108" w:type="dxa"/>
              <w:bottom w:w="0" w:type="dxa"/>
              <w:right w:w="108" w:type="dxa"/>
            </w:tcMar>
            <w:vAlign w:val="center"/>
          </w:tcPr>
          <w:p w14:paraId="5D3DA123">
            <w:pPr>
              <w:keepNext w:val="0"/>
              <w:keepLines w:val="0"/>
              <w:pageBreakBefore w:val="0"/>
              <w:widowControl/>
              <w:kinsoku/>
              <w:wordWrap/>
              <w:overflowPunct/>
              <w:topLinePunct w:val="0"/>
              <w:bidi w:val="0"/>
              <w:adjustRightInd w:val="0"/>
              <w:snapToGrid w:val="0"/>
              <w:spacing w:line="400" w:lineRule="exact"/>
              <w:jc w:val="center"/>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2</w:t>
            </w:r>
          </w:p>
        </w:tc>
        <w:tc>
          <w:tcPr>
            <w:tcW w:w="945" w:type="dxa"/>
            <w:vMerge w:val="restart"/>
            <w:noWrap w:val="0"/>
            <w:tcMar>
              <w:top w:w="0" w:type="dxa"/>
              <w:left w:w="108" w:type="dxa"/>
              <w:bottom w:w="0" w:type="dxa"/>
              <w:right w:w="108" w:type="dxa"/>
            </w:tcMar>
            <w:vAlign w:val="center"/>
          </w:tcPr>
          <w:p w14:paraId="2965B522">
            <w:pPr>
              <w:keepNext w:val="0"/>
              <w:keepLines w:val="0"/>
              <w:pageBreakBefore w:val="0"/>
              <w:kinsoku/>
              <w:wordWrap/>
              <w:overflowPunct/>
              <w:topLinePunct w:val="0"/>
              <w:bidi w:val="0"/>
              <w:adjustRightInd w:val="0"/>
              <w:snapToGrid w:val="0"/>
              <w:spacing w:line="400" w:lineRule="exact"/>
              <w:ind w:left="-166" w:right="-30" w:firstLine="58"/>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技术标</w:t>
            </w:r>
          </w:p>
          <w:p w14:paraId="45B4918B">
            <w:pPr>
              <w:keepNext w:val="0"/>
              <w:keepLines w:val="0"/>
              <w:pageBreakBefore w:val="0"/>
              <w:kinsoku/>
              <w:wordWrap/>
              <w:overflowPunct/>
              <w:topLinePunct w:val="0"/>
              <w:bidi w:val="0"/>
              <w:adjustRightInd w:val="0"/>
              <w:snapToGrid w:val="0"/>
              <w:spacing w:line="400" w:lineRule="exact"/>
              <w:ind w:left="-166" w:right="-30" w:firstLine="58"/>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51</w:t>
            </w:r>
            <w:r>
              <w:rPr>
                <w:rFonts w:hint="eastAsia" w:asciiTheme="minorEastAsia" w:hAnsiTheme="minorEastAsia" w:eastAsiaTheme="minorEastAsia" w:cstheme="minorEastAsia"/>
                <w:sz w:val="24"/>
                <w:szCs w:val="24"/>
              </w:rPr>
              <w:t>分）</w:t>
            </w:r>
          </w:p>
        </w:tc>
        <w:tc>
          <w:tcPr>
            <w:tcW w:w="1245" w:type="dxa"/>
            <w:vMerge w:val="restart"/>
            <w:noWrap w:val="0"/>
            <w:tcMar>
              <w:top w:w="0" w:type="dxa"/>
              <w:left w:w="108" w:type="dxa"/>
              <w:bottom w:w="0" w:type="dxa"/>
              <w:right w:w="108" w:type="dxa"/>
            </w:tcMar>
            <w:vAlign w:val="center"/>
          </w:tcPr>
          <w:p w14:paraId="37C3FDED">
            <w:pPr>
              <w:keepNext w:val="0"/>
              <w:keepLines w:val="0"/>
              <w:pageBreakBefore w:val="0"/>
              <w:kinsoku/>
              <w:wordWrap/>
              <w:overflowPunct/>
              <w:topLinePunct w:val="0"/>
              <w:bidi w:val="0"/>
              <w:adjustRightInd w:val="0"/>
              <w:snapToGrid w:val="0"/>
              <w:spacing w:line="400" w:lineRule="exact"/>
              <w:jc w:val="center"/>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技术</w:t>
            </w:r>
            <w:r>
              <w:rPr>
                <w:rFonts w:hint="eastAsia" w:asciiTheme="minorEastAsia" w:hAnsiTheme="minorEastAsia" w:eastAsiaTheme="minorEastAsia" w:cstheme="minorEastAsia"/>
                <w:sz w:val="24"/>
                <w:szCs w:val="24"/>
                <w:lang w:val="en-US" w:eastAsia="zh-CN"/>
              </w:rPr>
              <w:t>要求</w:t>
            </w:r>
          </w:p>
          <w:p w14:paraId="7D674A84">
            <w:pPr>
              <w:keepNext w:val="0"/>
              <w:keepLines w:val="0"/>
              <w:pageBreakBefore w:val="0"/>
              <w:kinsoku/>
              <w:wordWrap/>
              <w:overflowPunct/>
              <w:topLinePunct w:val="0"/>
              <w:bidi w:val="0"/>
              <w:adjustRightInd w:val="0"/>
              <w:snapToGrid w:val="0"/>
              <w:spacing w:line="40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30</w:t>
            </w:r>
            <w:r>
              <w:rPr>
                <w:rFonts w:hint="eastAsia" w:asciiTheme="minorEastAsia" w:hAnsiTheme="minorEastAsia" w:eastAsiaTheme="minorEastAsia" w:cstheme="minorEastAsia"/>
                <w:sz w:val="24"/>
                <w:szCs w:val="24"/>
              </w:rPr>
              <w:t>分）</w:t>
            </w:r>
          </w:p>
        </w:tc>
        <w:tc>
          <w:tcPr>
            <w:tcW w:w="7266" w:type="dxa"/>
            <w:noWrap w:val="0"/>
            <w:tcMar>
              <w:top w:w="0" w:type="dxa"/>
              <w:left w:w="108" w:type="dxa"/>
              <w:bottom w:w="0" w:type="dxa"/>
              <w:right w:w="108" w:type="dxa"/>
            </w:tcMar>
            <w:vAlign w:val="center"/>
          </w:tcPr>
          <w:p w14:paraId="5B953247">
            <w:pPr>
              <w:keepNext w:val="0"/>
              <w:keepLines w:val="0"/>
              <w:pageBreakBefore w:val="0"/>
              <w:kinsoku/>
              <w:wordWrap/>
              <w:overflowPunct/>
              <w:topLinePunct w:val="0"/>
              <w:bidi w:val="0"/>
              <w:adjustRightInd w:val="0"/>
              <w:snapToGrid w:val="0"/>
              <w:spacing w:line="400" w:lineRule="exact"/>
              <w:ind w:firstLine="242" w:firstLineChars="100"/>
              <w:textAlignment w:val="auto"/>
              <w:rPr>
                <w:rFonts w:hint="eastAsia" w:asciiTheme="minorEastAsia" w:hAnsiTheme="minorEastAsia" w:eastAsiaTheme="minorEastAsia" w:cstheme="minorEastAsia"/>
                <w:color w:val="auto"/>
                <w:spacing w:val="1"/>
                <w:sz w:val="24"/>
                <w:szCs w:val="24"/>
                <w:highlight w:val="none"/>
              </w:rPr>
            </w:pPr>
            <w:r>
              <w:rPr>
                <w:rFonts w:hint="eastAsia" w:asciiTheme="minorEastAsia" w:hAnsiTheme="minorEastAsia" w:eastAsiaTheme="minorEastAsia" w:cstheme="minorEastAsia"/>
                <w:spacing w:val="1"/>
                <w:sz w:val="24"/>
                <w:szCs w:val="24"/>
              </w:rPr>
              <w:t>评标委员会根据投标文件对招标文件的响应情况，对照判断所投产品是否满足招标文件的要求：</w:t>
            </w:r>
          </w:p>
        </w:tc>
      </w:tr>
      <w:tr w14:paraId="5208E889">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 w:type="dxa"/>
            <w:bottom w:w="0" w:type="dxa"/>
            <w:right w:w="10" w:type="dxa"/>
          </w:tblCellMar>
        </w:tblPrEx>
        <w:trPr>
          <w:trHeight w:val="90" w:hRule="atLeast"/>
        </w:trPr>
        <w:tc>
          <w:tcPr>
            <w:tcW w:w="483" w:type="dxa"/>
            <w:vMerge w:val="continue"/>
            <w:noWrap w:val="0"/>
            <w:tcMar>
              <w:top w:w="0" w:type="dxa"/>
              <w:left w:w="108" w:type="dxa"/>
              <w:bottom w:w="0" w:type="dxa"/>
              <w:right w:w="108" w:type="dxa"/>
            </w:tcMar>
            <w:vAlign w:val="center"/>
          </w:tcPr>
          <w:p w14:paraId="40E084AD">
            <w:pPr>
              <w:keepNext w:val="0"/>
              <w:keepLines w:val="0"/>
              <w:pageBreakBefore w:val="0"/>
              <w:kinsoku/>
              <w:wordWrap/>
              <w:overflowPunct/>
              <w:topLinePunct w:val="0"/>
              <w:bidi w:val="0"/>
              <w:adjustRightInd w:val="0"/>
              <w:snapToGrid w:val="0"/>
              <w:spacing w:line="400" w:lineRule="exact"/>
              <w:ind w:firstLine="240" w:firstLineChars="100"/>
              <w:textAlignment w:val="auto"/>
              <w:rPr>
                <w:rFonts w:hint="eastAsia" w:asciiTheme="minorEastAsia" w:hAnsiTheme="minorEastAsia" w:eastAsiaTheme="minorEastAsia" w:cstheme="minorEastAsia"/>
                <w:sz w:val="24"/>
                <w:szCs w:val="24"/>
              </w:rPr>
            </w:pPr>
          </w:p>
        </w:tc>
        <w:tc>
          <w:tcPr>
            <w:tcW w:w="945" w:type="dxa"/>
            <w:vMerge w:val="continue"/>
            <w:noWrap w:val="0"/>
            <w:tcMar>
              <w:top w:w="0" w:type="dxa"/>
              <w:left w:w="108" w:type="dxa"/>
              <w:bottom w:w="0" w:type="dxa"/>
              <w:right w:w="108" w:type="dxa"/>
            </w:tcMar>
            <w:vAlign w:val="center"/>
          </w:tcPr>
          <w:p w14:paraId="227ED1BE">
            <w:pPr>
              <w:keepNext w:val="0"/>
              <w:keepLines w:val="0"/>
              <w:pageBreakBefore w:val="0"/>
              <w:kinsoku/>
              <w:wordWrap/>
              <w:overflowPunct/>
              <w:topLinePunct w:val="0"/>
              <w:bidi w:val="0"/>
              <w:adjustRightInd w:val="0"/>
              <w:snapToGrid w:val="0"/>
              <w:spacing w:line="400" w:lineRule="exact"/>
              <w:ind w:firstLine="240" w:firstLineChars="100"/>
              <w:textAlignment w:val="auto"/>
              <w:rPr>
                <w:rFonts w:hint="eastAsia" w:asciiTheme="minorEastAsia" w:hAnsiTheme="minorEastAsia" w:eastAsiaTheme="minorEastAsia" w:cstheme="minorEastAsia"/>
                <w:sz w:val="24"/>
                <w:szCs w:val="24"/>
              </w:rPr>
            </w:pPr>
          </w:p>
        </w:tc>
        <w:tc>
          <w:tcPr>
            <w:tcW w:w="1245" w:type="dxa"/>
            <w:vMerge w:val="continue"/>
            <w:noWrap w:val="0"/>
            <w:tcMar>
              <w:top w:w="0" w:type="dxa"/>
              <w:left w:w="108" w:type="dxa"/>
              <w:bottom w:w="0" w:type="dxa"/>
              <w:right w:w="108" w:type="dxa"/>
            </w:tcMar>
            <w:vAlign w:val="center"/>
          </w:tcPr>
          <w:p w14:paraId="7D6C478F">
            <w:pPr>
              <w:keepNext w:val="0"/>
              <w:keepLines w:val="0"/>
              <w:pageBreakBefore w:val="0"/>
              <w:kinsoku/>
              <w:wordWrap/>
              <w:overflowPunct/>
              <w:topLinePunct w:val="0"/>
              <w:bidi w:val="0"/>
              <w:adjustRightInd w:val="0"/>
              <w:snapToGrid w:val="0"/>
              <w:spacing w:line="400" w:lineRule="exact"/>
              <w:ind w:firstLine="240" w:firstLineChars="100"/>
              <w:textAlignment w:val="auto"/>
              <w:rPr>
                <w:rFonts w:hint="eastAsia" w:asciiTheme="minorEastAsia" w:hAnsiTheme="minorEastAsia" w:eastAsiaTheme="minorEastAsia" w:cstheme="minorEastAsia"/>
                <w:sz w:val="24"/>
                <w:szCs w:val="24"/>
              </w:rPr>
            </w:pPr>
          </w:p>
        </w:tc>
        <w:tc>
          <w:tcPr>
            <w:tcW w:w="7266" w:type="dxa"/>
            <w:noWrap w:val="0"/>
            <w:tcMar>
              <w:top w:w="0" w:type="dxa"/>
              <w:left w:w="108" w:type="dxa"/>
              <w:bottom w:w="0" w:type="dxa"/>
              <w:right w:w="108" w:type="dxa"/>
            </w:tcMar>
            <w:vAlign w:val="center"/>
          </w:tcPr>
          <w:p w14:paraId="572721BC">
            <w:pPr>
              <w:keepNext w:val="0"/>
              <w:keepLines w:val="0"/>
              <w:pageBreakBefore w:val="0"/>
              <w:widowControl w:val="0"/>
              <w:kinsoku/>
              <w:wordWrap/>
              <w:overflowPunct/>
              <w:topLinePunct w:val="0"/>
              <w:autoSpaceDE/>
              <w:autoSpaceDN/>
              <w:bidi w:val="0"/>
              <w:adjustRightInd w:val="0"/>
              <w:snapToGrid w:val="0"/>
              <w:spacing w:line="400" w:lineRule="exact"/>
              <w:ind w:firstLine="242" w:firstLineChars="1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
                <w:sz w:val="24"/>
                <w:szCs w:val="24"/>
                <w:highlight w:val="none"/>
                <w:lang w:eastAsia="zh-CN"/>
              </w:rPr>
              <w:t>所投产品的</w:t>
            </w:r>
            <w:r>
              <w:rPr>
                <w:rFonts w:hint="eastAsia" w:asciiTheme="minorEastAsia" w:hAnsiTheme="minorEastAsia" w:eastAsiaTheme="minorEastAsia" w:cstheme="minorEastAsia"/>
                <w:color w:val="auto"/>
                <w:spacing w:val="1"/>
                <w:sz w:val="24"/>
                <w:szCs w:val="24"/>
                <w:highlight w:val="none"/>
              </w:rPr>
              <w:t>完全满足或优于</w:t>
            </w:r>
            <w:r>
              <w:rPr>
                <w:rFonts w:hint="eastAsia" w:asciiTheme="minorEastAsia" w:hAnsiTheme="minorEastAsia" w:eastAsiaTheme="minorEastAsia" w:cstheme="minorEastAsia"/>
                <w:color w:val="auto"/>
                <w:spacing w:val="1"/>
                <w:sz w:val="24"/>
                <w:szCs w:val="24"/>
                <w:highlight w:val="none"/>
                <w:lang w:eastAsia="zh-CN"/>
              </w:rPr>
              <w:t>（无偏离或正偏离）</w:t>
            </w:r>
            <w:r>
              <w:rPr>
                <w:rFonts w:hint="eastAsia" w:asciiTheme="minorEastAsia" w:hAnsiTheme="minorEastAsia" w:eastAsiaTheme="minorEastAsia" w:cstheme="minorEastAsia"/>
                <w:color w:val="auto"/>
                <w:spacing w:val="1"/>
                <w:sz w:val="24"/>
                <w:szCs w:val="24"/>
                <w:highlight w:val="none"/>
              </w:rPr>
              <w:t>招标文件“第</w:t>
            </w:r>
            <w:r>
              <w:rPr>
                <w:rFonts w:hint="eastAsia" w:asciiTheme="minorEastAsia" w:hAnsiTheme="minorEastAsia" w:eastAsiaTheme="minorEastAsia" w:cstheme="minorEastAsia"/>
                <w:color w:val="auto"/>
                <w:spacing w:val="1"/>
                <w:sz w:val="24"/>
                <w:szCs w:val="24"/>
                <w:highlight w:val="none"/>
                <w:lang w:val="en-US" w:eastAsia="zh-CN"/>
              </w:rPr>
              <w:t>五</w:t>
            </w:r>
            <w:r>
              <w:rPr>
                <w:rFonts w:hint="eastAsia" w:asciiTheme="minorEastAsia" w:hAnsiTheme="minorEastAsia" w:eastAsiaTheme="minorEastAsia" w:cstheme="minorEastAsia"/>
                <w:color w:val="auto"/>
                <w:spacing w:val="1"/>
                <w:sz w:val="24"/>
                <w:szCs w:val="24"/>
                <w:highlight w:val="none"/>
              </w:rPr>
              <w:t>章 采购需求”</w:t>
            </w:r>
            <w:r>
              <w:rPr>
                <w:rFonts w:hint="eastAsia" w:asciiTheme="minorEastAsia" w:hAnsiTheme="minorEastAsia" w:eastAsiaTheme="minorEastAsia" w:cstheme="minorEastAsia"/>
                <w:color w:val="auto"/>
                <w:spacing w:val="1"/>
                <w:sz w:val="24"/>
                <w:szCs w:val="24"/>
                <w:highlight w:val="none"/>
                <w:lang w:val="en-US" w:eastAsia="zh-CN"/>
              </w:rPr>
              <w:t>技术要求</w:t>
            </w:r>
            <w:r>
              <w:rPr>
                <w:rFonts w:hint="eastAsia" w:asciiTheme="minorEastAsia" w:hAnsiTheme="minorEastAsia" w:eastAsiaTheme="minorEastAsia" w:cstheme="minorEastAsia"/>
                <w:color w:val="auto"/>
                <w:spacing w:val="1"/>
                <w:sz w:val="24"/>
                <w:szCs w:val="24"/>
                <w:highlight w:val="none"/>
              </w:rPr>
              <w:t>的得</w:t>
            </w:r>
            <w:r>
              <w:rPr>
                <w:rFonts w:hint="eastAsia" w:asciiTheme="minorEastAsia" w:hAnsiTheme="minorEastAsia" w:eastAsiaTheme="minorEastAsia" w:cstheme="minorEastAsia"/>
                <w:color w:val="auto"/>
                <w:spacing w:val="1"/>
                <w:sz w:val="24"/>
                <w:szCs w:val="24"/>
                <w:highlight w:val="none"/>
                <w:lang w:val="en-US" w:eastAsia="zh-CN"/>
              </w:rPr>
              <w:t>30</w:t>
            </w:r>
            <w:r>
              <w:rPr>
                <w:rFonts w:hint="eastAsia" w:asciiTheme="minorEastAsia" w:hAnsiTheme="minorEastAsia" w:eastAsiaTheme="minorEastAsia" w:cstheme="minorEastAsia"/>
                <w:color w:val="auto"/>
                <w:spacing w:val="1"/>
                <w:sz w:val="24"/>
                <w:szCs w:val="24"/>
                <w:highlight w:val="none"/>
              </w:rPr>
              <w:t>分</w:t>
            </w: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rPr>
              <w:t>负偏离一项扣</w:t>
            </w:r>
            <w:r>
              <w:rPr>
                <w:rFonts w:hint="eastAsia" w:asciiTheme="minorEastAsia" w:hAnsiTheme="minorEastAsia" w:eastAsiaTheme="minorEastAsia" w:cstheme="minorEastAsia"/>
                <w:color w:val="auto"/>
                <w:spacing w:val="1"/>
                <w:sz w:val="24"/>
                <w:szCs w:val="24"/>
                <w:highlight w:val="none"/>
                <w:lang w:val="en-US" w:eastAsia="zh-CN"/>
              </w:rPr>
              <w:t>1</w:t>
            </w:r>
            <w:r>
              <w:rPr>
                <w:rFonts w:hint="eastAsia" w:asciiTheme="minorEastAsia" w:hAnsiTheme="minorEastAsia" w:eastAsiaTheme="minorEastAsia" w:cstheme="minorEastAsia"/>
                <w:color w:val="auto"/>
                <w:spacing w:val="1"/>
                <w:sz w:val="24"/>
                <w:szCs w:val="24"/>
                <w:highlight w:val="none"/>
              </w:rPr>
              <w:t>分，</w:t>
            </w:r>
            <w:r>
              <w:rPr>
                <w:rFonts w:hint="eastAsia" w:asciiTheme="minorEastAsia" w:hAnsiTheme="minorEastAsia" w:eastAsiaTheme="minorEastAsia" w:cstheme="minorEastAsia"/>
                <w:color w:val="auto"/>
                <w:spacing w:val="1"/>
                <w:sz w:val="24"/>
                <w:szCs w:val="24"/>
                <w:highlight w:val="none"/>
                <w:lang w:val="en-US" w:eastAsia="zh-CN"/>
              </w:rPr>
              <w:t>扣完为止</w:t>
            </w:r>
            <w:r>
              <w:rPr>
                <w:rFonts w:hint="eastAsia" w:asciiTheme="minorEastAsia" w:hAnsiTheme="minorEastAsia" w:eastAsiaTheme="minorEastAsia" w:cstheme="minorEastAsia"/>
                <w:color w:val="auto"/>
                <w:spacing w:val="1"/>
                <w:sz w:val="24"/>
                <w:szCs w:val="24"/>
                <w:highlight w:val="none"/>
              </w:rPr>
              <w:t>。</w:t>
            </w:r>
          </w:p>
        </w:tc>
      </w:tr>
      <w:tr w14:paraId="79CE1161">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 w:type="dxa"/>
            <w:bottom w:w="0" w:type="dxa"/>
            <w:right w:w="10" w:type="dxa"/>
          </w:tblCellMar>
        </w:tblPrEx>
        <w:trPr>
          <w:trHeight w:val="460" w:hRule="atLeast"/>
        </w:trPr>
        <w:tc>
          <w:tcPr>
            <w:tcW w:w="483" w:type="dxa"/>
            <w:vMerge w:val="continue"/>
            <w:noWrap w:val="0"/>
            <w:tcMar>
              <w:top w:w="0" w:type="dxa"/>
              <w:left w:w="108" w:type="dxa"/>
              <w:bottom w:w="0" w:type="dxa"/>
              <w:right w:w="108" w:type="dxa"/>
            </w:tcMar>
            <w:vAlign w:val="center"/>
          </w:tcPr>
          <w:p w14:paraId="0C7C1657">
            <w:pPr>
              <w:keepNext w:val="0"/>
              <w:keepLines w:val="0"/>
              <w:pageBreakBefore w:val="0"/>
              <w:widowControl/>
              <w:kinsoku/>
              <w:wordWrap/>
              <w:overflowPunct/>
              <w:topLinePunct w:val="0"/>
              <w:bidi w:val="0"/>
              <w:adjustRightInd w:val="0"/>
              <w:snapToGrid w:val="0"/>
              <w:spacing w:line="400" w:lineRule="exact"/>
              <w:jc w:val="center"/>
              <w:textAlignment w:val="auto"/>
              <w:rPr>
                <w:rFonts w:hint="eastAsia" w:asciiTheme="minorEastAsia" w:hAnsiTheme="minorEastAsia" w:eastAsiaTheme="minorEastAsia" w:cstheme="minorEastAsia"/>
                <w:bCs/>
                <w:sz w:val="24"/>
                <w:szCs w:val="24"/>
              </w:rPr>
            </w:pPr>
          </w:p>
        </w:tc>
        <w:tc>
          <w:tcPr>
            <w:tcW w:w="945" w:type="dxa"/>
            <w:vMerge w:val="continue"/>
            <w:noWrap w:val="0"/>
            <w:tcMar>
              <w:top w:w="0" w:type="dxa"/>
              <w:left w:w="108" w:type="dxa"/>
              <w:bottom w:w="0" w:type="dxa"/>
              <w:right w:w="108" w:type="dxa"/>
            </w:tcMar>
            <w:vAlign w:val="top"/>
          </w:tcPr>
          <w:p w14:paraId="06C39E7E">
            <w:pPr>
              <w:keepNext w:val="0"/>
              <w:keepLines w:val="0"/>
              <w:pageBreakBefore w:val="0"/>
              <w:kinsoku/>
              <w:wordWrap/>
              <w:overflowPunct/>
              <w:topLinePunct w:val="0"/>
              <w:bidi w:val="0"/>
              <w:adjustRightInd w:val="0"/>
              <w:snapToGrid w:val="0"/>
              <w:spacing w:line="400" w:lineRule="exact"/>
              <w:ind w:left="-1" w:right="-30" w:hanging="107"/>
              <w:jc w:val="center"/>
              <w:textAlignment w:val="auto"/>
              <w:rPr>
                <w:rFonts w:hint="eastAsia" w:asciiTheme="minorEastAsia" w:hAnsiTheme="minorEastAsia" w:eastAsiaTheme="minorEastAsia" w:cstheme="minorEastAsia"/>
                <w:sz w:val="24"/>
                <w:szCs w:val="24"/>
              </w:rPr>
            </w:pPr>
          </w:p>
        </w:tc>
        <w:tc>
          <w:tcPr>
            <w:tcW w:w="1245" w:type="dxa"/>
            <w:noWrap w:val="0"/>
            <w:tcMar>
              <w:top w:w="0" w:type="dxa"/>
              <w:left w:w="108" w:type="dxa"/>
              <w:bottom w:w="0" w:type="dxa"/>
              <w:right w:w="108" w:type="dxa"/>
            </w:tcMar>
            <w:vAlign w:val="center"/>
          </w:tcPr>
          <w:p w14:paraId="64722FE5">
            <w:pPr>
              <w:keepNext w:val="0"/>
              <w:keepLines w:val="0"/>
              <w:widowControl/>
              <w:suppressLineNumbers w:val="0"/>
              <w:jc w:val="left"/>
              <w:rPr>
                <w:sz w:val="24"/>
                <w:szCs w:val="24"/>
              </w:rPr>
            </w:pPr>
            <w:r>
              <w:rPr>
                <w:rFonts w:hint="eastAsia" w:ascii="宋体" w:hAnsi="宋体" w:eastAsia="宋体" w:cs="宋体"/>
                <w:color w:val="000000"/>
                <w:kern w:val="0"/>
                <w:sz w:val="24"/>
                <w:szCs w:val="24"/>
                <w:lang w:val="en-US" w:eastAsia="zh-CN" w:bidi="ar"/>
              </w:rPr>
              <w:t>项目实施方案（</w:t>
            </w:r>
            <w:r>
              <w:rPr>
                <w:rFonts w:hint="eastAsia" w:ascii="宋体" w:hAnsi="宋体" w:cs="宋体"/>
                <w:color w:val="000000"/>
                <w:kern w:val="0"/>
                <w:sz w:val="24"/>
                <w:szCs w:val="24"/>
                <w:lang w:val="en-US" w:eastAsia="zh-CN" w:bidi="ar"/>
              </w:rPr>
              <w:t>3</w:t>
            </w:r>
            <w:r>
              <w:rPr>
                <w:rFonts w:hint="eastAsia" w:ascii="宋体" w:hAnsi="宋体" w:eastAsia="宋体" w:cs="宋体"/>
                <w:color w:val="000000"/>
                <w:kern w:val="0"/>
                <w:sz w:val="24"/>
                <w:szCs w:val="24"/>
                <w:lang w:val="en-US" w:eastAsia="zh-CN" w:bidi="ar"/>
              </w:rPr>
              <w:t>分）</w:t>
            </w:r>
          </w:p>
          <w:p w14:paraId="6D7621A9">
            <w:pPr>
              <w:shd w:val="clear" w:color="auto" w:fill="auto"/>
              <w:spacing w:line="500" w:lineRule="exact"/>
              <w:ind w:firstLine="0" w:firstLineChars="0"/>
              <w:jc w:val="center"/>
              <w:rPr>
                <w:rFonts w:hint="eastAsia" w:asciiTheme="minorEastAsia" w:hAnsiTheme="minorEastAsia" w:eastAsiaTheme="minorEastAsia" w:cstheme="minorEastAsia"/>
                <w:color w:val="auto"/>
                <w:sz w:val="24"/>
                <w:szCs w:val="24"/>
                <w:highlight w:val="none"/>
              </w:rPr>
            </w:pPr>
          </w:p>
        </w:tc>
        <w:tc>
          <w:tcPr>
            <w:tcW w:w="7266" w:type="dxa"/>
            <w:noWrap w:val="0"/>
            <w:tcMar>
              <w:top w:w="0" w:type="dxa"/>
              <w:left w:w="108" w:type="dxa"/>
              <w:bottom w:w="0" w:type="dxa"/>
              <w:right w:w="108" w:type="dxa"/>
            </w:tcMar>
            <w:vAlign w:val="center"/>
          </w:tcPr>
          <w:p w14:paraId="51E76CBC">
            <w:pPr>
              <w:keepNext w:val="0"/>
              <w:keepLines w:val="0"/>
              <w:pageBreakBefore w:val="0"/>
              <w:widowControl w:val="0"/>
              <w:kinsoku w:val="0"/>
              <w:wordWrap/>
              <w:overflowPunct w:val="0"/>
              <w:topLinePunct w:val="0"/>
              <w:autoSpaceDE w:val="0"/>
              <w:autoSpaceDN w:val="0"/>
              <w:bidi w:val="0"/>
              <w:adjustRightInd w:val="0"/>
              <w:snapToGrid w:val="0"/>
              <w:spacing w:line="400" w:lineRule="exact"/>
              <w:ind w:firstLine="422"/>
              <w:jc w:val="left"/>
              <w:textAlignment w:val="center"/>
              <w:rPr>
                <w:rFonts w:hint="eastAsia" w:asciiTheme="minorEastAsia" w:hAnsiTheme="minorEastAsia" w:eastAsiaTheme="minorEastAsia" w:cstheme="minorEastAsia"/>
                <w:color w:val="auto"/>
                <w:sz w:val="24"/>
                <w:szCs w:val="24"/>
                <w:highlight w:val="none"/>
              </w:rPr>
            </w:pPr>
            <w:r>
              <w:rPr>
                <w:rFonts w:hint="eastAsia" w:ascii="宋体" w:hAnsi="宋体" w:eastAsia="宋体" w:cs="宋体"/>
                <w:sz w:val="24"/>
                <w:szCs w:val="24"/>
                <w:lang w:val="en-US" w:eastAsia="zh-CN"/>
              </w:rPr>
              <w:t>根据本项目实施方案内容包含不仅限于项目周期与进度规划、人员组织与分工安排、项目实施期间管理、安全管理等进行评审：实施方案科学合理，完全能够达到用户要求，</w:t>
            </w:r>
            <w:r>
              <w:rPr>
                <w:rFonts w:hint="eastAsia" w:ascii="宋体" w:hAnsi="宋体" w:eastAsia="宋体" w:cs="宋体"/>
                <w:snapToGrid w:val="0"/>
                <w:color w:val="auto"/>
                <w:kern w:val="0"/>
                <w:sz w:val="24"/>
                <w:szCs w:val="24"/>
                <w:lang w:val="en-US" w:eastAsia="zh-CN"/>
              </w:rPr>
              <w:t>且方案整体性、可靠性、先进性好，得</w:t>
            </w:r>
            <w:r>
              <w:rPr>
                <w:rFonts w:hint="eastAsia" w:ascii="宋体" w:hAnsi="宋体" w:cs="宋体"/>
                <w:snapToGrid w:val="0"/>
                <w:color w:val="auto"/>
                <w:kern w:val="0"/>
                <w:sz w:val="24"/>
                <w:szCs w:val="24"/>
                <w:lang w:val="en-US" w:eastAsia="zh-CN"/>
              </w:rPr>
              <w:t>3</w:t>
            </w:r>
            <w:r>
              <w:rPr>
                <w:rFonts w:hint="eastAsia" w:ascii="宋体" w:hAnsi="宋体" w:eastAsia="宋体" w:cs="宋体"/>
                <w:snapToGrid w:val="0"/>
                <w:color w:val="auto"/>
                <w:kern w:val="0"/>
                <w:sz w:val="24"/>
                <w:szCs w:val="24"/>
                <w:lang w:val="en-US" w:eastAsia="zh-CN"/>
              </w:rPr>
              <w:t>分；实施方案设计较科学合理，方案整体性、可靠性、先进性较好，得</w:t>
            </w:r>
            <w:r>
              <w:rPr>
                <w:rFonts w:hint="eastAsia" w:ascii="宋体" w:hAnsi="宋体" w:cs="宋体"/>
                <w:snapToGrid w:val="0"/>
                <w:color w:val="auto"/>
                <w:kern w:val="0"/>
                <w:sz w:val="24"/>
                <w:szCs w:val="24"/>
                <w:lang w:val="en-US" w:eastAsia="zh-CN"/>
              </w:rPr>
              <w:t>2</w:t>
            </w:r>
            <w:r>
              <w:rPr>
                <w:rFonts w:hint="eastAsia" w:ascii="宋体" w:hAnsi="宋体" w:eastAsia="宋体" w:cs="宋体"/>
                <w:snapToGrid w:val="0"/>
                <w:color w:val="auto"/>
                <w:kern w:val="0"/>
                <w:sz w:val="24"/>
                <w:szCs w:val="24"/>
                <w:lang w:val="en-US" w:eastAsia="zh-CN"/>
              </w:rPr>
              <w:t>分；实施方案设计较科学合理，方案整体性、可靠性、先进性基本可以实施，得</w:t>
            </w:r>
            <w:r>
              <w:rPr>
                <w:rFonts w:hint="eastAsia" w:ascii="宋体" w:hAnsi="宋体" w:cs="宋体"/>
                <w:snapToGrid w:val="0"/>
                <w:color w:val="auto"/>
                <w:kern w:val="0"/>
                <w:sz w:val="24"/>
                <w:szCs w:val="24"/>
                <w:lang w:val="en-US" w:eastAsia="zh-CN"/>
              </w:rPr>
              <w:t>1</w:t>
            </w:r>
            <w:r>
              <w:rPr>
                <w:rFonts w:hint="eastAsia" w:ascii="宋体" w:hAnsi="宋体" w:eastAsia="宋体" w:cs="宋体"/>
                <w:snapToGrid w:val="0"/>
                <w:color w:val="auto"/>
                <w:kern w:val="0"/>
                <w:sz w:val="24"/>
                <w:szCs w:val="24"/>
                <w:lang w:val="en-US" w:eastAsia="zh-CN"/>
              </w:rPr>
              <w:t>分；实施方案设计合理性待提高，且方案整体性、可靠性、先进性待提高，得</w:t>
            </w:r>
            <w:r>
              <w:rPr>
                <w:rFonts w:hint="eastAsia" w:ascii="宋体" w:hAnsi="宋体" w:cs="宋体"/>
                <w:snapToGrid w:val="0"/>
                <w:color w:val="auto"/>
                <w:kern w:val="0"/>
                <w:sz w:val="24"/>
                <w:szCs w:val="24"/>
                <w:lang w:val="en-US" w:eastAsia="zh-CN"/>
              </w:rPr>
              <w:t>0.5</w:t>
            </w:r>
            <w:r>
              <w:rPr>
                <w:rFonts w:hint="eastAsia" w:ascii="宋体" w:hAnsi="宋体" w:eastAsia="宋体" w:cs="宋体"/>
                <w:snapToGrid w:val="0"/>
                <w:color w:val="auto"/>
                <w:kern w:val="0"/>
                <w:sz w:val="24"/>
                <w:szCs w:val="24"/>
                <w:lang w:val="en-US" w:eastAsia="zh-CN"/>
              </w:rPr>
              <w:t>分未提供不得分。</w:t>
            </w:r>
          </w:p>
        </w:tc>
      </w:tr>
      <w:tr w14:paraId="374C1E01">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 w:type="dxa"/>
            <w:bottom w:w="0" w:type="dxa"/>
            <w:right w:w="10" w:type="dxa"/>
          </w:tblCellMar>
        </w:tblPrEx>
        <w:trPr>
          <w:trHeight w:val="1012" w:hRule="atLeast"/>
        </w:trPr>
        <w:tc>
          <w:tcPr>
            <w:tcW w:w="483" w:type="dxa"/>
            <w:vMerge w:val="continue"/>
            <w:noWrap w:val="0"/>
            <w:tcMar>
              <w:top w:w="0" w:type="dxa"/>
              <w:left w:w="108" w:type="dxa"/>
              <w:bottom w:w="0" w:type="dxa"/>
              <w:right w:w="108" w:type="dxa"/>
            </w:tcMar>
            <w:vAlign w:val="center"/>
          </w:tcPr>
          <w:p w14:paraId="765F9F84">
            <w:pPr>
              <w:keepNext w:val="0"/>
              <w:keepLines w:val="0"/>
              <w:pageBreakBefore w:val="0"/>
              <w:widowControl/>
              <w:kinsoku/>
              <w:wordWrap/>
              <w:overflowPunct/>
              <w:topLinePunct w:val="0"/>
              <w:bidi w:val="0"/>
              <w:adjustRightInd w:val="0"/>
              <w:snapToGrid w:val="0"/>
              <w:spacing w:line="400" w:lineRule="exact"/>
              <w:jc w:val="center"/>
              <w:textAlignment w:val="auto"/>
              <w:rPr>
                <w:rFonts w:hint="eastAsia" w:asciiTheme="minorEastAsia" w:hAnsiTheme="minorEastAsia" w:eastAsiaTheme="minorEastAsia" w:cstheme="minorEastAsia"/>
                <w:bCs/>
                <w:sz w:val="24"/>
                <w:szCs w:val="24"/>
              </w:rPr>
            </w:pPr>
          </w:p>
        </w:tc>
        <w:tc>
          <w:tcPr>
            <w:tcW w:w="945" w:type="dxa"/>
            <w:vMerge w:val="continue"/>
            <w:noWrap w:val="0"/>
            <w:tcMar>
              <w:top w:w="0" w:type="dxa"/>
              <w:left w:w="108" w:type="dxa"/>
              <w:bottom w:w="0" w:type="dxa"/>
              <w:right w:w="108" w:type="dxa"/>
            </w:tcMar>
            <w:vAlign w:val="top"/>
          </w:tcPr>
          <w:p w14:paraId="37248C0B">
            <w:pPr>
              <w:keepNext w:val="0"/>
              <w:keepLines w:val="0"/>
              <w:pageBreakBefore w:val="0"/>
              <w:kinsoku/>
              <w:wordWrap/>
              <w:overflowPunct/>
              <w:topLinePunct w:val="0"/>
              <w:bidi w:val="0"/>
              <w:adjustRightInd w:val="0"/>
              <w:snapToGrid w:val="0"/>
              <w:spacing w:line="400" w:lineRule="exact"/>
              <w:ind w:left="-1" w:right="-30" w:hanging="107"/>
              <w:jc w:val="center"/>
              <w:textAlignment w:val="auto"/>
              <w:rPr>
                <w:rFonts w:hint="eastAsia" w:asciiTheme="minorEastAsia" w:hAnsiTheme="minorEastAsia" w:eastAsiaTheme="minorEastAsia" w:cstheme="minorEastAsia"/>
                <w:sz w:val="24"/>
                <w:szCs w:val="24"/>
              </w:rPr>
            </w:pPr>
          </w:p>
        </w:tc>
        <w:tc>
          <w:tcPr>
            <w:tcW w:w="1245" w:type="dxa"/>
            <w:noWrap w:val="0"/>
            <w:tcMar>
              <w:top w:w="0" w:type="dxa"/>
              <w:left w:w="108" w:type="dxa"/>
              <w:bottom w:w="0" w:type="dxa"/>
              <w:right w:w="108" w:type="dxa"/>
            </w:tcMar>
            <w:vAlign w:val="center"/>
          </w:tcPr>
          <w:p w14:paraId="6E41BC0B">
            <w:pPr>
              <w:keepNext w:val="0"/>
              <w:keepLines w:val="0"/>
              <w:widowControl/>
              <w:suppressLineNumbers w:val="0"/>
              <w:jc w:val="left"/>
              <w:rPr>
                <w:sz w:val="24"/>
                <w:szCs w:val="24"/>
              </w:rPr>
            </w:pPr>
            <w:r>
              <w:rPr>
                <w:rFonts w:hint="eastAsia" w:ascii="宋体" w:hAnsi="宋体" w:eastAsia="宋体" w:cs="宋体"/>
                <w:snapToGrid w:val="0"/>
                <w:color w:val="auto"/>
                <w:kern w:val="0"/>
                <w:sz w:val="24"/>
                <w:szCs w:val="24"/>
                <w:lang w:val="en-US" w:eastAsia="zh-CN"/>
              </w:rPr>
              <w:t>供货、安装质量保证方案</w:t>
            </w:r>
            <w:r>
              <w:rPr>
                <w:rFonts w:hint="eastAsia" w:ascii="宋体" w:hAnsi="宋体" w:eastAsia="宋体" w:cs="宋体"/>
                <w:color w:val="000000"/>
                <w:kern w:val="0"/>
                <w:sz w:val="24"/>
                <w:szCs w:val="24"/>
                <w:lang w:val="en-US" w:eastAsia="zh-CN" w:bidi="ar"/>
              </w:rPr>
              <w:t>（</w:t>
            </w:r>
            <w:r>
              <w:rPr>
                <w:rFonts w:hint="eastAsia" w:ascii="宋体" w:hAnsi="宋体" w:cs="宋体"/>
                <w:color w:val="000000"/>
                <w:kern w:val="0"/>
                <w:sz w:val="24"/>
                <w:szCs w:val="24"/>
                <w:lang w:val="en-US" w:eastAsia="zh-CN" w:bidi="ar"/>
              </w:rPr>
              <w:t>3</w:t>
            </w:r>
            <w:r>
              <w:rPr>
                <w:rFonts w:hint="eastAsia" w:ascii="宋体" w:hAnsi="宋体" w:eastAsia="宋体" w:cs="宋体"/>
                <w:color w:val="000000"/>
                <w:kern w:val="0"/>
                <w:sz w:val="24"/>
                <w:szCs w:val="24"/>
                <w:lang w:val="en-US" w:eastAsia="zh-CN" w:bidi="ar"/>
              </w:rPr>
              <w:t>分）</w:t>
            </w:r>
          </w:p>
          <w:p w14:paraId="55B25557">
            <w:pPr>
              <w:keepNext w:val="0"/>
              <w:keepLines w:val="0"/>
              <w:pageBreakBefore w:val="0"/>
              <w:widowControl w:val="0"/>
              <w:kinsoku w:val="0"/>
              <w:wordWrap/>
              <w:overflowPunct w:val="0"/>
              <w:topLinePunct w:val="0"/>
              <w:autoSpaceDE w:val="0"/>
              <w:autoSpaceDN w:val="0"/>
              <w:bidi w:val="0"/>
              <w:adjustRightInd w:val="0"/>
              <w:snapToGrid w:val="0"/>
              <w:spacing w:line="400" w:lineRule="exact"/>
              <w:ind w:left="0" w:leftChars="0" w:firstLine="0" w:firstLineChars="0"/>
              <w:jc w:val="left"/>
              <w:textAlignment w:val="center"/>
              <w:rPr>
                <w:rFonts w:ascii="宋体" w:hAnsi="宋体" w:eastAsia="宋体" w:cs="宋体"/>
                <w:snapToGrid w:val="0"/>
                <w:color w:val="auto"/>
                <w:kern w:val="0"/>
                <w:sz w:val="24"/>
                <w:szCs w:val="24"/>
              </w:rPr>
            </w:pPr>
          </w:p>
          <w:p w14:paraId="0116343E">
            <w:pPr>
              <w:keepNext w:val="0"/>
              <w:keepLines w:val="0"/>
              <w:pageBreakBefore w:val="0"/>
              <w:widowControl w:val="0"/>
              <w:kinsoku w:val="0"/>
              <w:wordWrap/>
              <w:overflowPunct w:val="0"/>
              <w:topLinePunct w:val="0"/>
              <w:autoSpaceDE w:val="0"/>
              <w:autoSpaceDN w:val="0"/>
              <w:bidi w:val="0"/>
              <w:adjustRightInd w:val="0"/>
              <w:snapToGrid w:val="0"/>
              <w:spacing w:line="400" w:lineRule="exact"/>
              <w:ind w:left="0" w:leftChars="0" w:firstLine="0" w:firstLineChars="0"/>
              <w:jc w:val="left"/>
              <w:textAlignment w:val="center"/>
              <w:rPr>
                <w:rFonts w:hint="eastAsia" w:asciiTheme="minorEastAsia" w:hAnsiTheme="minorEastAsia" w:eastAsiaTheme="minorEastAsia" w:cstheme="minorEastAsia"/>
                <w:color w:val="auto"/>
                <w:sz w:val="24"/>
                <w:szCs w:val="24"/>
                <w:highlight w:val="none"/>
                <w:lang w:val="en-US" w:eastAsia="zh-CN"/>
              </w:rPr>
            </w:pPr>
          </w:p>
        </w:tc>
        <w:tc>
          <w:tcPr>
            <w:tcW w:w="7266" w:type="dxa"/>
            <w:noWrap w:val="0"/>
            <w:tcMar>
              <w:top w:w="0" w:type="dxa"/>
              <w:left w:w="108" w:type="dxa"/>
              <w:bottom w:w="0" w:type="dxa"/>
              <w:right w:w="108" w:type="dxa"/>
            </w:tcMar>
            <w:vAlign w:val="center"/>
          </w:tcPr>
          <w:p w14:paraId="53208F76">
            <w:pPr>
              <w:keepNext w:val="0"/>
              <w:keepLines w:val="0"/>
              <w:pageBreakBefore w:val="0"/>
              <w:widowControl w:val="0"/>
              <w:kinsoku w:val="0"/>
              <w:wordWrap/>
              <w:overflowPunct w:val="0"/>
              <w:topLinePunct w:val="0"/>
              <w:autoSpaceDE w:val="0"/>
              <w:autoSpaceDN w:val="0"/>
              <w:bidi w:val="0"/>
              <w:adjustRightInd w:val="0"/>
              <w:snapToGrid w:val="0"/>
              <w:spacing w:line="400" w:lineRule="exact"/>
              <w:ind w:left="0" w:leftChars="0" w:firstLine="0" w:firstLineChars="0"/>
              <w:jc w:val="left"/>
              <w:textAlignment w:val="center"/>
              <w:rPr>
                <w:rFonts w:hint="eastAsia" w:asciiTheme="minorEastAsia" w:hAnsiTheme="minorEastAsia" w:eastAsiaTheme="minorEastAsia" w:cstheme="minorEastAsia"/>
                <w:color w:val="auto"/>
                <w:spacing w:val="1"/>
                <w:sz w:val="24"/>
                <w:szCs w:val="24"/>
                <w:highlight w:val="none"/>
              </w:rPr>
            </w:pPr>
            <w:r>
              <w:rPr>
                <w:rFonts w:hint="eastAsia" w:ascii="宋体" w:hAnsi="宋体" w:eastAsia="宋体" w:cs="宋体"/>
                <w:snapToGrid w:val="0"/>
                <w:color w:val="auto"/>
                <w:kern w:val="0"/>
                <w:sz w:val="24"/>
                <w:szCs w:val="24"/>
                <w:lang w:val="en-US" w:eastAsia="zh-CN"/>
              </w:rPr>
              <w:t>供应商提供对供货、安装质量保证方案，根据供应商的设计质量、原材料质量、安装质量等情况进行打分。方案内容非常详尽、完善、切合项目需求得</w:t>
            </w:r>
            <w:r>
              <w:rPr>
                <w:rFonts w:hint="eastAsia" w:ascii="宋体" w:hAnsi="宋体" w:cs="宋体"/>
                <w:snapToGrid w:val="0"/>
                <w:color w:val="auto"/>
                <w:kern w:val="0"/>
                <w:sz w:val="24"/>
                <w:szCs w:val="24"/>
                <w:lang w:val="en-US" w:eastAsia="zh-CN"/>
              </w:rPr>
              <w:t>3</w:t>
            </w:r>
            <w:r>
              <w:rPr>
                <w:rFonts w:hint="eastAsia" w:ascii="宋体" w:hAnsi="宋体" w:eastAsia="宋体" w:cs="宋体"/>
                <w:snapToGrid w:val="0"/>
                <w:color w:val="auto"/>
                <w:kern w:val="0"/>
                <w:sz w:val="24"/>
                <w:szCs w:val="24"/>
                <w:lang w:val="en-US" w:eastAsia="zh-CN"/>
              </w:rPr>
              <w:t>分；方案内容较为全面、比较切合项目需求得</w:t>
            </w:r>
            <w:r>
              <w:rPr>
                <w:rFonts w:hint="eastAsia" w:ascii="宋体" w:hAnsi="宋体" w:cs="宋体"/>
                <w:snapToGrid w:val="0"/>
                <w:color w:val="auto"/>
                <w:kern w:val="0"/>
                <w:sz w:val="24"/>
                <w:szCs w:val="24"/>
                <w:lang w:val="en-US" w:eastAsia="zh-CN"/>
              </w:rPr>
              <w:t>2</w:t>
            </w:r>
            <w:r>
              <w:rPr>
                <w:rFonts w:hint="eastAsia" w:ascii="宋体" w:hAnsi="宋体" w:eastAsia="宋体" w:cs="宋体"/>
                <w:snapToGrid w:val="0"/>
                <w:color w:val="auto"/>
                <w:kern w:val="0"/>
                <w:sz w:val="24"/>
                <w:szCs w:val="24"/>
                <w:lang w:val="en-US" w:eastAsia="zh-CN"/>
              </w:rPr>
              <w:t>分；方案内容基本切合项目需求得</w:t>
            </w:r>
            <w:r>
              <w:rPr>
                <w:rFonts w:hint="eastAsia" w:ascii="宋体" w:hAnsi="宋体" w:cs="宋体"/>
                <w:snapToGrid w:val="0"/>
                <w:color w:val="auto"/>
                <w:kern w:val="0"/>
                <w:sz w:val="24"/>
                <w:szCs w:val="24"/>
                <w:lang w:val="en-US" w:eastAsia="zh-CN"/>
              </w:rPr>
              <w:t>1</w:t>
            </w:r>
            <w:r>
              <w:rPr>
                <w:rFonts w:hint="eastAsia" w:ascii="宋体" w:hAnsi="宋体" w:eastAsia="宋体" w:cs="宋体"/>
                <w:snapToGrid w:val="0"/>
                <w:color w:val="auto"/>
                <w:kern w:val="0"/>
                <w:sz w:val="24"/>
                <w:szCs w:val="24"/>
                <w:lang w:val="en-US" w:eastAsia="zh-CN"/>
              </w:rPr>
              <w:t>分；方案内容勉强符合项目需求得</w:t>
            </w:r>
            <w:r>
              <w:rPr>
                <w:rFonts w:hint="eastAsia" w:ascii="宋体" w:hAnsi="宋体" w:cs="宋体"/>
                <w:snapToGrid w:val="0"/>
                <w:color w:val="auto"/>
                <w:kern w:val="0"/>
                <w:sz w:val="24"/>
                <w:szCs w:val="24"/>
                <w:lang w:val="en-US" w:eastAsia="zh-CN"/>
              </w:rPr>
              <w:t>0.5</w:t>
            </w:r>
            <w:r>
              <w:rPr>
                <w:rFonts w:hint="eastAsia" w:ascii="宋体" w:hAnsi="宋体" w:eastAsia="宋体" w:cs="宋体"/>
                <w:snapToGrid w:val="0"/>
                <w:color w:val="auto"/>
                <w:kern w:val="0"/>
                <w:sz w:val="24"/>
                <w:szCs w:val="24"/>
                <w:lang w:val="en-US" w:eastAsia="zh-CN"/>
              </w:rPr>
              <w:t>分；未提供不得分。</w:t>
            </w:r>
          </w:p>
        </w:tc>
      </w:tr>
      <w:tr w14:paraId="57BD09FA">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 w:type="dxa"/>
            <w:bottom w:w="0" w:type="dxa"/>
            <w:right w:w="10" w:type="dxa"/>
          </w:tblCellMar>
        </w:tblPrEx>
        <w:trPr>
          <w:trHeight w:val="2156" w:hRule="atLeast"/>
        </w:trPr>
        <w:tc>
          <w:tcPr>
            <w:tcW w:w="483" w:type="dxa"/>
            <w:vMerge w:val="continue"/>
            <w:noWrap w:val="0"/>
            <w:tcMar>
              <w:top w:w="0" w:type="dxa"/>
              <w:left w:w="108" w:type="dxa"/>
              <w:bottom w:w="0" w:type="dxa"/>
              <w:right w:w="108" w:type="dxa"/>
            </w:tcMar>
            <w:vAlign w:val="center"/>
          </w:tcPr>
          <w:p w14:paraId="65B30566">
            <w:pPr>
              <w:keepNext w:val="0"/>
              <w:keepLines w:val="0"/>
              <w:pageBreakBefore w:val="0"/>
              <w:widowControl/>
              <w:kinsoku/>
              <w:wordWrap/>
              <w:overflowPunct/>
              <w:topLinePunct w:val="0"/>
              <w:bidi w:val="0"/>
              <w:adjustRightInd w:val="0"/>
              <w:snapToGrid w:val="0"/>
              <w:spacing w:line="400" w:lineRule="exact"/>
              <w:jc w:val="center"/>
              <w:textAlignment w:val="auto"/>
              <w:rPr>
                <w:rFonts w:hint="eastAsia" w:asciiTheme="minorEastAsia" w:hAnsiTheme="minorEastAsia" w:eastAsiaTheme="minorEastAsia" w:cstheme="minorEastAsia"/>
                <w:bCs/>
                <w:sz w:val="24"/>
                <w:szCs w:val="24"/>
              </w:rPr>
            </w:pPr>
          </w:p>
        </w:tc>
        <w:tc>
          <w:tcPr>
            <w:tcW w:w="945" w:type="dxa"/>
            <w:vMerge w:val="continue"/>
            <w:noWrap w:val="0"/>
            <w:tcMar>
              <w:top w:w="0" w:type="dxa"/>
              <w:left w:w="108" w:type="dxa"/>
              <w:bottom w:w="0" w:type="dxa"/>
              <w:right w:w="108" w:type="dxa"/>
            </w:tcMar>
            <w:vAlign w:val="top"/>
          </w:tcPr>
          <w:p w14:paraId="5CB49502">
            <w:pPr>
              <w:keepNext w:val="0"/>
              <w:keepLines w:val="0"/>
              <w:pageBreakBefore w:val="0"/>
              <w:kinsoku/>
              <w:wordWrap/>
              <w:overflowPunct/>
              <w:topLinePunct w:val="0"/>
              <w:bidi w:val="0"/>
              <w:adjustRightInd w:val="0"/>
              <w:snapToGrid w:val="0"/>
              <w:spacing w:line="400" w:lineRule="exact"/>
              <w:ind w:left="-1" w:right="-30" w:hanging="107"/>
              <w:jc w:val="center"/>
              <w:textAlignment w:val="auto"/>
              <w:rPr>
                <w:rFonts w:hint="eastAsia" w:asciiTheme="minorEastAsia" w:hAnsiTheme="minorEastAsia" w:eastAsiaTheme="minorEastAsia" w:cstheme="minorEastAsia"/>
                <w:sz w:val="24"/>
                <w:szCs w:val="24"/>
              </w:rPr>
            </w:pPr>
          </w:p>
        </w:tc>
        <w:tc>
          <w:tcPr>
            <w:tcW w:w="1245" w:type="dxa"/>
            <w:noWrap w:val="0"/>
            <w:tcMar>
              <w:top w:w="0" w:type="dxa"/>
              <w:left w:w="108" w:type="dxa"/>
              <w:bottom w:w="0" w:type="dxa"/>
              <w:right w:w="108" w:type="dxa"/>
            </w:tcMar>
            <w:vAlign w:val="center"/>
          </w:tcPr>
          <w:p w14:paraId="42A7F40D">
            <w:pPr>
              <w:keepNext w:val="0"/>
              <w:keepLines w:val="0"/>
              <w:widowControl/>
              <w:suppressLineNumbers w:val="0"/>
              <w:jc w:val="left"/>
              <w:rPr>
                <w:sz w:val="24"/>
                <w:szCs w:val="24"/>
              </w:rPr>
            </w:pPr>
            <w:r>
              <w:rPr>
                <w:rFonts w:hint="eastAsia" w:ascii="宋体" w:hAnsi="宋体" w:eastAsia="宋体" w:cs="宋体"/>
                <w:snapToGrid w:val="0"/>
                <w:color w:val="auto"/>
                <w:kern w:val="0"/>
                <w:sz w:val="24"/>
                <w:szCs w:val="24"/>
                <w:lang w:val="en-US" w:eastAsia="zh-CN"/>
              </w:rPr>
              <w:t>供货、安装安全保证方案</w:t>
            </w:r>
            <w:r>
              <w:rPr>
                <w:rFonts w:hint="eastAsia" w:ascii="宋体" w:hAnsi="宋体" w:eastAsia="宋体" w:cs="宋体"/>
                <w:color w:val="000000"/>
                <w:kern w:val="0"/>
                <w:sz w:val="24"/>
                <w:szCs w:val="24"/>
                <w:lang w:val="en-US" w:eastAsia="zh-CN" w:bidi="ar"/>
              </w:rPr>
              <w:t>（</w:t>
            </w:r>
            <w:r>
              <w:rPr>
                <w:rFonts w:hint="eastAsia" w:ascii="宋体" w:hAnsi="宋体" w:cs="宋体"/>
                <w:color w:val="000000"/>
                <w:kern w:val="0"/>
                <w:sz w:val="24"/>
                <w:szCs w:val="24"/>
                <w:lang w:val="en-US" w:eastAsia="zh-CN" w:bidi="ar"/>
              </w:rPr>
              <w:t>3</w:t>
            </w:r>
            <w:r>
              <w:rPr>
                <w:rFonts w:hint="eastAsia" w:ascii="宋体" w:hAnsi="宋体" w:eastAsia="宋体" w:cs="宋体"/>
                <w:color w:val="000000"/>
                <w:kern w:val="0"/>
                <w:sz w:val="24"/>
                <w:szCs w:val="24"/>
                <w:lang w:val="en-US" w:eastAsia="zh-CN" w:bidi="ar"/>
              </w:rPr>
              <w:t>分）</w:t>
            </w:r>
          </w:p>
          <w:p w14:paraId="479488B4">
            <w:pPr>
              <w:keepNext w:val="0"/>
              <w:keepLines w:val="0"/>
              <w:pageBreakBefore w:val="0"/>
              <w:widowControl w:val="0"/>
              <w:kinsoku w:val="0"/>
              <w:wordWrap/>
              <w:overflowPunct w:val="0"/>
              <w:topLinePunct w:val="0"/>
              <w:autoSpaceDE w:val="0"/>
              <w:autoSpaceDN w:val="0"/>
              <w:bidi w:val="0"/>
              <w:adjustRightInd w:val="0"/>
              <w:snapToGrid w:val="0"/>
              <w:spacing w:line="400" w:lineRule="exact"/>
              <w:ind w:left="0" w:leftChars="0" w:firstLine="0" w:firstLineChars="0"/>
              <w:jc w:val="left"/>
              <w:textAlignment w:val="center"/>
              <w:rPr>
                <w:rFonts w:ascii="宋体" w:hAnsi="宋体" w:eastAsia="宋体" w:cs="宋体"/>
                <w:snapToGrid w:val="0"/>
                <w:color w:val="auto"/>
                <w:kern w:val="0"/>
                <w:sz w:val="24"/>
                <w:szCs w:val="24"/>
              </w:rPr>
            </w:pPr>
          </w:p>
          <w:p w14:paraId="3CBD6EC5">
            <w:pPr>
              <w:keepNext w:val="0"/>
              <w:keepLines w:val="0"/>
              <w:pageBreakBefore w:val="0"/>
              <w:widowControl w:val="0"/>
              <w:kinsoku w:val="0"/>
              <w:wordWrap/>
              <w:overflowPunct w:val="0"/>
              <w:topLinePunct w:val="0"/>
              <w:autoSpaceDE w:val="0"/>
              <w:autoSpaceDN w:val="0"/>
              <w:bidi w:val="0"/>
              <w:adjustRightInd w:val="0"/>
              <w:snapToGrid w:val="0"/>
              <w:spacing w:line="400" w:lineRule="exact"/>
              <w:ind w:left="0" w:leftChars="0" w:firstLine="0" w:firstLineChars="0"/>
              <w:jc w:val="left"/>
              <w:textAlignment w:val="center"/>
              <w:rPr>
                <w:rFonts w:hint="eastAsia" w:asciiTheme="minorEastAsia" w:hAnsiTheme="minorEastAsia" w:eastAsiaTheme="minorEastAsia" w:cstheme="minorEastAsia"/>
                <w:sz w:val="24"/>
                <w:szCs w:val="24"/>
              </w:rPr>
            </w:pPr>
          </w:p>
        </w:tc>
        <w:tc>
          <w:tcPr>
            <w:tcW w:w="7266" w:type="dxa"/>
            <w:noWrap w:val="0"/>
            <w:tcMar>
              <w:top w:w="0" w:type="dxa"/>
              <w:left w:w="108" w:type="dxa"/>
              <w:bottom w:w="0" w:type="dxa"/>
              <w:right w:w="108" w:type="dxa"/>
            </w:tcMar>
            <w:vAlign w:val="center"/>
          </w:tcPr>
          <w:p w14:paraId="5D60B6B5">
            <w:pPr>
              <w:keepNext w:val="0"/>
              <w:keepLines w:val="0"/>
              <w:pageBreakBefore w:val="0"/>
              <w:widowControl w:val="0"/>
              <w:kinsoku w:val="0"/>
              <w:wordWrap/>
              <w:overflowPunct w:val="0"/>
              <w:topLinePunct w:val="0"/>
              <w:autoSpaceDE w:val="0"/>
              <w:autoSpaceDN w:val="0"/>
              <w:bidi w:val="0"/>
              <w:adjustRightInd w:val="0"/>
              <w:snapToGrid w:val="0"/>
              <w:spacing w:line="400" w:lineRule="exact"/>
              <w:ind w:left="0" w:leftChars="0" w:firstLine="0" w:firstLineChars="0"/>
              <w:jc w:val="left"/>
              <w:textAlignment w:val="center"/>
              <w:rPr>
                <w:rFonts w:hint="eastAsia" w:asciiTheme="minorEastAsia" w:hAnsiTheme="minorEastAsia" w:eastAsiaTheme="minorEastAsia" w:cstheme="minorEastAsia"/>
                <w:sz w:val="24"/>
                <w:szCs w:val="24"/>
              </w:rPr>
            </w:pPr>
            <w:r>
              <w:rPr>
                <w:rFonts w:hint="eastAsia" w:ascii="宋体" w:hAnsi="宋体" w:eastAsia="宋体" w:cs="宋体"/>
                <w:snapToGrid w:val="0"/>
                <w:color w:val="auto"/>
                <w:kern w:val="0"/>
                <w:sz w:val="24"/>
                <w:szCs w:val="24"/>
                <w:lang w:val="en-US" w:eastAsia="zh-CN"/>
              </w:rPr>
              <w:t>供应商提供对供货、安装安全保证方案，根据供应商的起重与吊装安全、搬运与装卸安全、高处作业安全、安装操作安全等情况进行打分，内容齐全、合理、可实施性满足需求的得</w:t>
            </w:r>
            <w:r>
              <w:rPr>
                <w:rFonts w:hint="eastAsia" w:ascii="宋体" w:hAnsi="宋体" w:cs="宋体"/>
                <w:snapToGrid w:val="0"/>
                <w:color w:val="auto"/>
                <w:kern w:val="0"/>
                <w:sz w:val="24"/>
                <w:szCs w:val="24"/>
                <w:lang w:val="en-US" w:eastAsia="zh-CN"/>
              </w:rPr>
              <w:t>3</w:t>
            </w:r>
            <w:r>
              <w:rPr>
                <w:rFonts w:hint="eastAsia" w:ascii="宋体" w:hAnsi="宋体" w:eastAsia="宋体" w:cs="宋体"/>
                <w:snapToGrid w:val="0"/>
                <w:color w:val="auto"/>
                <w:kern w:val="0"/>
                <w:sz w:val="24"/>
                <w:szCs w:val="24"/>
                <w:lang w:val="en-US" w:eastAsia="zh-CN"/>
              </w:rPr>
              <w:t>分；内容比较齐全、合理、可实施性满足需求的得</w:t>
            </w:r>
            <w:r>
              <w:rPr>
                <w:rFonts w:hint="eastAsia" w:ascii="宋体" w:hAnsi="宋体" w:cs="宋体"/>
                <w:snapToGrid w:val="0"/>
                <w:color w:val="auto"/>
                <w:kern w:val="0"/>
                <w:sz w:val="24"/>
                <w:szCs w:val="24"/>
                <w:lang w:val="en-US" w:eastAsia="zh-CN"/>
              </w:rPr>
              <w:t>2</w:t>
            </w:r>
            <w:r>
              <w:rPr>
                <w:rFonts w:hint="eastAsia" w:ascii="宋体" w:hAnsi="宋体" w:eastAsia="宋体" w:cs="宋体"/>
                <w:snapToGrid w:val="0"/>
                <w:color w:val="auto"/>
                <w:kern w:val="0"/>
                <w:sz w:val="24"/>
                <w:szCs w:val="24"/>
                <w:lang w:val="en-US" w:eastAsia="zh-CN"/>
              </w:rPr>
              <w:t>分；内容基本可实施性满足需求的得</w:t>
            </w:r>
            <w:r>
              <w:rPr>
                <w:rFonts w:hint="eastAsia" w:ascii="宋体" w:hAnsi="宋体" w:cs="宋体"/>
                <w:snapToGrid w:val="0"/>
                <w:color w:val="auto"/>
                <w:kern w:val="0"/>
                <w:sz w:val="24"/>
                <w:szCs w:val="24"/>
                <w:lang w:val="en-US" w:eastAsia="zh-CN"/>
              </w:rPr>
              <w:t>1</w:t>
            </w:r>
            <w:r>
              <w:rPr>
                <w:rFonts w:hint="eastAsia" w:ascii="宋体" w:hAnsi="宋体" w:eastAsia="宋体" w:cs="宋体"/>
                <w:snapToGrid w:val="0"/>
                <w:color w:val="auto"/>
                <w:kern w:val="0"/>
                <w:sz w:val="24"/>
                <w:szCs w:val="24"/>
                <w:lang w:val="en-US" w:eastAsia="zh-CN"/>
              </w:rPr>
              <w:t>分；内容勉强完整、 可实施性较小得</w:t>
            </w:r>
            <w:r>
              <w:rPr>
                <w:rFonts w:hint="eastAsia" w:ascii="宋体" w:hAnsi="宋体" w:cs="宋体"/>
                <w:snapToGrid w:val="0"/>
                <w:color w:val="auto"/>
                <w:kern w:val="0"/>
                <w:sz w:val="24"/>
                <w:szCs w:val="24"/>
                <w:lang w:val="en-US" w:eastAsia="zh-CN"/>
              </w:rPr>
              <w:t>0.5</w:t>
            </w:r>
            <w:r>
              <w:rPr>
                <w:rFonts w:hint="eastAsia" w:ascii="宋体" w:hAnsi="宋体" w:eastAsia="宋体" w:cs="宋体"/>
                <w:snapToGrid w:val="0"/>
                <w:color w:val="auto"/>
                <w:kern w:val="0"/>
                <w:sz w:val="24"/>
                <w:szCs w:val="24"/>
                <w:lang w:val="en-US" w:eastAsia="zh-CN"/>
              </w:rPr>
              <w:t>分，未提供不得分。</w:t>
            </w:r>
          </w:p>
        </w:tc>
      </w:tr>
      <w:tr w14:paraId="7BB1B744">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 w:type="dxa"/>
            <w:bottom w:w="0" w:type="dxa"/>
            <w:right w:w="10" w:type="dxa"/>
          </w:tblCellMar>
        </w:tblPrEx>
        <w:trPr>
          <w:trHeight w:val="1879" w:hRule="atLeast"/>
        </w:trPr>
        <w:tc>
          <w:tcPr>
            <w:tcW w:w="483" w:type="dxa"/>
            <w:vMerge w:val="continue"/>
            <w:noWrap w:val="0"/>
            <w:tcMar>
              <w:top w:w="0" w:type="dxa"/>
              <w:left w:w="108" w:type="dxa"/>
              <w:bottom w:w="0" w:type="dxa"/>
              <w:right w:w="108" w:type="dxa"/>
            </w:tcMar>
            <w:vAlign w:val="center"/>
          </w:tcPr>
          <w:p w14:paraId="4FE05454">
            <w:pPr>
              <w:keepNext w:val="0"/>
              <w:keepLines w:val="0"/>
              <w:pageBreakBefore w:val="0"/>
              <w:widowControl/>
              <w:kinsoku/>
              <w:wordWrap/>
              <w:overflowPunct/>
              <w:topLinePunct w:val="0"/>
              <w:bidi w:val="0"/>
              <w:adjustRightInd w:val="0"/>
              <w:snapToGrid w:val="0"/>
              <w:spacing w:line="400" w:lineRule="exact"/>
              <w:jc w:val="center"/>
              <w:textAlignment w:val="auto"/>
              <w:rPr>
                <w:rFonts w:hint="eastAsia" w:asciiTheme="minorEastAsia" w:hAnsiTheme="minorEastAsia" w:eastAsiaTheme="minorEastAsia" w:cstheme="minorEastAsia"/>
                <w:bCs/>
                <w:sz w:val="24"/>
                <w:szCs w:val="24"/>
              </w:rPr>
            </w:pPr>
          </w:p>
        </w:tc>
        <w:tc>
          <w:tcPr>
            <w:tcW w:w="945" w:type="dxa"/>
            <w:vMerge w:val="continue"/>
            <w:noWrap w:val="0"/>
            <w:tcMar>
              <w:top w:w="0" w:type="dxa"/>
              <w:left w:w="108" w:type="dxa"/>
              <w:bottom w:w="0" w:type="dxa"/>
              <w:right w:w="108" w:type="dxa"/>
            </w:tcMar>
            <w:vAlign w:val="top"/>
          </w:tcPr>
          <w:p w14:paraId="00CD5350">
            <w:pPr>
              <w:keepNext w:val="0"/>
              <w:keepLines w:val="0"/>
              <w:pageBreakBefore w:val="0"/>
              <w:kinsoku/>
              <w:wordWrap/>
              <w:overflowPunct/>
              <w:topLinePunct w:val="0"/>
              <w:bidi w:val="0"/>
              <w:adjustRightInd w:val="0"/>
              <w:snapToGrid w:val="0"/>
              <w:spacing w:line="400" w:lineRule="exact"/>
              <w:ind w:left="-1" w:right="-30" w:hanging="107"/>
              <w:jc w:val="center"/>
              <w:textAlignment w:val="auto"/>
              <w:rPr>
                <w:rFonts w:hint="eastAsia" w:asciiTheme="minorEastAsia" w:hAnsiTheme="minorEastAsia" w:eastAsiaTheme="minorEastAsia" w:cstheme="minorEastAsia"/>
                <w:sz w:val="24"/>
                <w:szCs w:val="24"/>
              </w:rPr>
            </w:pPr>
          </w:p>
        </w:tc>
        <w:tc>
          <w:tcPr>
            <w:tcW w:w="1245" w:type="dxa"/>
            <w:noWrap w:val="0"/>
            <w:tcMar>
              <w:top w:w="0" w:type="dxa"/>
              <w:left w:w="108" w:type="dxa"/>
              <w:bottom w:w="0" w:type="dxa"/>
              <w:right w:w="108" w:type="dxa"/>
            </w:tcMar>
            <w:vAlign w:val="center"/>
          </w:tcPr>
          <w:p w14:paraId="1E62DA55">
            <w:pPr>
              <w:keepNext w:val="0"/>
              <w:keepLines w:val="0"/>
              <w:widowControl/>
              <w:suppressLineNumbers w:val="0"/>
              <w:jc w:val="left"/>
              <w:rPr>
                <w:sz w:val="24"/>
                <w:szCs w:val="24"/>
              </w:rPr>
            </w:pPr>
            <w:r>
              <w:rPr>
                <w:rFonts w:hint="eastAsia" w:ascii="宋体" w:hAnsi="宋体" w:eastAsia="宋体" w:cs="宋体"/>
                <w:snapToGrid w:val="0"/>
                <w:color w:val="auto"/>
                <w:kern w:val="0"/>
                <w:sz w:val="24"/>
                <w:szCs w:val="24"/>
                <w:lang w:val="en-US" w:eastAsia="zh-CN"/>
              </w:rPr>
              <w:t>安装工期计划</w:t>
            </w:r>
            <w:r>
              <w:rPr>
                <w:rFonts w:hint="eastAsia" w:ascii="宋体" w:hAnsi="宋体" w:eastAsia="宋体" w:cs="宋体"/>
                <w:color w:val="000000"/>
                <w:kern w:val="0"/>
                <w:sz w:val="24"/>
                <w:szCs w:val="24"/>
                <w:lang w:val="en-US" w:eastAsia="zh-CN" w:bidi="ar"/>
              </w:rPr>
              <w:t>（</w:t>
            </w:r>
            <w:r>
              <w:rPr>
                <w:rFonts w:hint="eastAsia" w:ascii="宋体" w:hAnsi="宋体" w:cs="宋体"/>
                <w:color w:val="000000"/>
                <w:kern w:val="0"/>
                <w:sz w:val="24"/>
                <w:szCs w:val="24"/>
                <w:lang w:val="en-US" w:eastAsia="zh-CN" w:bidi="ar"/>
              </w:rPr>
              <w:t>3</w:t>
            </w:r>
            <w:r>
              <w:rPr>
                <w:rFonts w:hint="eastAsia" w:ascii="宋体" w:hAnsi="宋体" w:eastAsia="宋体" w:cs="宋体"/>
                <w:color w:val="000000"/>
                <w:kern w:val="0"/>
                <w:sz w:val="24"/>
                <w:szCs w:val="24"/>
                <w:lang w:val="en-US" w:eastAsia="zh-CN" w:bidi="ar"/>
              </w:rPr>
              <w:t>分）</w:t>
            </w:r>
          </w:p>
          <w:p w14:paraId="2571B454">
            <w:pPr>
              <w:keepNext w:val="0"/>
              <w:keepLines w:val="0"/>
              <w:pageBreakBefore w:val="0"/>
              <w:widowControl w:val="0"/>
              <w:kinsoku w:val="0"/>
              <w:wordWrap/>
              <w:overflowPunct w:val="0"/>
              <w:topLinePunct w:val="0"/>
              <w:autoSpaceDE w:val="0"/>
              <w:autoSpaceDN w:val="0"/>
              <w:bidi w:val="0"/>
              <w:adjustRightInd w:val="0"/>
              <w:snapToGrid w:val="0"/>
              <w:spacing w:line="400" w:lineRule="exact"/>
              <w:ind w:left="0" w:leftChars="0" w:firstLine="0" w:firstLineChars="0"/>
              <w:jc w:val="left"/>
              <w:textAlignment w:val="center"/>
              <w:rPr>
                <w:rFonts w:ascii="宋体" w:hAnsi="宋体" w:eastAsia="宋体" w:cs="宋体"/>
                <w:snapToGrid w:val="0"/>
                <w:color w:val="auto"/>
                <w:kern w:val="0"/>
                <w:sz w:val="24"/>
                <w:szCs w:val="24"/>
              </w:rPr>
            </w:pPr>
          </w:p>
          <w:p w14:paraId="612CBF1B">
            <w:pPr>
              <w:keepNext w:val="0"/>
              <w:keepLines w:val="0"/>
              <w:pageBreakBefore w:val="0"/>
              <w:widowControl w:val="0"/>
              <w:kinsoku w:val="0"/>
              <w:wordWrap/>
              <w:overflowPunct w:val="0"/>
              <w:topLinePunct w:val="0"/>
              <w:autoSpaceDE w:val="0"/>
              <w:autoSpaceDN w:val="0"/>
              <w:bidi w:val="0"/>
              <w:adjustRightInd w:val="0"/>
              <w:snapToGrid w:val="0"/>
              <w:spacing w:line="400" w:lineRule="exact"/>
              <w:ind w:left="0" w:leftChars="0" w:firstLine="0" w:firstLineChars="0"/>
              <w:jc w:val="left"/>
              <w:textAlignment w:val="center"/>
              <w:rPr>
                <w:rFonts w:hint="eastAsia" w:asciiTheme="minorEastAsia" w:hAnsiTheme="minorEastAsia" w:eastAsiaTheme="minorEastAsia" w:cstheme="minorEastAsia"/>
                <w:sz w:val="24"/>
                <w:szCs w:val="24"/>
              </w:rPr>
            </w:pPr>
          </w:p>
        </w:tc>
        <w:tc>
          <w:tcPr>
            <w:tcW w:w="7266" w:type="dxa"/>
            <w:noWrap w:val="0"/>
            <w:tcMar>
              <w:top w:w="0" w:type="dxa"/>
              <w:left w:w="108" w:type="dxa"/>
              <w:bottom w:w="0" w:type="dxa"/>
              <w:right w:w="108" w:type="dxa"/>
            </w:tcMar>
            <w:vAlign w:val="center"/>
          </w:tcPr>
          <w:p w14:paraId="699D89BA">
            <w:pPr>
              <w:keepNext w:val="0"/>
              <w:keepLines w:val="0"/>
              <w:pageBreakBefore w:val="0"/>
              <w:widowControl w:val="0"/>
              <w:kinsoku w:val="0"/>
              <w:wordWrap/>
              <w:overflowPunct w:val="0"/>
              <w:topLinePunct w:val="0"/>
              <w:autoSpaceDE w:val="0"/>
              <w:autoSpaceDN w:val="0"/>
              <w:bidi w:val="0"/>
              <w:adjustRightInd w:val="0"/>
              <w:snapToGrid w:val="0"/>
              <w:spacing w:line="400" w:lineRule="exact"/>
              <w:ind w:left="0" w:leftChars="0" w:firstLine="0" w:firstLineChars="0"/>
              <w:jc w:val="left"/>
              <w:textAlignment w:val="center"/>
              <w:rPr>
                <w:rFonts w:hint="eastAsia" w:asciiTheme="minorEastAsia" w:hAnsiTheme="minorEastAsia" w:eastAsiaTheme="minorEastAsia" w:cstheme="minorEastAsia"/>
                <w:sz w:val="24"/>
                <w:szCs w:val="24"/>
              </w:rPr>
            </w:pPr>
            <w:r>
              <w:rPr>
                <w:rFonts w:hint="eastAsia" w:ascii="宋体" w:hAnsi="宋体" w:eastAsia="宋体" w:cs="宋体"/>
                <w:snapToGrid w:val="0"/>
                <w:color w:val="auto"/>
                <w:kern w:val="0"/>
                <w:sz w:val="24"/>
                <w:szCs w:val="24"/>
                <w:lang w:val="en-US" w:eastAsia="zh-CN"/>
              </w:rPr>
              <w:t>针对本项目特点，应有合理的安装工期计划。方案内容非常详尽、完善、切合项目需求得</w:t>
            </w:r>
            <w:r>
              <w:rPr>
                <w:rFonts w:hint="eastAsia" w:ascii="宋体" w:hAnsi="宋体" w:cs="宋体"/>
                <w:snapToGrid w:val="0"/>
                <w:color w:val="auto"/>
                <w:kern w:val="0"/>
                <w:sz w:val="24"/>
                <w:szCs w:val="24"/>
                <w:lang w:val="en-US" w:eastAsia="zh-CN"/>
              </w:rPr>
              <w:t>3</w:t>
            </w:r>
            <w:r>
              <w:rPr>
                <w:rFonts w:hint="eastAsia" w:ascii="宋体" w:hAnsi="宋体" w:eastAsia="宋体" w:cs="宋体"/>
                <w:snapToGrid w:val="0"/>
                <w:color w:val="auto"/>
                <w:kern w:val="0"/>
                <w:sz w:val="24"/>
                <w:szCs w:val="24"/>
                <w:lang w:val="en-US" w:eastAsia="zh-CN"/>
              </w:rPr>
              <w:t>分；方案内容较为全面、比较切合项目需求得</w:t>
            </w:r>
            <w:r>
              <w:rPr>
                <w:rFonts w:hint="eastAsia" w:ascii="宋体" w:hAnsi="宋体" w:cs="宋体"/>
                <w:snapToGrid w:val="0"/>
                <w:color w:val="auto"/>
                <w:kern w:val="0"/>
                <w:sz w:val="24"/>
                <w:szCs w:val="24"/>
                <w:lang w:val="en-US" w:eastAsia="zh-CN"/>
              </w:rPr>
              <w:t>2</w:t>
            </w:r>
            <w:r>
              <w:rPr>
                <w:rFonts w:hint="eastAsia" w:ascii="宋体" w:hAnsi="宋体" w:eastAsia="宋体" w:cs="宋体"/>
                <w:snapToGrid w:val="0"/>
                <w:color w:val="auto"/>
                <w:kern w:val="0"/>
                <w:sz w:val="24"/>
                <w:szCs w:val="24"/>
                <w:lang w:val="en-US" w:eastAsia="zh-CN"/>
              </w:rPr>
              <w:t>分；方案内容基本切合项目需求得</w:t>
            </w:r>
            <w:r>
              <w:rPr>
                <w:rFonts w:hint="eastAsia" w:ascii="宋体" w:hAnsi="宋体" w:cs="宋体"/>
                <w:snapToGrid w:val="0"/>
                <w:color w:val="auto"/>
                <w:kern w:val="0"/>
                <w:sz w:val="24"/>
                <w:szCs w:val="24"/>
                <w:lang w:val="en-US" w:eastAsia="zh-CN"/>
              </w:rPr>
              <w:t>1</w:t>
            </w:r>
            <w:r>
              <w:rPr>
                <w:rFonts w:hint="eastAsia" w:ascii="宋体" w:hAnsi="宋体" w:eastAsia="宋体" w:cs="宋体"/>
                <w:snapToGrid w:val="0"/>
                <w:color w:val="auto"/>
                <w:kern w:val="0"/>
                <w:sz w:val="24"/>
                <w:szCs w:val="24"/>
                <w:lang w:val="en-US" w:eastAsia="zh-CN"/>
              </w:rPr>
              <w:t>分；方案内容勉强符合项目需求得</w:t>
            </w:r>
            <w:r>
              <w:rPr>
                <w:rFonts w:hint="eastAsia" w:ascii="宋体" w:hAnsi="宋体" w:cs="宋体"/>
                <w:snapToGrid w:val="0"/>
                <w:color w:val="auto"/>
                <w:kern w:val="0"/>
                <w:sz w:val="24"/>
                <w:szCs w:val="24"/>
                <w:lang w:val="en-US" w:eastAsia="zh-CN"/>
              </w:rPr>
              <w:t>0.5</w:t>
            </w:r>
            <w:r>
              <w:rPr>
                <w:rFonts w:hint="eastAsia" w:ascii="宋体" w:hAnsi="宋体" w:eastAsia="宋体" w:cs="宋体"/>
                <w:snapToGrid w:val="0"/>
                <w:color w:val="auto"/>
                <w:kern w:val="0"/>
                <w:sz w:val="24"/>
                <w:szCs w:val="24"/>
                <w:lang w:val="en-US" w:eastAsia="zh-CN"/>
              </w:rPr>
              <w:t>分；未提供不得分。</w:t>
            </w:r>
          </w:p>
        </w:tc>
      </w:tr>
      <w:tr w14:paraId="3DD81AAA">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 w:type="dxa"/>
            <w:bottom w:w="0" w:type="dxa"/>
            <w:right w:w="10" w:type="dxa"/>
          </w:tblCellMar>
        </w:tblPrEx>
        <w:trPr>
          <w:trHeight w:val="1875" w:hRule="atLeast"/>
        </w:trPr>
        <w:tc>
          <w:tcPr>
            <w:tcW w:w="483" w:type="dxa"/>
            <w:vMerge w:val="continue"/>
            <w:noWrap w:val="0"/>
            <w:tcMar>
              <w:top w:w="0" w:type="dxa"/>
              <w:left w:w="108" w:type="dxa"/>
              <w:bottom w:w="0" w:type="dxa"/>
              <w:right w:w="108" w:type="dxa"/>
            </w:tcMar>
            <w:vAlign w:val="center"/>
          </w:tcPr>
          <w:p w14:paraId="1FD9EC6F">
            <w:pPr>
              <w:keepNext w:val="0"/>
              <w:keepLines w:val="0"/>
              <w:pageBreakBefore w:val="0"/>
              <w:widowControl/>
              <w:kinsoku/>
              <w:wordWrap/>
              <w:overflowPunct/>
              <w:topLinePunct w:val="0"/>
              <w:bidi w:val="0"/>
              <w:adjustRightInd w:val="0"/>
              <w:snapToGrid w:val="0"/>
              <w:spacing w:line="400" w:lineRule="exact"/>
              <w:jc w:val="center"/>
              <w:textAlignment w:val="auto"/>
              <w:rPr>
                <w:rFonts w:hint="eastAsia" w:asciiTheme="minorEastAsia" w:hAnsiTheme="minorEastAsia" w:eastAsiaTheme="minorEastAsia" w:cstheme="minorEastAsia"/>
                <w:bCs/>
                <w:sz w:val="24"/>
                <w:szCs w:val="24"/>
              </w:rPr>
            </w:pPr>
          </w:p>
        </w:tc>
        <w:tc>
          <w:tcPr>
            <w:tcW w:w="945" w:type="dxa"/>
            <w:vMerge w:val="continue"/>
            <w:noWrap w:val="0"/>
            <w:tcMar>
              <w:top w:w="0" w:type="dxa"/>
              <w:left w:w="108" w:type="dxa"/>
              <w:bottom w:w="0" w:type="dxa"/>
              <w:right w:w="108" w:type="dxa"/>
            </w:tcMar>
            <w:vAlign w:val="top"/>
          </w:tcPr>
          <w:p w14:paraId="675D610B">
            <w:pPr>
              <w:keepNext w:val="0"/>
              <w:keepLines w:val="0"/>
              <w:pageBreakBefore w:val="0"/>
              <w:kinsoku/>
              <w:wordWrap/>
              <w:overflowPunct/>
              <w:topLinePunct w:val="0"/>
              <w:bidi w:val="0"/>
              <w:adjustRightInd w:val="0"/>
              <w:snapToGrid w:val="0"/>
              <w:spacing w:line="400" w:lineRule="exact"/>
              <w:ind w:left="-1" w:right="-30" w:hanging="107"/>
              <w:jc w:val="center"/>
              <w:textAlignment w:val="auto"/>
              <w:rPr>
                <w:rFonts w:hint="eastAsia" w:asciiTheme="minorEastAsia" w:hAnsiTheme="minorEastAsia" w:eastAsiaTheme="minorEastAsia" w:cstheme="minorEastAsia"/>
                <w:sz w:val="24"/>
                <w:szCs w:val="24"/>
              </w:rPr>
            </w:pPr>
          </w:p>
        </w:tc>
        <w:tc>
          <w:tcPr>
            <w:tcW w:w="1245" w:type="dxa"/>
            <w:noWrap w:val="0"/>
            <w:tcMar>
              <w:top w:w="0" w:type="dxa"/>
              <w:left w:w="108" w:type="dxa"/>
              <w:bottom w:w="0" w:type="dxa"/>
              <w:right w:w="108" w:type="dxa"/>
            </w:tcMar>
            <w:vAlign w:val="center"/>
          </w:tcPr>
          <w:p w14:paraId="0E96F850">
            <w:pPr>
              <w:keepNext w:val="0"/>
              <w:keepLines w:val="0"/>
              <w:widowControl/>
              <w:suppressLineNumbers w:val="0"/>
              <w:jc w:val="left"/>
              <w:rPr>
                <w:sz w:val="24"/>
                <w:szCs w:val="24"/>
              </w:rPr>
            </w:pPr>
            <w:r>
              <w:rPr>
                <w:rFonts w:hint="eastAsia" w:ascii="宋体" w:hAnsi="宋体" w:eastAsia="宋体" w:cs="宋体"/>
                <w:snapToGrid w:val="0"/>
                <w:color w:val="auto"/>
                <w:kern w:val="0"/>
                <w:sz w:val="24"/>
                <w:szCs w:val="24"/>
                <w:lang w:val="en-US" w:eastAsia="zh-CN"/>
              </w:rPr>
              <w:t>维修保养方案</w:t>
            </w:r>
            <w:r>
              <w:rPr>
                <w:rFonts w:hint="eastAsia" w:ascii="宋体" w:hAnsi="宋体" w:eastAsia="宋体" w:cs="宋体"/>
                <w:color w:val="000000"/>
                <w:kern w:val="0"/>
                <w:sz w:val="24"/>
                <w:szCs w:val="24"/>
                <w:lang w:val="en-US" w:eastAsia="zh-CN" w:bidi="ar"/>
              </w:rPr>
              <w:t>（</w:t>
            </w:r>
            <w:r>
              <w:rPr>
                <w:rFonts w:hint="eastAsia" w:ascii="宋体" w:hAnsi="宋体" w:cs="宋体"/>
                <w:color w:val="000000"/>
                <w:kern w:val="0"/>
                <w:sz w:val="24"/>
                <w:szCs w:val="24"/>
                <w:lang w:val="en-US" w:eastAsia="zh-CN" w:bidi="ar"/>
              </w:rPr>
              <w:t>3</w:t>
            </w:r>
            <w:r>
              <w:rPr>
                <w:rFonts w:hint="eastAsia" w:ascii="宋体" w:hAnsi="宋体" w:eastAsia="宋体" w:cs="宋体"/>
                <w:color w:val="000000"/>
                <w:kern w:val="0"/>
                <w:sz w:val="24"/>
                <w:szCs w:val="24"/>
                <w:lang w:val="en-US" w:eastAsia="zh-CN" w:bidi="ar"/>
              </w:rPr>
              <w:t>分）</w:t>
            </w:r>
          </w:p>
          <w:p w14:paraId="292A61C2">
            <w:pPr>
              <w:keepNext w:val="0"/>
              <w:keepLines w:val="0"/>
              <w:pageBreakBefore w:val="0"/>
              <w:widowControl w:val="0"/>
              <w:kinsoku w:val="0"/>
              <w:wordWrap/>
              <w:overflowPunct w:val="0"/>
              <w:topLinePunct w:val="0"/>
              <w:autoSpaceDE w:val="0"/>
              <w:autoSpaceDN w:val="0"/>
              <w:bidi w:val="0"/>
              <w:adjustRightInd w:val="0"/>
              <w:snapToGrid w:val="0"/>
              <w:spacing w:line="400" w:lineRule="exact"/>
              <w:ind w:left="0" w:leftChars="0" w:firstLine="0" w:firstLineChars="0"/>
              <w:jc w:val="left"/>
              <w:textAlignment w:val="center"/>
              <w:rPr>
                <w:rFonts w:ascii="宋体" w:hAnsi="宋体" w:eastAsia="宋体" w:cs="宋体"/>
                <w:snapToGrid w:val="0"/>
                <w:color w:val="auto"/>
                <w:kern w:val="0"/>
                <w:sz w:val="24"/>
                <w:szCs w:val="24"/>
              </w:rPr>
            </w:pPr>
          </w:p>
          <w:p w14:paraId="1884FE1E">
            <w:pPr>
              <w:keepNext w:val="0"/>
              <w:keepLines w:val="0"/>
              <w:pageBreakBefore w:val="0"/>
              <w:widowControl w:val="0"/>
              <w:kinsoku w:val="0"/>
              <w:wordWrap/>
              <w:overflowPunct w:val="0"/>
              <w:topLinePunct w:val="0"/>
              <w:autoSpaceDE w:val="0"/>
              <w:autoSpaceDN w:val="0"/>
              <w:bidi w:val="0"/>
              <w:adjustRightInd w:val="0"/>
              <w:snapToGrid w:val="0"/>
              <w:spacing w:line="400" w:lineRule="exact"/>
              <w:ind w:left="0" w:leftChars="0" w:firstLine="0" w:firstLineChars="0"/>
              <w:jc w:val="left"/>
              <w:textAlignment w:val="center"/>
              <w:rPr>
                <w:rFonts w:hint="eastAsia" w:asciiTheme="minorEastAsia" w:hAnsiTheme="minorEastAsia" w:eastAsiaTheme="minorEastAsia" w:cstheme="minorEastAsia"/>
                <w:sz w:val="24"/>
                <w:szCs w:val="24"/>
              </w:rPr>
            </w:pPr>
          </w:p>
        </w:tc>
        <w:tc>
          <w:tcPr>
            <w:tcW w:w="7266" w:type="dxa"/>
            <w:noWrap w:val="0"/>
            <w:tcMar>
              <w:top w:w="0" w:type="dxa"/>
              <w:left w:w="108" w:type="dxa"/>
              <w:bottom w:w="0" w:type="dxa"/>
              <w:right w:w="108" w:type="dxa"/>
            </w:tcMar>
            <w:vAlign w:val="center"/>
          </w:tcPr>
          <w:p w14:paraId="12D7F90A">
            <w:pPr>
              <w:keepNext w:val="0"/>
              <w:keepLines w:val="0"/>
              <w:pageBreakBefore w:val="0"/>
              <w:widowControl w:val="0"/>
              <w:kinsoku w:val="0"/>
              <w:wordWrap/>
              <w:overflowPunct w:val="0"/>
              <w:topLinePunct w:val="0"/>
              <w:autoSpaceDE w:val="0"/>
              <w:autoSpaceDN w:val="0"/>
              <w:bidi w:val="0"/>
              <w:adjustRightInd w:val="0"/>
              <w:snapToGrid w:val="0"/>
              <w:spacing w:line="400" w:lineRule="exact"/>
              <w:ind w:left="0" w:leftChars="0" w:firstLine="0" w:firstLineChars="0"/>
              <w:jc w:val="left"/>
              <w:textAlignment w:val="center"/>
              <w:rPr>
                <w:rFonts w:hint="eastAsia" w:asciiTheme="minorEastAsia" w:hAnsiTheme="minorEastAsia" w:eastAsiaTheme="minorEastAsia" w:cstheme="minorEastAsia"/>
                <w:sz w:val="24"/>
                <w:szCs w:val="24"/>
              </w:rPr>
            </w:pPr>
            <w:r>
              <w:rPr>
                <w:rFonts w:hint="eastAsia" w:ascii="宋体" w:hAnsi="宋体" w:eastAsia="宋体" w:cs="宋体"/>
                <w:snapToGrid w:val="0"/>
                <w:color w:val="auto"/>
                <w:kern w:val="0"/>
                <w:sz w:val="24"/>
                <w:szCs w:val="24"/>
                <w:lang w:val="en-US" w:eastAsia="zh-CN"/>
              </w:rPr>
              <w:t>维修保养方案的科学性、合理性、规范性、可操作性。方案内容非常详尽、 完善、切合项目需求得</w:t>
            </w:r>
            <w:r>
              <w:rPr>
                <w:rFonts w:hint="eastAsia" w:ascii="宋体" w:hAnsi="宋体" w:cs="宋体"/>
                <w:snapToGrid w:val="0"/>
                <w:color w:val="auto"/>
                <w:kern w:val="0"/>
                <w:sz w:val="24"/>
                <w:szCs w:val="24"/>
                <w:lang w:val="en-US" w:eastAsia="zh-CN"/>
              </w:rPr>
              <w:t>3</w:t>
            </w:r>
            <w:r>
              <w:rPr>
                <w:rFonts w:hint="eastAsia" w:ascii="宋体" w:hAnsi="宋体" w:eastAsia="宋体" w:cs="宋体"/>
                <w:snapToGrid w:val="0"/>
                <w:color w:val="auto"/>
                <w:kern w:val="0"/>
                <w:sz w:val="24"/>
                <w:szCs w:val="24"/>
                <w:lang w:val="en-US" w:eastAsia="zh-CN"/>
              </w:rPr>
              <w:t>分；方案内容较为全面、比较切合项目需求得</w:t>
            </w:r>
            <w:r>
              <w:rPr>
                <w:rFonts w:hint="eastAsia" w:ascii="宋体" w:hAnsi="宋体" w:cs="宋体"/>
                <w:snapToGrid w:val="0"/>
                <w:color w:val="auto"/>
                <w:kern w:val="0"/>
                <w:sz w:val="24"/>
                <w:szCs w:val="24"/>
                <w:lang w:val="en-US" w:eastAsia="zh-CN"/>
              </w:rPr>
              <w:t>2</w:t>
            </w:r>
            <w:r>
              <w:rPr>
                <w:rFonts w:hint="eastAsia" w:ascii="宋体" w:hAnsi="宋体" w:eastAsia="宋体" w:cs="宋体"/>
                <w:snapToGrid w:val="0"/>
                <w:color w:val="auto"/>
                <w:kern w:val="0"/>
                <w:sz w:val="24"/>
                <w:szCs w:val="24"/>
                <w:lang w:val="en-US" w:eastAsia="zh-CN"/>
              </w:rPr>
              <w:t>分；方案内容基本切合项目需求得</w:t>
            </w:r>
            <w:r>
              <w:rPr>
                <w:rFonts w:hint="eastAsia" w:ascii="宋体" w:hAnsi="宋体" w:cs="宋体"/>
                <w:snapToGrid w:val="0"/>
                <w:color w:val="auto"/>
                <w:kern w:val="0"/>
                <w:sz w:val="24"/>
                <w:szCs w:val="24"/>
                <w:lang w:val="en-US" w:eastAsia="zh-CN"/>
              </w:rPr>
              <w:t>1</w:t>
            </w:r>
            <w:r>
              <w:rPr>
                <w:rFonts w:hint="eastAsia" w:ascii="宋体" w:hAnsi="宋体" w:eastAsia="宋体" w:cs="宋体"/>
                <w:snapToGrid w:val="0"/>
                <w:color w:val="auto"/>
                <w:kern w:val="0"/>
                <w:sz w:val="24"/>
                <w:szCs w:val="24"/>
                <w:lang w:val="en-US" w:eastAsia="zh-CN"/>
              </w:rPr>
              <w:t>分；方案内容勉强符合项目需求得</w:t>
            </w:r>
            <w:r>
              <w:rPr>
                <w:rFonts w:hint="eastAsia" w:ascii="宋体" w:hAnsi="宋体" w:cs="宋体"/>
                <w:snapToGrid w:val="0"/>
                <w:color w:val="auto"/>
                <w:kern w:val="0"/>
                <w:sz w:val="24"/>
                <w:szCs w:val="24"/>
                <w:lang w:val="en-US" w:eastAsia="zh-CN"/>
              </w:rPr>
              <w:t>0.5</w:t>
            </w:r>
            <w:r>
              <w:rPr>
                <w:rFonts w:hint="eastAsia" w:ascii="宋体" w:hAnsi="宋体" w:eastAsia="宋体" w:cs="宋体"/>
                <w:snapToGrid w:val="0"/>
                <w:color w:val="auto"/>
                <w:kern w:val="0"/>
                <w:sz w:val="24"/>
                <w:szCs w:val="24"/>
                <w:lang w:val="en-US" w:eastAsia="zh-CN"/>
              </w:rPr>
              <w:t>分；未提供不得分。</w:t>
            </w:r>
          </w:p>
        </w:tc>
      </w:tr>
      <w:tr w14:paraId="1CBD7F6B">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 w:type="dxa"/>
            <w:bottom w:w="0" w:type="dxa"/>
            <w:right w:w="10" w:type="dxa"/>
          </w:tblCellMar>
        </w:tblPrEx>
        <w:trPr>
          <w:trHeight w:val="2041" w:hRule="atLeast"/>
        </w:trPr>
        <w:tc>
          <w:tcPr>
            <w:tcW w:w="483" w:type="dxa"/>
            <w:vMerge w:val="continue"/>
            <w:noWrap w:val="0"/>
            <w:tcMar>
              <w:top w:w="0" w:type="dxa"/>
              <w:left w:w="108" w:type="dxa"/>
              <w:bottom w:w="0" w:type="dxa"/>
              <w:right w:w="108" w:type="dxa"/>
            </w:tcMar>
            <w:vAlign w:val="center"/>
          </w:tcPr>
          <w:p w14:paraId="7D2D8E2F">
            <w:pPr>
              <w:keepNext w:val="0"/>
              <w:keepLines w:val="0"/>
              <w:pageBreakBefore w:val="0"/>
              <w:widowControl/>
              <w:kinsoku/>
              <w:wordWrap/>
              <w:overflowPunct/>
              <w:topLinePunct w:val="0"/>
              <w:bidi w:val="0"/>
              <w:adjustRightInd w:val="0"/>
              <w:snapToGrid w:val="0"/>
              <w:spacing w:line="400" w:lineRule="exact"/>
              <w:jc w:val="center"/>
              <w:textAlignment w:val="auto"/>
              <w:rPr>
                <w:rFonts w:hint="eastAsia" w:asciiTheme="minorEastAsia" w:hAnsiTheme="minorEastAsia" w:eastAsiaTheme="minorEastAsia" w:cstheme="minorEastAsia"/>
                <w:bCs/>
                <w:sz w:val="24"/>
                <w:szCs w:val="24"/>
              </w:rPr>
            </w:pPr>
          </w:p>
        </w:tc>
        <w:tc>
          <w:tcPr>
            <w:tcW w:w="945" w:type="dxa"/>
            <w:vMerge w:val="continue"/>
            <w:noWrap w:val="0"/>
            <w:tcMar>
              <w:top w:w="0" w:type="dxa"/>
              <w:left w:w="108" w:type="dxa"/>
              <w:bottom w:w="0" w:type="dxa"/>
              <w:right w:w="108" w:type="dxa"/>
            </w:tcMar>
            <w:vAlign w:val="top"/>
          </w:tcPr>
          <w:p w14:paraId="3DFD1A6A">
            <w:pPr>
              <w:keepNext w:val="0"/>
              <w:keepLines w:val="0"/>
              <w:pageBreakBefore w:val="0"/>
              <w:kinsoku/>
              <w:wordWrap/>
              <w:overflowPunct/>
              <w:topLinePunct w:val="0"/>
              <w:bidi w:val="0"/>
              <w:adjustRightInd w:val="0"/>
              <w:snapToGrid w:val="0"/>
              <w:spacing w:line="400" w:lineRule="exact"/>
              <w:ind w:left="-1" w:right="-30" w:hanging="107"/>
              <w:jc w:val="center"/>
              <w:textAlignment w:val="auto"/>
              <w:rPr>
                <w:rFonts w:hint="eastAsia" w:asciiTheme="minorEastAsia" w:hAnsiTheme="minorEastAsia" w:eastAsiaTheme="minorEastAsia" w:cstheme="minorEastAsia"/>
                <w:sz w:val="24"/>
                <w:szCs w:val="24"/>
              </w:rPr>
            </w:pPr>
          </w:p>
        </w:tc>
        <w:tc>
          <w:tcPr>
            <w:tcW w:w="1245" w:type="dxa"/>
            <w:noWrap w:val="0"/>
            <w:tcMar>
              <w:top w:w="0" w:type="dxa"/>
              <w:left w:w="108" w:type="dxa"/>
              <w:bottom w:w="0" w:type="dxa"/>
              <w:right w:w="108" w:type="dxa"/>
            </w:tcMar>
            <w:vAlign w:val="center"/>
          </w:tcPr>
          <w:p w14:paraId="52768206">
            <w:pPr>
              <w:keepNext w:val="0"/>
              <w:keepLines w:val="0"/>
              <w:widowControl/>
              <w:suppressLineNumbers w:val="0"/>
              <w:jc w:val="left"/>
              <w:rPr>
                <w:sz w:val="24"/>
                <w:szCs w:val="24"/>
              </w:rPr>
            </w:pPr>
            <w:r>
              <w:rPr>
                <w:rFonts w:hint="eastAsia" w:ascii="宋体" w:hAnsi="宋体" w:eastAsia="宋体" w:cs="宋体"/>
                <w:snapToGrid w:val="0"/>
                <w:color w:val="auto"/>
                <w:kern w:val="0"/>
                <w:sz w:val="24"/>
                <w:szCs w:val="24"/>
                <w:lang w:val="en-US" w:eastAsia="zh-CN"/>
              </w:rPr>
              <w:t>质量保证期内外服务内容及承诺</w:t>
            </w:r>
            <w:r>
              <w:rPr>
                <w:rFonts w:hint="eastAsia" w:ascii="宋体" w:hAnsi="宋体" w:eastAsia="宋体" w:cs="宋体"/>
                <w:color w:val="000000"/>
                <w:kern w:val="0"/>
                <w:sz w:val="24"/>
                <w:szCs w:val="24"/>
                <w:lang w:val="en-US" w:eastAsia="zh-CN" w:bidi="ar"/>
              </w:rPr>
              <w:t>（</w:t>
            </w:r>
            <w:r>
              <w:rPr>
                <w:rFonts w:hint="eastAsia" w:ascii="宋体" w:hAnsi="宋体" w:cs="宋体"/>
                <w:color w:val="000000"/>
                <w:kern w:val="0"/>
                <w:sz w:val="24"/>
                <w:szCs w:val="24"/>
                <w:lang w:val="en-US" w:eastAsia="zh-CN" w:bidi="ar"/>
              </w:rPr>
              <w:t>3</w:t>
            </w:r>
            <w:r>
              <w:rPr>
                <w:rFonts w:hint="eastAsia" w:ascii="宋体" w:hAnsi="宋体" w:eastAsia="宋体" w:cs="宋体"/>
                <w:color w:val="000000"/>
                <w:kern w:val="0"/>
                <w:sz w:val="24"/>
                <w:szCs w:val="24"/>
                <w:lang w:val="en-US" w:eastAsia="zh-CN" w:bidi="ar"/>
              </w:rPr>
              <w:t>分）</w:t>
            </w:r>
          </w:p>
          <w:p w14:paraId="0164DECB">
            <w:pPr>
              <w:keepNext w:val="0"/>
              <w:keepLines w:val="0"/>
              <w:pageBreakBefore w:val="0"/>
              <w:widowControl w:val="0"/>
              <w:kinsoku w:val="0"/>
              <w:wordWrap/>
              <w:overflowPunct w:val="0"/>
              <w:topLinePunct w:val="0"/>
              <w:autoSpaceDE w:val="0"/>
              <w:autoSpaceDN w:val="0"/>
              <w:bidi w:val="0"/>
              <w:adjustRightInd w:val="0"/>
              <w:snapToGrid w:val="0"/>
              <w:spacing w:line="400" w:lineRule="exact"/>
              <w:ind w:left="0" w:leftChars="0" w:firstLine="0" w:firstLineChars="0"/>
              <w:jc w:val="left"/>
              <w:textAlignment w:val="center"/>
              <w:rPr>
                <w:rFonts w:hint="eastAsia" w:asciiTheme="minorEastAsia" w:hAnsiTheme="minorEastAsia" w:eastAsiaTheme="minorEastAsia" w:cstheme="minorEastAsia"/>
                <w:sz w:val="24"/>
                <w:szCs w:val="24"/>
              </w:rPr>
            </w:pPr>
          </w:p>
        </w:tc>
        <w:tc>
          <w:tcPr>
            <w:tcW w:w="7266" w:type="dxa"/>
            <w:noWrap w:val="0"/>
            <w:tcMar>
              <w:top w:w="0" w:type="dxa"/>
              <w:left w:w="108" w:type="dxa"/>
              <w:bottom w:w="0" w:type="dxa"/>
              <w:right w:w="108" w:type="dxa"/>
            </w:tcMar>
            <w:vAlign w:val="center"/>
          </w:tcPr>
          <w:p w14:paraId="50D91B5C">
            <w:pPr>
              <w:keepNext w:val="0"/>
              <w:keepLines w:val="0"/>
              <w:pageBreakBefore w:val="0"/>
              <w:widowControl w:val="0"/>
              <w:kinsoku w:val="0"/>
              <w:wordWrap/>
              <w:overflowPunct w:val="0"/>
              <w:topLinePunct w:val="0"/>
              <w:autoSpaceDE w:val="0"/>
              <w:autoSpaceDN w:val="0"/>
              <w:bidi w:val="0"/>
              <w:adjustRightInd w:val="0"/>
              <w:snapToGrid w:val="0"/>
              <w:spacing w:line="400" w:lineRule="exact"/>
              <w:ind w:left="0" w:leftChars="0" w:firstLine="0" w:firstLineChars="0"/>
              <w:jc w:val="left"/>
              <w:textAlignment w:val="center"/>
              <w:rPr>
                <w:rFonts w:hint="eastAsia" w:asciiTheme="minorEastAsia" w:hAnsiTheme="minorEastAsia" w:eastAsiaTheme="minorEastAsia" w:cstheme="minorEastAsia"/>
                <w:sz w:val="24"/>
                <w:szCs w:val="24"/>
              </w:rPr>
            </w:pPr>
            <w:r>
              <w:rPr>
                <w:rFonts w:hint="eastAsia" w:ascii="宋体" w:hAnsi="宋体" w:eastAsia="宋体" w:cs="宋体"/>
                <w:snapToGrid w:val="0"/>
                <w:color w:val="auto"/>
                <w:kern w:val="0"/>
                <w:sz w:val="24"/>
                <w:szCs w:val="24"/>
                <w:lang w:val="en-US" w:eastAsia="zh-CN"/>
              </w:rPr>
              <w:t>针对本项目提供质量保证期内外服务内容及承诺等内容，方案内容非常详尽、完善、切合项目需求得</w:t>
            </w:r>
            <w:r>
              <w:rPr>
                <w:rFonts w:hint="eastAsia" w:ascii="宋体" w:hAnsi="宋体" w:cs="宋体"/>
                <w:snapToGrid w:val="0"/>
                <w:color w:val="auto"/>
                <w:kern w:val="0"/>
                <w:sz w:val="24"/>
                <w:szCs w:val="24"/>
                <w:lang w:val="en-US" w:eastAsia="zh-CN"/>
              </w:rPr>
              <w:t>3</w:t>
            </w:r>
            <w:r>
              <w:rPr>
                <w:rFonts w:hint="eastAsia" w:ascii="宋体" w:hAnsi="宋体" w:eastAsia="宋体" w:cs="宋体"/>
                <w:snapToGrid w:val="0"/>
                <w:color w:val="auto"/>
                <w:kern w:val="0"/>
                <w:sz w:val="24"/>
                <w:szCs w:val="24"/>
                <w:lang w:val="en-US" w:eastAsia="zh-CN"/>
              </w:rPr>
              <w:t>分；方案内容较为全面、比较切合项目需求得</w:t>
            </w:r>
            <w:r>
              <w:rPr>
                <w:rFonts w:hint="eastAsia" w:ascii="宋体" w:hAnsi="宋体" w:cs="宋体"/>
                <w:snapToGrid w:val="0"/>
                <w:color w:val="auto"/>
                <w:kern w:val="0"/>
                <w:sz w:val="24"/>
                <w:szCs w:val="24"/>
                <w:lang w:val="en-US" w:eastAsia="zh-CN"/>
              </w:rPr>
              <w:t>2</w:t>
            </w:r>
            <w:r>
              <w:rPr>
                <w:rFonts w:hint="eastAsia" w:ascii="宋体" w:hAnsi="宋体" w:eastAsia="宋体" w:cs="宋体"/>
                <w:snapToGrid w:val="0"/>
                <w:color w:val="auto"/>
                <w:kern w:val="0"/>
                <w:sz w:val="24"/>
                <w:szCs w:val="24"/>
                <w:lang w:val="en-US" w:eastAsia="zh-CN"/>
              </w:rPr>
              <w:t>分；方案内容基本切合项目需求得</w:t>
            </w:r>
            <w:r>
              <w:rPr>
                <w:rFonts w:hint="eastAsia" w:ascii="宋体" w:hAnsi="宋体" w:cs="宋体"/>
                <w:snapToGrid w:val="0"/>
                <w:color w:val="auto"/>
                <w:kern w:val="0"/>
                <w:sz w:val="24"/>
                <w:szCs w:val="24"/>
                <w:lang w:val="en-US" w:eastAsia="zh-CN"/>
              </w:rPr>
              <w:t>1</w:t>
            </w:r>
            <w:r>
              <w:rPr>
                <w:rFonts w:hint="eastAsia" w:ascii="宋体" w:hAnsi="宋体" w:eastAsia="宋体" w:cs="宋体"/>
                <w:snapToGrid w:val="0"/>
                <w:color w:val="auto"/>
                <w:kern w:val="0"/>
                <w:sz w:val="24"/>
                <w:szCs w:val="24"/>
                <w:lang w:val="en-US" w:eastAsia="zh-CN"/>
              </w:rPr>
              <w:t>分；方案内容勉强符合项目需求得</w:t>
            </w:r>
            <w:r>
              <w:rPr>
                <w:rFonts w:hint="eastAsia" w:ascii="宋体" w:hAnsi="宋体" w:cs="宋体"/>
                <w:snapToGrid w:val="0"/>
                <w:color w:val="auto"/>
                <w:kern w:val="0"/>
                <w:sz w:val="24"/>
                <w:szCs w:val="24"/>
                <w:lang w:val="en-US" w:eastAsia="zh-CN"/>
              </w:rPr>
              <w:t>0.5</w:t>
            </w:r>
            <w:r>
              <w:rPr>
                <w:rFonts w:hint="eastAsia" w:ascii="宋体" w:hAnsi="宋体" w:eastAsia="宋体" w:cs="宋体"/>
                <w:snapToGrid w:val="0"/>
                <w:color w:val="auto"/>
                <w:kern w:val="0"/>
                <w:sz w:val="24"/>
                <w:szCs w:val="24"/>
                <w:lang w:val="en-US" w:eastAsia="zh-CN"/>
              </w:rPr>
              <w:t>分；未提供不得分。</w:t>
            </w:r>
          </w:p>
        </w:tc>
      </w:tr>
      <w:tr w14:paraId="1D747564">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 w:type="dxa"/>
            <w:bottom w:w="0" w:type="dxa"/>
            <w:right w:w="10" w:type="dxa"/>
          </w:tblCellMar>
        </w:tblPrEx>
        <w:trPr>
          <w:trHeight w:val="1894" w:hRule="atLeast"/>
        </w:trPr>
        <w:tc>
          <w:tcPr>
            <w:tcW w:w="483" w:type="dxa"/>
            <w:vMerge w:val="continue"/>
            <w:noWrap w:val="0"/>
            <w:tcMar>
              <w:top w:w="0" w:type="dxa"/>
              <w:left w:w="108" w:type="dxa"/>
              <w:bottom w:w="0" w:type="dxa"/>
              <w:right w:w="108" w:type="dxa"/>
            </w:tcMar>
            <w:vAlign w:val="center"/>
          </w:tcPr>
          <w:p w14:paraId="129A3F92">
            <w:pPr>
              <w:keepNext w:val="0"/>
              <w:keepLines w:val="0"/>
              <w:pageBreakBefore w:val="0"/>
              <w:widowControl/>
              <w:kinsoku/>
              <w:wordWrap/>
              <w:overflowPunct/>
              <w:topLinePunct w:val="0"/>
              <w:bidi w:val="0"/>
              <w:adjustRightInd w:val="0"/>
              <w:snapToGrid w:val="0"/>
              <w:spacing w:line="400" w:lineRule="exact"/>
              <w:jc w:val="center"/>
              <w:textAlignment w:val="auto"/>
              <w:rPr>
                <w:rFonts w:hint="eastAsia" w:asciiTheme="minorEastAsia" w:hAnsiTheme="minorEastAsia" w:eastAsiaTheme="minorEastAsia" w:cstheme="minorEastAsia"/>
                <w:bCs/>
                <w:sz w:val="24"/>
                <w:szCs w:val="24"/>
              </w:rPr>
            </w:pPr>
          </w:p>
        </w:tc>
        <w:tc>
          <w:tcPr>
            <w:tcW w:w="945" w:type="dxa"/>
            <w:vMerge w:val="continue"/>
            <w:noWrap w:val="0"/>
            <w:tcMar>
              <w:top w:w="0" w:type="dxa"/>
              <w:left w:w="108" w:type="dxa"/>
              <w:bottom w:w="0" w:type="dxa"/>
              <w:right w:w="108" w:type="dxa"/>
            </w:tcMar>
            <w:vAlign w:val="top"/>
          </w:tcPr>
          <w:p w14:paraId="615D5717">
            <w:pPr>
              <w:keepNext w:val="0"/>
              <w:keepLines w:val="0"/>
              <w:pageBreakBefore w:val="0"/>
              <w:kinsoku/>
              <w:wordWrap/>
              <w:overflowPunct/>
              <w:topLinePunct w:val="0"/>
              <w:bidi w:val="0"/>
              <w:adjustRightInd w:val="0"/>
              <w:snapToGrid w:val="0"/>
              <w:spacing w:line="400" w:lineRule="exact"/>
              <w:ind w:left="-1" w:right="-30" w:hanging="107"/>
              <w:jc w:val="center"/>
              <w:textAlignment w:val="auto"/>
              <w:rPr>
                <w:rFonts w:hint="eastAsia" w:asciiTheme="minorEastAsia" w:hAnsiTheme="minorEastAsia" w:eastAsiaTheme="minorEastAsia" w:cstheme="minorEastAsia"/>
                <w:sz w:val="24"/>
                <w:szCs w:val="24"/>
              </w:rPr>
            </w:pPr>
          </w:p>
        </w:tc>
        <w:tc>
          <w:tcPr>
            <w:tcW w:w="1245" w:type="dxa"/>
            <w:noWrap w:val="0"/>
            <w:tcMar>
              <w:top w:w="0" w:type="dxa"/>
              <w:left w:w="108" w:type="dxa"/>
              <w:bottom w:w="0" w:type="dxa"/>
              <w:right w:w="108" w:type="dxa"/>
            </w:tcMar>
            <w:vAlign w:val="center"/>
          </w:tcPr>
          <w:p w14:paraId="0A80F4BB">
            <w:pPr>
              <w:keepNext w:val="0"/>
              <w:keepLines w:val="0"/>
              <w:widowControl/>
              <w:suppressLineNumbers w:val="0"/>
              <w:jc w:val="left"/>
              <w:rPr>
                <w:sz w:val="24"/>
                <w:szCs w:val="24"/>
              </w:rPr>
            </w:pPr>
            <w:r>
              <w:rPr>
                <w:rFonts w:hint="eastAsia" w:ascii="宋体" w:hAnsi="宋体" w:eastAsia="宋体" w:cs="宋体"/>
                <w:snapToGrid w:val="0"/>
                <w:color w:val="auto"/>
                <w:kern w:val="0"/>
                <w:sz w:val="24"/>
                <w:szCs w:val="24"/>
                <w:lang w:val="en-US" w:eastAsia="zh-CN"/>
              </w:rPr>
              <w:t>现场文明施工计划，环境保护措施</w:t>
            </w:r>
            <w:r>
              <w:rPr>
                <w:rFonts w:hint="eastAsia" w:ascii="宋体" w:hAnsi="宋体" w:eastAsia="宋体" w:cs="宋体"/>
                <w:color w:val="000000"/>
                <w:kern w:val="0"/>
                <w:sz w:val="24"/>
                <w:szCs w:val="24"/>
                <w:lang w:val="en-US" w:eastAsia="zh-CN" w:bidi="ar"/>
              </w:rPr>
              <w:t>（</w:t>
            </w:r>
            <w:r>
              <w:rPr>
                <w:rFonts w:hint="eastAsia" w:ascii="宋体" w:hAnsi="宋体" w:cs="宋体"/>
                <w:color w:val="000000"/>
                <w:kern w:val="0"/>
                <w:sz w:val="24"/>
                <w:szCs w:val="24"/>
                <w:lang w:val="en-US" w:eastAsia="zh-CN" w:bidi="ar"/>
              </w:rPr>
              <w:t>3</w:t>
            </w:r>
            <w:r>
              <w:rPr>
                <w:rFonts w:hint="eastAsia" w:ascii="宋体" w:hAnsi="宋体" w:eastAsia="宋体" w:cs="宋体"/>
                <w:color w:val="000000"/>
                <w:kern w:val="0"/>
                <w:sz w:val="24"/>
                <w:szCs w:val="24"/>
                <w:lang w:val="en-US" w:eastAsia="zh-CN" w:bidi="ar"/>
              </w:rPr>
              <w:t>分）</w:t>
            </w:r>
          </w:p>
          <w:p w14:paraId="23075D69">
            <w:pPr>
              <w:keepNext w:val="0"/>
              <w:keepLines w:val="0"/>
              <w:pageBreakBefore w:val="0"/>
              <w:widowControl w:val="0"/>
              <w:kinsoku w:val="0"/>
              <w:wordWrap/>
              <w:overflowPunct w:val="0"/>
              <w:topLinePunct w:val="0"/>
              <w:autoSpaceDE w:val="0"/>
              <w:autoSpaceDN w:val="0"/>
              <w:bidi w:val="0"/>
              <w:adjustRightInd w:val="0"/>
              <w:snapToGrid w:val="0"/>
              <w:spacing w:line="400" w:lineRule="exact"/>
              <w:ind w:left="0" w:leftChars="0" w:firstLine="0" w:firstLineChars="0"/>
              <w:jc w:val="left"/>
              <w:textAlignment w:val="center"/>
              <w:rPr>
                <w:rFonts w:hint="eastAsia" w:asciiTheme="minorEastAsia" w:hAnsiTheme="minorEastAsia" w:eastAsiaTheme="minorEastAsia" w:cstheme="minorEastAsia"/>
                <w:sz w:val="24"/>
                <w:szCs w:val="24"/>
              </w:rPr>
            </w:pPr>
          </w:p>
        </w:tc>
        <w:tc>
          <w:tcPr>
            <w:tcW w:w="7266" w:type="dxa"/>
            <w:noWrap w:val="0"/>
            <w:tcMar>
              <w:top w:w="0" w:type="dxa"/>
              <w:left w:w="108" w:type="dxa"/>
              <w:bottom w:w="0" w:type="dxa"/>
              <w:right w:w="108" w:type="dxa"/>
            </w:tcMar>
            <w:vAlign w:val="center"/>
          </w:tcPr>
          <w:p w14:paraId="05EA31AC">
            <w:pPr>
              <w:keepNext w:val="0"/>
              <w:keepLines w:val="0"/>
              <w:pageBreakBefore w:val="0"/>
              <w:widowControl w:val="0"/>
              <w:kinsoku w:val="0"/>
              <w:wordWrap/>
              <w:overflowPunct w:val="0"/>
              <w:topLinePunct w:val="0"/>
              <w:autoSpaceDE w:val="0"/>
              <w:autoSpaceDN w:val="0"/>
              <w:bidi w:val="0"/>
              <w:adjustRightInd w:val="0"/>
              <w:snapToGrid w:val="0"/>
              <w:spacing w:line="400" w:lineRule="exact"/>
              <w:ind w:left="0" w:leftChars="0" w:firstLine="0" w:firstLineChars="0"/>
              <w:jc w:val="left"/>
              <w:textAlignment w:val="center"/>
              <w:rPr>
                <w:rFonts w:hint="eastAsia" w:asciiTheme="minorEastAsia" w:hAnsiTheme="minorEastAsia" w:eastAsiaTheme="minorEastAsia" w:cstheme="minorEastAsia"/>
                <w:sz w:val="24"/>
                <w:szCs w:val="24"/>
              </w:rPr>
            </w:pPr>
            <w:r>
              <w:rPr>
                <w:rFonts w:hint="eastAsia" w:ascii="宋体" w:hAnsi="宋体" w:eastAsia="宋体" w:cs="宋体"/>
                <w:snapToGrid w:val="0"/>
                <w:color w:val="auto"/>
                <w:kern w:val="0"/>
                <w:sz w:val="24"/>
                <w:szCs w:val="24"/>
                <w:lang w:val="en-US" w:eastAsia="zh-CN"/>
              </w:rPr>
              <w:t xml:space="preserve">针对本项目特点，应有合理的现场文明施工计划，环境保护措施。方案内容非常详尽、完善、切合项目需求得 </w:t>
            </w:r>
            <w:r>
              <w:rPr>
                <w:rFonts w:hint="eastAsia" w:ascii="宋体" w:hAnsi="宋体" w:cs="宋体"/>
                <w:snapToGrid w:val="0"/>
                <w:color w:val="auto"/>
                <w:kern w:val="0"/>
                <w:sz w:val="24"/>
                <w:szCs w:val="24"/>
                <w:lang w:val="en-US" w:eastAsia="zh-CN"/>
              </w:rPr>
              <w:t>3</w:t>
            </w:r>
            <w:r>
              <w:rPr>
                <w:rFonts w:hint="eastAsia" w:ascii="宋体" w:hAnsi="宋体" w:eastAsia="宋体" w:cs="宋体"/>
                <w:snapToGrid w:val="0"/>
                <w:color w:val="auto"/>
                <w:kern w:val="0"/>
                <w:sz w:val="24"/>
                <w:szCs w:val="24"/>
                <w:lang w:val="en-US" w:eastAsia="zh-CN"/>
              </w:rPr>
              <w:t>分；方案内容较为全面、比较切合项目需求得</w:t>
            </w:r>
            <w:r>
              <w:rPr>
                <w:rFonts w:hint="eastAsia" w:ascii="宋体" w:hAnsi="宋体" w:cs="宋体"/>
                <w:snapToGrid w:val="0"/>
                <w:color w:val="auto"/>
                <w:kern w:val="0"/>
                <w:sz w:val="24"/>
                <w:szCs w:val="24"/>
                <w:lang w:val="en-US" w:eastAsia="zh-CN"/>
              </w:rPr>
              <w:t>2</w:t>
            </w:r>
            <w:r>
              <w:rPr>
                <w:rFonts w:hint="eastAsia" w:ascii="宋体" w:hAnsi="宋体" w:eastAsia="宋体" w:cs="宋体"/>
                <w:snapToGrid w:val="0"/>
                <w:color w:val="auto"/>
                <w:kern w:val="0"/>
                <w:sz w:val="24"/>
                <w:szCs w:val="24"/>
                <w:lang w:val="en-US" w:eastAsia="zh-CN"/>
              </w:rPr>
              <w:t>分；方案内容基本切合项目需求得</w:t>
            </w:r>
            <w:r>
              <w:rPr>
                <w:rFonts w:hint="eastAsia" w:ascii="宋体" w:hAnsi="宋体" w:cs="宋体"/>
                <w:snapToGrid w:val="0"/>
                <w:color w:val="auto"/>
                <w:kern w:val="0"/>
                <w:sz w:val="24"/>
                <w:szCs w:val="24"/>
                <w:lang w:val="en-US" w:eastAsia="zh-CN"/>
              </w:rPr>
              <w:t>1</w:t>
            </w:r>
            <w:r>
              <w:rPr>
                <w:rFonts w:hint="eastAsia" w:ascii="宋体" w:hAnsi="宋体" w:eastAsia="宋体" w:cs="宋体"/>
                <w:snapToGrid w:val="0"/>
                <w:color w:val="auto"/>
                <w:kern w:val="0"/>
                <w:sz w:val="24"/>
                <w:szCs w:val="24"/>
                <w:lang w:val="en-US" w:eastAsia="zh-CN"/>
              </w:rPr>
              <w:t>分；方案内容勉强符合项目需求得</w:t>
            </w:r>
            <w:r>
              <w:rPr>
                <w:rFonts w:hint="eastAsia" w:ascii="宋体" w:hAnsi="宋体" w:cs="宋体"/>
                <w:snapToGrid w:val="0"/>
                <w:color w:val="auto"/>
                <w:kern w:val="0"/>
                <w:sz w:val="24"/>
                <w:szCs w:val="24"/>
                <w:lang w:val="en-US" w:eastAsia="zh-CN"/>
              </w:rPr>
              <w:t>0.5</w:t>
            </w:r>
            <w:r>
              <w:rPr>
                <w:rFonts w:hint="eastAsia" w:ascii="宋体" w:hAnsi="宋体" w:eastAsia="宋体" w:cs="宋体"/>
                <w:snapToGrid w:val="0"/>
                <w:color w:val="auto"/>
                <w:kern w:val="0"/>
                <w:sz w:val="24"/>
                <w:szCs w:val="24"/>
                <w:lang w:val="en-US" w:eastAsia="zh-CN"/>
              </w:rPr>
              <w:t>分；未提供不得分。</w:t>
            </w:r>
          </w:p>
        </w:tc>
      </w:tr>
      <w:tr w14:paraId="031FE5E7">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 w:type="dxa"/>
            <w:bottom w:w="0" w:type="dxa"/>
            <w:right w:w="10" w:type="dxa"/>
          </w:tblCellMar>
        </w:tblPrEx>
        <w:trPr>
          <w:trHeight w:val="1134" w:hRule="atLeast"/>
        </w:trPr>
        <w:tc>
          <w:tcPr>
            <w:tcW w:w="483" w:type="dxa"/>
            <w:vMerge w:val="restart"/>
            <w:noWrap w:val="0"/>
            <w:tcMar>
              <w:top w:w="0" w:type="dxa"/>
              <w:left w:w="108" w:type="dxa"/>
              <w:bottom w:w="0" w:type="dxa"/>
              <w:right w:w="108" w:type="dxa"/>
            </w:tcMar>
            <w:vAlign w:val="center"/>
          </w:tcPr>
          <w:p w14:paraId="5809AECB">
            <w:pPr>
              <w:keepNext w:val="0"/>
              <w:keepLines w:val="0"/>
              <w:pageBreakBefore w:val="0"/>
              <w:widowControl/>
              <w:kinsoku/>
              <w:wordWrap/>
              <w:overflowPunct/>
              <w:topLinePunct w:val="0"/>
              <w:bidi w:val="0"/>
              <w:adjustRightInd w:val="0"/>
              <w:snapToGrid w:val="0"/>
              <w:spacing w:line="400" w:lineRule="exact"/>
              <w:jc w:val="center"/>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3</w:t>
            </w:r>
          </w:p>
        </w:tc>
        <w:tc>
          <w:tcPr>
            <w:tcW w:w="945" w:type="dxa"/>
            <w:vMerge w:val="restart"/>
            <w:noWrap w:val="0"/>
            <w:tcMar>
              <w:top w:w="0" w:type="dxa"/>
              <w:left w:w="108" w:type="dxa"/>
              <w:bottom w:w="0" w:type="dxa"/>
              <w:right w:w="108" w:type="dxa"/>
            </w:tcMar>
            <w:vAlign w:val="center"/>
          </w:tcPr>
          <w:p w14:paraId="37523796">
            <w:pPr>
              <w:keepNext w:val="0"/>
              <w:keepLines w:val="0"/>
              <w:pageBreakBefore w:val="0"/>
              <w:widowControl w:val="0"/>
              <w:kinsoku w:val="0"/>
              <w:wordWrap/>
              <w:overflowPunct w:val="0"/>
              <w:topLinePunct w:val="0"/>
              <w:autoSpaceDE w:val="0"/>
              <w:autoSpaceDN w:val="0"/>
              <w:bidi w:val="0"/>
              <w:adjustRightInd w:val="0"/>
              <w:snapToGrid w:val="0"/>
              <w:spacing w:line="400" w:lineRule="exact"/>
              <w:ind w:left="0" w:leftChars="0" w:firstLine="0" w:firstLineChars="0"/>
              <w:jc w:val="left"/>
              <w:textAlignment w:val="center"/>
              <w:rPr>
                <w:rFonts w:hint="eastAsia" w:ascii="宋体" w:hAnsi="宋体" w:eastAsia="宋体" w:cs="宋体"/>
                <w:snapToGrid w:val="0"/>
                <w:color w:val="auto"/>
                <w:kern w:val="0"/>
                <w:sz w:val="24"/>
                <w:szCs w:val="24"/>
                <w:lang w:val="en-US" w:eastAsia="zh-CN"/>
              </w:rPr>
            </w:pPr>
            <w:r>
              <w:rPr>
                <w:rFonts w:hint="eastAsia" w:ascii="宋体" w:hAnsi="宋体" w:eastAsia="宋体" w:cs="宋体"/>
                <w:snapToGrid w:val="0"/>
                <w:color w:val="auto"/>
                <w:kern w:val="0"/>
                <w:sz w:val="24"/>
                <w:szCs w:val="24"/>
                <w:lang w:val="en-US" w:eastAsia="zh-CN"/>
              </w:rPr>
              <w:t>综合标</w:t>
            </w:r>
          </w:p>
          <w:p w14:paraId="0267BA34">
            <w:pPr>
              <w:keepNext w:val="0"/>
              <w:keepLines w:val="0"/>
              <w:pageBreakBefore w:val="0"/>
              <w:widowControl w:val="0"/>
              <w:kinsoku w:val="0"/>
              <w:wordWrap/>
              <w:overflowPunct w:val="0"/>
              <w:topLinePunct w:val="0"/>
              <w:autoSpaceDE w:val="0"/>
              <w:autoSpaceDN w:val="0"/>
              <w:bidi w:val="0"/>
              <w:adjustRightInd w:val="0"/>
              <w:snapToGrid w:val="0"/>
              <w:spacing w:line="400" w:lineRule="exact"/>
              <w:ind w:left="0" w:leftChars="0" w:firstLine="0" w:firstLineChars="0"/>
              <w:jc w:val="left"/>
              <w:textAlignment w:val="center"/>
              <w:rPr>
                <w:rFonts w:hint="eastAsia" w:ascii="宋体" w:hAnsi="宋体" w:eastAsia="宋体" w:cs="宋体"/>
                <w:snapToGrid w:val="0"/>
                <w:color w:val="auto"/>
                <w:kern w:val="0"/>
                <w:sz w:val="24"/>
                <w:szCs w:val="24"/>
                <w:lang w:val="en-US" w:eastAsia="zh-CN"/>
              </w:rPr>
            </w:pPr>
            <w:r>
              <w:rPr>
                <w:rFonts w:hint="eastAsia" w:ascii="宋体" w:hAnsi="宋体" w:eastAsia="宋体" w:cs="宋体"/>
                <w:snapToGrid w:val="0"/>
                <w:color w:val="auto"/>
                <w:kern w:val="0"/>
                <w:sz w:val="24"/>
                <w:szCs w:val="24"/>
                <w:lang w:val="en-US" w:eastAsia="zh-CN"/>
              </w:rPr>
              <w:t>（19分）</w:t>
            </w:r>
          </w:p>
        </w:tc>
        <w:tc>
          <w:tcPr>
            <w:tcW w:w="1245" w:type="dxa"/>
            <w:noWrap w:val="0"/>
            <w:tcMar>
              <w:top w:w="0" w:type="dxa"/>
              <w:left w:w="108" w:type="dxa"/>
              <w:bottom w:w="0" w:type="dxa"/>
              <w:right w:w="108" w:type="dxa"/>
            </w:tcMar>
            <w:vAlign w:val="center"/>
          </w:tcPr>
          <w:p w14:paraId="7F14115E">
            <w:pPr>
              <w:keepNext w:val="0"/>
              <w:keepLines w:val="0"/>
              <w:pageBreakBefore w:val="0"/>
              <w:widowControl w:val="0"/>
              <w:kinsoku w:val="0"/>
              <w:wordWrap/>
              <w:overflowPunct w:val="0"/>
              <w:topLinePunct w:val="0"/>
              <w:autoSpaceDE w:val="0"/>
              <w:autoSpaceDN w:val="0"/>
              <w:bidi w:val="0"/>
              <w:adjustRightInd w:val="0"/>
              <w:snapToGrid w:val="0"/>
              <w:spacing w:line="400" w:lineRule="exact"/>
              <w:ind w:left="0" w:leftChars="0" w:firstLine="0" w:firstLineChars="0"/>
              <w:jc w:val="left"/>
              <w:textAlignment w:val="center"/>
              <w:rPr>
                <w:rFonts w:hint="eastAsia" w:ascii="宋体" w:hAnsi="宋体" w:eastAsia="宋体" w:cs="宋体"/>
                <w:snapToGrid w:val="0"/>
                <w:color w:val="auto"/>
                <w:kern w:val="0"/>
                <w:sz w:val="24"/>
                <w:szCs w:val="24"/>
                <w:lang w:val="en-US" w:eastAsia="zh-CN"/>
              </w:rPr>
            </w:pPr>
            <w:r>
              <w:rPr>
                <w:rFonts w:hint="eastAsia" w:ascii="宋体" w:hAnsi="宋体" w:eastAsia="宋体" w:cs="宋体"/>
                <w:snapToGrid w:val="0"/>
                <w:color w:val="auto"/>
                <w:kern w:val="0"/>
                <w:sz w:val="24"/>
                <w:szCs w:val="24"/>
                <w:lang w:val="en-US" w:eastAsia="zh-CN"/>
              </w:rPr>
              <w:t>企业业绩（9分）</w:t>
            </w:r>
          </w:p>
        </w:tc>
        <w:tc>
          <w:tcPr>
            <w:tcW w:w="7266" w:type="dxa"/>
            <w:noWrap w:val="0"/>
            <w:tcMar>
              <w:top w:w="0" w:type="dxa"/>
              <w:left w:w="108" w:type="dxa"/>
              <w:bottom w:w="0" w:type="dxa"/>
              <w:right w:w="108" w:type="dxa"/>
            </w:tcMar>
            <w:vAlign w:val="center"/>
          </w:tcPr>
          <w:p w14:paraId="2E7B5EB9">
            <w:pPr>
              <w:keepNext w:val="0"/>
              <w:keepLines w:val="0"/>
              <w:pageBreakBefore w:val="0"/>
              <w:widowControl w:val="0"/>
              <w:kinsoku w:val="0"/>
              <w:wordWrap/>
              <w:overflowPunct w:val="0"/>
              <w:topLinePunct w:val="0"/>
              <w:autoSpaceDE w:val="0"/>
              <w:autoSpaceDN w:val="0"/>
              <w:bidi w:val="0"/>
              <w:adjustRightInd w:val="0"/>
              <w:snapToGrid w:val="0"/>
              <w:spacing w:line="400" w:lineRule="exact"/>
              <w:ind w:left="0" w:leftChars="0" w:firstLine="0" w:firstLineChars="0"/>
              <w:jc w:val="left"/>
              <w:textAlignment w:val="center"/>
              <w:rPr>
                <w:rFonts w:hint="default" w:ascii="宋体" w:hAnsi="宋体" w:eastAsia="宋体" w:cs="宋体"/>
                <w:snapToGrid w:val="0"/>
                <w:color w:val="auto"/>
                <w:kern w:val="0"/>
                <w:sz w:val="24"/>
                <w:szCs w:val="24"/>
                <w:lang w:val="en-US" w:eastAsia="zh-CN"/>
              </w:rPr>
            </w:pPr>
            <w:r>
              <w:rPr>
                <w:rFonts w:hint="eastAsia" w:ascii="宋体" w:hAnsi="宋体" w:eastAsia="宋体" w:cs="宋体"/>
                <w:snapToGrid w:val="0"/>
                <w:color w:val="auto"/>
                <w:kern w:val="0"/>
                <w:sz w:val="24"/>
                <w:szCs w:val="24"/>
                <w:lang w:val="en-US" w:eastAsia="zh-CN"/>
              </w:rPr>
              <w:t>供应商自2023年01月01日以来具有类似业绩的，每提供一份得3分，最多得9分，未提供不得分。（提供合同扫描件，日期以合同签订时间为准）。</w:t>
            </w:r>
          </w:p>
        </w:tc>
      </w:tr>
      <w:tr w14:paraId="239646B2">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 w:type="dxa"/>
            <w:bottom w:w="0" w:type="dxa"/>
            <w:right w:w="10" w:type="dxa"/>
          </w:tblCellMar>
        </w:tblPrEx>
        <w:trPr>
          <w:trHeight w:val="1038" w:hRule="atLeast"/>
        </w:trPr>
        <w:tc>
          <w:tcPr>
            <w:tcW w:w="483" w:type="dxa"/>
            <w:vMerge w:val="continue"/>
            <w:noWrap w:val="0"/>
            <w:tcMar>
              <w:top w:w="0" w:type="dxa"/>
              <w:left w:w="108" w:type="dxa"/>
              <w:bottom w:w="0" w:type="dxa"/>
              <w:right w:w="108" w:type="dxa"/>
            </w:tcMar>
            <w:vAlign w:val="center"/>
          </w:tcPr>
          <w:p w14:paraId="31DD4B17">
            <w:pPr>
              <w:keepNext w:val="0"/>
              <w:keepLines w:val="0"/>
              <w:pageBreakBefore w:val="0"/>
              <w:widowControl/>
              <w:kinsoku/>
              <w:wordWrap/>
              <w:overflowPunct/>
              <w:topLinePunct w:val="0"/>
              <w:bidi w:val="0"/>
              <w:adjustRightInd w:val="0"/>
              <w:snapToGrid w:val="0"/>
              <w:spacing w:line="400" w:lineRule="exact"/>
              <w:jc w:val="center"/>
              <w:textAlignment w:val="auto"/>
              <w:rPr>
                <w:rFonts w:hint="eastAsia" w:asciiTheme="minorEastAsia" w:hAnsiTheme="minorEastAsia" w:eastAsiaTheme="minorEastAsia" w:cstheme="minorEastAsia"/>
                <w:bCs/>
                <w:sz w:val="24"/>
                <w:szCs w:val="24"/>
              </w:rPr>
            </w:pPr>
          </w:p>
        </w:tc>
        <w:tc>
          <w:tcPr>
            <w:tcW w:w="945" w:type="dxa"/>
            <w:vMerge w:val="continue"/>
            <w:noWrap w:val="0"/>
            <w:tcMar>
              <w:top w:w="0" w:type="dxa"/>
              <w:left w:w="108" w:type="dxa"/>
              <w:bottom w:w="0" w:type="dxa"/>
              <w:right w:w="108" w:type="dxa"/>
            </w:tcMar>
            <w:vAlign w:val="center"/>
          </w:tcPr>
          <w:p w14:paraId="79054DB0">
            <w:pPr>
              <w:keepNext w:val="0"/>
              <w:keepLines w:val="0"/>
              <w:pageBreakBefore w:val="0"/>
              <w:widowControl w:val="0"/>
              <w:kinsoku w:val="0"/>
              <w:wordWrap/>
              <w:overflowPunct w:val="0"/>
              <w:topLinePunct w:val="0"/>
              <w:autoSpaceDE w:val="0"/>
              <w:autoSpaceDN w:val="0"/>
              <w:bidi w:val="0"/>
              <w:adjustRightInd w:val="0"/>
              <w:snapToGrid w:val="0"/>
              <w:spacing w:line="400" w:lineRule="exact"/>
              <w:ind w:left="0" w:leftChars="0" w:firstLine="0" w:firstLineChars="0"/>
              <w:jc w:val="left"/>
              <w:textAlignment w:val="center"/>
              <w:rPr>
                <w:rFonts w:hint="eastAsia" w:ascii="宋体" w:hAnsi="宋体" w:eastAsia="宋体" w:cs="宋体"/>
                <w:snapToGrid w:val="0"/>
                <w:color w:val="auto"/>
                <w:kern w:val="0"/>
                <w:sz w:val="24"/>
                <w:szCs w:val="24"/>
                <w:lang w:val="en-US" w:eastAsia="zh-CN"/>
              </w:rPr>
            </w:pPr>
          </w:p>
        </w:tc>
        <w:tc>
          <w:tcPr>
            <w:tcW w:w="1245" w:type="dxa"/>
            <w:noWrap w:val="0"/>
            <w:tcMar>
              <w:top w:w="0" w:type="dxa"/>
              <w:left w:w="108" w:type="dxa"/>
              <w:bottom w:w="0" w:type="dxa"/>
              <w:right w:w="108" w:type="dxa"/>
            </w:tcMar>
            <w:vAlign w:val="center"/>
          </w:tcPr>
          <w:p w14:paraId="536C4C14">
            <w:pPr>
              <w:keepNext w:val="0"/>
              <w:keepLines w:val="0"/>
              <w:pageBreakBefore w:val="0"/>
              <w:widowControl w:val="0"/>
              <w:kinsoku w:val="0"/>
              <w:wordWrap/>
              <w:overflowPunct w:val="0"/>
              <w:topLinePunct w:val="0"/>
              <w:autoSpaceDE w:val="0"/>
              <w:autoSpaceDN w:val="0"/>
              <w:bidi w:val="0"/>
              <w:adjustRightInd w:val="0"/>
              <w:snapToGrid w:val="0"/>
              <w:spacing w:line="400" w:lineRule="exact"/>
              <w:ind w:left="0" w:leftChars="0" w:firstLine="0" w:firstLineChars="0"/>
              <w:jc w:val="left"/>
              <w:textAlignment w:val="center"/>
              <w:rPr>
                <w:rFonts w:hint="eastAsia" w:ascii="宋体" w:hAnsi="宋体" w:eastAsia="宋体" w:cs="宋体"/>
                <w:snapToGrid w:val="0"/>
                <w:color w:val="auto"/>
                <w:kern w:val="0"/>
                <w:sz w:val="24"/>
                <w:szCs w:val="24"/>
                <w:lang w:val="en-US" w:eastAsia="zh-CN"/>
              </w:rPr>
            </w:pPr>
            <w:r>
              <w:rPr>
                <w:rFonts w:hint="eastAsia" w:ascii="宋体" w:hAnsi="宋体" w:eastAsia="宋体" w:cs="宋体"/>
                <w:snapToGrid w:val="0"/>
                <w:color w:val="auto"/>
                <w:kern w:val="0"/>
                <w:sz w:val="24"/>
                <w:szCs w:val="24"/>
                <w:lang w:val="en-US" w:eastAsia="zh-CN"/>
              </w:rPr>
              <w:t>质保期承诺（</w:t>
            </w:r>
            <w:r>
              <w:rPr>
                <w:rFonts w:hint="eastAsia" w:ascii="宋体" w:hAnsi="宋体" w:cs="宋体"/>
                <w:snapToGrid w:val="0"/>
                <w:color w:val="auto"/>
                <w:kern w:val="0"/>
                <w:sz w:val="24"/>
                <w:szCs w:val="24"/>
                <w:lang w:val="en-US" w:eastAsia="zh-CN"/>
              </w:rPr>
              <w:t>4</w:t>
            </w:r>
            <w:r>
              <w:rPr>
                <w:rFonts w:hint="eastAsia" w:ascii="宋体" w:hAnsi="宋体" w:eastAsia="宋体" w:cs="宋体"/>
                <w:snapToGrid w:val="0"/>
                <w:color w:val="auto"/>
                <w:kern w:val="0"/>
                <w:sz w:val="24"/>
                <w:szCs w:val="24"/>
                <w:lang w:val="en-US" w:eastAsia="zh-CN"/>
              </w:rPr>
              <w:t>分）</w:t>
            </w:r>
          </w:p>
        </w:tc>
        <w:tc>
          <w:tcPr>
            <w:tcW w:w="7266" w:type="dxa"/>
            <w:noWrap w:val="0"/>
            <w:tcMar>
              <w:top w:w="0" w:type="dxa"/>
              <w:left w:w="108" w:type="dxa"/>
              <w:bottom w:w="0" w:type="dxa"/>
              <w:right w:w="108" w:type="dxa"/>
            </w:tcMar>
            <w:vAlign w:val="center"/>
          </w:tcPr>
          <w:p w14:paraId="721CEB3E">
            <w:pPr>
              <w:keepNext w:val="0"/>
              <w:keepLines w:val="0"/>
              <w:pageBreakBefore w:val="0"/>
              <w:widowControl w:val="0"/>
              <w:kinsoku w:val="0"/>
              <w:wordWrap/>
              <w:overflowPunct w:val="0"/>
              <w:topLinePunct w:val="0"/>
              <w:autoSpaceDE w:val="0"/>
              <w:autoSpaceDN w:val="0"/>
              <w:bidi w:val="0"/>
              <w:adjustRightInd w:val="0"/>
              <w:snapToGrid w:val="0"/>
              <w:spacing w:line="400" w:lineRule="exact"/>
              <w:ind w:left="0" w:leftChars="0" w:firstLine="0" w:firstLineChars="0"/>
              <w:jc w:val="left"/>
              <w:textAlignment w:val="center"/>
              <w:rPr>
                <w:rFonts w:hint="eastAsia" w:ascii="宋体" w:hAnsi="宋体" w:eastAsia="宋体" w:cs="宋体"/>
                <w:snapToGrid w:val="0"/>
                <w:color w:val="auto"/>
                <w:kern w:val="0"/>
                <w:sz w:val="24"/>
                <w:szCs w:val="24"/>
                <w:lang w:val="en-US" w:eastAsia="zh-CN"/>
              </w:rPr>
            </w:pPr>
            <w:r>
              <w:rPr>
                <w:rFonts w:hint="eastAsia" w:ascii="宋体" w:hAnsi="宋体" w:eastAsia="宋体" w:cs="宋体"/>
                <w:snapToGrid w:val="0"/>
                <w:color w:val="auto"/>
                <w:kern w:val="0"/>
                <w:sz w:val="24"/>
                <w:szCs w:val="24"/>
                <w:lang w:val="en-US" w:eastAsia="zh-CN"/>
              </w:rPr>
              <w:t>满足招标文件要求（质保期：一年（通过采购人验收合格之日起开始计算））的基础上，所投全部产品质保期每增加一年得</w:t>
            </w:r>
            <w:r>
              <w:rPr>
                <w:rFonts w:hint="eastAsia" w:ascii="宋体" w:hAnsi="宋体" w:cs="宋体"/>
                <w:snapToGrid w:val="0"/>
                <w:color w:val="auto"/>
                <w:kern w:val="0"/>
                <w:sz w:val="24"/>
                <w:szCs w:val="24"/>
                <w:lang w:val="en-US" w:eastAsia="zh-CN"/>
              </w:rPr>
              <w:t>2</w:t>
            </w:r>
            <w:r>
              <w:rPr>
                <w:rFonts w:hint="eastAsia" w:ascii="宋体" w:hAnsi="宋体" w:eastAsia="宋体" w:cs="宋体"/>
                <w:snapToGrid w:val="0"/>
                <w:color w:val="auto"/>
                <w:kern w:val="0"/>
                <w:sz w:val="24"/>
                <w:szCs w:val="24"/>
                <w:lang w:val="en-US" w:eastAsia="zh-CN"/>
              </w:rPr>
              <w:t>分，本项最高得</w:t>
            </w:r>
            <w:r>
              <w:rPr>
                <w:rFonts w:hint="eastAsia" w:ascii="宋体" w:hAnsi="宋体" w:cs="宋体"/>
                <w:snapToGrid w:val="0"/>
                <w:color w:val="auto"/>
                <w:kern w:val="0"/>
                <w:sz w:val="24"/>
                <w:szCs w:val="24"/>
                <w:lang w:val="en-US" w:eastAsia="zh-CN"/>
              </w:rPr>
              <w:t>4</w:t>
            </w:r>
            <w:r>
              <w:rPr>
                <w:rFonts w:hint="eastAsia" w:ascii="宋体" w:hAnsi="宋体" w:eastAsia="宋体" w:cs="宋体"/>
                <w:snapToGrid w:val="0"/>
                <w:color w:val="auto"/>
                <w:kern w:val="0"/>
                <w:sz w:val="24"/>
                <w:szCs w:val="24"/>
                <w:lang w:val="en-US" w:eastAsia="zh-CN"/>
              </w:rPr>
              <w:t>分，未提供承诺的不得分。</w:t>
            </w:r>
          </w:p>
        </w:tc>
      </w:tr>
      <w:tr w14:paraId="46A0ED07">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 w:type="dxa"/>
            <w:bottom w:w="0" w:type="dxa"/>
            <w:right w:w="10" w:type="dxa"/>
          </w:tblCellMar>
        </w:tblPrEx>
        <w:trPr>
          <w:trHeight w:val="453" w:hRule="atLeast"/>
        </w:trPr>
        <w:tc>
          <w:tcPr>
            <w:tcW w:w="483" w:type="dxa"/>
            <w:vMerge w:val="continue"/>
            <w:noWrap w:val="0"/>
            <w:tcMar>
              <w:top w:w="0" w:type="dxa"/>
              <w:left w:w="108" w:type="dxa"/>
              <w:bottom w:w="0" w:type="dxa"/>
              <w:right w:w="108" w:type="dxa"/>
            </w:tcMar>
            <w:vAlign w:val="center"/>
          </w:tcPr>
          <w:p w14:paraId="5E2F5FAD">
            <w:pPr>
              <w:keepNext w:val="0"/>
              <w:keepLines w:val="0"/>
              <w:pageBreakBefore w:val="0"/>
              <w:widowControl/>
              <w:kinsoku/>
              <w:wordWrap/>
              <w:overflowPunct/>
              <w:topLinePunct w:val="0"/>
              <w:bidi w:val="0"/>
              <w:adjustRightInd w:val="0"/>
              <w:snapToGrid w:val="0"/>
              <w:spacing w:line="400" w:lineRule="exact"/>
              <w:jc w:val="center"/>
              <w:textAlignment w:val="auto"/>
              <w:rPr>
                <w:rFonts w:hint="eastAsia" w:asciiTheme="minorEastAsia" w:hAnsiTheme="minorEastAsia" w:eastAsiaTheme="minorEastAsia" w:cstheme="minorEastAsia"/>
                <w:bCs/>
                <w:sz w:val="24"/>
                <w:szCs w:val="24"/>
              </w:rPr>
            </w:pPr>
          </w:p>
        </w:tc>
        <w:tc>
          <w:tcPr>
            <w:tcW w:w="945" w:type="dxa"/>
            <w:vMerge w:val="continue"/>
            <w:noWrap w:val="0"/>
            <w:tcMar>
              <w:top w:w="0" w:type="dxa"/>
              <w:left w:w="108" w:type="dxa"/>
              <w:bottom w:w="0" w:type="dxa"/>
              <w:right w:w="108" w:type="dxa"/>
            </w:tcMar>
            <w:vAlign w:val="center"/>
          </w:tcPr>
          <w:p w14:paraId="61416B43">
            <w:pPr>
              <w:keepNext w:val="0"/>
              <w:keepLines w:val="0"/>
              <w:pageBreakBefore w:val="0"/>
              <w:widowControl w:val="0"/>
              <w:kinsoku w:val="0"/>
              <w:wordWrap/>
              <w:overflowPunct w:val="0"/>
              <w:topLinePunct w:val="0"/>
              <w:autoSpaceDE w:val="0"/>
              <w:autoSpaceDN w:val="0"/>
              <w:bidi w:val="0"/>
              <w:adjustRightInd w:val="0"/>
              <w:snapToGrid w:val="0"/>
              <w:spacing w:line="400" w:lineRule="exact"/>
              <w:ind w:left="0" w:leftChars="0" w:firstLine="0" w:firstLineChars="0"/>
              <w:jc w:val="left"/>
              <w:textAlignment w:val="center"/>
              <w:rPr>
                <w:rFonts w:hint="eastAsia" w:ascii="宋体" w:hAnsi="宋体" w:eastAsia="宋体" w:cs="宋体"/>
                <w:snapToGrid w:val="0"/>
                <w:color w:val="auto"/>
                <w:kern w:val="0"/>
                <w:sz w:val="24"/>
                <w:szCs w:val="24"/>
                <w:lang w:val="en-US" w:eastAsia="zh-CN"/>
              </w:rPr>
            </w:pPr>
          </w:p>
        </w:tc>
        <w:tc>
          <w:tcPr>
            <w:tcW w:w="1245" w:type="dxa"/>
            <w:noWrap w:val="0"/>
            <w:tcMar>
              <w:top w:w="0" w:type="dxa"/>
              <w:left w:w="108" w:type="dxa"/>
              <w:bottom w:w="0" w:type="dxa"/>
              <w:right w:w="108" w:type="dxa"/>
            </w:tcMar>
            <w:vAlign w:val="top"/>
          </w:tcPr>
          <w:p w14:paraId="710BD29D">
            <w:pPr>
              <w:keepNext w:val="0"/>
              <w:keepLines w:val="0"/>
              <w:pageBreakBefore w:val="0"/>
              <w:widowControl w:val="0"/>
              <w:kinsoku w:val="0"/>
              <w:wordWrap/>
              <w:overflowPunct w:val="0"/>
              <w:topLinePunct w:val="0"/>
              <w:autoSpaceDE w:val="0"/>
              <w:autoSpaceDN w:val="0"/>
              <w:bidi w:val="0"/>
              <w:adjustRightInd w:val="0"/>
              <w:snapToGrid w:val="0"/>
              <w:spacing w:line="400" w:lineRule="exact"/>
              <w:ind w:left="0" w:leftChars="0" w:firstLine="0" w:firstLineChars="0"/>
              <w:jc w:val="left"/>
              <w:textAlignment w:val="center"/>
              <w:rPr>
                <w:rFonts w:hint="eastAsia" w:ascii="宋体" w:hAnsi="宋体" w:eastAsia="宋体" w:cs="宋体"/>
                <w:snapToGrid w:val="0"/>
                <w:color w:val="auto"/>
                <w:kern w:val="0"/>
                <w:sz w:val="24"/>
                <w:szCs w:val="24"/>
                <w:lang w:val="en-US" w:eastAsia="zh-CN"/>
              </w:rPr>
            </w:pPr>
            <w:r>
              <w:rPr>
                <w:rFonts w:hint="eastAsia" w:ascii="宋体" w:hAnsi="宋体" w:eastAsia="宋体" w:cs="宋体"/>
                <w:snapToGrid w:val="0"/>
                <w:color w:val="auto"/>
                <w:kern w:val="0"/>
                <w:sz w:val="24"/>
                <w:szCs w:val="24"/>
                <w:lang w:val="en-US" w:eastAsia="zh-CN"/>
              </w:rPr>
              <w:t>售后服务方案</w:t>
            </w:r>
          </w:p>
          <w:p w14:paraId="5EF6F4B1">
            <w:pPr>
              <w:keepNext w:val="0"/>
              <w:keepLines w:val="0"/>
              <w:pageBreakBefore w:val="0"/>
              <w:widowControl w:val="0"/>
              <w:kinsoku w:val="0"/>
              <w:wordWrap/>
              <w:overflowPunct w:val="0"/>
              <w:topLinePunct w:val="0"/>
              <w:autoSpaceDE w:val="0"/>
              <w:autoSpaceDN w:val="0"/>
              <w:bidi w:val="0"/>
              <w:adjustRightInd w:val="0"/>
              <w:snapToGrid w:val="0"/>
              <w:spacing w:line="400" w:lineRule="exact"/>
              <w:ind w:left="0" w:leftChars="0" w:firstLine="0" w:firstLineChars="0"/>
              <w:jc w:val="left"/>
              <w:textAlignment w:val="center"/>
              <w:rPr>
                <w:rFonts w:hint="eastAsia" w:ascii="宋体" w:hAnsi="宋体" w:eastAsia="宋体" w:cs="宋体"/>
                <w:snapToGrid w:val="0"/>
                <w:color w:val="auto"/>
                <w:kern w:val="0"/>
                <w:sz w:val="24"/>
                <w:szCs w:val="24"/>
                <w:lang w:val="en-US" w:eastAsia="zh-CN"/>
              </w:rPr>
            </w:pPr>
            <w:r>
              <w:rPr>
                <w:rFonts w:hint="eastAsia" w:ascii="宋体" w:hAnsi="宋体" w:eastAsia="宋体" w:cs="宋体"/>
                <w:snapToGrid w:val="0"/>
                <w:color w:val="auto"/>
                <w:kern w:val="0"/>
                <w:sz w:val="24"/>
                <w:szCs w:val="24"/>
                <w:lang w:val="en-US" w:eastAsia="zh-CN"/>
              </w:rPr>
              <w:t>（</w:t>
            </w:r>
            <w:r>
              <w:rPr>
                <w:rFonts w:hint="eastAsia" w:ascii="宋体" w:hAnsi="宋体" w:cs="宋体"/>
                <w:snapToGrid w:val="0"/>
                <w:color w:val="auto"/>
                <w:kern w:val="0"/>
                <w:sz w:val="24"/>
                <w:szCs w:val="24"/>
                <w:lang w:val="en-US" w:eastAsia="zh-CN"/>
              </w:rPr>
              <w:t>3</w:t>
            </w:r>
            <w:r>
              <w:rPr>
                <w:rFonts w:hint="eastAsia" w:ascii="宋体" w:hAnsi="宋体" w:eastAsia="宋体" w:cs="宋体"/>
                <w:snapToGrid w:val="0"/>
                <w:color w:val="auto"/>
                <w:kern w:val="0"/>
                <w:sz w:val="24"/>
                <w:szCs w:val="24"/>
                <w:lang w:val="en-US" w:eastAsia="zh-CN"/>
              </w:rPr>
              <w:t>分）</w:t>
            </w:r>
          </w:p>
        </w:tc>
        <w:tc>
          <w:tcPr>
            <w:tcW w:w="7266" w:type="dxa"/>
            <w:noWrap w:val="0"/>
            <w:tcMar>
              <w:top w:w="0" w:type="dxa"/>
              <w:left w:w="108" w:type="dxa"/>
              <w:bottom w:w="0" w:type="dxa"/>
              <w:right w:w="108" w:type="dxa"/>
            </w:tcMar>
            <w:vAlign w:val="top"/>
          </w:tcPr>
          <w:p w14:paraId="31629638">
            <w:pPr>
              <w:keepNext w:val="0"/>
              <w:keepLines w:val="0"/>
              <w:pageBreakBefore w:val="0"/>
              <w:widowControl w:val="0"/>
              <w:kinsoku w:val="0"/>
              <w:wordWrap/>
              <w:overflowPunct w:val="0"/>
              <w:topLinePunct w:val="0"/>
              <w:autoSpaceDE w:val="0"/>
              <w:autoSpaceDN w:val="0"/>
              <w:bidi w:val="0"/>
              <w:adjustRightInd w:val="0"/>
              <w:snapToGrid w:val="0"/>
              <w:spacing w:line="400" w:lineRule="exact"/>
              <w:ind w:left="0" w:leftChars="0" w:firstLine="0" w:firstLineChars="0"/>
              <w:jc w:val="left"/>
              <w:textAlignment w:val="center"/>
              <w:rPr>
                <w:rFonts w:hint="eastAsia" w:ascii="宋体" w:hAnsi="宋体" w:eastAsia="宋体" w:cs="宋体"/>
                <w:snapToGrid w:val="0"/>
                <w:color w:val="auto"/>
                <w:kern w:val="0"/>
                <w:sz w:val="24"/>
                <w:szCs w:val="24"/>
                <w:lang w:val="en-US" w:eastAsia="zh-CN"/>
              </w:rPr>
            </w:pPr>
            <w:r>
              <w:rPr>
                <w:rFonts w:hint="eastAsia" w:ascii="宋体" w:hAnsi="宋体" w:eastAsia="宋体" w:cs="宋体"/>
                <w:snapToGrid w:val="0"/>
                <w:color w:val="auto"/>
                <w:kern w:val="0"/>
                <w:sz w:val="24"/>
                <w:szCs w:val="24"/>
                <w:lang w:val="en-US" w:eastAsia="zh-CN"/>
              </w:rPr>
              <w:t>售后服务、响应时间等承诺内容完整、 清晰明确、合理得当的，得</w:t>
            </w:r>
            <w:r>
              <w:rPr>
                <w:rFonts w:hint="eastAsia" w:ascii="宋体" w:hAnsi="宋体" w:cs="宋体"/>
                <w:snapToGrid w:val="0"/>
                <w:color w:val="auto"/>
                <w:kern w:val="0"/>
                <w:sz w:val="24"/>
                <w:szCs w:val="24"/>
                <w:lang w:val="en-US" w:eastAsia="zh-CN"/>
              </w:rPr>
              <w:t>3</w:t>
            </w:r>
            <w:r>
              <w:rPr>
                <w:rFonts w:hint="eastAsia" w:ascii="宋体" w:hAnsi="宋体" w:eastAsia="宋体" w:cs="宋体"/>
                <w:snapToGrid w:val="0"/>
                <w:color w:val="auto"/>
                <w:kern w:val="0"/>
                <w:sz w:val="24"/>
                <w:szCs w:val="24"/>
                <w:lang w:val="en-US" w:eastAsia="zh-CN"/>
              </w:rPr>
              <w:t>分；承诺内容较为全面、清晰明确、合理得当，得</w:t>
            </w:r>
            <w:r>
              <w:rPr>
                <w:rFonts w:hint="eastAsia" w:ascii="宋体" w:hAnsi="宋体" w:cs="宋体"/>
                <w:snapToGrid w:val="0"/>
                <w:color w:val="auto"/>
                <w:kern w:val="0"/>
                <w:sz w:val="24"/>
                <w:szCs w:val="24"/>
                <w:lang w:val="en-US" w:eastAsia="zh-CN"/>
              </w:rPr>
              <w:t>2</w:t>
            </w:r>
            <w:r>
              <w:rPr>
                <w:rFonts w:hint="eastAsia" w:ascii="宋体" w:hAnsi="宋体" w:eastAsia="宋体" w:cs="宋体"/>
                <w:snapToGrid w:val="0"/>
                <w:color w:val="auto"/>
                <w:kern w:val="0"/>
                <w:sz w:val="24"/>
                <w:szCs w:val="24"/>
                <w:lang w:val="en-US" w:eastAsia="zh-CN"/>
              </w:rPr>
              <w:t>分；承诺内容基本清晰得</w:t>
            </w:r>
            <w:r>
              <w:rPr>
                <w:rFonts w:hint="eastAsia" w:ascii="宋体" w:hAnsi="宋体" w:cs="宋体"/>
                <w:snapToGrid w:val="0"/>
                <w:color w:val="auto"/>
                <w:kern w:val="0"/>
                <w:sz w:val="24"/>
                <w:szCs w:val="24"/>
                <w:lang w:val="en-US" w:eastAsia="zh-CN"/>
              </w:rPr>
              <w:t>1</w:t>
            </w:r>
            <w:r>
              <w:rPr>
                <w:rFonts w:hint="eastAsia" w:ascii="宋体" w:hAnsi="宋体" w:eastAsia="宋体" w:cs="宋体"/>
                <w:snapToGrid w:val="0"/>
                <w:color w:val="auto"/>
                <w:kern w:val="0"/>
                <w:sz w:val="24"/>
                <w:szCs w:val="24"/>
                <w:lang w:val="en-US" w:eastAsia="zh-CN"/>
              </w:rPr>
              <w:t>分；承诺内容勉强可行得</w:t>
            </w:r>
            <w:r>
              <w:rPr>
                <w:rFonts w:hint="eastAsia" w:ascii="宋体" w:hAnsi="宋体" w:cs="宋体"/>
                <w:snapToGrid w:val="0"/>
                <w:color w:val="auto"/>
                <w:kern w:val="0"/>
                <w:sz w:val="24"/>
                <w:szCs w:val="24"/>
                <w:lang w:val="en-US" w:eastAsia="zh-CN"/>
              </w:rPr>
              <w:t>0.5</w:t>
            </w:r>
            <w:r>
              <w:rPr>
                <w:rFonts w:hint="eastAsia" w:ascii="宋体" w:hAnsi="宋体" w:eastAsia="宋体" w:cs="宋体"/>
                <w:snapToGrid w:val="0"/>
                <w:color w:val="auto"/>
                <w:kern w:val="0"/>
                <w:sz w:val="24"/>
                <w:szCs w:val="24"/>
                <w:lang w:val="en-US" w:eastAsia="zh-CN"/>
              </w:rPr>
              <w:t>分； 未提供不得分。</w:t>
            </w:r>
          </w:p>
        </w:tc>
      </w:tr>
      <w:tr w14:paraId="15AAF592">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 w:type="dxa"/>
            <w:bottom w:w="0" w:type="dxa"/>
            <w:right w:w="10" w:type="dxa"/>
          </w:tblCellMar>
        </w:tblPrEx>
        <w:trPr>
          <w:trHeight w:val="453" w:hRule="atLeast"/>
        </w:trPr>
        <w:tc>
          <w:tcPr>
            <w:tcW w:w="483" w:type="dxa"/>
            <w:noWrap w:val="0"/>
            <w:tcMar>
              <w:top w:w="0" w:type="dxa"/>
              <w:left w:w="108" w:type="dxa"/>
              <w:bottom w:w="0" w:type="dxa"/>
              <w:right w:w="108" w:type="dxa"/>
            </w:tcMar>
            <w:vAlign w:val="center"/>
          </w:tcPr>
          <w:p w14:paraId="6386FD0C">
            <w:pPr>
              <w:keepNext w:val="0"/>
              <w:keepLines w:val="0"/>
              <w:pageBreakBefore w:val="0"/>
              <w:widowControl/>
              <w:kinsoku/>
              <w:wordWrap/>
              <w:overflowPunct/>
              <w:topLinePunct w:val="0"/>
              <w:bidi w:val="0"/>
              <w:adjustRightInd w:val="0"/>
              <w:snapToGrid w:val="0"/>
              <w:spacing w:line="400" w:lineRule="exact"/>
              <w:jc w:val="center"/>
              <w:textAlignment w:val="auto"/>
              <w:rPr>
                <w:rFonts w:hint="eastAsia" w:asciiTheme="minorEastAsia" w:hAnsiTheme="minorEastAsia" w:eastAsiaTheme="minorEastAsia" w:cstheme="minorEastAsia"/>
                <w:bCs/>
                <w:sz w:val="24"/>
                <w:szCs w:val="24"/>
              </w:rPr>
            </w:pPr>
          </w:p>
        </w:tc>
        <w:tc>
          <w:tcPr>
            <w:tcW w:w="945" w:type="dxa"/>
            <w:vMerge w:val="continue"/>
            <w:noWrap w:val="0"/>
            <w:tcMar>
              <w:top w:w="0" w:type="dxa"/>
              <w:left w:w="108" w:type="dxa"/>
              <w:bottom w:w="0" w:type="dxa"/>
              <w:right w:w="108" w:type="dxa"/>
            </w:tcMar>
            <w:vAlign w:val="center"/>
          </w:tcPr>
          <w:p w14:paraId="489DD187">
            <w:pPr>
              <w:keepNext w:val="0"/>
              <w:keepLines w:val="0"/>
              <w:pageBreakBefore w:val="0"/>
              <w:widowControl w:val="0"/>
              <w:kinsoku w:val="0"/>
              <w:wordWrap/>
              <w:overflowPunct w:val="0"/>
              <w:topLinePunct w:val="0"/>
              <w:autoSpaceDE w:val="0"/>
              <w:autoSpaceDN w:val="0"/>
              <w:bidi w:val="0"/>
              <w:adjustRightInd w:val="0"/>
              <w:snapToGrid w:val="0"/>
              <w:spacing w:line="400" w:lineRule="exact"/>
              <w:ind w:left="0" w:leftChars="0" w:firstLine="0" w:firstLineChars="0"/>
              <w:jc w:val="left"/>
              <w:textAlignment w:val="center"/>
              <w:rPr>
                <w:rFonts w:hint="eastAsia" w:ascii="宋体" w:hAnsi="宋体" w:eastAsia="宋体" w:cs="宋体"/>
                <w:snapToGrid w:val="0"/>
                <w:color w:val="auto"/>
                <w:kern w:val="0"/>
                <w:sz w:val="24"/>
                <w:szCs w:val="24"/>
                <w:lang w:val="en-US" w:eastAsia="zh-CN"/>
              </w:rPr>
            </w:pPr>
          </w:p>
        </w:tc>
        <w:tc>
          <w:tcPr>
            <w:tcW w:w="1245" w:type="dxa"/>
            <w:noWrap w:val="0"/>
            <w:tcMar>
              <w:top w:w="0" w:type="dxa"/>
              <w:left w:w="108" w:type="dxa"/>
              <w:bottom w:w="0" w:type="dxa"/>
              <w:right w:w="108" w:type="dxa"/>
            </w:tcMar>
            <w:vAlign w:val="top"/>
          </w:tcPr>
          <w:p w14:paraId="679DE047">
            <w:pPr>
              <w:keepNext w:val="0"/>
              <w:keepLines w:val="0"/>
              <w:pageBreakBefore w:val="0"/>
              <w:widowControl w:val="0"/>
              <w:kinsoku w:val="0"/>
              <w:wordWrap/>
              <w:overflowPunct w:val="0"/>
              <w:topLinePunct w:val="0"/>
              <w:autoSpaceDE w:val="0"/>
              <w:autoSpaceDN w:val="0"/>
              <w:bidi w:val="0"/>
              <w:adjustRightInd w:val="0"/>
              <w:snapToGrid w:val="0"/>
              <w:spacing w:line="400" w:lineRule="exact"/>
              <w:ind w:left="0" w:leftChars="0" w:firstLine="0" w:firstLineChars="0"/>
              <w:jc w:val="left"/>
              <w:textAlignment w:val="center"/>
              <w:rPr>
                <w:rFonts w:hint="eastAsia" w:ascii="宋体" w:hAnsi="宋体" w:eastAsia="宋体" w:cs="宋体"/>
                <w:snapToGrid w:val="0"/>
                <w:color w:val="auto"/>
                <w:kern w:val="0"/>
                <w:sz w:val="24"/>
                <w:szCs w:val="24"/>
                <w:lang w:val="en-US" w:eastAsia="zh-CN"/>
              </w:rPr>
            </w:pPr>
            <w:r>
              <w:rPr>
                <w:rFonts w:hint="eastAsia" w:ascii="宋体" w:hAnsi="宋体" w:eastAsia="宋体" w:cs="宋体"/>
                <w:snapToGrid w:val="0"/>
                <w:color w:val="auto"/>
                <w:kern w:val="0"/>
                <w:sz w:val="24"/>
                <w:szCs w:val="24"/>
                <w:lang w:val="en-US" w:eastAsia="zh-CN"/>
              </w:rPr>
              <w:t>其他增值服务方案（</w:t>
            </w:r>
            <w:r>
              <w:rPr>
                <w:rFonts w:hint="eastAsia" w:ascii="宋体" w:hAnsi="宋体" w:cs="宋体"/>
                <w:snapToGrid w:val="0"/>
                <w:color w:val="auto"/>
                <w:kern w:val="0"/>
                <w:sz w:val="24"/>
                <w:szCs w:val="24"/>
                <w:lang w:val="en-US" w:eastAsia="zh-CN"/>
              </w:rPr>
              <w:t>3</w:t>
            </w:r>
            <w:r>
              <w:rPr>
                <w:rFonts w:hint="eastAsia" w:ascii="宋体" w:hAnsi="宋体" w:eastAsia="宋体" w:cs="宋体"/>
                <w:snapToGrid w:val="0"/>
                <w:color w:val="auto"/>
                <w:kern w:val="0"/>
                <w:sz w:val="24"/>
                <w:szCs w:val="24"/>
                <w:lang w:val="en-US" w:eastAsia="zh-CN"/>
              </w:rPr>
              <w:t>分）</w:t>
            </w:r>
          </w:p>
          <w:p w14:paraId="7730AA08">
            <w:pPr>
              <w:keepNext w:val="0"/>
              <w:keepLines w:val="0"/>
              <w:pageBreakBefore w:val="0"/>
              <w:widowControl w:val="0"/>
              <w:kinsoku w:val="0"/>
              <w:wordWrap/>
              <w:overflowPunct w:val="0"/>
              <w:topLinePunct w:val="0"/>
              <w:autoSpaceDE w:val="0"/>
              <w:autoSpaceDN w:val="0"/>
              <w:bidi w:val="0"/>
              <w:adjustRightInd w:val="0"/>
              <w:snapToGrid w:val="0"/>
              <w:spacing w:line="400" w:lineRule="exact"/>
              <w:ind w:left="0" w:leftChars="0" w:firstLine="0" w:firstLineChars="0"/>
              <w:jc w:val="left"/>
              <w:textAlignment w:val="center"/>
              <w:rPr>
                <w:rFonts w:hint="eastAsia" w:ascii="宋体" w:hAnsi="宋体" w:eastAsia="宋体" w:cs="宋体"/>
                <w:snapToGrid w:val="0"/>
                <w:color w:val="auto"/>
                <w:kern w:val="0"/>
                <w:sz w:val="24"/>
                <w:szCs w:val="24"/>
                <w:lang w:val="en-US" w:eastAsia="zh-CN"/>
              </w:rPr>
            </w:pPr>
          </w:p>
        </w:tc>
        <w:tc>
          <w:tcPr>
            <w:tcW w:w="7266" w:type="dxa"/>
            <w:noWrap w:val="0"/>
            <w:tcMar>
              <w:top w:w="0" w:type="dxa"/>
              <w:left w:w="108" w:type="dxa"/>
              <w:bottom w:w="0" w:type="dxa"/>
              <w:right w:w="108" w:type="dxa"/>
            </w:tcMar>
            <w:vAlign w:val="top"/>
          </w:tcPr>
          <w:p w14:paraId="4798C725">
            <w:pPr>
              <w:keepNext w:val="0"/>
              <w:keepLines w:val="0"/>
              <w:pageBreakBefore w:val="0"/>
              <w:widowControl w:val="0"/>
              <w:kinsoku w:val="0"/>
              <w:wordWrap/>
              <w:overflowPunct w:val="0"/>
              <w:topLinePunct w:val="0"/>
              <w:autoSpaceDE w:val="0"/>
              <w:autoSpaceDN w:val="0"/>
              <w:bidi w:val="0"/>
              <w:adjustRightInd w:val="0"/>
              <w:snapToGrid w:val="0"/>
              <w:spacing w:line="400" w:lineRule="exact"/>
              <w:ind w:left="0" w:leftChars="0" w:firstLine="0" w:firstLineChars="0"/>
              <w:jc w:val="left"/>
              <w:textAlignment w:val="center"/>
              <w:rPr>
                <w:rFonts w:hint="eastAsia" w:ascii="宋体" w:hAnsi="宋体" w:eastAsia="宋体" w:cs="宋体"/>
                <w:snapToGrid w:val="0"/>
                <w:color w:val="auto"/>
                <w:kern w:val="0"/>
                <w:sz w:val="24"/>
                <w:szCs w:val="24"/>
                <w:lang w:val="en-US" w:eastAsia="zh-CN"/>
              </w:rPr>
            </w:pPr>
            <w:r>
              <w:rPr>
                <w:rFonts w:hint="eastAsia" w:ascii="宋体" w:hAnsi="宋体" w:eastAsia="宋体" w:cs="宋体"/>
                <w:snapToGrid w:val="0"/>
                <w:color w:val="auto"/>
                <w:kern w:val="0"/>
                <w:sz w:val="24"/>
                <w:szCs w:val="24"/>
                <w:lang w:val="en-US" w:eastAsia="zh-CN"/>
              </w:rPr>
              <w:t>方案完善、科学合理、条理清晰，可执行得</w:t>
            </w:r>
            <w:r>
              <w:rPr>
                <w:rFonts w:hint="eastAsia" w:ascii="宋体" w:hAnsi="宋体" w:cs="宋体"/>
                <w:snapToGrid w:val="0"/>
                <w:color w:val="auto"/>
                <w:kern w:val="0"/>
                <w:sz w:val="24"/>
                <w:szCs w:val="24"/>
                <w:lang w:val="en-US" w:eastAsia="zh-CN"/>
              </w:rPr>
              <w:t>3</w:t>
            </w:r>
            <w:r>
              <w:rPr>
                <w:rFonts w:hint="eastAsia" w:ascii="宋体" w:hAnsi="宋体" w:eastAsia="宋体" w:cs="宋体"/>
                <w:snapToGrid w:val="0"/>
                <w:color w:val="auto"/>
                <w:kern w:val="0"/>
                <w:sz w:val="24"/>
                <w:szCs w:val="24"/>
                <w:lang w:val="en-US" w:eastAsia="zh-CN"/>
              </w:rPr>
              <w:t>分；方案内容比较完整，安排基本合理，基本可实施得</w:t>
            </w:r>
            <w:r>
              <w:rPr>
                <w:rFonts w:hint="eastAsia" w:ascii="宋体" w:hAnsi="宋体" w:cs="宋体"/>
                <w:snapToGrid w:val="0"/>
                <w:color w:val="auto"/>
                <w:kern w:val="0"/>
                <w:sz w:val="24"/>
                <w:szCs w:val="24"/>
                <w:lang w:val="en-US" w:eastAsia="zh-CN"/>
              </w:rPr>
              <w:t>1</w:t>
            </w:r>
            <w:r>
              <w:rPr>
                <w:rFonts w:hint="eastAsia" w:ascii="宋体" w:hAnsi="宋体" w:eastAsia="宋体" w:cs="宋体"/>
                <w:snapToGrid w:val="0"/>
                <w:color w:val="auto"/>
                <w:kern w:val="0"/>
                <w:sz w:val="24"/>
                <w:szCs w:val="24"/>
                <w:lang w:val="en-US" w:eastAsia="zh-CN"/>
              </w:rPr>
              <w:t>分；方案内容简单，安排存在部分不合理，勉强可实施得</w:t>
            </w:r>
            <w:r>
              <w:rPr>
                <w:rFonts w:hint="eastAsia" w:ascii="宋体" w:hAnsi="宋体" w:cs="宋体"/>
                <w:snapToGrid w:val="0"/>
                <w:color w:val="auto"/>
                <w:kern w:val="0"/>
                <w:sz w:val="24"/>
                <w:szCs w:val="24"/>
                <w:lang w:val="en-US" w:eastAsia="zh-CN"/>
              </w:rPr>
              <w:t>0.5</w:t>
            </w:r>
            <w:r>
              <w:rPr>
                <w:rFonts w:hint="eastAsia" w:ascii="宋体" w:hAnsi="宋体" w:eastAsia="宋体" w:cs="宋体"/>
                <w:snapToGrid w:val="0"/>
                <w:color w:val="auto"/>
                <w:kern w:val="0"/>
                <w:sz w:val="24"/>
                <w:szCs w:val="24"/>
                <w:lang w:val="en-US" w:eastAsia="zh-CN"/>
              </w:rPr>
              <w:t>分；未提供得0分。</w:t>
            </w:r>
          </w:p>
        </w:tc>
      </w:tr>
    </w:tbl>
    <w:p w14:paraId="77F41BF1">
      <w:pPr>
        <w:keepNext w:val="0"/>
        <w:keepLines w:val="0"/>
        <w:pageBreakBefore w:val="0"/>
        <w:widowControl w:val="0"/>
        <w:kinsoku/>
        <w:wordWrap/>
        <w:overflowPunct/>
        <w:topLinePunct w:val="0"/>
        <w:autoSpaceDE/>
        <w:autoSpaceDN/>
        <w:bidi w:val="0"/>
        <w:adjustRightInd w:val="0"/>
        <w:snapToGrid w:val="0"/>
        <w:spacing w:before="157" w:beforeLines="50" w:after="157" w:afterLines="50" w:line="360" w:lineRule="auto"/>
        <w:textAlignment w:val="auto"/>
        <w:rPr>
          <w:rFonts w:hint="eastAsia" w:asciiTheme="minorEastAsia" w:hAnsiTheme="minorEastAsia" w:eastAsiaTheme="minorEastAsia" w:cstheme="minorEastAsia"/>
          <w:b/>
          <w:bCs w:val="0"/>
          <w:sz w:val="24"/>
          <w:szCs w:val="24"/>
          <w:lang w:eastAsia="zh-CN"/>
        </w:rPr>
      </w:pPr>
    </w:p>
    <w:p w14:paraId="76CADF3B">
      <w:pPr>
        <w:keepNext w:val="0"/>
        <w:keepLines w:val="0"/>
        <w:pageBreakBefore w:val="0"/>
        <w:widowControl w:val="0"/>
        <w:kinsoku/>
        <w:wordWrap/>
        <w:overflowPunct/>
        <w:topLinePunct w:val="0"/>
        <w:autoSpaceDE/>
        <w:autoSpaceDN/>
        <w:bidi w:val="0"/>
        <w:adjustRightInd w:val="0"/>
        <w:snapToGrid w:val="0"/>
        <w:spacing w:before="157" w:beforeLines="50" w:after="157" w:afterLines="50" w:line="360" w:lineRule="auto"/>
        <w:textAlignment w:val="auto"/>
        <w:rPr>
          <w:rFonts w:hint="eastAsia" w:asciiTheme="minorEastAsia" w:hAnsiTheme="minorEastAsia" w:eastAsiaTheme="minorEastAsia" w:cstheme="minorEastAsia"/>
          <w:b/>
          <w:bCs w:val="0"/>
          <w:sz w:val="24"/>
          <w:szCs w:val="24"/>
          <w:lang w:eastAsia="zh-CN"/>
        </w:rPr>
      </w:pPr>
      <w:r>
        <w:rPr>
          <w:rFonts w:hint="eastAsia" w:asciiTheme="minorEastAsia" w:hAnsiTheme="minorEastAsia" w:eastAsiaTheme="minorEastAsia" w:cstheme="minorEastAsia"/>
          <w:b/>
          <w:bCs w:val="0"/>
          <w:sz w:val="24"/>
          <w:szCs w:val="24"/>
          <w:lang w:eastAsia="zh-CN"/>
        </w:rPr>
        <w:t>四、总则</w:t>
      </w:r>
    </w:p>
    <w:p w14:paraId="5D9C4558">
      <w:pPr>
        <w:pageBreakBefore w:val="0"/>
        <w:kinsoku/>
        <w:wordWrap/>
        <w:overflowPunct/>
        <w:topLinePunct w:val="0"/>
        <w:autoSpaceDE/>
        <w:autoSpaceDN/>
        <w:bidi w:val="0"/>
        <w:spacing w:before="0" w:after="0" w:line="360" w:lineRule="auto"/>
        <w:ind w:left="0" w:leftChars="0" w:firstLine="482" w:firstLineChars="200"/>
        <w:jc w:val="both"/>
        <w:textAlignment w:val="auto"/>
        <w:outlineLvl w:val="9"/>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eastAsia="zh-CN"/>
        </w:rPr>
        <w:t>（一）</w:t>
      </w:r>
      <w:r>
        <w:rPr>
          <w:rFonts w:hint="eastAsia" w:asciiTheme="minorEastAsia" w:hAnsiTheme="minorEastAsia" w:eastAsiaTheme="minorEastAsia" w:cstheme="minorEastAsia"/>
          <w:b/>
          <w:bCs/>
          <w:sz w:val="24"/>
          <w:szCs w:val="24"/>
        </w:rPr>
        <w:t>评标依据</w:t>
      </w:r>
    </w:p>
    <w:p w14:paraId="00602047">
      <w:pPr>
        <w:pStyle w:val="20"/>
        <w:pageBreakBefore w:val="0"/>
        <w:kinsoku/>
        <w:wordWrap/>
        <w:overflowPunct/>
        <w:topLinePunct w:val="0"/>
        <w:autoSpaceDE/>
        <w:autoSpaceDN/>
        <w:bidi w:val="0"/>
        <w:snapToGrid w:val="0"/>
        <w:spacing w:after="0" w:line="360" w:lineRule="auto"/>
        <w:ind w:left="0" w:leftChars="0" w:firstLine="480" w:firstLineChars="200"/>
        <w:jc w:val="both"/>
        <w:textAlignment w:val="auto"/>
        <w:outlineLvl w:val="9"/>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1.《中华人民共和国政府采购法》；</w:t>
      </w:r>
    </w:p>
    <w:p w14:paraId="7705A850">
      <w:pPr>
        <w:pStyle w:val="20"/>
        <w:pageBreakBefore w:val="0"/>
        <w:kinsoku/>
        <w:wordWrap/>
        <w:overflowPunct/>
        <w:topLinePunct w:val="0"/>
        <w:autoSpaceDE/>
        <w:autoSpaceDN/>
        <w:bidi w:val="0"/>
        <w:snapToGrid w:val="0"/>
        <w:spacing w:after="0" w:line="360" w:lineRule="auto"/>
        <w:ind w:left="0" w:leftChars="0" w:firstLine="480" w:firstLineChars="200"/>
        <w:jc w:val="both"/>
        <w:textAlignment w:val="auto"/>
        <w:outlineLvl w:val="9"/>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2.《中华人民共和国政府采购法实施条例》；</w:t>
      </w:r>
    </w:p>
    <w:p w14:paraId="004D453E">
      <w:pPr>
        <w:pStyle w:val="20"/>
        <w:pageBreakBefore w:val="0"/>
        <w:kinsoku/>
        <w:wordWrap/>
        <w:overflowPunct/>
        <w:topLinePunct w:val="0"/>
        <w:autoSpaceDE/>
        <w:autoSpaceDN/>
        <w:bidi w:val="0"/>
        <w:snapToGrid w:val="0"/>
        <w:spacing w:after="0" w:line="360" w:lineRule="auto"/>
        <w:ind w:left="0" w:leftChars="0" w:firstLine="480" w:firstLineChars="200"/>
        <w:jc w:val="both"/>
        <w:textAlignment w:val="auto"/>
        <w:outlineLvl w:val="9"/>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3.《政府采购货物和服务招标投标管理办法》（财政部第87号令）；</w:t>
      </w:r>
    </w:p>
    <w:p w14:paraId="2452034E">
      <w:pPr>
        <w:pStyle w:val="20"/>
        <w:pageBreakBefore w:val="0"/>
        <w:kinsoku/>
        <w:wordWrap/>
        <w:overflowPunct/>
        <w:topLinePunct w:val="0"/>
        <w:autoSpaceDE/>
        <w:autoSpaceDN/>
        <w:bidi w:val="0"/>
        <w:snapToGrid w:val="0"/>
        <w:spacing w:after="0" w:line="360" w:lineRule="auto"/>
        <w:ind w:left="0" w:leftChars="0" w:firstLine="480" w:firstLineChars="200"/>
        <w:jc w:val="both"/>
        <w:textAlignment w:val="auto"/>
        <w:outlineLvl w:val="9"/>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4.《政府采购评审专家管理办法》；</w:t>
      </w:r>
    </w:p>
    <w:p w14:paraId="7997B5AD">
      <w:pPr>
        <w:pStyle w:val="20"/>
        <w:pageBreakBefore w:val="0"/>
        <w:kinsoku/>
        <w:wordWrap/>
        <w:overflowPunct/>
        <w:topLinePunct w:val="0"/>
        <w:autoSpaceDE/>
        <w:autoSpaceDN/>
        <w:bidi w:val="0"/>
        <w:snapToGrid w:val="0"/>
        <w:spacing w:after="0" w:line="360" w:lineRule="auto"/>
        <w:ind w:left="0" w:leftChars="0" w:firstLine="480" w:firstLineChars="200"/>
        <w:jc w:val="both"/>
        <w:textAlignment w:val="auto"/>
        <w:outlineLvl w:val="9"/>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5.《河南省政府采购评审专家管理实施办法》；</w:t>
      </w:r>
    </w:p>
    <w:p w14:paraId="6068C962">
      <w:pPr>
        <w:pStyle w:val="20"/>
        <w:pageBreakBefore w:val="0"/>
        <w:kinsoku/>
        <w:wordWrap/>
        <w:overflowPunct/>
        <w:topLinePunct w:val="0"/>
        <w:autoSpaceDE/>
        <w:autoSpaceDN/>
        <w:bidi w:val="0"/>
        <w:snapToGrid w:val="0"/>
        <w:spacing w:after="0" w:line="360" w:lineRule="auto"/>
        <w:ind w:left="0" w:leftChars="0" w:firstLine="480" w:firstLineChars="200"/>
        <w:jc w:val="both"/>
        <w:textAlignment w:val="auto"/>
        <w:outlineLvl w:val="9"/>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6. 法律法规的相关规定；</w:t>
      </w:r>
    </w:p>
    <w:p w14:paraId="1053A67E">
      <w:pPr>
        <w:pStyle w:val="20"/>
        <w:pageBreakBefore w:val="0"/>
        <w:kinsoku/>
        <w:wordWrap/>
        <w:overflowPunct/>
        <w:topLinePunct w:val="0"/>
        <w:autoSpaceDE/>
        <w:autoSpaceDN/>
        <w:bidi w:val="0"/>
        <w:snapToGrid w:val="0"/>
        <w:spacing w:after="0" w:line="360" w:lineRule="auto"/>
        <w:ind w:left="0" w:leftChars="0" w:firstLine="480" w:firstLineChars="200"/>
        <w:jc w:val="both"/>
        <w:textAlignment w:val="auto"/>
        <w:outlineLvl w:val="9"/>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7. 本项目招标文件。</w:t>
      </w:r>
    </w:p>
    <w:p w14:paraId="0E0DF07E">
      <w:pPr>
        <w:pStyle w:val="20"/>
        <w:pageBreakBefore w:val="0"/>
        <w:kinsoku/>
        <w:wordWrap/>
        <w:overflowPunct/>
        <w:topLinePunct w:val="0"/>
        <w:autoSpaceDE/>
        <w:autoSpaceDN/>
        <w:bidi w:val="0"/>
        <w:snapToGrid w:val="0"/>
        <w:spacing w:after="0" w:line="360" w:lineRule="auto"/>
        <w:ind w:left="0" w:leftChars="0" w:firstLine="480" w:firstLineChars="200"/>
        <w:jc w:val="both"/>
        <w:textAlignment w:val="auto"/>
        <w:outlineLvl w:val="9"/>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8.评标委员会</w:t>
      </w:r>
      <w:r>
        <w:rPr>
          <w:rFonts w:hint="eastAsia" w:asciiTheme="minorEastAsia" w:hAnsiTheme="minorEastAsia" w:eastAsiaTheme="minorEastAsia" w:cstheme="minorEastAsia"/>
          <w:sz w:val="24"/>
          <w:szCs w:val="24"/>
        </w:rPr>
        <w:t>判断投标文件的有效性仅基于国家的相关法律法规、本项目的招标文件、投标人的投标文件本身内容而不靠外部证据。</w:t>
      </w:r>
    </w:p>
    <w:p w14:paraId="29A2C39E">
      <w:pPr>
        <w:pStyle w:val="20"/>
        <w:pageBreakBefore w:val="0"/>
        <w:kinsoku/>
        <w:wordWrap/>
        <w:overflowPunct/>
        <w:topLinePunct w:val="0"/>
        <w:autoSpaceDE/>
        <w:autoSpaceDN/>
        <w:bidi w:val="0"/>
        <w:snapToGrid w:val="0"/>
        <w:spacing w:after="0" w:line="360" w:lineRule="auto"/>
        <w:ind w:left="0" w:leftChars="0" w:firstLine="480" w:firstLineChars="200"/>
        <w:jc w:val="both"/>
        <w:textAlignment w:val="auto"/>
        <w:outlineLvl w:val="9"/>
        <w:rPr>
          <w:rFonts w:hint="eastAsia" w:asciiTheme="minorEastAsia" w:hAnsiTheme="minorEastAsia" w:eastAsiaTheme="minorEastAsia" w:cstheme="minorEastAsia"/>
          <w:bCs/>
          <w:sz w:val="24"/>
          <w:szCs w:val="24"/>
          <w:lang w:val="en-US"/>
        </w:rPr>
      </w:pPr>
      <w:r>
        <w:rPr>
          <w:rFonts w:hint="eastAsia" w:asciiTheme="minorEastAsia" w:hAnsiTheme="minorEastAsia" w:eastAsiaTheme="minorEastAsia" w:cstheme="minorEastAsia"/>
          <w:bCs/>
          <w:sz w:val="24"/>
          <w:szCs w:val="24"/>
        </w:rPr>
        <w:t>9.招标文件</w:t>
      </w:r>
      <w:r>
        <w:rPr>
          <w:rFonts w:hint="eastAsia" w:asciiTheme="minorEastAsia" w:hAnsiTheme="minorEastAsia" w:eastAsiaTheme="minorEastAsia" w:cstheme="minorEastAsia"/>
          <w:sz w:val="24"/>
          <w:szCs w:val="24"/>
        </w:rPr>
        <w:t>中没有规定的评审标准不得作为评审依据。</w:t>
      </w:r>
    </w:p>
    <w:p w14:paraId="4D513079">
      <w:pPr>
        <w:pageBreakBefore w:val="0"/>
        <w:kinsoku/>
        <w:wordWrap/>
        <w:overflowPunct/>
        <w:topLinePunct w:val="0"/>
        <w:autoSpaceDE/>
        <w:autoSpaceDN/>
        <w:bidi w:val="0"/>
        <w:spacing w:before="0" w:after="0" w:line="360" w:lineRule="auto"/>
        <w:ind w:left="0" w:leftChars="0" w:firstLine="482" w:firstLineChars="200"/>
        <w:jc w:val="both"/>
        <w:textAlignment w:val="auto"/>
        <w:outlineLvl w:val="9"/>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eastAsia="zh-CN"/>
        </w:rPr>
        <w:t>（二）</w:t>
      </w:r>
      <w:r>
        <w:rPr>
          <w:rFonts w:hint="eastAsia" w:asciiTheme="minorEastAsia" w:hAnsiTheme="minorEastAsia" w:eastAsiaTheme="minorEastAsia" w:cstheme="minorEastAsia"/>
          <w:b/>
          <w:bCs/>
          <w:sz w:val="24"/>
          <w:szCs w:val="24"/>
        </w:rPr>
        <w:t>评标原则</w:t>
      </w:r>
    </w:p>
    <w:p w14:paraId="3C84CBA5">
      <w:pPr>
        <w:pageBreakBefore w:val="0"/>
        <w:kinsoku/>
        <w:wordWrap/>
        <w:overflowPunct/>
        <w:topLinePunct w:val="0"/>
        <w:autoSpaceDE/>
        <w:autoSpaceDN/>
        <w:bidi w:val="0"/>
        <w:spacing w:line="360" w:lineRule="auto"/>
        <w:ind w:left="0" w:leftChars="0" w:firstLine="48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1.评标将在严格保密的情况下进行。</w:t>
      </w:r>
    </w:p>
    <w:p w14:paraId="3FBE0476">
      <w:pPr>
        <w:pageBreakBefore w:val="0"/>
        <w:kinsoku/>
        <w:wordWrap/>
        <w:overflowPunct/>
        <w:topLinePunct w:val="0"/>
        <w:autoSpaceDE/>
        <w:autoSpaceDN/>
        <w:bidi w:val="0"/>
        <w:snapToGrid w:val="0"/>
        <w:spacing w:line="360" w:lineRule="auto"/>
        <w:ind w:left="0" w:leftChars="0" w:firstLine="48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2.评标委员会应当按照客观、公正、审慎的原则，根据招标文件规定的评审程序、评审方法和评审标准进行独立评审。经符合性审查合格的投标文件，评标委员会将对其技术部分和商务部分</w:t>
      </w:r>
      <w:r>
        <w:rPr>
          <w:rFonts w:hint="eastAsia" w:asciiTheme="minorEastAsia" w:hAnsiTheme="minorEastAsia" w:eastAsiaTheme="minorEastAsia" w:cstheme="minorEastAsia"/>
          <w:sz w:val="24"/>
          <w:szCs w:val="24"/>
          <w:lang w:eastAsia="zh-CN"/>
        </w:rPr>
        <w:t>做</w:t>
      </w:r>
      <w:r>
        <w:rPr>
          <w:rFonts w:hint="eastAsia" w:asciiTheme="minorEastAsia" w:hAnsiTheme="minorEastAsia" w:eastAsiaTheme="minorEastAsia" w:cstheme="minorEastAsia"/>
          <w:sz w:val="24"/>
          <w:szCs w:val="24"/>
        </w:rPr>
        <w:t>进一步的评审。</w:t>
      </w:r>
      <w:r>
        <w:rPr>
          <w:rFonts w:hint="eastAsia" w:asciiTheme="minorEastAsia" w:hAnsiTheme="minorEastAsia" w:eastAsiaTheme="minorEastAsia" w:cstheme="minorEastAsia"/>
          <w:bCs/>
          <w:sz w:val="24"/>
          <w:szCs w:val="24"/>
        </w:rPr>
        <w:t>如果投标文件不满足招标文件的实质性要求，其投标文件将作为无效投标文件处理</w:t>
      </w:r>
      <w:r>
        <w:rPr>
          <w:rFonts w:hint="eastAsia" w:asciiTheme="minorEastAsia" w:hAnsiTheme="minorEastAsia" w:eastAsiaTheme="minorEastAsia" w:cstheme="minorEastAsia"/>
          <w:sz w:val="24"/>
          <w:szCs w:val="24"/>
        </w:rPr>
        <w:t>。</w:t>
      </w:r>
    </w:p>
    <w:p w14:paraId="65B2E23A">
      <w:pPr>
        <w:pageBreakBefore w:val="0"/>
        <w:kinsoku/>
        <w:wordWrap/>
        <w:overflowPunct/>
        <w:topLinePunct w:val="0"/>
        <w:autoSpaceDE/>
        <w:autoSpaceDN/>
        <w:bidi w:val="0"/>
        <w:snapToGrid w:val="0"/>
        <w:spacing w:line="360" w:lineRule="auto"/>
        <w:ind w:left="0" w:leftChars="0" w:firstLine="48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rPr>
        <w:t>.在评审、推荐中标候选人名单过程中，评标委员会成员有不同意见时，由评标委员会集体研究，按照少数服从多数的原则确定。</w:t>
      </w:r>
    </w:p>
    <w:p w14:paraId="60F79351">
      <w:pPr>
        <w:pageBreakBefore w:val="0"/>
        <w:kinsoku/>
        <w:wordWrap/>
        <w:overflowPunct/>
        <w:topLinePunct w:val="0"/>
        <w:autoSpaceDE/>
        <w:autoSpaceDN/>
        <w:bidi w:val="0"/>
        <w:spacing w:before="0" w:after="0" w:line="360" w:lineRule="auto"/>
        <w:ind w:left="0" w:leftChars="0" w:firstLine="482" w:firstLineChars="200"/>
        <w:jc w:val="both"/>
        <w:textAlignment w:val="auto"/>
        <w:outlineLvl w:val="9"/>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eastAsia="zh-CN"/>
        </w:rPr>
        <w:t>（三）</w:t>
      </w:r>
      <w:r>
        <w:rPr>
          <w:rFonts w:hint="eastAsia" w:asciiTheme="minorEastAsia" w:hAnsiTheme="minorEastAsia" w:eastAsiaTheme="minorEastAsia" w:cstheme="minorEastAsia"/>
          <w:b/>
          <w:bCs/>
          <w:sz w:val="24"/>
          <w:szCs w:val="24"/>
        </w:rPr>
        <w:t>组建评标委员会</w:t>
      </w:r>
    </w:p>
    <w:p w14:paraId="61A11BC5">
      <w:pPr>
        <w:pageBreakBefore w:val="0"/>
        <w:kinsoku/>
        <w:wordWrap/>
        <w:overflowPunct/>
        <w:topLinePunct w:val="0"/>
        <w:autoSpaceDE/>
        <w:autoSpaceDN/>
        <w:bidi w:val="0"/>
        <w:spacing w:line="360" w:lineRule="auto"/>
        <w:ind w:left="0" w:leftChars="0" w:firstLine="48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sz w:val="24"/>
          <w:szCs w:val="24"/>
        </w:rPr>
        <w:t>1.</w:t>
      </w:r>
      <w:r>
        <w:rPr>
          <w:rFonts w:hint="eastAsia" w:asciiTheme="minorEastAsia" w:hAnsiTheme="minorEastAsia" w:eastAsiaTheme="minorEastAsia" w:cstheme="minorEastAsia"/>
          <w:sz w:val="24"/>
          <w:szCs w:val="24"/>
        </w:rPr>
        <w:t>采购人与采购代理机构将按照相关法律法规及财政部门的有关规定依法组建评标委员会，负责本项目的评标工作。</w:t>
      </w:r>
    </w:p>
    <w:p w14:paraId="73F0E679">
      <w:pPr>
        <w:pageBreakBefore w:val="0"/>
        <w:kinsoku/>
        <w:wordWrap/>
        <w:overflowPunct/>
        <w:topLinePunct w:val="0"/>
        <w:autoSpaceDE/>
        <w:autoSpaceDN/>
        <w:bidi w:val="0"/>
        <w:snapToGrid w:val="0"/>
        <w:spacing w:line="360" w:lineRule="auto"/>
        <w:ind w:left="0" w:leftChars="0" w:firstLine="48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评标委员会由采购人代表和评审专家组成，成员人数为五人以上单数。其中，评审专家不得少于成员总数的三分之二。采购数额在1000万元以上、技术复杂的项目，评标委员会成员人数应当为7人以上单数。具体成员人数见：</w:t>
      </w:r>
      <w:r>
        <w:rPr>
          <w:rFonts w:hint="eastAsia" w:asciiTheme="minorEastAsia" w:hAnsiTheme="minorEastAsia" w:eastAsiaTheme="minorEastAsia" w:cstheme="minorEastAsia"/>
          <w:b w:val="0"/>
          <w:bCs/>
          <w:sz w:val="24"/>
          <w:szCs w:val="24"/>
          <w:u w:val="single"/>
        </w:rPr>
        <w:t>投标人须知前附表</w:t>
      </w:r>
      <w:r>
        <w:rPr>
          <w:rFonts w:hint="eastAsia" w:asciiTheme="minorEastAsia" w:hAnsiTheme="minorEastAsia" w:eastAsiaTheme="minorEastAsia" w:cstheme="minorEastAsia"/>
          <w:b w:val="0"/>
          <w:bCs/>
          <w:sz w:val="24"/>
          <w:szCs w:val="24"/>
        </w:rPr>
        <w:t>。</w:t>
      </w:r>
      <w:r>
        <w:rPr>
          <w:rFonts w:hint="eastAsia" w:asciiTheme="minorEastAsia" w:hAnsiTheme="minorEastAsia" w:eastAsiaTheme="minorEastAsia" w:cstheme="minorEastAsia"/>
          <w:sz w:val="24"/>
          <w:szCs w:val="24"/>
        </w:rPr>
        <w:t>评审专家在</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信阳</w:t>
      </w:r>
      <w:r>
        <w:rPr>
          <w:rFonts w:hint="eastAsia" w:asciiTheme="minorEastAsia" w:hAnsiTheme="minorEastAsia" w:eastAsiaTheme="minorEastAsia" w:cstheme="minorEastAsia"/>
          <w:color w:val="auto"/>
          <w:sz w:val="24"/>
          <w:szCs w:val="24"/>
          <w:highlight w:val="none"/>
          <w:lang w:eastAsia="zh-CN"/>
        </w:rPr>
        <w:t>市政府采购评审专家库</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sz w:val="24"/>
          <w:szCs w:val="24"/>
        </w:rPr>
        <w:t>中随机抽取，并依法组建评标委员会，在采购结果确定前有关人员对评标委员会成员名单必须严格保密。</w:t>
      </w:r>
    </w:p>
    <w:p w14:paraId="22D9E498">
      <w:pPr>
        <w:pageBreakBefore w:val="0"/>
        <w:kinsoku/>
        <w:wordWrap/>
        <w:overflowPunct/>
        <w:topLinePunct w:val="0"/>
        <w:autoSpaceDE/>
        <w:autoSpaceDN/>
        <w:bidi w:val="0"/>
        <w:spacing w:line="360" w:lineRule="auto"/>
        <w:ind w:left="0" w:leftChars="0" w:firstLine="48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3.参加评标的人员应当遵守评标工作纪律，不得泄露招标文件、投标文件、评标情况和评标中获悉的国家秘密、商业秘密，并接受有关部门的监督。</w:t>
      </w:r>
    </w:p>
    <w:p w14:paraId="36BAE84D">
      <w:pPr>
        <w:pageBreakBefore w:val="0"/>
        <w:kinsoku/>
        <w:wordWrap/>
        <w:overflowPunct/>
        <w:topLinePunct w:val="0"/>
        <w:autoSpaceDE/>
        <w:autoSpaceDN/>
        <w:bidi w:val="0"/>
        <w:snapToGrid w:val="0"/>
        <w:spacing w:line="360" w:lineRule="auto"/>
        <w:ind w:left="0" w:leftChars="0" w:firstLine="48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4.评标委员会成员（以下简称评委）应按规定的程序评标。</w:t>
      </w:r>
    </w:p>
    <w:p w14:paraId="0F5B43A5">
      <w:pPr>
        <w:pageBreakBefore w:val="0"/>
        <w:kinsoku/>
        <w:wordWrap/>
        <w:overflowPunct/>
        <w:topLinePunct w:val="0"/>
        <w:autoSpaceDE/>
        <w:autoSpaceDN/>
        <w:bidi w:val="0"/>
        <w:snapToGrid w:val="0"/>
        <w:spacing w:line="360" w:lineRule="auto"/>
        <w:ind w:left="0" w:leftChars="0" w:firstLine="48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5.评标委员会将对确定为实质上响应招标文件要求的投标文件进行比较评审。</w:t>
      </w:r>
    </w:p>
    <w:p w14:paraId="4CDE9BE7">
      <w:pPr>
        <w:pageBreakBefore w:val="0"/>
        <w:kinsoku/>
        <w:wordWrap/>
        <w:overflowPunct/>
        <w:topLinePunct w:val="0"/>
        <w:autoSpaceDE/>
        <w:autoSpaceDN/>
        <w:bidi w:val="0"/>
        <w:snapToGrid w:val="0"/>
        <w:spacing w:line="360" w:lineRule="auto"/>
        <w:ind w:left="0" w:leftChars="0" w:firstLine="480" w:firstLineChars="200"/>
        <w:jc w:val="both"/>
        <w:textAlignment w:val="auto"/>
        <w:outlineLvl w:val="9"/>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sz w:val="24"/>
          <w:szCs w:val="24"/>
        </w:rPr>
        <w:t>6.投标人对评委施加影响的任何行为，都将被取消中标资格。</w:t>
      </w:r>
    </w:p>
    <w:p w14:paraId="3C9114A2">
      <w:pPr>
        <w:pageBreakBefore w:val="0"/>
        <w:kinsoku/>
        <w:wordWrap/>
        <w:overflowPunct/>
        <w:topLinePunct w:val="0"/>
        <w:autoSpaceDE/>
        <w:autoSpaceDN/>
        <w:bidi w:val="0"/>
        <w:spacing w:before="0" w:after="0" w:line="360" w:lineRule="auto"/>
        <w:ind w:left="0" w:leftChars="0" w:firstLine="482" w:firstLineChars="200"/>
        <w:jc w:val="both"/>
        <w:textAlignment w:val="auto"/>
        <w:outlineLvl w:val="9"/>
        <w:rPr>
          <w:rFonts w:hint="eastAsia" w:asciiTheme="minorEastAsia" w:hAnsiTheme="minorEastAsia" w:eastAsiaTheme="minorEastAsia" w:cstheme="minorEastAsia"/>
          <w:b w:val="0"/>
          <w:bCs w:val="0"/>
          <w:color w:val="FF0000"/>
          <w:sz w:val="24"/>
          <w:szCs w:val="24"/>
        </w:rPr>
      </w:pPr>
      <w:r>
        <w:rPr>
          <w:rFonts w:hint="eastAsia" w:asciiTheme="minorEastAsia" w:hAnsiTheme="minorEastAsia" w:eastAsiaTheme="minorEastAsia" w:cstheme="minorEastAsia"/>
          <w:b/>
          <w:bCs/>
          <w:sz w:val="24"/>
          <w:szCs w:val="24"/>
          <w:lang w:eastAsia="zh-CN"/>
        </w:rPr>
        <w:t>（四）</w:t>
      </w:r>
      <w:r>
        <w:rPr>
          <w:rFonts w:hint="eastAsia" w:asciiTheme="minorEastAsia" w:hAnsiTheme="minorEastAsia" w:eastAsiaTheme="minorEastAsia" w:cstheme="minorEastAsia"/>
          <w:b/>
          <w:bCs/>
          <w:sz w:val="24"/>
          <w:szCs w:val="24"/>
        </w:rPr>
        <w:t>评标准备工作</w:t>
      </w:r>
    </w:p>
    <w:p w14:paraId="477342EB">
      <w:pPr>
        <w:pageBreakBefore w:val="0"/>
        <w:kinsoku/>
        <w:wordWrap/>
        <w:overflowPunct/>
        <w:topLinePunct w:val="0"/>
        <w:autoSpaceDE/>
        <w:autoSpaceDN/>
        <w:bidi w:val="0"/>
        <w:spacing w:line="360" w:lineRule="auto"/>
        <w:ind w:left="0" w:leftChars="0" w:firstLine="48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1.回避情况自查：</w:t>
      </w:r>
      <w:r>
        <w:rPr>
          <w:rFonts w:hint="eastAsia" w:asciiTheme="minorEastAsia" w:hAnsiTheme="minorEastAsia" w:eastAsiaTheme="minorEastAsia" w:cstheme="minorEastAsia"/>
          <w:sz w:val="24"/>
          <w:szCs w:val="24"/>
        </w:rPr>
        <w:t>评审专家发现本人与参加采购活动的投标人有利害关系的，应当主动提出回避。采购人、采购代理机构发现评审专家与参加采购活动的投标人有利害关系的，应当要求其回避。</w:t>
      </w:r>
    </w:p>
    <w:p w14:paraId="4E00AED8">
      <w:pPr>
        <w:pageBreakBefore w:val="0"/>
        <w:kinsoku/>
        <w:wordWrap/>
        <w:overflowPunct/>
        <w:topLinePunct w:val="0"/>
        <w:autoSpaceDE/>
        <w:autoSpaceDN/>
        <w:bidi w:val="0"/>
        <w:spacing w:line="360" w:lineRule="auto"/>
        <w:ind w:left="0" w:leftChars="0" w:firstLine="48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2.回</w:t>
      </w:r>
      <w:r>
        <w:rPr>
          <w:rFonts w:hint="eastAsia" w:asciiTheme="minorEastAsia" w:hAnsiTheme="minorEastAsia" w:eastAsiaTheme="minorEastAsia" w:cstheme="minorEastAsia"/>
          <w:sz w:val="24"/>
          <w:szCs w:val="24"/>
        </w:rPr>
        <w:t>避</w:t>
      </w:r>
      <w:r>
        <w:rPr>
          <w:rFonts w:hint="eastAsia" w:asciiTheme="minorEastAsia" w:hAnsiTheme="minorEastAsia" w:eastAsiaTheme="minorEastAsia" w:cstheme="minorEastAsia"/>
          <w:sz w:val="24"/>
          <w:szCs w:val="24"/>
          <w:lang w:eastAsia="zh-CN"/>
        </w:rPr>
        <w:t>情形：</w:t>
      </w:r>
      <w:r>
        <w:rPr>
          <w:rFonts w:hint="eastAsia" w:asciiTheme="minorEastAsia" w:hAnsiTheme="minorEastAsia" w:eastAsiaTheme="minorEastAsia" w:cstheme="minorEastAsia"/>
          <w:sz w:val="24"/>
          <w:szCs w:val="24"/>
        </w:rPr>
        <w:t>评审专家与参加采购活动的投标人存在下列利害关系之一的，应当回避：</w:t>
      </w:r>
    </w:p>
    <w:p w14:paraId="6E78B9D3">
      <w:pPr>
        <w:pageBreakBefore w:val="0"/>
        <w:kinsoku/>
        <w:wordWrap/>
        <w:overflowPunct/>
        <w:topLinePunct w:val="0"/>
        <w:autoSpaceDE/>
        <w:autoSpaceDN/>
        <w:bidi w:val="0"/>
        <w:spacing w:line="360" w:lineRule="auto"/>
        <w:ind w:left="0" w:leftChars="0" w:firstLine="48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（1）参加采购活动前3年内，与投标人存在劳动关系，或者担任过投标人的董事、监事，或者是投标人的控股股东或者实际控制人；</w:t>
      </w:r>
    </w:p>
    <w:p w14:paraId="2F17E628">
      <w:pPr>
        <w:pageBreakBefore w:val="0"/>
        <w:kinsoku/>
        <w:wordWrap/>
        <w:overflowPunct/>
        <w:topLinePunct w:val="0"/>
        <w:autoSpaceDE/>
        <w:autoSpaceDN/>
        <w:bidi w:val="0"/>
        <w:spacing w:line="360" w:lineRule="auto"/>
        <w:ind w:left="0" w:leftChars="0" w:firstLine="48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（2）与投标人的法定代表人或者负责人有夫妻、直系血亲、三代以内旁系血亲或者近姻亲关系；</w:t>
      </w:r>
    </w:p>
    <w:p w14:paraId="40FA290A">
      <w:pPr>
        <w:pageBreakBefore w:val="0"/>
        <w:kinsoku/>
        <w:wordWrap/>
        <w:overflowPunct/>
        <w:topLinePunct w:val="0"/>
        <w:autoSpaceDE/>
        <w:autoSpaceDN/>
        <w:bidi w:val="0"/>
        <w:spacing w:line="360" w:lineRule="auto"/>
        <w:ind w:left="0" w:leftChars="0" w:firstLine="480" w:firstLineChars="200"/>
        <w:jc w:val="both"/>
        <w:textAlignment w:val="auto"/>
        <w:outlineLvl w:val="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（3）与投标人有其他可能影响政府采购活动公平、公正进行的关系</w:t>
      </w:r>
      <w:r>
        <w:rPr>
          <w:rFonts w:hint="eastAsia" w:asciiTheme="minorEastAsia" w:hAnsiTheme="minorEastAsia" w:eastAsiaTheme="minorEastAsia" w:cstheme="minorEastAsia"/>
          <w:sz w:val="24"/>
          <w:szCs w:val="24"/>
          <w:lang w:eastAsia="zh-CN"/>
        </w:rPr>
        <w:t>；</w:t>
      </w:r>
    </w:p>
    <w:p w14:paraId="7DA8ADDA">
      <w:pPr>
        <w:pageBreakBefore w:val="0"/>
        <w:kinsoku/>
        <w:wordWrap/>
        <w:overflowPunct/>
        <w:topLinePunct w:val="0"/>
        <w:autoSpaceDE/>
        <w:autoSpaceDN/>
        <w:bidi w:val="0"/>
        <w:spacing w:line="360" w:lineRule="auto"/>
        <w:ind w:left="0" w:leftChars="0" w:firstLine="480" w:firstLineChars="200"/>
        <w:jc w:val="both"/>
        <w:textAlignment w:val="auto"/>
        <w:outlineLvl w:val="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lang w:eastAsia="zh-CN"/>
        </w:rPr>
        <w:t>）本项目</w:t>
      </w:r>
      <w:r>
        <w:rPr>
          <w:rFonts w:hint="eastAsia" w:asciiTheme="minorEastAsia" w:hAnsiTheme="minorEastAsia" w:eastAsiaTheme="minorEastAsia" w:cstheme="minorEastAsia"/>
          <w:sz w:val="24"/>
          <w:szCs w:val="24"/>
        </w:rPr>
        <w:t>采购代理机构工作人员</w:t>
      </w:r>
      <w:r>
        <w:rPr>
          <w:rFonts w:hint="eastAsia" w:asciiTheme="minorEastAsia" w:hAnsiTheme="minorEastAsia" w:eastAsiaTheme="minorEastAsia" w:cstheme="minorEastAsia"/>
          <w:sz w:val="24"/>
          <w:szCs w:val="24"/>
          <w:lang w:eastAsia="zh-CN"/>
        </w:rPr>
        <w:t>；</w:t>
      </w:r>
    </w:p>
    <w:p w14:paraId="36209E25">
      <w:pPr>
        <w:pageBreakBefore w:val="0"/>
        <w:kinsoku/>
        <w:wordWrap/>
        <w:overflowPunct/>
        <w:topLinePunct w:val="0"/>
        <w:autoSpaceDE/>
        <w:autoSpaceDN/>
        <w:bidi w:val="0"/>
        <w:spacing w:line="360" w:lineRule="auto"/>
        <w:ind w:left="0" w:leftChars="0" w:firstLine="480" w:firstLineChars="200"/>
        <w:jc w:val="both"/>
        <w:textAlignment w:val="auto"/>
        <w:outlineLvl w:val="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eastAsiaTheme="minorEastAsia" w:cstheme="minorEastAsia"/>
          <w:sz w:val="24"/>
          <w:szCs w:val="24"/>
          <w:lang w:eastAsia="zh-CN"/>
        </w:rPr>
        <w:t>）本项目</w:t>
      </w:r>
      <w:r>
        <w:rPr>
          <w:rFonts w:hint="eastAsia" w:asciiTheme="minorEastAsia" w:hAnsiTheme="minorEastAsia" w:eastAsiaTheme="minorEastAsia" w:cstheme="minorEastAsia"/>
          <w:sz w:val="24"/>
          <w:szCs w:val="24"/>
        </w:rPr>
        <w:t>各级财政部门政府采购监督管理工作人员</w:t>
      </w:r>
      <w:r>
        <w:rPr>
          <w:rFonts w:hint="eastAsia" w:asciiTheme="minorEastAsia" w:hAnsiTheme="minorEastAsia" w:eastAsiaTheme="minorEastAsia" w:cstheme="minorEastAsia"/>
          <w:sz w:val="24"/>
          <w:szCs w:val="24"/>
          <w:lang w:eastAsia="zh-CN"/>
        </w:rPr>
        <w:t>；</w:t>
      </w:r>
    </w:p>
    <w:p w14:paraId="0066506E">
      <w:pPr>
        <w:pageBreakBefore w:val="0"/>
        <w:kinsoku/>
        <w:wordWrap/>
        <w:overflowPunct/>
        <w:topLinePunct w:val="0"/>
        <w:autoSpaceDE/>
        <w:autoSpaceDN/>
        <w:bidi w:val="0"/>
        <w:spacing w:line="360" w:lineRule="auto"/>
        <w:ind w:left="0" w:leftChars="0" w:firstLine="48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6</w:t>
      </w:r>
      <w:r>
        <w:rPr>
          <w:rFonts w:hint="eastAsia" w:asciiTheme="minorEastAsia" w:hAnsiTheme="minorEastAsia" w:eastAsiaTheme="minorEastAsia" w:cstheme="minorEastAsia"/>
          <w:sz w:val="24"/>
          <w:szCs w:val="24"/>
          <w:lang w:eastAsia="zh-CN"/>
        </w:rPr>
        <w:t>）本项目</w:t>
      </w:r>
      <w:r>
        <w:rPr>
          <w:rFonts w:hint="eastAsia" w:asciiTheme="minorEastAsia" w:hAnsiTheme="minorEastAsia" w:eastAsiaTheme="minorEastAsia" w:cstheme="minorEastAsia"/>
          <w:sz w:val="24"/>
          <w:szCs w:val="24"/>
        </w:rPr>
        <w:t>论证的专家。</w:t>
      </w:r>
    </w:p>
    <w:p w14:paraId="67A554F4">
      <w:pPr>
        <w:pStyle w:val="20"/>
        <w:pageBreakBefore w:val="0"/>
        <w:kinsoku/>
        <w:wordWrap/>
        <w:overflowPunct/>
        <w:topLinePunct w:val="0"/>
        <w:autoSpaceDE/>
        <w:autoSpaceDN/>
        <w:bidi w:val="0"/>
        <w:spacing w:after="0" w:line="360" w:lineRule="auto"/>
        <w:ind w:left="0" w:leftChars="0" w:firstLine="480" w:firstLineChars="200"/>
        <w:jc w:val="both"/>
        <w:textAlignment w:val="auto"/>
        <w:outlineLvl w:val="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lang w:eastAsia="zh-CN"/>
        </w:rPr>
        <w:t>.录入采购人代表和</w:t>
      </w:r>
      <w:r>
        <w:rPr>
          <w:rFonts w:hint="eastAsia" w:asciiTheme="minorEastAsia" w:hAnsiTheme="minorEastAsia" w:eastAsiaTheme="minorEastAsia" w:cstheme="minorEastAsia"/>
          <w:sz w:val="24"/>
          <w:szCs w:val="24"/>
        </w:rPr>
        <w:t>评审专家身份</w:t>
      </w:r>
      <w:r>
        <w:rPr>
          <w:rFonts w:hint="eastAsia" w:asciiTheme="minorEastAsia" w:hAnsiTheme="minorEastAsia" w:eastAsiaTheme="minorEastAsia" w:cstheme="minorEastAsia"/>
          <w:sz w:val="24"/>
          <w:szCs w:val="24"/>
          <w:lang w:eastAsia="zh-CN"/>
        </w:rPr>
        <w:t>，建立评审账户。</w:t>
      </w:r>
    </w:p>
    <w:p w14:paraId="5574F161">
      <w:pPr>
        <w:pStyle w:val="20"/>
        <w:pageBreakBefore w:val="0"/>
        <w:kinsoku/>
        <w:wordWrap/>
        <w:overflowPunct/>
        <w:topLinePunct w:val="0"/>
        <w:autoSpaceDE/>
        <w:autoSpaceDN/>
        <w:bidi w:val="0"/>
        <w:spacing w:after="0" w:line="360" w:lineRule="auto"/>
        <w:ind w:left="0" w:leftChars="0" w:firstLine="480" w:firstLineChars="200"/>
        <w:jc w:val="both"/>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lang w:eastAsia="zh-CN"/>
        </w:rPr>
        <w:t>.进行签到</w:t>
      </w:r>
      <w:r>
        <w:rPr>
          <w:rFonts w:hint="eastAsia" w:asciiTheme="minorEastAsia" w:hAnsiTheme="minorEastAsia" w:eastAsiaTheme="minorEastAsia" w:cstheme="minorEastAsia"/>
          <w:color w:val="auto"/>
          <w:sz w:val="24"/>
          <w:szCs w:val="24"/>
          <w:lang w:eastAsia="zh-CN"/>
        </w:rPr>
        <w:t>登记，办理评审</w:t>
      </w:r>
      <w:r>
        <w:rPr>
          <w:rFonts w:hint="eastAsia" w:asciiTheme="minorEastAsia" w:hAnsiTheme="minorEastAsia" w:eastAsiaTheme="minorEastAsia" w:cstheme="minorEastAsia"/>
          <w:color w:val="auto"/>
          <w:sz w:val="24"/>
          <w:szCs w:val="24"/>
          <w:lang w:val="en-US" w:eastAsia="zh-CN"/>
        </w:rPr>
        <w:t>CA钥匙</w:t>
      </w:r>
      <w:r>
        <w:rPr>
          <w:rFonts w:hint="eastAsia" w:asciiTheme="minorEastAsia" w:hAnsiTheme="minorEastAsia" w:eastAsiaTheme="minorEastAsia" w:cstheme="minorEastAsia"/>
          <w:color w:val="auto"/>
          <w:sz w:val="24"/>
          <w:szCs w:val="24"/>
          <w:lang w:eastAsia="zh-CN"/>
        </w:rPr>
        <w:t>。</w:t>
      </w:r>
    </w:p>
    <w:p w14:paraId="5BDC2723">
      <w:pPr>
        <w:pStyle w:val="20"/>
        <w:pageBreakBefore w:val="0"/>
        <w:kinsoku/>
        <w:wordWrap/>
        <w:overflowPunct/>
        <w:topLinePunct w:val="0"/>
        <w:autoSpaceDE/>
        <w:autoSpaceDN/>
        <w:bidi w:val="0"/>
        <w:spacing w:after="0" w:line="360" w:lineRule="auto"/>
        <w:ind w:left="0" w:leftChars="0" w:firstLine="480" w:firstLineChars="200"/>
        <w:jc w:val="both"/>
        <w:textAlignment w:val="auto"/>
        <w:outlineLvl w:val="9"/>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组织评</w:t>
      </w:r>
      <w:r>
        <w:rPr>
          <w:rFonts w:hint="eastAsia" w:asciiTheme="minorEastAsia" w:hAnsiTheme="minorEastAsia" w:eastAsiaTheme="minorEastAsia" w:cstheme="minorEastAsia"/>
          <w:color w:val="auto"/>
          <w:sz w:val="24"/>
          <w:szCs w:val="24"/>
          <w:highlight w:val="none"/>
          <w:lang w:eastAsia="zh-CN"/>
        </w:rPr>
        <w:t>标</w:t>
      </w:r>
      <w:r>
        <w:rPr>
          <w:rFonts w:hint="eastAsia" w:asciiTheme="minorEastAsia" w:hAnsiTheme="minorEastAsia" w:eastAsiaTheme="minorEastAsia" w:cstheme="minorEastAsia"/>
          <w:color w:val="auto"/>
          <w:sz w:val="24"/>
          <w:szCs w:val="24"/>
          <w:highlight w:val="none"/>
        </w:rPr>
        <w:t>委员会推选评标组长</w:t>
      </w:r>
      <w:r>
        <w:rPr>
          <w:rFonts w:hint="eastAsia" w:asciiTheme="minorEastAsia" w:hAnsiTheme="minorEastAsia" w:eastAsiaTheme="minorEastAsia" w:cstheme="minorEastAsia"/>
          <w:color w:val="auto"/>
          <w:sz w:val="24"/>
          <w:szCs w:val="24"/>
          <w:highlight w:val="none"/>
          <w:lang w:eastAsia="zh-CN"/>
        </w:rPr>
        <w:t>，采购人代表不得担任评标组长。</w:t>
      </w:r>
    </w:p>
    <w:p w14:paraId="0587B529">
      <w:pPr>
        <w:pStyle w:val="20"/>
        <w:pageBreakBefore w:val="0"/>
        <w:kinsoku/>
        <w:wordWrap/>
        <w:overflowPunct/>
        <w:topLinePunct w:val="0"/>
        <w:autoSpaceDE/>
        <w:autoSpaceDN/>
        <w:bidi w:val="0"/>
        <w:spacing w:after="0" w:line="360" w:lineRule="auto"/>
        <w:ind w:left="0" w:leftChars="0" w:firstLine="480" w:firstLineChars="200"/>
        <w:jc w:val="both"/>
        <w:textAlignment w:val="auto"/>
        <w:outlineLvl w:val="9"/>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sz w:val="24"/>
          <w:szCs w:val="24"/>
          <w:highlight w:val="none"/>
          <w:lang w:val="en-US" w:eastAsia="zh-CN"/>
        </w:rPr>
        <w:t>6</w:t>
      </w:r>
      <w:r>
        <w:rPr>
          <w:rFonts w:hint="eastAsia" w:asciiTheme="minorEastAsia" w:hAnsiTheme="minorEastAsia" w:eastAsiaTheme="minorEastAsia" w:cstheme="minorEastAsia"/>
          <w:color w:val="000000"/>
          <w:sz w:val="24"/>
          <w:szCs w:val="24"/>
          <w:highlight w:val="none"/>
        </w:rPr>
        <w:t>.评标委员会成员阅览招标文件及投标文件。</w:t>
      </w:r>
    </w:p>
    <w:p w14:paraId="688D3932">
      <w:pPr>
        <w:pageBreakBefore w:val="0"/>
        <w:kinsoku/>
        <w:wordWrap/>
        <w:overflowPunct/>
        <w:topLinePunct w:val="0"/>
        <w:autoSpaceDE/>
        <w:autoSpaceDN/>
        <w:bidi w:val="0"/>
        <w:spacing w:before="0" w:after="0" w:line="360" w:lineRule="auto"/>
        <w:ind w:left="0" w:leftChars="0" w:firstLine="482" w:firstLineChars="200"/>
        <w:jc w:val="both"/>
        <w:textAlignment w:val="auto"/>
        <w:outlineLvl w:val="9"/>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eastAsia="zh-CN"/>
        </w:rPr>
        <w:t>（五）</w:t>
      </w:r>
      <w:r>
        <w:rPr>
          <w:rFonts w:hint="eastAsia" w:asciiTheme="minorEastAsia" w:hAnsiTheme="minorEastAsia" w:eastAsiaTheme="minorEastAsia" w:cstheme="minorEastAsia"/>
          <w:b/>
          <w:bCs/>
          <w:sz w:val="24"/>
          <w:szCs w:val="24"/>
        </w:rPr>
        <w:t>评</w:t>
      </w:r>
      <w:r>
        <w:rPr>
          <w:rFonts w:hint="eastAsia" w:asciiTheme="minorEastAsia" w:hAnsiTheme="minorEastAsia" w:eastAsiaTheme="minorEastAsia" w:cstheme="minorEastAsia"/>
          <w:b/>
          <w:bCs/>
          <w:sz w:val="24"/>
          <w:szCs w:val="24"/>
          <w:lang w:eastAsia="zh-CN"/>
        </w:rPr>
        <w:t>审</w:t>
      </w:r>
      <w:r>
        <w:rPr>
          <w:rFonts w:hint="eastAsia" w:asciiTheme="minorEastAsia" w:hAnsiTheme="minorEastAsia" w:eastAsiaTheme="minorEastAsia" w:cstheme="minorEastAsia"/>
          <w:b/>
          <w:bCs/>
          <w:sz w:val="24"/>
          <w:szCs w:val="24"/>
        </w:rPr>
        <w:t>程序如下</w:t>
      </w:r>
    </w:p>
    <w:p w14:paraId="001F3AF1">
      <w:pPr>
        <w:keepNext/>
        <w:keepLines/>
        <w:pageBreakBefore w:val="0"/>
        <w:kinsoku/>
        <w:wordWrap/>
        <w:overflowPunct/>
        <w:topLinePunct w:val="0"/>
        <w:autoSpaceDE/>
        <w:autoSpaceDN/>
        <w:bidi w:val="0"/>
        <w:spacing w:line="360" w:lineRule="auto"/>
        <w:ind w:left="0" w:leftChars="0" w:firstLine="480" w:firstLineChars="200"/>
        <w:jc w:val="both"/>
        <w:textAlignment w:val="auto"/>
        <w:outlineLvl w:val="9"/>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1.</w:t>
      </w:r>
      <w:r>
        <w:rPr>
          <w:rFonts w:hint="eastAsia" w:asciiTheme="minorEastAsia" w:hAnsiTheme="minorEastAsia" w:eastAsiaTheme="minorEastAsia" w:cstheme="minorEastAsia"/>
          <w:b w:val="0"/>
          <w:bCs/>
          <w:sz w:val="24"/>
          <w:szCs w:val="24"/>
          <w:lang w:eastAsia="zh-CN"/>
        </w:rPr>
        <w:t>资格</w:t>
      </w:r>
      <w:r>
        <w:rPr>
          <w:rFonts w:hint="eastAsia" w:asciiTheme="minorEastAsia" w:hAnsiTheme="minorEastAsia" w:eastAsiaTheme="minorEastAsia" w:cstheme="minorEastAsia"/>
          <w:b w:val="0"/>
          <w:bCs/>
          <w:sz w:val="24"/>
          <w:szCs w:val="24"/>
        </w:rPr>
        <w:t>审查工作；</w:t>
      </w:r>
    </w:p>
    <w:p w14:paraId="4A241B24">
      <w:pPr>
        <w:pageBreakBefore w:val="0"/>
        <w:kinsoku/>
        <w:wordWrap/>
        <w:overflowPunct/>
        <w:topLinePunct w:val="0"/>
        <w:autoSpaceDE/>
        <w:autoSpaceDN/>
        <w:bidi w:val="0"/>
        <w:spacing w:before="0" w:after="0" w:line="360" w:lineRule="auto"/>
        <w:ind w:left="0" w:leftChars="0" w:firstLine="480" w:firstLineChars="200"/>
        <w:jc w:val="both"/>
        <w:textAlignment w:val="auto"/>
        <w:outlineLvl w:val="9"/>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lang w:val="en-US" w:eastAsia="zh-CN"/>
        </w:rPr>
        <w:t>2</w:t>
      </w:r>
      <w:r>
        <w:rPr>
          <w:rFonts w:hint="eastAsia" w:asciiTheme="minorEastAsia" w:hAnsiTheme="minorEastAsia" w:eastAsiaTheme="minorEastAsia" w:cstheme="minorEastAsia"/>
          <w:b w:val="0"/>
          <w:bCs/>
          <w:sz w:val="24"/>
          <w:szCs w:val="24"/>
        </w:rPr>
        <w:t>.符合性审查工作；</w:t>
      </w:r>
    </w:p>
    <w:p w14:paraId="675AF2A0">
      <w:pPr>
        <w:pageBreakBefore w:val="0"/>
        <w:kinsoku/>
        <w:wordWrap/>
        <w:overflowPunct/>
        <w:topLinePunct w:val="0"/>
        <w:autoSpaceDE/>
        <w:autoSpaceDN/>
        <w:bidi w:val="0"/>
        <w:spacing w:before="0" w:after="0" w:line="360" w:lineRule="auto"/>
        <w:ind w:left="0" w:leftChars="0" w:firstLine="480" w:firstLineChars="200"/>
        <w:jc w:val="both"/>
        <w:textAlignment w:val="auto"/>
        <w:outlineLvl w:val="9"/>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lang w:val="en-US" w:eastAsia="zh-CN"/>
        </w:rPr>
        <w:t>3</w:t>
      </w:r>
      <w:r>
        <w:rPr>
          <w:rFonts w:hint="eastAsia" w:asciiTheme="minorEastAsia" w:hAnsiTheme="minorEastAsia" w:eastAsiaTheme="minorEastAsia" w:cstheme="minorEastAsia"/>
          <w:b w:val="0"/>
          <w:bCs/>
          <w:sz w:val="24"/>
          <w:szCs w:val="24"/>
        </w:rPr>
        <w:t>.文件的澄清；</w:t>
      </w:r>
    </w:p>
    <w:p w14:paraId="6BE92810">
      <w:pPr>
        <w:pageBreakBefore w:val="0"/>
        <w:kinsoku/>
        <w:wordWrap/>
        <w:overflowPunct/>
        <w:topLinePunct w:val="0"/>
        <w:autoSpaceDE/>
        <w:autoSpaceDN/>
        <w:bidi w:val="0"/>
        <w:spacing w:before="0" w:after="0" w:line="360" w:lineRule="auto"/>
        <w:ind w:left="0" w:leftChars="0" w:firstLine="480" w:firstLineChars="200"/>
        <w:jc w:val="both"/>
        <w:textAlignment w:val="auto"/>
        <w:outlineLvl w:val="9"/>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lang w:val="en-US" w:eastAsia="zh-CN"/>
        </w:rPr>
        <w:t>4</w:t>
      </w:r>
      <w:r>
        <w:rPr>
          <w:rFonts w:hint="eastAsia" w:asciiTheme="minorEastAsia" w:hAnsiTheme="minorEastAsia" w:eastAsiaTheme="minorEastAsia" w:cstheme="minorEastAsia"/>
          <w:b w:val="0"/>
          <w:bCs/>
          <w:sz w:val="24"/>
          <w:szCs w:val="24"/>
        </w:rPr>
        <w:t>.</w:t>
      </w:r>
      <w:r>
        <w:rPr>
          <w:rFonts w:hint="eastAsia" w:asciiTheme="minorEastAsia" w:hAnsiTheme="minorEastAsia" w:eastAsiaTheme="minorEastAsia" w:cstheme="minorEastAsia"/>
          <w:b w:val="0"/>
          <w:bCs/>
          <w:sz w:val="24"/>
          <w:szCs w:val="24"/>
          <w:lang w:eastAsia="zh-CN"/>
        </w:rPr>
        <w:t>详细评审</w:t>
      </w:r>
      <w:r>
        <w:rPr>
          <w:rFonts w:hint="eastAsia" w:asciiTheme="minorEastAsia" w:hAnsiTheme="minorEastAsia" w:eastAsiaTheme="minorEastAsia" w:cstheme="minorEastAsia"/>
          <w:b w:val="0"/>
          <w:bCs/>
          <w:sz w:val="24"/>
          <w:szCs w:val="24"/>
        </w:rPr>
        <w:t>；</w:t>
      </w:r>
    </w:p>
    <w:p w14:paraId="7F6C0608">
      <w:pPr>
        <w:pageBreakBefore w:val="0"/>
        <w:kinsoku/>
        <w:wordWrap/>
        <w:overflowPunct/>
        <w:topLinePunct w:val="0"/>
        <w:autoSpaceDE/>
        <w:autoSpaceDN/>
        <w:bidi w:val="0"/>
        <w:spacing w:before="0" w:after="0" w:line="360" w:lineRule="auto"/>
        <w:ind w:left="0" w:leftChars="0" w:firstLine="480" w:firstLineChars="200"/>
        <w:jc w:val="both"/>
        <w:textAlignment w:val="auto"/>
        <w:outlineLvl w:val="9"/>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lang w:val="en-US" w:eastAsia="zh-CN"/>
        </w:rPr>
        <w:t>5</w:t>
      </w:r>
      <w:r>
        <w:rPr>
          <w:rFonts w:hint="eastAsia" w:asciiTheme="minorEastAsia" w:hAnsiTheme="minorEastAsia" w:eastAsiaTheme="minorEastAsia" w:cstheme="minorEastAsia"/>
          <w:b w:val="0"/>
          <w:bCs/>
          <w:sz w:val="24"/>
          <w:szCs w:val="24"/>
        </w:rPr>
        <w:t>.</w:t>
      </w:r>
      <w:r>
        <w:rPr>
          <w:rFonts w:hint="eastAsia" w:asciiTheme="minorEastAsia" w:hAnsiTheme="minorEastAsia" w:eastAsiaTheme="minorEastAsia" w:cstheme="minorEastAsia"/>
          <w:b w:val="0"/>
          <w:bCs/>
          <w:sz w:val="24"/>
          <w:szCs w:val="24"/>
          <w:lang w:eastAsia="zh-CN"/>
        </w:rPr>
        <w:t>出具</w:t>
      </w:r>
      <w:r>
        <w:rPr>
          <w:rFonts w:hint="eastAsia" w:asciiTheme="minorEastAsia" w:hAnsiTheme="minorEastAsia" w:eastAsiaTheme="minorEastAsia" w:cstheme="minorEastAsia"/>
          <w:b w:val="0"/>
          <w:bCs/>
          <w:sz w:val="24"/>
          <w:szCs w:val="24"/>
        </w:rPr>
        <w:t>评标报告。</w:t>
      </w:r>
    </w:p>
    <w:p w14:paraId="68FBAB9E">
      <w:pPr>
        <w:pageBreakBefore w:val="0"/>
        <w:kinsoku/>
        <w:wordWrap/>
        <w:overflowPunct/>
        <w:topLinePunct w:val="0"/>
        <w:autoSpaceDE/>
        <w:autoSpaceDN/>
        <w:bidi w:val="0"/>
        <w:spacing w:before="0" w:after="0" w:line="360" w:lineRule="auto"/>
        <w:ind w:left="0" w:leftChars="0" w:firstLine="482" w:firstLineChars="200"/>
        <w:jc w:val="both"/>
        <w:textAlignment w:val="auto"/>
        <w:outlineLvl w:val="9"/>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bCs/>
          <w:sz w:val="24"/>
          <w:szCs w:val="24"/>
          <w:lang w:eastAsia="zh-CN"/>
        </w:rPr>
        <w:t>（六）</w:t>
      </w:r>
      <w:r>
        <w:rPr>
          <w:rFonts w:hint="eastAsia" w:asciiTheme="minorEastAsia" w:hAnsiTheme="minorEastAsia" w:eastAsiaTheme="minorEastAsia" w:cstheme="minorEastAsia"/>
          <w:b/>
          <w:bCs/>
          <w:sz w:val="24"/>
          <w:szCs w:val="24"/>
        </w:rPr>
        <w:t>资格审查</w:t>
      </w:r>
    </w:p>
    <w:p w14:paraId="61EE5391">
      <w:pPr>
        <w:pageBreakBefore w:val="0"/>
        <w:kinsoku/>
        <w:wordWrap/>
        <w:overflowPunct/>
        <w:topLinePunct w:val="0"/>
        <w:autoSpaceDE/>
        <w:autoSpaceDN/>
        <w:bidi w:val="0"/>
        <w:spacing w:line="360" w:lineRule="auto"/>
        <w:ind w:left="0" w:leftChars="0" w:firstLine="48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1.开标结束后，首先按照《政府采购货物和服务招标投标管理办法》（财政部第87 号令）第四十四条的规定由采购人或采购代理机构对投标人的资格进行审查。</w:t>
      </w:r>
    </w:p>
    <w:p w14:paraId="52434825">
      <w:pPr>
        <w:pageBreakBefore w:val="0"/>
        <w:kinsoku/>
        <w:wordWrap/>
        <w:overflowPunct/>
        <w:topLinePunct w:val="0"/>
        <w:autoSpaceDE/>
        <w:autoSpaceDN/>
        <w:bidi w:val="0"/>
        <w:spacing w:line="360" w:lineRule="auto"/>
        <w:ind w:left="0" w:leftChars="0" w:firstLine="48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采购人或采购代理机构依据法律法规和招标文件中规定的内容，对投标人进行资格审查，并形成资格审查结果。未通过资格审查的投标人不得进入评标程序。通过资格审查的投标人不足三家的，不进行评标。采购人将通过资格审查的投标文件交评标委员会进行下一步的评审。</w:t>
      </w:r>
    </w:p>
    <w:p w14:paraId="5E08DB53">
      <w:pPr>
        <w:pageBreakBefore w:val="0"/>
        <w:kinsoku/>
        <w:wordWrap/>
        <w:overflowPunct/>
        <w:topLinePunct w:val="0"/>
        <w:autoSpaceDE/>
        <w:autoSpaceDN/>
        <w:bidi w:val="0"/>
        <w:adjustRightInd w:val="0"/>
        <w:snapToGrid w:val="0"/>
        <w:spacing w:line="360" w:lineRule="auto"/>
        <w:ind w:left="0" w:leftChars="0" w:firstLine="48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3.投标人《资格证明文件》有任何一项不符合《资格审查</w:t>
      </w:r>
      <w:r>
        <w:rPr>
          <w:rFonts w:hint="eastAsia" w:asciiTheme="minorEastAsia" w:hAnsiTheme="minorEastAsia" w:eastAsiaTheme="minorEastAsia" w:cstheme="minorEastAsia"/>
          <w:sz w:val="24"/>
          <w:szCs w:val="24"/>
          <w:lang w:eastAsia="zh-CN"/>
        </w:rPr>
        <w:t>表</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eastAsia="zh-CN"/>
        </w:rPr>
        <w:t>中</w:t>
      </w:r>
      <w:r>
        <w:rPr>
          <w:rFonts w:hint="eastAsia" w:asciiTheme="minorEastAsia" w:hAnsiTheme="minorEastAsia" w:eastAsiaTheme="minorEastAsia" w:cstheme="minorEastAsia"/>
          <w:sz w:val="24"/>
          <w:szCs w:val="24"/>
        </w:rPr>
        <w:t>要求的，资格审查不合格，其投标无效。</w:t>
      </w:r>
    </w:p>
    <w:p w14:paraId="074B8F52">
      <w:pPr>
        <w:pageBreakBefore w:val="0"/>
        <w:kinsoku/>
        <w:wordWrap/>
        <w:overflowPunct/>
        <w:topLinePunct w:val="0"/>
        <w:autoSpaceDE/>
        <w:autoSpaceDN/>
        <w:bidi w:val="0"/>
        <w:spacing w:before="0" w:after="0" w:line="360" w:lineRule="auto"/>
        <w:ind w:left="0" w:leftChars="0" w:firstLine="482" w:firstLineChars="200"/>
        <w:jc w:val="both"/>
        <w:textAlignment w:val="auto"/>
        <w:outlineLvl w:val="9"/>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bCs/>
          <w:sz w:val="24"/>
          <w:szCs w:val="24"/>
          <w:lang w:eastAsia="zh-CN"/>
        </w:rPr>
        <w:t>（七）</w:t>
      </w:r>
      <w:r>
        <w:rPr>
          <w:rFonts w:hint="eastAsia" w:asciiTheme="minorEastAsia" w:hAnsiTheme="minorEastAsia" w:eastAsiaTheme="minorEastAsia" w:cstheme="minorEastAsia"/>
          <w:b/>
          <w:bCs/>
          <w:sz w:val="24"/>
          <w:szCs w:val="24"/>
        </w:rPr>
        <w:t>符合性审查</w:t>
      </w:r>
    </w:p>
    <w:p w14:paraId="4B8779AB">
      <w:pPr>
        <w:pageBreakBefore w:val="0"/>
        <w:kinsoku/>
        <w:wordWrap/>
        <w:overflowPunct/>
        <w:topLinePunct w:val="0"/>
        <w:autoSpaceDE/>
        <w:autoSpaceDN/>
        <w:bidi w:val="0"/>
        <w:adjustRightInd w:val="0"/>
        <w:snapToGrid w:val="0"/>
        <w:spacing w:line="360" w:lineRule="auto"/>
        <w:ind w:left="0" w:leftChars="0" w:firstLine="48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1.投标文件的符合性审查</w:t>
      </w:r>
    </w:p>
    <w:p w14:paraId="415E9B48">
      <w:pPr>
        <w:pStyle w:val="20"/>
        <w:pageBreakBefore w:val="0"/>
        <w:kinsoku/>
        <w:wordWrap/>
        <w:overflowPunct/>
        <w:topLinePunct w:val="0"/>
        <w:autoSpaceDE/>
        <w:autoSpaceDN/>
        <w:bidi w:val="0"/>
        <w:spacing w:after="0" w:line="360" w:lineRule="auto"/>
        <w:ind w:left="0" w:leftChars="0" w:firstLine="480" w:firstLineChars="200"/>
        <w:jc w:val="both"/>
        <w:textAlignment w:val="auto"/>
        <w:outlineLvl w:val="9"/>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sz w:val="24"/>
          <w:szCs w:val="24"/>
        </w:rPr>
        <w:t>评标委员会将对符合资格条件的投标文件进行符合性审查。符合性审查是指评标委员会依据招标文件的规定，从商务和技术角度对投标文件的有效性、完整性和响应程度进行审查并形成</w:t>
      </w:r>
      <w:r>
        <w:rPr>
          <w:rFonts w:hint="eastAsia" w:asciiTheme="minorEastAsia" w:hAnsiTheme="minorEastAsia" w:eastAsiaTheme="minorEastAsia" w:cstheme="minorEastAsia"/>
          <w:sz w:val="24"/>
          <w:szCs w:val="24"/>
          <w:lang w:eastAsia="zh-CN"/>
        </w:rPr>
        <w:t>符合性</w:t>
      </w:r>
      <w:r>
        <w:rPr>
          <w:rFonts w:hint="eastAsia" w:asciiTheme="minorEastAsia" w:hAnsiTheme="minorEastAsia" w:eastAsiaTheme="minorEastAsia" w:cstheme="minorEastAsia"/>
          <w:sz w:val="24"/>
          <w:szCs w:val="24"/>
        </w:rPr>
        <w:t>审查结果</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以确定其是否满足招标文件的实质性要求。投标人应当按照招标文件中的相关要求，</w:t>
      </w:r>
      <w:r>
        <w:rPr>
          <w:rFonts w:hint="eastAsia" w:asciiTheme="minorEastAsia" w:hAnsiTheme="minorEastAsia" w:eastAsiaTheme="minorEastAsia" w:cstheme="minorEastAsia"/>
          <w:sz w:val="24"/>
          <w:szCs w:val="24"/>
          <w:lang w:eastAsia="zh-CN"/>
        </w:rPr>
        <w:t>提交</w:t>
      </w:r>
      <w:r>
        <w:rPr>
          <w:rFonts w:hint="eastAsia" w:asciiTheme="minorEastAsia" w:hAnsiTheme="minorEastAsia" w:eastAsiaTheme="minorEastAsia" w:cstheme="minorEastAsia"/>
          <w:sz w:val="24"/>
          <w:szCs w:val="24"/>
        </w:rPr>
        <w:t>符合性证明材料。未通过符合性审查的投标</w:t>
      </w:r>
      <w:r>
        <w:rPr>
          <w:rFonts w:hint="eastAsia" w:asciiTheme="minorEastAsia" w:hAnsiTheme="minorEastAsia" w:eastAsiaTheme="minorEastAsia" w:cstheme="minorEastAsia"/>
          <w:sz w:val="24"/>
          <w:szCs w:val="24"/>
          <w:lang w:eastAsia="zh-CN"/>
        </w:rPr>
        <w:t>文件</w:t>
      </w:r>
      <w:r>
        <w:rPr>
          <w:rFonts w:hint="eastAsia" w:asciiTheme="minorEastAsia" w:hAnsiTheme="minorEastAsia" w:eastAsiaTheme="minorEastAsia" w:cstheme="minorEastAsia"/>
          <w:sz w:val="24"/>
          <w:szCs w:val="24"/>
        </w:rPr>
        <w:t>不能进入下一阶段评审，其投标文件将被认定为无效投标文件；</w:t>
      </w:r>
      <w:r>
        <w:rPr>
          <w:rFonts w:hint="eastAsia" w:asciiTheme="minorEastAsia" w:hAnsiTheme="minorEastAsia" w:eastAsiaTheme="minorEastAsia" w:cstheme="minorEastAsia"/>
          <w:b w:val="0"/>
          <w:bCs w:val="0"/>
          <w:color w:val="000000"/>
          <w:sz w:val="24"/>
          <w:szCs w:val="24"/>
        </w:rPr>
        <w:t>通过符合性审查的投标人数量不足3家的，不得作进一步的比较和评价。</w:t>
      </w:r>
    </w:p>
    <w:p w14:paraId="685786E3">
      <w:pPr>
        <w:pStyle w:val="2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jc w:val="both"/>
        <w:textAlignment w:val="auto"/>
        <w:outlineLvl w:val="9"/>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评标委员会根据《符合性审查</w:t>
      </w:r>
      <w:r>
        <w:rPr>
          <w:rFonts w:hint="eastAsia" w:asciiTheme="minorEastAsia" w:hAnsiTheme="minorEastAsia" w:eastAsiaTheme="minorEastAsia" w:cstheme="minorEastAsia"/>
          <w:sz w:val="24"/>
          <w:szCs w:val="24"/>
          <w:lang w:eastAsia="zh-CN"/>
        </w:rPr>
        <w:t>表</w:t>
      </w:r>
      <w:r>
        <w:rPr>
          <w:rFonts w:hint="eastAsia" w:asciiTheme="minorEastAsia" w:hAnsiTheme="minorEastAsia" w:eastAsiaTheme="minorEastAsia" w:cstheme="minorEastAsia"/>
          <w:sz w:val="24"/>
          <w:szCs w:val="24"/>
        </w:rPr>
        <w:t>》中规定的审查因素和审查内容，对投标人的投标文件是否实质上响应招标文件进行符合性审查，并形成符合性审查评审结果。投标人的投标文件中有任何一项不符合《符合性审查</w:t>
      </w:r>
      <w:r>
        <w:rPr>
          <w:rFonts w:hint="eastAsia" w:asciiTheme="minorEastAsia" w:hAnsiTheme="minorEastAsia" w:eastAsiaTheme="minorEastAsia" w:cstheme="minorEastAsia"/>
          <w:sz w:val="24"/>
          <w:szCs w:val="24"/>
          <w:lang w:eastAsia="zh-CN"/>
        </w:rPr>
        <w:t>表</w:t>
      </w:r>
      <w:r>
        <w:rPr>
          <w:rFonts w:hint="eastAsia" w:asciiTheme="minorEastAsia" w:hAnsiTheme="minorEastAsia" w:eastAsiaTheme="minorEastAsia" w:cstheme="minorEastAsia"/>
          <w:sz w:val="24"/>
          <w:szCs w:val="24"/>
        </w:rPr>
        <w:t>》要求的，投标无效。符合性审查要求详见</w:t>
      </w:r>
      <w:r>
        <w:rPr>
          <w:rFonts w:hint="eastAsia" w:asciiTheme="minorEastAsia" w:hAnsiTheme="minorEastAsia" w:eastAsiaTheme="minorEastAsia" w:cstheme="minorEastAsia"/>
          <w:sz w:val="24"/>
          <w:szCs w:val="24"/>
          <w:highlight w:val="none"/>
          <w:lang w:eastAsia="zh-CN"/>
        </w:rPr>
        <w:t>本章</w:t>
      </w:r>
      <w:r>
        <w:rPr>
          <w:rFonts w:hint="eastAsia" w:asciiTheme="minorEastAsia" w:hAnsiTheme="minorEastAsia" w:eastAsiaTheme="minorEastAsia" w:cstheme="minorEastAsia"/>
          <w:sz w:val="24"/>
          <w:szCs w:val="24"/>
          <w:highlight w:val="none"/>
        </w:rPr>
        <w:t>《符合性审查表》。</w:t>
      </w:r>
    </w:p>
    <w:p w14:paraId="05176E2C">
      <w:pPr>
        <w:keepNext w:val="0"/>
        <w:keepLines w:val="0"/>
        <w:pageBreakBefore w:val="0"/>
        <w:widowControl w:val="0"/>
        <w:kinsoku/>
        <w:wordWrap/>
        <w:overflowPunct/>
        <w:topLinePunct w:val="0"/>
        <w:autoSpaceDE/>
        <w:autoSpaceDN/>
        <w:bidi w:val="0"/>
        <w:adjustRightInd w:val="0"/>
        <w:snapToGrid w:val="0"/>
        <w:spacing w:before="0" w:after="0" w:line="360" w:lineRule="auto"/>
        <w:ind w:left="0" w:leftChars="0" w:firstLine="482" w:firstLineChars="200"/>
        <w:jc w:val="both"/>
        <w:textAlignment w:val="auto"/>
        <w:outlineLvl w:val="9"/>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bCs/>
          <w:sz w:val="24"/>
          <w:szCs w:val="24"/>
          <w:lang w:eastAsia="zh-CN"/>
        </w:rPr>
        <w:t>（八）</w:t>
      </w:r>
      <w:r>
        <w:rPr>
          <w:rFonts w:hint="eastAsia" w:asciiTheme="minorEastAsia" w:hAnsiTheme="minorEastAsia" w:eastAsiaTheme="minorEastAsia" w:cstheme="minorEastAsia"/>
          <w:b/>
          <w:bCs/>
          <w:sz w:val="24"/>
          <w:szCs w:val="24"/>
        </w:rPr>
        <w:t>投标文件的澄清</w:t>
      </w:r>
    </w:p>
    <w:p w14:paraId="58E890CD">
      <w:pPr>
        <w:pageBreakBefore w:val="0"/>
        <w:kinsoku/>
        <w:wordWrap/>
        <w:overflowPunct/>
        <w:topLinePunct w:val="0"/>
        <w:autoSpaceDE/>
        <w:autoSpaceDN/>
        <w:bidi w:val="0"/>
        <w:spacing w:line="360" w:lineRule="auto"/>
        <w:ind w:left="0" w:leftChars="0" w:firstLine="480" w:firstLineChars="200"/>
        <w:jc w:val="both"/>
        <w:textAlignment w:val="auto"/>
        <w:outlineLvl w:val="9"/>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sz w:val="24"/>
          <w:szCs w:val="24"/>
        </w:rPr>
        <w:t>1.在评标过程中，评标委员会可以以书面形式要求投标人对其投标文件中含义不明确、对同类问题表述不一致或</w:t>
      </w:r>
      <w:r>
        <w:rPr>
          <w:rFonts w:hint="eastAsia" w:asciiTheme="minorEastAsia" w:hAnsiTheme="minorEastAsia" w:eastAsiaTheme="minorEastAsia" w:cstheme="minorEastAsia"/>
          <w:color w:val="000000"/>
          <w:sz w:val="24"/>
          <w:szCs w:val="24"/>
        </w:rPr>
        <w:t>者有明显文字和计算错误的内容等，</w:t>
      </w:r>
      <w:r>
        <w:rPr>
          <w:rFonts w:hint="eastAsia" w:asciiTheme="minorEastAsia" w:hAnsiTheme="minorEastAsia" w:eastAsiaTheme="minorEastAsia" w:cstheme="minorEastAsia"/>
          <w:sz w:val="24"/>
          <w:szCs w:val="24"/>
        </w:rPr>
        <w:t>作出必要的澄清、说明或补正。投标人的澄清、说明或补正应在评标委员会规定的时间内以书面方式进行，并不得超出投标文件范围或者改变投标文件的实质性内容，澄清文件将作为投标文件内容的</w:t>
      </w:r>
      <w:r>
        <w:rPr>
          <w:rFonts w:hint="eastAsia" w:asciiTheme="minorEastAsia" w:hAnsiTheme="minorEastAsia" w:eastAsiaTheme="minorEastAsia" w:cstheme="minorEastAsia"/>
          <w:color w:val="auto"/>
          <w:sz w:val="24"/>
          <w:szCs w:val="24"/>
        </w:rPr>
        <w:t>一部分。</w:t>
      </w:r>
      <w:r>
        <w:rPr>
          <w:rFonts w:hint="eastAsia" w:asciiTheme="minorEastAsia" w:hAnsiTheme="minorEastAsia" w:eastAsiaTheme="minorEastAsia" w:cstheme="minorEastAsia"/>
          <w:b w:val="0"/>
          <w:bCs w:val="0"/>
          <w:color w:val="auto"/>
          <w:sz w:val="24"/>
          <w:szCs w:val="24"/>
        </w:rPr>
        <w:t>评标委员会不接受投标人主动提出对投标文件的澄清、修改、更正、说明、解释。</w:t>
      </w:r>
    </w:p>
    <w:p w14:paraId="228AEAC4">
      <w:pPr>
        <w:pageBreakBefore w:val="0"/>
        <w:kinsoku/>
        <w:wordWrap/>
        <w:overflowPunct/>
        <w:topLinePunct w:val="0"/>
        <w:autoSpaceDE/>
        <w:autoSpaceDN/>
        <w:bidi w:val="0"/>
        <w:spacing w:line="360" w:lineRule="auto"/>
        <w:ind w:left="0" w:leftChars="0" w:firstLine="480" w:firstLineChars="200"/>
        <w:jc w:val="both"/>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rPr>
        <w:t>.投标文件报价出现前后不一致的，按照下列规定修正：</w:t>
      </w:r>
    </w:p>
    <w:p w14:paraId="078DD927">
      <w:pPr>
        <w:pageBreakBefore w:val="0"/>
        <w:kinsoku/>
        <w:wordWrap/>
        <w:overflowPunct/>
        <w:topLinePunct w:val="0"/>
        <w:autoSpaceDE/>
        <w:autoSpaceDN/>
        <w:bidi w:val="0"/>
        <w:spacing w:line="360" w:lineRule="auto"/>
        <w:ind w:left="0" w:leftChars="0" w:firstLine="480" w:firstLineChars="200"/>
        <w:jc w:val="both"/>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rPr>
        <w:t>投标文件中开标一览表内容与投标文件中相应内容不一致的，以开标一览表为准；</w:t>
      </w:r>
    </w:p>
    <w:p w14:paraId="0B1A16DB">
      <w:pPr>
        <w:pageBreakBefore w:val="0"/>
        <w:kinsoku/>
        <w:wordWrap/>
        <w:overflowPunct/>
        <w:topLinePunct w:val="0"/>
        <w:autoSpaceDE/>
        <w:autoSpaceDN/>
        <w:bidi w:val="0"/>
        <w:spacing w:line="360" w:lineRule="auto"/>
        <w:ind w:left="0" w:leftChars="0" w:firstLine="480" w:firstLineChars="200"/>
        <w:jc w:val="both"/>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rPr>
        <w:t>大写金额和小写金额不一致的，以大写金额为准；</w:t>
      </w:r>
    </w:p>
    <w:p w14:paraId="07DC2BF9">
      <w:pPr>
        <w:pageBreakBefore w:val="0"/>
        <w:kinsoku/>
        <w:wordWrap/>
        <w:overflowPunct/>
        <w:topLinePunct w:val="0"/>
        <w:autoSpaceDE/>
        <w:autoSpaceDN/>
        <w:bidi w:val="0"/>
        <w:spacing w:line="360" w:lineRule="auto"/>
        <w:ind w:left="0" w:leftChars="0" w:firstLine="480" w:firstLineChars="200"/>
        <w:jc w:val="both"/>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rPr>
        <w:t>单价金额小数点或者百分比有明显错位的，以开标一览表的总价为准，并修改单价；</w:t>
      </w:r>
    </w:p>
    <w:p w14:paraId="4385AB24">
      <w:pPr>
        <w:pageBreakBefore w:val="0"/>
        <w:kinsoku/>
        <w:wordWrap/>
        <w:overflowPunct/>
        <w:topLinePunct w:val="0"/>
        <w:autoSpaceDE/>
        <w:autoSpaceDN/>
        <w:bidi w:val="0"/>
        <w:spacing w:line="360" w:lineRule="auto"/>
        <w:ind w:left="0" w:leftChars="0" w:firstLine="480" w:firstLineChars="200"/>
        <w:jc w:val="both"/>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（4）</w:t>
      </w:r>
      <w:r>
        <w:rPr>
          <w:rFonts w:hint="eastAsia" w:asciiTheme="minorEastAsia" w:hAnsiTheme="minorEastAsia" w:eastAsiaTheme="minorEastAsia" w:cstheme="minorEastAsia"/>
          <w:color w:val="auto"/>
          <w:sz w:val="24"/>
          <w:szCs w:val="24"/>
        </w:rPr>
        <w:t>总价金额与按单价汇总金额不一致的，以总价金额为准</w:t>
      </w:r>
      <w:r>
        <w:rPr>
          <w:rFonts w:hint="eastAsia" w:asciiTheme="minorEastAsia" w:hAnsiTheme="minorEastAsia" w:eastAsiaTheme="minorEastAsia" w:cstheme="minorEastAsia"/>
          <w:color w:val="auto"/>
          <w:sz w:val="24"/>
          <w:szCs w:val="24"/>
          <w:lang w:eastAsia="zh-CN"/>
        </w:rPr>
        <w:t>；</w:t>
      </w:r>
    </w:p>
    <w:p w14:paraId="3957CA65">
      <w:pPr>
        <w:pageBreakBefore w:val="0"/>
        <w:kinsoku/>
        <w:wordWrap/>
        <w:overflowPunct/>
        <w:topLinePunct w:val="0"/>
        <w:autoSpaceDE/>
        <w:autoSpaceDN/>
        <w:bidi w:val="0"/>
        <w:spacing w:line="360" w:lineRule="auto"/>
        <w:ind w:left="0" w:leftChars="0" w:firstLine="480" w:firstLineChars="200"/>
        <w:jc w:val="both"/>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（5）</w:t>
      </w:r>
      <w:r>
        <w:rPr>
          <w:rFonts w:hint="eastAsia" w:asciiTheme="minorEastAsia" w:hAnsiTheme="minorEastAsia" w:eastAsiaTheme="minorEastAsia" w:cstheme="minorEastAsia"/>
          <w:color w:val="auto"/>
          <w:sz w:val="24"/>
          <w:szCs w:val="24"/>
        </w:rPr>
        <w:t>如分项报价表有缺漏视为已含在其他各项报价中，将不对投标总价进行调整</w:t>
      </w:r>
      <w:r>
        <w:rPr>
          <w:rFonts w:hint="eastAsia" w:asciiTheme="minorEastAsia" w:hAnsiTheme="minorEastAsia" w:eastAsiaTheme="minorEastAsia" w:cstheme="minorEastAsia"/>
          <w:color w:val="auto"/>
          <w:sz w:val="24"/>
          <w:szCs w:val="24"/>
          <w:lang w:eastAsia="zh-CN"/>
        </w:rPr>
        <w:t>；</w:t>
      </w:r>
    </w:p>
    <w:p w14:paraId="11C96B07">
      <w:pPr>
        <w:pageBreakBefore w:val="0"/>
        <w:kinsoku/>
        <w:wordWrap/>
        <w:overflowPunct/>
        <w:topLinePunct w:val="0"/>
        <w:autoSpaceDE/>
        <w:autoSpaceDN/>
        <w:bidi w:val="0"/>
        <w:spacing w:line="360" w:lineRule="auto"/>
        <w:ind w:left="0" w:leftChars="0" w:firstLine="480" w:firstLineChars="200"/>
        <w:jc w:val="both"/>
        <w:textAlignment w:val="auto"/>
        <w:outlineLvl w:val="9"/>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color w:val="auto"/>
          <w:sz w:val="24"/>
          <w:szCs w:val="24"/>
          <w:lang w:val="en-US" w:eastAsia="zh-CN"/>
        </w:rPr>
        <w:t>（6）</w:t>
      </w:r>
      <w:r>
        <w:rPr>
          <w:rFonts w:hint="eastAsia" w:asciiTheme="minorEastAsia" w:hAnsiTheme="minorEastAsia" w:eastAsiaTheme="minorEastAsia" w:cstheme="minorEastAsia"/>
          <w:b w:val="0"/>
          <w:bCs w:val="0"/>
          <w:color w:val="auto"/>
          <w:sz w:val="24"/>
          <w:szCs w:val="24"/>
        </w:rPr>
        <w:t>投标报价有算术错误的，其风险由投标人承担。</w:t>
      </w:r>
    </w:p>
    <w:p w14:paraId="0A42E474">
      <w:pPr>
        <w:pageBreakBefore w:val="0"/>
        <w:kinsoku/>
        <w:wordWrap/>
        <w:overflowPunct/>
        <w:topLinePunct w:val="0"/>
        <w:autoSpaceDE/>
        <w:autoSpaceDN/>
        <w:bidi w:val="0"/>
        <w:spacing w:line="360" w:lineRule="auto"/>
        <w:ind w:left="0" w:leftChars="0" w:firstLine="480" w:firstLineChars="200"/>
        <w:jc w:val="both"/>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val="0"/>
          <w:bCs w:val="0"/>
          <w:color w:val="auto"/>
          <w:sz w:val="24"/>
          <w:szCs w:val="24"/>
          <w:lang w:val="en-US" w:eastAsia="zh-CN"/>
        </w:rPr>
        <w:t>（7）</w:t>
      </w:r>
      <w:r>
        <w:rPr>
          <w:rFonts w:hint="eastAsia" w:asciiTheme="minorEastAsia" w:hAnsiTheme="minorEastAsia" w:eastAsiaTheme="minorEastAsia" w:cstheme="minorEastAsia"/>
          <w:b w:val="0"/>
          <w:bCs w:val="0"/>
          <w:color w:val="auto"/>
          <w:sz w:val="24"/>
          <w:szCs w:val="24"/>
        </w:rPr>
        <w:t>同时出现两种以上不一致的，按照前款规定的顺序修正。修正后的报价按照本章相关规定经投标人确认后产生约束力，投标人不确认的，其投标文件将被否决。</w:t>
      </w:r>
    </w:p>
    <w:p w14:paraId="11A36E94">
      <w:pPr>
        <w:pageBreakBefore w:val="0"/>
        <w:widowControl/>
        <w:shd w:val="clear" w:color="auto" w:fill="FFFFFF"/>
        <w:kinsoku/>
        <w:wordWrap/>
        <w:overflowPunct/>
        <w:topLinePunct w:val="0"/>
        <w:autoSpaceDE/>
        <w:autoSpaceDN/>
        <w:bidi w:val="0"/>
        <w:adjustRightInd w:val="0"/>
        <w:snapToGrid w:val="0"/>
        <w:spacing w:line="360" w:lineRule="auto"/>
        <w:ind w:left="0" w:leftChars="0" w:firstLine="474" w:firstLineChars="200"/>
        <w:jc w:val="both"/>
        <w:textAlignment w:val="auto"/>
        <w:outlineLvl w:val="9"/>
        <w:rPr>
          <w:rFonts w:hint="eastAsia" w:asciiTheme="minorEastAsia" w:hAnsiTheme="minorEastAsia" w:eastAsiaTheme="minorEastAsia" w:cstheme="minorEastAsia"/>
          <w:color w:val="auto"/>
          <w:spacing w:val="-2"/>
          <w:kern w:val="0"/>
          <w:sz w:val="24"/>
          <w:szCs w:val="24"/>
          <w:highlight w:val="none"/>
        </w:rPr>
      </w:pPr>
      <w:r>
        <w:rPr>
          <w:rFonts w:hint="eastAsia" w:asciiTheme="minorEastAsia" w:hAnsiTheme="minorEastAsia" w:eastAsiaTheme="minorEastAsia" w:cstheme="minorEastAsia"/>
          <w:b/>
          <w:bCs/>
          <w:color w:val="auto"/>
          <w:spacing w:val="-2"/>
          <w:kern w:val="0"/>
          <w:sz w:val="24"/>
          <w:szCs w:val="24"/>
          <w:highlight w:val="none"/>
          <w:lang w:val="en-US" w:eastAsia="zh-CN"/>
        </w:rPr>
        <w:t>3.</w:t>
      </w:r>
      <w:r>
        <w:rPr>
          <w:rFonts w:hint="eastAsia" w:asciiTheme="minorEastAsia" w:hAnsiTheme="minorEastAsia" w:eastAsiaTheme="minorEastAsia" w:cstheme="minorEastAsia"/>
          <w:b/>
          <w:bCs/>
          <w:color w:val="auto"/>
          <w:spacing w:val="-2"/>
          <w:kern w:val="0"/>
          <w:sz w:val="24"/>
          <w:szCs w:val="24"/>
          <w:highlight w:val="none"/>
        </w:rPr>
        <w:t>政府采购评审中出现下列情形之一的，评标委员会应当启动异常低价投标审查程序：</w:t>
      </w:r>
    </w:p>
    <w:p w14:paraId="2EE36F21">
      <w:pPr>
        <w:pageBreakBefore w:val="0"/>
        <w:widowControl/>
        <w:shd w:val="clear" w:color="auto" w:fill="FFFFFF"/>
        <w:kinsoku/>
        <w:wordWrap/>
        <w:overflowPunct/>
        <w:topLinePunct w:val="0"/>
        <w:autoSpaceDE/>
        <w:autoSpaceDN/>
        <w:bidi w:val="0"/>
        <w:adjustRightInd w:val="0"/>
        <w:snapToGrid w:val="0"/>
        <w:spacing w:line="360" w:lineRule="auto"/>
        <w:ind w:left="0" w:leftChars="0" w:firstLine="474" w:firstLineChars="200"/>
        <w:jc w:val="both"/>
        <w:textAlignment w:val="auto"/>
        <w:outlineLvl w:val="9"/>
        <w:rPr>
          <w:rFonts w:hint="eastAsia" w:asciiTheme="minorEastAsia" w:hAnsiTheme="minorEastAsia" w:eastAsiaTheme="minorEastAsia" w:cstheme="minorEastAsia"/>
          <w:b/>
          <w:bCs/>
          <w:color w:val="auto"/>
          <w:spacing w:val="-2"/>
          <w:kern w:val="0"/>
          <w:sz w:val="24"/>
          <w:szCs w:val="24"/>
          <w:highlight w:val="none"/>
        </w:rPr>
      </w:pPr>
      <w:r>
        <w:rPr>
          <w:rFonts w:hint="eastAsia" w:asciiTheme="minorEastAsia" w:hAnsiTheme="minorEastAsia" w:eastAsiaTheme="minorEastAsia" w:cstheme="minorEastAsia"/>
          <w:b/>
          <w:bCs/>
          <w:color w:val="auto"/>
          <w:spacing w:val="-2"/>
          <w:kern w:val="0"/>
          <w:sz w:val="24"/>
          <w:szCs w:val="24"/>
          <w:highlight w:val="none"/>
          <w:lang w:val="en-US" w:eastAsia="zh-CN"/>
        </w:rPr>
        <w:t>（1）</w:t>
      </w:r>
      <w:r>
        <w:rPr>
          <w:rFonts w:hint="eastAsia" w:asciiTheme="minorEastAsia" w:hAnsiTheme="minorEastAsia" w:eastAsiaTheme="minorEastAsia" w:cstheme="minorEastAsia"/>
          <w:b/>
          <w:bCs/>
          <w:color w:val="auto"/>
          <w:kern w:val="0"/>
          <w:sz w:val="24"/>
          <w:szCs w:val="24"/>
          <w:highlight w:val="none"/>
        </w:rPr>
        <w:t>投标报价低于全部通过符合性审查投标人投标报价平均值</w:t>
      </w:r>
      <w:r>
        <w:rPr>
          <w:rFonts w:hint="eastAsia" w:asciiTheme="minorEastAsia" w:hAnsiTheme="minorEastAsia" w:eastAsiaTheme="minorEastAsia" w:cstheme="minorEastAsia"/>
          <w:b/>
          <w:bCs/>
          <w:color w:val="auto"/>
          <w:kern w:val="0"/>
          <w:sz w:val="24"/>
          <w:szCs w:val="24"/>
          <w:highlight w:val="none"/>
          <w:lang w:val="en-US" w:eastAsia="zh-CN"/>
        </w:rPr>
        <w:t>65</w:t>
      </w:r>
      <w:r>
        <w:rPr>
          <w:rFonts w:hint="eastAsia" w:asciiTheme="minorEastAsia" w:hAnsiTheme="minorEastAsia" w:eastAsiaTheme="minorEastAsia" w:cstheme="minorEastAsia"/>
          <w:b/>
          <w:bCs/>
          <w:color w:val="auto"/>
          <w:kern w:val="0"/>
          <w:sz w:val="24"/>
          <w:szCs w:val="24"/>
          <w:highlight w:val="none"/>
        </w:rPr>
        <w:t>%的，即投标报价＜全部通过符合性审查投标人投标报价平均值×</w:t>
      </w:r>
      <w:r>
        <w:rPr>
          <w:rFonts w:hint="eastAsia" w:asciiTheme="minorEastAsia" w:hAnsiTheme="minorEastAsia" w:eastAsiaTheme="minorEastAsia" w:cstheme="minorEastAsia"/>
          <w:b/>
          <w:bCs/>
          <w:color w:val="auto"/>
          <w:kern w:val="0"/>
          <w:sz w:val="24"/>
          <w:szCs w:val="24"/>
          <w:highlight w:val="none"/>
          <w:lang w:val="en-US" w:eastAsia="zh-CN"/>
        </w:rPr>
        <w:t>65</w:t>
      </w:r>
      <w:r>
        <w:rPr>
          <w:rFonts w:hint="eastAsia" w:asciiTheme="minorEastAsia" w:hAnsiTheme="minorEastAsia" w:eastAsiaTheme="minorEastAsia" w:cstheme="minorEastAsia"/>
          <w:b/>
          <w:bCs/>
          <w:color w:val="auto"/>
          <w:kern w:val="0"/>
          <w:sz w:val="24"/>
          <w:szCs w:val="24"/>
          <w:highlight w:val="none"/>
        </w:rPr>
        <w:t>% ； </w:t>
      </w:r>
    </w:p>
    <w:p w14:paraId="62039DE8">
      <w:pPr>
        <w:pageBreakBefore w:val="0"/>
        <w:widowControl/>
        <w:shd w:val="clear" w:color="auto" w:fill="FFFFFF"/>
        <w:kinsoku/>
        <w:wordWrap/>
        <w:overflowPunct/>
        <w:topLinePunct w:val="0"/>
        <w:autoSpaceDE/>
        <w:autoSpaceDN/>
        <w:bidi w:val="0"/>
        <w:adjustRightInd w:val="0"/>
        <w:snapToGrid w:val="0"/>
        <w:spacing w:line="360" w:lineRule="auto"/>
        <w:ind w:left="0" w:leftChars="0" w:firstLine="474" w:firstLineChars="200"/>
        <w:jc w:val="both"/>
        <w:textAlignment w:val="auto"/>
        <w:outlineLvl w:val="9"/>
        <w:rPr>
          <w:rFonts w:hint="eastAsia" w:asciiTheme="minorEastAsia" w:hAnsiTheme="minorEastAsia" w:eastAsiaTheme="minorEastAsia" w:cstheme="minorEastAsia"/>
          <w:b/>
          <w:bCs/>
          <w:color w:val="auto"/>
          <w:spacing w:val="-2"/>
          <w:kern w:val="0"/>
          <w:sz w:val="24"/>
          <w:szCs w:val="24"/>
        </w:rPr>
      </w:pPr>
      <w:r>
        <w:rPr>
          <w:rFonts w:hint="eastAsia" w:asciiTheme="minorEastAsia" w:hAnsiTheme="minorEastAsia" w:eastAsiaTheme="minorEastAsia" w:cstheme="minorEastAsia"/>
          <w:b/>
          <w:bCs/>
          <w:color w:val="auto"/>
          <w:spacing w:val="-2"/>
          <w:kern w:val="0"/>
          <w:sz w:val="24"/>
          <w:szCs w:val="24"/>
          <w:lang w:val="en-US" w:eastAsia="zh-CN"/>
        </w:rPr>
        <w:t>（2）</w:t>
      </w:r>
      <w:r>
        <w:rPr>
          <w:rFonts w:hint="eastAsia" w:asciiTheme="minorEastAsia" w:hAnsiTheme="minorEastAsia" w:eastAsiaTheme="minorEastAsia" w:cstheme="minorEastAsia"/>
          <w:b/>
          <w:bCs/>
          <w:color w:val="auto"/>
          <w:kern w:val="0"/>
          <w:sz w:val="24"/>
          <w:szCs w:val="24"/>
        </w:rPr>
        <w:t>投标报价低于通过符合性审查的次低报价投标人投标报价</w:t>
      </w:r>
      <w:r>
        <w:rPr>
          <w:rFonts w:hint="eastAsia" w:asciiTheme="minorEastAsia" w:hAnsiTheme="minorEastAsia" w:eastAsiaTheme="minorEastAsia" w:cstheme="minorEastAsia"/>
          <w:b/>
          <w:bCs/>
          <w:color w:val="auto"/>
          <w:kern w:val="0"/>
          <w:sz w:val="24"/>
          <w:szCs w:val="24"/>
          <w:lang w:val="en-US" w:eastAsia="zh-CN"/>
        </w:rPr>
        <w:t>65</w:t>
      </w:r>
      <w:r>
        <w:rPr>
          <w:rFonts w:hint="eastAsia" w:asciiTheme="minorEastAsia" w:hAnsiTheme="minorEastAsia" w:eastAsiaTheme="minorEastAsia" w:cstheme="minorEastAsia"/>
          <w:b/>
          <w:bCs/>
          <w:color w:val="auto"/>
          <w:kern w:val="0"/>
          <w:sz w:val="24"/>
          <w:szCs w:val="24"/>
        </w:rPr>
        <w:t>%的，即投标报价＜通过符合性审查的次低报价投标人投标报价×</w:t>
      </w:r>
      <w:r>
        <w:rPr>
          <w:rFonts w:hint="eastAsia" w:asciiTheme="minorEastAsia" w:hAnsiTheme="minorEastAsia" w:eastAsiaTheme="minorEastAsia" w:cstheme="minorEastAsia"/>
          <w:b/>
          <w:bCs/>
          <w:color w:val="auto"/>
          <w:kern w:val="0"/>
          <w:sz w:val="24"/>
          <w:szCs w:val="24"/>
          <w:lang w:val="en-US" w:eastAsia="zh-CN"/>
        </w:rPr>
        <w:t>65</w:t>
      </w:r>
      <w:r>
        <w:rPr>
          <w:rFonts w:hint="eastAsia" w:asciiTheme="minorEastAsia" w:hAnsiTheme="minorEastAsia" w:eastAsiaTheme="minorEastAsia" w:cstheme="minorEastAsia"/>
          <w:b/>
          <w:bCs/>
          <w:color w:val="auto"/>
          <w:kern w:val="0"/>
          <w:sz w:val="24"/>
          <w:szCs w:val="24"/>
        </w:rPr>
        <w:t>% ；</w:t>
      </w:r>
    </w:p>
    <w:p w14:paraId="3744344F">
      <w:pPr>
        <w:pageBreakBefore w:val="0"/>
        <w:widowControl/>
        <w:shd w:val="clear" w:color="auto" w:fill="FFFFFF"/>
        <w:kinsoku/>
        <w:wordWrap/>
        <w:overflowPunct/>
        <w:topLinePunct w:val="0"/>
        <w:autoSpaceDE/>
        <w:autoSpaceDN/>
        <w:bidi w:val="0"/>
        <w:adjustRightInd w:val="0"/>
        <w:snapToGrid w:val="0"/>
        <w:spacing w:line="360" w:lineRule="auto"/>
        <w:ind w:left="0" w:leftChars="0" w:firstLine="474" w:firstLineChars="200"/>
        <w:jc w:val="both"/>
        <w:textAlignment w:val="auto"/>
        <w:outlineLvl w:val="9"/>
        <w:rPr>
          <w:rFonts w:hint="eastAsia" w:asciiTheme="minorEastAsia" w:hAnsiTheme="minorEastAsia" w:eastAsiaTheme="minorEastAsia" w:cstheme="minorEastAsia"/>
          <w:b/>
          <w:bCs/>
          <w:color w:val="auto"/>
          <w:spacing w:val="-2"/>
          <w:kern w:val="0"/>
          <w:sz w:val="24"/>
          <w:szCs w:val="24"/>
        </w:rPr>
      </w:pPr>
      <w:r>
        <w:rPr>
          <w:rFonts w:hint="eastAsia" w:asciiTheme="minorEastAsia" w:hAnsiTheme="minorEastAsia" w:eastAsiaTheme="minorEastAsia" w:cstheme="minorEastAsia"/>
          <w:b/>
          <w:bCs/>
          <w:color w:val="auto"/>
          <w:spacing w:val="-2"/>
          <w:kern w:val="0"/>
          <w:sz w:val="24"/>
          <w:szCs w:val="24"/>
          <w:lang w:val="en-US" w:eastAsia="zh-CN"/>
        </w:rPr>
        <w:t>（3）</w:t>
      </w:r>
      <w:r>
        <w:rPr>
          <w:rFonts w:hint="eastAsia" w:asciiTheme="minorEastAsia" w:hAnsiTheme="minorEastAsia" w:eastAsiaTheme="minorEastAsia" w:cstheme="minorEastAsia"/>
          <w:b/>
          <w:bCs/>
          <w:color w:val="auto"/>
          <w:kern w:val="0"/>
          <w:sz w:val="24"/>
          <w:szCs w:val="24"/>
        </w:rPr>
        <w:t>投标报价低于采购项目最高限价</w:t>
      </w:r>
      <w:r>
        <w:rPr>
          <w:rFonts w:hint="eastAsia" w:asciiTheme="minorEastAsia" w:hAnsiTheme="minorEastAsia" w:eastAsiaTheme="minorEastAsia" w:cstheme="minorEastAsia"/>
          <w:b/>
          <w:bCs/>
          <w:color w:val="auto"/>
          <w:kern w:val="0"/>
          <w:sz w:val="24"/>
          <w:szCs w:val="24"/>
          <w:lang w:val="en-US" w:eastAsia="zh-CN"/>
        </w:rPr>
        <w:t>65</w:t>
      </w:r>
      <w:r>
        <w:rPr>
          <w:rFonts w:hint="eastAsia" w:asciiTheme="minorEastAsia" w:hAnsiTheme="minorEastAsia" w:eastAsiaTheme="minorEastAsia" w:cstheme="minorEastAsia"/>
          <w:b/>
          <w:bCs/>
          <w:color w:val="auto"/>
          <w:kern w:val="0"/>
          <w:sz w:val="24"/>
          <w:szCs w:val="24"/>
        </w:rPr>
        <w:t>%的，即投标报价＜采购项目最高限价×</w:t>
      </w:r>
      <w:r>
        <w:rPr>
          <w:rFonts w:hint="eastAsia" w:asciiTheme="minorEastAsia" w:hAnsiTheme="minorEastAsia" w:eastAsiaTheme="minorEastAsia" w:cstheme="minorEastAsia"/>
          <w:b/>
          <w:bCs/>
          <w:color w:val="auto"/>
          <w:kern w:val="0"/>
          <w:sz w:val="24"/>
          <w:szCs w:val="24"/>
          <w:lang w:val="en-US" w:eastAsia="zh-CN"/>
        </w:rPr>
        <w:t>65</w:t>
      </w:r>
      <w:r>
        <w:rPr>
          <w:rFonts w:hint="eastAsia" w:asciiTheme="minorEastAsia" w:hAnsiTheme="minorEastAsia" w:eastAsiaTheme="minorEastAsia" w:cstheme="minorEastAsia"/>
          <w:b/>
          <w:bCs/>
          <w:color w:val="auto"/>
          <w:kern w:val="0"/>
          <w:sz w:val="24"/>
          <w:szCs w:val="24"/>
        </w:rPr>
        <w:t>%；</w:t>
      </w:r>
    </w:p>
    <w:p w14:paraId="5325A334">
      <w:pPr>
        <w:pageBreakBefore w:val="0"/>
        <w:kinsoku/>
        <w:wordWrap/>
        <w:overflowPunct/>
        <w:topLinePunct w:val="0"/>
        <w:autoSpaceDE/>
        <w:autoSpaceDN/>
        <w:bidi w:val="0"/>
        <w:adjustRightInd w:val="0"/>
        <w:snapToGrid w:val="0"/>
        <w:spacing w:line="360" w:lineRule="auto"/>
        <w:ind w:left="0" w:leftChars="0" w:firstLine="474" w:firstLineChars="200"/>
        <w:jc w:val="both"/>
        <w:textAlignment w:val="auto"/>
        <w:outlineLvl w:val="9"/>
        <w:rPr>
          <w:rFonts w:hint="eastAsia" w:asciiTheme="minorEastAsia" w:hAnsiTheme="minorEastAsia" w:eastAsiaTheme="minorEastAsia" w:cstheme="minorEastAsia"/>
          <w:b/>
          <w:bCs/>
          <w:color w:val="auto"/>
          <w:spacing w:val="-2"/>
          <w:kern w:val="0"/>
          <w:sz w:val="24"/>
          <w:szCs w:val="24"/>
        </w:rPr>
      </w:pPr>
      <w:r>
        <w:rPr>
          <w:rFonts w:hint="eastAsia" w:asciiTheme="minorEastAsia" w:hAnsiTheme="minorEastAsia" w:eastAsiaTheme="minorEastAsia" w:cstheme="minorEastAsia"/>
          <w:b/>
          <w:bCs/>
          <w:color w:val="auto"/>
          <w:spacing w:val="-2"/>
          <w:kern w:val="0"/>
          <w:sz w:val="24"/>
          <w:szCs w:val="24"/>
          <w:lang w:val="en-US" w:eastAsia="zh-CN"/>
        </w:rPr>
        <w:t>（4）</w:t>
      </w:r>
      <w:r>
        <w:rPr>
          <w:rFonts w:hint="eastAsia" w:asciiTheme="minorEastAsia" w:hAnsiTheme="minorEastAsia" w:eastAsiaTheme="minorEastAsia" w:cstheme="minorEastAsia"/>
          <w:b/>
          <w:bCs/>
          <w:color w:val="auto"/>
          <w:kern w:val="0"/>
          <w:sz w:val="24"/>
          <w:szCs w:val="24"/>
          <w:lang w:eastAsia="zh-CN"/>
        </w:rPr>
        <w:t>评标委员会</w:t>
      </w:r>
      <w:r>
        <w:rPr>
          <w:rFonts w:hint="eastAsia" w:asciiTheme="minorEastAsia" w:hAnsiTheme="minorEastAsia" w:eastAsiaTheme="minorEastAsia" w:cstheme="minorEastAsia"/>
          <w:b/>
          <w:bCs/>
          <w:color w:val="auto"/>
          <w:kern w:val="0"/>
          <w:sz w:val="24"/>
          <w:szCs w:val="24"/>
        </w:rPr>
        <w:t>基于专业判断，认为投标人报价过低，有可能影响产品质量或者不能诚信履约的其他情形。</w:t>
      </w:r>
    </w:p>
    <w:p w14:paraId="10F5EAB1">
      <w:pPr>
        <w:pageBreakBefore w:val="0"/>
        <w:kinsoku/>
        <w:wordWrap/>
        <w:overflowPunct/>
        <w:topLinePunct w:val="0"/>
        <w:autoSpaceDE/>
        <w:autoSpaceDN/>
        <w:bidi w:val="0"/>
        <w:spacing w:line="360" w:lineRule="auto"/>
        <w:ind w:left="0" w:leftChars="0" w:firstLine="480" w:firstLineChars="200"/>
        <w:jc w:val="both"/>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val="en-US" w:eastAsia="zh-CN"/>
        </w:rPr>
        <w:t>5</w:t>
      </w:r>
      <w:r>
        <w:rPr>
          <w:rFonts w:hint="eastAsia" w:asciiTheme="minorEastAsia" w:hAnsiTheme="minorEastAsia" w:eastAsiaTheme="minorEastAsia" w:cstheme="minorEastAsia"/>
          <w:color w:val="auto"/>
          <w:sz w:val="24"/>
          <w:szCs w:val="24"/>
          <w:lang w:eastAsia="zh-CN"/>
        </w:rPr>
        <w:t>评标委员会</w:t>
      </w:r>
      <w:r>
        <w:rPr>
          <w:rFonts w:hint="eastAsia" w:asciiTheme="minorEastAsia" w:hAnsiTheme="minorEastAsia" w:eastAsiaTheme="minorEastAsia" w:cstheme="minorEastAsia"/>
          <w:color w:val="auto"/>
          <w:sz w:val="24"/>
          <w:szCs w:val="24"/>
        </w:rPr>
        <w:t>启动异常低价投标</w:t>
      </w:r>
      <w:r>
        <w:rPr>
          <w:rFonts w:hint="eastAsia" w:asciiTheme="minorEastAsia" w:hAnsiTheme="minorEastAsia" w:eastAsiaTheme="minorEastAsia" w:cstheme="minorEastAsia"/>
          <w:color w:val="auto"/>
          <w:sz w:val="24"/>
          <w:szCs w:val="24"/>
          <w:highlight w:val="none"/>
        </w:rPr>
        <w:t>审查后，属于</w:t>
      </w:r>
      <w:r>
        <w:rPr>
          <w:rFonts w:hint="eastAsia" w:asciiTheme="minorEastAsia" w:hAnsiTheme="minorEastAsia" w:eastAsiaTheme="minorEastAsia" w:cstheme="minorEastAsia"/>
          <w:color w:val="auto"/>
          <w:sz w:val="24"/>
          <w:szCs w:val="24"/>
          <w:highlight w:val="none"/>
          <w:lang w:eastAsia="zh-CN"/>
        </w:rPr>
        <w:t>上</w:t>
      </w:r>
      <w:r>
        <w:rPr>
          <w:rFonts w:hint="eastAsia" w:asciiTheme="minorEastAsia" w:hAnsiTheme="minorEastAsia" w:eastAsiaTheme="minorEastAsia" w:cstheme="minorEastAsia"/>
          <w:color w:val="auto"/>
          <w:sz w:val="24"/>
          <w:szCs w:val="24"/>
          <w:highlight w:val="none"/>
        </w:rPr>
        <w:t>述</w:t>
      </w:r>
      <w:r>
        <w:rPr>
          <w:rFonts w:hint="eastAsia" w:asciiTheme="minorEastAsia" w:hAnsiTheme="minorEastAsia" w:eastAsiaTheme="minorEastAsia" w:cstheme="minorEastAsia"/>
          <w:color w:val="auto"/>
          <w:sz w:val="24"/>
          <w:szCs w:val="24"/>
          <w:highlight w:val="none"/>
          <w:lang w:eastAsia="zh-CN"/>
        </w:rPr>
        <w:t>四种情形中任一</w:t>
      </w:r>
      <w:r>
        <w:rPr>
          <w:rFonts w:hint="eastAsia" w:asciiTheme="minorEastAsia" w:hAnsiTheme="minorEastAsia" w:eastAsiaTheme="minorEastAsia" w:cstheme="minorEastAsia"/>
          <w:color w:val="auto"/>
          <w:sz w:val="24"/>
          <w:szCs w:val="24"/>
          <w:highlight w:val="none"/>
        </w:rPr>
        <w:t>情形的，</w:t>
      </w:r>
      <w:r>
        <w:rPr>
          <w:rFonts w:hint="eastAsia" w:asciiTheme="minorEastAsia" w:hAnsiTheme="minorEastAsia" w:eastAsiaTheme="minorEastAsia" w:cstheme="minorEastAsia"/>
          <w:color w:val="auto"/>
          <w:sz w:val="24"/>
          <w:szCs w:val="24"/>
          <w:highlight w:val="none"/>
          <w:lang w:eastAsia="zh-CN"/>
        </w:rPr>
        <w:t>应当通过电子交易平台向投标人发起价格澄清，要求相关投标人在</w:t>
      </w:r>
      <w:r>
        <w:rPr>
          <w:rFonts w:hint="eastAsia" w:asciiTheme="minorEastAsia" w:hAnsiTheme="minorEastAsia" w:eastAsiaTheme="minorEastAsia" w:cstheme="minorEastAsia"/>
          <w:color w:val="auto"/>
          <w:sz w:val="24"/>
          <w:szCs w:val="24"/>
          <w:highlight w:val="none"/>
          <w:lang w:val="en-US" w:eastAsia="zh-CN"/>
        </w:rPr>
        <w:t>评标</w:t>
      </w:r>
      <w:r>
        <w:rPr>
          <w:rFonts w:hint="eastAsia" w:asciiTheme="minorEastAsia" w:hAnsiTheme="minorEastAsia" w:eastAsiaTheme="minorEastAsia" w:cstheme="minorEastAsia"/>
          <w:color w:val="auto"/>
          <w:sz w:val="24"/>
          <w:szCs w:val="24"/>
          <w:highlight w:val="none"/>
          <w:lang w:eastAsia="zh-CN"/>
        </w:rPr>
        <w:t>委员会要求的时间内通过电子交易平台系统对投标价格作出解释</w:t>
      </w:r>
      <w:r>
        <w:rPr>
          <w:rFonts w:hint="eastAsia" w:asciiTheme="minorEastAsia" w:hAnsiTheme="minorEastAsia" w:eastAsiaTheme="minorEastAsia" w:cstheme="minorEastAsia"/>
          <w:color w:val="auto"/>
          <w:sz w:val="24"/>
          <w:szCs w:val="24"/>
          <w:highlight w:val="none"/>
        </w:rPr>
        <w:t>，提供项目具体成本测算等与报价合理性相关的书面说明及必要的证明材料，包括但不限于原材料成本、人工成本、制造费用等。其中，属于</w:t>
      </w:r>
      <w:r>
        <w:rPr>
          <w:rFonts w:hint="eastAsia" w:asciiTheme="minorEastAsia" w:hAnsiTheme="minorEastAsia" w:eastAsiaTheme="minorEastAsia" w:cstheme="minorEastAsia"/>
          <w:color w:val="auto"/>
          <w:sz w:val="24"/>
          <w:szCs w:val="24"/>
          <w:highlight w:val="none"/>
          <w:lang w:eastAsia="zh-CN"/>
        </w:rPr>
        <w:t>上</w:t>
      </w:r>
      <w:r>
        <w:rPr>
          <w:rFonts w:hint="eastAsia" w:asciiTheme="minorEastAsia" w:hAnsiTheme="minorEastAsia" w:eastAsiaTheme="minorEastAsia" w:cstheme="minorEastAsia"/>
          <w:color w:val="auto"/>
          <w:sz w:val="24"/>
          <w:szCs w:val="24"/>
          <w:highlight w:val="none"/>
        </w:rPr>
        <w:t>述</w:t>
      </w:r>
      <w:r>
        <w:rPr>
          <w:rFonts w:hint="eastAsia" w:asciiTheme="minorEastAsia" w:hAnsiTheme="minorEastAsia" w:eastAsiaTheme="minorEastAsia" w:cstheme="minorEastAsia"/>
          <w:color w:val="auto"/>
          <w:sz w:val="24"/>
          <w:szCs w:val="24"/>
          <w:highlight w:val="none"/>
          <w:lang w:eastAsia="zh-CN"/>
        </w:rPr>
        <w:t>四种情形中任一</w:t>
      </w:r>
      <w:r>
        <w:rPr>
          <w:rFonts w:hint="eastAsia" w:asciiTheme="minorEastAsia" w:hAnsiTheme="minorEastAsia" w:eastAsiaTheme="minorEastAsia" w:cstheme="minorEastAsia"/>
          <w:color w:val="auto"/>
          <w:sz w:val="24"/>
          <w:szCs w:val="24"/>
          <w:highlight w:val="none"/>
        </w:rPr>
        <w:t>情形，</w:t>
      </w:r>
      <w:r>
        <w:rPr>
          <w:rFonts w:hint="eastAsia" w:asciiTheme="minorEastAsia" w:hAnsiTheme="minorEastAsia" w:eastAsiaTheme="minorEastAsia" w:cstheme="minorEastAsia"/>
          <w:color w:val="auto"/>
          <w:sz w:val="24"/>
          <w:szCs w:val="24"/>
        </w:rPr>
        <w:t>投标人已随投标文件一并提交相关书面说明及必要的证明材料的，可不再重复提交。 </w:t>
      </w:r>
    </w:p>
    <w:p w14:paraId="05589238">
      <w:pPr>
        <w:pageBreakBefore w:val="0"/>
        <w:kinsoku/>
        <w:wordWrap/>
        <w:overflowPunct/>
        <w:topLinePunct w:val="0"/>
        <w:autoSpaceDE/>
        <w:autoSpaceDN/>
        <w:bidi w:val="0"/>
        <w:spacing w:line="360" w:lineRule="auto"/>
        <w:ind w:left="0" w:leftChars="0" w:firstLine="480" w:firstLineChars="200"/>
        <w:jc w:val="both"/>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val="en-US" w:eastAsia="zh-CN"/>
        </w:rPr>
        <w:t>6</w:t>
      </w:r>
      <w:r>
        <w:rPr>
          <w:rFonts w:hint="eastAsia" w:asciiTheme="minorEastAsia" w:hAnsiTheme="minorEastAsia" w:eastAsiaTheme="minorEastAsia" w:cstheme="minorEastAsia"/>
          <w:color w:val="auto"/>
          <w:sz w:val="24"/>
          <w:szCs w:val="24"/>
          <w:lang w:eastAsia="zh-CN"/>
        </w:rPr>
        <w:t>评标委员会</w:t>
      </w:r>
      <w:r>
        <w:rPr>
          <w:rFonts w:hint="eastAsia" w:asciiTheme="minorEastAsia" w:hAnsiTheme="minorEastAsia" w:eastAsiaTheme="minorEastAsia" w:cstheme="minorEastAsia"/>
          <w:color w:val="auto"/>
          <w:sz w:val="24"/>
          <w:szCs w:val="24"/>
        </w:rPr>
        <w:t>依据专业经验，参考同类项目中标（成交）价格、类似产品市场价格水平、行业人工费用标准、国家有关部门指导行业协会发布的行业平均成本等情况，对报价合理性进行判断。投标人不能提供书面说明、证明材料，或者提供的书面说明、证明材料不能证明其报价合理性的，</w:t>
      </w:r>
      <w:r>
        <w:rPr>
          <w:rFonts w:hint="eastAsia" w:asciiTheme="minorEastAsia" w:hAnsiTheme="minorEastAsia" w:eastAsiaTheme="minorEastAsia" w:cstheme="minorEastAsia"/>
          <w:color w:val="auto"/>
          <w:sz w:val="24"/>
          <w:szCs w:val="24"/>
          <w:lang w:eastAsia="zh-CN"/>
        </w:rPr>
        <w:t>评标委员会</w:t>
      </w:r>
      <w:r>
        <w:rPr>
          <w:rFonts w:hint="eastAsia" w:asciiTheme="minorEastAsia" w:hAnsiTheme="minorEastAsia" w:eastAsiaTheme="minorEastAsia" w:cstheme="minorEastAsia"/>
          <w:color w:val="auto"/>
          <w:sz w:val="24"/>
          <w:szCs w:val="24"/>
        </w:rPr>
        <w:t>应当将其作为无效投标处理。</w:t>
      </w:r>
    </w:p>
    <w:p w14:paraId="4F4C9E16">
      <w:pPr>
        <w:pageBreakBefore w:val="0"/>
        <w:widowControl/>
        <w:shd w:val="clear" w:color="auto" w:fill="FFFFFF"/>
        <w:kinsoku/>
        <w:wordWrap/>
        <w:overflowPunct/>
        <w:topLinePunct w:val="0"/>
        <w:autoSpaceDE/>
        <w:autoSpaceDN/>
        <w:bidi w:val="0"/>
        <w:adjustRightInd w:val="0"/>
        <w:snapToGrid w:val="0"/>
        <w:spacing w:line="360" w:lineRule="auto"/>
        <w:ind w:left="0" w:leftChars="0" w:firstLine="480" w:firstLineChars="200"/>
        <w:jc w:val="both"/>
        <w:textAlignment w:val="auto"/>
        <w:outlineLvl w:val="9"/>
        <w:rPr>
          <w:rFonts w:hint="eastAsia" w:asciiTheme="minorEastAsia" w:hAnsiTheme="minorEastAsia" w:eastAsiaTheme="minorEastAsia" w:cstheme="minorEastAsia"/>
          <w:color w:val="auto"/>
          <w:spacing w:val="-2"/>
          <w:kern w:val="0"/>
          <w:sz w:val="24"/>
          <w:szCs w:val="24"/>
        </w:rPr>
      </w:pPr>
      <w:r>
        <w:rPr>
          <w:rFonts w:hint="eastAsia" w:asciiTheme="minorEastAsia" w:hAnsiTheme="minorEastAsia" w:eastAsiaTheme="minorEastAsia" w:cstheme="minorEastAsia"/>
          <w:color w:val="auto"/>
          <w:kern w:val="0"/>
          <w:sz w:val="24"/>
          <w:szCs w:val="24"/>
          <w:lang w:val="en-US" w:eastAsia="zh-CN"/>
        </w:rPr>
        <w:t>3</w:t>
      </w:r>
      <w:r>
        <w:rPr>
          <w:rFonts w:hint="eastAsia" w:asciiTheme="minorEastAsia" w:hAnsiTheme="minorEastAsia" w:eastAsiaTheme="minorEastAsia" w:cstheme="minorEastAsia"/>
          <w:color w:val="auto"/>
          <w:kern w:val="0"/>
          <w:sz w:val="24"/>
          <w:szCs w:val="24"/>
        </w:rPr>
        <w:t>.</w:t>
      </w:r>
      <w:r>
        <w:rPr>
          <w:rFonts w:hint="eastAsia" w:asciiTheme="minorEastAsia" w:hAnsiTheme="minorEastAsia" w:eastAsiaTheme="minorEastAsia" w:cstheme="minorEastAsia"/>
          <w:color w:val="auto"/>
          <w:kern w:val="0"/>
          <w:sz w:val="24"/>
          <w:szCs w:val="24"/>
          <w:lang w:val="en-US" w:eastAsia="zh-CN"/>
        </w:rPr>
        <w:t>7</w:t>
      </w:r>
      <w:r>
        <w:rPr>
          <w:rFonts w:hint="eastAsia" w:asciiTheme="minorEastAsia" w:hAnsiTheme="minorEastAsia" w:eastAsiaTheme="minorEastAsia" w:cstheme="minorEastAsia"/>
          <w:color w:val="auto"/>
          <w:kern w:val="0"/>
          <w:sz w:val="24"/>
          <w:szCs w:val="24"/>
        </w:rPr>
        <w:t>异常低价投标审查的启动原因、审查意见和审查结果应当在评标报告中记录，并随投标人提供的相关书面说明及证明材料，以及</w:t>
      </w:r>
      <w:r>
        <w:rPr>
          <w:rFonts w:hint="eastAsia" w:asciiTheme="minorEastAsia" w:hAnsiTheme="minorEastAsia" w:eastAsiaTheme="minorEastAsia" w:cstheme="minorEastAsia"/>
          <w:color w:val="auto"/>
          <w:kern w:val="0"/>
          <w:sz w:val="24"/>
          <w:szCs w:val="24"/>
          <w:lang w:eastAsia="zh-CN"/>
        </w:rPr>
        <w:t>评标委员会</w:t>
      </w:r>
      <w:r>
        <w:rPr>
          <w:rFonts w:hint="eastAsia" w:asciiTheme="minorEastAsia" w:hAnsiTheme="minorEastAsia" w:eastAsiaTheme="minorEastAsia" w:cstheme="minorEastAsia"/>
          <w:color w:val="auto"/>
          <w:kern w:val="0"/>
          <w:sz w:val="24"/>
          <w:szCs w:val="24"/>
        </w:rPr>
        <w:t>有关互联网浏览、查询历史一并归档。</w:t>
      </w:r>
    </w:p>
    <w:p w14:paraId="345E2C36">
      <w:pPr>
        <w:pageBreakBefore w:val="0"/>
        <w:kinsoku/>
        <w:wordWrap/>
        <w:overflowPunct/>
        <w:topLinePunct w:val="0"/>
        <w:autoSpaceDE/>
        <w:autoSpaceDN/>
        <w:bidi w:val="0"/>
        <w:spacing w:line="360" w:lineRule="auto"/>
        <w:ind w:left="0" w:leftChars="0" w:firstLine="480" w:firstLineChars="200"/>
        <w:jc w:val="both"/>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4</w:t>
      </w:r>
      <w:r>
        <w:rPr>
          <w:rFonts w:hint="eastAsia" w:asciiTheme="minorEastAsia" w:hAnsiTheme="minorEastAsia" w:eastAsiaTheme="minorEastAsia" w:cstheme="minorEastAsia"/>
          <w:color w:val="auto"/>
          <w:sz w:val="24"/>
          <w:szCs w:val="24"/>
        </w:rPr>
        <w:t>.评标委员会要求投标人对投标文件进行澄清、说明或者补正的将以书面形式作出，并在电子交易系统中向投标人发出，投标人在收到该要求后，</w:t>
      </w:r>
      <w:r>
        <w:rPr>
          <w:rFonts w:hint="eastAsia" w:asciiTheme="minorEastAsia" w:hAnsiTheme="minorEastAsia" w:eastAsiaTheme="minorEastAsia" w:cstheme="minorEastAsia"/>
          <w:b w:val="0"/>
          <w:bCs w:val="0"/>
          <w:color w:val="auto"/>
          <w:sz w:val="24"/>
          <w:szCs w:val="24"/>
        </w:rPr>
        <w:t>应在评标委员会要求的时间</w:t>
      </w:r>
      <w:r>
        <w:rPr>
          <w:rFonts w:hint="eastAsia" w:asciiTheme="minorEastAsia" w:hAnsiTheme="minorEastAsia" w:eastAsiaTheme="minorEastAsia" w:cstheme="minorEastAsia"/>
          <w:b w:val="0"/>
          <w:bCs w:val="0"/>
          <w:color w:val="auto"/>
          <w:sz w:val="24"/>
          <w:szCs w:val="24"/>
          <w:lang w:eastAsia="zh-CN"/>
        </w:rPr>
        <w:t>内</w:t>
      </w:r>
      <w:r>
        <w:rPr>
          <w:rFonts w:hint="eastAsia" w:asciiTheme="minorEastAsia" w:hAnsiTheme="minorEastAsia" w:eastAsiaTheme="minorEastAsia" w:cstheme="minorEastAsia"/>
          <w:color w:val="auto"/>
          <w:sz w:val="24"/>
          <w:szCs w:val="24"/>
        </w:rPr>
        <w:t>在电子交易系统中做出相应的回复，如果评标委员会在规定的时间内没有收到投标人的回复则视为该投标人没有回复。</w:t>
      </w:r>
    </w:p>
    <w:p w14:paraId="383F13EC">
      <w:pPr>
        <w:pageBreakBefore w:val="0"/>
        <w:kinsoku/>
        <w:wordWrap/>
        <w:overflowPunct/>
        <w:topLinePunct w:val="0"/>
        <w:autoSpaceDE/>
        <w:autoSpaceDN/>
        <w:bidi w:val="0"/>
        <w:spacing w:line="360" w:lineRule="auto"/>
        <w:ind w:left="0" w:leftChars="0" w:firstLine="480" w:firstLineChars="200"/>
        <w:jc w:val="both"/>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5</w:t>
      </w:r>
      <w:r>
        <w:rPr>
          <w:rFonts w:hint="eastAsia" w:asciiTheme="minorEastAsia" w:hAnsiTheme="minorEastAsia" w:eastAsiaTheme="minorEastAsia" w:cstheme="minorEastAsia"/>
          <w:color w:val="auto"/>
          <w:sz w:val="24"/>
          <w:szCs w:val="24"/>
        </w:rPr>
        <w:t>.投标人不按评标委员会的要求进行回复的，或者不能在规定时间内作出书面回复的，或者回复内容不被评标委员会认可的，评标委员会可以否决其投标。</w:t>
      </w:r>
    </w:p>
    <w:p w14:paraId="602A2135">
      <w:pPr>
        <w:pageBreakBefore w:val="0"/>
        <w:kinsoku/>
        <w:wordWrap/>
        <w:overflowPunct/>
        <w:topLinePunct w:val="0"/>
        <w:autoSpaceDE/>
        <w:autoSpaceDN/>
        <w:bidi w:val="0"/>
        <w:adjustRightInd w:val="0"/>
        <w:snapToGrid w:val="0"/>
        <w:spacing w:line="360" w:lineRule="auto"/>
        <w:ind w:left="0" w:leftChars="0" w:firstLine="480" w:firstLineChars="200"/>
        <w:jc w:val="both"/>
        <w:textAlignment w:val="auto"/>
        <w:outlineLvl w:val="9"/>
        <w:rPr>
          <w:rFonts w:hint="eastAsia" w:asciiTheme="minorEastAsia" w:hAnsiTheme="minorEastAsia" w:eastAsiaTheme="minorEastAsia" w:cstheme="minorEastAsia"/>
          <w:strike/>
          <w:dstrike w:val="0"/>
          <w:color w:val="FF0000"/>
          <w:sz w:val="24"/>
          <w:szCs w:val="24"/>
          <w:highlight w:val="cyan"/>
        </w:rPr>
      </w:pPr>
      <w:r>
        <w:rPr>
          <w:rFonts w:hint="eastAsia" w:asciiTheme="minorEastAsia" w:hAnsiTheme="minorEastAsia" w:eastAsiaTheme="minorEastAsia" w:cstheme="minorEastAsia"/>
          <w:strike w:val="0"/>
          <w:dstrike w:val="0"/>
          <w:sz w:val="24"/>
          <w:szCs w:val="24"/>
          <w:highlight w:val="none"/>
          <w:lang w:val="en-US" w:eastAsia="zh-CN"/>
        </w:rPr>
        <w:t>6</w:t>
      </w:r>
      <w:r>
        <w:rPr>
          <w:rFonts w:hint="eastAsia" w:asciiTheme="minorEastAsia" w:hAnsiTheme="minorEastAsia" w:eastAsiaTheme="minorEastAsia" w:cstheme="minorEastAsia"/>
          <w:strike w:val="0"/>
          <w:dstrike w:val="0"/>
          <w:sz w:val="24"/>
          <w:szCs w:val="24"/>
          <w:highlight w:val="none"/>
        </w:rPr>
        <w:t>.投标人的澄清、说明或者补正应当</w:t>
      </w:r>
      <w:r>
        <w:rPr>
          <w:rFonts w:hint="eastAsia" w:asciiTheme="minorEastAsia" w:hAnsiTheme="minorEastAsia" w:eastAsiaTheme="minorEastAsia" w:cstheme="minorEastAsia"/>
          <w:strike w:val="0"/>
          <w:dstrike w:val="0"/>
          <w:sz w:val="24"/>
          <w:szCs w:val="24"/>
          <w:highlight w:val="none"/>
          <w:lang w:eastAsia="zh-CN"/>
        </w:rPr>
        <w:t>在交易平台上进行</w:t>
      </w:r>
      <w:r>
        <w:rPr>
          <w:rFonts w:hint="eastAsia" w:asciiTheme="minorEastAsia" w:hAnsiTheme="minorEastAsia" w:eastAsiaTheme="minorEastAsia" w:cstheme="minorEastAsia"/>
          <w:strike w:val="0"/>
          <w:dstrike w:val="0"/>
          <w:sz w:val="24"/>
          <w:szCs w:val="24"/>
          <w:highlight w:val="none"/>
        </w:rPr>
        <w:t>。</w:t>
      </w:r>
    </w:p>
    <w:p w14:paraId="54022110">
      <w:pPr>
        <w:pageBreakBefore w:val="0"/>
        <w:kinsoku/>
        <w:wordWrap/>
        <w:overflowPunct/>
        <w:topLinePunct w:val="0"/>
        <w:autoSpaceDE/>
        <w:autoSpaceDN/>
        <w:bidi w:val="0"/>
        <w:adjustRightInd w:val="0"/>
        <w:snapToGrid w:val="0"/>
        <w:spacing w:line="360" w:lineRule="auto"/>
        <w:ind w:left="0" w:leftChars="0" w:firstLine="480" w:firstLineChars="200"/>
        <w:jc w:val="both"/>
        <w:textAlignment w:val="auto"/>
        <w:outlineLvl w:val="9"/>
        <w:rPr>
          <w:rFonts w:hint="eastAsia" w:asciiTheme="minorEastAsia" w:hAnsiTheme="minorEastAsia" w:eastAsiaTheme="minorEastAsia" w:cstheme="minorEastAsia"/>
          <w:color w:val="333333"/>
          <w:sz w:val="24"/>
          <w:szCs w:val="24"/>
        </w:rPr>
      </w:pPr>
      <w:r>
        <w:rPr>
          <w:rFonts w:hint="eastAsia" w:asciiTheme="minorEastAsia" w:hAnsiTheme="minorEastAsia" w:eastAsiaTheme="minorEastAsia" w:cstheme="minorEastAsia"/>
          <w:sz w:val="24"/>
          <w:szCs w:val="24"/>
          <w:lang w:val="en-US" w:eastAsia="zh-CN"/>
        </w:rPr>
        <w:t>7</w:t>
      </w:r>
      <w:r>
        <w:rPr>
          <w:rFonts w:hint="eastAsia" w:asciiTheme="minorEastAsia" w:hAnsiTheme="minorEastAsia" w:eastAsiaTheme="minorEastAsia" w:cstheme="minorEastAsia"/>
          <w:sz w:val="24"/>
          <w:szCs w:val="24"/>
        </w:rPr>
        <w:t>.投标人</w:t>
      </w:r>
      <w:r>
        <w:rPr>
          <w:rFonts w:hint="eastAsia" w:asciiTheme="minorEastAsia" w:hAnsiTheme="minorEastAsia" w:eastAsiaTheme="minorEastAsia" w:cstheme="minorEastAsia"/>
          <w:color w:val="333333"/>
          <w:sz w:val="24"/>
          <w:szCs w:val="24"/>
        </w:rPr>
        <w:t>的澄清、说明或者补正不得超出投标文件的范围或者改变投标文件的实质性内容。</w:t>
      </w:r>
    </w:p>
    <w:p w14:paraId="0F916A18">
      <w:pPr>
        <w:pageBreakBefore w:val="0"/>
        <w:kinsoku/>
        <w:wordWrap/>
        <w:overflowPunct/>
        <w:topLinePunct w:val="0"/>
        <w:autoSpaceDE/>
        <w:autoSpaceDN/>
        <w:bidi w:val="0"/>
        <w:spacing w:line="360" w:lineRule="auto"/>
        <w:ind w:left="0" w:leftChars="0" w:firstLine="48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8</w:t>
      </w:r>
      <w:r>
        <w:rPr>
          <w:rFonts w:hint="eastAsia" w:asciiTheme="minorEastAsia" w:hAnsiTheme="minorEastAsia" w:eastAsiaTheme="minorEastAsia" w:cstheme="minorEastAsia"/>
          <w:sz w:val="24"/>
          <w:szCs w:val="24"/>
        </w:rPr>
        <w:t>.投标人的澄清、说明或补正将作为投标文件的一部分并取代投标文件中被澄清的部分。</w:t>
      </w:r>
    </w:p>
    <w:p w14:paraId="6E0C65F7">
      <w:pPr>
        <w:pageBreakBefore w:val="0"/>
        <w:kinsoku/>
        <w:wordWrap/>
        <w:overflowPunct/>
        <w:topLinePunct w:val="0"/>
        <w:autoSpaceDE/>
        <w:autoSpaceDN/>
        <w:bidi w:val="0"/>
        <w:spacing w:line="360" w:lineRule="auto"/>
        <w:ind w:left="0" w:leftChars="0" w:firstLine="48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9</w:t>
      </w:r>
      <w:r>
        <w:rPr>
          <w:rFonts w:hint="eastAsia" w:asciiTheme="minorEastAsia" w:hAnsiTheme="minorEastAsia" w:eastAsiaTheme="minorEastAsia" w:cstheme="minorEastAsia"/>
          <w:sz w:val="24"/>
          <w:szCs w:val="24"/>
        </w:rPr>
        <w:t>.对不同文字文本投标文件的解释发生异议的，以中文文本为准。</w:t>
      </w:r>
    </w:p>
    <w:p w14:paraId="167E76A1">
      <w:pPr>
        <w:pageBreakBefore w:val="0"/>
        <w:kinsoku/>
        <w:wordWrap/>
        <w:overflowPunct/>
        <w:topLinePunct w:val="0"/>
        <w:autoSpaceDE/>
        <w:autoSpaceDN/>
        <w:bidi w:val="0"/>
        <w:spacing w:before="0" w:after="0" w:line="360" w:lineRule="auto"/>
        <w:ind w:left="0" w:leftChars="0" w:firstLine="482" w:firstLineChars="200"/>
        <w:jc w:val="both"/>
        <w:textAlignment w:val="auto"/>
        <w:outlineLvl w:val="9"/>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bCs/>
          <w:sz w:val="24"/>
          <w:szCs w:val="24"/>
          <w:lang w:eastAsia="zh-CN"/>
        </w:rPr>
        <w:t>（九）</w:t>
      </w:r>
      <w:r>
        <w:rPr>
          <w:rFonts w:hint="eastAsia" w:asciiTheme="minorEastAsia" w:hAnsiTheme="minorEastAsia" w:eastAsiaTheme="minorEastAsia" w:cstheme="minorEastAsia"/>
          <w:b/>
          <w:bCs/>
          <w:sz w:val="24"/>
          <w:szCs w:val="24"/>
        </w:rPr>
        <w:t>无效投标的规定</w:t>
      </w:r>
    </w:p>
    <w:p w14:paraId="0D2B4B81">
      <w:pPr>
        <w:pageBreakBefore w:val="0"/>
        <w:kinsoku/>
        <w:wordWrap/>
        <w:overflowPunct/>
        <w:topLinePunct w:val="0"/>
        <w:autoSpaceDE/>
        <w:autoSpaceDN/>
        <w:bidi w:val="0"/>
        <w:spacing w:line="360" w:lineRule="auto"/>
        <w:ind w:left="0" w:leftChars="0" w:firstLine="480" w:firstLineChars="200"/>
        <w:jc w:val="both"/>
        <w:textAlignment w:val="auto"/>
        <w:outlineLvl w:val="9"/>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sz w:val="24"/>
          <w:szCs w:val="24"/>
        </w:rPr>
        <w:t>1.在评审中，根据招标文件的规定，评标委员会将审查每份投标文件是否满足招</w:t>
      </w:r>
      <w:r>
        <w:rPr>
          <w:rFonts w:hint="eastAsia" w:asciiTheme="minorEastAsia" w:hAnsiTheme="minorEastAsia" w:eastAsiaTheme="minorEastAsia" w:cstheme="minorEastAsia"/>
          <w:b w:val="0"/>
          <w:bCs w:val="0"/>
          <w:color w:val="auto"/>
          <w:sz w:val="24"/>
          <w:szCs w:val="24"/>
        </w:rPr>
        <w:t>标文件的实质性要求。投标人不得通过澄清、补充、修改或撤销不符合要求的偏离，从而使其投标文件满足招标文件的实质性要求。评标委员会确定投标文件是否满足招标文件的实质性要求只根据招标文件要求、投标文件内容及政府采购的相关</w:t>
      </w:r>
      <w:r>
        <w:rPr>
          <w:rFonts w:hint="eastAsia" w:asciiTheme="minorEastAsia" w:hAnsiTheme="minorEastAsia" w:eastAsiaTheme="minorEastAsia" w:cstheme="minorEastAsia"/>
          <w:b w:val="0"/>
          <w:bCs w:val="0"/>
          <w:color w:val="auto"/>
          <w:sz w:val="24"/>
          <w:szCs w:val="24"/>
          <w:lang w:eastAsia="zh-CN"/>
        </w:rPr>
        <w:t>法律法规</w:t>
      </w:r>
      <w:r>
        <w:rPr>
          <w:rFonts w:hint="eastAsia" w:asciiTheme="minorEastAsia" w:hAnsiTheme="minorEastAsia" w:eastAsiaTheme="minorEastAsia" w:cstheme="minorEastAsia"/>
          <w:b w:val="0"/>
          <w:bCs w:val="0"/>
          <w:color w:val="auto"/>
          <w:sz w:val="24"/>
          <w:szCs w:val="24"/>
        </w:rPr>
        <w:t>、财政主管部门的相关文件。</w:t>
      </w:r>
    </w:p>
    <w:p w14:paraId="0EE59172">
      <w:pPr>
        <w:pageBreakBefore w:val="0"/>
        <w:kinsoku/>
        <w:wordWrap/>
        <w:overflowPunct/>
        <w:topLinePunct w:val="0"/>
        <w:autoSpaceDE/>
        <w:autoSpaceDN/>
        <w:bidi w:val="0"/>
        <w:spacing w:line="360" w:lineRule="auto"/>
        <w:ind w:left="0" w:leftChars="0" w:firstLine="480" w:firstLineChars="200"/>
        <w:jc w:val="both"/>
        <w:textAlignment w:val="auto"/>
        <w:outlineLvl w:val="9"/>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val="0"/>
          <w:bCs w:val="0"/>
          <w:color w:val="auto"/>
          <w:sz w:val="24"/>
          <w:szCs w:val="24"/>
        </w:rPr>
        <w:t>2.如果投标文件不满足招标文件的实质性要求，其投标文件将作为无效投标文件处理，投标人不得再对投标文件进行任何修正从而使其满足招标文件的实质性要求。</w:t>
      </w:r>
    </w:p>
    <w:p w14:paraId="581F6669">
      <w:pPr>
        <w:pageBreakBefore w:val="0"/>
        <w:kinsoku/>
        <w:wordWrap/>
        <w:overflowPunct/>
        <w:topLinePunct w:val="0"/>
        <w:autoSpaceDE/>
        <w:autoSpaceDN/>
        <w:bidi w:val="0"/>
        <w:spacing w:line="360" w:lineRule="auto"/>
        <w:ind w:left="0" w:leftChars="0" w:firstLine="482" w:firstLineChars="200"/>
        <w:jc w:val="both"/>
        <w:textAlignment w:val="auto"/>
        <w:outlineLvl w:val="9"/>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3.如发现下列情况之一的，其投标文件将被认定为无效投标文件：</w:t>
      </w:r>
    </w:p>
    <w:p w14:paraId="348DC4B8">
      <w:pPr>
        <w:pageBreakBefore w:val="0"/>
        <w:kinsoku/>
        <w:wordWrap/>
        <w:overflowPunct/>
        <w:topLinePunct w:val="0"/>
        <w:autoSpaceDE/>
        <w:autoSpaceDN/>
        <w:bidi w:val="0"/>
        <w:spacing w:line="360" w:lineRule="auto"/>
        <w:ind w:left="0" w:leftChars="0" w:firstLine="482" w:firstLineChars="200"/>
        <w:jc w:val="both"/>
        <w:textAlignment w:val="auto"/>
        <w:outlineLvl w:val="9"/>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lang w:eastAsia="zh-CN"/>
        </w:rPr>
        <w:t>（</w:t>
      </w:r>
      <w:r>
        <w:rPr>
          <w:rFonts w:hint="eastAsia" w:asciiTheme="minorEastAsia" w:hAnsiTheme="minorEastAsia" w:eastAsiaTheme="minorEastAsia" w:cstheme="minorEastAsia"/>
          <w:b/>
          <w:bCs/>
          <w:color w:val="auto"/>
          <w:sz w:val="24"/>
          <w:szCs w:val="24"/>
          <w:lang w:val="en-US" w:eastAsia="zh-CN"/>
        </w:rPr>
        <w:t>1</w:t>
      </w:r>
      <w:r>
        <w:rPr>
          <w:rFonts w:hint="eastAsia" w:asciiTheme="minorEastAsia" w:hAnsiTheme="minorEastAsia" w:eastAsiaTheme="minorEastAsia" w:cstheme="minorEastAsia"/>
          <w:b/>
          <w:bCs/>
          <w:color w:val="auto"/>
          <w:sz w:val="24"/>
          <w:szCs w:val="24"/>
          <w:lang w:eastAsia="zh-CN"/>
        </w:rPr>
        <w:t>）</w:t>
      </w:r>
      <w:r>
        <w:rPr>
          <w:rFonts w:hint="eastAsia" w:asciiTheme="minorEastAsia" w:hAnsiTheme="minorEastAsia" w:eastAsiaTheme="minorEastAsia" w:cstheme="minorEastAsia"/>
          <w:b/>
          <w:bCs/>
          <w:color w:val="auto"/>
          <w:sz w:val="24"/>
          <w:szCs w:val="24"/>
        </w:rPr>
        <w:t>投标文件未按招标文件要求签署、盖章的；</w:t>
      </w:r>
    </w:p>
    <w:p w14:paraId="7F189877">
      <w:pPr>
        <w:pageBreakBefore w:val="0"/>
        <w:kinsoku/>
        <w:wordWrap/>
        <w:overflowPunct/>
        <w:topLinePunct w:val="0"/>
        <w:autoSpaceDE/>
        <w:autoSpaceDN/>
        <w:bidi w:val="0"/>
        <w:spacing w:line="360" w:lineRule="auto"/>
        <w:ind w:left="0" w:leftChars="0" w:firstLine="482" w:firstLineChars="200"/>
        <w:jc w:val="both"/>
        <w:textAlignment w:val="auto"/>
        <w:outlineLvl w:val="9"/>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lang w:eastAsia="zh-CN"/>
        </w:rPr>
        <w:t>（</w:t>
      </w:r>
      <w:r>
        <w:rPr>
          <w:rFonts w:hint="eastAsia" w:asciiTheme="minorEastAsia" w:hAnsiTheme="minorEastAsia" w:eastAsiaTheme="minorEastAsia" w:cstheme="minorEastAsia"/>
          <w:b/>
          <w:bCs/>
          <w:color w:val="auto"/>
          <w:sz w:val="24"/>
          <w:szCs w:val="24"/>
          <w:lang w:val="en-US" w:eastAsia="zh-CN"/>
        </w:rPr>
        <w:t>2</w:t>
      </w:r>
      <w:r>
        <w:rPr>
          <w:rFonts w:hint="eastAsia" w:asciiTheme="minorEastAsia" w:hAnsiTheme="minorEastAsia" w:eastAsiaTheme="minorEastAsia" w:cstheme="minorEastAsia"/>
          <w:b/>
          <w:bCs/>
          <w:color w:val="auto"/>
          <w:sz w:val="24"/>
          <w:szCs w:val="24"/>
          <w:lang w:eastAsia="zh-CN"/>
        </w:rPr>
        <w:t>）</w:t>
      </w:r>
      <w:r>
        <w:rPr>
          <w:rFonts w:hint="eastAsia" w:asciiTheme="minorEastAsia" w:hAnsiTheme="minorEastAsia" w:eastAsiaTheme="minorEastAsia" w:cstheme="minorEastAsia"/>
          <w:b/>
          <w:bCs/>
          <w:color w:val="auto"/>
          <w:sz w:val="24"/>
          <w:szCs w:val="24"/>
        </w:rPr>
        <w:t>报价超过了招标文件中规定的预算金额或者最高限价的；</w:t>
      </w:r>
    </w:p>
    <w:p w14:paraId="2AAE7F5D">
      <w:pPr>
        <w:pageBreakBefore w:val="0"/>
        <w:kinsoku/>
        <w:wordWrap/>
        <w:overflowPunct/>
        <w:topLinePunct w:val="0"/>
        <w:autoSpaceDE/>
        <w:autoSpaceDN/>
        <w:bidi w:val="0"/>
        <w:spacing w:line="360" w:lineRule="auto"/>
        <w:ind w:left="0" w:leftChars="0" w:firstLine="482" w:firstLineChars="200"/>
        <w:jc w:val="both"/>
        <w:textAlignment w:val="auto"/>
        <w:outlineLvl w:val="9"/>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lang w:eastAsia="zh-CN"/>
        </w:rPr>
        <w:t>（</w:t>
      </w:r>
      <w:r>
        <w:rPr>
          <w:rFonts w:hint="eastAsia" w:asciiTheme="minorEastAsia" w:hAnsiTheme="minorEastAsia" w:eastAsiaTheme="minorEastAsia" w:cstheme="minorEastAsia"/>
          <w:b/>
          <w:bCs/>
          <w:color w:val="auto"/>
          <w:sz w:val="24"/>
          <w:szCs w:val="24"/>
          <w:lang w:val="en-US" w:eastAsia="zh-CN"/>
        </w:rPr>
        <w:t>3</w:t>
      </w:r>
      <w:r>
        <w:rPr>
          <w:rFonts w:hint="eastAsia" w:asciiTheme="minorEastAsia" w:hAnsiTheme="minorEastAsia" w:eastAsiaTheme="minorEastAsia" w:cstheme="minorEastAsia"/>
          <w:b/>
          <w:bCs/>
          <w:color w:val="auto"/>
          <w:sz w:val="24"/>
          <w:szCs w:val="24"/>
          <w:lang w:eastAsia="zh-CN"/>
        </w:rPr>
        <w:t>）</w:t>
      </w:r>
      <w:r>
        <w:rPr>
          <w:rFonts w:hint="eastAsia" w:asciiTheme="minorEastAsia" w:hAnsiTheme="minorEastAsia" w:eastAsiaTheme="minorEastAsia" w:cstheme="minorEastAsia"/>
          <w:b/>
          <w:bCs/>
          <w:color w:val="auto"/>
          <w:sz w:val="24"/>
          <w:szCs w:val="24"/>
        </w:rPr>
        <w:t>不</w:t>
      </w:r>
      <w:r>
        <w:rPr>
          <w:rFonts w:hint="eastAsia" w:asciiTheme="minorEastAsia" w:hAnsiTheme="minorEastAsia" w:eastAsiaTheme="minorEastAsia" w:cstheme="minorEastAsia"/>
          <w:b/>
          <w:bCs/>
          <w:color w:val="auto"/>
          <w:sz w:val="24"/>
          <w:szCs w:val="24"/>
          <w:lang w:eastAsia="zh-CN"/>
        </w:rPr>
        <w:t>满足</w:t>
      </w:r>
      <w:r>
        <w:rPr>
          <w:rFonts w:hint="eastAsia" w:asciiTheme="minorEastAsia" w:hAnsiTheme="minorEastAsia" w:eastAsiaTheme="minorEastAsia" w:cstheme="minorEastAsia"/>
          <w:b/>
          <w:bCs/>
          <w:color w:val="auto"/>
          <w:sz w:val="24"/>
          <w:szCs w:val="24"/>
        </w:rPr>
        <w:t>招标文件中</w:t>
      </w:r>
      <w:r>
        <w:rPr>
          <w:rFonts w:hint="eastAsia" w:asciiTheme="minorEastAsia" w:hAnsiTheme="minorEastAsia" w:eastAsiaTheme="minorEastAsia" w:cstheme="minorEastAsia"/>
          <w:b/>
          <w:bCs/>
          <w:color w:val="auto"/>
          <w:sz w:val="24"/>
          <w:szCs w:val="24"/>
          <w:lang w:eastAsia="zh-CN"/>
        </w:rPr>
        <w:t>《资格评审表》</w:t>
      </w:r>
      <w:r>
        <w:rPr>
          <w:rFonts w:hint="eastAsia" w:asciiTheme="minorEastAsia" w:hAnsiTheme="minorEastAsia" w:eastAsiaTheme="minorEastAsia" w:cstheme="minorEastAsia"/>
          <w:b/>
          <w:bCs/>
          <w:color w:val="auto"/>
          <w:sz w:val="24"/>
          <w:szCs w:val="24"/>
        </w:rPr>
        <w:t>规定要求的；</w:t>
      </w:r>
    </w:p>
    <w:p w14:paraId="0F9B4DC7">
      <w:pPr>
        <w:pageBreakBefore w:val="0"/>
        <w:kinsoku/>
        <w:wordWrap/>
        <w:overflowPunct/>
        <w:topLinePunct w:val="0"/>
        <w:autoSpaceDE/>
        <w:autoSpaceDN/>
        <w:bidi w:val="0"/>
        <w:spacing w:line="360" w:lineRule="auto"/>
        <w:ind w:left="0" w:leftChars="0" w:firstLine="482" w:firstLineChars="200"/>
        <w:jc w:val="both"/>
        <w:textAlignment w:val="auto"/>
        <w:outlineLvl w:val="9"/>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lang w:eastAsia="zh-CN"/>
        </w:rPr>
        <w:t>（</w:t>
      </w:r>
      <w:r>
        <w:rPr>
          <w:rFonts w:hint="eastAsia" w:asciiTheme="minorEastAsia" w:hAnsiTheme="minorEastAsia" w:eastAsiaTheme="minorEastAsia" w:cstheme="minorEastAsia"/>
          <w:b/>
          <w:bCs/>
          <w:color w:val="auto"/>
          <w:sz w:val="24"/>
          <w:szCs w:val="24"/>
          <w:lang w:val="en-US" w:eastAsia="zh-CN"/>
        </w:rPr>
        <w:t>4</w:t>
      </w:r>
      <w:r>
        <w:rPr>
          <w:rFonts w:hint="eastAsia" w:asciiTheme="minorEastAsia" w:hAnsiTheme="minorEastAsia" w:eastAsiaTheme="minorEastAsia" w:cstheme="minorEastAsia"/>
          <w:b/>
          <w:bCs/>
          <w:color w:val="auto"/>
          <w:sz w:val="24"/>
          <w:szCs w:val="24"/>
          <w:lang w:eastAsia="zh-CN"/>
        </w:rPr>
        <w:t>）</w:t>
      </w:r>
      <w:r>
        <w:rPr>
          <w:rFonts w:hint="eastAsia" w:asciiTheme="minorEastAsia" w:hAnsiTheme="minorEastAsia" w:eastAsiaTheme="minorEastAsia" w:cstheme="minorEastAsia"/>
          <w:b/>
          <w:bCs/>
          <w:color w:val="auto"/>
          <w:sz w:val="24"/>
          <w:szCs w:val="24"/>
        </w:rPr>
        <w:t>不同投标人提交的投标文件制作机器码一致的；</w:t>
      </w:r>
    </w:p>
    <w:p w14:paraId="5A4611A9">
      <w:pPr>
        <w:pageBreakBefore w:val="0"/>
        <w:kinsoku/>
        <w:wordWrap/>
        <w:overflowPunct/>
        <w:topLinePunct w:val="0"/>
        <w:autoSpaceDE/>
        <w:autoSpaceDN/>
        <w:bidi w:val="0"/>
        <w:spacing w:line="360" w:lineRule="auto"/>
        <w:ind w:left="0" w:leftChars="0" w:firstLine="482" w:firstLineChars="200"/>
        <w:jc w:val="both"/>
        <w:textAlignment w:val="auto"/>
        <w:outlineLvl w:val="9"/>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lang w:eastAsia="zh-CN"/>
        </w:rPr>
        <w:t>（</w:t>
      </w:r>
      <w:r>
        <w:rPr>
          <w:rFonts w:hint="eastAsia" w:asciiTheme="minorEastAsia" w:hAnsiTheme="minorEastAsia" w:eastAsiaTheme="minorEastAsia" w:cstheme="minorEastAsia"/>
          <w:b/>
          <w:bCs/>
          <w:color w:val="auto"/>
          <w:sz w:val="24"/>
          <w:szCs w:val="24"/>
          <w:lang w:val="en-US" w:eastAsia="zh-CN"/>
        </w:rPr>
        <w:t>5</w:t>
      </w:r>
      <w:r>
        <w:rPr>
          <w:rFonts w:hint="eastAsia" w:asciiTheme="minorEastAsia" w:hAnsiTheme="minorEastAsia" w:eastAsiaTheme="minorEastAsia" w:cstheme="minorEastAsia"/>
          <w:b/>
          <w:bCs/>
          <w:color w:val="auto"/>
          <w:sz w:val="24"/>
          <w:szCs w:val="24"/>
          <w:lang w:eastAsia="zh-CN"/>
        </w:rPr>
        <w:t>）不</w:t>
      </w:r>
      <w:r>
        <w:rPr>
          <w:rFonts w:hint="eastAsia" w:asciiTheme="minorEastAsia" w:hAnsiTheme="minorEastAsia" w:eastAsiaTheme="minorEastAsia" w:cstheme="minorEastAsia"/>
          <w:b/>
          <w:bCs/>
          <w:color w:val="auto"/>
          <w:sz w:val="24"/>
          <w:szCs w:val="24"/>
        </w:rPr>
        <w:t>满足招标文件中</w:t>
      </w:r>
      <w:r>
        <w:rPr>
          <w:rFonts w:hint="eastAsia" w:asciiTheme="minorEastAsia" w:hAnsiTheme="minorEastAsia" w:eastAsiaTheme="minorEastAsia" w:cstheme="minorEastAsia"/>
          <w:b/>
          <w:bCs/>
          <w:color w:val="auto"/>
          <w:sz w:val="24"/>
          <w:szCs w:val="24"/>
          <w:lang w:eastAsia="zh-CN"/>
        </w:rPr>
        <w:t>《符合性评审表》规定</w:t>
      </w:r>
      <w:r>
        <w:rPr>
          <w:rFonts w:hint="eastAsia" w:asciiTheme="minorEastAsia" w:hAnsiTheme="minorEastAsia" w:eastAsiaTheme="minorEastAsia" w:cstheme="minorEastAsia"/>
          <w:b/>
          <w:bCs/>
          <w:color w:val="auto"/>
          <w:sz w:val="24"/>
          <w:szCs w:val="24"/>
        </w:rPr>
        <w:t>要求的；</w:t>
      </w:r>
    </w:p>
    <w:p w14:paraId="4E5A227F">
      <w:pPr>
        <w:pageBreakBefore w:val="0"/>
        <w:kinsoku/>
        <w:wordWrap/>
        <w:overflowPunct/>
        <w:topLinePunct w:val="0"/>
        <w:autoSpaceDE/>
        <w:autoSpaceDN/>
        <w:bidi w:val="0"/>
        <w:spacing w:line="360" w:lineRule="auto"/>
        <w:ind w:left="0" w:leftChars="0" w:firstLine="482" w:firstLineChars="200"/>
        <w:jc w:val="both"/>
        <w:textAlignment w:val="auto"/>
        <w:outlineLvl w:val="9"/>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lang w:eastAsia="zh-CN"/>
        </w:rPr>
        <w:t>（</w:t>
      </w:r>
      <w:r>
        <w:rPr>
          <w:rFonts w:hint="eastAsia" w:asciiTheme="minorEastAsia" w:hAnsiTheme="minorEastAsia" w:eastAsiaTheme="minorEastAsia" w:cstheme="minorEastAsia"/>
          <w:b/>
          <w:bCs/>
          <w:color w:val="auto"/>
          <w:sz w:val="24"/>
          <w:szCs w:val="24"/>
          <w:lang w:val="en-US" w:eastAsia="zh-CN"/>
        </w:rPr>
        <w:t>6</w:t>
      </w:r>
      <w:r>
        <w:rPr>
          <w:rFonts w:hint="eastAsia" w:asciiTheme="minorEastAsia" w:hAnsiTheme="minorEastAsia" w:eastAsiaTheme="minorEastAsia" w:cstheme="minorEastAsia"/>
          <w:b/>
          <w:bCs/>
          <w:color w:val="auto"/>
          <w:sz w:val="24"/>
          <w:szCs w:val="24"/>
          <w:lang w:eastAsia="zh-CN"/>
        </w:rPr>
        <w:t>）</w:t>
      </w:r>
      <w:r>
        <w:rPr>
          <w:rFonts w:hint="eastAsia" w:asciiTheme="minorEastAsia" w:hAnsiTheme="minorEastAsia" w:eastAsiaTheme="minorEastAsia" w:cstheme="minorEastAsia"/>
          <w:b/>
          <w:bCs/>
          <w:color w:val="auto"/>
          <w:sz w:val="24"/>
          <w:szCs w:val="24"/>
        </w:rPr>
        <w:t>属于投标人之间串通，或者依法被视为投标人之间串通；</w:t>
      </w:r>
    </w:p>
    <w:p w14:paraId="180073EF">
      <w:pPr>
        <w:pageBreakBefore w:val="0"/>
        <w:kinsoku/>
        <w:wordWrap/>
        <w:overflowPunct/>
        <w:topLinePunct w:val="0"/>
        <w:autoSpaceDE/>
        <w:autoSpaceDN/>
        <w:bidi w:val="0"/>
        <w:adjustRightInd w:val="0"/>
        <w:snapToGrid w:val="0"/>
        <w:spacing w:line="360" w:lineRule="auto"/>
        <w:ind w:left="0" w:leftChars="0" w:firstLine="482" w:firstLineChars="200"/>
        <w:jc w:val="both"/>
        <w:textAlignment w:val="auto"/>
        <w:outlineLvl w:val="9"/>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lang w:eastAsia="zh-CN"/>
        </w:rPr>
        <w:t>（</w:t>
      </w:r>
      <w:r>
        <w:rPr>
          <w:rFonts w:hint="eastAsia" w:asciiTheme="minorEastAsia" w:hAnsiTheme="minorEastAsia" w:eastAsiaTheme="minorEastAsia" w:cstheme="minorEastAsia"/>
          <w:b/>
          <w:bCs/>
          <w:color w:val="auto"/>
          <w:sz w:val="24"/>
          <w:szCs w:val="24"/>
          <w:lang w:val="en-US" w:eastAsia="zh-CN"/>
        </w:rPr>
        <w:t>7</w:t>
      </w:r>
      <w:r>
        <w:rPr>
          <w:rFonts w:hint="eastAsia" w:asciiTheme="minorEastAsia" w:hAnsiTheme="minorEastAsia" w:eastAsiaTheme="minorEastAsia" w:cstheme="minorEastAsia"/>
          <w:b/>
          <w:bCs/>
          <w:color w:val="auto"/>
          <w:sz w:val="24"/>
          <w:szCs w:val="24"/>
          <w:lang w:eastAsia="zh-CN"/>
        </w:rPr>
        <w:t>）</w:t>
      </w:r>
      <w:r>
        <w:rPr>
          <w:rFonts w:hint="eastAsia" w:asciiTheme="minorEastAsia" w:hAnsiTheme="minorEastAsia" w:eastAsiaTheme="minorEastAsia" w:cstheme="minorEastAsia"/>
          <w:b/>
          <w:bCs/>
          <w:color w:val="auto"/>
          <w:sz w:val="24"/>
          <w:szCs w:val="24"/>
        </w:rPr>
        <w:t>评标委员会认为投标人的报价明显低于其他通过符合性审查投标人的报价，有可能影响产品质量或者不能诚信履约的，应当要求其通过电子交易系统提供书面说明，必要时提交相关证明材料；投标人不能证明其报价合理性的，评标委员会应当将其作为无效投标处理。</w:t>
      </w:r>
    </w:p>
    <w:p w14:paraId="734D92E2">
      <w:pPr>
        <w:pageBreakBefore w:val="0"/>
        <w:kinsoku/>
        <w:wordWrap/>
        <w:overflowPunct/>
        <w:topLinePunct w:val="0"/>
        <w:autoSpaceDE/>
        <w:autoSpaceDN/>
        <w:bidi w:val="0"/>
        <w:spacing w:line="360" w:lineRule="auto"/>
        <w:ind w:left="0" w:leftChars="0" w:firstLine="482" w:firstLineChars="200"/>
        <w:jc w:val="both"/>
        <w:textAlignment w:val="auto"/>
        <w:outlineLvl w:val="9"/>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lang w:eastAsia="zh-CN"/>
        </w:rPr>
        <w:t>（</w:t>
      </w:r>
      <w:r>
        <w:rPr>
          <w:rFonts w:hint="eastAsia" w:asciiTheme="minorEastAsia" w:hAnsiTheme="minorEastAsia" w:eastAsiaTheme="minorEastAsia" w:cstheme="minorEastAsia"/>
          <w:b/>
          <w:bCs/>
          <w:color w:val="auto"/>
          <w:sz w:val="24"/>
          <w:szCs w:val="24"/>
          <w:lang w:val="en-US" w:eastAsia="zh-CN"/>
        </w:rPr>
        <w:t>8</w:t>
      </w:r>
      <w:r>
        <w:rPr>
          <w:rFonts w:hint="eastAsia" w:asciiTheme="minorEastAsia" w:hAnsiTheme="minorEastAsia" w:eastAsiaTheme="minorEastAsia" w:cstheme="minorEastAsia"/>
          <w:b/>
          <w:bCs/>
          <w:color w:val="auto"/>
          <w:sz w:val="24"/>
          <w:szCs w:val="24"/>
          <w:lang w:eastAsia="zh-CN"/>
        </w:rPr>
        <w:t>）</w:t>
      </w:r>
      <w:r>
        <w:rPr>
          <w:rFonts w:hint="eastAsia" w:asciiTheme="minorEastAsia" w:hAnsiTheme="minorEastAsia" w:eastAsiaTheme="minorEastAsia" w:cstheme="minorEastAsia"/>
          <w:b/>
          <w:bCs/>
          <w:color w:val="auto"/>
          <w:sz w:val="24"/>
          <w:szCs w:val="24"/>
        </w:rPr>
        <w:t>投标文件含有采购人不能接受的附加条件的；</w:t>
      </w:r>
    </w:p>
    <w:p w14:paraId="623EF586">
      <w:pPr>
        <w:pageBreakBefore w:val="0"/>
        <w:kinsoku/>
        <w:wordWrap/>
        <w:overflowPunct/>
        <w:topLinePunct w:val="0"/>
        <w:autoSpaceDE/>
        <w:autoSpaceDN/>
        <w:bidi w:val="0"/>
        <w:spacing w:line="360" w:lineRule="auto"/>
        <w:ind w:left="0" w:leftChars="0" w:firstLine="482" w:firstLineChars="200"/>
        <w:jc w:val="both"/>
        <w:textAlignment w:val="auto"/>
        <w:outlineLvl w:val="9"/>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lang w:eastAsia="zh-CN"/>
        </w:rPr>
        <w:t>（</w:t>
      </w:r>
      <w:r>
        <w:rPr>
          <w:rFonts w:hint="eastAsia" w:asciiTheme="minorEastAsia" w:hAnsiTheme="minorEastAsia" w:eastAsiaTheme="minorEastAsia" w:cstheme="minorEastAsia"/>
          <w:b/>
          <w:bCs/>
          <w:color w:val="auto"/>
          <w:sz w:val="24"/>
          <w:szCs w:val="24"/>
          <w:lang w:val="en-US" w:eastAsia="zh-CN"/>
        </w:rPr>
        <w:t>9</w:t>
      </w:r>
      <w:r>
        <w:rPr>
          <w:rFonts w:hint="eastAsia" w:asciiTheme="minorEastAsia" w:hAnsiTheme="minorEastAsia" w:eastAsiaTheme="minorEastAsia" w:cstheme="minorEastAsia"/>
          <w:b/>
          <w:bCs/>
          <w:color w:val="auto"/>
          <w:sz w:val="24"/>
          <w:szCs w:val="24"/>
          <w:lang w:eastAsia="zh-CN"/>
        </w:rPr>
        <w:t>）</w:t>
      </w:r>
      <w:r>
        <w:rPr>
          <w:rFonts w:hint="eastAsia" w:asciiTheme="minorEastAsia" w:hAnsiTheme="minorEastAsia" w:eastAsiaTheme="minorEastAsia" w:cstheme="minorEastAsia"/>
          <w:b/>
          <w:bCs/>
          <w:color w:val="auto"/>
          <w:sz w:val="24"/>
          <w:szCs w:val="24"/>
        </w:rPr>
        <w:t>属于</w:t>
      </w:r>
      <w:r>
        <w:rPr>
          <w:rFonts w:hint="eastAsia" w:asciiTheme="minorEastAsia" w:hAnsiTheme="minorEastAsia" w:eastAsiaTheme="minorEastAsia" w:cstheme="minorEastAsia"/>
          <w:b/>
          <w:bCs/>
          <w:color w:val="auto"/>
          <w:sz w:val="24"/>
          <w:szCs w:val="24"/>
          <w:lang w:eastAsia="zh-CN"/>
        </w:rPr>
        <w:t>法律法规</w:t>
      </w:r>
      <w:r>
        <w:rPr>
          <w:rFonts w:hint="eastAsia" w:asciiTheme="minorEastAsia" w:hAnsiTheme="minorEastAsia" w:eastAsiaTheme="minorEastAsia" w:cstheme="minorEastAsia"/>
          <w:b/>
          <w:bCs/>
          <w:color w:val="auto"/>
          <w:sz w:val="24"/>
          <w:szCs w:val="24"/>
        </w:rPr>
        <w:t>和招标文件中规定的其他无效投标情形的。</w:t>
      </w:r>
    </w:p>
    <w:p w14:paraId="57E65DFE">
      <w:pPr>
        <w:pageBreakBefore w:val="0"/>
        <w:widowControl/>
        <w:kinsoku/>
        <w:wordWrap/>
        <w:overflowPunct/>
        <w:topLinePunct w:val="0"/>
        <w:autoSpaceDE/>
        <w:autoSpaceDN/>
        <w:bidi w:val="0"/>
        <w:spacing w:line="360" w:lineRule="auto"/>
        <w:ind w:left="0" w:leftChars="0" w:firstLine="482" w:firstLineChars="200"/>
        <w:jc w:val="both"/>
        <w:textAlignment w:val="auto"/>
        <w:outlineLvl w:val="9"/>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4.有下列情形之一的，视为投标人串通投标，其投标文件无效：</w:t>
      </w:r>
    </w:p>
    <w:p w14:paraId="3F0E2E0E">
      <w:pPr>
        <w:pageBreakBefore w:val="0"/>
        <w:widowControl/>
        <w:kinsoku/>
        <w:wordWrap/>
        <w:overflowPunct/>
        <w:topLinePunct w:val="0"/>
        <w:autoSpaceDE/>
        <w:autoSpaceDN/>
        <w:bidi w:val="0"/>
        <w:spacing w:line="360" w:lineRule="auto"/>
        <w:ind w:left="0" w:leftChars="0" w:firstLine="482" w:firstLineChars="200"/>
        <w:jc w:val="both"/>
        <w:textAlignment w:val="auto"/>
        <w:outlineLvl w:val="9"/>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lang w:eastAsia="zh-CN"/>
        </w:rPr>
        <w:t>（</w:t>
      </w:r>
      <w:r>
        <w:rPr>
          <w:rFonts w:hint="eastAsia" w:asciiTheme="minorEastAsia" w:hAnsiTheme="minorEastAsia" w:eastAsiaTheme="minorEastAsia" w:cstheme="minorEastAsia"/>
          <w:b/>
          <w:bCs/>
          <w:color w:val="auto"/>
          <w:sz w:val="24"/>
          <w:szCs w:val="24"/>
          <w:lang w:val="en-US" w:eastAsia="zh-CN"/>
        </w:rPr>
        <w:t>1</w:t>
      </w:r>
      <w:r>
        <w:rPr>
          <w:rFonts w:hint="eastAsia" w:asciiTheme="minorEastAsia" w:hAnsiTheme="minorEastAsia" w:eastAsiaTheme="minorEastAsia" w:cstheme="minorEastAsia"/>
          <w:b/>
          <w:bCs/>
          <w:color w:val="auto"/>
          <w:sz w:val="24"/>
          <w:szCs w:val="24"/>
          <w:lang w:eastAsia="zh-CN"/>
        </w:rPr>
        <w:t>）</w:t>
      </w:r>
      <w:r>
        <w:rPr>
          <w:rFonts w:hint="eastAsia" w:asciiTheme="minorEastAsia" w:hAnsiTheme="minorEastAsia" w:eastAsiaTheme="minorEastAsia" w:cstheme="minorEastAsia"/>
          <w:b/>
          <w:bCs/>
          <w:color w:val="auto"/>
          <w:sz w:val="24"/>
          <w:szCs w:val="24"/>
        </w:rPr>
        <w:t>不同投标人的投标文件由同一单位或者个人编制；</w:t>
      </w:r>
    </w:p>
    <w:p w14:paraId="48379386">
      <w:pPr>
        <w:pageBreakBefore w:val="0"/>
        <w:widowControl/>
        <w:kinsoku/>
        <w:wordWrap/>
        <w:overflowPunct/>
        <w:topLinePunct w:val="0"/>
        <w:autoSpaceDE/>
        <w:autoSpaceDN/>
        <w:bidi w:val="0"/>
        <w:spacing w:line="360" w:lineRule="auto"/>
        <w:ind w:left="0" w:leftChars="0" w:firstLine="482" w:firstLineChars="200"/>
        <w:jc w:val="both"/>
        <w:textAlignment w:val="auto"/>
        <w:outlineLvl w:val="9"/>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lang w:eastAsia="zh-CN"/>
        </w:rPr>
        <w:t>（</w:t>
      </w:r>
      <w:r>
        <w:rPr>
          <w:rFonts w:hint="eastAsia" w:asciiTheme="minorEastAsia" w:hAnsiTheme="minorEastAsia" w:eastAsiaTheme="minorEastAsia" w:cstheme="minorEastAsia"/>
          <w:b/>
          <w:bCs/>
          <w:color w:val="auto"/>
          <w:sz w:val="24"/>
          <w:szCs w:val="24"/>
          <w:lang w:val="en-US" w:eastAsia="zh-CN"/>
        </w:rPr>
        <w:t>2</w:t>
      </w:r>
      <w:r>
        <w:rPr>
          <w:rFonts w:hint="eastAsia" w:asciiTheme="minorEastAsia" w:hAnsiTheme="minorEastAsia" w:eastAsiaTheme="minorEastAsia" w:cstheme="minorEastAsia"/>
          <w:b/>
          <w:bCs/>
          <w:color w:val="auto"/>
          <w:sz w:val="24"/>
          <w:szCs w:val="24"/>
          <w:lang w:eastAsia="zh-CN"/>
        </w:rPr>
        <w:t>）</w:t>
      </w:r>
      <w:r>
        <w:rPr>
          <w:rFonts w:hint="eastAsia" w:asciiTheme="minorEastAsia" w:hAnsiTheme="minorEastAsia" w:eastAsiaTheme="minorEastAsia" w:cstheme="minorEastAsia"/>
          <w:b/>
          <w:bCs/>
          <w:color w:val="auto"/>
          <w:sz w:val="24"/>
          <w:szCs w:val="24"/>
        </w:rPr>
        <w:t>不同投标人委托同一单位或者个人办理投标事宜；</w:t>
      </w:r>
    </w:p>
    <w:p w14:paraId="060B2748">
      <w:pPr>
        <w:pageBreakBefore w:val="0"/>
        <w:widowControl/>
        <w:kinsoku/>
        <w:wordWrap/>
        <w:overflowPunct/>
        <w:topLinePunct w:val="0"/>
        <w:autoSpaceDE/>
        <w:autoSpaceDN/>
        <w:bidi w:val="0"/>
        <w:spacing w:line="360" w:lineRule="auto"/>
        <w:ind w:left="0" w:leftChars="0" w:firstLine="482" w:firstLineChars="200"/>
        <w:jc w:val="both"/>
        <w:textAlignment w:val="auto"/>
        <w:outlineLvl w:val="9"/>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lang w:eastAsia="zh-CN"/>
        </w:rPr>
        <w:t>（</w:t>
      </w:r>
      <w:r>
        <w:rPr>
          <w:rFonts w:hint="eastAsia" w:asciiTheme="minorEastAsia" w:hAnsiTheme="minorEastAsia" w:eastAsiaTheme="minorEastAsia" w:cstheme="minorEastAsia"/>
          <w:b/>
          <w:bCs/>
          <w:color w:val="auto"/>
          <w:sz w:val="24"/>
          <w:szCs w:val="24"/>
          <w:lang w:val="en-US" w:eastAsia="zh-CN"/>
        </w:rPr>
        <w:t>3</w:t>
      </w:r>
      <w:r>
        <w:rPr>
          <w:rFonts w:hint="eastAsia" w:asciiTheme="minorEastAsia" w:hAnsiTheme="minorEastAsia" w:eastAsiaTheme="minorEastAsia" w:cstheme="minorEastAsia"/>
          <w:b/>
          <w:bCs/>
          <w:color w:val="auto"/>
          <w:sz w:val="24"/>
          <w:szCs w:val="24"/>
          <w:lang w:eastAsia="zh-CN"/>
        </w:rPr>
        <w:t>）</w:t>
      </w:r>
      <w:r>
        <w:rPr>
          <w:rFonts w:hint="eastAsia" w:asciiTheme="minorEastAsia" w:hAnsiTheme="minorEastAsia" w:eastAsiaTheme="minorEastAsia" w:cstheme="minorEastAsia"/>
          <w:b/>
          <w:bCs/>
          <w:color w:val="auto"/>
          <w:sz w:val="24"/>
          <w:szCs w:val="24"/>
        </w:rPr>
        <w:t>不同投标人的投标文件载明的项目管理成员或者联系人员为同一人；</w:t>
      </w:r>
    </w:p>
    <w:p w14:paraId="3FCF4E3D">
      <w:pPr>
        <w:pageBreakBefore w:val="0"/>
        <w:widowControl/>
        <w:kinsoku/>
        <w:wordWrap/>
        <w:overflowPunct/>
        <w:topLinePunct w:val="0"/>
        <w:autoSpaceDE/>
        <w:autoSpaceDN/>
        <w:bidi w:val="0"/>
        <w:spacing w:line="360" w:lineRule="auto"/>
        <w:ind w:left="0" w:leftChars="0" w:firstLine="482" w:firstLineChars="200"/>
        <w:jc w:val="both"/>
        <w:textAlignment w:val="auto"/>
        <w:outlineLvl w:val="9"/>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lang w:eastAsia="zh-CN"/>
        </w:rPr>
        <w:t>（</w:t>
      </w:r>
      <w:r>
        <w:rPr>
          <w:rFonts w:hint="eastAsia" w:asciiTheme="minorEastAsia" w:hAnsiTheme="minorEastAsia" w:eastAsiaTheme="minorEastAsia" w:cstheme="minorEastAsia"/>
          <w:b/>
          <w:bCs/>
          <w:color w:val="auto"/>
          <w:sz w:val="24"/>
          <w:szCs w:val="24"/>
          <w:lang w:val="en-US" w:eastAsia="zh-CN"/>
        </w:rPr>
        <w:t>4</w:t>
      </w:r>
      <w:r>
        <w:rPr>
          <w:rFonts w:hint="eastAsia" w:asciiTheme="minorEastAsia" w:hAnsiTheme="minorEastAsia" w:eastAsiaTheme="minorEastAsia" w:cstheme="minorEastAsia"/>
          <w:b/>
          <w:bCs/>
          <w:color w:val="auto"/>
          <w:sz w:val="24"/>
          <w:szCs w:val="24"/>
          <w:lang w:eastAsia="zh-CN"/>
        </w:rPr>
        <w:t>）</w:t>
      </w:r>
      <w:r>
        <w:rPr>
          <w:rFonts w:hint="eastAsia" w:asciiTheme="minorEastAsia" w:hAnsiTheme="minorEastAsia" w:eastAsiaTheme="minorEastAsia" w:cstheme="minorEastAsia"/>
          <w:b/>
          <w:bCs/>
          <w:color w:val="auto"/>
          <w:sz w:val="24"/>
          <w:szCs w:val="24"/>
        </w:rPr>
        <w:t>不同投标人的投标文件异常一致或者投标报价呈规律性差异；</w:t>
      </w:r>
    </w:p>
    <w:p w14:paraId="004C098F">
      <w:pPr>
        <w:pageBreakBefore w:val="0"/>
        <w:widowControl/>
        <w:kinsoku/>
        <w:wordWrap/>
        <w:overflowPunct/>
        <w:topLinePunct w:val="0"/>
        <w:autoSpaceDE/>
        <w:autoSpaceDN/>
        <w:bidi w:val="0"/>
        <w:spacing w:line="360" w:lineRule="auto"/>
        <w:ind w:left="0" w:leftChars="0" w:firstLine="482" w:firstLineChars="200"/>
        <w:jc w:val="both"/>
        <w:textAlignment w:val="auto"/>
        <w:outlineLvl w:val="9"/>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lang w:eastAsia="zh-CN"/>
        </w:rPr>
        <w:t>（</w:t>
      </w:r>
      <w:r>
        <w:rPr>
          <w:rFonts w:hint="eastAsia" w:asciiTheme="minorEastAsia" w:hAnsiTheme="minorEastAsia" w:eastAsiaTheme="minorEastAsia" w:cstheme="minorEastAsia"/>
          <w:b/>
          <w:bCs/>
          <w:color w:val="auto"/>
          <w:sz w:val="24"/>
          <w:szCs w:val="24"/>
          <w:lang w:val="en-US" w:eastAsia="zh-CN"/>
        </w:rPr>
        <w:t>5</w:t>
      </w:r>
      <w:r>
        <w:rPr>
          <w:rFonts w:hint="eastAsia" w:asciiTheme="minorEastAsia" w:hAnsiTheme="minorEastAsia" w:eastAsiaTheme="minorEastAsia" w:cstheme="minorEastAsia"/>
          <w:b/>
          <w:bCs/>
          <w:color w:val="auto"/>
          <w:sz w:val="24"/>
          <w:szCs w:val="24"/>
          <w:lang w:eastAsia="zh-CN"/>
        </w:rPr>
        <w:t>）</w:t>
      </w:r>
      <w:r>
        <w:rPr>
          <w:rFonts w:hint="eastAsia" w:asciiTheme="minorEastAsia" w:hAnsiTheme="minorEastAsia" w:eastAsiaTheme="minorEastAsia" w:cstheme="minorEastAsia"/>
          <w:b/>
          <w:bCs/>
          <w:color w:val="auto"/>
          <w:sz w:val="24"/>
          <w:szCs w:val="24"/>
        </w:rPr>
        <w:t>不同投标人的投标文件相互混装。</w:t>
      </w:r>
    </w:p>
    <w:p w14:paraId="222A640B">
      <w:pPr>
        <w:pageBreakBefore w:val="0"/>
        <w:kinsoku/>
        <w:wordWrap/>
        <w:overflowPunct/>
        <w:topLinePunct w:val="0"/>
        <w:autoSpaceDE/>
        <w:autoSpaceDN/>
        <w:bidi w:val="0"/>
        <w:spacing w:line="360" w:lineRule="auto"/>
        <w:ind w:left="0" w:leftChars="0" w:firstLine="482" w:firstLineChars="200"/>
        <w:jc w:val="both"/>
        <w:textAlignment w:val="auto"/>
        <w:outlineLvl w:val="9"/>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5.依据《河南省财政厅关于防范供应商串通投标促进政府采购公平竞争的通知》</w:t>
      </w:r>
      <w:r>
        <w:rPr>
          <w:rFonts w:hint="eastAsia" w:asciiTheme="minorEastAsia" w:hAnsiTheme="minorEastAsia" w:eastAsiaTheme="minorEastAsia" w:cstheme="minorEastAsia"/>
          <w:b/>
          <w:bCs/>
          <w:color w:val="auto"/>
          <w:sz w:val="24"/>
          <w:szCs w:val="24"/>
          <w:lang w:eastAsia="zh-CN"/>
        </w:rPr>
        <w:t>｛</w:t>
      </w:r>
      <w:r>
        <w:rPr>
          <w:rFonts w:hint="eastAsia" w:asciiTheme="minorEastAsia" w:hAnsiTheme="minorEastAsia" w:eastAsiaTheme="minorEastAsia" w:cstheme="minorEastAsia"/>
          <w:b/>
          <w:bCs/>
          <w:color w:val="auto"/>
          <w:sz w:val="24"/>
          <w:szCs w:val="24"/>
        </w:rPr>
        <w:t>豫财购﹝2021﹞6号</w:t>
      </w:r>
      <w:r>
        <w:rPr>
          <w:rFonts w:hint="eastAsia" w:asciiTheme="minorEastAsia" w:hAnsiTheme="minorEastAsia" w:eastAsiaTheme="minorEastAsia" w:cstheme="minorEastAsia"/>
          <w:b/>
          <w:bCs/>
          <w:color w:val="auto"/>
          <w:sz w:val="24"/>
          <w:szCs w:val="24"/>
          <w:lang w:eastAsia="zh-CN"/>
        </w:rPr>
        <w:t>｝</w:t>
      </w:r>
      <w:r>
        <w:rPr>
          <w:rFonts w:hint="eastAsia" w:asciiTheme="minorEastAsia" w:hAnsiTheme="minorEastAsia" w:eastAsiaTheme="minorEastAsia" w:cstheme="minorEastAsia"/>
          <w:b/>
          <w:bCs/>
          <w:color w:val="auto"/>
          <w:sz w:val="24"/>
          <w:szCs w:val="24"/>
        </w:rPr>
        <w:t>文件中的相关规定，参与同一个标段（包）的投标人存在下列情形之一的，其投标文件无效：</w:t>
      </w:r>
    </w:p>
    <w:p w14:paraId="62BBF4C7">
      <w:pPr>
        <w:pageBreakBefore w:val="0"/>
        <w:kinsoku/>
        <w:wordWrap/>
        <w:overflowPunct/>
        <w:topLinePunct w:val="0"/>
        <w:autoSpaceDE/>
        <w:autoSpaceDN/>
        <w:bidi w:val="0"/>
        <w:spacing w:line="360" w:lineRule="auto"/>
        <w:ind w:left="0" w:leftChars="0" w:firstLine="482" w:firstLineChars="200"/>
        <w:jc w:val="both"/>
        <w:textAlignment w:val="auto"/>
        <w:outlineLvl w:val="9"/>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color w:val="auto"/>
          <w:sz w:val="24"/>
          <w:szCs w:val="24"/>
          <w:lang w:eastAsia="zh-CN"/>
        </w:rPr>
        <w:t>（</w:t>
      </w:r>
      <w:r>
        <w:rPr>
          <w:rFonts w:hint="eastAsia" w:asciiTheme="minorEastAsia" w:hAnsiTheme="minorEastAsia" w:eastAsiaTheme="minorEastAsia" w:cstheme="minorEastAsia"/>
          <w:b/>
          <w:bCs/>
          <w:color w:val="auto"/>
          <w:sz w:val="24"/>
          <w:szCs w:val="24"/>
          <w:lang w:val="en-US" w:eastAsia="zh-CN"/>
        </w:rPr>
        <w:t>1</w:t>
      </w:r>
      <w:r>
        <w:rPr>
          <w:rFonts w:hint="eastAsia" w:asciiTheme="minorEastAsia" w:hAnsiTheme="minorEastAsia" w:eastAsiaTheme="minorEastAsia" w:cstheme="minorEastAsia"/>
          <w:b/>
          <w:bCs/>
          <w:color w:val="auto"/>
          <w:sz w:val="24"/>
          <w:szCs w:val="24"/>
          <w:lang w:eastAsia="zh-CN"/>
        </w:rPr>
        <w:t>）</w:t>
      </w:r>
      <w:r>
        <w:rPr>
          <w:rFonts w:hint="eastAsia" w:asciiTheme="minorEastAsia" w:hAnsiTheme="minorEastAsia" w:eastAsiaTheme="minorEastAsia" w:cstheme="minorEastAsia"/>
          <w:b/>
          <w:bCs/>
          <w:sz w:val="24"/>
          <w:szCs w:val="24"/>
        </w:rPr>
        <w:t>不同投标人的电子投标文件上传计算机的网卡MAC地址、CPU序列号和硬盘序列号等硬件信息相同的；</w:t>
      </w:r>
    </w:p>
    <w:p w14:paraId="742B8B9C">
      <w:pPr>
        <w:pageBreakBefore w:val="0"/>
        <w:kinsoku/>
        <w:wordWrap/>
        <w:overflowPunct/>
        <w:topLinePunct w:val="0"/>
        <w:autoSpaceDE/>
        <w:autoSpaceDN/>
        <w:bidi w:val="0"/>
        <w:spacing w:line="360" w:lineRule="auto"/>
        <w:ind w:left="0" w:leftChars="0" w:firstLine="482" w:firstLineChars="200"/>
        <w:jc w:val="both"/>
        <w:textAlignment w:val="auto"/>
        <w:outlineLvl w:val="9"/>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auto"/>
          <w:sz w:val="24"/>
          <w:szCs w:val="24"/>
          <w:lang w:eastAsia="zh-CN"/>
        </w:rPr>
        <w:t>（</w:t>
      </w:r>
      <w:r>
        <w:rPr>
          <w:rFonts w:hint="eastAsia" w:asciiTheme="minorEastAsia" w:hAnsiTheme="minorEastAsia" w:eastAsiaTheme="minorEastAsia" w:cstheme="minorEastAsia"/>
          <w:b/>
          <w:bCs/>
          <w:color w:val="auto"/>
          <w:sz w:val="24"/>
          <w:szCs w:val="24"/>
          <w:lang w:val="en-US" w:eastAsia="zh-CN"/>
        </w:rPr>
        <w:t>2</w:t>
      </w:r>
      <w:r>
        <w:rPr>
          <w:rFonts w:hint="eastAsia" w:asciiTheme="minorEastAsia" w:hAnsiTheme="minorEastAsia" w:eastAsiaTheme="minorEastAsia" w:cstheme="minorEastAsia"/>
          <w:b/>
          <w:bCs/>
          <w:color w:val="auto"/>
          <w:sz w:val="24"/>
          <w:szCs w:val="24"/>
          <w:lang w:eastAsia="zh-CN"/>
        </w:rPr>
        <w:t>）</w:t>
      </w:r>
      <w:r>
        <w:rPr>
          <w:rFonts w:hint="eastAsia" w:asciiTheme="minorEastAsia" w:hAnsiTheme="minorEastAsia" w:eastAsiaTheme="minorEastAsia" w:cstheme="minorEastAsia"/>
          <w:b/>
          <w:bCs/>
          <w:color w:val="000000"/>
          <w:sz w:val="24"/>
          <w:szCs w:val="24"/>
        </w:rPr>
        <w:t>不同投标人的投标文件由同一电子设备编制、打印加密或者上传；</w:t>
      </w:r>
    </w:p>
    <w:p w14:paraId="3DB3775F">
      <w:pPr>
        <w:pageBreakBefore w:val="0"/>
        <w:kinsoku/>
        <w:wordWrap/>
        <w:overflowPunct/>
        <w:topLinePunct w:val="0"/>
        <w:autoSpaceDE/>
        <w:autoSpaceDN/>
        <w:bidi w:val="0"/>
        <w:spacing w:line="360" w:lineRule="auto"/>
        <w:ind w:left="0" w:leftChars="0" w:firstLine="482" w:firstLineChars="200"/>
        <w:jc w:val="both"/>
        <w:textAlignment w:val="auto"/>
        <w:outlineLvl w:val="9"/>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auto"/>
          <w:sz w:val="24"/>
          <w:szCs w:val="24"/>
          <w:lang w:eastAsia="zh-CN"/>
        </w:rPr>
        <w:t>（</w:t>
      </w:r>
      <w:r>
        <w:rPr>
          <w:rFonts w:hint="eastAsia" w:asciiTheme="minorEastAsia" w:hAnsiTheme="minorEastAsia" w:eastAsiaTheme="minorEastAsia" w:cstheme="minorEastAsia"/>
          <w:b/>
          <w:bCs/>
          <w:color w:val="auto"/>
          <w:sz w:val="24"/>
          <w:szCs w:val="24"/>
          <w:lang w:val="en-US" w:eastAsia="zh-CN"/>
        </w:rPr>
        <w:t>3</w:t>
      </w:r>
      <w:r>
        <w:rPr>
          <w:rFonts w:hint="eastAsia" w:asciiTheme="minorEastAsia" w:hAnsiTheme="minorEastAsia" w:eastAsiaTheme="minorEastAsia" w:cstheme="minorEastAsia"/>
          <w:b/>
          <w:bCs/>
          <w:color w:val="auto"/>
          <w:sz w:val="24"/>
          <w:szCs w:val="24"/>
          <w:lang w:eastAsia="zh-CN"/>
        </w:rPr>
        <w:t>）</w:t>
      </w:r>
      <w:r>
        <w:rPr>
          <w:rFonts w:hint="eastAsia" w:asciiTheme="minorEastAsia" w:hAnsiTheme="minorEastAsia" w:eastAsiaTheme="minorEastAsia" w:cstheme="minorEastAsia"/>
          <w:b/>
          <w:bCs/>
          <w:color w:val="000000"/>
          <w:sz w:val="24"/>
          <w:szCs w:val="24"/>
        </w:rPr>
        <w:t>不同投标人的投标文件由同一电子设备打印、复印；</w:t>
      </w:r>
    </w:p>
    <w:p w14:paraId="04355942">
      <w:pPr>
        <w:pageBreakBefore w:val="0"/>
        <w:kinsoku/>
        <w:wordWrap/>
        <w:overflowPunct/>
        <w:topLinePunct w:val="0"/>
        <w:autoSpaceDE/>
        <w:autoSpaceDN/>
        <w:bidi w:val="0"/>
        <w:spacing w:line="360" w:lineRule="auto"/>
        <w:ind w:left="0" w:leftChars="0" w:firstLine="482" w:firstLineChars="200"/>
        <w:jc w:val="both"/>
        <w:textAlignment w:val="auto"/>
        <w:outlineLvl w:val="9"/>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auto"/>
          <w:sz w:val="24"/>
          <w:szCs w:val="24"/>
          <w:lang w:eastAsia="zh-CN"/>
        </w:rPr>
        <w:t>（</w:t>
      </w:r>
      <w:r>
        <w:rPr>
          <w:rFonts w:hint="eastAsia" w:asciiTheme="minorEastAsia" w:hAnsiTheme="minorEastAsia" w:eastAsiaTheme="minorEastAsia" w:cstheme="minorEastAsia"/>
          <w:b/>
          <w:bCs/>
          <w:color w:val="auto"/>
          <w:sz w:val="24"/>
          <w:szCs w:val="24"/>
          <w:lang w:val="en-US" w:eastAsia="zh-CN"/>
        </w:rPr>
        <w:t>4</w:t>
      </w:r>
      <w:r>
        <w:rPr>
          <w:rFonts w:hint="eastAsia" w:asciiTheme="minorEastAsia" w:hAnsiTheme="minorEastAsia" w:eastAsiaTheme="minorEastAsia" w:cstheme="minorEastAsia"/>
          <w:b/>
          <w:bCs/>
          <w:color w:val="auto"/>
          <w:sz w:val="24"/>
          <w:szCs w:val="24"/>
          <w:lang w:eastAsia="zh-CN"/>
        </w:rPr>
        <w:t>）</w:t>
      </w:r>
      <w:r>
        <w:rPr>
          <w:rFonts w:hint="eastAsia" w:asciiTheme="minorEastAsia" w:hAnsiTheme="minorEastAsia" w:eastAsiaTheme="minorEastAsia" w:cstheme="minorEastAsia"/>
          <w:b/>
          <w:bCs/>
          <w:color w:val="000000"/>
          <w:sz w:val="24"/>
          <w:szCs w:val="24"/>
        </w:rPr>
        <w:t>不同投标人的投标文件由同一人送达或者分发，或者不同投标人联系人为同一人或不同联系人的联系电话一致的；</w:t>
      </w:r>
    </w:p>
    <w:p w14:paraId="76CDCA88">
      <w:pPr>
        <w:pageBreakBefore w:val="0"/>
        <w:kinsoku/>
        <w:wordWrap/>
        <w:overflowPunct/>
        <w:topLinePunct w:val="0"/>
        <w:autoSpaceDE/>
        <w:autoSpaceDN/>
        <w:bidi w:val="0"/>
        <w:spacing w:line="360" w:lineRule="auto"/>
        <w:ind w:left="0" w:leftChars="0" w:firstLine="482" w:firstLineChars="200"/>
        <w:jc w:val="both"/>
        <w:textAlignment w:val="auto"/>
        <w:outlineLvl w:val="9"/>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auto"/>
          <w:sz w:val="24"/>
          <w:szCs w:val="24"/>
          <w:lang w:eastAsia="zh-CN"/>
        </w:rPr>
        <w:t>（</w:t>
      </w:r>
      <w:r>
        <w:rPr>
          <w:rFonts w:hint="eastAsia" w:asciiTheme="minorEastAsia" w:hAnsiTheme="minorEastAsia" w:eastAsiaTheme="minorEastAsia" w:cstheme="minorEastAsia"/>
          <w:b/>
          <w:bCs/>
          <w:color w:val="auto"/>
          <w:sz w:val="24"/>
          <w:szCs w:val="24"/>
          <w:lang w:val="en-US" w:eastAsia="zh-CN"/>
        </w:rPr>
        <w:t>5</w:t>
      </w:r>
      <w:r>
        <w:rPr>
          <w:rFonts w:hint="eastAsia" w:asciiTheme="minorEastAsia" w:hAnsiTheme="minorEastAsia" w:eastAsiaTheme="minorEastAsia" w:cstheme="minorEastAsia"/>
          <w:b/>
          <w:bCs/>
          <w:color w:val="auto"/>
          <w:sz w:val="24"/>
          <w:szCs w:val="24"/>
          <w:lang w:eastAsia="zh-CN"/>
        </w:rPr>
        <w:t>）</w:t>
      </w:r>
      <w:r>
        <w:rPr>
          <w:rFonts w:hint="eastAsia" w:asciiTheme="minorEastAsia" w:hAnsiTheme="minorEastAsia" w:eastAsiaTheme="minorEastAsia" w:cstheme="minorEastAsia"/>
          <w:b/>
          <w:bCs/>
          <w:color w:val="000000"/>
          <w:sz w:val="24"/>
          <w:szCs w:val="24"/>
        </w:rPr>
        <w:t>不同投标人的投标文件的内容存在两处以上细节错误一致；</w:t>
      </w:r>
    </w:p>
    <w:p w14:paraId="20CCE5DD">
      <w:pPr>
        <w:pageBreakBefore w:val="0"/>
        <w:kinsoku/>
        <w:wordWrap/>
        <w:overflowPunct/>
        <w:topLinePunct w:val="0"/>
        <w:autoSpaceDE/>
        <w:autoSpaceDN/>
        <w:bidi w:val="0"/>
        <w:spacing w:line="360" w:lineRule="auto"/>
        <w:ind w:left="0" w:leftChars="0" w:firstLine="482" w:firstLineChars="200"/>
        <w:jc w:val="both"/>
        <w:textAlignment w:val="auto"/>
        <w:outlineLvl w:val="9"/>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auto"/>
          <w:sz w:val="24"/>
          <w:szCs w:val="24"/>
          <w:lang w:eastAsia="zh-CN"/>
        </w:rPr>
        <w:t>（</w:t>
      </w:r>
      <w:r>
        <w:rPr>
          <w:rFonts w:hint="eastAsia" w:asciiTheme="minorEastAsia" w:hAnsiTheme="minorEastAsia" w:eastAsiaTheme="minorEastAsia" w:cstheme="minorEastAsia"/>
          <w:b/>
          <w:bCs/>
          <w:color w:val="auto"/>
          <w:sz w:val="24"/>
          <w:szCs w:val="24"/>
          <w:lang w:val="en-US" w:eastAsia="zh-CN"/>
        </w:rPr>
        <w:t>6</w:t>
      </w:r>
      <w:r>
        <w:rPr>
          <w:rFonts w:hint="eastAsia" w:asciiTheme="minorEastAsia" w:hAnsiTheme="minorEastAsia" w:eastAsiaTheme="minorEastAsia" w:cstheme="minorEastAsia"/>
          <w:b/>
          <w:bCs/>
          <w:color w:val="auto"/>
          <w:sz w:val="24"/>
          <w:szCs w:val="24"/>
          <w:lang w:eastAsia="zh-CN"/>
        </w:rPr>
        <w:t>）</w:t>
      </w:r>
      <w:r>
        <w:rPr>
          <w:rFonts w:hint="eastAsia" w:asciiTheme="minorEastAsia" w:hAnsiTheme="minorEastAsia" w:eastAsiaTheme="minorEastAsia" w:cstheme="minorEastAsia"/>
          <w:b/>
          <w:bCs/>
          <w:color w:val="000000"/>
          <w:sz w:val="24"/>
          <w:szCs w:val="24"/>
        </w:rPr>
        <w:t>不同投标人的法定代表人、委托代理人、项目经理、项目负责人等由同一个单位缴纳社会保险或者领取报酬的；</w:t>
      </w:r>
    </w:p>
    <w:p w14:paraId="09BD7FFA">
      <w:pPr>
        <w:pageBreakBefore w:val="0"/>
        <w:kinsoku/>
        <w:wordWrap/>
        <w:overflowPunct/>
        <w:topLinePunct w:val="0"/>
        <w:autoSpaceDE/>
        <w:autoSpaceDN/>
        <w:bidi w:val="0"/>
        <w:spacing w:line="360" w:lineRule="auto"/>
        <w:ind w:left="0" w:leftChars="0" w:firstLine="482" w:firstLineChars="200"/>
        <w:jc w:val="both"/>
        <w:textAlignment w:val="auto"/>
        <w:outlineLvl w:val="9"/>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auto"/>
          <w:sz w:val="24"/>
          <w:szCs w:val="24"/>
          <w:lang w:eastAsia="zh-CN"/>
        </w:rPr>
        <w:t>（</w:t>
      </w:r>
      <w:r>
        <w:rPr>
          <w:rFonts w:hint="eastAsia" w:asciiTheme="minorEastAsia" w:hAnsiTheme="minorEastAsia" w:eastAsiaTheme="minorEastAsia" w:cstheme="minorEastAsia"/>
          <w:b/>
          <w:bCs/>
          <w:color w:val="auto"/>
          <w:sz w:val="24"/>
          <w:szCs w:val="24"/>
          <w:lang w:val="en-US" w:eastAsia="zh-CN"/>
        </w:rPr>
        <w:t>7</w:t>
      </w:r>
      <w:r>
        <w:rPr>
          <w:rFonts w:hint="eastAsia" w:asciiTheme="minorEastAsia" w:hAnsiTheme="minorEastAsia" w:eastAsiaTheme="minorEastAsia" w:cstheme="minorEastAsia"/>
          <w:b/>
          <w:bCs/>
          <w:color w:val="auto"/>
          <w:sz w:val="24"/>
          <w:szCs w:val="24"/>
          <w:lang w:eastAsia="zh-CN"/>
        </w:rPr>
        <w:t>）</w:t>
      </w:r>
      <w:r>
        <w:rPr>
          <w:rFonts w:hint="eastAsia" w:asciiTheme="minorEastAsia" w:hAnsiTheme="minorEastAsia" w:eastAsiaTheme="minorEastAsia" w:cstheme="minorEastAsia"/>
          <w:b/>
          <w:bCs/>
          <w:color w:val="000000"/>
          <w:sz w:val="24"/>
          <w:szCs w:val="24"/>
        </w:rPr>
        <w:t>不同投标人投标文件中法定代表人或者负责人签字出自同一人之手；</w:t>
      </w:r>
    </w:p>
    <w:p w14:paraId="6292F6FD">
      <w:pPr>
        <w:pageBreakBefore w:val="0"/>
        <w:widowControl/>
        <w:kinsoku/>
        <w:wordWrap/>
        <w:overflowPunct/>
        <w:topLinePunct w:val="0"/>
        <w:autoSpaceDE/>
        <w:autoSpaceDN/>
        <w:bidi w:val="0"/>
        <w:spacing w:line="360" w:lineRule="auto"/>
        <w:ind w:left="0" w:leftChars="0" w:firstLine="482" w:firstLineChars="200"/>
        <w:jc w:val="both"/>
        <w:textAlignment w:val="auto"/>
        <w:outlineLvl w:val="9"/>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color w:val="auto"/>
          <w:sz w:val="24"/>
          <w:szCs w:val="24"/>
          <w:lang w:eastAsia="zh-CN"/>
        </w:rPr>
        <w:t>（</w:t>
      </w:r>
      <w:r>
        <w:rPr>
          <w:rFonts w:hint="eastAsia" w:asciiTheme="minorEastAsia" w:hAnsiTheme="minorEastAsia" w:eastAsiaTheme="minorEastAsia" w:cstheme="minorEastAsia"/>
          <w:b/>
          <w:bCs/>
          <w:color w:val="auto"/>
          <w:sz w:val="24"/>
          <w:szCs w:val="24"/>
          <w:lang w:val="en-US" w:eastAsia="zh-CN"/>
        </w:rPr>
        <w:t>8</w:t>
      </w:r>
      <w:r>
        <w:rPr>
          <w:rFonts w:hint="eastAsia" w:asciiTheme="minorEastAsia" w:hAnsiTheme="minorEastAsia" w:eastAsiaTheme="minorEastAsia" w:cstheme="minorEastAsia"/>
          <w:b/>
          <w:bCs/>
          <w:color w:val="auto"/>
          <w:sz w:val="24"/>
          <w:szCs w:val="24"/>
          <w:lang w:eastAsia="zh-CN"/>
        </w:rPr>
        <w:t>）</w:t>
      </w:r>
      <w:r>
        <w:rPr>
          <w:rFonts w:hint="eastAsia" w:asciiTheme="minorEastAsia" w:hAnsiTheme="minorEastAsia" w:eastAsiaTheme="minorEastAsia" w:cstheme="minorEastAsia"/>
          <w:b/>
          <w:bCs/>
          <w:color w:val="000000"/>
          <w:sz w:val="24"/>
          <w:szCs w:val="24"/>
          <w:lang w:eastAsia="zh-CN"/>
        </w:rPr>
        <w:t>其他</w:t>
      </w:r>
      <w:r>
        <w:rPr>
          <w:rFonts w:hint="eastAsia" w:asciiTheme="minorEastAsia" w:hAnsiTheme="minorEastAsia" w:eastAsiaTheme="minorEastAsia" w:cstheme="minorEastAsia"/>
          <w:b/>
          <w:bCs/>
          <w:color w:val="000000"/>
          <w:sz w:val="24"/>
          <w:szCs w:val="24"/>
        </w:rPr>
        <w:t>涉嫌串通的情形。</w:t>
      </w:r>
    </w:p>
    <w:p w14:paraId="6CBEB073">
      <w:pPr>
        <w:pageBreakBefore w:val="0"/>
        <w:kinsoku/>
        <w:wordWrap/>
        <w:overflowPunct/>
        <w:topLinePunct w:val="0"/>
        <w:autoSpaceDE/>
        <w:autoSpaceDN/>
        <w:bidi w:val="0"/>
        <w:spacing w:before="0" w:after="0" w:line="360" w:lineRule="auto"/>
        <w:ind w:left="0" w:leftChars="0" w:firstLine="482" w:firstLineChars="200"/>
        <w:jc w:val="both"/>
        <w:textAlignment w:val="auto"/>
        <w:outlineLvl w:val="9"/>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eastAsia="zh-CN"/>
        </w:rPr>
        <w:t>（十）详细评审</w:t>
      </w:r>
    </w:p>
    <w:p w14:paraId="5B35AC77">
      <w:pPr>
        <w:pageBreakBefore w:val="0"/>
        <w:kinsoku/>
        <w:wordWrap/>
        <w:overflowPunct/>
        <w:topLinePunct w:val="0"/>
        <w:autoSpaceDE/>
        <w:autoSpaceDN/>
        <w:bidi w:val="0"/>
        <w:adjustRightInd w:val="0"/>
        <w:snapToGrid w:val="0"/>
        <w:spacing w:line="360" w:lineRule="auto"/>
        <w:ind w:left="0" w:leftChars="0" w:firstLine="48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1.评标委员会将按照招标文件中规定的评标方法和标准，对符合性审查合格的投标文件进行商务和技术评</w:t>
      </w:r>
      <w:r>
        <w:rPr>
          <w:rFonts w:hint="eastAsia" w:asciiTheme="minorEastAsia" w:hAnsiTheme="minorEastAsia" w:eastAsiaTheme="minorEastAsia" w:cstheme="minorEastAsia"/>
          <w:sz w:val="24"/>
          <w:szCs w:val="24"/>
          <w:lang w:eastAsia="zh-CN"/>
        </w:rPr>
        <w:t>审</w:t>
      </w:r>
      <w:r>
        <w:rPr>
          <w:rFonts w:hint="eastAsia" w:asciiTheme="minorEastAsia" w:hAnsiTheme="minorEastAsia" w:eastAsiaTheme="minorEastAsia" w:cstheme="minorEastAsia"/>
          <w:sz w:val="24"/>
          <w:szCs w:val="24"/>
        </w:rPr>
        <w:t>。</w:t>
      </w:r>
    </w:p>
    <w:p w14:paraId="193EDB4C">
      <w:pPr>
        <w:pageBreakBefore w:val="0"/>
        <w:kinsoku/>
        <w:wordWrap/>
        <w:overflowPunct/>
        <w:topLinePunct w:val="0"/>
        <w:autoSpaceDE/>
        <w:autoSpaceDN/>
        <w:bidi w:val="0"/>
        <w:adjustRightInd w:val="0"/>
        <w:snapToGrid w:val="0"/>
        <w:spacing w:line="360" w:lineRule="auto"/>
        <w:ind w:left="0" w:leftChars="0" w:firstLine="48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2.评标方法</w:t>
      </w:r>
    </w:p>
    <w:p w14:paraId="77890ADA">
      <w:pPr>
        <w:pageBreakBefore w:val="0"/>
        <w:kinsoku/>
        <w:wordWrap/>
        <w:overflowPunct/>
        <w:topLinePunct w:val="0"/>
        <w:autoSpaceDE/>
        <w:autoSpaceDN/>
        <w:bidi w:val="0"/>
        <w:adjustRightInd w:val="0"/>
        <w:snapToGrid w:val="0"/>
        <w:spacing w:line="360" w:lineRule="auto"/>
        <w:ind w:left="0" w:leftChars="0" w:firstLine="480" w:firstLineChars="200"/>
        <w:jc w:val="both"/>
        <w:textAlignment w:val="auto"/>
        <w:outlineLvl w:val="9"/>
        <w:rPr>
          <w:rFonts w:hint="eastAsia" w:asciiTheme="minorEastAsia" w:hAnsiTheme="minorEastAsia" w:eastAsiaTheme="minorEastAsia" w:cstheme="minorEastAsia"/>
          <w:b/>
          <w:bCs/>
          <w:color w:val="FF0000"/>
          <w:sz w:val="24"/>
          <w:szCs w:val="24"/>
        </w:rPr>
      </w:pPr>
      <w:r>
        <w:rPr>
          <w:rFonts w:hint="eastAsia" w:asciiTheme="minorEastAsia" w:hAnsiTheme="minorEastAsia" w:eastAsiaTheme="minorEastAsia" w:cstheme="minorEastAsia"/>
          <w:sz w:val="24"/>
          <w:szCs w:val="24"/>
        </w:rPr>
        <w:t>2.1 本项目采用的评标方法为：</w:t>
      </w:r>
    </w:p>
    <w:p w14:paraId="5B1D59BA">
      <w:pPr>
        <w:pageBreakBefore w:val="0"/>
        <w:kinsoku/>
        <w:wordWrap/>
        <w:overflowPunct/>
        <w:topLinePunct w:val="0"/>
        <w:autoSpaceDE/>
        <w:autoSpaceDN/>
        <w:bidi w:val="0"/>
        <w:adjustRightInd w:val="0"/>
        <w:snapToGrid w:val="0"/>
        <w:spacing w:line="360" w:lineRule="auto"/>
        <w:ind w:left="0" w:leftChars="0" w:firstLine="480" w:firstLineChars="200"/>
        <w:jc w:val="both"/>
        <w:textAlignment w:val="auto"/>
        <w:outlineLvl w:val="9"/>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t>综合评分法，是指投标文件满足招标文件全部实质性要求，且按照评审因素的量化指标评审最终得分最高的投标人为中标候选人的评标方法，见《评</w:t>
      </w:r>
      <w:r>
        <w:rPr>
          <w:rFonts w:hint="eastAsia" w:asciiTheme="minorEastAsia" w:hAnsiTheme="minorEastAsia" w:eastAsiaTheme="minorEastAsia" w:cstheme="minorEastAsia"/>
          <w:b w:val="0"/>
          <w:bCs w:val="0"/>
          <w:color w:val="auto"/>
          <w:sz w:val="24"/>
          <w:szCs w:val="24"/>
          <w:lang w:eastAsia="zh-CN"/>
        </w:rPr>
        <w:t>分</w:t>
      </w:r>
      <w:r>
        <w:rPr>
          <w:rFonts w:hint="eastAsia" w:asciiTheme="minorEastAsia" w:hAnsiTheme="minorEastAsia" w:eastAsiaTheme="minorEastAsia" w:cstheme="minorEastAsia"/>
          <w:b w:val="0"/>
          <w:bCs w:val="0"/>
          <w:color w:val="auto"/>
          <w:sz w:val="24"/>
          <w:szCs w:val="24"/>
        </w:rPr>
        <w:t>标准</w:t>
      </w:r>
      <w:r>
        <w:rPr>
          <w:rFonts w:hint="eastAsia" w:asciiTheme="minorEastAsia" w:hAnsiTheme="minorEastAsia" w:eastAsiaTheme="minorEastAsia" w:cstheme="minorEastAsia"/>
          <w:b w:val="0"/>
          <w:bCs w:val="0"/>
          <w:color w:val="auto"/>
          <w:sz w:val="24"/>
          <w:szCs w:val="24"/>
          <w:lang w:val="en-US" w:eastAsia="zh-CN"/>
        </w:rPr>
        <w:t>表</w:t>
      </w:r>
      <w:r>
        <w:rPr>
          <w:rFonts w:hint="eastAsia" w:asciiTheme="minorEastAsia" w:hAnsiTheme="minorEastAsia" w:eastAsiaTheme="minorEastAsia" w:cstheme="minorEastAsia"/>
          <w:b w:val="0"/>
          <w:bCs w:val="0"/>
          <w:color w:val="auto"/>
          <w:sz w:val="24"/>
          <w:szCs w:val="24"/>
        </w:rPr>
        <w:t>》，招标文件中没有规定的评标标准不得作为评审的依据。</w:t>
      </w:r>
    </w:p>
    <w:p w14:paraId="312E9391">
      <w:pPr>
        <w:pStyle w:val="41"/>
        <w:pageBreakBefore w:val="0"/>
        <w:shd w:val="clear" w:color="auto" w:fill="FFFFFF"/>
        <w:kinsoku/>
        <w:wordWrap/>
        <w:overflowPunct/>
        <w:topLinePunct w:val="0"/>
        <w:autoSpaceDE/>
        <w:autoSpaceDN/>
        <w:bidi w:val="0"/>
        <w:adjustRightInd w:val="0"/>
        <w:snapToGrid w:val="0"/>
        <w:spacing w:before="0" w:beforeAutospacing="0" w:after="0" w:afterAutospacing="0" w:line="360" w:lineRule="auto"/>
        <w:ind w:left="0" w:leftChars="0" w:firstLine="480" w:firstLineChars="200"/>
        <w:jc w:val="both"/>
        <w:textAlignment w:val="auto"/>
        <w:outlineLvl w:val="9"/>
        <w:rPr>
          <w:rFonts w:hint="eastAsia" w:asciiTheme="minorEastAsia" w:hAnsiTheme="minorEastAsia" w:eastAsiaTheme="minorEastAsia" w:cstheme="minorEastAsia"/>
          <w:b w:val="0"/>
          <w:bCs w:val="0"/>
          <w:kern w:val="2"/>
          <w:sz w:val="24"/>
          <w:szCs w:val="24"/>
        </w:rPr>
      </w:pPr>
      <w:r>
        <w:rPr>
          <w:rFonts w:hint="eastAsia" w:asciiTheme="minorEastAsia" w:hAnsiTheme="minorEastAsia" w:eastAsiaTheme="minorEastAsia" w:cstheme="minorEastAsia"/>
          <w:b w:val="0"/>
          <w:bCs w:val="0"/>
          <w:kern w:val="2"/>
          <w:sz w:val="24"/>
          <w:szCs w:val="24"/>
        </w:rPr>
        <w:t>3.评标价是指投标人的投标总报价在按照本章规定的</w:t>
      </w:r>
      <w:r>
        <w:rPr>
          <w:rFonts w:hint="eastAsia" w:asciiTheme="minorEastAsia" w:hAnsiTheme="minorEastAsia" w:eastAsiaTheme="minorEastAsia" w:cstheme="minorEastAsia"/>
          <w:b w:val="0"/>
          <w:bCs w:val="0"/>
          <w:kern w:val="2"/>
          <w:sz w:val="24"/>
          <w:szCs w:val="24"/>
          <w:lang w:eastAsia="zh-CN"/>
        </w:rPr>
        <w:t>算术</w:t>
      </w:r>
      <w:r>
        <w:rPr>
          <w:rFonts w:hint="eastAsia" w:asciiTheme="minorEastAsia" w:hAnsiTheme="minorEastAsia" w:eastAsiaTheme="minorEastAsia" w:cstheme="minorEastAsia"/>
          <w:b w:val="0"/>
          <w:bCs w:val="0"/>
          <w:kern w:val="2"/>
          <w:sz w:val="24"/>
          <w:szCs w:val="24"/>
        </w:rPr>
        <w:t>修正和落实政府采购政策需进行价格扣除后的价格。</w:t>
      </w:r>
    </w:p>
    <w:p w14:paraId="149D6519">
      <w:pPr>
        <w:pStyle w:val="41"/>
        <w:pageBreakBefore w:val="0"/>
        <w:shd w:val="clear" w:color="auto" w:fill="FFFFFF"/>
        <w:kinsoku/>
        <w:wordWrap/>
        <w:overflowPunct/>
        <w:topLinePunct w:val="0"/>
        <w:autoSpaceDE/>
        <w:autoSpaceDN/>
        <w:bidi w:val="0"/>
        <w:adjustRightInd w:val="0"/>
        <w:snapToGrid w:val="0"/>
        <w:spacing w:before="0" w:beforeAutospacing="0" w:after="0" w:afterAutospacing="0" w:line="360" w:lineRule="auto"/>
        <w:ind w:left="0" w:leftChars="0" w:firstLine="480" w:firstLineChars="200"/>
        <w:jc w:val="both"/>
        <w:textAlignment w:val="auto"/>
        <w:outlineLvl w:val="9"/>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kern w:val="2"/>
          <w:sz w:val="24"/>
          <w:szCs w:val="24"/>
        </w:rPr>
        <w:t>4.除了算术修正和落实政府采购政策需进行的价格扣除外，不能对投标人的投标价格进行任何调整。</w:t>
      </w:r>
    </w:p>
    <w:p w14:paraId="64241FB7">
      <w:pPr>
        <w:pageBreakBefore w:val="0"/>
        <w:kinsoku/>
        <w:wordWrap/>
        <w:overflowPunct/>
        <w:topLinePunct w:val="0"/>
        <w:autoSpaceDE/>
        <w:autoSpaceDN/>
        <w:bidi w:val="0"/>
        <w:adjustRightInd w:val="0"/>
        <w:snapToGrid w:val="0"/>
        <w:spacing w:line="360" w:lineRule="auto"/>
        <w:ind w:left="0" w:leftChars="0" w:firstLine="480" w:firstLineChars="200"/>
        <w:jc w:val="both"/>
        <w:textAlignment w:val="auto"/>
        <w:outlineLvl w:val="9"/>
        <w:rPr>
          <w:rFonts w:hint="eastAsia" w:asciiTheme="minorEastAsia" w:hAnsiTheme="minorEastAsia" w:eastAsiaTheme="minorEastAsia" w:cstheme="minorEastAsia"/>
          <w:b w:val="0"/>
          <w:bCs w:val="0"/>
          <w:sz w:val="24"/>
          <w:szCs w:val="24"/>
          <w:highlight w:val="none"/>
        </w:rPr>
      </w:pPr>
      <w:r>
        <w:rPr>
          <w:rFonts w:hint="eastAsia" w:asciiTheme="minorEastAsia" w:hAnsiTheme="minorEastAsia" w:eastAsiaTheme="minorEastAsia" w:cstheme="minorEastAsia"/>
          <w:b w:val="0"/>
          <w:bCs w:val="0"/>
          <w:sz w:val="24"/>
          <w:szCs w:val="24"/>
          <w:lang w:val="en-US" w:eastAsia="zh-CN"/>
        </w:rPr>
        <w:t>5.</w:t>
      </w:r>
      <w:r>
        <w:rPr>
          <w:rFonts w:hint="eastAsia" w:asciiTheme="minorEastAsia" w:hAnsiTheme="minorEastAsia" w:eastAsiaTheme="minorEastAsia" w:cstheme="minorEastAsia"/>
          <w:b w:val="0"/>
          <w:bCs w:val="0"/>
          <w:sz w:val="24"/>
          <w:szCs w:val="24"/>
        </w:rPr>
        <w:t>评标委员会将根据评分标准，对通过资格审查、符合性审查的投标文件，进行综合评分。所有评委打分的</w:t>
      </w:r>
      <w:r>
        <w:rPr>
          <w:rFonts w:hint="eastAsia" w:asciiTheme="minorEastAsia" w:hAnsiTheme="minorEastAsia" w:eastAsiaTheme="minorEastAsia" w:cstheme="minorEastAsia"/>
          <w:b w:val="0"/>
          <w:bCs w:val="0"/>
          <w:sz w:val="24"/>
          <w:szCs w:val="24"/>
          <w:lang w:eastAsia="zh-CN"/>
        </w:rPr>
        <w:t>算术</w:t>
      </w:r>
      <w:r>
        <w:rPr>
          <w:rFonts w:hint="eastAsia" w:asciiTheme="minorEastAsia" w:hAnsiTheme="minorEastAsia" w:eastAsiaTheme="minorEastAsia" w:cstheme="minorEastAsia"/>
          <w:b w:val="0"/>
          <w:bCs w:val="0"/>
          <w:sz w:val="24"/>
          <w:szCs w:val="24"/>
        </w:rPr>
        <w:t>平均值作为投标人的最终得分，评分分值计算保留小数点后两位，第三位</w:t>
      </w:r>
      <w:r>
        <w:rPr>
          <w:rFonts w:hint="eastAsia" w:asciiTheme="minorEastAsia" w:hAnsiTheme="minorEastAsia" w:eastAsiaTheme="minorEastAsia" w:cstheme="minorEastAsia"/>
          <w:b w:val="0"/>
          <w:bCs w:val="0"/>
          <w:sz w:val="24"/>
          <w:szCs w:val="24"/>
          <w:highlight w:val="none"/>
        </w:rPr>
        <w:t>四舍五入。</w:t>
      </w:r>
    </w:p>
    <w:p w14:paraId="6775558A">
      <w:pPr>
        <w:pageBreakBefore w:val="0"/>
        <w:kinsoku/>
        <w:wordWrap/>
        <w:overflowPunct/>
        <w:topLinePunct w:val="0"/>
        <w:autoSpaceDE/>
        <w:autoSpaceDN/>
        <w:bidi w:val="0"/>
        <w:adjustRightInd w:val="0"/>
        <w:snapToGrid w:val="0"/>
        <w:spacing w:line="360" w:lineRule="auto"/>
        <w:ind w:left="0" w:leftChars="0" w:firstLine="480" w:firstLineChars="200"/>
        <w:jc w:val="both"/>
        <w:textAlignment w:val="auto"/>
        <w:outlineLvl w:val="9"/>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Cs/>
          <w:sz w:val="24"/>
          <w:szCs w:val="24"/>
          <w:highlight w:val="none"/>
          <w:lang w:val="en-US" w:eastAsia="zh-CN"/>
        </w:rPr>
        <w:t>2.具体评标标准详见本章《评分标准表》。</w:t>
      </w:r>
    </w:p>
    <w:p w14:paraId="0FA8970E">
      <w:pPr>
        <w:pageBreakBefore w:val="0"/>
        <w:kinsoku/>
        <w:wordWrap/>
        <w:overflowPunct/>
        <w:topLinePunct w:val="0"/>
        <w:autoSpaceDE/>
        <w:autoSpaceDN/>
        <w:bidi w:val="0"/>
        <w:spacing w:before="0" w:after="0" w:line="360" w:lineRule="auto"/>
        <w:ind w:left="0" w:leftChars="0" w:firstLine="482" w:firstLineChars="200"/>
        <w:jc w:val="both"/>
        <w:textAlignment w:val="auto"/>
        <w:outlineLvl w:val="9"/>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bCs/>
          <w:sz w:val="24"/>
          <w:szCs w:val="24"/>
          <w:lang w:eastAsia="zh-CN"/>
        </w:rPr>
        <w:t>（十一）出具</w:t>
      </w:r>
      <w:r>
        <w:rPr>
          <w:rFonts w:hint="eastAsia" w:asciiTheme="minorEastAsia" w:hAnsiTheme="minorEastAsia" w:eastAsiaTheme="minorEastAsia" w:cstheme="minorEastAsia"/>
          <w:b/>
          <w:bCs/>
          <w:sz w:val="24"/>
          <w:szCs w:val="24"/>
        </w:rPr>
        <w:t>评标报告</w:t>
      </w:r>
    </w:p>
    <w:p w14:paraId="49E0859D">
      <w:pPr>
        <w:keepNext/>
        <w:keepLines/>
        <w:pageBreakBefore w:val="0"/>
        <w:kinsoku/>
        <w:wordWrap/>
        <w:overflowPunct/>
        <w:topLinePunct w:val="0"/>
        <w:autoSpaceDE/>
        <w:autoSpaceDN/>
        <w:bidi w:val="0"/>
        <w:spacing w:line="360" w:lineRule="auto"/>
        <w:ind w:left="0" w:leftChars="0" w:firstLine="48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1.采用综合评分法时，确定中标候选人名单的方式：</w:t>
      </w:r>
    </w:p>
    <w:p w14:paraId="7822E9E1">
      <w:pPr>
        <w:pageBreakBefore w:val="0"/>
        <w:kinsoku/>
        <w:wordWrap/>
        <w:overflowPunct/>
        <w:topLinePunct w:val="0"/>
        <w:autoSpaceDE/>
        <w:autoSpaceDN/>
        <w:bidi w:val="0"/>
        <w:adjustRightInd w:val="0"/>
        <w:snapToGrid w:val="0"/>
        <w:spacing w:line="360" w:lineRule="auto"/>
        <w:ind w:left="0" w:leftChars="0" w:firstLine="480" w:firstLineChars="200"/>
        <w:jc w:val="both"/>
        <w:textAlignment w:val="auto"/>
        <w:outlineLvl w:val="9"/>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sz w:val="24"/>
          <w:szCs w:val="24"/>
        </w:rPr>
        <w:t>1.1 采用综合评分法时，评标结果按评审后投标人最终得分由高到低的顺序排列。得分相同的，按评标价由低到高的顺序排列。得分且评标价相同的并列。投标文件满足招标文件全部实质性要求，且按照评审因素的量化指标评审最终得分最高的投标人</w:t>
      </w:r>
      <w:r>
        <w:rPr>
          <w:rFonts w:hint="eastAsia" w:asciiTheme="minorEastAsia" w:hAnsiTheme="minorEastAsia" w:eastAsiaTheme="minorEastAsia" w:cstheme="minorEastAsia"/>
          <w:color w:val="auto"/>
          <w:sz w:val="24"/>
          <w:szCs w:val="24"/>
        </w:rPr>
        <w:t>为排名第一的中标候选人。评标委员会将根据各投标人的评标排序，向采购人推荐本</w:t>
      </w:r>
      <w:r>
        <w:rPr>
          <w:rFonts w:hint="eastAsia" w:asciiTheme="minorEastAsia" w:hAnsiTheme="minorEastAsia" w:eastAsiaTheme="minorEastAsia" w:cstheme="minorEastAsia"/>
          <w:b w:val="0"/>
          <w:bCs w:val="0"/>
          <w:color w:val="auto"/>
          <w:sz w:val="24"/>
          <w:szCs w:val="24"/>
        </w:rPr>
        <w:t>项目（各采购包或标段）三名中标候选人名单，或者根据采购人委托直接确定中标人。</w:t>
      </w:r>
    </w:p>
    <w:p w14:paraId="268C2680">
      <w:pPr>
        <w:pageBreakBefore w:val="0"/>
        <w:kinsoku/>
        <w:wordWrap/>
        <w:overflowPunct/>
        <w:topLinePunct w:val="0"/>
        <w:autoSpaceDE/>
        <w:autoSpaceDN/>
        <w:bidi w:val="0"/>
        <w:adjustRightInd w:val="0"/>
        <w:snapToGrid w:val="0"/>
        <w:spacing w:line="360" w:lineRule="auto"/>
        <w:ind w:left="0" w:leftChars="0" w:firstLine="480" w:firstLineChars="200"/>
        <w:jc w:val="both"/>
        <w:textAlignment w:val="auto"/>
        <w:outlineLvl w:val="9"/>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t>评标价是指投标人的投标总报价在按照本章规定落实政府采购政策需要进行价格扣除后的价格。</w:t>
      </w:r>
    </w:p>
    <w:p w14:paraId="69263443">
      <w:pPr>
        <w:pageBreakBefore w:val="0"/>
        <w:kinsoku/>
        <w:wordWrap/>
        <w:overflowPunct/>
        <w:topLinePunct w:val="0"/>
        <w:autoSpaceDE/>
        <w:autoSpaceDN/>
        <w:bidi w:val="0"/>
        <w:adjustRightInd w:val="0"/>
        <w:snapToGrid w:val="0"/>
        <w:spacing w:line="360" w:lineRule="auto"/>
        <w:ind w:left="0" w:leftChars="0" w:firstLine="480" w:firstLineChars="200"/>
        <w:jc w:val="both"/>
        <w:textAlignment w:val="auto"/>
        <w:outlineLvl w:val="9"/>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t>如果投标人（或提供的产品）不符合本章落实政府采购政策需要进行价格扣除的条件则评标价是指投标人的投标总报价。</w:t>
      </w:r>
    </w:p>
    <w:p w14:paraId="63BB221B">
      <w:pPr>
        <w:pageBreakBefore w:val="0"/>
        <w:kinsoku/>
        <w:wordWrap/>
        <w:overflowPunct/>
        <w:topLinePunct w:val="0"/>
        <w:autoSpaceDE/>
        <w:autoSpaceDN/>
        <w:bidi w:val="0"/>
        <w:adjustRightInd w:val="0"/>
        <w:snapToGrid w:val="0"/>
        <w:spacing w:line="360" w:lineRule="auto"/>
        <w:ind w:left="0" w:leftChars="0" w:firstLine="480" w:firstLineChars="200"/>
        <w:jc w:val="both"/>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1.2 同品牌处理方法</w:t>
      </w:r>
    </w:p>
    <w:p w14:paraId="58B9DDCB">
      <w:pPr>
        <w:pageBreakBefore w:val="0"/>
        <w:kinsoku/>
        <w:wordWrap/>
        <w:overflowPunct/>
        <w:topLinePunct w:val="0"/>
        <w:autoSpaceDE/>
        <w:autoSpaceDN/>
        <w:bidi w:val="0"/>
        <w:adjustRightInd w:val="0"/>
        <w:snapToGrid w:val="0"/>
        <w:spacing w:line="360" w:lineRule="auto"/>
        <w:ind w:left="0" w:leftChars="0" w:firstLine="480" w:firstLineChars="200"/>
        <w:jc w:val="both"/>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1.2.1 采用综合评分法时，提供相同品牌产品（单一产品或核心产品品牌相同）且通过资格审查、符合性审查的不同投标人参加同一合同项下投标的，按一家投标人计算，评审后最终得分最高的同品牌投标人获得中标人推荐资格；最终得分相同的，评标委员会按照下述规定的顺序确定一个投标人获得中标人推荐资格，其他同品牌投标人不作为中标候选人。</w:t>
      </w:r>
    </w:p>
    <w:p w14:paraId="218CD23F">
      <w:pPr>
        <w:pageBreakBefore w:val="0"/>
        <w:kinsoku/>
        <w:wordWrap/>
        <w:overflowPunct/>
        <w:topLinePunct w:val="0"/>
        <w:autoSpaceDE/>
        <w:autoSpaceDN/>
        <w:bidi w:val="0"/>
        <w:adjustRightInd w:val="0"/>
        <w:snapToGrid w:val="0"/>
        <w:spacing w:line="360" w:lineRule="auto"/>
        <w:ind w:left="0" w:leftChars="0" w:firstLine="480" w:firstLineChars="200"/>
        <w:jc w:val="both"/>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（1）按照评标价最低的；</w:t>
      </w:r>
    </w:p>
    <w:p w14:paraId="47D26312">
      <w:pPr>
        <w:pageBreakBefore w:val="0"/>
        <w:kinsoku/>
        <w:wordWrap/>
        <w:overflowPunct/>
        <w:topLinePunct w:val="0"/>
        <w:autoSpaceDE/>
        <w:autoSpaceDN/>
        <w:bidi w:val="0"/>
        <w:adjustRightInd w:val="0"/>
        <w:snapToGrid w:val="0"/>
        <w:spacing w:line="360" w:lineRule="auto"/>
        <w:ind w:left="0" w:leftChars="0" w:firstLine="480" w:firstLineChars="200"/>
        <w:jc w:val="both"/>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（2）如果评标</w:t>
      </w:r>
      <w:r>
        <w:rPr>
          <w:rFonts w:hint="eastAsia" w:asciiTheme="minorEastAsia" w:hAnsiTheme="minorEastAsia" w:eastAsiaTheme="minorEastAsia" w:cstheme="minorEastAsia"/>
          <w:color w:val="auto"/>
          <w:sz w:val="24"/>
          <w:szCs w:val="24"/>
          <w:lang w:eastAsia="zh-CN"/>
        </w:rPr>
        <w:t>价格</w:t>
      </w:r>
      <w:r>
        <w:rPr>
          <w:rFonts w:hint="eastAsia" w:asciiTheme="minorEastAsia" w:hAnsiTheme="minorEastAsia" w:eastAsiaTheme="minorEastAsia" w:cstheme="minorEastAsia"/>
          <w:color w:val="auto"/>
          <w:sz w:val="24"/>
          <w:szCs w:val="24"/>
        </w:rPr>
        <w:t xml:space="preserve">相同的，按照评审因素的量化指标评审得分最高的确定。             </w:t>
      </w:r>
    </w:p>
    <w:p w14:paraId="0D22586B">
      <w:pPr>
        <w:pageBreakBefore w:val="0"/>
        <w:kinsoku/>
        <w:wordWrap/>
        <w:overflowPunct/>
        <w:topLinePunct w:val="0"/>
        <w:autoSpaceDE/>
        <w:autoSpaceDN/>
        <w:bidi w:val="0"/>
        <w:adjustRightInd w:val="0"/>
        <w:snapToGrid w:val="0"/>
        <w:spacing w:line="360" w:lineRule="auto"/>
        <w:ind w:left="0" w:leftChars="0" w:firstLine="480" w:firstLineChars="20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1.3 中标候选人并列时的处理方式</w:t>
      </w:r>
    </w:p>
    <w:p w14:paraId="348485BE">
      <w:pPr>
        <w:pageBreakBefore w:val="0"/>
        <w:kinsoku/>
        <w:wordWrap/>
        <w:overflowPunct/>
        <w:topLinePunct w:val="0"/>
        <w:autoSpaceDE/>
        <w:autoSpaceDN/>
        <w:bidi w:val="0"/>
        <w:adjustRightInd w:val="0"/>
        <w:snapToGrid w:val="0"/>
        <w:spacing w:line="360" w:lineRule="auto"/>
        <w:ind w:left="0" w:leftChars="0" w:firstLine="480" w:firstLineChars="200"/>
        <w:jc w:val="both"/>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采用综合评分法的，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p w14:paraId="7DE73D6D">
      <w:pPr>
        <w:keepNext/>
        <w:keepLines/>
        <w:pageBreakBefore w:val="0"/>
        <w:kinsoku/>
        <w:wordWrap/>
        <w:overflowPunct/>
        <w:topLinePunct w:val="0"/>
        <w:autoSpaceDE/>
        <w:autoSpaceDN/>
        <w:bidi w:val="0"/>
        <w:spacing w:line="360" w:lineRule="auto"/>
        <w:ind w:left="0" w:leftChars="0" w:firstLine="480" w:firstLineChars="200"/>
        <w:jc w:val="both"/>
        <w:textAlignment w:val="auto"/>
        <w:outlineLvl w:val="9"/>
        <w:rPr>
          <w:rFonts w:hint="eastAsia"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bCs/>
          <w:color w:val="auto"/>
          <w:sz w:val="24"/>
          <w:szCs w:val="24"/>
          <w:lang w:val="en-US" w:eastAsia="zh-CN"/>
        </w:rPr>
        <w:t>2</w:t>
      </w:r>
      <w:r>
        <w:rPr>
          <w:rFonts w:hint="eastAsia" w:asciiTheme="minorEastAsia" w:hAnsiTheme="minorEastAsia" w:eastAsiaTheme="minorEastAsia" w:cstheme="minorEastAsia"/>
          <w:bCs/>
          <w:color w:val="auto"/>
          <w:sz w:val="24"/>
          <w:szCs w:val="24"/>
        </w:rPr>
        <w:t>.核对评标结果</w:t>
      </w:r>
    </w:p>
    <w:p w14:paraId="0B4E9387">
      <w:pPr>
        <w:pageBreakBefore w:val="0"/>
        <w:kinsoku/>
        <w:wordWrap/>
        <w:overflowPunct/>
        <w:topLinePunct w:val="0"/>
        <w:autoSpaceDE/>
        <w:autoSpaceDN/>
        <w:bidi w:val="0"/>
        <w:adjustRightInd w:val="0"/>
        <w:snapToGrid w:val="0"/>
        <w:spacing w:line="360" w:lineRule="auto"/>
        <w:ind w:left="0" w:leftChars="0" w:firstLine="48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评标委员会对评审、汇总情况进行复核，特别是对排名第一的、评标价最低的、投标文件被认定为无效的情形进行重点复核，发现问题的及时进行修正。</w:t>
      </w:r>
    </w:p>
    <w:p w14:paraId="27B2837A">
      <w:pPr>
        <w:keepNext/>
        <w:keepLines/>
        <w:pageBreakBefore w:val="0"/>
        <w:kinsoku/>
        <w:wordWrap/>
        <w:overflowPunct/>
        <w:topLinePunct w:val="0"/>
        <w:autoSpaceDE/>
        <w:autoSpaceDN/>
        <w:bidi w:val="0"/>
        <w:spacing w:line="360" w:lineRule="auto"/>
        <w:ind w:left="0" w:leftChars="0" w:firstLine="480" w:firstLineChars="200"/>
        <w:jc w:val="both"/>
        <w:textAlignment w:val="auto"/>
        <w:outlineLvl w:val="9"/>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3</w:t>
      </w:r>
      <w:r>
        <w:rPr>
          <w:rFonts w:hint="eastAsia" w:asciiTheme="minorEastAsia" w:hAnsiTheme="minorEastAsia" w:eastAsiaTheme="minorEastAsia" w:cstheme="minorEastAsia"/>
          <w:bCs/>
          <w:sz w:val="24"/>
          <w:szCs w:val="24"/>
        </w:rPr>
        <w:t>.评标委员会编制评标报告</w:t>
      </w:r>
    </w:p>
    <w:p w14:paraId="09AC7F86">
      <w:pPr>
        <w:pageBreakBefore w:val="0"/>
        <w:kinsoku/>
        <w:wordWrap/>
        <w:overflowPunct/>
        <w:topLinePunct w:val="0"/>
        <w:autoSpaceDE/>
        <w:autoSpaceDN/>
        <w:bidi w:val="0"/>
        <w:adjustRightInd w:val="0"/>
        <w:snapToGrid w:val="0"/>
        <w:spacing w:line="360" w:lineRule="auto"/>
        <w:ind w:left="0" w:leftChars="0" w:firstLine="48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评标委员会根据全体评标成员签字的原始评标记录和评标结果编写评标报告。</w:t>
      </w:r>
    </w:p>
    <w:p w14:paraId="3F928122">
      <w:pPr>
        <w:pageBreakBefore w:val="0"/>
        <w:kinsoku/>
        <w:wordWrap/>
        <w:overflowPunct/>
        <w:topLinePunct w:val="0"/>
        <w:autoSpaceDE/>
        <w:autoSpaceDN/>
        <w:bidi w:val="0"/>
        <w:adjustRightInd w:val="0"/>
        <w:snapToGrid w:val="0"/>
        <w:spacing w:line="360" w:lineRule="auto"/>
        <w:ind w:left="0" w:leftChars="0" w:firstLine="48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评标委员会成员对需要共同认定的事项存在争议的，应当按照少数服从多数的原则作出结论。持不同意见的评标委员会成员应当在评标报告上签署不同意见及理由，否则视为同意评标报告。</w:t>
      </w:r>
    </w:p>
    <w:p w14:paraId="1897A3E9">
      <w:pPr>
        <w:pageBreakBefore w:val="0"/>
        <w:kinsoku/>
        <w:wordWrap/>
        <w:overflowPunct/>
        <w:topLinePunct w:val="0"/>
        <w:autoSpaceDE/>
        <w:autoSpaceDN/>
        <w:bidi w:val="0"/>
        <w:adjustRightInd w:val="0"/>
        <w:snapToGrid w:val="0"/>
        <w:spacing w:line="360" w:lineRule="auto"/>
        <w:ind w:left="0" w:leftChars="0" w:firstLine="480" w:firstLineChars="200"/>
        <w:jc w:val="both"/>
        <w:textAlignment w:val="auto"/>
        <w:outlineLvl w:val="9"/>
        <w:rPr>
          <w:rFonts w:hint="eastAsia" w:asciiTheme="minorEastAsia" w:hAnsiTheme="minorEastAsia" w:eastAsiaTheme="minorEastAsia" w:cstheme="minorEastAsia"/>
          <w:b/>
          <w:color w:val="FF0000"/>
          <w:sz w:val="24"/>
          <w:szCs w:val="24"/>
        </w:rPr>
      </w:pP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评标报告应当由评标委员会全体人员签字认可。评标委员会成员对评标报告有异议的，评标委员会按照少数服从多数的原则推荐中标候选人，采购程序继续进行。对评标报告有异议的评标委员会成员，应当在评标报告上签署不同意见并说明理由，由评标委员会书面记录相关情况。评标委员会成员拒绝在评标报告上签字又不书面说明其不同意见和理由的，视为同意评标报告。</w:t>
      </w:r>
    </w:p>
    <w:p w14:paraId="37C5ECFB">
      <w:pPr>
        <w:pageBreakBefore w:val="0"/>
        <w:kinsoku/>
        <w:wordWrap/>
        <w:overflowPunct/>
        <w:topLinePunct w:val="0"/>
        <w:autoSpaceDE/>
        <w:autoSpaceDN/>
        <w:bidi w:val="0"/>
        <w:spacing w:before="0" w:after="0" w:line="360" w:lineRule="auto"/>
        <w:ind w:left="0" w:leftChars="0" w:firstLine="482" w:firstLineChars="200"/>
        <w:jc w:val="both"/>
        <w:textAlignment w:val="auto"/>
        <w:outlineLvl w:val="9"/>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lang w:eastAsia="zh-CN"/>
        </w:rPr>
        <w:t>（十二）</w:t>
      </w:r>
      <w:r>
        <w:rPr>
          <w:rFonts w:hint="eastAsia" w:asciiTheme="minorEastAsia" w:hAnsiTheme="minorEastAsia" w:eastAsiaTheme="minorEastAsia" w:cstheme="minorEastAsia"/>
          <w:b/>
          <w:bCs/>
          <w:color w:val="auto"/>
          <w:sz w:val="24"/>
          <w:szCs w:val="24"/>
        </w:rPr>
        <w:t>评审中应执行的政府采购政策</w:t>
      </w:r>
    </w:p>
    <w:p w14:paraId="4E84ADA5">
      <w:pPr>
        <w:keepNext/>
        <w:keepLines/>
        <w:pageBreakBefore w:val="0"/>
        <w:widowControl w:val="0"/>
        <w:kinsoku/>
        <w:wordWrap/>
        <w:overflowPunct/>
        <w:topLinePunct w:val="0"/>
        <w:autoSpaceDE/>
        <w:autoSpaceDN/>
        <w:bidi w:val="0"/>
        <w:spacing w:line="240" w:lineRule="auto"/>
        <w:ind w:left="0" w:leftChars="0" w:firstLine="480" w:firstLineChars="200"/>
        <w:jc w:val="both"/>
        <w:textAlignment w:val="auto"/>
        <w:outlineLvl w:val="9"/>
        <w:rPr>
          <w:rFonts w:hint="eastAsia"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bCs/>
          <w:color w:val="auto"/>
          <w:sz w:val="24"/>
          <w:szCs w:val="24"/>
        </w:rPr>
        <w:t>1.落实政府采购政策价格调整的文件依据：</w:t>
      </w:r>
    </w:p>
    <w:p w14:paraId="6370D312">
      <w:pPr>
        <w:pageBreakBefore w:val="0"/>
        <w:widowControl w:val="0"/>
        <w:kinsoku/>
        <w:wordWrap/>
        <w:overflowPunct/>
        <w:topLinePunct w:val="0"/>
        <w:autoSpaceDE/>
        <w:autoSpaceDN/>
        <w:bidi w:val="0"/>
        <w:adjustRightInd w:val="0"/>
        <w:snapToGrid w:val="0"/>
        <w:spacing w:line="240" w:lineRule="auto"/>
        <w:ind w:left="0" w:leftChars="0" w:firstLine="480" w:firstLineChars="200"/>
        <w:jc w:val="both"/>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lang w:eastAsia="zh-CN"/>
        </w:rPr>
        <w:t>）执行《国务院办公厅关于在政府采购中实施本国产品标准及相关政策的通知》国办发〔2025〕34号；</w:t>
      </w:r>
    </w:p>
    <w:p w14:paraId="46B9308B">
      <w:pPr>
        <w:pageBreakBefore w:val="0"/>
        <w:widowControl w:val="0"/>
        <w:kinsoku/>
        <w:wordWrap/>
        <w:overflowPunct/>
        <w:topLinePunct w:val="0"/>
        <w:autoSpaceDE/>
        <w:autoSpaceDN/>
        <w:bidi w:val="0"/>
        <w:adjustRightInd w:val="0"/>
        <w:snapToGrid w:val="0"/>
        <w:spacing w:line="240" w:lineRule="auto"/>
        <w:ind w:left="0" w:leftChars="0" w:firstLine="480" w:firstLineChars="200"/>
        <w:jc w:val="both"/>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lang w:eastAsia="zh-CN"/>
        </w:rPr>
        <w:t>）执行《政府采购促进中小企业发展管理办法》（财库〔2020〕46号）；</w:t>
      </w:r>
    </w:p>
    <w:p w14:paraId="30A50D8B">
      <w:pPr>
        <w:pageBreakBefore w:val="0"/>
        <w:widowControl w:val="0"/>
        <w:kinsoku/>
        <w:wordWrap/>
        <w:overflowPunct/>
        <w:topLinePunct w:val="0"/>
        <w:autoSpaceDE/>
        <w:autoSpaceDN/>
        <w:bidi w:val="0"/>
        <w:adjustRightInd w:val="0"/>
        <w:snapToGrid w:val="0"/>
        <w:spacing w:line="240" w:lineRule="auto"/>
        <w:ind w:left="0" w:leftChars="0" w:firstLine="480" w:firstLineChars="200"/>
        <w:jc w:val="both"/>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lang w:eastAsia="zh-CN"/>
        </w:rPr>
        <w:t>）执行《信阳市财政局关于进一步加大政府采购支持中小企业力度的通知》（信财购〔2022〕8号）；</w:t>
      </w:r>
    </w:p>
    <w:p w14:paraId="1B9394B2">
      <w:pPr>
        <w:pageBreakBefore w:val="0"/>
        <w:widowControl w:val="0"/>
        <w:kinsoku/>
        <w:wordWrap/>
        <w:overflowPunct/>
        <w:topLinePunct w:val="0"/>
        <w:autoSpaceDE/>
        <w:autoSpaceDN/>
        <w:bidi w:val="0"/>
        <w:adjustRightInd w:val="0"/>
        <w:snapToGrid w:val="0"/>
        <w:spacing w:line="240" w:lineRule="auto"/>
        <w:ind w:left="0" w:leftChars="0" w:firstLine="480" w:firstLineChars="200"/>
        <w:jc w:val="both"/>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4</w:t>
      </w:r>
      <w:r>
        <w:rPr>
          <w:rFonts w:hint="eastAsia" w:asciiTheme="minorEastAsia" w:hAnsiTheme="minorEastAsia" w:eastAsiaTheme="minorEastAsia" w:cstheme="minorEastAsia"/>
          <w:color w:val="auto"/>
          <w:sz w:val="24"/>
          <w:szCs w:val="24"/>
          <w:lang w:eastAsia="zh-CN"/>
        </w:rPr>
        <w:t>）执行《财政部 司法部关于政府采购支持监狱企业发展有关问题的通知》（财库〔2014〕68号）；</w:t>
      </w:r>
    </w:p>
    <w:p w14:paraId="1EA2E3C5">
      <w:pPr>
        <w:pageBreakBefore w:val="0"/>
        <w:widowControl w:val="0"/>
        <w:kinsoku/>
        <w:wordWrap/>
        <w:overflowPunct/>
        <w:topLinePunct w:val="0"/>
        <w:autoSpaceDE/>
        <w:autoSpaceDN/>
        <w:bidi w:val="0"/>
        <w:adjustRightInd w:val="0"/>
        <w:snapToGrid w:val="0"/>
        <w:spacing w:line="240" w:lineRule="auto"/>
        <w:ind w:left="0" w:leftChars="0" w:firstLine="480" w:firstLineChars="20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5</w:t>
      </w:r>
      <w:r>
        <w:rPr>
          <w:rFonts w:hint="eastAsia" w:asciiTheme="minorEastAsia" w:hAnsiTheme="minorEastAsia" w:eastAsiaTheme="minorEastAsia" w:cstheme="minorEastAsia"/>
          <w:color w:val="auto"/>
          <w:sz w:val="24"/>
          <w:szCs w:val="24"/>
          <w:lang w:eastAsia="zh-CN"/>
        </w:rPr>
        <w:t>）执行《三部门联合发布关于促进残疾人就业政府采购政策的通知》（财库〔2017〕141号）。</w:t>
      </w:r>
    </w:p>
    <w:p w14:paraId="0F279F16">
      <w:pPr>
        <w:keepNext/>
        <w:keepLines/>
        <w:pageBreakBefore w:val="0"/>
        <w:kinsoku/>
        <w:wordWrap/>
        <w:overflowPunct/>
        <w:topLinePunct w:val="0"/>
        <w:autoSpaceDE/>
        <w:autoSpaceDN/>
        <w:bidi w:val="0"/>
        <w:spacing w:line="240" w:lineRule="auto"/>
        <w:ind w:left="0" w:leftChars="0" w:firstLine="480" w:firstLineChars="200"/>
        <w:jc w:val="both"/>
        <w:textAlignment w:val="auto"/>
        <w:outlineLvl w:val="9"/>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2.落实政府采购政策的价格调整</w:t>
      </w:r>
    </w:p>
    <w:p w14:paraId="19DD67FF">
      <w:pPr>
        <w:pStyle w:val="20"/>
        <w:pageBreakBefore w:val="0"/>
        <w:kinsoku/>
        <w:wordWrap/>
        <w:overflowPunct/>
        <w:topLinePunct w:val="0"/>
        <w:autoSpaceDE/>
        <w:autoSpaceDN/>
        <w:bidi w:val="0"/>
        <w:spacing w:after="0" w:line="360" w:lineRule="auto"/>
        <w:ind w:left="0" w:leftChars="0" w:firstLine="480" w:firstLineChars="200"/>
        <w:jc w:val="both"/>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对满足价格扣除条件</w:t>
      </w:r>
      <w:r>
        <w:rPr>
          <w:rFonts w:hint="eastAsia" w:asciiTheme="minorEastAsia" w:hAnsiTheme="minorEastAsia" w:eastAsiaTheme="minorEastAsia" w:cstheme="minorEastAsia"/>
          <w:color w:val="auto"/>
          <w:sz w:val="24"/>
          <w:szCs w:val="24"/>
          <w:lang w:eastAsia="zh-CN"/>
        </w:rPr>
        <w:t>并</w:t>
      </w:r>
      <w:r>
        <w:rPr>
          <w:rFonts w:hint="eastAsia" w:asciiTheme="minorEastAsia" w:hAnsiTheme="minorEastAsia" w:eastAsiaTheme="minorEastAsia" w:cstheme="minorEastAsia"/>
          <w:color w:val="auto"/>
          <w:sz w:val="24"/>
          <w:szCs w:val="24"/>
        </w:rPr>
        <w:t>在投标文件中</w:t>
      </w:r>
      <w:r>
        <w:rPr>
          <w:rFonts w:hint="eastAsia" w:asciiTheme="minorEastAsia" w:hAnsiTheme="minorEastAsia" w:eastAsiaTheme="minorEastAsia" w:cstheme="minorEastAsia"/>
          <w:color w:val="auto"/>
          <w:sz w:val="24"/>
          <w:szCs w:val="24"/>
          <w:lang w:eastAsia="zh-CN"/>
        </w:rPr>
        <w:t>提交</w:t>
      </w:r>
      <w:r>
        <w:rPr>
          <w:rFonts w:hint="eastAsia" w:asciiTheme="minorEastAsia" w:hAnsiTheme="minorEastAsia" w:eastAsiaTheme="minorEastAsia" w:cstheme="minorEastAsia"/>
          <w:color w:val="auto"/>
          <w:sz w:val="24"/>
          <w:szCs w:val="24"/>
        </w:rPr>
        <w:t>了《</w:t>
      </w:r>
      <w:r>
        <w:rPr>
          <w:rFonts w:hint="eastAsia" w:asciiTheme="minorEastAsia" w:hAnsiTheme="minorEastAsia" w:eastAsiaTheme="minorEastAsia" w:cstheme="minorEastAsia"/>
          <w:color w:val="auto"/>
          <w:sz w:val="24"/>
          <w:szCs w:val="24"/>
          <w:lang w:eastAsia="zh-CN"/>
        </w:rPr>
        <w:t>中小企业声明函</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b/>
          <w:bCs/>
          <w:color w:val="auto"/>
          <w:sz w:val="24"/>
          <w:szCs w:val="24"/>
          <w:lang w:eastAsia="zh-CN"/>
        </w:rPr>
        <w:t>（声明内容需符合价格扣除条件，不符合要求的声明函或未提供的将视为不符合要求）</w:t>
      </w:r>
      <w:r>
        <w:rPr>
          <w:rFonts w:hint="eastAsia" w:asciiTheme="minorEastAsia" w:hAnsiTheme="minorEastAsia" w:eastAsiaTheme="minorEastAsia" w:cstheme="minorEastAsia"/>
          <w:color w:val="auto"/>
          <w:sz w:val="24"/>
          <w:szCs w:val="24"/>
        </w:rPr>
        <w:t>、《残疾人福利性单位声明函》或省级以上监狱管理局、戒毒管理局（含新疆生产建设兵团）出具的属于监狱企业的证明文件的</w:t>
      </w:r>
      <w:r>
        <w:rPr>
          <w:rFonts w:hint="eastAsia" w:asciiTheme="minorEastAsia" w:hAnsiTheme="minorEastAsia" w:eastAsiaTheme="minorEastAsia" w:cstheme="minorEastAsia"/>
          <w:color w:val="auto"/>
          <w:sz w:val="24"/>
          <w:szCs w:val="24"/>
          <w:lang w:eastAsia="zh-CN"/>
        </w:rPr>
        <w:t>投标人</w:t>
      </w:r>
      <w:r>
        <w:rPr>
          <w:rFonts w:hint="eastAsia" w:asciiTheme="minorEastAsia" w:hAnsiTheme="minorEastAsia" w:eastAsiaTheme="minorEastAsia" w:cstheme="minorEastAsia"/>
          <w:color w:val="auto"/>
          <w:sz w:val="24"/>
          <w:szCs w:val="24"/>
        </w:rPr>
        <w:t>，其投标报价扣除</w:t>
      </w:r>
      <w:r>
        <w:rPr>
          <w:rFonts w:hint="eastAsia" w:asciiTheme="minorEastAsia" w:hAnsiTheme="minorEastAsia" w:eastAsiaTheme="minorEastAsia" w:cstheme="minorEastAsia"/>
          <w:color w:val="auto"/>
          <w:sz w:val="24"/>
          <w:szCs w:val="24"/>
          <w:lang w:eastAsia="zh-CN"/>
        </w:rPr>
        <w:t>一定比例</w:t>
      </w:r>
      <w:r>
        <w:rPr>
          <w:rFonts w:hint="eastAsia" w:asciiTheme="minorEastAsia" w:hAnsiTheme="minorEastAsia" w:eastAsiaTheme="minorEastAsia" w:cstheme="minorEastAsia"/>
          <w:color w:val="auto"/>
          <w:sz w:val="24"/>
          <w:szCs w:val="24"/>
        </w:rPr>
        <w:t>后参与评审</w:t>
      </w:r>
      <w:r>
        <w:rPr>
          <w:rFonts w:hint="eastAsia" w:asciiTheme="minorEastAsia" w:hAnsiTheme="minorEastAsia" w:eastAsiaTheme="minorEastAsia" w:cstheme="minorEastAsia"/>
          <w:color w:val="auto"/>
          <w:sz w:val="24"/>
          <w:szCs w:val="24"/>
          <w:lang w:eastAsia="zh-CN"/>
        </w:rPr>
        <w:t>，具体价格扣除标准详见本章“评标标准”。小微企业的价格扣除政策最多只能使用一次，</w:t>
      </w:r>
      <w:r>
        <w:rPr>
          <w:rFonts w:hint="eastAsia" w:asciiTheme="minorEastAsia" w:hAnsiTheme="minorEastAsia" w:eastAsiaTheme="minorEastAsia" w:cstheme="minorEastAsia"/>
          <w:color w:val="auto"/>
          <w:sz w:val="24"/>
          <w:szCs w:val="24"/>
        </w:rPr>
        <w:t>对于同时属于</w:t>
      </w:r>
      <w:r>
        <w:rPr>
          <w:rFonts w:hint="eastAsia" w:asciiTheme="minorEastAsia" w:hAnsiTheme="minorEastAsia" w:eastAsiaTheme="minorEastAsia" w:cstheme="minorEastAsia"/>
          <w:color w:val="auto"/>
          <w:sz w:val="24"/>
          <w:szCs w:val="24"/>
          <w:lang w:eastAsia="zh-CN"/>
        </w:rPr>
        <w:t>小型或微型企业</w:t>
      </w:r>
      <w:r>
        <w:rPr>
          <w:rFonts w:hint="eastAsia" w:asciiTheme="minorEastAsia" w:hAnsiTheme="minorEastAsia" w:eastAsiaTheme="minorEastAsia" w:cstheme="minorEastAsia"/>
          <w:color w:val="auto"/>
          <w:sz w:val="24"/>
          <w:szCs w:val="24"/>
        </w:rPr>
        <w:t>、监狱企业或残疾人福利性单位</w:t>
      </w:r>
      <w:r>
        <w:rPr>
          <w:rFonts w:hint="eastAsia" w:asciiTheme="minorEastAsia" w:hAnsiTheme="minorEastAsia" w:eastAsiaTheme="minorEastAsia" w:cstheme="minorEastAsia"/>
          <w:color w:val="auto"/>
          <w:sz w:val="24"/>
          <w:szCs w:val="24"/>
          <w:lang w:eastAsia="zh-CN"/>
        </w:rPr>
        <w:t>中的两种及以上，将不重复享受小微企业价格扣除的优惠政策。</w:t>
      </w:r>
    </w:p>
    <w:p w14:paraId="6DF64697">
      <w:pPr>
        <w:pageBreakBefore w:val="0"/>
        <w:kinsoku/>
        <w:wordWrap/>
        <w:overflowPunct/>
        <w:topLinePunct w:val="0"/>
        <w:autoSpaceDE/>
        <w:autoSpaceDN/>
        <w:bidi w:val="0"/>
        <w:adjustRightInd w:val="0"/>
        <w:snapToGrid w:val="0"/>
        <w:spacing w:line="360" w:lineRule="auto"/>
        <w:ind w:left="0" w:leftChars="0" w:firstLine="480" w:firstLineChars="200"/>
        <w:jc w:val="both"/>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价格扣除比例对小型企业和微型企业同等对待，不作区分。</w:t>
      </w:r>
    </w:p>
    <w:p w14:paraId="7BE4FF09">
      <w:pPr>
        <w:pageBreakBefore w:val="0"/>
        <w:kinsoku/>
        <w:wordWrap/>
        <w:overflowPunct/>
        <w:topLinePunct w:val="0"/>
        <w:autoSpaceDE/>
        <w:autoSpaceDN/>
        <w:bidi w:val="0"/>
        <w:adjustRightInd w:val="0"/>
        <w:snapToGrid w:val="0"/>
        <w:spacing w:line="360" w:lineRule="auto"/>
        <w:ind w:left="0" w:leftChars="0" w:firstLine="48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sz w:val="24"/>
          <w:szCs w:val="24"/>
        </w:rPr>
        <w:t>政府采购活动中既有本国产品又有非本国产品参与竞争的，依法对本国产品给予价格评审优惠，对本国产品的报价给予20%的价格扣除，用扣除后的价格参与评审。</w:t>
      </w:r>
    </w:p>
    <w:p w14:paraId="1EADD4C6">
      <w:pPr>
        <w:pageBreakBefore w:val="0"/>
        <w:kinsoku/>
        <w:wordWrap/>
        <w:overflowPunct/>
        <w:topLinePunct w:val="0"/>
        <w:autoSpaceDE/>
        <w:autoSpaceDN/>
        <w:bidi w:val="0"/>
        <w:adjustRightInd w:val="0"/>
        <w:snapToGrid w:val="0"/>
        <w:spacing w:line="360" w:lineRule="auto"/>
        <w:ind w:left="0" w:leftChars="0" w:firstLine="48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A3CFA57">
      <w:pPr>
        <w:pageBreakBefore w:val="0"/>
        <w:kinsoku/>
        <w:wordWrap/>
        <w:overflowPunct/>
        <w:topLinePunct w:val="0"/>
        <w:autoSpaceDE/>
        <w:autoSpaceDN/>
        <w:bidi w:val="0"/>
        <w:adjustRightInd w:val="0"/>
        <w:snapToGrid w:val="0"/>
        <w:spacing w:line="360" w:lineRule="auto"/>
        <w:ind w:left="0" w:leftChars="0" w:firstLine="480" w:firstLineChars="200"/>
        <w:jc w:val="both"/>
        <w:textAlignment w:val="auto"/>
        <w:outlineLvl w:val="9"/>
        <w:rPr>
          <w:rFonts w:hint="eastAsia"/>
        </w:rPr>
      </w:pPr>
      <w:r>
        <w:rPr>
          <w:rFonts w:hint="eastAsia" w:asciiTheme="minorEastAsia" w:hAnsiTheme="minorEastAsia" w:eastAsiaTheme="minorEastAsia" w:cstheme="minorEastAsia"/>
          <w:bCs/>
          <w:sz w:val="24"/>
          <w:szCs w:val="24"/>
          <w:lang w:val="en-US" w:eastAsia="zh-CN"/>
        </w:rPr>
        <w:t>3</w:t>
      </w:r>
      <w:r>
        <w:rPr>
          <w:rFonts w:hint="eastAsia" w:asciiTheme="minorEastAsia" w:hAnsiTheme="minorEastAsia" w:eastAsiaTheme="minorEastAsia" w:cstheme="minorEastAsia"/>
          <w:bCs/>
          <w:sz w:val="24"/>
          <w:szCs w:val="24"/>
        </w:rPr>
        <w:t>.其他政府采购政策要求</w:t>
      </w:r>
      <w:r>
        <w:rPr>
          <w:rFonts w:hint="eastAsia" w:asciiTheme="minorEastAsia" w:hAnsiTheme="minorEastAsia" w:eastAsiaTheme="minorEastAsia" w:cstheme="minorEastAsia"/>
          <w:bCs/>
          <w:sz w:val="24"/>
          <w:szCs w:val="24"/>
          <w:lang w:eastAsia="zh-CN"/>
        </w:rPr>
        <w:t>：</w:t>
      </w:r>
      <w:r>
        <w:rPr>
          <w:rFonts w:hint="eastAsia" w:asciiTheme="minorEastAsia" w:hAnsiTheme="minorEastAsia" w:eastAsiaTheme="minorEastAsia" w:cstheme="minorEastAsia"/>
          <w:bCs/>
          <w:sz w:val="24"/>
          <w:szCs w:val="24"/>
          <w:lang w:val="en-US" w:eastAsia="zh-CN"/>
        </w:rPr>
        <w:t>无。</w:t>
      </w:r>
      <w:bookmarkStart w:id="298" w:name="_Toc15048361"/>
      <w:bookmarkStart w:id="299" w:name="_Toc4796"/>
      <w:bookmarkStart w:id="300" w:name="_Toc26951"/>
      <w:bookmarkStart w:id="301" w:name="_Toc532473757"/>
      <w:bookmarkStart w:id="302" w:name="_Toc6865"/>
      <w:bookmarkStart w:id="303" w:name="_Toc515647833"/>
      <w:bookmarkStart w:id="304" w:name="_Toc26690"/>
      <w:bookmarkStart w:id="305" w:name="_Toc532044541"/>
    </w:p>
    <w:p w14:paraId="7ACAFF47">
      <w:pPr>
        <w:bidi w:val="0"/>
        <w:rPr>
          <w:rFonts w:hint="eastAsia"/>
        </w:rPr>
      </w:pPr>
    </w:p>
    <w:p w14:paraId="79DEA3EC">
      <w:pPr>
        <w:pStyle w:val="20"/>
        <w:pageBreakBefore w:val="0"/>
        <w:kinsoku/>
        <w:wordWrap/>
        <w:overflowPunct/>
        <w:topLinePunct w:val="0"/>
        <w:bidi w:val="0"/>
        <w:spacing w:after="0"/>
        <w:ind w:left="0" w:leftChars="0"/>
        <w:jc w:val="center"/>
        <w:textAlignment w:val="auto"/>
        <w:outlineLvl w:val="9"/>
        <w:rPr>
          <w:rFonts w:hint="eastAsia" w:ascii="宋体" w:hAnsi="宋体" w:eastAsia="宋体" w:cs="宋体"/>
          <w:b/>
          <w:bCs/>
          <w:spacing w:val="-20"/>
          <w:kern w:val="44"/>
          <w:sz w:val="48"/>
          <w:szCs w:val="48"/>
          <w:lang w:eastAsia="zh-CN"/>
        </w:rPr>
      </w:pPr>
      <w:r>
        <w:rPr>
          <w:rFonts w:hint="eastAsia" w:ascii="宋体" w:hAnsi="宋体" w:eastAsia="宋体" w:cs="宋体"/>
          <w:b/>
          <w:bCs/>
          <w:spacing w:val="-20"/>
          <w:kern w:val="44"/>
          <w:sz w:val="48"/>
          <w:szCs w:val="48"/>
          <w:lang w:eastAsia="zh-CN"/>
        </w:rPr>
        <w:t>第四章  政府采购合同</w:t>
      </w:r>
      <w:bookmarkEnd w:id="298"/>
      <w:bookmarkEnd w:id="299"/>
      <w:bookmarkEnd w:id="300"/>
      <w:bookmarkEnd w:id="301"/>
      <w:bookmarkEnd w:id="302"/>
      <w:bookmarkEnd w:id="303"/>
      <w:bookmarkEnd w:id="304"/>
      <w:bookmarkEnd w:id="305"/>
      <w:bookmarkStart w:id="306" w:name="_Hlt487972895"/>
      <w:bookmarkEnd w:id="306"/>
      <w:bookmarkStart w:id="307" w:name="_Toc216513788"/>
      <w:bookmarkStart w:id="308" w:name="_Toc487900382"/>
    </w:p>
    <w:bookmarkEnd w:id="307"/>
    <w:bookmarkEnd w:id="308"/>
    <w:p w14:paraId="58B50379">
      <w:pPr>
        <w:pStyle w:val="20"/>
        <w:pageBreakBefore w:val="0"/>
        <w:kinsoku/>
        <w:wordWrap/>
        <w:overflowPunct/>
        <w:topLinePunct w:val="0"/>
        <w:bidi w:val="0"/>
        <w:spacing w:after="0"/>
        <w:ind w:left="0" w:leftChars="0"/>
        <w:jc w:val="center"/>
        <w:textAlignment w:val="auto"/>
        <w:outlineLvl w:val="9"/>
        <w:rPr>
          <w:rFonts w:hint="eastAsia" w:ascii="宋体" w:hAnsi="宋体" w:eastAsia="宋体" w:cs="宋体"/>
          <w:b/>
          <w:bCs/>
          <w:spacing w:val="-20"/>
          <w:kern w:val="44"/>
          <w:sz w:val="48"/>
          <w:szCs w:val="48"/>
        </w:rPr>
      </w:pPr>
      <w:bookmarkStart w:id="309" w:name="_Toc3995"/>
    </w:p>
    <w:p w14:paraId="7DA36F29">
      <w:pPr>
        <w:pStyle w:val="20"/>
        <w:pageBreakBefore w:val="0"/>
        <w:kinsoku/>
        <w:wordWrap/>
        <w:overflowPunct/>
        <w:topLinePunct w:val="0"/>
        <w:bidi w:val="0"/>
        <w:spacing w:after="0"/>
        <w:ind w:left="0" w:leftChars="0"/>
        <w:jc w:val="center"/>
        <w:textAlignment w:val="auto"/>
        <w:outlineLvl w:val="9"/>
        <w:rPr>
          <w:rFonts w:hint="eastAsia" w:ascii="宋体" w:hAnsi="宋体" w:eastAsia="宋体" w:cs="宋体"/>
          <w:b/>
          <w:bCs/>
          <w:spacing w:val="-20"/>
          <w:kern w:val="44"/>
          <w:sz w:val="48"/>
          <w:szCs w:val="48"/>
        </w:rPr>
      </w:pPr>
    </w:p>
    <w:p w14:paraId="61C7429A">
      <w:pPr>
        <w:pStyle w:val="20"/>
        <w:pageBreakBefore w:val="0"/>
        <w:kinsoku/>
        <w:wordWrap/>
        <w:overflowPunct/>
        <w:topLinePunct w:val="0"/>
        <w:bidi w:val="0"/>
        <w:spacing w:after="0"/>
        <w:ind w:left="0" w:leftChars="0"/>
        <w:jc w:val="center"/>
        <w:textAlignment w:val="auto"/>
        <w:outlineLvl w:val="9"/>
        <w:rPr>
          <w:rFonts w:hint="eastAsia" w:ascii="宋体" w:hAnsi="宋体" w:eastAsia="宋体" w:cs="宋体"/>
          <w:b/>
          <w:bCs/>
          <w:spacing w:val="-20"/>
          <w:kern w:val="44"/>
          <w:sz w:val="48"/>
          <w:szCs w:val="48"/>
        </w:rPr>
      </w:pPr>
    </w:p>
    <w:p w14:paraId="029917FD">
      <w:pPr>
        <w:pStyle w:val="20"/>
        <w:pageBreakBefore w:val="0"/>
        <w:kinsoku/>
        <w:wordWrap/>
        <w:overflowPunct/>
        <w:topLinePunct w:val="0"/>
        <w:bidi w:val="0"/>
        <w:spacing w:after="0"/>
        <w:ind w:left="0" w:leftChars="0"/>
        <w:jc w:val="center"/>
        <w:textAlignment w:val="auto"/>
        <w:outlineLvl w:val="9"/>
        <w:rPr>
          <w:rFonts w:hint="eastAsia" w:ascii="宋体" w:hAnsi="宋体" w:eastAsia="宋体" w:cs="宋体"/>
          <w:b/>
          <w:bCs/>
          <w:spacing w:val="-20"/>
          <w:kern w:val="44"/>
          <w:sz w:val="48"/>
          <w:szCs w:val="48"/>
        </w:rPr>
      </w:pPr>
      <w:r>
        <w:rPr>
          <w:rFonts w:hint="eastAsia" w:ascii="宋体" w:hAnsi="宋体" w:eastAsia="宋体" w:cs="宋体"/>
          <w:b/>
          <w:bCs/>
          <w:spacing w:val="-20"/>
          <w:kern w:val="44"/>
          <w:sz w:val="48"/>
          <w:szCs w:val="48"/>
        </w:rPr>
        <w:t>政府采购</w:t>
      </w:r>
      <w:r>
        <w:rPr>
          <w:rFonts w:hint="eastAsia" w:ascii="宋体" w:hAnsi="宋体" w:eastAsia="宋体" w:cs="宋体"/>
          <w:b/>
          <w:bCs/>
          <w:spacing w:val="-20"/>
          <w:kern w:val="44"/>
          <w:sz w:val="48"/>
          <w:szCs w:val="48"/>
          <w:lang w:eastAsia="zh-CN"/>
        </w:rPr>
        <w:t>货物买卖</w:t>
      </w:r>
      <w:r>
        <w:rPr>
          <w:rFonts w:hint="eastAsia" w:ascii="宋体" w:hAnsi="宋体" w:eastAsia="宋体" w:cs="宋体"/>
          <w:b/>
          <w:bCs/>
          <w:spacing w:val="-20"/>
          <w:kern w:val="44"/>
          <w:sz w:val="48"/>
          <w:szCs w:val="48"/>
        </w:rPr>
        <w:t>合同</w:t>
      </w:r>
    </w:p>
    <w:p w14:paraId="1A4F29E9">
      <w:pPr>
        <w:pStyle w:val="20"/>
        <w:pageBreakBefore w:val="0"/>
        <w:kinsoku/>
        <w:wordWrap/>
        <w:overflowPunct/>
        <w:topLinePunct w:val="0"/>
        <w:bidi w:val="0"/>
        <w:spacing w:after="0"/>
        <w:ind w:left="0" w:leftChars="0"/>
        <w:jc w:val="center"/>
        <w:textAlignment w:val="auto"/>
        <w:outlineLvl w:val="9"/>
        <w:rPr>
          <w:rFonts w:hint="eastAsia" w:ascii="宋体" w:hAnsi="宋体" w:eastAsia="宋体" w:cs="宋体"/>
          <w:b/>
          <w:bCs/>
          <w:spacing w:val="-20"/>
          <w:kern w:val="44"/>
          <w:sz w:val="48"/>
          <w:szCs w:val="48"/>
          <w:lang w:eastAsia="zh-CN"/>
        </w:rPr>
      </w:pPr>
    </w:p>
    <w:p w14:paraId="2BC03A2F">
      <w:pPr>
        <w:pageBreakBefore w:val="0"/>
        <w:kinsoku/>
        <w:wordWrap/>
        <w:overflowPunct/>
        <w:topLinePunct w:val="0"/>
        <w:bidi w:val="0"/>
        <w:ind w:left="0" w:leftChars="0"/>
        <w:textAlignment w:val="auto"/>
        <w:outlineLvl w:val="9"/>
        <w:rPr>
          <w:rFonts w:hint="eastAsia" w:ascii="宋体" w:hAnsi="宋体" w:eastAsia="宋体" w:cs="宋体"/>
          <w:b/>
          <w:bCs/>
          <w:spacing w:val="-20"/>
          <w:kern w:val="44"/>
          <w:sz w:val="40"/>
          <w:szCs w:val="40"/>
        </w:rPr>
      </w:pPr>
    </w:p>
    <w:p w14:paraId="73B8A127">
      <w:pPr>
        <w:pageBreakBefore w:val="0"/>
        <w:kinsoku/>
        <w:wordWrap/>
        <w:overflowPunct/>
        <w:topLinePunct w:val="0"/>
        <w:bidi w:val="0"/>
        <w:ind w:left="0" w:leftChars="0"/>
        <w:textAlignment w:val="auto"/>
        <w:outlineLvl w:val="9"/>
        <w:rPr>
          <w:rFonts w:hint="eastAsia" w:ascii="宋体" w:hAnsi="宋体" w:eastAsia="宋体" w:cs="宋体"/>
          <w:b/>
          <w:bCs/>
          <w:spacing w:val="-20"/>
          <w:kern w:val="44"/>
          <w:sz w:val="40"/>
          <w:szCs w:val="40"/>
        </w:rPr>
      </w:pPr>
    </w:p>
    <w:p w14:paraId="54526E8F">
      <w:pPr>
        <w:pageBreakBefore w:val="0"/>
        <w:kinsoku/>
        <w:wordWrap/>
        <w:overflowPunct/>
        <w:topLinePunct w:val="0"/>
        <w:bidi w:val="0"/>
        <w:ind w:left="0" w:leftChars="0"/>
        <w:textAlignment w:val="auto"/>
        <w:outlineLvl w:val="9"/>
        <w:rPr>
          <w:rFonts w:hint="eastAsia" w:ascii="宋体" w:hAnsi="宋体" w:eastAsia="宋体" w:cs="宋体"/>
          <w:b/>
          <w:bCs/>
          <w:spacing w:val="-20"/>
          <w:kern w:val="44"/>
          <w:sz w:val="40"/>
          <w:szCs w:val="40"/>
        </w:rPr>
      </w:pPr>
    </w:p>
    <w:p w14:paraId="70122BEA">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宋体" w:hAnsi="宋体" w:eastAsia="宋体" w:cs="宋体"/>
          <w:sz w:val="32"/>
          <w:szCs w:val="32"/>
        </w:rPr>
      </w:pPr>
      <w:r>
        <w:rPr>
          <w:rFonts w:hint="eastAsia" w:ascii="宋体" w:hAnsi="宋体" w:eastAsia="宋体" w:cs="宋体"/>
          <w:kern w:val="0"/>
          <w:sz w:val="32"/>
          <w:szCs w:val="32"/>
        </w:rPr>
        <w:t>项目名称：</w:t>
      </w:r>
      <w:r>
        <w:rPr>
          <w:rFonts w:hint="eastAsia" w:ascii="宋体" w:hAnsi="宋体" w:eastAsia="宋体" w:cs="宋体"/>
          <w:sz w:val="32"/>
          <w:szCs w:val="32"/>
          <w:u w:val="single"/>
        </w:rPr>
        <w:t xml:space="preserve"> </w:t>
      </w:r>
      <w:r>
        <w:rPr>
          <w:rFonts w:hint="eastAsia" w:ascii="宋体" w:hAnsi="宋体" w:eastAsia="宋体" w:cs="宋体"/>
          <w:sz w:val="32"/>
          <w:szCs w:val="32"/>
          <w:u w:val="single"/>
          <w:lang w:val="en-US" w:eastAsia="zh-CN"/>
        </w:rPr>
        <w:t xml:space="preserve">                           </w:t>
      </w:r>
      <w:r>
        <w:rPr>
          <w:rFonts w:hint="eastAsia" w:ascii="宋体" w:hAnsi="宋体" w:eastAsia="宋体" w:cs="宋体"/>
          <w:sz w:val="32"/>
          <w:szCs w:val="32"/>
          <w:u w:val="single"/>
        </w:rPr>
        <w:t xml:space="preserve"> </w:t>
      </w:r>
    </w:p>
    <w:p w14:paraId="14E0CD85">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textAlignment w:val="auto"/>
        <w:outlineLvl w:val="9"/>
        <w:rPr>
          <w:rFonts w:hint="eastAsia" w:ascii="宋体" w:hAnsi="宋体" w:eastAsia="宋体" w:cs="宋体"/>
          <w:sz w:val="32"/>
          <w:szCs w:val="32"/>
          <w:u w:val="single"/>
        </w:rPr>
      </w:pPr>
      <w:r>
        <w:rPr>
          <w:rFonts w:hint="eastAsia" w:ascii="宋体" w:hAnsi="宋体" w:eastAsia="宋体" w:cs="宋体"/>
          <w:sz w:val="32"/>
          <w:szCs w:val="32"/>
        </w:rPr>
        <w:t>合同编号：</w:t>
      </w:r>
      <w:r>
        <w:rPr>
          <w:rFonts w:hint="eastAsia" w:ascii="宋体" w:hAnsi="宋体" w:eastAsia="宋体" w:cs="宋体"/>
          <w:sz w:val="32"/>
          <w:szCs w:val="32"/>
          <w:u w:val="single"/>
        </w:rPr>
        <w:t xml:space="preserve">                             </w:t>
      </w:r>
    </w:p>
    <w:p w14:paraId="602B2E51">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textAlignment w:val="auto"/>
        <w:outlineLvl w:val="9"/>
        <w:rPr>
          <w:rFonts w:hint="default" w:ascii="宋体" w:hAnsi="宋体" w:eastAsia="宋体" w:cs="宋体"/>
          <w:sz w:val="32"/>
          <w:szCs w:val="32"/>
          <w:lang w:val="en-US" w:eastAsia="zh-CN"/>
        </w:rPr>
      </w:pPr>
      <w:r>
        <w:rPr>
          <w:rFonts w:hint="eastAsia" w:ascii="宋体" w:hAnsi="宋体" w:eastAsia="宋体" w:cs="宋体"/>
          <w:sz w:val="32"/>
          <w:szCs w:val="32"/>
        </w:rPr>
        <w:t>甲    方：</w:t>
      </w:r>
      <w:r>
        <w:rPr>
          <w:rFonts w:hint="eastAsia" w:ascii="宋体" w:hAnsi="宋体" w:eastAsia="宋体" w:cs="宋体"/>
          <w:sz w:val="32"/>
          <w:szCs w:val="32"/>
          <w:u w:val="single"/>
        </w:rPr>
        <w:t xml:space="preserve"> </w:t>
      </w:r>
      <w:r>
        <w:rPr>
          <w:rFonts w:hint="eastAsia" w:ascii="宋体" w:hAnsi="宋体" w:eastAsia="宋体" w:cs="宋体"/>
          <w:sz w:val="32"/>
          <w:szCs w:val="32"/>
          <w:u w:val="single"/>
          <w:lang w:val="en-US" w:eastAsia="zh-CN"/>
        </w:rPr>
        <w:t xml:space="preserve">                      </w:t>
      </w:r>
      <w:r>
        <w:rPr>
          <w:rFonts w:hint="eastAsia" w:ascii="宋体" w:hAnsi="宋体" w:eastAsia="宋体" w:cs="宋体"/>
          <w:sz w:val="32"/>
          <w:szCs w:val="32"/>
          <w:u w:val="single"/>
        </w:rPr>
        <w:t xml:space="preserve">  </w:t>
      </w:r>
      <w:r>
        <w:rPr>
          <w:rFonts w:hint="eastAsia" w:ascii="宋体" w:hAnsi="宋体" w:eastAsia="宋体" w:cs="宋体"/>
          <w:sz w:val="32"/>
          <w:szCs w:val="32"/>
          <w:u w:val="single"/>
          <w:lang w:val="en-US" w:eastAsia="zh-CN"/>
        </w:rPr>
        <w:t xml:space="preserve">    </w:t>
      </w:r>
    </w:p>
    <w:p w14:paraId="4331DB60">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textAlignment w:val="auto"/>
        <w:outlineLvl w:val="9"/>
        <w:rPr>
          <w:rFonts w:hint="eastAsia" w:ascii="宋体" w:hAnsi="宋体" w:eastAsia="宋体" w:cs="宋体"/>
          <w:sz w:val="32"/>
          <w:szCs w:val="32"/>
          <w:u w:val="single"/>
        </w:rPr>
      </w:pPr>
      <w:r>
        <w:rPr>
          <w:rFonts w:hint="eastAsia" w:ascii="宋体" w:hAnsi="宋体" w:eastAsia="宋体" w:cs="宋体"/>
          <w:sz w:val="32"/>
          <w:szCs w:val="32"/>
        </w:rPr>
        <w:t>乙    方：</w:t>
      </w:r>
      <w:r>
        <w:rPr>
          <w:rFonts w:hint="eastAsia" w:ascii="宋体" w:hAnsi="宋体" w:eastAsia="宋体" w:cs="宋体"/>
          <w:sz w:val="32"/>
          <w:szCs w:val="32"/>
          <w:u w:val="single"/>
        </w:rPr>
        <w:t xml:space="preserve">                             </w:t>
      </w:r>
    </w:p>
    <w:p w14:paraId="238F5693">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textAlignment w:val="auto"/>
        <w:outlineLvl w:val="9"/>
        <w:rPr>
          <w:rFonts w:hint="eastAsia" w:ascii="宋体" w:hAnsi="宋体" w:eastAsia="宋体" w:cs="宋体"/>
          <w:sz w:val="32"/>
          <w:szCs w:val="32"/>
        </w:rPr>
      </w:pPr>
      <w:r>
        <w:rPr>
          <w:rFonts w:hint="eastAsia" w:ascii="宋体" w:hAnsi="宋体" w:eastAsia="宋体" w:cs="宋体"/>
          <w:sz w:val="32"/>
          <w:szCs w:val="32"/>
        </w:rPr>
        <w:t>签订时间：</w:t>
      </w:r>
      <w:r>
        <w:rPr>
          <w:rFonts w:hint="eastAsia" w:ascii="宋体" w:hAnsi="宋体" w:eastAsia="宋体" w:cs="宋体"/>
          <w:sz w:val="32"/>
          <w:szCs w:val="32"/>
          <w:u w:val="single"/>
        </w:rPr>
        <w:t xml:space="preserve">                             </w:t>
      </w:r>
    </w:p>
    <w:p w14:paraId="2D561ADD">
      <w:pPr>
        <w:pageBreakBefore w:val="0"/>
        <w:kinsoku/>
        <w:wordWrap/>
        <w:overflowPunct/>
        <w:topLinePunct w:val="0"/>
        <w:bidi w:val="0"/>
        <w:ind w:left="0" w:leftChars="0"/>
        <w:textAlignment w:val="auto"/>
        <w:outlineLvl w:val="9"/>
        <w:rPr>
          <w:rFonts w:hint="eastAsia" w:ascii="宋体" w:hAnsi="宋体" w:eastAsia="宋体" w:cs="宋体"/>
        </w:rPr>
      </w:pPr>
    </w:p>
    <w:p w14:paraId="2A1DEEF8">
      <w:pPr>
        <w:pageBreakBefore w:val="0"/>
        <w:kinsoku/>
        <w:wordWrap/>
        <w:overflowPunct/>
        <w:topLinePunct w:val="0"/>
        <w:bidi w:val="0"/>
        <w:ind w:left="0" w:leftChars="0"/>
        <w:textAlignment w:val="auto"/>
        <w:outlineLvl w:val="9"/>
        <w:rPr>
          <w:rFonts w:hint="eastAsia" w:ascii="宋体" w:hAnsi="宋体" w:eastAsia="宋体" w:cs="宋体"/>
          <w:sz w:val="28"/>
          <w:szCs w:val="28"/>
        </w:rPr>
      </w:pPr>
      <w:r>
        <w:rPr>
          <w:rFonts w:hint="eastAsia" w:ascii="宋体" w:hAnsi="宋体" w:eastAsia="宋体" w:cs="宋体"/>
          <w:sz w:val="44"/>
          <w:szCs w:val="44"/>
        </w:rPr>
        <w:br w:type="page"/>
      </w:r>
      <w:bookmarkStart w:id="310" w:name="_Toc22209"/>
    </w:p>
    <w:p w14:paraId="0F793BD9">
      <w:pPr>
        <w:keepNext/>
        <w:keepLines/>
        <w:pageBreakBefore w:val="0"/>
        <w:widowControl w:val="0"/>
        <w:kinsoku/>
        <w:wordWrap/>
        <w:overflowPunct/>
        <w:topLinePunct w:val="0"/>
        <w:autoSpaceDE/>
        <w:autoSpaceDN/>
        <w:bidi w:val="0"/>
        <w:adjustRightInd w:val="0"/>
        <w:snapToGrid w:val="0"/>
        <w:spacing w:beforeLines="0" w:line="400" w:lineRule="exact"/>
        <w:ind w:left="0" w:leftChars="0"/>
        <w:jc w:val="center"/>
        <w:textAlignment w:val="auto"/>
        <w:outlineLvl w:val="9"/>
        <w:rPr>
          <w:rFonts w:hint="eastAsia" w:ascii="宋体" w:hAnsi="宋体" w:eastAsia="宋体" w:cs="宋体"/>
          <w:b/>
          <w:bCs/>
          <w:sz w:val="36"/>
          <w:szCs w:val="36"/>
        </w:rPr>
      </w:pPr>
      <w:r>
        <w:rPr>
          <w:rFonts w:hint="eastAsia" w:ascii="宋体" w:hAnsi="宋体" w:eastAsia="宋体" w:cs="宋体"/>
          <w:b/>
          <w:bCs/>
          <w:sz w:val="36"/>
          <w:szCs w:val="36"/>
        </w:rPr>
        <w:t>政府采购合同协议书</w:t>
      </w:r>
      <w:bookmarkEnd w:id="310"/>
    </w:p>
    <w:p w14:paraId="150DC36B">
      <w:pPr>
        <w:pageBreakBefore w:val="0"/>
        <w:kinsoku/>
        <w:wordWrap/>
        <w:overflowPunct/>
        <w:topLinePunct w:val="0"/>
        <w:bidi w:val="0"/>
        <w:adjustRightInd w:val="0"/>
        <w:snapToGrid w:val="0"/>
        <w:spacing w:beforeLines="0" w:line="400" w:lineRule="exact"/>
        <w:ind w:left="0" w:leftChars="0"/>
        <w:jc w:val="center"/>
        <w:textAlignment w:val="auto"/>
        <w:outlineLvl w:val="9"/>
        <w:rPr>
          <w:rFonts w:hint="eastAsia" w:ascii="宋体" w:hAnsi="宋体" w:eastAsia="宋体" w:cs="宋体"/>
          <w:b w:val="0"/>
          <w:bCs w:val="0"/>
          <w:sz w:val="28"/>
          <w:szCs w:val="28"/>
        </w:rPr>
      </w:pPr>
    </w:p>
    <w:p w14:paraId="72DD8ACC">
      <w:pPr>
        <w:pageBreakBefore w:val="0"/>
        <w:kinsoku/>
        <w:wordWrap/>
        <w:overflowPunct/>
        <w:topLinePunct w:val="0"/>
        <w:bidi w:val="0"/>
        <w:adjustRightInd w:val="0"/>
        <w:snapToGrid w:val="0"/>
        <w:spacing w:before="0" w:beforeLines="0" w:line="400" w:lineRule="exact"/>
        <w:ind w:left="0" w:leftChars="0"/>
        <w:textAlignment w:val="auto"/>
        <w:outlineLvl w:val="9"/>
        <w:rPr>
          <w:rFonts w:hint="eastAsia" w:ascii="宋体" w:hAnsi="宋体" w:eastAsia="宋体" w:cs="宋体"/>
          <w:szCs w:val="21"/>
        </w:rPr>
      </w:pPr>
      <w:r>
        <w:rPr>
          <w:rFonts w:hint="eastAsia" w:ascii="宋体" w:hAnsi="宋体" w:eastAsia="宋体" w:cs="宋体"/>
          <w:szCs w:val="21"/>
        </w:rPr>
        <w:t>甲方（全称）：</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rPr>
        <w:t>（采购人）</w:t>
      </w:r>
    </w:p>
    <w:p w14:paraId="217600F6">
      <w:pPr>
        <w:pageBreakBefore w:val="0"/>
        <w:kinsoku/>
        <w:wordWrap/>
        <w:overflowPunct/>
        <w:topLinePunct w:val="0"/>
        <w:bidi w:val="0"/>
        <w:adjustRightInd w:val="0"/>
        <w:snapToGrid w:val="0"/>
        <w:spacing w:before="0" w:beforeLines="0" w:line="400" w:lineRule="exact"/>
        <w:ind w:left="0" w:leftChars="0"/>
        <w:textAlignment w:val="auto"/>
        <w:outlineLvl w:val="9"/>
        <w:rPr>
          <w:rFonts w:hint="eastAsia" w:ascii="宋体" w:hAnsi="宋体" w:eastAsia="宋体" w:cs="宋体"/>
          <w:szCs w:val="21"/>
        </w:rPr>
      </w:pPr>
      <w:r>
        <w:rPr>
          <w:rFonts w:hint="eastAsia" w:ascii="宋体" w:hAnsi="宋体" w:eastAsia="宋体" w:cs="宋体"/>
          <w:szCs w:val="21"/>
        </w:rPr>
        <w:t>乙方（全称）：</w:t>
      </w:r>
      <w:r>
        <w:rPr>
          <w:rFonts w:hint="eastAsia" w:ascii="宋体" w:hAnsi="宋体" w:eastAsia="宋体" w:cs="宋体"/>
          <w:szCs w:val="21"/>
          <w:u w:val="single"/>
        </w:rPr>
        <w:t xml:space="preserve">               </w:t>
      </w:r>
      <w:r>
        <w:rPr>
          <w:rFonts w:hint="eastAsia" w:ascii="宋体" w:hAnsi="宋体" w:eastAsia="宋体" w:cs="宋体"/>
          <w:szCs w:val="21"/>
        </w:rPr>
        <w:t>（供应商）</w:t>
      </w:r>
    </w:p>
    <w:p w14:paraId="57CF30AB">
      <w:pPr>
        <w:pageBreakBefore w:val="0"/>
        <w:kinsoku/>
        <w:wordWrap/>
        <w:overflowPunct/>
        <w:topLinePunct w:val="0"/>
        <w:bidi w:val="0"/>
        <w:spacing w:beforeLines="0" w:line="400" w:lineRule="exact"/>
        <w:ind w:left="0" w:leftChars="0"/>
        <w:textAlignment w:val="auto"/>
        <w:outlineLvl w:val="9"/>
        <w:rPr>
          <w:rFonts w:hint="eastAsia" w:ascii="宋体" w:hAnsi="宋体" w:eastAsia="宋体" w:cs="宋体"/>
          <w:lang w:val="en-US" w:eastAsia="zh-CN"/>
        </w:rPr>
      </w:pPr>
    </w:p>
    <w:p w14:paraId="20533699">
      <w:pPr>
        <w:pStyle w:val="21"/>
        <w:pageBreakBefore w:val="0"/>
        <w:kinsoku/>
        <w:wordWrap/>
        <w:overflowPunct/>
        <w:topLinePunct w:val="0"/>
        <w:bidi w:val="0"/>
        <w:adjustRightInd w:val="0"/>
        <w:snapToGrid w:val="0"/>
        <w:spacing w:before="0" w:beforeLines="0" w:after="0" w:line="400" w:lineRule="exact"/>
        <w:ind w:left="0" w:leftChars="0" w:firstLine="420" w:firstLineChars="200"/>
        <w:textAlignment w:val="auto"/>
        <w:outlineLvl w:val="9"/>
        <w:rPr>
          <w:rFonts w:hint="eastAsia" w:ascii="宋体" w:hAnsi="宋体" w:eastAsia="宋体" w:cs="宋体"/>
          <w:szCs w:val="21"/>
        </w:rPr>
      </w:pPr>
      <w:r>
        <w:rPr>
          <w:rFonts w:hint="eastAsia" w:ascii="宋体" w:hAnsi="宋体" w:eastAsia="宋体" w:cs="宋体"/>
          <w:szCs w:val="21"/>
        </w:rPr>
        <w:t>依据《中华人民共和国民法典》《中华人民共和国政府采购法》等有关的法律法规，以及</w:t>
      </w:r>
      <w:r>
        <w:rPr>
          <w:rFonts w:hint="eastAsia" w:ascii="宋体" w:hAnsi="宋体" w:eastAsia="宋体" w:cs="宋体"/>
          <w:i w:val="0"/>
          <w:iCs w:val="0"/>
          <w:szCs w:val="21"/>
          <w:u w:val="none"/>
          <w:lang w:eastAsia="zh-CN"/>
        </w:rPr>
        <w:t>本采购项目</w:t>
      </w:r>
      <w:r>
        <w:rPr>
          <w:rFonts w:hint="eastAsia" w:ascii="宋体" w:hAnsi="宋体" w:eastAsia="宋体" w:cs="宋体"/>
          <w:szCs w:val="21"/>
        </w:rPr>
        <w:t>的采购文件</w:t>
      </w:r>
      <w:r>
        <w:rPr>
          <w:rFonts w:hint="eastAsia" w:ascii="宋体" w:hAnsi="宋体" w:eastAsia="宋体" w:cs="宋体"/>
          <w:szCs w:val="21"/>
          <w:lang w:eastAsia="zh-CN"/>
        </w:rPr>
        <w:t>、</w:t>
      </w:r>
      <w:r>
        <w:rPr>
          <w:rFonts w:hint="eastAsia" w:ascii="宋体" w:hAnsi="宋体" w:eastAsia="宋体" w:cs="宋体"/>
          <w:szCs w:val="21"/>
        </w:rPr>
        <w:t xml:space="preserve">乙方的《投标文件》及《中标通知书》，甲乙双方同意签订本合同。具体情况及要求如下：     </w:t>
      </w:r>
    </w:p>
    <w:p w14:paraId="087BAF4C">
      <w:pPr>
        <w:pageBreakBefore w:val="0"/>
        <w:numPr>
          <w:ilvl w:val="0"/>
          <w:numId w:val="3"/>
        </w:numPr>
        <w:kinsoku/>
        <w:wordWrap/>
        <w:overflowPunct/>
        <w:topLinePunct w:val="0"/>
        <w:bidi w:val="0"/>
        <w:adjustRightInd w:val="0"/>
        <w:snapToGrid w:val="0"/>
        <w:spacing w:before="0" w:beforeLines="0" w:line="400" w:lineRule="exact"/>
        <w:ind w:left="0" w:leftChars="0" w:firstLine="422" w:firstLineChars="200"/>
        <w:textAlignment w:val="auto"/>
        <w:outlineLvl w:val="9"/>
        <w:rPr>
          <w:rFonts w:hint="eastAsia" w:ascii="宋体" w:hAnsi="宋体" w:eastAsia="宋体" w:cs="宋体"/>
          <w:b/>
          <w:szCs w:val="21"/>
        </w:rPr>
      </w:pPr>
      <w:r>
        <w:rPr>
          <w:rFonts w:hint="eastAsia" w:ascii="宋体" w:hAnsi="宋体" w:eastAsia="宋体" w:cs="宋体"/>
          <w:b/>
          <w:szCs w:val="21"/>
        </w:rPr>
        <w:t>项目信息</w:t>
      </w:r>
    </w:p>
    <w:p w14:paraId="6973BEC6">
      <w:pPr>
        <w:pStyle w:val="21"/>
        <w:pageBreakBefore w:val="0"/>
        <w:numPr>
          <w:ilvl w:val="0"/>
          <w:numId w:val="4"/>
        </w:numPr>
        <w:kinsoku/>
        <w:wordWrap/>
        <w:overflowPunct/>
        <w:topLinePunct w:val="0"/>
        <w:bidi w:val="0"/>
        <w:adjustRightInd w:val="0"/>
        <w:snapToGrid w:val="0"/>
        <w:spacing w:before="0" w:beforeLines="0" w:after="0" w:line="400" w:lineRule="exact"/>
        <w:ind w:left="0" w:leftChars="0" w:firstLine="420" w:firstLineChars="200"/>
        <w:textAlignment w:val="auto"/>
        <w:outlineLvl w:val="9"/>
        <w:rPr>
          <w:rFonts w:hint="eastAsia" w:ascii="宋体" w:hAnsi="宋体" w:eastAsia="宋体" w:cs="宋体"/>
          <w:szCs w:val="21"/>
          <w:u w:val="none"/>
          <w:lang w:val="en-US" w:eastAsia="zh-CN"/>
        </w:rPr>
      </w:pPr>
      <w:r>
        <w:rPr>
          <w:rFonts w:hint="eastAsia" w:ascii="宋体" w:hAnsi="宋体" w:eastAsia="宋体" w:cs="宋体"/>
          <w:szCs w:val="21"/>
        </w:rPr>
        <w:t>采购项目名称：</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u w:val="single"/>
        </w:rPr>
        <w:t xml:space="preserve"> </w:t>
      </w:r>
    </w:p>
    <w:p w14:paraId="58041B6A">
      <w:pPr>
        <w:pStyle w:val="21"/>
        <w:pageBreakBefore w:val="0"/>
        <w:kinsoku/>
        <w:wordWrap/>
        <w:overflowPunct/>
        <w:topLinePunct w:val="0"/>
        <w:bidi w:val="0"/>
        <w:adjustRightInd w:val="0"/>
        <w:snapToGrid w:val="0"/>
        <w:spacing w:before="0" w:beforeLines="0" w:after="0" w:line="400" w:lineRule="exact"/>
        <w:ind w:left="0" w:leftChars="0" w:firstLine="420" w:firstLineChars="200"/>
        <w:textAlignment w:val="auto"/>
        <w:outlineLvl w:val="9"/>
        <w:rPr>
          <w:rFonts w:hint="eastAsia" w:ascii="宋体" w:hAnsi="宋体" w:eastAsia="宋体" w:cs="宋体"/>
          <w:szCs w:val="21"/>
        </w:rPr>
      </w:pPr>
      <w:r>
        <w:rPr>
          <w:rFonts w:hint="eastAsia" w:ascii="宋体" w:hAnsi="宋体" w:eastAsia="宋体" w:cs="宋体"/>
          <w:szCs w:val="21"/>
        </w:rPr>
        <w:t>（2）采购计划编号：</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u w:val="single"/>
        </w:rPr>
        <w:t xml:space="preserve">  </w:t>
      </w:r>
    </w:p>
    <w:p w14:paraId="3F79E763">
      <w:pPr>
        <w:pageBreakBefore w:val="0"/>
        <w:kinsoku/>
        <w:wordWrap/>
        <w:overflowPunct/>
        <w:topLinePunct w:val="0"/>
        <w:bidi w:val="0"/>
        <w:adjustRightInd w:val="0"/>
        <w:snapToGrid w:val="0"/>
        <w:spacing w:before="0" w:beforeLines="0" w:line="400" w:lineRule="exact"/>
        <w:ind w:left="0" w:leftChars="0" w:firstLine="420" w:firstLineChars="200"/>
        <w:textAlignment w:val="auto"/>
        <w:outlineLvl w:val="9"/>
        <w:rPr>
          <w:rFonts w:hint="eastAsia" w:ascii="宋体" w:hAnsi="宋体" w:eastAsia="宋体" w:cs="宋体"/>
          <w:szCs w:val="21"/>
        </w:rPr>
      </w:pPr>
      <w:r>
        <w:rPr>
          <w:rFonts w:hint="eastAsia" w:ascii="宋体" w:hAnsi="宋体" w:eastAsia="宋体" w:cs="宋体"/>
          <w:szCs w:val="21"/>
        </w:rPr>
        <w:t>（3）项目内容：</w:t>
      </w:r>
    </w:p>
    <w:p w14:paraId="559BB652">
      <w:pPr>
        <w:pageBreakBefore w:val="0"/>
        <w:kinsoku/>
        <w:wordWrap/>
        <w:overflowPunct/>
        <w:topLinePunct w:val="0"/>
        <w:bidi w:val="0"/>
        <w:adjustRightInd w:val="0"/>
        <w:snapToGrid w:val="0"/>
        <w:spacing w:before="0" w:beforeLines="0" w:line="400" w:lineRule="exact"/>
        <w:ind w:left="0" w:leftChars="0" w:firstLine="420" w:firstLineChars="200"/>
        <w:textAlignment w:val="auto"/>
        <w:outlineLvl w:val="9"/>
        <w:rPr>
          <w:rFonts w:hint="eastAsia" w:ascii="宋体" w:hAnsi="宋体" w:eastAsia="宋体" w:cs="宋体"/>
          <w:szCs w:val="21"/>
          <w:lang w:val="en-US" w:eastAsia="zh-CN"/>
        </w:rPr>
      </w:pPr>
      <w:r>
        <w:rPr>
          <w:rFonts w:hint="eastAsia" w:ascii="宋体" w:hAnsi="宋体" w:eastAsia="宋体" w:cs="宋体"/>
          <w:szCs w:val="21"/>
          <w:lang w:val="en-US" w:eastAsia="zh-CN"/>
        </w:rPr>
        <w:t xml:space="preserve">     </w:t>
      </w:r>
      <w:r>
        <w:rPr>
          <w:rFonts w:hint="eastAsia" w:ascii="宋体" w:hAnsi="宋体" w:eastAsia="宋体" w:cs="宋体"/>
          <w:szCs w:val="21"/>
          <w:lang w:eastAsia="zh-CN"/>
        </w:rPr>
        <w:t>采购标的及数量</w:t>
      </w:r>
      <w:r>
        <w:rPr>
          <w:rFonts w:hint="eastAsia" w:ascii="宋体" w:hAnsi="宋体" w:eastAsia="宋体" w:cs="宋体"/>
          <w:szCs w:val="21"/>
          <w:lang w:val="en-US" w:eastAsia="zh-CN"/>
        </w:rPr>
        <w:t>（台/套</w:t>
      </w:r>
      <w:r>
        <w:rPr>
          <w:rFonts w:hint="eastAsia" w:ascii="宋体" w:hAnsi="宋体" w:eastAsia="宋体" w:cs="宋体"/>
          <w:szCs w:val="21"/>
          <w:lang w:val="en" w:eastAsia="zh-CN"/>
        </w:rPr>
        <w:t>/个/架/组等</w:t>
      </w:r>
      <w:r>
        <w:rPr>
          <w:rFonts w:hint="eastAsia" w:ascii="宋体" w:hAnsi="宋体" w:eastAsia="宋体" w:cs="宋体"/>
          <w:szCs w:val="21"/>
          <w:lang w:val="en-US" w:eastAsia="zh-CN"/>
        </w:rPr>
        <w:t>）</w:t>
      </w:r>
      <w:r>
        <w:rPr>
          <w:rFonts w:hint="eastAsia" w:ascii="宋体" w:hAnsi="宋体" w:eastAsia="宋体" w:cs="宋体"/>
          <w:szCs w:val="21"/>
          <w:lang w:eastAsia="zh-CN"/>
        </w:rPr>
        <w:t>：</w:t>
      </w:r>
      <w:r>
        <w:rPr>
          <w:rFonts w:hint="eastAsia" w:ascii="宋体" w:hAnsi="宋体" w:eastAsia="宋体" w:cs="宋体"/>
          <w:szCs w:val="21"/>
          <w:u w:val="single"/>
          <w:lang w:val="en-US" w:eastAsia="zh-CN"/>
        </w:rPr>
        <w:t xml:space="preserve">                                     </w:t>
      </w:r>
      <w:r>
        <w:rPr>
          <w:rFonts w:hint="eastAsia" w:ascii="宋体" w:hAnsi="宋体" w:eastAsia="宋体" w:cs="宋体"/>
          <w:szCs w:val="21"/>
          <w:lang w:val="en-US" w:eastAsia="zh-CN"/>
        </w:rPr>
        <w:t xml:space="preserve"> </w:t>
      </w:r>
    </w:p>
    <w:p w14:paraId="7AE63C54">
      <w:pPr>
        <w:pageBreakBefore w:val="0"/>
        <w:numPr>
          <w:ilvl w:val="0"/>
          <w:numId w:val="0"/>
        </w:numPr>
        <w:kinsoku/>
        <w:wordWrap/>
        <w:overflowPunct/>
        <w:topLinePunct w:val="0"/>
        <w:bidi w:val="0"/>
        <w:adjustRightInd w:val="0"/>
        <w:snapToGrid w:val="0"/>
        <w:spacing w:before="0" w:beforeLines="0" w:line="400" w:lineRule="exact"/>
        <w:ind w:left="0" w:leftChars="0" w:firstLine="420" w:firstLineChars="200"/>
        <w:textAlignment w:val="auto"/>
        <w:outlineLvl w:val="9"/>
        <w:rPr>
          <w:rFonts w:hint="eastAsia" w:ascii="宋体" w:hAnsi="宋体" w:eastAsia="宋体" w:cs="宋体"/>
          <w:szCs w:val="21"/>
          <w:lang w:val="en" w:eastAsia="zh-CN"/>
        </w:rPr>
      </w:pPr>
      <w:r>
        <w:rPr>
          <w:rFonts w:hint="eastAsia" w:ascii="宋体" w:hAnsi="宋体" w:eastAsia="宋体" w:cs="宋体"/>
          <w:szCs w:val="21"/>
          <w:highlight w:val="none"/>
          <w:u w:val="none"/>
          <w:lang w:val="en-US" w:eastAsia="zh-CN"/>
        </w:rPr>
        <w:t xml:space="preserve">     </w:t>
      </w:r>
      <w:r>
        <w:rPr>
          <w:rFonts w:hint="eastAsia" w:ascii="宋体" w:hAnsi="宋体" w:eastAsia="宋体" w:cs="宋体"/>
          <w:szCs w:val="21"/>
          <w:lang w:val="en-US" w:eastAsia="zh-CN"/>
        </w:rPr>
        <w:t>品牌：</w:t>
      </w:r>
      <w:r>
        <w:rPr>
          <w:rFonts w:hint="eastAsia" w:ascii="宋体" w:hAnsi="宋体" w:eastAsia="宋体" w:cs="宋体"/>
          <w:szCs w:val="21"/>
          <w:u w:val="single"/>
          <w:lang w:val="en-US" w:eastAsia="zh-CN"/>
        </w:rPr>
        <w:t xml:space="preserve">      </w:t>
      </w:r>
      <w:r>
        <w:rPr>
          <w:rFonts w:hint="eastAsia" w:ascii="宋体" w:hAnsi="宋体" w:eastAsia="宋体" w:cs="宋体"/>
          <w:szCs w:val="21"/>
          <w:u w:val="single"/>
          <w:lang w:val="en" w:eastAsia="zh-CN"/>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u w:val="single"/>
          <w:lang w:val="en" w:eastAsia="zh-CN"/>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u w:val="none"/>
          <w:lang w:val="en" w:eastAsia="zh-CN"/>
        </w:rPr>
        <w:t xml:space="preserve">     </w:t>
      </w:r>
      <w:r>
        <w:rPr>
          <w:rFonts w:hint="eastAsia" w:ascii="宋体" w:hAnsi="宋体" w:eastAsia="宋体" w:cs="宋体"/>
          <w:szCs w:val="21"/>
          <w:lang w:val="en-US" w:eastAsia="zh-CN"/>
        </w:rPr>
        <w:t>规格型号：</w:t>
      </w:r>
      <w:r>
        <w:rPr>
          <w:rFonts w:hint="eastAsia" w:ascii="宋体" w:hAnsi="宋体" w:eastAsia="宋体" w:cs="宋体"/>
          <w:szCs w:val="21"/>
          <w:u w:val="single"/>
          <w:lang w:val="en-US" w:eastAsia="zh-CN"/>
        </w:rPr>
        <w:t xml:space="preserve">   </w:t>
      </w:r>
      <w:r>
        <w:rPr>
          <w:rFonts w:hint="eastAsia" w:ascii="宋体" w:hAnsi="宋体" w:eastAsia="宋体" w:cs="宋体"/>
          <w:szCs w:val="21"/>
          <w:u w:val="single"/>
          <w:lang w:val="en" w:eastAsia="zh-CN"/>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u w:val="single"/>
          <w:lang w:val="en" w:eastAsia="zh-CN"/>
        </w:rPr>
        <w:t xml:space="preserve">   </w:t>
      </w:r>
    </w:p>
    <w:p w14:paraId="27EE264D">
      <w:pPr>
        <w:pageBreakBefore w:val="0"/>
        <w:kinsoku/>
        <w:wordWrap/>
        <w:overflowPunct/>
        <w:topLinePunct w:val="0"/>
        <w:bidi w:val="0"/>
        <w:adjustRightInd w:val="0"/>
        <w:snapToGrid w:val="0"/>
        <w:spacing w:before="0" w:beforeLines="0" w:line="400" w:lineRule="exact"/>
        <w:ind w:left="0" w:leftChars="0" w:firstLine="945" w:firstLineChars="450"/>
        <w:textAlignment w:val="auto"/>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u w:val="none"/>
          <w:lang w:val="en-US" w:eastAsia="zh-CN"/>
        </w:rPr>
        <w:t>配置清单详见附件。</w:t>
      </w:r>
    </w:p>
    <w:p w14:paraId="38EE4412">
      <w:pPr>
        <w:pStyle w:val="290"/>
        <w:pageBreakBefore w:val="0"/>
        <w:numPr>
          <w:ilvl w:val="0"/>
          <w:numId w:val="0"/>
        </w:numPr>
        <w:kinsoku/>
        <w:wordWrap/>
        <w:overflowPunct/>
        <w:topLinePunct w:val="0"/>
        <w:bidi w:val="0"/>
        <w:adjustRightInd w:val="0"/>
        <w:snapToGrid w:val="0"/>
        <w:spacing w:before="0" w:beforeLines="0" w:line="400" w:lineRule="exact"/>
        <w:ind w:left="0" w:leftChars="0" w:firstLine="0" w:firstLineChars="0"/>
        <w:textAlignment w:val="auto"/>
        <w:outlineLvl w:val="9"/>
        <w:rPr>
          <w:rFonts w:hint="eastAsia" w:ascii="宋体" w:hAnsi="宋体" w:eastAsia="宋体" w:cs="宋体"/>
          <w:iCs w:val="0"/>
          <w:sz w:val="21"/>
          <w:szCs w:val="21"/>
          <w:lang w:val="en-US" w:eastAsia="zh-CN"/>
        </w:rPr>
      </w:pPr>
      <w:r>
        <w:rPr>
          <w:rFonts w:hint="eastAsia" w:ascii="宋体" w:hAnsi="宋体" w:eastAsia="宋体" w:cs="宋体"/>
          <w:iCs w:val="0"/>
          <w:sz w:val="21"/>
          <w:szCs w:val="21"/>
          <w:lang w:val="en-US" w:eastAsia="zh-CN"/>
        </w:rPr>
        <w:t xml:space="preserve">    （</w:t>
      </w:r>
      <w:r>
        <w:rPr>
          <w:rFonts w:hint="eastAsia" w:ascii="宋体" w:hAnsi="宋体" w:eastAsia="宋体" w:cs="宋体"/>
          <w:iCs w:val="0"/>
          <w:sz w:val="21"/>
          <w:szCs w:val="21"/>
          <w:lang w:val="en" w:eastAsia="zh-CN"/>
        </w:rPr>
        <w:t>4</w:t>
      </w:r>
      <w:r>
        <w:rPr>
          <w:rFonts w:hint="eastAsia" w:ascii="宋体" w:hAnsi="宋体" w:eastAsia="宋体" w:cs="宋体"/>
          <w:iCs w:val="0"/>
          <w:sz w:val="21"/>
          <w:szCs w:val="21"/>
          <w:lang w:val="en-US" w:eastAsia="zh-CN"/>
        </w:rPr>
        <w:t>）政府采购组织形式：</w:t>
      </w:r>
      <w:r>
        <w:rPr>
          <w:rFonts w:hint="eastAsia" w:ascii="宋体" w:hAnsi="宋体" w:eastAsia="宋体" w:cs="宋体"/>
          <w:iCs w:val="0"/>
          <w:sz w:val="21"/>
          <w:szCs w:val="21"/>
        </w:rPr>
        <w:sym w:font="Wingdings" w:char="00A8"/>
      </w:r>
      <w:r>
        <w:rPr>
          <w:rFonts w:hint="eastAsia" w:ascii="宋体" w:hAnsi="宋体" w:eastAsia="宋体" w:cs="宋体"/>
          <w:iCs w:val="0"/>
          <w:sz w:val="21"/>
          <w:szCs w:val="21"/>
          <w:lang w:eastAsia="zh-CN"/>
        </w:rPr>
        <w:t>政府集中采购</w:t>
      </w:r>
      <w:r>
        <w:rPr>
          <w:rFonts w:hint="eastAsia" w:ascii="宋体" w:hAnsi="宋体" w:eastAsia="宋体" w:cs="宋体"/>
          <w:iCs w:val="0"/>
          <w:sz w:val="21"/>
          <w:szCs w:val="21"/>
          <w:lang w:val="en-US" w:eastAsia="zh-CN"/>
        </w:rPr>
        <w:t xml:space="preserve">  </w:t>
      </w:r>
      <w:r>
        <w:rPr>
          <w:rFonts w:hint="eastAsia" w:ascii="宋体" w:hAnsi="宋体" w:eastAsia="宋体" w:cs="宋体"/>
          <w:iCs w:val="0"/>
          <w:sz w:val="21"/>
          <w:szCs w:val="21"/>
        </w:rPr>
        <w:sym w:font="Wingdings" w:char="00A8"/>
      </w:r>
      <w:r>
        <w:rPr>
          <w:rFonts w:hint="eastAsia" w:ascii="宋体" w:hAnsi="宋体" w:eastAsia="宋体" w:cs="宋体"/>
          <w:iCs w:val="0"/>
          <w:sz w:val="21"/>
          <w:szCs w:val="21"/>
          <w:lang w:val="en-US" w:eastAsia="zh-CN"/>
        </w:rPr>
        <w:t xml:space="preserve">部门集中采购  </w:t>
      </w:r>
      <w:r>
        <w:rPr>
          <w:rFonts w:hint="eastAsia" w:ascii="宋体" w:hAnsi="宋体" w:eastAsia="宋体" w:cs="宋体"/>
          <w:iCs w:val="0"/>
          <w:sz w:val="21"/>
          <w:szCs w:val="21"/>
        </w:rPr>
        <w:sym w:font="Wingdings" w:char="00FE"/>
      </w:r>
      <w:r>
        <w:rPr>
          <w:rFonts w:hint="eastAsia" w:ascii="宋体" w:hAnsi="宋体" w:eastAsia="宋体" w:cs="宋体"/>
          <w:iCs w:val="0"/>
          <w:sz w:val="21"/>
          <w:szCs w:val="21"/>
          <w:lang w:val="en-US" w:eastAsia="zh-CN"/>
        </w:rPr>
        <w:t>分散采购</w:t>
      </w:r>
    </w:p>
    <w:p w14:paraId="45AF774A">
      <w:pPr>
        <w:pStyle w:val="290"/>
        <w:pageBreakBefore w:val="0"/>
        <w:numPr>
          <w:ilvl w:val="0"/>
          <w:numId w:val="0"/>
        </w:numPr>
        <w:kinsoku/>
        <w:wordWrap/>
        <w:overflowPunct/>
        <w:topLinePunct w:val="0"/>
        <w:bidi w:val="0"/>
        <w:adjustRightInd w:val="0"/>
        <w:snapToGrid w:val="0"/>
        <w:spacing w:before="0" w:beforeLines="0" w:line="400" w:lineRule="exact"/>
        <w:ind w:left="0" w:leftChars="0" w:firstLine="420" w:firstLineChars="0"/>
        <w:textAlignment w:val="auto"/>
        <w:outlineLvl w:val="9"/>
        <w:rPr>
          <w:rFonts w:hint="eastAsia" w:ascii="宋体" w:hAnsi="宋体" w:eastAsia="宋体" w:cs="宋体"/>
          <w:iCs w:val="0"/>
          <w:sz w:val="21"/>
          <w:szCs w:val="21"/>
          <w:lang w:eastAsia="zh-CN"/>
        </w:rPr>
      </w:pPr>
      <w:r>
        <w:rPr>
          <w:rFonts w:hint="eastAsia" w:ascii="宋体" w:hAnsi="宋体" w:eastAsia="宋体" w:cs="宋体"/>
          <w:iCs w:val="0"/>
          <w:sz w:val="21"/>
          <w:szCs w:val="21"/>
          <w:lang w:val="en-US" w:eastAsia="zh-CN"/>
        </w:rPr>
        <w:t>（</w:t>
      </w:r>
      <w:r>
        <w:rPr>
          <w:rFonts w:hint="eastAsia" w:ascii="宋体" w:hAnsi="宋体" w:eastAsia="宋体" w:cs="宋体"/>
          <w:iCs w:val="0"/>
          <w:sz w:val="21"/>
          <w:szCs w:val="21"/>
          <w:lang w:val="en" w:eastAsia="zh-CN"/>
        </w:rPr>
        <w:t>5</w:t>
      </w:r>
      <w:r>
        <w:rPr>
          <w:rFonts w:hint="eastAsia" w:ascii="宋体" w:hAnsi="宋体" w:eastAsia="宋体" w:cs="宋体"/>
          <w:iCs w:val="0"/>
          <w:sz w:val="21"/>
          <w:szCs w:val="21"/>
          <w:lang w:val="en-US" w:eastAsia="zh-CN"/>
        </w:rPr>
        <w:t>）政府采购方式：</w:t>
      </w:r>
      <w:r>
        <w:rPr>
          <w:rFonts w:hint="eastAsia" w:ascii="宋体" w:hAnsi="宋体" w:eastAsia="宋体" w:cs="宋体"/>
          <w:iCs w:val="0"/>
          <w:sz w:val="21"/>
          <w:szCs w:val="21"/>
        </w:rPr>
        <w:sym w:font="Wingdings" w:char="00FE"/>
      </w:r>
      <w:r>
        <w:rPr>
          <w:rFonts w:hint="eastAsia" w:ascii="宋体" w:hAnsi="宋体" w:eastAsia="宋体" w:cs="宋体"/>
          <w:iCs w:val="0"/>
          <w:sz w:val="21"/>
          <w:szCs w:val="21"/>
          <w:lang w:eastAsia="zh-CN"/>
        </w:rPr>
        <w:t>公开招标</w:t>
      </w:r>
      <w:r>
        <w:rPr>
          <w:rFonts w:hint="eastAsia" w:ascii="宋体" w:hAnsi="宋体" w:eastAsia="宋体" w:cs="宋体"/>
          <w:iCs w:val="0"/>
          <w:sz w:val="21"/>
          <w:szCs w:val="21"/>
          <w:lang w:val="en-US" w:eastAsia="zh-CN"/>
        </w:rPr>
        <w:t xml:space="preserve"> </w:t>
      </w:r>
      <w:r>
        <w:rPr>
          <w:rFonts w:hint="eastAsia" w:ascii="宋体" w:hAnsi="宋体" w:eastAsia="宋体" w:cs="宋体"/>
          <w:iCs w:val="0"/>
          <w:sz w:val="21"/>
          <w:szCs w:val="21"/>
        </w:rPr>
        <w:sym w:font="Wingdings" w:char="00A8"/>
      </w:r>
      <w:r>
        <w:rPr>
          <w:rFonts w:hint="eastAsia" w:ascii="宋体" w:hAnsi="宋体" w:eastAsia="宋体" w:cs="宋体"/>
          <w:iCs w:val="0"/>
          <w:sz w:val="21"/>
          <w:szCs w:val="21"/>
          <w:lang w:eastAsia="zh-CN"/>
        </w:rPr>
        <w:t>邀请招标</w:t>
      </w:r>
      <w:r>
        <w:rPr>
          <w:rFonts w:hint="eastAsia" w:ascii="宋体" w:hAnsi="宋体" w:eastAsia="宋体" w:cs="宋体"/>
          <w:iCs w:val="0"/>
          <w:sz w:val="21"/>
          <w:szCs w:val="21"/>
          <w:lang w:val="en-US" w:eastAsia="zh-CN"/>
        </w:rPr>
        <w:t xml:space="preserve"> </w:t>
      </w:r>
      <w:r>
        <w:rPr>
          <w:rFonts w:hint="eastAsia" w:ascii="宋体" w:hAnsi="宋体" w:eastAsia="宋体" w:cs="宋体"/>
          <w:iCs w:val="0"/>
          <w:sz w:val="21"/>
          <w:szCs w:val="21"/>
        </w:rPr>
        <w:sym w:font="Wingdings" w:char="00A8"/>
      </w:r>
      <w:r>
        <w:rPr>
          <w:rFonts w:hint="eastAsia" w:ascii="宋体" w:hAnsi="宋体" w:eastAsia="宋体" w:cs="宋体"/>
          <w:iCs w:val="0"/>
          <w:sz w:val="21"/>
          <w:szCs w:val="21"/>
          <w:lang w:eastAsia="zh-CN"/>
        </w:rPr>
        <w:t>竞争性谈判</w:t>
      </w:r>
      <w:r>
        <w:rPr>
          <w:rFonts w:hint="eastAsia" w:ascii="宋体" w:hAnsi="宋体" w:eastAsia="宋体" w:cs="宋体"/>
          <w:iCs w:val="0"/>
          <w:sz w:val="21"/>
          <w:szCs w:val="21"/>
          <w:lang w:val="en-US" w:eastAsia="zh-CN"/>
        </w:rPr>
        <w:t xml:space="preserve"> </w:t>
      </w:r>
      <w:r>
        <w:rPr>
          <w:rFonts w:hint="eastAsia" w:ascii="宋体" w:hAnsi="宋体" w:eastAsia="宋体" w:cs="宋体"/>
          <w:iCs w:val="0"/>
          <w:sz w:val="21"/>
          <w:szCs w:val="21"/>
        </w:rPr>
        <w:sym w:font="Wingdings" w:char="00A8"/>
      </w:r>
      <w:r>
        <w:rPr>
          <w:rFonts w:hint="eastAsia" w:ascii="宋体" w:hAnsi="宋体" w:eastAsia="宋体" w:cs="宋体"/>
          <w:iCs w:val="0"/>
          <w:sz w:val="21"/>
          <w:szCs w:val="21"/>
          <w:lang w:eastAsia="zh-CN"/>
        </w:rPr>
        <w:t>竞争性磋商</w:t>
      </w:r>
    </w:p>
    <w:p w14:paraId="16862F64">
      <w:pPr>
        <w:pStyle w:val="290"/>
        <w:pageBreakBefore w:val="0"/>
        <w:numPr>
          <w:ilvl w:val="0"/>
          <w:numId w:val="0"/>
        </w:numPr>
        <w:kinsoku/>
        <w:wordWrap/>
        <w:overflowPunct/>
        <w:topLinePunct w:val="0"/>
        <w:bidi w:val="0"/>
        <w:adjustRightInd w:val="0"/>
        <w:snapToGrid w:val="0"/>
        <w:spacing w:before="0" w:beforeLines="0" w:line="400" w:lineRule="exact"/>
        <w:ind w:left="0" w:leftChars="0" w:firstLine="420" w:firstLineChars="0"/>
        <w:textAlignment w:val="auto"/>
        <w:outlineLvl w:val="9"/>
        <w:rPr>
          <w:rFonts w:hint="eastAsia" w:ascii="宋体" w:hAnsi="宋体" w:eastAsia="宋体" w:cs="宋体"/>
          <w:iCs w:val="0"/>
          <w:sz w:val="21"/>
          <w:szCs w:val="21"/>
          <w:u w:val="single"/>
          <w:lang w:val="en-US" w:eastAsia="zh-CN"/>
        </w:rPr>
      </w:pPr>
      <w:r>
        <w:rPr>
          <w:rFonts w:hint="eastAsia" w:ascii="宋体" w:hAnsi="宋体" w:eastAsia="宋体" w:cs="宋体"/>
          <w:szCs w:val="21"/>
          <w:u w:val="none"/>
          <w:lang w:val="en-US" w:eastAsia="zh-CN"/>
        </w:rPr>
        <w:t xml:space="preserve">                  </w:t>
      </w:r>
      <w:r>
        <w:rPr>
          <w:rFonts w:hint="eastAsia" w:ascii="宋体" w:hAnsi="宋体" w:eastAsia="宋体" w:cs="宋体"/>
          <w:iCs w:val="0"/>
          <w:sz w:val="21"/>
          <w:szCs w:val="21"/>
        </w:rPr>
        <w:sym w:font="Wingdings" w:char="00A8"/>
      </w:r>
      <w:r>
        <w:rPr>
          <w:rFonts w:hint="eastAsia" w:ascii="宋体" w:hAnsi="宋体" w:eastAsia="宋体" w:cs="宋体"/>
          <w:iCs w:val="0"/>
          <w:sz w:val="21"/>
          <w:szCs w:val="21"/>
          <w:lang w:eastAsia="zh-CN"/>
        </w:rPr>
        <w:t>询价</w:t>
      </w:r>
      <w:r>
        <w:rPr>
          <w:rFonts w:hint="eastAsia" w:ascii="宋体" w:hAnsi="宋体" w:eastAsia="宋体" w:cs="宋体"/>
          <w:iCs w:val="0"/>
          <w:sz w:val="21"/>
          <w:szCs w:val="21"/>
          <w:lang w:val="en-US" w:eastAsia="zh-CN"/>
        </w:rPr>
        <w:t xml:space="preserve"> </w:t>
      </w:r>
      <w:r>
        <w:rPr>
          <w:rFonts w:hint="eastAsia" w:ascii="宋体" w:hAnsi="宋体" w:eastAsia="宋体" w:cs="宋体"/>
          <w:iCs w:val="0"/>
          <w:sz w:val="21"/>
          <w:szCs w:val="21"/>
        </w:rPr>
        <w:sym w:font="Wingdings" w:char="00A8"/>
      </w:r>
      <w:r>
        <w:rPr>
          <w:rFonts w:hint="eastAsia" w:ascii="宋体" w:hAnsi="宋体" w:eastAsia="宋体" w:cs="宋体"/>
          <w:iCs w:val="0"/>
          <w:sz w:val="21"/>
          <w:szCs w:val="21"/>
          <w:lang w:eastAsia="zh-CN"/>
        </w:rPr>
        <w:t>单一来源</w:t>
      </w:r>
      <w:r>
        <w:rPr>
          <w:rFonts w:hint="eastAsia" w:ascii="宋体" w:hAnsi="宋体" w:eastAsia="宋体" w:cs="宋体"/>
          <w:iCs w:val="0"/>
          <w:sz w:val="21"/>
          <w:szCs w:val="21"/>
          <w:lang w:val="en-US" w:eastAsia="zh-CN"/>
        </w:rPr>
        <w:t xml:space="preserve"> </w:t>
      </w:r>
      <w:r>
        <w:rPr>
          <w:rFonts w:hint="eastAsia" w:ascii="宋体" w:hAnsi="宋体" w:eastAsia="宋体" w:cs="宋体"/>
          <w:iCs w:val="0"/>
          <w:sz w:val="21"/>
          <w:szCs w:val="21"/>
        </w:rPr>
        <w:sym w:font="Wingdings" w:char="00A8"/>
      </w:r>
      <w:r>
        <w:rPr>
          <w:rFonts w:hint="eastAsia" w:ascii="宋体" w:hAnsi="宋体" w:eastAsia="宋体" w:cs="宋体"/>
          <w:iCs w:val="0"/>
          <w:sz w:val="21"/>
          <w:szCs w:val="21"/>
          <w:lang w:eastAsia="zh-CN"/>
        </w:rPr>
        <w:t>框架协议</w:t>
      </w:r>
      <w:r>
        <w:rPr>
          <w:rFonts w:hint="eastAsia" w:ascii="宋体" w:hAnsi="宋体" w:eastAsia="宋体" w:cs="宋体"/>
          <w:iCs w:val="0"/>
          <w:sz w:val="21"/>
          <w:szCs w:val="21"/>
          <w:lang w:val="en-US" w:eastAsia="zh-CN"/>
        </w:rPr>
        <w:t xml:space="preserve"> </w:t>
      </w:r>
      <w:r>
        <w:rPr>
          <w:rFonts w:hint="eastAsia" w:ascii="宋体" w:hAnsi="宋体" w:eastAsia="宋体" w:cs="宋体"/>
          <w:iCs w:val="0"/>
          <w:sz w:val="21"/>
          <w:szCs w:val="21"/>
        </w:rPr>
        <w:sym w:font="Wingdings" w:char="00A8"/>
      </w:r>
      <w:r>
        <w:rPr>
          <w:rFonts w:hint="eastAsia" w:ascii="宋体" w:hAnsi="宋体" w:eastAsia="宋体" w:cs="宋体"/>
          <w:iCs w:val="0"/>
          <w:sz w:val="21"/>
          <w:szCs w:val="21"/>
          <w:lang w:eastAsia="zh-CN"/>
        </w:rPr>
        <w:t>其他：</w:t>
      </w:r>
      <w:r>
        <w:rPr>
          <w:rFonts w:hint="eastAsia" w:ascii="宋体" w:hAnsi="宋体" w:eastAsia="宋体" w:cs="宋体"/>
          <w:iCs w:val="0"/>
          <w:sz w:val="21"/>
          <w:szCs w:val="21"/>
          <w:u w:val="single"/>
          <w:lang w:val="en-US" w:eastAsia="zh-CN"/>
        </w:rPr>
        <w:t xml:space="preserve">          </w:t>
      </w:r>
    </w:p>
    <w:p w14:paraId="787CE68E">
      <w:pPr>
        <w:pStyle w:val="290"/>
        <w:pageBreakBefore w:val="0"/>
        <w:numPr>
          <w:ilvl w:val="0"/>
          <w:numId w:val="0"/>
        </w:numPr>
        <w:kinsoku/>
        <w:wordWrap/>
        <w:overflowPunct/>
        <w:topLinePunct w:val="0"/>
        <w:bidi w:val="0"/>
        <w:adjustRightInd w:val="0"/>
        <w:snapToGrid w:val="0"/>
        <w:spacing w:before="0" w:beforeLines="0" w:line="400" w:lineRule="exact"/>
        <w:ind w:left="0" w:leftChars="0" w:firstLine="220" w:firstLineChars="100"/>
        <w:textAlignment w:val="auto"/>
        <w:outlineLvl w:val="9"/>
        <w:rPr>
          <w:rFonts w:hint="eastAsia" w:ascii="宋体" w:hAnsi="宋体" w:eastAsia="宋体" w:cs="宋体"/>
          <w:w w:val="100"/>
          <w:kern w:val="2"/>
          <w:sz w:val="21"/>
          <w:szCs w:val="21"/>
          <w:lang w:val="en-US" w:eastAsia="zh-CN" w:bidi="ar-SA"/>
        </w:rPr>
      </w:pPr>
      <w:r>
        <w:rPr>
          <w:rFonts w:hint="eastAsia" w:ascii="宋体" w:hAnsi="宋体" w:eastAsia="宋体" w:cs="宋体"/>
          <w:szCs w:val="21"/>
          <w:lang w:val="en-US" w:eastAsia="zh-CN"/>
        </w:rPr>
        <w:t xml:space="preserve">  </w:t>
      </w:r>
      <w:r>
        <w:rPr>
          <w:rFonts w:hint="eastAsia" w:ascii="宋体" w:hAnsi="宋体" w:eastAsia="宋体" w:cs="宋体"/>
          <w:iCs w:val="0"/>
          <w:sz w:val="21"/>
          <w:szCs w:val="21"/>
          <w:lang w:val="en-US" w:eastAsia="zh-CN"/>
        </w:rPr>
        <w:t>（</w:t>
      </w:r>
      <w:r>
        <w:rPr>
          <w:rFonts w:hint="eastAsia" w:ascii="宋体" w:hAnsi="宋体" w:eastAsia="宋体" w:cs="宋体"/>
          <w:iCs w:val="0"/>
          <w:sz w:val="21"/>
          <w:szCs w:val="21"/>
          <w:lang w:val="en" w:eastAsia="zh-CN"/>
        </w:rPr>
        <w:t>6</w:t>
      </w:r>
      <w:r>
        <w:rPr>
          <w:rFonts w:hint="eastAsia" w:ascii="宋体" w:hAnsi="宋体" w:eastAsia="宋体" w:cs="宋体"/>
          <w:iCs w:val="0"/>
          <w:sz w:val="21"/>
          <w:szCs w:val="21"/>
          <w:lang w:val="en-US" w:eastAsia="zh-CN"/>
        </w:rPr>
        <w:t>）</w:t>
      </w:r>
      <w:r>
        <w:rPr>
          <w:rFonts w:hint="eastAsia" w:ascii="宋体" w:hAnsi="宋体" w:eastAsia="宋体" w:cs="宋体"/>
          <w:w w:val="100"/>
          <w:kern w:val="2"/>
          <w:sz w:val="21"/>
          <w:szCs w:val="21"/>
          <w:lang w:val="en-US" w:eastAsia="zh-CN" w:bidi="ar-SA"/>
        </w:rPr>
        <w:t>中标（成交）采购标的制造商是否为中小企业：</w:t>
      </w:r>
      <w:r>
        <w:rPr>
          <w:rFonts w:hint="eastAsia" w:ascii="宋体" w:hAnsi="宋体" w:eastAsia="宋体" w:cs="宋体"/>
          <w:w w:val="100"/>
          <w:kern w:val="2"/>
          <w:sz w:val="21"/>
          <w:szCs w:val="21"/>
          <w:lang w:val="en-US" w:eastAsia="zh-CN" w:bidi="ar-SA"/>
        </w:rPr>
        <w:sym w:font="Wingdings" w:char="00A8"/>
      </w:r>
      <w:r>
        <w:rPr>
          <w:rFonts w:hint="eastAsia" w:ascii="宋体" w:hAnsi="宋体" w:eastAsia="宋体" w:cs="宋体"/>
          <w:w w:val="100"/>
          <w:kern w:val="2"/>
          <w:sz w:val="21"/>
          <w:szCs w:val="21"/>
          <w:lang w:val="en-US" w:eastAsia="zh-CN" w:bidi="ar-SA"/>
        </w:rPr>
        <w:t xml:space="preserve">是      </w:t>
      </w:r>
      <w:r>
        <w:rPr>
          <w:rFonts w:hint="eastAsia" w:ascii="宋体" w:hAnsi="宋体" w:eastAsia="宋体" w:cs="宋体"/>
          <w:w w:val="100"/>
          <w:kern w:val="2"/>
          <w:sz w:val="21"/>
          <w:szCs w:val="21"/>
          <w:lang w:val="en-US" w:eastAsia="zh-CN" w:bidi="ar-SA"/>
        </w:rPr>
        <w:sym w:font="Wingdings" w:char="00A8"/>
      </w:r>
      <w:r>
        <w:rPr>
          <w:rFonts w:hint="eastAsia" w:ascii="宋体" w:hAnsi="宋体" w:eastAsia="宋体" w:cs="宋体"/>
          <w:w w:val="100"/>
          <w:kern w:val="2"/>
          <w:sz w:val="21"/>
          <w:szCs w:val="21"/>
          <w:lang w:val="en-US" w:eastAsia="zh-CN" w:bidi="ar-SA"/>
        </w:rPr>
        <w:t>否</w:t>
      </w:r>
    </w:p>
    <w:p w14:paraId="3F661103">
      <w:pPr>
        <w:pageBreakBefore w:val="0"/>
        <w:numPr>
          <w:ilvl w:val="0"/>
          <w:numId w:val="0"/>
        </w:numPr>
        <w:kinsoku/>
        <w:wordWrap/>
        <w:overflowPunct/>
        <w:topLinePunct w:val="0"/>
        <w:bidi w:val="0"/>
        <w:adjustRightInd w:val="0"/>
        <w:snapToGrid w:val="0"/>
        <w:spacing w:before="0" w:beforeLines="0" w:line="400" w:lineRule="exact"/>
        <w:ind w:left="0" w:leftChars="0" w:firstLine="0" w:firstLineChars="0"/>
        <w:textAlignment w:val="auto"/>
        <w:outlineLvl w:val="9"/>
        <w:rPr>
          <w:rFonts w:hint="eastAsia" w:ascii="宋体" w:hAnsi="宋体" w:eastAsia="宋体" w:cs="宋体"/>
          <w:iCs/>
          <w:szCs w:val="21"/>
        </w:rPr>
      </w:pPr>
      <w:r>
        <w:rPr>
          <w:rFonts w:hint="eastAsia" w:ascii="宋体" w:hAnsi="宋体" w:eastAsia="宋体" w:cs="宋体"/>
          <w:w w:val="100"/>
          <w:szCs w:val="21"/>
          <w:lang w:val="en-US" w:eastAsia="zh-CN"/>
        </w:rPr>
        <w:t xml:space="preserve">         本合同</w:t>
      </w:r>
      <w:r>
        <w:rPr>
          <w:rFonts w:hint="eastAsia" w:ascii="宋体" w:hAnsi="宋体" w:eastAsia="宋体" w:cs="宋体"/>
          <w:w w:val="100"/>
          <w:szCs w:val="21"/>
        </w:rPr>
        <w:t>是否</w:t>
      </w:r>
      <w:r>
        <w:rPr>
          <w:rFonts w:hint="eastAsia" w:ascii="宋体" w:hAnsi="宋体" w:eastAsia="宋体" w:cs="宋体"/>
          <w:w w:val="100"/>
          <w:szCs w:val="21"/>
          <w:lang w:eastAsia="zh-CN"/>
        </w:rPr>
        <w:t>为专门面向</w:t>
      </w:r>
      <w:r>
        <w:rPr>
          <w:rFonts w:hint="eastAsia" w:ascii="宋体" w:hAnsi="宋体" w:eastAsia="宋体" w:cs="宋体"/>
          <w:w w:val="100"/>
          <w:szCs w:val="21"/>
        </w:rPr>
        <w:t>中小企业</w:t>
      </w:r>
      <w:r>
        <w:rPr>
          <w:rFonts w:hint="eastAsia" w:ascii="宋体" w:hAnsi="宋体" w:eastAsia="宋体" w:cs="宋体"/>
          <w:w w:val="100"/>
          <w:szCs w:val="21"/>
          <w:lang w:eastAsia="zh-CN"/>
        </w:rPr>
        <w:t>的采</w:t>
      </w:r>
      <w:r>
        <w:rPr>
          <w:rFonts w:hint="eastAsia" w:ascii="宋体" w:hAnsi="宋体" w:eastAsia="宋体" w:cs="宋体"/>
          <w:w w:val="100"/>
          <w:szCs w:val="21"/>
          <w:shd w:val="clear" w:color="auto" w:fill="auto"/>
          <w:lang w:eastAsia="zh-CN"/>
        </w:rPr>
        <w:t>购</w:t>
      </w:r>
      <w:r>
        <w:rPr>
          <w:rFonts w:hint="eastAsia" w:ascii="宋体" w:hAnsi="宋体" w:eastAsia="宋体" w:cs="宋体"/>
          <w:w w:val="100"/>
          <w:szCs w:val="21"/>
          <w:shd w:val="clear" w:color="auto" w:fill="auto"/>
        </w:rPr>
        <w:t>合同</w:t>
      </w:r>
      <w:r>
        <w:rPr>
          <w:rFonts w:hint="eastAsia" w:ascii="宋体" w:hAnsi="宋体" w:eastAsia="宋体" w:cs="宋体"/>
          <w:w w:val="100"/>
          <w:szCs w:val="21"/>
          <w:shd w:val="clear" w:color="auto" w:fill="auto"/>
          <w:lang w:eastAsia="zh-CN"/>
        </w:rPr>
        <w:t>（中小企业预留合同）</w:t>
      </w:r>
      <w:r>
        <w:rPr>
          <w:rFonts w:hint="eastAsia" w:ascii="宋体" w:hAnsi="宋体" w:eastAsia="宋体" w:cs="宋体"/>
          <w:color w:val="auto"/>
          <w:szCs w:val="21"/>
          <w:shd w:val="clear" w:color="auto" w:fill="auto"/>
        </w:rPr>
        <w:t>：</w:t>
      </w:r>
      <w:r>
        <w:rPr>
          <w:rFonts w:hint="eastAsia" w:ascii="宋体" w:hAnsi="宋体" w:eastAsia="宋体" w:cs="宋体"/>
          <w:iCs/>
          <w:color w:val="auto"/>
          <w:szCs w:val="21"/>
        </w:rPr>
        <w:sym w:font="Wingdings" w:char="00A8"/>
      </w:r>
      <w:r>
        <w:rPr>
          <w:rFonts w:hint="eastAsia" w:ascii="宋体" w:hAnsi="宋体" w:eastAsia="宋体" w:cs="宋体"/>
          <w:iCs/>
          <w:color w:val="auto"/>
          <w:szCs w:val="21"/>
        </w:rPr>
        <w:t xml:space="preserve">是 </w:t>
      </w:r>
      <w:r>
        <w:rPr>
          <w:rFonts w:hint="eastAsia" w:ascii="宋体" w:hAnsi="宋体" w:eastAsia="宋体" w:cs="宋体"/>
          <w:iCs/>
          <w:color w:val="auto"/>
          <w:szCs w:val="21"/>
          <w:lang w:val="en-US" w:eastAsia="zh-CN"/>
        </w:rPr>
        <w:t xml:space="preserve">  </w:t>
      </w:r>
      <w:r>
        <w:rPr>
          <w:rFonts w:hint="eastAsia" w:ascii="宋体" w:hAnsi="宋体" w:eastAsia="宋体" w:cs="宋体"/>
          <w:iCs/>
          <w:color w:val="auto"/>
          <w:szCs w:val="21"/>
        </w:rPr>
        <w:t xml:space="preserve"> </w:t>
      </w:r>
      <w:r>
        <w:rPr>
          <w:rFonts w:hint="eastAsia" w:ascii="宋体" w:hAnsi="宋体" w:eastAsia="宋体" w:cs="宋体"/>
          <w:iCs/>
          <w:color w:val="auto"/>
          <w:szCs w:val="21"/>
        </w:rPr>
        <w:sym w:font="Wingdings" w:char="00A8"/>
      </w:r>
      <w:r>
        <w:rPr>
          <w:rFonts w:hint="eastAsia" w:ascii="宋体" w:hAnsi="宋体" w:eastAsia="宋体" w:cs="宋体"/>
          <w:iCs/>
          <w:color w:val="auto"/>
          <w:szCs w:val="21"/>
        </w:rPr>
        <w:t>否</w:t>
      </w:r>
    </w:p>
    <w:p w14:paraId="41A3FCC1">
      <w:pPr>
        <w:pageBreakBefore w:val="0"/>
        <w:numPr>
          <w:ilvl w:val="0"/>
          <w:numId w:val="0"/>
        </w:numPr>
        <w:kinsoku/>
        <w:wordWrap/>
        <w:overflowPunct/>
        <w:topLinePunct w:val="0"/>
        <w:bidi w:val="0"/>
        <w:adjustRightInd w:val="0"/>
        <w:snapToGrid w:val="0"/>
        <w:spacing w:before="0" w:beforeLines="0" w:line="400" w:lineRule="exact"/>
        <w:ind w:left="0" w:leftChars="0" w:firstLine="0" w:firstLineChars="0"/>
        <w:textAlignment w:val="auto"/>
        <w:outlineLvl w:val="9"/>
        <w:rPr>
          <w:rFonts w:hint="eastAsia" w:ascii="宋体" w:hAnsi="宋体" w:eastAsia="宋体" w:cs="宋体"/>
          <w:iCs/>
          <w:szCs w:val="21"/>
        </w:rPr>
      </w:pPr>
      <w:r>
        <w:rPr>
          <w:rFonts w:hint="eastAsia" w:ascii="宋体" w:hAnsi="宋体" w:eastAsia="宋体" w:cs="宋体"/>
          <w:lang w:val="en-US" w:eastAsia="zh-CN"/>
        </w:rPr>
        <w:t xml:space="preserve">         若本项目不专门面向中小企业采购，是否给予小微企业评审优惠：</w:t>
      </w:r>
      <w:r>
        <w:rPr>
          <w:rFonts w:hint="eastAsia" w:ascii="宋体" w:hAnsi="宋体" w:eastAsia="宋体" w:cs="宋体"/>
          <w:iCs/>
          <w:szCs w:val="21"/>
        </w:rPr>
        <w:sym w:font="Wingdings" w:char="00FE"/>
      </w:r>
      <w:r>
        <w:rPr>
          <w:rFonts w:hint="eastAsia" w:ascii="宋体" w:hAnsi="宋体" w:eastAsia="宋体" w:cs="宋体"/>
          <w:iCs/>
          <w:szCs w:val="21"/>
        </w:rPr>
        <w:t xml:space="preserve">是   </w:t>
      </w:r>
      <w:r>
        <w:rPr>
          <w:rFonts w:hint="eastAsia" w:ascii="宋体" w:hAnsi="宋体" w:eastAsia="宋体" w:cs="宋体"/>
          <w:iCs/>
          <w:szCs w:val="21"/>
        </w:rPr>
        <w:sym w:font="Wingdings" w:char="00A8"/>
      </w:r>
      <w:r>
        <w:rPr>
          <w:rFonts w:hint="eastAsia" w:ascii="宋体" w:hAnsi="宋体" w:eastAsia="宋体" w:cs="宋体"/>
          <w:iCs/>
          <w:szCs w:val="21"/>
        </w:rPr>
        <w:t>否</w:t>
      </w:r>
    </w:p>
    <w:p w14:paraId="3D21DA12">
      <w:pPr>
        <w:pageBreakBefore w:val="0"/>
        <w:numPr>
          <w:ilvl w:val="0"/>
          <w:numId w:val="0"/>
        </w:numPr>
        <w:kinsoku/>
        <w:wordWrap/>
        <w:overflowPunct/>
        <w:topLinePunct w:val="0"/>
        <w:bidi w:val="0"/>
        <w:adjustRightInd w:val="0"/>
        <w:snapToGrid w:val="0"/>
        <w:spacing w:before="0" w:beforeLines="0" w:line="400" w:lineRule="exact"/>
        <w:ind w:left="0" w:leftChars="0" w:firstLine="0" w:firstLineChars="0"/>
        <w:textAlignment w:val="auto"/>
        <w:outlineLvl w:val="9"/>
        <w:rPr>
          <w:rFonts w:hint="eastAsia" w:ascii="宋体" w:hAnsi="宋体" w:eastAsia="宋体" w:cs="宋体"/>
          <w:iCs/>
          <w:szCs w:val="21"/>
        </w:rPr>
      </w:pPr>
      <w:r>
        <w:rPr>
          <w:rFonts w:hint="eastAsia" w:ascii="宋体" w:hAnsi="宋体" w:eastAsia="宋体" w:cs="宋体"/>
          <w:lang w:val="en-US" w:eastAsia="zh-CN"/>
        </w:rPr>
        <w:t xml:space="preserve">         中标（成交）采购标的制造商是否为残疾人福利性单位：</w:t>
      </w:r>
      <w:r>
        <w:rPr>
          <w:rFonts w:hint="eastAsia" w:ascii="宋体" w:hAnsi="宋体" w:eastAsia="宋体" w:cs="宋体"/>
          <w:iCs/>
          <w:szCs w:val="21"/>
        </w:rPr>
        <w:sym w:font="Wingdings" w:char="00A8"/>
      </w:r>
      <w:r>
        <w:rPr>
          <w:rFonts w:hint="eastAsia" w:ascii="宋体" w:hAnsi="宋体" w:eastAsia="宋体" w:cs="宋体"/>
          <w:iCs/>
          <w:szCs w:val="21"/>
        </w:rPr>
        <w:t xml:space="preserve">是   </w:t>
      </w:r>
      <w:r>
        <w:rPr>
          <w:rFonts w:hint="eastAsia" w:ascii="宋体" w:hAnsi="宋体" w:eastAsia="宋体" w:cs="宋体"/>
          <w:iCs/>
          <w:szCs w:val="21"/>
        </w:rPr>
        <w:sym w:font="Wingdings" w:char="00A8"/>
      </w:r>
      <w:r>
        <w:rPr>
          <w:rFonts w:hint="eastAsia" w:ascii="宋体" w:hAnsi="宋体" w:eastAsia="宋体" w:cs="宋体"/>
          <w:iCs/>
          <w:szCs w:val="21"/>
        </w:rPr>
        <w:t>否</w:t>
      </w:r>
    </w:p>
    <w:p w14:paraId="5A2870E6">
      <w:pPr>
        <w:pageBreakBefore w:val="0"/>
        <w:numPr>
          <w:ilvl w:val="0"/>
          <w:numId w:val="0"/>
        </w:numPr>
        <w:kinsoku/>
        <w:wordWrap/>
        <w:overflowPunct/>
        <w:topLinePunct w:val="0"/>
        <w:bidi w:val="0"/>
        <w:snapToGrid w:val="0"/>
        <w:spacing w:beforeLines="0" w:line="400" w:lineRule="exact"/>
        <w:ind w:left="0" w:leftChars="0" w:firstLine="0" w:firstLineChars="0"/>
        <w:textAlignment w:val="auto"/>
        <w:outlineLvl w:val="9"/>
        <w:rPr>
          <w:rFonts w:hint="eastAsia" w:ascii="宋体" w:hAnsi="宋体" w:eastAsia="宋体" w:cs="宋体"/>
          <w:lang w:val="en-US" w:eastAsia="zh-CN"/>
        </w:rPr>
      </w:pPr>
      <w:r>
        <w:rPr>
          <w:rFonts w:hint="eastAsia" w:ascii="宋体" w:hAnsi="宋体" w:eastAsia="宋体" w:cs="宋体"/>
          <w:lang w:val="en-US" w:eastAsia="zh-CN"/>
        </w:rPr>
        <w:t xml:space="preserve">         中标（成交）采购标的制造商是否为监狱企业：</w:t>
      </w:r>
      <w:r>
        <w:rPr>
          <w:rFonts w:hint="eastAsia" w:ascii="宋体" w:hAnsi="宋体" w:eastAsia="宋体" w:cs="宋体"/>
          <w:iCs/>
          <w:szCs w:val="21"/>
        </w:rPr>
        <w:sym w:font="Wingdings" w:char="00A8"/>
      </w:r>
      <w:r>
        <w:rPr>
          <w:rFonts w:hint="eastAsia" w:ascii="宋体" w:hAnsi="宋体" w:eastAsia="宋体" w:cs="宋体"/>
          <w:iCs/>
          <w:szCs w:val="21"/>
        </w:rPr>
        <w:t xml:space="preserve">是       </w:t>
      </w:r>
      <w:r>
        <w:rPr>
          <w:rFonts w:hint="eastAsia" w:ascii="宋体" w:hAnsi="宋体" w:eastAsia="宋体" w:cs="宋体"/>
          <w:iCs/>
          <w:szCs w:val="21"/>
        </w:rPr>
        <w:sym w:font="Wingdings" w:char="00A8"/>
      </w:r>
      <w:r>
        <w:rPr>
          <w:rFonts w:hint="eastAsia" w:ascii="宋体" w:hAnsi="宋体" w:eastAsia="宋体" w:cs="宋体"/>
          <w:iCs/>
          <w:szCs w:val="21"/>
        </w:rPr>
        <w:t>否</w:t>
      </w:r>
    </w:p>
    <w:p w14:paraId="6BD84431">
      <w:pPr>
        <w:pageBreakBefore w:val="0"/>
        <w:kinsoku/>
        <w:wordWrap/>
        <w:overflowPunct/>
        <w:topLinePunct w:val="0"/>
        <w:bidi w:val="0"/>
        <w:adjustRightInd w:val="0"/>
        <w:snapToGrid w:val="0"/>
        <w:spacing w:before="0" w:beforeLines="0" w:line="400" w:lineRule="exact"/>
        <w:ind w:left="0" w:leftChars="0" w:firstLine="420" w:firstLineChars="200"/>
        <w:textAlignment w:val="auto"/>
        <w:outlineLvl w:val="9"/>
        <w:rPr>
          <w:rFonts w:hint="eastAsia" w:ascii="宋体" w:hAnsi="宋体" w:eastAsia="宋体" w:cs="宋体"/>
          <w:u w:val="none"/>
          <w:lang w:val="en-US" w:eastAsia="zh-CN"/>
        </w:rPr>
      </w:pPr>
      <w:r>
        <w:rPr>
          <w:rFonts w:hint="eastAsia" w:ascii="宋体" w:hAnsi="宋体" w:eastAsia="宋体" w:cs="宋体"/>
          <w:szCs w:val="21"/>
        </w:rPr>
        <w:t>（</w:t>
      </w:r>
      <w:r>
        <w:rPr>
          <w:rFonts w:hint="eastAsia" w:ascii="宋体" w:hAnsi="宋体" w:eastAsia="宋体" w:cs="宋体"/>
          <w:szCs w:val="21"/>
          <w:lang w:val="en" w:eastAsia="zh-CN"/>
        </w:rPr>
        <w:t>7</w:t>
      </w:r>
      <w:r>
        <w:rPr>
          <w:rFonts w:hint="eastAsia" w:ascii="宋体" w:hAnsi="宋体" w:eastAsia="宋体" w:cs="宋体"/>
          <w:szCs w:val="21"/>
        </w:rPr>
        <w:t>）合同是否分包：</w:t>
      </w:r>
      <w:r>
        <w:rPr>
          <w:rFonts w:hint="eastAsia" w:ascii="宋体" w:hAnsi="宋体" w:eastAsia="宋体" w:cs="宋体"/>
          <w:iCs/>
          <w:szCs w:val="21"/>
        </w:rPr>
        <w:sym w:font="Wingdings" w:char="00A8"/>
      </w:r>
      <w:r>
        <w:rPr>
          <w:rFonts w:hint="eastAsia" w:ascii="宋体" w:hAnsi="宋体" w:eastAsia="宋体" w:cs="宋体"/>
          <w:iCs/>
          <w:szCs w:val="21"/>
        </w:rPr>
        <w:t xml:space="preserve">是       </w:t>
      </w:r>
      <w:r>
        <w:rPr>
          <w:rFonts w:hint="eastAsia" w:ascii="宋体" w:hAnsi="宋体" w:eastAsia="宋体" w:cs="宋体"/>
          <w:iCs/>
          <w:szCs w:val="21"/>
        </w:rPr>
        <w:sym w:font="Wingdings" w:char="00FE"/>
      </w:r>
      <w:r>
        <w:rPr>
          <w:rFonts w:hint="eastAsia" w:ascii="宋体" w:hAnsi="宋体" w:eastAsia="宋体" w:cs="宋体"/>
          <w:iCs/>
          <w:szCs w:val="21"/>
        </w:rPr>
        <w:t>否</w:t>
      </w:r>
    </w:p>
    <w:p w14:paraId="18972B5A">
      <w:pPr>
        <w:pageBreakBefore w:val="0"/>
        <w:numPr>
          <w:ilvl w:val="0"/>
          <w:numId w:val="0"/>
        </w:numPr>
        <w:kinsoku/>
        <w:wordWrap/>
        <w:overflowPunct/>
        <w:topLinePunct w:val="0"/>
        <w:bidi w:val="0"/>
        <w:adjustRightInd w:val="0"/>
        <w:snapToGrid w:val="0"/>
        <w:spacing w:before="0" w:beforeLines="0" w:line="400" w:lineRule="exact"/>
        <w:ind w:left="0" w:leftChars="0" w:firstLine="0" w:firstLineChars="0"/>
        <w:textAlignment w:val="auto"/>
        <w:outlineLvl w:val="9"/>
        <w:rPr>
          <w:rFonts w:hint="eastAsia" w:ascii="宋体" w:hAnsi="宋体" w:eastAsia="宋体" w:cs="宋体"/>
          <w:iCs/>
          <w:szCs w:val="21"/>
          <w:highlight w:val="none"/>
        </w:rPr>
      </w:pPr>
      <w:r>
        <w:rPr>
          <w:rFonts w:hint="eastAsia" w:ascii="宋体" w:hAnsi="宋体" w:eastAsia="宋体" w:cs="宋体"/>
          <w:szCs w:val="21"/>
          <w:highlight w:val="none"/>
          <w:u w:val="none"/>
          <w:lang w:val="en-US" w:eastAsia="zh-CN"/>
        </w:rPr>
        <w:t xml:space="preserve">    （</w:t>
      </w:r>
      <w:r>
        <w:rPr>
          <w:rFonts w:hint="eastAsia" w:ascii="宋体" w:hAnsi="宋体" w:eastAsia="宋体" w:cs="宋体"/>
          <w:szCs w:val="21"/>
          <w:highlight w:val="none"/>
          <w:u w:val="none"/>
          <w:lang w:val="en" w:eastAsia="zh-CN"/>
        </w:rPr>
        <w:t>8</w:t>
      </w:r>
      <w:r>
        <w:rPr>
          <w:rFonts w:hint="eastAsia" w:ascii="宋体" w:hAnsi="宋体" w:eastAsia="宋体" w:cs="宋体"/>
          <w:szCs w:val="21"/>
          <w:highlight w:val="none"/>
          <w:u w:val="none"/>
          <w:lang w:val="en-US" w:eastAsia="zh-CN"/>
        </w:rPr>
        <w:t>）中标（成交）供应商是否为外商投资企业：</w:t>
      </w:r>
      <w:r>
        <w:rPr>
          <w:rFonts w:hint="eastAsia" w:ascii="宋体" w:hAnsi="宋体" w:eastAsia="宋体" w:cs="宋体"/>
          <w:iCs/>
          <w:szCs w:val="21"/>
          <w:highlight w:val="none"/>
        </w:rPr>
        <w:sym w:font="Wingdings" w:char="00A8"/>
      </w:r>
      <w:r>
        <w:rPr>
          <w:rFonts w:hint="eastAsia" w:ascii="宋体" w:hAnsi="宋体" w:eastAsia="宋体" w:cs="宋体"/>
          <w:iCs/>
          <w:szCs w:val="21"/>
          <w:highlight w:val="none"/>
        </w:rPr>
        <w:t xml:space="preserve">是       </w:t>
      </w:r>
      <w:r>
        <w:rPr>
          <w:rFonts w:hint="eastAsia" w:ascii="宋体" w:hAnsi="宋体" w:eastAsia="宋体" w:cs="宋体"/>
          <w:iCs/>
          <w:szCs w:val="21"/>
          <w:highlight w:val="none"/>
        </w:rPr>
        <w:sym w:font="Wingdings" w:char="00A8"/>
      </w:r>
      <w:r>
        <w:rPr>
          <w:rFonts w:hint="eastAsia" w:ascii="宋体" w:hAnsi="宋体" w:eastAsia="宋体" w:cs="宋体"/>
          <w:iCs/>
          <w:szCs w:val="21"/>
          <w:highlight w:val="none"/>
        </w:rPr>
        <w:t>否</w:t>
      </w:r>
    </w:p>
    <w:p w14:paraId="0B584F11">
      <w:pPr>
        <w:pStyle w:val="290"/>
        <w:pageBreakBefore w:val="0"/>
        <w:tabs>
          <w:tab w:val="left" w:pos="1340"/>
        </w:tabs>
        <w:kinsoku/>
        <w:wordWrap/>
        <w:overflowPunct/>
        <w:topLinePunct w:val="0"/>
        <w:bidi w:val="0"/>
        <w:spacing w:beforeLines="0"/>
        <w:ind w:left="0" w:leftChars="0"/>
        <w:textAlignment w:val="auto"/>
        <w:outlineLvl w:val="9"/>
        <w:rPr>
          <w:rFonts w:hint="eastAsia" w:ascii="宋体" w:hAnsi="宋体" w:eastAsia="宋体" w:cs="宋体"/>
          <w:sz w:val="21"/>
          <w:szCs w:val="21"/>
          <w:highlight w:val="none"/>
          <w:u w:val="single"/>
        </w:rPr>
      </w:pPr>
      <w:r>
        <w:rPr>
          <w:rFonts w:hint="eastAsia" w:ascii="宋体" w:hAnsi="宋体" w:eastAsia="宋体" w:cs="宋体"/>
          <w:sz w:val="21"/>
          <w:szCs w:val="21"/>
          <w:highlight w:val="none"/>
          <w:u w:val="none"/>
          <w:lang w:val="en-US" w:eastAsia="zh-CN"/>
        </w:rPr>
        <w:t xml:space="preserve">     外商投资企业类型：</w:t>
      </w:r>
      <w:r>
        <w:rPr>
          <w:rFonts w:hint="eastAsia" w:ascii="宋体" w:hAnsi="宋体" w:eastAsia="宋体" w:cs="宋体"/>
          <w:iCs/>
          <w:sz w:val="21"/>
          <w:szCs w:val="21"/>
          <w:highlight w:val="none"/>
        </w:rPr>
        <w:sym w:font="Wingdings" w:char="00A8"/>
      </w:r>
      <w:r>
        <w:rPr>
          <w:rFonts w:hint="eastAsia" w:ascii="宋体" w:hAnsi="宋体" w:eastAsia="宋体" w:cs="宋体"/>
          <w:sz w:val="21"/>
          <w:szCs w:val="21"/>
          <w:highlight w:val="none"/>
          <w:u w:val="none"/>
          <w:lang w:val="en-US" w:eastAsia="zh-CN"/>
        </w:rPr>
        <w:t xml:space="preserve">全部由外国投资者投资  </w:t>
      </w:r>
      <w:r>
        <w:rPr>
          <w:rFonts w:hint="eastAsia" w:ascii="宋体" w:hAnsi="宋体" w:eastAsia="宋体" w:cs="宋体"/>
          <w:iCs/>
          <w:sz w:val="21"/>
          <w:szCs w:val="21"/>
          <w:highlight w:val="none"/>
        </w:rPr>
        <w:sym w:font="Wingdings" w:char="00A8"/>
      </w:r>
      <w:r>
        <w:rPr>
          <w:rFonts w:hint="eastAsia" w:ascii="宋体" w:hAnsi="宋体" w:eastAsia="宋体" w:cs="宋体"/>
          <w:iCs/>
          <w:sz w:val="21"/>
          <w:szCs w:val="21"/>
          <w:highlight w:val="none"/>
          <w:lang w:val="en-US" w:eastAsia="zh-CN"/>
        </w:rPr>
        <w:t>部分由外国投资者投资</w:t>
      </w:r>
    </w:p>
    <w:p w14:paraId="41585D5F">
      <w:pPr>
        <w:pageBreakBefore w:val="0"/>
        <w:numPr>
          <w:ilvl w:val="0"/>
          <w:numId w:val="0"/>
        </w:numPr>
        <w:kinsoku/>
        <w:wordWrap/>
        <w:overflowPunct/>
        <w:topLinePunct w:val="0"/>
        <w:bidi w:val="0"/>
        <w:adjustRightInd w:val="0"/>
        <w:snapToGrid w:val="0"/>
        <w:spacing w:before="0" w:beforeLines="0" w:line="400" w:lineRule="exact"/>
        <w:ind w:left="0" w:leftChars="0" w:firstLine="420" w:firstLineChars="200"/>
        <w:textAlignment w:val="auto"/>
        <w:outlineLvl w:val="9"/>
        <w:rPr>
          <w:rFonts w:hint="eastAsia" w:ascii="宋体" w:hAnsi="宋体" w:eastAsia="宋体" w:cs="宋体"/>
          <w:b w:val="0"/>
          <w:bCs w:val="0"/>
          <w:sz w:val="21"/>
          <w:szCs w:val="21"/>
          <w:u w:val="none"/>
          <w:lang w:val="en-US" w:eastAsia="zh-CN"/>
        </w:rPr>
      </w:pPr>
      <w:r>
        <w:rPr>
          <w:rFonts w:hint="eastAsia" w:ascii="宋体" w:hAnsi="宋体" w:eastAsia="宋体" w:cs="宋体"/>
          <w:b w:val="0"/>
          <w:bCs w:val="0"/>
          <w:sz w:val="21"/>
          <w:szCs w:val="21"/>
          <w:u w:val="none"/>
          <w:lang w:val="en-US" w:eastAsia="zh-CN"/>
        </w:rPr>
        <w:t>（</w:t>
      </w:r>
      <w:r>
        <w:rPr>
          <w:rFonts w:hint="eastAsia" w:ascii="宋体" w:hAnsi="宋体" w:eastAsia="宋体" w:cs="宋体"/>
          <w:b w:val="0"/>
          <w:bCs w:val="0"/>
          <w:sz w:val="21"/>
          <w:szCs w:val="21"/>
          <w:u w:val="none"/>
          <w:lang w:val="en" w:eastAsia="zh-CN"/>
        </w:rPr>
        <w:t>9</w:t>
      </w:r>
      <w:r>
        <w:rPr>
          <w:rFonts w:hint="eastAsia" w:ascii="宋体" w:hAnsi="宋体" w:eastAsia="宋体" w:cs="宋体"/>
          <w:b w:val="0"/>
          <w:bCs w:val="0"/>
          <w:sz w:val="21"/>
          <w:szCs w:val="21"/>
          <w:u w:val="none"/>
          <w:lang w:val="en-US" w:eastAsia="zh-CN"/>
        </w:rPr>
        <w:t>）是否涉及进口产品：</w:t>
      </w:r>
    </w:p>
    <w:p w14:paraId="02CBF468">
      <w:pPr>
        <w:pageBreakBefore w:val="0"/>
        <w:numPr>
          <w:ilvl w:val="0"/>
          <w:numId w:val="0"/>
        </w:numPr>
        <w:kinsoku/>
        <w:wordWrap/>
        <w:overflowPunct/>
        <w:topLinePunct w:val="0"/>
        <w:bidi w:val="0"/>
        <w:adjustRightInd w:val="0"/>
        <w:snapToGrid w:val="0"/>
        <w:spacing w:before="0" w:beforeLines="0" w:line="400" w:lineRule="exact"/>
        <w:ind w:left="0" w:leftChars="0" w:firstLine="840" w:firstLineChars="400"/>
        <w:textAlignment w:val="auto"/>
        <w:outlineLvl w:val="9"/>
        <w:rPr>
          <w:rFonts w:hint="eastAsia" w:ascii="宋体" w:hAnsi="宋体" w:eastAsia="宋体" w:cs="宋体"/>
          <w:szCs w:val="21"/>
          <w:u w:val="single"/>
          <w:lang w:val="en-US" w:eastAsia="zh-CN"/>
        </w:rPr>
      </w:pPr>
      <w:r>
        <w:rPr>
          <w:rFonts w:hint="eastAsia" w:ascii="宋体" w:hAnsi="宋体" w:eastAsia="宋体" w:cs="宋体"/>
          <w:iCs w:val="0"/>
          <w:szCs w:val="21"/>
          <w:lang w:val="en-US" w:eastAsia="zh-CN"/>
        </w:rPr>
        <w:t xml:space="preserve"> </w:t>
      </w:r>
      <w:r>
        <w:rPr>
          <w:rFonts w:hint="eastAsia" w:ascii="宋体" w:hAnsi="宋体" w:eastAsia="宋体" w:cs="宋体"/>
          <w:iCs w:val="0"/>
          <w:szCs w:val="21"/>
        </w:rPr>
        <w:sym w:font="Wingdings" w:char="00A8"/>
      </w:r>
      <w:r>
        <w:rPr>
          <w:rFonts w:hint="eastAsia" w:ascii="宋体" w:hAnsi="宋体" w:eastAsia="宋体" w:cs="宋体"/>
          <w:iCs w:val="0"/>
          <w:szCs w:val="21"/>
        </w:rPr>
        <w:t>是</w:t>
      </w:r>
      <w:r>
        <w:rPr>
          <w:rFonts w:hint="eastAsia" w:ascii="宋体" w:hAnsi="宋体" w:eastAsia="宋体" w:cs="宋体"/>
          <w:iCs w:val="0"/>
          <w:szCs w:val="21"/>
          <w:lang w:eastAsia="zh-CN"/>
        </w:rPr>
        <w:t>，《政府采购品目分类目录》底级品目名称</w:t>
      </w:r>
      <w:r>
        <w:rPr>
          <w:rFonts w:hint="eastAsia" w:ascii="宋体" w:hAnsi="宋体" w:eastAsia="宋体" w:cs="宋体"/>
          <w:szCs w:val="21"/>
          <w:lang w:val="en-US" w:eastAsia="zh-CN"/>
        </w:rPr>
        <w:t>：</w:t>
      </w:r>
      <w:r>
        <w:rPr>
          <w:rFonts w:hint="eastAsia" w:ascii="宋体" w:hAnsi="宋体" w:eastAsia="宋体" w:cs="宋体"/>
          <w:szCs w:val="21"/>
          <w:u w:val="single"/>
          <w:lang w:val="en-US" w:eastAsia="zh-CN"/>
        </w:rPr>
        <w:t xml:space="preserve">         </w:t>
      </w:r>
      <w:r>
        <w:rPr>
          <w:rFonts w:hint="eastAsia" w:ascii="宋体" w:hAnsi="宋体" w:eastAsia="宋体" w:cs="宋体"/>
          <w:szCs w:val="21"/>
          <w:lang w:val="en-US" w:eastAsia="zh-CN"/>
        </w:rPr>
        <w:t xml:space="preserve"> 金额：</w:t>
      </w:r>
      <w:r>
        <w:rPr>
          <w:rFonts w:hint="eastAsia" w:ascii="宋体" w:hAnsi="宋体" w:eastAsia="宋体" w:cs="宋体"/>
          <w:szCs w:val="21"/>
          <w:u w:val="single"/>
          <w:lang w:val="en-US" w:eastAsia="zh-CN"/>
        </w:rPr>
        <w:t xml:space="preserve">        </w:t>
      </w:r>
    </w:p>
    <w:p w14:paraId="795EBD0F">
      <w:pPr>
        <w:pageBreakBefore w:val="0"/>
        <w:numPr>
          <w:ilvl w:val="0"/>
          <w:numId w:val="0"/>
        </w:numPr>
        <w:kinsoku/>
        <w:wordWrap/>
        <w:overflowPunct/>
        <w:topLinePunct w:val="0"/>
        <w:bidi w:val="0"/>
        <w:adjustRightInd w:val="0"/>
        <w:snapToGrid w:val="0"/>
        <w:spacing w:before="0" w:beforeLines="0" w:line="400" w:lineRule="exact"/>
        <w:ind w:left="0" w:leftChars="0" w:firstLine="840" w:firstLineChars="400"/>
        <w:textAlignment w:val="auto"/>
        <w:outlineLvl w:val="9"/>
        <w:rPr>
          <w:rFonts w:hint="eastAsia" w:ascii="宋体" w:hAnsi="宋体" w:eastAsia="宋体" w:cs="宋体"/>
          <w:iCs w:val="0"/>
          <w:szCs w:val="21"/>
        </w:rPr>
      </w:pPr>
      <w:r>
        <w:rPr>
          <w:rFonts w:hint="eastAsia" w:ascii="宋体" w:hAnsi="宋体" w:eastAsia="宋体" w:cs="宋体"/>
          <w:szCs w:val="21"/>
          <w:lang w:val="en-US" w:eastAsia="zh-CN"/>
        </w:rPr>
        <w:t xml:space="preserve">        国别：</w:t>
      </w:r>
      <w:r>
        <w:rPr>
          <w:rFonts w:hint="eastAsia" w:ascii="宋体" w:hAnsi="宋体" w:eastAsia="宋体" w:cs="宋体"/>
          <w:szCs w:val="21"/>
          <w:u w:val="single"/>
          <w:lang w:val="en-US" w:eastAsia="zh-CN"/>
        </w:rPr>
        <w:t xml:space="preserve">        </w:t>
      </w:r>
      <w:r>
        <w:rPr>
          <w:rFonts w:hint="eastAsia" w:ascii="宋体" w:hAnsi="宋体" w:eastAsia="宋体" w:cs="宋体"/>
          <w:szCs w:val="21"/>
          <w:lang w:val="en-US" w:eastAsia="zh-CN"/>
        </w:rPr>
        <w:t xml:space="preserve"> 品牌：</w:t>
      </w:r>
      <w:r>
        <w:rPr>
          <w:rFonts w:hint="eastAsia" w:ascii="宋体" w:hAnsi="宋体" w:eastAsia="宋体" w:cs="宋体"/>
          <w:szCs w:val="21"/>
          <w:u w:val="single"/>
          <w:lang w:val="en-US" w:eastAsia="zh-CN"/>
        </w:rPr>
        <w:t xml:space="preserve">        </w:t>
      </w:r>
      <w:r>
        <w:rPr>
          <w:rFonts w:hint="eastAsia" w:ascii="宋体" w:hAnsi="宋体" w:eastAsia="宋体" w:cs="宋体"/>
          <w:szCs w:val="21"/>
          <w:u w:val="none"/>
          <w:lang w:val="en-US" w:eastAsia="zh-CN"/>
        </w:rPr>
        <w:t xml:space="preserve"> 规格型号：</w:t>
      </w:r>
      <w:r>
        <w:rPr>
          <w:rFonts w:hint="eastAsia" w:ascii="宋体" w:hAnsi="宋体" w:eastAsia="宋体" w:cs="宋体"/>
          <w:szCs w:val="21"/>
          <w:u w:val="single"/>
          <w:lang w:val="en-US" w:eastAsia="zh-CN"/>
        </w:rPr>
        <w:t xml:space="preserve">        </w:t>
      </w:r>
      <w:r>
        <w:rPr>
          <w:rFonts w:hint="eastAsia" w:ascii="宋体" w:hAnsi="宋体" w:eastAsia="宋体" w:cs="宋体"/>
          <w:iCs w:val="0"/>
          <w:szCs w:val="21"/>
        </w:rPr>
        <w:t xml:space="preserve">      </w:t>
      </w:r>
    </w:p>
    <w:p w14:paraId="50304BD1">
      <w:pPr>
        <w:pageBreakBefore w:val="0"/>
        <w:kinsoku/>
        <w:wordWrap/>
        <w:overflowPunct/>
        <w:topLinePunct w:val="0"/>
        <w:bidi w:val="0"/>
        <w:adjustRightInd w:val="0"/>
        <w:snapToGrid w:val="0"/>
        <w:spacing w:before="0" w:beforeLines="0" w:line="400" w:lineRule="exact"/>
        <w:ind w:left="0" w:leftChars="0" w:firstLine="840" w:firstLineChars="400"/>
        <w:textAlignment w:val="auto"/>
        <w:outlineLvl w:val="9"/>
        <w:rPr>
          <w:rFonts w:hint="eastAsia" w:ascii="宋体" w:hAnsi="宋体" w:eastAsia="宋体" w:cs="宋体"/>
          <w:szCs w:val="21"/>
          <w:u w:val="none"/>
          <w:lang w:val="en-US" w:eastAsia="zh-CN"/>
        </w:rPr>
      </w:pPr>
      <w:r>
        <w:rPr>
          <w:rFonts w:hint="eastAsia" w:ascii="宋体" w:hAnsi="宋体" w:eastAsia="宋体" w:cs="宋体"/>
          <w:iCs w:val="0"/>
          <w:szCs w:val="21"/>
          <w:lang w:val="en-US" w:eastAsia="zh-CN"/>
        </w:rPr>
        <w:t xml:space="preserve"> </w:t>
      </w:r>
      <w:r>
        <w:rPr>
          <w:rFonts w:hint="eastAsia" w:ascii="宋体" w:hAnsi="宋体" w:eastAsia="宋体" w:cs="宋体"/>
          <w:iCs w:val="0"/>
          <w:szCs w:val="21"/>
        </w:rPr>
        <w:sym w:font="Wingdings" w:char="00FE"/>
      </w:r>
      <w:r>
        <w:rPr>
          <w:rFonts w:hint="eastAsia" w:ascii="宋体" w:hAnsi="宋体" w:eastAsia="宋体" w:cs="宋体"/>
          <w:iCs w:val="0"/>
          <w:szCs w:val="21"/>
          <w:lang w:eastAsia="zh-CN"/>
        </w:rPr>
        <w:t>否</w:t>
      </w:r>
    </w:p>
    <w:p w14:paraId="6010C29C">
      <w:pPr>
        <w:pageBreakBefore w:val="0"/>
        <w:numPr>
          <w:ilvl w:val="0"/>
          <w:numId w:val="0"/>
        </w:numPr>
        <w:tabs>
          <w:tab w:val="left" w:pos="740"/>
        </w:tabs>
        <w:kinsoku/>
        <w:wordWrap/>
        <w:overflowPunct/>
        <w:topLinePunct w:val="0"/>
        <w:bidi w:val="0"/>
        <w:adjustRightInd w:val="0"/>
        <w:snapToGrid w:val="0"/>
        <w:spacing w:before="0" w:beforeLines="0" w:line="400" w:lineRule="exact"/>
        <w:ind w:left="0" w:leftChars="0" w:firstLine="0" w:firstLineChars="0"/>
        <w:textAlignment w:val="auto"/>
        <w:outlineLvl w:val="9"/>
        <w:rPr>
          <w:rFonts w:hint="eastAsia" w:ascii="宋体" w:hAnsi="宋体" w:eastAsia="宋体" w:cs="宋体"/>
          <w:b w:val="0"/>
          <w:bCs w:val="0"/>
          <w:sz w:val="21"/>
          <w:szCs w:val="21"/>
          <w:u w:val="none"/>
          <w:lang w:val="en-US" w:eastAsia="zh-CN"/>
        </w:rPr>
      </w:pPr>
      <w:r>
        <w:rPr>
          <w:rFonts w:hint="eastAsia" w:ascii="宋体" w:hAnsi="宋体" w:eastAsia="宋体" w:cs="宋体"/>
          <w:b w:val="0"/>
          <w:bCs w:val="0"/>
          <w:sz w:val="21"/>
          <w:szCs w:val="21"/>
          <w:u w:val="none"/>
          <w:lang w:val="en-US" w:eastAsia="zh-CN"/>
        </w:rPr>
        <w:t xml:space="preserve">    （1</w:t>
      </w:r>
      <w:r>
        <w:rPr>
          <w:rFonts w:hint="eastAsia" w:ascii="宋体" w:hAnsi="宋体" w:eastAsia="宋体" w:cs="宋体"/>
          <w:b w:val="0"/>
          <w:bCs w:val="0"/>
          <w:sz w:val="21"/>
          <w:szCs w:val="21"/>
          <w:u w:val="none"/>
          <w:lang w:val="en" w:eastAsia="zh-CN"/>
        </w:rPr>
        <w:t>0</w:t>
      </w:r>
      <w:r>
        <w:rPr>
          <w:rFonts w:hint="eastAsia" w:ascii="宋体" w:hAnsi="宋体" w:eastAsia="宋体" w:cs="宋体"/>
          <w:b w:val="0"/>
          <w:bCs w:val="0"/>
          <w:sz w:val="21"/>
          <w:szCs w:val="21"/>
          <w:u w:val="none"/>
          <w:lang w:val="en-US" w:eastAsia="zh-CN"/>
        </w:rPr>
        <w:t>）是否涉及节能产品：</w:t>
      </w:r>
    </w:p>
    <w:p w14:paraId="0C13945C">
      <w:pPr>
        <w:pageBreakBefore w:val="0"/>
        <w:numPr>
          <w:ilvl w:val="0"/>
          <w:numId w:val="0"/>
        </w:numPr>
        <w:tabs>
          <w:tab w:val="left" w:pos="740"/>
        </w:tabs>
        <w:kinsoku/>
        <w:wordWrap/>
        <w:overflowPunct/>
        <w:topLinePunct w:val="0"/>
        <w:bidi w:val="0"/>
        <w:adjustRightInd w:val="0"/>
        <w:snapToGrid w:val="0"/>
        <w:spacing w:before="0" w:beforeLines="0" w:line="400" w:lineRule="exact"/>
        <w:ind w:left="0" w:leftChars="0" w:firstLine="0" w:firstLineChars="0"/>
        <w:textAlignment w:val="auto"/>
        <w:outlineLvl w:val="9"/>
        <w:rPr>
          <w:rFonts w:hint="eastAsia" w:ascii="宋体" w:hAnsi="宋体" w:eastAsia="宋体" w:cs="宋体"/>
          <w:iCs/>
          <w:szCs w:val="21"/>
          <w:lang w:val="en-US" w:eastAsia="zh-CN"/>
        </w:rPr>
      </w:pPr>
      <w:r>
        <w:rPr>
          <w:rFonts w:hint="eastAsia" w:ascii="宋体" w:hAnsi="宋体" w:eastAsia="宋体" w:cs="宋体"/>
          <w:b w:val="0"/>
          <w:bCs w:val="0"/>
          <w:sz w:val="21"/>
          <w:szCs w:val="21"/>
          <w:u w:val="none"/>
          <w:lang w:val="en-US" w:eastAsia="zh-CN"/>
        </w:rPr>
        <w:t xml:space="preserve">         </w:t>
      </w:r>
      <w:r>
        <w:rPr>
          <w:rFonts w:hint="eastAsia" w:ascii="宋体" w:hAnsi="宋体" w:eastAsia="宋体" w:cs="宋体"/>
          <w:iCs w:val="0"/>
          <w:szCs w:val="21"/>
        </w:rPr>
        <w:sym w:font="Wingdings" w:char="00A8"/>
      </w:r>
      <w:r>
        <w:rPr>
          <w:rFonts w:hint="eastAsia" w:ascii="宋体" w:hAnsi="宋体" w:eastAsia="宋体" w:cs="宋体"/>
          <w:iCs w:val="0"/>
          <w:szCs w:val="21"/>
        </w:rPr>
        <w:t>是</w:t>
      </w:r>
      <w:r>
        <w:rPr>
          <w:rFonts w:hint="eastAsia" w:ascii="宋体" w:hAnsi="宋体" w:eastAsia="宋体" w:cs="宋体"/>
          <w:iCs w:val="0"/>
          <w:szCs w:val="21"/>
          <w:lang w:eastAsia="zh-CN"/>
        </w:rPr>
        <w:t>，《节能产品政府采购品目清单》的底级品目名称：</w:t>
      </w:r>
      <w:r>
        <w:rPr>
          <w:rFonts w:hint="eastAsia" w:ascii="宋体" w:hAnsi="宋体" w:eastAsia="宋体" w:cs="宋体"/>
          <w:szCs w:val="21"/>
          <w:u w:val="single"/>
          <w:lang w:val="en-US" w:eastAsia="zh-CN"/>
        </w:rPr>
        <w:t xml:space="preserve">         </w:t>
      </w:r>
      <w:r>
        <w:rPr>
          <w:rFonts w:hint="eastAsia" w:ascii="宋体" w:hAnsi="宋体" w:eastAsia="宋体" w:cs="宋体"/>
          <w:iCs/>
          <w:szCs w:val="21"/>
          <w:lang w:val="en-US" w:eastAsia="zh-CN"/>
        </w:rPr>
        <w:t xml:space="preserve">     </w:t>
      </w:r>
    </w:p>
    <w:p w14:paraId="4A4CDFD2">
      <w:pPr>
        <w:pageBreakBefore w:val="0"/>
        <w:numPr>
          <w:ilvl w:val="0"/>
          <w:numId w:val="0"/>
        </w:numPr>
        <w:tabs>
          <w:tab w:val="left" w:pos="740"/>
        </w:tabs>
        <w:kinsoku/>
        <w:wordWrap/>
        <w:overflowPunct/>
        <w:topLinePunct w:val="0"/>
        <w:bidi w:val="0"/>
        <w:adjustRightInd w:val="0"/>
        <w:snapToGrid w:val="0"/>
        <w:spacing w:before="0" w:beforeLines="0" w:line="400" w:lineRule="exact"/>
        <w:ind w:left="0" w:leftChars="0" w:firstLine="0" w:firstLineChars="0"/>
        <w:textAlignment w:val="auto"/>
        <w:outlineLvl w:val="9"/>
        <w:rPr>
          <w:rFonts w:hint="eastAsia" w:ascii="宋体" w:hAnsi="宋体" w:eastAsia="宋体" w:cs="宋体"/>
          <w:iCs/>
          <w:szCs w:val="21"/>
          <w:lang w:val="en-US" w:eastAsia="zh-CN"/>
        </w:rPr>
      </w:pPr>
      <w:r>
        <w:rPr>
          <w:rFonts w:hint="eastAsia" w:ascii="宋体" w:hAnsi="宋体" w:eastAsia="宋体" w:cs="宋体"/>
          <w:iCs/>
          <w:szCs w:val="21"/>
          <w:lang w:val="en-US" w:eastAsia="zh-CN"/>
        </w:rPr>
        <w:t xml:space="preserve">                </w:t>
      </w:r>
      <w:r>
        <w:rPr>
          <w:rFonts w:hint="eastAsia" w:ascii="宋体" w:hAnsi="宋体" w:eastAsia="宋体" w:cs="宋体"/>
          <w:iCs/>
          <w:szCs w:val="21"/>
        </w:rPr>
        <w:sym w:font="Wingdings" w:char="00A8"/>
      </w:r>
      <w:r>
        <w:rPr>
          <w:rFonts w:hint="eastAsia" w:ascii="宋体" w:hAnsi="宋体" w:eastAsia="宋体" w:cs="宋体"/>
          <w:iCs/>
          <w:szCs w:val="21"/>
          <w:lang w:eastAsia="zh-CN"/>
        </w:rPr>
        <w:t>强制采购</w:t>
      </w:r>
      <w:r>
        <w:rPr>
          <w:rFonts w:hint="eastAsia" w:ascii="宋体" w:hAnsi="宋体" w:eastAsia="宋体" w:cs="宋体"/>
          <w:iCs/>
          <w:szCs w:val="21"/>
          <w:lang w:val="en-US" w:eastAsia="zh-CN"/>
        </w:rPr>
        <w:t xml:space="preserve">       </w:t>
      </w:r>
      <w:r>
        <w:rPr>
          <w:rFonts w:hint="eastAsia" w:ascii="宋体" w:hAnsi="宋体" w:eastAsia="宋体" w:cs="宋体"/>
          <w:iCs/>
          <w:szCs w:val="21"/>
        </w:rPr>
        <w:sym w:font="Wingdings" w:char="00A8"/>
      </w:r>
      <w:r>
        <w:rPr>
          <w:rFonts w:hint="eastAsia" w:ascii="宋体" w:hAnsi="宋体" w:eastAsia="宋体" w:cs="宋体"/>
          <w:iCs/>
          <w:szCs w:val="21"/>
          <w:lang w:eastAsia="zh-CN"/>
        </w:rPr>
        <w:t>优先采购</w:t>
      </w:r>
      <w:r>
        <w:rPr>
          <w:rFonts w:hint="eastAsia" w:ascii="宋体" w:hAnsi="宋体" w:eastAsia="宋体" w:cs="宋体"/>
          <w:iCs/>
          <w:szCs w:val="21"/>
          <w:lang w:val="en-US" w:eastAsia="zh-CN"/>
        </w:rPr>
        <w:t xml:space="preserve">    </w:t>
      </w:r>
    </w:p>
    <w:p w14:paraId="62721BDD">
      <w:pPr>
        <w:pageBreakBefore w:val="0"/>
        <w:numPr>
          <w:ilvl w:val="0"/>
          <w:numId w:val="0"/>
        </w:numPr>
        <w:tabs>
          <w:tab w:val="left" w:pos="740"/>
        </w:tabs>
        <w:kinsoku/>
        <w:wordWrap/>
        <w:overflowPunct/>
        <w:topLinePunct w:val="0"/>
        <w:bidi w:val="0"/>
        <w:adjustRightInd w:val="0"/>
        <w:snapToGrid w:val="0"/>
        <w:spacing w:before="0" w:beforeLines="0" w:line="400" w:lineRule="exact"/>
        <w:ind w:left="0" w:leftChars="0" w:firstLine="0" w:firstLineChars="0"/>
        <w:textAlignment w:val="auto"/>
        <w:outlineLvl w:val="9"/>
        <w:rPr>
          <w:rFonts w:hint="eastAsia" w:ascii="宋体" w:hAnsi="宋体" w:eastAsia="宋体" w:cs="宋体"/>
          <w:iCs w:val="0"/>
          <w:szCs w:val="21"/>
        </w:rPr>
      </w:pPr>
      <w:r>
        <w:rPr>
          <w:rFonts w:hint="eastAsia" w:ascii="宋体" w:hAnsi="宋体" w:eastAsia="宋体" w:cs="宋体"/>
          <w:iCs/>
          <w:szCs w:val="21"/>
          <w:lang w:val="en-US" w:eastAsia="zh-CN"/>
        </w:rPr>
        <w:t xml:space="preserve">         </w:t>
      </w:r>
      <w:r>
        <w:rPr>
          <w:rFonts w:hint="eastAsia" w:ascii="宋体" w:hAnsi="宋体" w:eastAsia="宋体" w:cs="宋体"/>
          <w:iCs w:val="0"/>
          <w:szCs w:val="21"/>
        </w:rPr>
        <w:sym w:font="Wingdings" w:char="00A8"/>
      </w:r>
      <w:r>
        <w:rPr>
          <w:rFonts w:hint="eastAsia" w:ascii="宋体" w:hAnsi="宋体" w:eastAsia="宋体" w:cs="宋体"/>
          <w:iCs w:val="0"/>
          <w:szCs w:val="21"/>
        </w:rPr>
        <w:t>否</w:t>
      </w:r>
    </w:p>
    <w:p w14:paraId="1D275F92">
      <w:pPr>
        <w:pageBreakBefore w:val="0"/>
        <w:numPr>
          <w:ilvl w:val="0"/>
          <w:numId w:val="0"/>
        </w:numPr>
        <w:tabs>
          <w:tab w:val="left" w:pos="740"/>
        </w:tabs>
        <w:kinsoku/>
        <w:wordWrap/>
        <w:overflowPunct/>
        <w:topLinePunct w:val="0"/>
        <w:bidi w:val="0"/>
        <w:adjustRightInd w:val="0"/>
        <w:snapToGrid w:val="0"/>
        <w:spacing w:before="0" w:beforeLines="0" w:line="400" w:lineRule="exact"/>
        <w:ind w:left="0" w:leftChars="0" w:firstLine="0" w:firstLineChars="0"/>
        <w:textAlignment w:val="auto"/>
        <w:outlineLvl w:val="9"/>
        <w:rPr>
          <w:rFonts w:hint="eastAsia" w:ascii="宋体" w:hAnsi="宋体" w:eastAsia="宋体" w:cs="宋体"/>
          <w:b w:val="0"/>
          <w:bCs w:val="0"/>
          <w:sz w:val="21"/>
          <w:szCs w:val="21"/>
          <w:u w:val="none"/>
          <w:lang w:val="en-US" w:eastAsia="zh-CN"/>
        </w:rPr>
      </w:pPr>
      <w:r>
        <w:rPr>
          <w:rFonts w:hint="eastAsia" w:ascii="宋体" w:hAnsi="宋体" w:eastAsia="宋体" w:cs="宋体"/>
          <w:b w:val="0"/>
          <w:bCs w:val="0"/>
          <w:sz w:val="21"/>
          <w:szCs w:val="21"/>
          <w:u w:val="none"/>
          <w:lang w:val="en-US" w:eastAsia="zh-CN"/>
        </w:rPr>
        <w:t xml:space="preserve">          是否涉及环境标志产品：</w:t>
      </w:r>
    </w:p>
    <w:p w14:paraId="545595F7">
      <w:pPr>
        <w:pageBreakBefore w:val="0"/>
        <w:numPr>
          <w:ilvl w:val="0"/>
          <w:numId w:val="0"/>
        </w:numPr>
        <w:tabs>
          <w:tab w:val="left" w:pos="740"/>
        </w:tabs>
        <w:kinsoku/>
        <w:wordWrap/>
        <w:overflowPunct/>
        <w:topLinePunct w:val="0"/>
        <w:bidi w:val="0"/>
        <w:adjustRightInd w:val="0"/>
        <w:snapToGrid w:val="0"/>
        <w:spacing w:before="0" w:beforeLines="0" w:line="400" w:lineRule="exact"/>
        <w:ind w:left="0" w:leftChars="0" w:firstLine="0" w:firstLineChars="0"/>
        <w:textAlignment w:val="auto"/>
        <w:outlineLvl w:val="9"/>
        <w:rPr>
          <w:rFonts w:hint="eastAsia" w:ascii="宋体" w:hAnsi="宋体" w:eastAsia="宋体" w:cs="宋体"/>
          <w:iCs w:val="0"/>
          <w:szCs w:val="21"/>
          <w:lang w:eastAsia="zh-CN"/>
        </w:rPr>
      </w:pPr>
      <w:r>
        <w:rPr>
          <w:rFonts w:hint="eastAsia" w:ascii="宋体" w:hAnsi="宋体" w:eastAsia="宋体" w:cs="宋体"/>
          <w:b w:val="0"/>
          <w:bCs w:val="0"/>
          <w:sz w:val="21"/>
          <w:szCs w:val="21"/>
          <w:u w:val="none"/>
          <w:lang w:val="en-US" w:eastAsia="zh-CN"/>
        </w:rPr>
        <w:t xml:space="preserve">         </w:t>
      </w:r>
      <w:r>
        <w:rPr>
          <w:rFonts w:hint="eastAsia" w:ascii="宋体" w:hAnsi="宋体" w:eastAsia="宋体" w:cs="宋体"/>
          <w:iCs w:val="0"/>
          <w:szCs w:val="21"/>
        </w:rPr>
        <w:sym w:font="Wingdings" w:char="00A8"/>
      </w:r>
      <w:r>
        <w:rPr>
          <w:rFonts w:hint="eastAsia" w:ascii="宋体" w:hAnsi="宋体" w:eastAsia="宋体" w:cs="宋体"/>
          <w:iCs w:val="0"/>
          <w:szCs w:val="21"/>
        </w:rPr>
        <w:t>是</w:t>
      </w:r>
      <w:r>
        <w:rPr>
          <w:rFonts w:hint="eastAsia" w:ascii="宋体" w:hAnsi="宋体" w:eastAsia="宋体" w:cs="宋体"/>
          <w:iCs w:val="0"/>
          <w:szCs w:val="21"/>
          <w:lang w:eastAsia="zh-CN"/>
        </w:rPr>
        <w:t>，《环境标志产品政府采购品目清单》的底级品目名称：</w:t>
      </w:r>
      <w:r>
        <w:rPr>
          <w:rFonts w:hint="eastAsia" w:ascii="宋体" w:hAnsi="宋体" w:eastAsia="宋体" w:cs="宋体"/>
          <w:szCs w:val="21"/>
          <w:u w:val="single"/>
          <w:lang w:val="en-US" w:eastAsia="zh-CN"/>
        </w:rPr>
        <w:t xml:space="preserve">         </w:t>
      </w:r>
      <w:r>
        <w:rPr>
          <w:rFonts w:hint="eastAsia" w:ascii="宋体" w:hAnsi="宋体" w:eastAsia="宋体" w:cs="宋体"/>
          <w:iCs/>
          <w:szCs w:val="21"/>
          <w:lang w:val="en-US" w:eastAsia="zh-CN"/>
        </w:rPr>
        <w:t xml:space="preserve"> </w:t>
      </w:r>
    </w:p>
    <w:p w14:paraId="511F2A0B">
      <w:pPr>
        <w:pageBreakBefore w:val="0"/>
        <w:numPr>
          <w:ilvl w:val="0"/>
          <w:numId w:val="0"/>
        </w:numPr>
        <w:tabs>
          <w:tab w:val="left" w:pos="740"/>
        </w:tabs>
        <w:kinsoku/>
        <w:wordWrap/>
        <w:overflowPunct/>
        <w:topLinePunct w:val="0"/>
        <w:bidi w:val="0"/>
        <w:adjustRightInd w:val="0"/>
        <w:snapToGrid w:val="0"/>
        <w:spacing w:before="0" w:beforeLines="0" w:line="400" w:lineRule="exact"/>
        <w:ind w:left="0" w:leftChars="0" w:firstLine="0" w:firstLineChars="0"/>
        <w:textAlignment w:val="auto"/>
        <w:outlineLvl w:val="9"/>
        <w:rPr>
          <w:rFonts w:hint="eastAsia" w:ascii="宋体" w:hAnsi="宋体" w:eastAsia="宋体" w:cs="宋体"/>
          <w:iCs/>
          <w:szCs w:val="21"/>
          <w:lang w:val="en-US" w:eastAsia="zh-CN"/>
        </w:rPr>
      </w:pPr>
      <w:r>
        <w:rPr>
          <w:rFonts w:hint="eastAsia" w:ascii="宋体" w:hAnsi="宋体" w:eastAsia="宋体" w:cs="宋体"/>
          <w:iCs/>
          <w:szCs w:val="21"/>
          <w:lang w:val="en-US" w:eastAsia="zh-CN"/>
        </w:rPr>
        <w:t xml:space="preserve">                </w:t>
      </w:r>
      <w:r>
        <w:rPr>
          <w:rFonts w:hint="eastAsia" w:ascii="宋体" w:hAnsi="宋体" w:eastAsia="宋体" w:cs="宋体"/>
          <w:iCs/>
          <w:szCs w:val="21"/>
        </w:rPr>
        <w:sym w:font="Wingdings" w:char="00A8"/>
      </w:r>
      <w:r>
        <w:rPr>
          <w:rFonts w:hint="eastAsia" w:ascii="宋体" w:hAnsi="宋体" w:eastAsia="宋体" w:cs="宋体"/>
          <w:iCs/>
          <w:szCs w:val="21"/>
          <w:lang w:eastAsia="zh-CN"/>
        </w:rPr>
        <w:t>强制采购</w:t>
      </w:r>
      <w:r>
        <w:rPr>
          <w:rFonts w:hint="eastAsia" w:ascii="宋体" w:hAnsi="宋体" w:eastAsia="宋体" w:cs="宋体"/>
          <w:iCs/>
          <w:szCs w:val="21"/>
          <w:lang w:val="en-US" w:eastAsia="zh-CN"/>
        </w:rPr>
        <w:t xml:space="preserve">       </w:t>
      </w:r>
      <w:r>
        <w:rPr>
          <w:rFonts w:hint="eastAsia" w:ascii="宋体" w:hAnsi="宋体" w:eastAsia="宋体" w:cs="宋体"/>
          <w:iCs/>
          <w:szCs w:val="21"/>
        </w:rPr>
        <w:sym w:font="Wingdings" w:char="00A8"/>
      </w:r>
      <w:r>
        <w:rPr>
          <w:rFonts w:hint="eastAsia" w:ascii="宋体" w:hAnsi="宋体" w:eastAsia="宋体" w:cs="宋体"/>
          <w:iCs/>
          <w:szCs w:val="21"/>
          <w:lang w:eastAsia="zh-CN"/>
        </w:rPr>
        <w:t>优先采购</w:t>
      </w:r>
      <w:r>
        <w:rPr>
          <w:rFonts w:hint="eastAsia" w:ascii="宋体" w:hAnsi="宋体" w:eastAsia="宋体" w:cs="宋体"/>
          <w:iCs/>
          <w:szCs w:val="21"/>
          <w:lang w:val="en-US" w:eastAsia="zh-CN"/>
        </w:rPr>
        <w:t xml:space="preserve">    </w:t>
      </w:r>
    </w:p>
    <w:p w14:paraId="52828F2B">
      <w:pPr>
        <w:pageBreakBefore w:val="0"/>
        <w:numPr>
          <w:ilvl w:val="0"/>
          <w:numId w:val="0"/>
        </w:numPr>
        <w:tabs>
          <w:tab w:val="left" w:pos="740"/>
        </w:tabs>
        <w:kinsoku/>
        <w:wordWrap/>
        <w:overflowPunct/>
        <w:topLinePunct w:val="0"/>
        <w:bidi w:val="0"/>
        <w:adjustRightInd w:val="0"/>
        <w:snapToGrid w:val="0"/>
        <w:spacing w:before="0" w:beforeLines="0" w:line="400" w:lineRule="exact"/>
        <w:ind w:left="0" w:leftChars="0" w:firstLine="0" w:firstLineChars="0"/>
        <w:textAlignment w:val="auto"/>
        <w:outlineLvl w:val="9"/>
        <w:rPr>
          <w:rFonts w:hint="eastAsia" w:ascii="宋体" w:hAnsi="宋体" w:eastAsia="宋体" w:cs="宋体"/>
          <w:b w:val="0"/>
          <w:bCs w:val="0"/>
          <w:sz w:val="21"/>
          <w:szCs w:val="21"/>
          <w:u w:val="none"/>
          <w:lang w:val="en-US" w:eastAsia="zh-CN"/>
        </w:rPr>
      </w:pPr>
      <w:r>
        <w:rPr>
          <w:rFonts w:hint="eastAsia" w:ascii="宋体" w:hAnsi="宋体" w:eastAsia="宋体" w:cs="宋体"/>
          <w:iCs/>
          <w:szCs w:val="21"/>
          <w:lang w:val="en-US" w:eastAsia="zh-CN"/>
        </w:rPr>
        <w:t xml:space="preserve">         </w:t>
      </w:r>
      <w:r>
        <w:rPr>
          <w:rFonts w:hint="eastAsia" w:ascii="宋体" w:hAnsi="宋体" w:eastAsia="宋体" w:cs="宋体"/>
          <w:iCs w:val="0"/>
          <w:szCs w:val="21"/>
        </w:rPr>
        <w:sym w:font="Wingdings" w:char="00A8"/>
      </w:r>
      <w:r>
        <w:rPr>
          <w:rFonts w:hint="eastAsia" w:ascii="宋体" w:hAnsi="宋体" w:eastAsia="宋体" w:cs="宋体"/>
          <w:iCs w:val="0"/>
          <w:szCs w:val="21"/>
        </w:rPr>
        <w:t>否</w:t>
      </w:r>
    </w:p>
    <w:p w14:paraId="02CD2570">
      <w:pPr>
        <w:pStyle w:val="290"/>
        <w:pageBreakBefore w:val="0"/>
        <w:numPr>
          <w:ilvl w:val="0"/>
          <w:numId w:val="0"/>
        </w:numPr>
        <w:kinsoku/>
        <w:wordWrap/>
        <w:overflowPunct/>
        <w:topLinePunct w:val="0"/>
        <w:bidi w:val="0"/>
        <w:adjustRightInd w:val="0"/>
        <w:snapToGrid w:val="0"/>
        <w:spacing w:before="0" w:beforeLines="0" w:line="400" w:lineRule="exact"/>
        <w:ind w:left="0" w:leftChars="0" w:firstLine="0" w:firstLineChars="0"/>
        <w:textAlignment w:val="auto"/>
        <w:outlineLvl w:val="9"/>
        <w:rPr>
          <w:rFonts w:hint="eastAsia" w:ascii="宋体" w:hAnsi="宋体" w:eastAsia="宋体" w:cs="宋体"/>
          <w:iCs w:val="0"/>
          <w:kern w:val="2"/>
          <w:sz w:val="21"/>
          <w:szCs w:val="21"/>
          <w:u w:val="none"/>
          <w:lang w:val="en-US" w:eastAsia="zh-CN"/>
        </w:rPr>
      </w:pPr>
      <w:r>
        <w:rPr>
          <w:rFonts w:hint="eastAsia" w:ascii="宋体" w:hAnsi="宋体" w:eastAsia="宋体" w:cs="宋体"/>
          <w:b w:val="0"/>
          <w:bCs w:val="0"/>
          <w:sz w:val="21"/>
          <w:szCs w:val="21"/>
          <w:u w:val="none"/>
          <w:lang w:val="en-US" w:eastAsia="zh-CN"/>
        </w:rPr>
        <w:t xml:space="preserve">          </w:t>
      </w:r>
      <w:r>
        <w:rPr>
          <w:rFonts w:hint="eastAsia" w:ascii="宋体" w:hAnsi="宋体" w:eastAsia="宋体" w:cs="宋体"/>
          <w:b w:val="0"/>
          <w:bCs w:val="0"/>
          <w:kern w:val="2"/>
          <w:sz w:val="21"/>
          <w:szCs w:val="21"/>
          <w:u w:val="none"/>
          <w:lang w:val="en-US" w:eastAsia="zh-CN"/>
        </w:rPr>
        <w:t>是否涉及绿色产品：</w:t>
      </w:r>
      <w:r>
        <w:rPr>
          <w:rFonts w:hint="eastAsia" w:ascii="宋体" w:hAnsi="宋体" w:eastAsia="宋体" w:cs="宋体"/>
          <w:iCs w:val="0"/>
          <w:kern w:val="2"/>
          <w:sz w:val="21"/>
          <w:szCs w:val="21"/>
          <w:u w:val="none"/>
          <w:lang w:val="en-US" w:eastAsia="zh-CN"/>
        </w:rPr>
        <w:t xml:space="preserve"> </w:t>
      </w:r>
    </w:p>
    <w:p w14:paraId="19ED888F">
      <w:pPr>
        <w:pStyle w:val="290"/>
        <w:pageBreakBefore w:val="0"/>
        <w:kinsoku/>
        <w:wordWrap/>
        <w:overflowPunct/>
        <w:topLinePunct w:val="0"/>
        <w:bidi w:val="0"/>
        <w:spacing w:beforeLines="0"/>
        <w:ind w:left="0" w:leftChars="0" w:firstLine="420" w:firstLineChars="0"/>
        <w:textAlignment w:val="auto"/>
        <w:outlineLvl w:val="9"/>
        <w:rPr>
          <w:rFonts w:hint="eastAsia" w:ascii="宋体" w:hAnsi="宋体" w:eastAsia="宋体" w:cs="宋体"/>
          <w:szCs w:val="21"/>
          <w:u w:val="single"/>
          <w:lang w:val="en-US" w:eastAsia="zh-CN"/>
        </w:rPr>
      </w:pPr>
      <w:r>
        <w:rPr>
          <w:rFonts w:hint="eastAsia" w:ascii="宋体" w:hAnsi="宋体" w:eastAsia="宋体" w:cs="宋体"/>
          <w:iCs w:val="0"/>
          <w:kern w:val="2"/>
          <w:sz w:val="21"/>
          <w:szCs w:val="21"/>
          <w:u w:val="none"/>
          <w:lang w:val="en-US" w:eastAsia="zh-CN"/>
        </w:rPr>
        <w:t xml:space="preserve">     </w:t>
      </w:r>
      <w:r>
        <w:rPr>
          <w:rFonts w:hint="eastAsia" w:ascii="宋体" w:hAnsi="宋体" w:eastAsia="宋体" w:cs="宋体"/>
          <w:iCs w:val="0"/>
          <w:kern w:val="2"/>
          <w:sz w:val="21"/>
          <w:szCs w:val="21"/>
          <w:u w:val="none"/>
        </w:rPr>
        <w:sym w:font="Wingdings" w:char="00A8"/>
      </w:r>
      <w:r>
        <w:rPr>
          <w:rFonts w:hint="eastAsia" w:ascii="宋体" w:hAnsi="宋体" w:eastAsia="宋体" w:cs="宋体"/>
          <w:iCs w:val="0"/>
          <w:kern w:val="2"/>
          <w:sz w:val="21"/>
          <w:szCs w:val="21"/>
          <w:u w:val="none"/>
        </w:rPr>
        <w:t>是</w:t>
      </w:r>
      <w:r>
        <w:rPr>
          <w:rFonts w:hint="eastAsia" w:ascii="宋体" w:hAnsi="宋体" w:eastAsia="宋体" w:cs="宋体"/>
          <w:iCs w:val="0"/>
          <w:kern w:val="2"/>
          <w:sz w:val="21"/>
          <w:szCs w:val="21"/>
          <w:u w:val="none"/>
          <w:lang w:eastAsia="zh-CN"/>
        </w:rPr>
        <w:t>，绿色产品政府采购相关政策确定的底级品目名称：</w:t>
      </w:r>
      <w:r>
        <w:rPr>
          <w:rFonts w:hint="eastAsia" w:ascii="宋体" w:hAnsi="宋体" w:eastAsia="宋体" w:cs="宋体"/>
          <w:szCs w:val="21"/>
          <w:u w:val="single"/>
          <w:lang w:val="en-US" w:eastAsia="zh-CN"/>
        </w:rPr>
        <w:t xml:space="preserve">         </w:t>
      </w:r>
    </w:p>
    <w:p w14:paraId="063BA955">
      <w:pPr>
        <w:pageBreakBefore w:val="0"/>
        <w:numPr>
          <w:ilvl w:val="0"/>
          <w:numId w:val="0"/>
        </w:numPr>
        <w:tabs>
          <w:tab w:val="left" w:pos="740"/>
        </w:tabs>
        <w:kinsoku/>
        <w:wordWrap/>
        <w:overflowPunct/>
        <w:topLinePunct w:val="0"/>
        <w:bidi w:val="0"/>
        <w:adjustRightInd w:val="0"/>
        <w:snapToGrid w:val="0"/>
        <w:spacing w:before="0" w:beforeLines="0" w:line="400" w:lineRule="exact"/>
        <w:ind w:left="0" w:leftChars="0" w:firstLine="0" w:firstLineChars="0"/>
        <w:textAlignment w:val="auto"/>
        <w:outlineLvl w:val="9"/>
        <w:rPr>
          <w:rFonts w:hint="eastAsia" w:ascii="宋体" w:hAnsi="宋体" w:eastAsia="宋体" w:cs="宋体"/>
          <w:iCs/>
          <w:szCs w:val="21"/>
          <w:lang w:val="en-US" w:eastAsia="zh-CN"/>
        </w:rPr>
      </w:pPr>
      <w:r>
        <w:rPr>
          <w:rFonts w:hint="eastAsia" w:ascii="宋体" w:hAnsi="宋体" w:eastAsia="宋体" w:cs="宋体"/>
          <w:iCs/>
          <w:szCs w:val="21"/>
          <w:lang w:val="en-US" w:eastAsia="zh-CN"/>
        </w:rPr>
        <w:t xml:space="preserve">                </w:t>
      </w:r>
      <w:r>
        <w:rPr>
          <w:rFonts w:hint="eastAsia" w:ascii="宋体" w:hAnsi="宋体" w:eastAsia="宋体" w:cs="宋体"/>
          <w:iCs/>
          <w:szCs w:val="21"/>
        </w:rPr>
        <w:sym w:font="Wingdings" w:char="00A8"/>
      </w:r>
      <w:r>
        <w:rPr>
          <w:rFonts w:hint="eastAsia" w:ascii="宋体" w:hAnsi="宋体" w:eastAsia="宋体" w:cs="宋体"/>
          <w:iCs/>
          <w:szCs w:val="21"/>
          <w:lang w:eastAsia="zh-CN"/>
        </w:rPr>
        <w:t>强制采购</w:t>
      </w:r>
      <w:r>
        <w:rPr>
          <w:rFonts w:hint="eastAsia" w:ascii="宋体" w:hAnsi="宋体" w:eastAsia="宋体" w:cs="宋体"/>
          <w:iCs/>
          <w:szCs w:val="21"/>
          <w:lang w:val="en-US" w:eastAsia="zh-CN"/>
        </w:rPr>
        <w:t xml:space="preserve">       </w:t>
      </w:r>
      <w:r>
        <w:rPr>
          <w:rFonts w:hint="eastAsia" w:ascii="宋体" w:hAnsi="宋体" w:eastAsia="宋体" w:cs="宋体"/>
          <w:iCs/>
          <w:szCs w:val="21"/>
        </w:rPr>
        <w:sym w:font="Wingdings" w:char="00A8"/>
      </w:r>
      <w:r>
        <w:rPr>
          <w:rFonts w:hint="eastAsia" w:ascii="宋体" w:hAnsi="宋体" w:eastAsia="宋体" w:cs="宋体"/>
          <w:iCs/>
          <w:szCs w:val="21"/>
          <w:lang w:eastAsia="zh-CN"/>
        </w:rPr>
        <w:t>优先采购</w:t>
      </w:r>
      <w:r>
        <w:rPr>
          <w:rFonts w:hint="eastAsia" w:ascii="宋体" w:hAnsi="宋体" w:eastAsia="宋体" w:cs="宋体"/>
          <w:iCs/>
          <w:szCs w:val="21"/>
          <w:lang w:val="en-US" w:eastAsia="zh-CN"/>
        </w:rPr>
        <w:t xml:space="preserve">    </w:t>
      </w:r>
    </w:p>
    <w:p w14:paraId="5EFDA4BB">
      <w:pPr>
        <w:pStyle w:val="290"/>
        <w:pageBreakBefore w:val="0"/>
        <w:kinsoku/>
        <w:wordWrap/>
        <w:overflowPunct/>
        <w:topLinePunct w:val="0"/>
        <w:bidi w:val="0"/>
        <w:spacing w:beforeLines="0"/>
        <w:ind w:left="0" w:leftChars="0" w:firstLine="420" w:firstLineChars="0"/>
        <w:textAlignment w:val="auto"/>
        <w:outlineLvl w:val="9"/>
        <w:rPr>
          <w:rFonts w:hint="eastAsia" w:ascii="宋体" w:hAnsi="宋体" w:eastAsia="宋体" w:cs="宋体"/>
          <w:b w:val="0"/>
          <w:bCs w:val="0"/>
          <w:sz w:val="21"/>
          <w:szCs w:val="21"/>
          <w:u w:val="none"/>
          <w:lang w:val="en-US" w:eastAsia="zh-CN"/>
        </w:rPr>
      </w:pPr>
      <w:r>
        <w:rPr>
          <w:rFonts w:hint="eastAsia" w:ascii="宋体" w:hAnsi="宋体" w:eastAsia="宋体" w:cs="宋体"/>
          <w:iCs w:val="0"/>
          <w:kern w:val="2"/>
          <w:sz w:val="21"/>
          <w:szCs w:val="21"/>
          <w:u w:val="none"/>
          <w:lang w:val="en-US" w:eastAsia="zh-CN"/>
        </w:rPr>
        <w:t xml:space="preserve">     </w:t>
      </w:r>
      <w:r>
        <w:rPr>
          <w:rFonts w:hint="eastAsia" w:ascii="宋体" w:hAnsi="宋体" w:eastAsia="宋体" w:cs="宋体"/>
          <w:iCs w:val="0"/>
          <w:kern w:val="2"/>
          <w:sz w:val="21"/>
          <w:szCs w:val="21"/>
          <w:u w:val="none"/>
        </w:rPr>
        <w:sym w:font="Wingdings" w:char="00A8"/>
      </w:r>
      <w:r>
        <w:rPr>
          <w:rFonts w:hint="eastAsia" w:ascii="宋体" w:hAnsi="宋体" w:eastAsia="宋体" w:cs="宋体"/>
          <w:iCs w:val="0"/>
          <w:kern w:val="2"/>
          <w:sz w:val="21"/>
          <w:szCs w:val="21"/>
          <w:u w:val="none"/>
        </w:rPr>
        <w:t>否</w:t>
      </w:r>
    </w:p>
    <w:p w14:paraId="339C6EE8">
      <w:pPr>
        <w:pageBreakBefore w:val="0"/>
        <w:numPr>
          <w:ilvl w:val="0"/>
          <w:numId w:val="0"/>
        </w:numPr>
        <w:kinsoku/>
        <w:wordWrap/>
        <w:overflowPunct/>
        <w:topLinePunct w:val="0"/>
        <w:bidi w:val="0"/>
        <w:adjustRightInd w:val="0"/>
        <w:snapToGrid w:val="0"/>
        <w:spacing w:before="0" w:beforeLines="0" w:line="400" w:lineRule="exact"/>
        <w:ind w:left="0" w:leftChars="0" w:firstLine="0" w:firstLineChars="0"/>
        <w:textAlignment w:val="auto"/>
        <w:outlineLvl w:val="9"/>
        <w:rPr>
          <w:rFonts w:hint="eastAsia" w:ascii="宋体" w:hAnsi="宋体" w:eastAsia="宋体" w:cs="宋体"/>
          <w:szCs w:val="21"/>
          <w:lang w:val="en-US" w:eastAsia="zh-CN"/>
        </w:rPr>
      </w:pPr>
      <w:r>
        <w:rPr>
          <w:rFonts w:hint="eastAsia" w:ascii="宋体" w:hAnsi="宋体" w:eastAsia="宋体" w:cs="宋体"/>
          <w:szCs w:val="21"/>
          <w:lang w:val="en-US" w:eastAsia="zh-CN"/>
        </w:rPr>
        <w:t xml:space="preserve">    （1</w:t>
      </w:r>
      <w:r>
        <w:rPr>
          <w:rFonts w:hint="eastAsia" w:ascii="宋体" w:hAnsi="宋体" w:eastAsia="宋体" w:cs="宋体"/>
          <w:szCs w:val="21"/>
          <w:lang w:val="en" w:eastAsia="zh-CN"/>
        </w:rPr>
        <w:t>1</w:t>
      </w:r>
      <w:r>
        <w:rPr>
          <w:rFonts w:hint="eastAsia" w:ascii="宋体" w:hAnsi="宋体" w:eastAsia="宋体" w:cs="宋体"/>
          <w:szCs w:val="21"/>
          <w:lang w:val="en-US" w:eastAsia="zh-CN"/>
        </w:rPr>
        <w:t>）涉及商品包装和快递包装的，是否参考</w:t>
      </w:r>
      <w:r>
        <w:rPr>
          <w:rFonts w:hint="eastAsia" w:ascii="宋体" w:hAnsi="宋体" w:eastAsia="宋体" w:cs="宋体"/>
          <w:szCs w:val="21"/>
        </w:rPr>
        <w:t>《商品包装政府采购需求标准（试行）</w:t>
      </w:r>
      <w:r>
        <w:rPr>
          <w:rFonts w:hint="eastAsia" w:ascii="宋体" w:hAnsi="宋体" w:cs="宋体"/>
          <w:szCs w:val="21"/>
          <w:lang w:eastAsia="zh-CN"/>
        </w:rPr>
        <w:t>》《</w:t>
      </w:r>
      <w:r>
        <w:rPr>
          <w:rFonts w:hint="eastAsia" w:ascii="宋体" w:hAnsi="宋体" w:eastAsia="宋体" w:cs="宋体"/>
          <w:szCs w:val="21"/>
        </w:rPr>
        <w:t>快递包装政府采购需求标准（试行）》</w:t>
      </w:r>
      <w:r>
        <w:rPr>
          <w:rFonts w:hint="eastAsia" w:ascii="宋体" w:hAnsi="宋体" w:eastAsia="宋体" w:cs="宋体"/>
          <w:szCs w:val="21"/>
          <w:lang w:eastAsia="zh-CN"/>
        </w:rPr>
        <w:t>明确产品及相关快递服务的具体包装要求：</w:t>
      </w:r>
    </w:p>
    <w:p w14:paraId="4132353A">
      <w:pPr>
        <w:pageBreakBefore w:val="0"/>
        <w:numPr>
          <w:ilvl w:val="0"/>
          <w:numId w:val="0"/>
        </w:numPr>
        <w:kinsoku/>
        <w:wordWrap/>
        <w:overflowPunct/>
        <w:topLinePunct w:val="0"/>
        <w:bidi w:val="0"/>
        <w:adjustRightInd w:val="0"/>
        <w:snapToGrid w:val="0"/>
        <w:spacing w:before="0" w:beforeLines="0" w:line="400" w:lineRule="exact"/>
        <w:ind w:left="0" w:leftChars="0" w:firstLine="840" w:firstLineChars="400"/>
        <w:textAlignment w:val="auto"/>
        <w:outlineLvl w:val="9"/>
        <w:rPr>
          <w:rFonts w:hint="eastAsia" w:ascii="宋体" w:hAnsi="宋体" w:eastAsia="宋体" w:cs="宋体"/>
          <w:iCs w:val="0"/>
          <w:szCs w:val="21"/>
          <w:lang w:val="en-US" w:eastAsia="zh-CN"/>
        </w:rPr>
      </w:pPr>
      <w:r>
        <w:rPr>
          <w:rFonts w:hint="eastAsia" w:ascii="宋体" w:hAnsi="宋体" w:eastAsia="宋体" w:cs="宋体"/>
          <w:iCs w:val="0"/>
          <w:szCs w:val="21"/>
        </w:rPr>
        <w:sym w:font="Wingdings" w:char="00FE"/>
      </w:r>
      <w:r>
        <w:rPr>
          <w:rFonts w:hint="eastAsia" w:ascii="宋体" w:hAnsi="宋体" w:eastAsia="宋体" w:cs="宋体"/>
          <w:iCs w:val="0"/>
          <w:szCs w:val="21"/>
        </w:rPr>
        <w:t xml:space="preserve">是       </w:t>
      </w:r>
      <w:r>
        <w:rPr>
          <w:rFonts w:hint="eastAsia" w:ascii="宋体" w:hAnsi="宋体" w:eastAsia="宋体" w:cs="宋体"/>
          <w:iCs w:val="0"/>
          <w:szCs w:val="21"/>
        </w:rPr>
        <w:sym w:font="Wingdings" w:char="00A8"/>
      </w:r>
      <w:r>
        <w:rPr>
          <w:rFonts w:hint="eastAsia" w:ascii="宋体" w:hAnsi="宋体" w:eastAsia="宋体" w:cs="宋体"/>
          <w:iCs w:val="0"/>
          <w:szCs w:val="21"/>
        </w:rPr>
        <w:t>否</w:t>
      </w:r>
      <w:r>
        <w:rPr>
          <w:rFonts w:hint="eastAsia" w:ascii="宋体" w:hAnsi="宋体" w:eastAsia="宋体" w:cs="宋体"/>
          <w:iCs w:val="0"/>
          <w:szCs w:val="21"/>
          <w:lang w:val="en-US" w:eastAsia="zh-CN"/>
        </w:rPr>
        <w:t xml:space="preserve">      </w:t>
      </w:r>
      <w:r>
        <w:rPr>
          <w:rFonts w:hint="eastAsia" w:ascii="宋体" w:hAnsi="宋体" w:eastAsia="宋体" w:cs="宋体"/>
          <w:iCs w:val="0"/>
          <w:szCs w:val="21"/>
        </w:rPr>
        <w:sym w:font="Wingdings" w:char="00A8"/>
      </w:r>
      <w:r>
        <w:rPr>
          <w:rFonts w:hint="eastAsia" w:ascii="宋体" w:hAnsi="宋体" w:eastAsia="宋体" w:cs="宋体"/>
          <w:iCs w:val="0"/>
          <w:szCs w:val="21"/>
          <w:lang w:eastAsia="zh-CN"/>
        </w:rPr>
        <w:t>不涉及</w:t>
      </w:r>
    </w:p>
    <w:p w14:paraId="7D30ABE9">
      <w:pPr>
        <w:pageBreakBefore w:val="0"/>
        <w:numPr>
          <w:ilvl w:val="0"/>
          <w:numId w:val="3"/>
        </w:numPr>
        <w:kinsoku/>
        <w:wordWrap/>
        <w:overflowPunct/>
        <w:topLinePunct w:val="0"/>
        <w:bidi w:val="0"/>
        <w:adjustRightInd w:val="0"/>
        <w:snapToGrid w:val="0"/>
        <w:spacing w:before="0" w:beforeLines="0" w:line="400" w:lineRule="exact"/>
        <w:ind w:left="0" w:leftChars="0" w:firstLine="422" w:firstLineChars="200"/>
        <w:textAlignment w:val="auto"/>
        <w:outlineLvl w:val="9"/>
        <w:rPr>
          <w:rFonts w:hint="eastAsia" w:ascii="宋体" w:hAnsi="宋体" w:eastAsia="宋体" w:cs="宋体"/>
          <w:b/>
          <w:szCs w:val="21"/>
          <w:highlight w:val="none"/>
        </w:rPr>
      </w:pPr>
      <w:r>
        <w:rPr>
          <w:rFonts w:hint="eastAsia" w:ascii="宋体" w:hAnsi="宋体" w:eastAsia="宋体" w:cs="宋体"/>
          <w:b/>
          <w:szCs w:val="21"/>
          <w:highlight w:val="none"/>
        </w:rPr>
        <w:t>合同金额</w:t>
      </w:r>
    </w:p>
    <w:p w14:paraId="6863886F">
      <w:pPr>
        <w:pageBreakBefore w:val="0"/>
        <w:kinsoku/>
        <w:wordWrap/>
        <w:overflowPunct/>
        <w:topLinePunct w:val="0"/>
        <w:bidi w:val="0"/>
        <w:adjustRightInd w:val="0"/>
        <w:snapToGrid w:val="0"/>
        <w:spacing w:before="0" w:beforeLines="0" w:line="400" w:lineRule="exact"/>
        <w:ind w:left="0" w:leftChars="0" w:firstLine="420" w:firstLineChars="200"/>
        <w:textAlignment w:val="auto"/>
        <w:outlineLvl w:val="9"/>
        <w:rPr>
          <w:rFonts w:hint="eastAsia" w:ascii="宋体" w:hAnsi="宋体" w:eastAsia="宋体" w:cs="宋体"/>
          <w:szCs w:val="21"/>
        </w:rPr>
      </w:pPr>
      <w:r>
        <w:rPr>
          <w:rFonts w:hint="eastAsia" w:ascii="宋体" w:hAnsi="宋体" w:eastAsia="宋体" w:cs="宋体"/>
          <w:szCs w:val="21"/>
        </w:rPr>
        <w:t>（1）合同金额小写：</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u w:val="single"/>
        </w:rPr>
        <w:t xml:space="preserve">      </w:t>
      </w:r>
    </w:p>
    <w:p w14:paraId="3DA1E2C6">
      <w:pPr>
        <w:pageBreakBefore w:val="0"/>
        <w:kinsoku/>
        <w:wordWrap/>
        <w:overflowPunct/>
        <w:topLinePunct w:val="0"/>
        <w:bidi w:val="0"/>
        <w:adjustRightInd w:val="0"/>
        <w:snapToGrid w:val="0"/>
        <w:spacing w:before="0" w:beforeLines="0" w:line="400" w:lineRule="exact"/>
        <w:ind w:left="0" w:leftChars="0" w:firstLine="0" w:firstLineChars="0"/>
        <w:textAlignment w:val="auto"/>
        <w:outlineLvl w:val="9"/>
        <w:rPr>
          <w:rFonts w:hint="eastAsia" w:ascii="宋体" w:hAnsi="宋体" w:eastAsia="宋体" w:cs="宋体"/>
          <w:szCs w:val="21"/>
          <w:u w:val="single"/>
        </w:rPr>
      </w:pPr>
      <w:r>
        <w:rPr>
          <w:rFonts w:hint="eastAsia" w:ascii="宋体" w:hAnsi="宋体" w:eastAsia="宋体" w:cs="宋体"/>
          <w:szCs w:val="21"/>
          <w:lang w:val="en-US" w:eastAsia="zh-CN"/>
        </w:rPr>
        <w:t xml:space="preserve">                 </w:t>
      </w:r>
      <w:r>
        <w:rPr>
          <w:rFonts w:hint="eastAsia" w:ascii="宋体" w:hAnsi="宋体" w:eastAsia="宋体" w:cs="宋体"/>
          <w:szCs w:val="21"/>
        </w:rPr>
        <w:t>大写：</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u w:val="single"/>
        </w:rPr>
        <w:t xml:space="preserve">      </w:t>
      </w:r>
    </w:p>
    <w:p w14:paraId="4BCB1D27">
      <w:pPr>
        <w:pageBreakBefore w:val="0"/>
        <w:numPr>
          <w:ilvl w:val="0"/>
          <w:numId w:val="0"/>
        </w:numPr>
        <w:kinsoku/>
        <w:wordWrap/>
        <w:overflowPunct/>
        <w:topLinePunct w:val="0"/>
        <w:bidi w:val="0"/>
        <w:adjustRightInd w:val="0"/>
        <w:snapToGrid w:val="0"/>
        <w:spacing w:before="0" w:beforeLines="0" w:line="400" w:lineRule="exact"/>
        <w:ind w:left="0" w:leftChars="0" w:firstLine="0" w:firstLineChars="0"/>
        <w:textAlignment w:val="auto"/>
        <w:outlineLvl w:val="9"/>
        <w:rPr>
          <w:rFonts w:hint="eastAsia" w:ascii="宋体" w:hAnsi="宋体" w:eastAsia="宋体" w:cs="宋体"/>
          <w:szCs w:val="21"/>
        </w:rPr>
      </w:pPr>
      <w:r>
        <w:rPr>
          <w:rFonts w:hint="eastAsia" w:ascii="宋体" w:hAnsi="宋体" w:eastAsia="宋体" w:cs="宋体"/>
          <w:szCs w:val="21"/>
          <w:lang w:val="en-US" w:eastAsia="zh-CN"/>
        </w:rPr>
        <w:t xml:space="preserve">    </w:t>
      </w:r>
      <w:r>
        <w:rPr>
          <w:rFonts w:hint="eastAsia" w:ascii="宋体" w:hAnsi="宋体" w:eastAsia="宋体" w:cs="宋体"/>
          <w:szCs w:val="21"/>
          <w:lang w:eastAsia="zh-CN"/>
        </w:rPr>
        <w:t>（</w:t>
      </w:r>
      <w:r>
        <w:rPr>
          <w:rFonts w:hint="eastAsia" w:ascii="宋体" w:hAnsi="宋体" w:eastAsia="宋体" w:cs="宋体"/>
          <w:szCs w:val="21"/>
          <w:lang w:val="en-US" w:eastAsia="zh-CN"/>
        </w:rPr>
        <w:t>2</w:t>
      </w:r>
      <w:r>
        <w:rPr>
          <w:rFonts w:hint="eastAsia" w:ascii="宋体" w:hAnsi="宋体" w:eastAsia="宋体" w:cs="宋体"/>
          <w:szCs w:val="21"/>
          <w:lang w:eastAsia="zh-CN"/>
        </w:rPr>
        <w:t>）</w:t>
      </w:r>
      <w:r>
        <w:rPr>
          <w:rFonts w:hint="eastAsia" w:ascii="宋体" w:hAnsi="宋体" w:eastAsia="宋体" w:cs="宋体"/>
          <w:szCs w:val="21"/>
        </w:rPr>
        <w:t>合同定价方式</w:t>
      </w:r>
      <w:r>
        <w:rPr>
          <w:rFonts w:hint="eastAsia" w:ascii="宋体" w:hAnsi="宋体" w:eastAsia="宋体" w:cs="宋体"/>
          <w:szCs w:val="21"/>
          <w:lang w:eastAsia="zh-CN"/>
        </w:rPr>
        <w:t>（采用组合定价方式的，可以勾选多项）</w:t>
      </w:r>
      <w:r>
        <w:rPr>
          <w:rFonts w:hint="eastAsia" w:ascii="宋体" w:hAnsi="宋体" w:eastAsia="宋体" w:cs="宋体"/>
          <w:szCs w:val="21"/>
        </w:rPr>
        <w:t>：</w:t>
      </w:r>
    </w:p>
    <w:p w14:paraId="3EDB9F1A">
      <w:pPr>
        <w:pageBreakBefore w:val="0"/>
        <w:kinsoku/>
        <w:wordWrap/>
        <w:overflowPunct/>
        <w:topLinePunct w:val="0"/>
        <w:bidi w:val="0"/>
        <w:adjustRightInd w:val="0"/>
        <w:snapToGrid w:val="0"/>
        <w:spacing w:before="0" w:beforeLines="0" w:line="400" w:lineRule="exact"/>
        <w:ind w:left="0" w:leftChars="0" w:firstLine="420" w:firstLineChars="200"/>
        <w:textAlignment w:val="auto"/>
        <w:outlineLvl w:val="9"/>
        <w:rPr>
          <w:rFonts w:hint="eastAsia" w:ascii="宋体" w:hAnsi="宋体" w:eastAsia="宋体" w:cs="宋体"/>
          <w:szCs w:val="21"/>
          <w:lang w:eastAsia="zh-CN"/>
        </w:rPr>
      </w:pPr>
      <w:r>
        <w:rPr>
          <w:rFonts w:hint="eastAsia" w:ascii="宋体" w:hAnsi="宋体" w:eastAsia="宋体" w:cs="宋体"/>
          <w:iCs/>
          <w:szCs w:val="21"/>
          <w:lang w:val="en-US" w:eastAsia="zh-CN"/>
        </w:rPr>
        <w:t xml:space="preserve">  </w:t>
      </w:r>
      <w:r>
        <w:rPr>
          <w:rFonts w:hint="eastAsia" w:ascii="宋体" w:hAnsi="宋体" w:eastAsia="宋体" w:cs="宋体"/>
          <w:iCs/>
          <w:szCs w:val="21"/>
        </w:rPr>
        <w:sym w:font="Wingdings" w:char="00A8"/>
      </w:r>
      <w:r>
        <w:rPr>
          <w:rFonts w:hint="eastAsia" w:ascii="宋体" w:hAnsi="宋体" w:eastAsia="宋体" w:cs="宋体"/>
          <w:iCs/>
          <w:szCs w:val="21"/>
        </w:rPr>
        <w:t xml:space="preserve">固定总价 </w:t>
      </w:r>
      <w:r>
        <w:rPr>
          <w:rFonts w:hint="eastAsia" w:ascii="宋体" w:hAnsi="宋体" w:eastAsia="宋体" w:cs="宋体"/>
          <w:iCs/>
          <w:szCs w:val="21"/>
        </w:rPr>
        <w:sym w:font="Wingdings" w:char="00A8"/>
      </w:r>
      <w:r>
        <w:rPr>
          <w:rFonts w:hint="eastAsia" w:ascii="宋体" w:hAnsi="宋体" w:eastAsia="宋体" w:cs="宋体"/>
          <w:iCs/>
          <w:szCs w:val="21"/>
        </w:rPr>
        <w:t>固定单价</w:t>
      </w:r>
      <w:r>
        <w:rPr>
          <w:rFonts w:hint="eastAsia" w:ascii="宋体" w:hAnsi="宋体" w:eastAsia="宋体" w:cs="宋体"/>
          <w:iCs/>
          <w:szCs w:val="21"/>
          <w:lang w:val="en-US" w:eastAsia="zh-CN"/>
        </w:rPr>
        <w:t xml:space="preserve"> </w:t>
      </w:r>
      <w:r>
        <w:rPr>
          <w:rFonts w:hint="eastAsia" w:ascii="宋体" w:hAnsi="宋体" w:eastAsia="宋体" w:cs="宋体"/>
          <w:iCs/>
          <w:szCs w:val="21"/>
        </w:rPr>
        <w:sym w:font="Wingdings" w:char="00A8"/>
      </w:r>
      <w:r>
        <w:rPr>
          <w:rFonts w:hint="eastAsia" w:ascii="宋体" w:hAnsi="宋体" w:eastAsia="宋体" w:cs="宋体"/>
          <w:iCs/>
          <w:szCs w:val="21"/>
          <w:lang w:eastAsia="zh-CN"/>
        </w:rPr>
        <w:t>固定费率</w:t>
      </w:r>
      <w:r>
        <w:rPr>
          <w:rFonts w:hint="eastAsia" w:ascii="宋体" w:hAnsi="宋体" w:eastAsia="宋体" w:cs="宋体"/>
          <w:iCs/>
          <w:szCs w:val="21"/>
        </w:rPr>
        <w:t xml:space="preserve"> </w:t>
      </w:r>
      <w:r>
        <w:rPr>
          <w:rFonts w:hint="eastAsia" w:ascii="宋体" w:hAnsi="宋体" w:eastAsia="宋体" w:cs="宋体"/>
          <w:iCs/>
          <w:szCs w:val="21"/>
        </w:rPr>
        <w:sym w:font="Wingdings" w:char="00A8"/>
      </w:r>
      <w:r>
        <w:rPr>
          <w:rFonts w:hint="eastAsia" w:ascii="宋体" w:hAnsi="宋体" w:eastAsia="宋体" w:cs="宋体"/>
          <w:iCs/>
          <w:szCs w:val="21"/>
        </w:rPr>
        <w:t xml:space="preserve">成本补偿 </w:t>
      </w:r>
      <w:r>
        <w:rPr>
          <w:rFonts w:hint="eastAsia" w:ascii="宋体" w:hAnsi="宋体" w:eastAsia="宋体" w:cs="宋体"/>
          <w:iCs/>
          <w:szCs w:val="21"/>
        </w:rPr>
        <w:sym w:font="Wingdings" w:char="00A8"/>
      </w:r>
      <w:r>
        <w:rPr>
          <w:rFonts w:hint="eastAsia" w:ascii="宋体" w:hAnsi="宋体" w:eastAsia="宋体" w:cs="宋体"/>
          <w:iCs/>
          <w:szCs w:val="21"/>
        </w:rPr>
        <w:t>绩效激励</w:t>
      </w:r>
      <w:r>
        <w:rPr>
          <w:rFonts w:hint="eastAsia" w:ascii="宋体" w:hAnsi="宋体" w:eastAsia="宋体" w:cs="宋体"/>
          <w:iCs/>
          <w:szCs w:val="21"/>
          <w:lang w:val="en-US" w:eastAsia="zh-CN"/>
        </w:rPr>
        <w:t xml:space="preserve"> </w:t>
      </w:r>
      <w:r>
        <w:rPr>
          <w:rFonts w:hint="eastAsia" w:ascii="宋体" w:hAnsi="宋体" w:eastAsia="宋体" w:cs="宋体"/>
          <w:iCs/>
          <w:szCs w:val="21"/>
        </w:rPr>
        <w:sym w:font="Wingdings" w:char="00A8"/>
      </w:r>
      <w:r>
        <w:rPr>
          <w:rFonts w:hint="eastAsia" w:ascii="宋体" w:hAnsi="宋体" w:eastAsia="宋体" w:cs="宋体"/>
          <w:iCs/>
          <w:szCs w:val="21"/>
          <w:lang w:eastAsia="zh-CN"/>
        </w:rPr>
        <w:t>其他</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w:t>
      </w:r>
      <w:r>
        <w:rPr>
          <w:rFonts w:hint="eastAsia" w:ascii="宋体" w:hAnsi="宋体" w:eastAsia="宋体" w:cs="宋体"/>
          <w:szCs w:val="21"/>
          <w:u w:val="single"/>
        </w:rPr>
        <w:t xml:space="preserve">   </w:t>
      </w:r>
    </w:p>
    <w:p w14:paraId="2CEF040F">
      <w:pPr>
        <w:pStyle w:val="291"/>
        <w:pageBreakBefore w:val="0"/>
        <w:kinsoku/>
        <w:wordWrap/>
        <w:overflowPunct/>
        <w:topLinePunct w:val="0"/>
        <w:bidi w:val="0"/>
        <w:spacing w:beforeLines="0" w:line="400" w:lineRule="exact"/>
        <w:ind w:left="0" w:leftChars="0"/>
        <w:textAlignment w:val="auto"/>
        <w:outlineLvl w:val="9"/>
        <w:rPr>
          <w:rFonts w:hint="eastAsia" w:ascii="宋体" w:hAnsi="宋体" w:eastAsia="宋体" w:cs="宋体"/>
        </w:rPr>
      </w:pPr>
      <w:r>
        <w:rPr>
          <w:rFonts w:hint="eastAsia" w:ascii="宋体" w:hAnsi="宋体" w:eastAsia="宋体" w:cs="宋体"/>
        </w:rPr>
        <w:t>（</w:t>
      </w:r>
      <w:r>
        <w:rPr>
          <w:rFonts w:hint="eastAsia" w:ascii="宋体" w:hAnsi="宋体" w:eastAsia="宋体" w:cs="宋体"/>
          <w:lang w:val="en-US" w:eastAsia="zh-CN"/>
        </w:rPr>
        <w:t>3</w:t>
      </w:r>
      <w:r>
        <w:rPr>
          <w:rFonts w:hint="eastAsia" w:ascii="宋体" w:hAnsi="宋体" w:eastAsia="宋体" w:cs="宋体"/>
        </w:rPr>
        <w:t>）付款方式：</w:t>
      </w:r>
    </w:p>
    <w:p w14:paraId="04E7C533">
      <w:pPr>
        <w:pageBreakBefore w:val="0"/>
        <w:kinsoku/>
        <w:wordWrap/>
        <w:overflowPunct/>
        <w:topLinePunct w:val="0"/>
        <w:bidi w:val="0"/>
        <w:snapToGrid w:val="0"/>
        <w:spacing w:beforeLines="0" w:line="400" w:lineRule="exact"/>
        <w:ind w:left="0" w:leftChars="0" w:firstLine="630" w:firstLineChars="300"/>
        <w:textAlignment w:val="auto"/>
        <w:outlineLvl w:val="9"/>
        <w:rPr>
          <w:rFonts w:hint="eastAsia" w:ascii="宋体" w:hAnsi="宋体" w:eastAsia="宋体" w:cs="宋体"/>
          <w:szCs w:val="21"/>
        </w:rPr>
      </w:pPr>
      <w:r>
        <w:rPr>
          <w:rFonts w:hint="eastAsia" w:ascii="宋体" w:hAnsi="宋体" w:eastAsia="宋体" w:cs="宋体"/>
          <w:szCs w:val="21"/>
        </w:rPr>
        <w:sym w:font="Wingdings" w:char="00FE"/>
      </w:r>
      <w:r>
        <w:rPr>
          <w:rFonts w:hint="eastAsia" w:ascii="宋体" w:hAnsi="宋体" w:eastAsia="宋体" w:cs="宋体"/>
          <w:szCs w:val="21"/>
        </w:rPr>
        <w:t>分期付款：</w:t>
      </w:r>
    </w:p>
    <w:p w14:paraId="15B29BC2">
      <w:pPr>
        <w:pageBreakBefore w:val="0"/>
        <w:kinsoku/>
        <w:wordWrap/>
        <w:overflowPunct/>
        <w:topLinePunct w:val="0"/>
        <w:bidi w:val="0"/>
        <w:snapToGrid w:val="0"/>
        <w:spacing w:beforeLines="0" w:line="400" w:lineRule="exact"/>
        <w:ind w:left="0" w:leftChars="0" w:firstLine="630" w:firstLineChars="300"/>
        <w:textAlignment w:val="auto"/>
        <w:outlineLvl w:val="9"/>
        <w:rPr>
          <w:rFonts w:hint="eastAsia" w:ascii="宋体" w:hAnsi="宋体" w:eastAsia="宋体" w:cs="宋体"/>
          <w:color w:val="000000"/>
          <w:szCs w:val="21"/>
          <w:u w:val="single"/>
        </w:rPr>
      </w:pPr>
      <w:r>
        <w:rPr>
          <w:rFonts w:hint="eastAsia" w:ascii="宋体" w:hAnsi="宋体" w:eastAsia="宋体" w:cs="宋体"/>
          <w:color w:val="000000"/>
          <w:szCs w:val="21"/>
          <w:u w:val="none"/>
        </w:rPr>
        <w:t>①合同签订之日后甲方支付合同总金额的</w:t>
      </w:r>
      <w:r>
        <w:rPr>
          <w:rFonts w:hint="eastAsia" w:ascii="宋体" w:hAnsi="宋体" w:eastAsia="宋体" w:cs="宋体"/>
          <w:color w:val="000000"/>
          <w:szCs w:val="21"/>
          <w:u w:val="single"/>
          <w:lang w:val="en-US" w:eastAsia="zh-CN"/>
        </w:rPr>
        <w:t xml:space="preserve">      </w:t>
      </w:r>
      <w:r>
        <w:rPr>
          <w:rFonts w:hint="eastAsia" w:ascii="宋体" w:hAnsi="宋体" w:eastAsia="宋体" w:cs="宋体"/>
          <w:color w:val="000000"/>
          <w:szCs w:val="21"/>
          <w:u w:val="none"/>
        </w:rPr>
        <w:t>作为预付款（乙方开出发票后3日内甲方支付），合计：</w:t>
      </w:r>
      <w:r>
        <w:rPr>
          <w:rFonts w:hint="eastAsia" w:ascii="宋体" w:hAnsi="宋体" w:eastAsia="宋体" w:cs="宋体"/>
          <w:color w:val="000000"/>
          <w:szCs w:val="21"/>
          <w:u w:val="single"/>
        </w:rPr>
        <w:t>（小写）     元，（大写）         。</w:t>
      </w:r>
    </w:p>
    <w:p w14:paraId="10A61A67">
      <w:pPr>
        <w:pageBreakBefore w:val="0"/>
        <w:kinsoku/>
        <w:wordWrap/>
        <w:overflowPunct/>
        <w:topLinePunct w:val="0"/>
        <w:bidi w:val="0"/>
        <w:snapToGrid w:val="0"/>
        <w:spacing w:beforeLines="0" w:line="400" w:lineRule="exact"/>
        <w:ind w:left="0" w:leftChars="0" w:firstLine="630" w:firstLineChars="300"/>
        <w:textAlignment w:val="auto"/>
        <w:outlineLvl w:val="9"/>
        <w:rPr>
          <w:rFonts w:hint="eastAsia" w:ascii="宋体" w:hAnsi="宋体" w:eastAsia="宋体" w:cs="宋体"/>
          <w:color w:val="000000"/>
          <w:szCs w:val="21"/>
          <w:u w:val="none"/>
        </w:rPr>
      </w:pPr>
      <w:r>
        <w:rPr>
          <w:rFonts w:hint="eastAsia" w:ascii="宋体" w:hAnsi="宋体" w:eastAsia="宋体" w:cs="宋体"/>
          <w:color w:val="000000"/>
          <w:szCs w:val="21"/>
          <w:u w:val="none"/>
        </w:rPr>
        <w:t>②自设备安装调试验收合格后，甲方支付合同总金额的</w:t>
      </w:r>
      <w:r>
        <w:rPr>
          <w:rFonts w:hint="eastAsia" w:ascii="宋体" w:hAnsi="宋体" w:eastAsia="宋体" w:cs="宋体"/>
          <w:color w:val="000000"/>
          <w:szCs w:val="21"/>
          <w:u w:val="none"/>
          <w:lang w:val="en-US" w:eastAsia="zh-CN"/>
        </w:rPr>
        <w:t>剩余</w:t>
      </w:r>
      <w:r>
        <w:rPr>
          <w:rFonts w:hint="eastAsia" w:ascii="宋体" w:hAnsi="宋体" w:eastAsia="宋体" w:cs="宋体"/>
          <w:color w:val="000000"/>
          <w:szCs w:val="21"/>
          <w:u w:val="single"/>
          <w:lang w:val="en-US" w:eastAsia="zh-CN"/>
        </w:rPr>
        <w:t xml:space="preserve">     </w:t>
      </w:r>
      <w:r>
        <w:rPr>
          <w:rFonts w:hint="eastAsia" w:ascii="宋体" w:hAnsi="宋体" w:eastAsia="宋体" w:cs="宋体"/>
          <w:color w:val="000000"/>
          <w:szCs w:val="21"/>
          <w:u w:val="none"/>
        </w:rPr>
        <w:t>（乙方开出发票后3日内甲方支付），合计：</w:t>
      </w:r>
      <w:r>
        <w:rPr>
          <w:rFonts w:hint="eastAsia" w:ascii="宋体" w:hAnsi="宋体" w:eastAsia="宋体" w:cs="宋体"/>
          <w:color w:val="000000"/>
          <w:szCs w:val="21"/>
          <w:u w:val="single"/>
        </w:rPr>
        <w:t>（小写）    元，（大写）        。</w:t>
      </w:r>
    </w:p>
    <w:p w14:paraId="161A8FF1">
      <w:pPr>
        <w:pageBreakBefore w:val="0"/>
        <w:kinsoku/>
        <w:wordWrap/>
        <w:overflowPunct/>
        <w:topLinePunct w:val="0"/>
        <w:bidi w:val="0"/>
        <w:snapToGrid w:val="0"/>
        <w:spacing w:beforeLines="0" w:line="400" w:lineRule="exact"/>
        <w:ind w:left="0" w:leftChars="0" w:firstLine="630" w:firstLineChars="300"/>
        <w:textAlignment w:val="auto"/>
        <w:outlineLvl w:val="9"/>
        <w:rPr>
          <w:rFonts w:hint="eastAsia" w:ascii="宋体" w:hAnsi="宋体" w:eastAsia="宋体" w:cs="宋体"/>
          <w:color w:val="000000"/>
          <w:szCs w:val="21"/>
          <w:u w:val="none"/>
        </w:rPr>
      </w:pPr>
      <w:r>
        <w:rPr>
          <w:rFonts w:hint="eastAsia" w:ascii="宋体" w:hAnsi="宋体" w:eastAsia="宋体" w:cs="宋体"/>
          <w:color w:val="000000"/>
          <w:szCs w:val="21"/>
          <w:u w:val="none"/>
        </w:rPr>
        <w:t>③甲方支付货款前，乙方应提供等额的税务发票。</w:t>
      </w:r>
    </w:p>
    <w:p w14:paraId="142EBE06">
      <w:pPr>
        <w:pageBreakBefore w:val="0"/>
        <w:kinsoku/>
        <w:wordWrap/>
        <w:overflowPunct/>
        <w:topLinePunct w:val="0"/>
        <w:bidi w:val="0"/>
        <w:snapToGrid w:val="0"/>
        <w:spacing w:beforeLines="0" w:line="400" w:lineRule="exact"/>
        <w:ind w:left="0" w:leftChars="0" w:firstLine="630" w:firstLineChars="300"/>
        <w:textAlignment w:val="auto"/>
        <w:outlineLvl w:val="9"/>
        <w:rPr>
          <w:rFonts w:hint="eastAsia" w:ascii="宋体" w:hAnsi="宋体" w:eastAsia="宋体" w:cs="宋体"/>
          <w:u w:val="none"/>
        </w:rPr>
      </w:pPr>
      <w:r>
        <w:rPr>
          <w:rFonts w:hint="eastAsia" w:ascii="宋体" w:hAnsi="宋体" w:eastAsia="宋体" w:cs="宋体"/>
          <w:szCs w:val="21"/>
          <w:u w:val="none"/>
        </w:rPr>
        <w:t>④在质保期内，乙方未按</w:t>
      </w:r>
      <w:r>
        <w:rPr>
          <w:rFonts w:hint="eastAsia" w:ascii="宋体" w:hAnsi="宋体" w:eastAsia="宋体" w:cs="宋体"/>
          <w:szCs w:val="21"/>
          <w:u w:val="none"/>
          <w:lang w:val="en-US" w:eastAsia="zh-CN"/>
        </w:rPr>
        <w:t>投标</w:t>
      </w:r>
      <w:r>
        <w:rPr>
          <w:rFonts w:hint="eastAsia" w:ascii="宋体" w:hAnsi="宋体" w:eastAsia="宋体" w:cs="宋体"/>
          <w:szCs w:val="21"/>
          <w:u w:val="none"/>
        </w:rPr>
        <w:t>文件和合同约定履行售后服务措施，甲方有权向主管部门和政府采购管理部门报告，由信阳市政府采购监督管理部门</w:t>
      </w:r>
      <w:r>
        <w:rPr>
          <w:rFonts w:hint="eastAsia" w:ascii="宋体" w:hAnsi="宋体" w:eastAsia="宋体" w:cs="宋体"/>
          <w:szCs w:val="21"/>
          <w:u w:val="none"/>
          <w:lang w:eastAsia="zh-CN"/>
        </w:rPr>
        <w:t>作出</w:t>
      </w:r>
      <w:r>
        <w:rPr>
          <w:rFonts w:hint="eastAsia" w:ascii="宋体" w:hAnsi="宋体" w:eastAsia="宋体" w:cs="宋体"/>
          <w:szCs w:val="21"/>
          <w:u w:val="none"/>
        </w:rPr>
        <w:t>处罚。</w:t>
      </w:r>
    </w:p>
    <w:p w14:paraId="78FDE121">
      <w:pPr>
        <w:pageBreakBefore w:val="0"/>
        <w:numPr>
          <w:ilvl w:val="0"/>
          <w:numId w:val="3"/>
        </w:numPr>
        <w:kinsoku/>
        <w:wordWrap/>
        <w:overflowPunct/>
        <w:topLinePunct w:val="0"/>
        <w:bidi w:val="0"/>
        <w:adjustRightInd w:val="0"/>
        <w:snapToGrid w:val="0"/>
        <w:spacing w:before="0" w:beforeLines="0" w:line="400" w:lineRule="exact"/>
        <w:ind w:left="0" w:leftChars="0" w:firstLine="422" w:firstLineChars="200"/>
        <w:textAlignment w:val="auto"/>
        <w:outlineLvl w:val="9"/>
        <w:rPr>
          <w:rFonts w:hint="eastAsia" w:ascii="宋体" w:hAnsi="宋体" w:eastAsia="宋体" w:cs="宋体"/>
          <w:b/>
          <w:bCs w:val="0"/>
          <w:szCs w:val="21"/>
          <w:u w:val="single"/>
        </w:rPr>
      </w:pPr>
      <w:r>
        <w:rPr>
          <w:rFonts w:hint="eastAsia" w:ascii="宋体" w:hAnsi="宋体" w:eastAsia="宋体" w:cs="宋体"/>
          <w:b/>
          <w:bCs w:val="0"/>
          <w:szCs w:val="21"/>
        </w:rPr>
        <w:t>合同履行</w:t>
      </w:r>
    </w:p>
    <w:p w14:paraId="2C1E7467">
      <w:pPr>
        <w:pageBreakBefore w:val="0"/>
        <w:kinsoku/>
        <w:wordWrap/>
        <w:overflowPunct/>
        <w:topLinePunct w:val="0"/>
        <w:bidi w:val="0"/>
        <w:adjustRightInd w:val="0"/>
        <w:snapToGrid w:val="0"/>
        <w:spacing w:before="0" w:beforeLines="0" w:line="400" w:lineRule="exact"/>
        <w:ind w:left="0" w:leftChars="0" w:firstLine="420" w:firstLineChars="200"/>
        <w:textAlignment w:val="auto"/>
        <w:outlineLvl w:val="9"/>
        <w:rPr>
          <w:rFonts w:hint="eastAsia" w:ascii="宋体" w:hAnsi="宋体" w:eastAsia="宋体" w:cs="宋体"/>
          <w:szCs w:val="21"/>
        </w:rPr>
      </w:pPr>
      <w:r>
        <w:rPr>
          <w:rFonts w:hint="eastAsia" w:ascii="宋体" w:hAnsi="宋体" w:eastAsia="宋体" w:cs="宋体"/>
          <w:szCs w:val="21"/>
        </w:rPr>
        <w:t>（1）起始日期：</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日，完成日期：</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w:t>
      </w:r>
    </w:p>
    <w:p w14:paraId="3FE9B0AA">
      <w:pPr>
        <w:pageBreakBefore w:val="0"/>
        <w:kinsoku/>
        <w:wordWrap/>
        <w:overflowPunct/>
        <w:topLinePunct w:val="0"/>
        <w:bidi w:val="0"/>
        <w:adjustRightInd w:val="0"/>
        <w:snapToGrid w:val="0"/>
        <w:spacing w:before="0" w:beforeLines="0" w:line="400" w:lineRule="exact"/>
        <w:ind w:left="0" w:leftChars="0" w:firstLine="420" w:firstLineChars="200"/>
        <w:textAlignment w:val="auto"/>
        <w:outlineLvl w:val="9"/>
        <w:rPr>
          <w:rFonts w:hint="eastAsia" w:ascii="宋体" w:hAnsi="宋体" w:eastAsia="宋体" w:cs="宋体"/>
          <w:szCs w:val="21"/>
          <w:u w:val="single"/>
          <w:lang w:val="en-US" w:eastAsia="zh-CN"/>
        </w:rPr>
      </w:pPr>
      <w:r>
        <w:rPr>
          <w:rFonts w:hint="eastAsia" w:ascii="宋体" w:hAnsi="宋体" w:eastAsia="宋体" w:cs="宋体"/>
          <w:szCs w:val="21"/>
        </w:rPr>
        <w:t>（2）</w:t>
      </w:r>
      <w:r>
        <w:rPr>
          <w:rFonts w:hint="eastAsia" w:ascii="宋体" w:hAnsi="宋体" w:eastAsia="宋体" w:cs="宋体"/>
          <w:szCs w:val="21"/>
          <w:lang w:eastAsia="zh-CN"/>
        </w:rPr>
        <w:t>履约</w:t>
      </w:r>
      <w:r>
        <w:rPr>
          <w:rFonts w:hint="eastAsia" w:ascii="宋体" w:hAnsi="宋体" w:eastAsia="宋体" w:cs="宋体"/>
          <w:szCs w:val="21"/>
        </w:rPr>
        <w:t>地点</w:t>
      </w:r>
      <w:r>
        <w:rPr>
          <w:rFonts w:hint="eastAsia" w:ascii="宋体" w:hAnsi="宋体" w:eastAsia="宋体" w:cs="宋体"/>
          <w:b w:val="0"/>
          <w:bCs/>
          <w:szCs w:val="21"/>
        </w:rPr>
        <w:t>：</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p>
    <w:p w14:paraId="00253854">
      <w:pPr>
        <w:pageBreakBefore w:val="0"/>
        <w:kinsoku/>
        <w:wordWrap/>
        <w:overflowPunct/>
        <w:topLinePunct w:val="0"/>
        <w:bidi w:val="0"/>
        <w:adjustRightInd w:val="0"/>
        <w:snapToGrid w:val="0"/>
        <w:spacing w:before="0" w:beforeLines="0" w:line="400" w:lineRule="exact"/>
        <w:ind w:left="0" w:leftChars="0" w:firstLine="420" w:firstLineChars="200"/>
        <w:textAlignment w:val="auto"/>
        <w:outlineLvl w:val="9"/>
        <w:rPr>
          <w:rFonts w:hint="eastAsia" w:ascii="宋体" w:hAnsi="宋体" w:eastAsia="宋体" w:cs="宋体"/>
          <w:sz w:val="21"/>
          <w:lang w:val="en-US" w:eastAsia="zh-CN"/>
        </w:rPr>
      </w:pPr>
      <w:r>
        <w:rPr>
          <w:rFonts w:hint="eastAsia" w:ascii="宋体" w:hAnsi="宋体" w:eastAsia="宋体" w:cs="宋体"/>
          <w:bCs/>
          <w:szCs w:val="21"/>
        </w:rPr>
        <w:t>（3）</w:t>
      </w:r>
      <w:r>
        <w:rPr>
          <w:rFonts w:hint="eastAsia" w:ascii="宋体" w:hAnsi="宋体" w:eastAsia="宋体" w:cs="宋体"/>
          <w:sz w:val="21"/>
          <w:lang w:val="en-US" w:eastAsia="zh-CN"/>
        </w:rPr>
        <w:t>是否收取履约保证金：</w:t>
      </w:r>
      <w:r>
        <w:rPr>
          <w:rFonts w:hint="eastAsia" w:ascii="宋体" w:hAnsi="宋体" w:eastAsia="宋体" w:cs="宋体"/>
          <w:sz w:val="21"/>
          <w:szCs w:val="21"/>
        </w:rPr>
        <w:sym w:font="Wingdings" w:char="00A8"/>
      </w:r>
      <w:r>
        <w:rPr>
          <w:rFonts w:hint="eastAsia" w:ascii="宋体" w:hAnsi="宋体" w:eastAsia="宋体" w:cs="宋体"/>
          <w:sz w:val="21"/>
          <w:szCs w:val="21"/>
          <w:lang w:eastAsia="zh-CN"/>
        </w:rPr>
        <w:t>是</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sym w:font="Wingdings" w:char="00FE"/>
      </w:r>
      <w:r>
        <w:rPr>
          <w:rFonts w:hint="eastAsia" w:ascii="宋体" w:hAnsi="宋体" w:eastAsia="宋体" w:cs="宋体"/>
          <w:sz w:val="21"/>
          <w:szCs w:val="21"/>
          <w:lang w:eastAsia="zh-CN"/>
        </w:rPr>
        <w:t>否</w:t>
      </w:r>
    </w:p>
    <w:p w14:paraId="60702400">
      <w:pPr>
        <w:pageBreakBefore w:val="0"/>
        <w:kinsoku/>
        <w:wordWrap/>
        <w:overflowPunct/>
        <w:topLinePunct w:val="0"/>
        <w:bidi w:val="0"/>
        <w:adjustRightInd w:val="0"/>
        <w:snapToGrid w:val="0"/>
        <w:spacing w:before="0" w:beforeLines="0" w:line="400" w:lineRule="exact"/>
        <w:ind w:left="0" w:leftChars="0" w:firstLine="420" w:firstLineChars="200"/>
        <w:textAlignment w:val="auto"/>
        <w:outlineLvl w:val="9"/>
        <w:rPr>
          <w:rFonts w:hint="eastAsia" w:ascii="宋体" w:hAnsi="宋体" w:eastAsia="宋体" w:cs="宋体"/>
          <w:bCs/>
          <w:szCs w:val="21"/>
          <w:u w:val="single"/>
        </w:rPr>
      </w:pPr>
      <w:r>
        <w:rPr>
          <w:rFonts w:hint="eastAsia" w:ascii="宋体" w:hAnsi="宋体" w:eastAsia="宋体" w:cs="宋体"/>
          <w:bCs/>
          <w:szCs w:val="21"/>
        </w:rPr>
        <w:t>（4）分期履行要求：</w:t>
      </w:r>
      <w:r>
        <w:rPr>
          <w:rFonts w:hint="eastAsia" w:ascii="宋体" w:hAnsi="宋体" w:eastAsia="宋体" w:cs="宋体"/>
          <w:bCs/>
          <w:szCs w:val="21"/>
          <w:u w:val="single"/>
        </w:rPr>
        <w:t xml:space="preserve"> 合同签订后     日历天内将所供设备运送到甲方指定位置，并负责设备安装、调试和验收，承担运输、保管、安装、调试、验收合格移交甲方之前的所有风险责任和费用。</w:t>
      </w:r>
    </w:p>
    <w:p w14:paraId="3692A1B3">
      <w:pPr>
        <w:keepNext w:val="0"/>
        <w:keepLines w:val="0"/>
        <w:pageBreakBefore w:val="0"/>
        <w:widowControl w:val="0"/>
        <w:kinsoku/>
        <w:wordWrap/>
        <w:overflowPunct/>
        <w:topLinePunct w:val="0"/>
        <w:autoSpaceDE/>
        <w:autoSpaceDN/>
        <w:bidi w:val="0"/>
        <w:adjustRightInd w:val="0"/>
        <w:snapToGrid w:val="0"/>
        <w:spacing w:before="0" w:beforeLines="0" w:line="400" w:lineRule="exact"/>
        <w:ind w:left="0" w:leftChars="0" w:firstLine="420" w:firstLineChars="200"/>
        <w:textAlignment w:val="auto"/>
        <w:outlineLvl w:val="9"/>
        <w:rPr>
          <w:rFonts w:hint="eastAsia" w:ascii="宋体" w:hAnsi="宋体" w:eastAsia="宋体" w:cs="宋体"/>
          <w:bCs/>
          <w:szCs w:val="21"/>
        </w:rPr>
      </w:pPr>
      <w:r>
        <w:rPr>
          <w:rFonts w:hint="eastAsia" w:ascii="宋体" w:hAnsi="宋体" w:eastAsia="宋体" w:cs="宋体"/>
          <w:bCs/>
          <w:szCs w:val="21"/>
          <w:u w:val="single"/>
        </w:rPr>
        <w:t>从验收合格之日起，乙方对本合同设备提供    年免费保修，提供不定期上门维保服务。</w:t>
      </w:r>
      <w:r>
        <w:rPr>
          <w:rFonts w:hint="eastAsia" w:ascii="宋体" w:hAnsi="宋体" w:eastAsia="宋体" w:cs="宋体"/>
          <w:bCs/>
          <w:szCs w:val="21"/>
          <w:u w:val="single"/>
          <w:lang w:val="en-US" w:eastAsia="zh-CN"/>
        </w:rPr>
        <w:t>乙方</w:t>
      </w:r>
      <w:r>
        <w:rPr>
          <w:rFonts w:hint="eastAsia" w:ascii="宋体" w:hAnsi="宋体" w:eastAsia="宋体" w:cs="宋体"/>
          <w:bCs/>
          <w:szCs w:val="21"/>
          <w:u w:val="single"/>
        </w:rPr>
        <w:t>需建立相应的售后维护档案，每次故障维修提交报告，并提出预防性维护措施，记录每次故障响应服务和预防性维护的详细情况。</w:t>
      </w:r>
      <w:r>
        <w:rPr>
          <w:rFonts w:hint="eastAsia" w:ascii="宋体" w:hAnsi="宋体" w:eastAsia="宋体" w:cs="宋体"/>
          <w:bCs/>
          <w:szCs w:val="21"/>
          <w:u w:val="single"/>
          <w:lang w:val="en-US" w:eastAsia="zh-CN"/>
        </w:rPr>
        <w:t>并</w:t>
      </w:r>
      <w:r>
        <w:rPr>
          <w:rFonts w:hint="eastAsia" w:ascii="宋体" w:hAnsi="宋体" w:eastAsia="宋体" w:cs="宋体"/>
          <w:bCs/>
          <w:szCs w:val="21"/>
          <w:u w:val="single"/>
        </w:rPr>
        <w:t>配备专职的维修工程师及应用工程师有效保证售后维修的及时、快捷，并负责提供技术支持，保证设备的正常操作。</w:t>
      </w:r>
    </w:p>
    <w:p w14:paraId="2CF32478">
      <w:pPr>
        <w:pageBreakBefore w:val="0"/>
        <w:kinsoku/>
        <w:wordWrap/>
        <w:overflowPunct/>
        <w:topLinePunct w:val="0"/>
        <w:bidi w:val="0"/>
        <w:adjustRightInd w:val="0"/>
        <w:snapToGrid w:val="0"/>
        <w:spacing w:before="0" w:beforeLines="0" w:line="400" w:lineRule="exact"/>
        <w:ind w:left="0" w:leftChars="0" w:firstLine="420" w:firstLineChars="200"/>
        <w:textAlignment w:val="auto"/>
        <w:outlineLvl w:val="9"/>
        <w:rPr>
          <w:rFonts w:hint="eastAsia" w:ascii="宋体" w:hAnsi="宋体" w:eastAsia="宋体" w:cs="宋体"/>
          <w:szCs w:val="21"/>
          <w:u w:val="single"/>
        </w:rPr>
      </w:pPr>
      <w:r>
        <w:rPr>
          <w:rFonts w:hint="eastAsia" w:ascii="宋体" w:hAnsi="宋体" w:eastAsia="宋体" w:cs="宋体"/>
          <w:bCs/>
          <w:szCs w:val="21"/>
        </w:rPr>
        <w:t>（5）</w:t>
      </w:r>
      <w:r>
        <w:rPr>
          <w:rFonts w:hint="eastAsia" w:ascii="宋体" w:hAnsi="宋体" w:eastAsia="宋体" w:cs="宋体"/>
          <w:bCs/>
          <w:szCs w:val="21"/>
          <w:lang w:eastAsia="zh-CN"/>
        </w:rPr>
        <w:t>风险处置措施和替代方案</w:t>
      </w:r>
      <w:r>
        <w:rPr>
          <w:rFonts w:hint="eastAsia" w:ascii="宋体" w:hAnsi="宋体" w:eastAsia="宋体" w:cs="宋体"/>
          <w:bCs/>
          <w:szCs w:val="21"/>
        </w:rPr>
        <w:t>：</w:t>
      </w:r>
      <w:r>
        <w:rPr>
          <w:rFonts w:hint="eastAsia" w:ascii="宋体" w:hAnsi="宋体" w:eastAsia="宋体" w:cs="宋体"/>
          <w:color w:val="auto"/>
          <w:szCs w:val="21"/>
          <w:u w:val="single"/>
        </w:rPr>
        <w:t>质保期内出现质量问题，</w:t>
      </w:r>
      <w:r>
        <w:rPr>
          <w:rFonts w:hint="eastAsia" w:ascii="宋体" w:hAnsi="宋体" w:eastAsia="宋体" w:cs="宋体"/>
          <w:color w:val="auto"/>
          <w:szCs w:val="21"/>
          <w:u w:val="single"/>
          <w:lang w:val="en-US" w:eastAsia="zh-CN"/>
        </w:rPr>
        <w:t>乙方</w:t>
      </w:r>
      <w:r>
        <w:rPr>
          <w:rFonts w:hint="eastAsia" w:ascii="宋体" w:hAnsi="宋体" w:eastAsia="宋体" w:cs="宋体"/>
          <w:color w:val="auto"/>
          <w:szCs w:val="21"/>
          <w:u w:val="single"/>
        </w:rPr>
        <w:t>应保证提供及时充足的技术服务。设备系统出现故障时，一般问题须</w:t>
      </w:r>
      <w:r>
        <w:rPr>
          <w:rFonts w:hint="eastAsia" w:ascii="宋体" w:hAnsi="宋体" w:eastAsia="宋体" w:cs="宋体"/>
          <w:color w:val="auto"/>
          <w:szCs w:val="21"/>
          <w:u w:val="single"/>
          <w:lang w:val="en-US" w:eastAsia="zh-CN"/>
        </w:rPr>
        <w:t xml:space="preserve">  </w:t>
      </w:r>
      <w:r>
        <w:rPr>
          <w:rFonts w:hint="eastAsia" w:ascii="宋体" w:hAnsi="宋体" w:eastAsia="宋体" w:cs="宋体"/>
          <w:color w:val="auto"/>
          <w:szCs w:val="21"/>
          <w:u w:val="single"/>
        </w:rPr>
        <w:t>小时内电话支持；重点、难点问题须</w:t>
      </w:r>
      <w:r>
        <w:rPr>
          <w:rFonts w:hint="eastAsia" w:ascii="宋体" w:hAnsi="宋体" w:eastAsia="宋体" w:cs="宋体"/>
          <w:color w:val="auto"/>
          <w:szCs w:val="21"/>
          <w:u w:val="single"/>
          <w:lang w:val="en-US" w:eastAsia="zh-CN"/>
        </w:rPr>
        <w:t xml:space="preserve"> </w:t>
      </w:r>
      <w:r>
        <w:rPr>
          <w:rFonts w:hint="eastAsia" w:ascii="宋体" w:hAnsi="宋体" w:eastAsia="宋体" w:cs="宋体"/>
          <w:color w:val="auto"/>
          <w:szCs w:val="21"/>
          <w:u w:val="single"/>
        </w:rPr>
        <w:t>小时内到达现场维修，</w:t>
      </w:r>
      <w:r>
        <w:rPr>
          <w:rFonts w:hint="eastAsia" w:ascii="宋体" w:hAnsi="宋体" w:eastAsia="宋体" w:cs="宋体"/>
          <w:color w:val="auto"/>
          <w:szCs w:val="21"/>
          <w:u w:val="single"/>
          <w:lang w:val="en-US" w:eastAsia="zh-CN"/>
        </w:rPr>
        <w:t xml:space="preserve"> </w:t>
      </w:r>
      <w:r>
        <w:rPr>
          <w:rFonts w:hint="eastAsia" w:ascii="宋体" w:hAnsi="宋体" w:eastAsia="宋体" w:cs="宋体"/>
          <w:color w:val="auto"/>
          <w:szCs w:val="21"/>
          <w:u w:val="single"/>
        </w:rPr>
        <w:t xml:space="preserve">小时内解决问题。未经使用人同意，维修维护使用的备品备件及易损件，不得为非原厂件。保修期内乙方不能按合同约定履行维修义务，甲方有权委托第三方维修，因此产生的费用由乙方承担。   </w:t>
      </w:r>
    </w:p>
    <w:p w14:paraId="7FE2D3DF">
      <w:pPr>
        <w:pageBreakBefore w:val="0"/>
        <w:numPr>
          <w:ilvl w:val="0"/>
          <w:numId w:val="3"/>
        </w:numPr>
        <w:kinsoku/>
        <w:wordWrap/>
        <w:overflowPunct/>
        <w:topLinePunct w:val="0"/>
        <w:bidi w:val="0"/>
        <w:adjustRightInd w:val="0"/>
        <w:snapToGrid w:val="0"/>
        <w:spacing w:before="0" w:beforeLines="0" w:line="400" w:lineRule="exact"/>
        <w:ind w:left="0" w:leftChars="0" w:firstLine="422" w:firstLineChars="200"/>
        <w:textAlignment w:val="auto"/>
        <w:outlineLvl w:val="9"/>
        <w:rPr>
          <w:rFonts w:hint="eastAsia" w:ascii="宋体" w:hAnsi="宋体" w:eastAsia="宋体" w:cs="宋体"/>
          <w:b/>
          <w:szCs w:val="21"/>
        </w:rPr>
      </w:pPr>
      <w:r>
        <w:rPr>
          <w:rFonts w:hint="eastAsia" w:ascii="宋体" w:hAnsi="宋体" w:eastAsia="宋体" w:cs="宋体"/>
          <w:b/>
          <w:szCs w:val="21"/>
        </w:rPr>
        <w:t>合同验收</w:t>
      </w:r>
    </w:p>
    <w:p w14:paraId="585F4A21">
      <w:pPr>
        <w:pageBreakBefore w:val="0"/>
        <w:numPr>
          <w:ilvl w:val="0"/>
          <w:numId w:val="5"/>
        </w:numPr>
        <w:kinsoku/>
        <w:wordWrap/>
        <w:overflowPunct/>
        <w:topLinePunct w:val="0"/>
        <w:bidi w:val="0"/>
        <w:adjustRightInd w:val="0"/>
        <w:snapToGrid w:val="0"/>
        <w:spacing w:before="0" w:beforeLines="0" w:line="400" w:lineRule="exact"/>
        <w:ind w:left="0" w:leftChars="0" w:firstLine="420" w:firstLineChars="200"/>
        <w:textAlignment w:val="auto"/>
        <w:outlineLvl w:val="9"/>
        <w:rPr>
          <w:rFonts w:hint="eastAsia" w:ascii="宋体" w:hAnsi="宋体" w:eastAsia="宋体" w:cs="宋体"/>
          <w:bCs/>
          <w:szCs w:val="21"/>
        </w:rPr>
      </w:pPr>
      <w:r>
        <w:rPr>
          <w:rFonts w:hint="eastAsia" w:ascii="宋体" w:hAnsi="宋体" w:eastAsia="宋体" w:cs="宋体"/>
          <w:bCs/>
          <w:szCs w:val="21"/>
        </w:rPr>
        <w:t>验收组织方式：</w:t>
      </w:r>
      <w:r>
        <w:rPr>
          <w:rFonts w:hint="eastAsia" w:ascii="宋体" w:hAnsi="宋体" w:eastAsia="宋体" w:cs="宋体"/>
          <w:sz w:val="21"/>
          <w:szCs w:val="21"/>
        </w:rPr>
        <w:sym w:font="Wingdings" w:char="00FE"/>
      </w:r>
      <w:r>
        <w:rPr>
          <w:rFonts w:hint="eastAsia" w:ascii="宋体" w:hAnsi="宋体" w:eastAsia="宋体" w:cs="宋体"/>
          <w:bCs/>
          <w:szCs w:val="21"/>
        </w:rPr>
        <w:t xml:space="preserve">自行组织 </w:t>
      </w:r>
      <w:r>
        <w:rPr>
          <w:rFonts w:hint="eastAsia" w:ascii="宋体" w:hAnsi="宋体" w:eastAsia="宋体" w:cs="宋体"/>
          <w:sz w:val="21"/>
          <w:szCs w:val="21"/>
        </w:rPr>
        <w:sym w:font="Wingdings" w:char="00A8"/>
      </w:r>
      <w:r>
        <w:rPr>
          <w:rFonts w:hint="eastAsia" w:ascii="宋体" w:hAnsi="宋体" w:eastAsia="宋体" w:cs="宋体"/>
          <w:bCs/>
          <w:szCs w:val="21"/>
        </w:rPr>
        <w:t>委托第三方组织</w:t>
      </w:r>
    </w:p>
    <w:p w14:paraId="07BB233D">
      <w:pPr>
        <w:pageBreakBefore w:val="0"/>
        <w:numPr>
          <w:ilvl w:val="0"/>
          <w:numId w:val="0"/>
        </w:numPr>
        <w:kinsoku/>
        <w:wordWrap/>
        <w:overflowPunct/>
        <w:topLinePunct w:val="0"/>
        <w:bidi w:val="0"/>
        <w:adjustRightInd w:val="0"/>
        <w:snapToGrid w:val="0"/>
        <w:spacing w:before="0" w:beforeLines="0" w:line="400" w:lineRule="exact"/>
        <w:ind w:left="0" w:leftChars="0"/>
        <w:textAlignment w:val="auto"/>
        <w:outlineLvl w:val="9"/>
        <w:rPr>
          <w:rFonts w:hint="eastAsia" w:ascii="宋体" w:hAnsi="宋体" w:eastAsia="宋体" w:cs="宋体"/>
          <w:bCs/>
          <w:szCs w:val="21"/>
        </w:rPr>
      </w:pPr>
      <w:r>
        <w:rPr>
          <w:rFonts w:hint="eastAsia" w:ascii="宋体" w:hAnsi="宋体" w:eastAsia="宋体" w:cs="宋体"/>
          <w:bCs/>
          <w:szCs w:val="21"/>
          <w:lang w:val="en-US" w:eastAsia="zh-CN"/>
        </w:rPr>
        <w:t xml:space="preserve">         </w:t>
      </w:r>
      <w:r>
        <w:rPr>
          <w:rFonts w:hint="eastAsia" w:ascii="宋体" w:hAnsi="宋体" w:eastAsia="宋体" w:cs="宋体"/>
          <w:bCs/>
          <w:szCs w:val="21"/>
        </w:rPr>
        <w:t>验收主体：</w:t>
      </w:r>
      <w:r>
        <w:rPr>
          <w:rFonts w:hint="eastAsia" w:ascii="宋体" w:hAnsi="宋体" w:eastAsia="宋体" w:cs="宋体"/>
          <w:bCs/>
          <w:szCs w:val="21"/>
          <w:u w:val="single"/>
        </w:rPr>
        <w:t xml:space="preserve"> </w:t>
      </w:r>
      <w:r>
        <w:rPr>
          <w:rFonts w:hint="eastAsia" w:ascii="宋体" w:hAnsi="宋体" w:eastAsia="宋体" w:cs="宋体"/>
          <w:bCs/>
          <w:szCs w:val="21"/>
          <w:u w:val="single"/>
          <w:lang w:val="en-US" w:eastAsia="zh-CN"/>
        </w:rPr>
        <w:t>使用单位</w:t>
      </w:r>
      <w:r>
        <w:rPr>
          <w:rFonts w:hint="eastAsia" w:ascii="宋体" w:hAnsi="宋体" w:eastAsia="宋体" w:cs="宋体"/>
          <w:bCs/>
          <w:szCs w:val="21"/>
          <w:u w:val="single"/>
        </w:rPr>
        <w:t xml:space="preserve">和中标人代表 </w:t>
      </w:r>
    </w:p>
    <w:p w14:paraId="07A7367D">
      <w:pPr>
        <w:keepNext w:val="0"/>
        <w:keepLines w:val="0"/>
        <w:pageBreakBefore w:val="0"/>
        <w:widowControl w:val="0"/>
        <w:kinsoku/>
        <w:wordWrap/>
        <w:overflowPunct/>
        <w:topLinePunct w:val="0"/>
        <w:autoSpaceDE/>
        <w:autoSpaceDN/>
        <w:bidi w:val="0"/>
        <w:adjustRightInd w:val="0"/>
        <w:snapToGrid w:val="0"/>
        <w:spacing w:before="0" w:beforeLines="0" w:line="400" w:lineRule="exact"/>
        <w:ind w:left="0" w:leftChars="0" w:firstLine="0" w:firstLineChars="0"/>
        <w:textAlignment w:val="auto"/>
        <w:outlineLvl w:val="9"/>
        <w:rPr>
          <w:rFonts w:hint="eastAsia" w:ascii="宋体" w:hAnsi="宋体" w:eastAsia="宋体" w:cs="宋体"/>
          <w:bCs/>
          <w:szCs w:val="21"/>
        </w:rPr>
      </w:pPr>
      <w:r>
        <w:rPr>
          <w:rFonts w:hint="eastAsia" w:ascii="宋体" w:hAnsi="宋体" w:eastAsia="宋体" w:cs="宋体"/>
          <w:bCs/>
          <w:szCs w:val="21"/>
          <w:lang w:val="en-US" w:eastAsia="zh-CN"/>
        </w:rPr>
        <w:t xml:space="preserve">        </w:t>
      </w:r>
      <w:r>
        <w:rPr>
          <w:rFonts w:hint="eastAsia" w:ascii="宋体" w:hAnsi="宋体" w:eastAsia="宋体" w:cs="宋体"/>
          <w:bCs/>
          <w:szCs w:val="21"/>
        </w:rPr>
        <w:t>是否邀请本项目的其他供应商</w:t>
      </w:r>
      <w:r>
        <w:rPr>
          <w:rFonts w:hint="eastAsia" w:ascii="宋体" w:hAnsi="宋体" w:eastAsia="宋体" w:cs="宋体"/>
          <w:bCs/>
          <w:szCs w:val="21"/>
          <w:lang w:eastAsia="zh-CN"/>
        </w:rPr>
        <w:t>参加验收</w:t>
      </w:r>
      <w:r>
        <w:rPr>
          <w:rFonts w:hint="eastAsia" w:ascii="宋体" w:hAnsi="宋体" w:eastAsia="宋体" w:cs="宋体"/>
          <w:bCs/>
          <w:szCs w:val="21"/>
        </w:rPr>
        <w:t>：</w:t>
      </w:r>
      <w:r>
        <w:rPr>
          <w:rFonts w:hint="eastAsia" w:ascii="宋体" w:hAnsi="宋体" w:eastAsia="宋体" w:cs="宋体"/>
          <w:sz w:val="21"/>
          <w:szCs w:val="21"/>
        </w:rPr>
        <w:sym w:font="Wingdings" w:char="00A8"/>
      </w:r>
      <w:r>
        <w:rPr>
          <w:rFonts w:hint="eastAsia" w:ascii="宋体" w:hAnsi="宋体" w:eastAsia="宋体" w:cs="宋体"/>
          <w:bCs/>
          <w:szCs w:val="21"/>
        </w:rPr>
        <w:t xml:space="preserve">是  </w:t>
      </w:r>
      <w:r>
        <w:rPr>
          <w:rFonts w:hint="eastAsia" w:ascii="宋体" w:hAnsi="宋体" w:eastAsia="宋体" w:cs="宋体"/>
          <w:sz w:val="21"/>
          <w:szCs w:val="21"/>
        </w:rPr>
        <w:sym w:font="Wingdings" w:char="00A8"/>
      </w:r>
      <w:r>
        <w:rPr>
          <w:rFonts w:hint="eastAsia" w:ascii="宋体" w:hAnsi="宋体" w:eastAsia="宋体" w:cs="宋体"/>
          <w:bCs/>
          <w:szCs w:val="21"/>
        </w:rPr>
        <w:t>否</w:t>
      </w:r>
    </w:p>
    <w:p w14:paraId="7335B1C0">
      <w:pPr>
        <w:pageBreakBefore w:val="0"/>
        <w:kinsoku/>
        <w:wordWrap/>
        <w:overflowPunct/>
        <w:topLinePunct w:val="0"/>
        <w:bidi w:val="0"/>
        <w:adjustRightInd w:val="0"/>
        <w:snapToGrid w:val="0"/>
        <w:spacing w:before="0" w:beforeLines="0" w:line="400" w:lineRule="exact"/>
        <w:ind w:left="0" w:leftChars="0" w:firstLine="840" w:firstLineChars="400"/>
        <w:textAlignment w:val="auto"/>
        <w:outlineLvl w:val="9"/>
        <w:rPr>
          <w:rFonts w:hint="eastAsia" w:ascii="宋体" w:hAnsi="宋体" w:eastAsia="宋体" w:cs="宋体"/>
          <w:bCs/>
          <w:szCs w:val="21"/>
        </w:rPr>
      </w:pPr>
      <w:r>
        <w:rPr>
          <w:rFonts w:hint="eastAsia" w:ascii="宋体" w:hAnsi="宋体" w:eastAsia="宋体" w:cs="宋体"/>
          <w:bCs/>
          <w:szCs w:val="21"/>
        </w:rPr>
        <w:t>是否邀请专家</w:t>
      </w:r>
      <w:r>
        <w:rPr>
          <w:rFonts w:hint="eastAsia" w:ascii="宋体" w:hAnsi="宋体" w:eastAsia="宋体" w:cs="宋体"/>
          <w:bCs/>
          <w:szCs w:val="21"/>
          <w:lang w:eastAsia="zh-CN"/>
        </w:rPr>
        <w:t>参加验收</w:t>
      </w:r>
      <w:r>
        <w:rPr>
          <w:rFonts w:hint="eastAsia" w:ascii="宋体" w:hAnsi="宋体" w:eastAsia="宋体" w:cs="宋体"/>
          <w:bCs/>
          <w:szCs w:val="21"/>
        </w:rPr>
        <w:t>：</w:t>
      </w:r>
      <w:r>
        <w:rPr>
          <w:rFonts w:hint="eastAsia" w:ascii="宋体" w:hAnsi="宋体" w:eastAsia="宋体" w:cs="宋体"/>
          <w:sz w:val="21"/>
          <w:szCs w:val="21"/>
        </w:rPr>
        <w:sym w:font="Wingdings" w:char="00A8"/>
      </w:r>
      <w:r>
        <w:rPr>
          <w:rFonts w:hint="eastAsia" w:ascii="宋体" w:hAnsi="宋体" w:eastAsia="宋体" w:cs="宋体"/>
          <w:bCs/>
          <w:szCs w:val="21"/>
        </w:rPr>
        <w:t xml:space="preserve">是  </w:t>
      </w:r>
      <w:r>
        <w:rPr>
          <w:rFonts w:hint="eastAsia" w:ascii="宋体" w:hAnsi="宋体" w:eastAsia="宋体" w:cs="宋体"/>
          <w:sz w:val="21"/>
          <w:szCs w:val="21"/>
        </w:rPr>
        <w:sym w:font="Wingdings" w:char="00A8"/>
      </w:r>
      <w:r>
        <w:rPr>
          <w:rFonts w:hint="eastAsia" w:ascii="宋体" w:hAnsi="宋体" w:eastAsia="宋体" w:cs="宋体"/>
          <w:bCs/>
          <w:szCs w:val="21"/>
        </w:rPr>
        <w:t>否</w:t>
      </w:r>
    </w:p>
    <w:p w14:paraId="3908127E">
      <w:pPr>
        <w:pageBreakBefore w:val="0"/>
        <w:kinsoku/>
        <w:wordWrap/>
        <w:overflowPunct/>
        <w:topLinePunct w:val="0"/>
        <w:bidi w:val="0"/>
        <w:adjustRightInd w:val="0"/>
        <w:snapToGrid w:val="0"/>
        <w:spacing w:before="0" w:beforeLines="0" w:line="400" w:lineRule="exact"/>
        <w:ind w:left="0" w:leftChars="0" w:firstLine="840" w:firstLineChars="400"/>
        <w:textAlignment w:val="auto"/>
        <w:outlineLvl w:val="9"/>
        <w:rPr>
          <w:rFonts w:hint="eastAsia" w:ascii="宋体" w:hAnsi="宋体" w:eastAsia="宋体" w:cs="宋体"/>
          <w:bCs/>
          <w:szCs w:val="21"/>
        </w:rPr>
      </w:pPr>
      <w:r>
        <w:rPr>
          <w:rFonts w:hint="eastAsia" w:ascii="宋体" w:hAnsi="宋体" w:eastAsia="宋体" w:cs="宋体"/>
          <w:bCs/>
          <w:szCs w:val="21"/>
        </w:rPr>
        <w:t>是否邀请服务对象</w:t>
      </w:r>
      <w:r>
        <w:rPr>
          <w:rFonts w:hint="eastAsia" w:ascii="宋体" w:hAnsi="宋体" w:eastAsia="宋体" w:cs="宋体"/>
          <w:bCs/>
          <w:szCs w:val="21"/>
          <w:lang w:eastAsia="zh-CN"/>
        </w:rPr>
        <w:t>参加验收</w:t>
      </w:r>
      <w:r>
        <w:rPr>
          <w:rFonts w:hint="eastAsia" w:ascii="宋体" w:hAnsi="宋体" w:eastAsia="宋体" w:cs="宋体"/>
          <w:bCs/>
          <w:szCs w:val="21"/>
        </w:rPr>
        <w:t>：</w:t>
      </w:r>
      <w:r>
        <w:rPr>
          <w:rFonts w:hint="eastAsia" w:ascii="宋体" w:hAnsi="宋体" w:eastAsia="宋体" w:cs="宋体"/>
          <w:sz w:val="21"/>
          <w:szCs w:val="21"/>
        </w:rPr>
        <w:sym w:font="Wingdings" w:char="00A8"/>
      </w:r>
      <w:r>
        <w:rPr>
          <w:rFonts w:hint="eastAsia" w:ascii="宋体" w:hAnsi="宋体" w:eastAsia="宋体" w:cs="宋体"/>
          <w:bCs/>
          <w:szCs w:val="21"/>
        </w:rPr>
        <w:t xml:space="preserve">是  </w:t>
      </w:r>
      <w:r>
        <w:rPr>
          <w:rFonts w:hint="eastAsia" w:ascii="宋体" w:hAnsi="宋体" w:eastAsia="宋体" w:cs="宋体"/>
          <w:sz w:val="21"/>
          <w:szCs w:val="21"/>
        </w:rPr>
        <w:sym w:font="Wingdings" w:char="00A8"/>
      </w:r>
      <w:r>
        <w:rPr>
          <w:rFonts w:hint="eastAsia" w:ascii="宋体" w:hAnsi="宋体" w:eastAsia="宋体" w:cs="宋体"/>
          <w:bCs/>
          <w:szCs w:val="21"/>
        </w:rPr>
        <w:t>否</w:t>
      </w:r>
    </w:p>
    <w:p w14:paraId="0C9AB8EC">
      <w:pPr>
        <w:pageBreakBefore w:val="0"/>
        <w:kinsoku/>
        <w:wordWrap/>
        <w:overflowPunct/>
        <w:topLinePunct w:val="0"/>
        <w:bidi w:val="0"/>
        <w:adjustRightInd w:val="0"/>
        <w:snapToGrid w:val="0"/>
        <w:spacing w:before="0" w:beforeLines="0" w:line="400" w:lineRule="exact"/>
        <w:ind w:left="0" w:leftChars="0" w:firstLine="840" w:firstLineChars="400"/>
        <w:textAlignment w:val="auto"/>
        <w:outlineLvl w:val="9"/>
        <w:rPr>
          <w:rFonts w:hint="eastAsia" w:ascii="宋体" w:hAnsi="宋体" w:eastAsia="宋体" w:cs="宋体"/>
          <w:bCs/>
          <w:szCs w:val="21"/>
        </w:rPr>
      </w:pPr>
      <w:r>
        <w:rPr>
          <w:rFonts w:hint="eastAsia" w:ascii="宋体" w:hAnsi="宋体" w:eastAsia="宋体" w:cs="宋体"/>
          <w:bCs/>
          <w:szCs w:val="21"/>
        </w:rPr>
        <w:t>是否邀请第三方检测机构</w:t>
      </w:r>
      <w:r>
        <w:rPr>
          <w:rFonts w:hint="eastAsia" w:ascii="宋体" w:hAnsi="宋体" w:eastAsia="宋体" w:cs="宋体"/>
          <w:bCs/>
          <w:szCs w:val="21"/>
          <w:lang w:eastAsia="zh-CN"/>
        </w:rPr>
        <w:t>参加验收</w:t>
      </w:r>
      <w:r>
        <w:rPr>
          <w:rFonts w:hint="eastAsia" w:ascii="宋体" w:hAnsi="宋体" w:eastAsia="宋体" w:cs="宋体"/>
          <w:bCs/>
          <w:szCs w:val="21"/>
        </w:rPr>
        <w:t>：</w:t>
      </w:r>
      <w:r>
        <w:rPr>
          <w:rFonts w:hint="eastAsia" w:ascii="宋体" w:hAnsi="宋体" w:eastAsia="宋体" w:cs="宋体"/>
          <w:sz w:val="21"/>
          <w:szCs w:val="21"/>
        </w:rPr>
        <w:sym w:font="Wingdings" w:char="00A8"/>
      </w:r>
      <w:r>
        <w:rPr>
          <w:rFonts w:hint="eastAsia" w:ascii="宋体" w:hAnsi="宋体" w:eastAsia="宋体" w:cs="宋体"/>
          <w:bCs/>
          <w:szCs w:val="21"/>
        </w:rPr>
        <w:t xml:space="preserve">是  </w:t>
      </w:r>
      <w:r>
        <w:rPr>
          <w:rFonts w:hint="eastAsia" w:ascii="宋体" w:hAnsi="宋体" w:eastAsia="宋体" w:cs="宋体"/>
          <w:sz w:val="21"/>
          <w:szCs w:val="21"/>
        </w:rPr>
        <w:sym w:font="Wingdings" w:char="00A8"/>
      </w:r>
      <w:r>
        <w:rPr>
          <w:rFonts w:hint="eastAsia" w:ascii="宋体" w:hAnsi="宋体" w:eastAsia="宋体" w:cs="宋体"/>
          <w:bCs/>
          <w:szCs w:val="21"/>
        </w:rPr>
        <w:t>否</w:t>
      </w:r>
    </w:p>
    <w:p w14:paraId="5C1C0932">
      <w:pPr>
        <w:pageBreakBefore w:val="0"/>
        <w:kinsoku/>
        <w:wordWrap/>
        <w:overflowPunct/>
        <w:topLinePunct w:val="0"/>
        <w:bidi w:val="0"/>
        <w:adjustRightInd w:val="0"/>
        <w:snapToGrid w:val="0"/>
        <w:spacing w:before="0" w:beforeLines="0" w:line="400" w:lineRule="exact"/>
        <w:ind w:left="0" w:leftChars="0" w:firstLine="840" w:firstLineChars="400"/>
        <w:textAlignment w:val="auto"/>
        <w:outlineLvl w:val="9"/>
        <w:rPr>
          <w:rFonts w:hint="eastAsia" w:ascii="宋体" w:hAnsi="宋体" w:eastAsia="宋体" w:cs="宋体"/>
          <w:bCs/>
          <w:szCs w:val="21"/>
        </w:rPr>
      </w:pPr>
      <w:r>
        <w:rPr>
          <w:rFonts w:hint="eastAsia" w:ascii="宋体" w:hAnsi="宋体" w:eastAsia="宋体" w:cs="宋体"/>
          <w:bCs/>
          <w:szCs w:val="21"/>
          <w:lang w:eastAsia="zh-CN"/>
        </w:rPr>
        <w:t>是否进行抽查检测：</w:t>
      </w:r>
      <w:r>
        <w:rPr>
          <w:rFonts w:hint="eastAsia" w:ascii="宋体" w:hAnsi="宋体" w:eastAsia="宋体" w:cs="宋体"/>
          <w:sz w:val="21"/>
          <w:szCs w:val="21"/>
        </w:rPr>
        <w:sym w:font="Wingdings" w:char="00A8"/>
      </w:r>
      <w:r>
        <w:rPr>
          <w:rFonts w:hint="eastAsia" w:ascii="宋体" w:hAnsi="宋体" w:eastAsia="宋体" w:cs="宋体"/>
          <w:bCs/>
          <w:szCs w:val="21"/>
        </w:rPr>
        <w:t>是</w:t>
      </w:r>
      <w:r>
        <w:rPr>
          <w:rFonts w:hint="eastAsia" w:ascii="宋体" w:hAnsi="宋体" w:eastAsia="宋体" w:cs="宋体"/>
          <w:bCs/>
          <w:szCs w:val="21"/>
          <w:lang w:eastAsia="zh-CN"/>
        </w:rPr>
        <w:t>，抽查比例：</w:t>
      </w:r>
      <w:r>
        <w:rPr>
          <w:rFonts w:hint="eastAsia" w:ascii="宋体" w:hAnsi="宋体" w:eastAsia="宋体" w:cs="宋体"/>
          <w:bCs/>
          <w:szCs w:val="21"/>
          <w:u w:val="single"/>
        </w:rPr>
        <w:t xml:space="preserve">   </w:t>
      </w:r>
      <w:r>
        <w:rPr>
          <w:rFonts w:hint="eastAsia" w:ascii="宋体" w:hAnsi="宋体" w:eastAsia="宋体" w:cs="宋体"/>
          <w:bCs/>
          <w:szCs w:val="21"/>
          <w:u w:val="single"/>
          <w:lang w:val="en-US" w:eastAsia="zh-CN"/>
        </w:rPr>
        <w:t xml:space="preserve">/   </w:t>
      </w:r>
      <w:r>
        <w:rPr>
          <w:rFonts w:hint="eastAsia" w:ascii="宋体" w:hAnsi="宋体" w:eastAsia="宋体" w:cs="宋体"/>
          <w:bCs/>
          <w:szCs w:val="21"/>
        </w:rPr>
        <w:t xml:space="preserve"> </w:t>
      </w:r>
      <w:r>
        <w:rPr>
          <w:rFonts w:hint="eastAsia" w:ascii="宋体" w:hAnsi="宋体" w:eastAsia="宋体" w:cs="宋体"/>
          <w:sz w:val="21"/>
          <w:szCs w:val="21"/>
        </w:rPr>
        <w:sym w:font="Wingdings" w:char="00A8"/>
      </w:r>
      <w:r>
        <w:rPr>
          <w:rFonts w:hint="eastAsia" w:ascii="宋体" w:hAnsi="宋体" w:eastAsia="宋体" w:cs="宋体"/>
          <w:bCs/>
          <w:szCs w:val="21"/>
        </w:rPr>
        <w:t>否</w:t>
      </w:r>
    </w:p>
    <w:p w14:paraId="29D04B58">
      <w:pPr>
        <w:pageBreakBefore w:val="0"/>
        <w:kinsoku/>
        <w:wordWrap/>
        <w:overflowPunct/>
        <w:topLinePunct w:val="0"/>
        <w:bidi w:val="0"/>
        <w:adjustRightInd w:val="0"/>
        <w:snapToGrid w:val="0"/>
        <w:spacing w:before="0" w:beforeLines="0" w:line="400" w:lineRule="exact"/>
        <w:ind w:left="0" w:leftChars="0" w:firstLine="840" w:firstLineChars="400"/>
        <w:textAlignment w:val="auto"/>
        <w:outlineLvl w:val="9"/>
        <w:rPr>
          <w:rFonts w:hint="eastAsia" w:ascii="宋体" w:hAnsi="宋体" w:eastAsia="宋体" w:cs="宋体"/>
          <w:bCs/>
          <w:szCs w:val="21"/>
          <w:u w:val="single"/>
          <w:lang w:eastAsia="zh-CN"/>
        </w:rPr>
      </w:pPr>
      <w:r>
        <w:rPr>
          <w:rFonts w:hint="eastAsia" w:ascii="宋体" w:hAnsi="宋体" w:eastAsia="宋体" w:cs="宋体"/>
          <w:bCs/>
          <w:szCs w:val="21"/>
          <w:lang w:val="en-US" w:eastAsia="zh-CN"/>
        </w:rPr>
        <w:t>是否存在破坏性检测：</w:t>
      </w:r>
      <w:r>
        <w:rPr>
          <w:rFonts w:hint="eastAsia" w:ascii="宋体" w:hAnsi="宋体" w:eastAsia="宋体" w:cs="宋体"/>
          <w:sz w:val="21"/>
          <w:szCs w:val="21"/>
        </w:rPr>
        <w:sym w:font="Wingdings" w:char="00A8"/>
      </w:r>
      <w:r>
        <w:rPr>
          <w:rFonts w:hint="eastAsia" w:ascii="宋体" w:hAnsi="宋体" w:eastAsia="宋体" w:cs="宋体"/>
          <w:bCs/>
          <w:szCs w:val="21"/>
        </w:rPr>
        <w:t>是</w:t>
      </w:r>
      <w:r>
        <w:rPr>
          <w:rFonts w:hint="eastAsia" w:ascii="宋体" w:hAnsi="宋体" w:eastAsia="宋体" w:cs="宋体"/>
          <w:bCs/>
          <w:szCs w:val="21"/>
          <w:lang w:eastAsia="zh-CN"/>
        </w:rPr>
        <w:t>，</w:t>
      </w:r>
      <w:r>
        <w:rPr>
          <w:rFonts w:hint="eastAsia" w:ascii="宋体" w:hAnsi="宋体" w:eastAsia="宋体" w:cs="宋体"/>
          <w:bCs/>
          <w:szCs w:val="21"/>
          <w:u w:val="single"/>
          <w:lang w:eastAsia="zh-CN"/>
        </w:rPr>
        <w:t>（应明确对被破坏的检测产品的处理方式）</w:t>
      </w:r>
    </w:p>
    <w:p w14:paraId="5BB38070">
      <w:pPr>
        <w:pageBreakBefore w:val="0"/>
        <w:kinsoku/>
        <w:wordWrap/>
        <w:overflowPunct/>
        <w:topLinePunct w:val="0"/>
        <w:bidi w:val="0"/>
        <w:adjustRightInd w:val="0"/>
        <w:snapToGrid w:val="0"/>
        <w:spacing w:before="0" w:beforeLines="0" w:line="400" w:lineRule="exact"/>
        <w:ind w:left="0" w:leftChars="0" w:firstLine="840" w:firstLineChars="400"/>
        <w:textAlignment w:val="auto"/>
        <w:outlineLvl w:val="9"/>
        <w:rPr>
          <w:rFonts w:hint="eastAsia" w:ascii="宋体" w:hAnsi="宋体" w:eastAsia="宋体" w:cs="宋体"/>
          <w:bCs/>
          <w:szCs w:val="21"/>
          <w:lang w:eastAsia="zh-CN"/>
        </w:rPr>
      </w:pPr>
      <w:r>
        <w:rPr>
          <w:rFonts w:hint="eastAsia" w:ascii="宋体" w:hAnsi="宋体" w:eastAsia="宋体" w:cs="宋体"/>
          <w:bCs/>
          <w:szCs w:val="21"/>
          <w:lang w:val="en-US" w:eastAsia="zh-CN"/>
        </w:rPr>
        <w:t xml:space="preserve">                    </w:t>
      </w:r>
      <w:r>
        <w:rPr>
          <w:rFonts w:hint="eastAsia" w:ascii="宋体" w:hAnsi="宋体" w:eastAsia="宋体" w:cs="宋体"/>
          <w:sz w:val="21"/>
          <w:szCs w:val="21"/>
        </w:rPr>
        <w:sym w:font="Wingdings" w:char="00A8"/>
      </w:r>
      <w:r>
        <w:rPr>
          <w:rFonts w:hint="eastAsia" w:ascii="宋体" w:hAnsi="宋体" w:eastAsia="宋体" w:cs="宋体"/>
          <w:bCs/>
          <w:szCs w:val="21"/>
        </w:rPr>
        <w:t>否</w:t>
      </w:r>
    </w:p>
    <w:p w14:paraId="7E472117">
      <w:pPr>
        <w:pageBreakBefore w:val="0"/>
        <w:kinsoku/>
        <w:wordWrap/>
        <w:overflowPunct/>
        <w:topLinePunct w:val="0"/>
        <w:bidi w:val="0"/>
        <w:adjustRightInd w:val="0"/>
        <w:snapToGrid w:val="0"/>
        <w:spacing w:before="0" w:beforeLines="0" w:line="400" w:lineRule="exact"/>
        <w:ind w:left="0" w:leftChars="0" w:firstLine="840" w:firstLineChars="400"/>
        <w:textAlignment w:val="auto"/>
        <w:outlineLvl w:val="9"/>
        <w:rPr>
          <w:rFonts w:hint="eastAsia" w:ascii="宋体" w:hAnsi="宋体" w:eastAsia="宋体" w:cs="宋体"/>
          <w:bCs/>
          <w:szCs w:val="21"/>
          <w:u w:val="single"/>
        </w:rPr>
      </w:pPr>
      <w:r>
        <w:rPr>
          <w:rFonts w:hint="eastAsia" w:ascii="宋体" w:hAnsi="宋体" w:eastAsia="宋体" w:cs="宋体"/>
          <w:bCs/>
          <w:szCs w:val="21"/>
        </w:rPr>
        <w:t>验收组织的其他事项：</w:t>
      </w:r>
      <w:r>
        <w:rPr>
          <w:rFonts w:hint="eastAsia" w:ascii="宋体" w:hAnsi="宋体" w:eastAsia="宋体" w:cs="宋体"/>
          <w:bCs/>
          <w:szCs w:val="21"/>
          <w:u w:val="single"/>
        </w:rPr>
        <w:t xml:space="preserve">   </w:t>
      </w:r>
      <w:r>
        <w:rPr>
          <w:rFonts w:hint="eastAsia" w:ascii="宋体" w:hAnsi="宋体" w:eastAsia="宋体" w:cs="宋体"/>
          <w:bCs/>
          <w:szCs w:val="21"/>
          <w:u w:val="single"/>
          <w:lang w:val="en-US" w:eastAsia="zh-CN"/>
        </w:rPr>
        <w:t>/</w:t>
      </w:r>
      <w:r>
        <w:rPr>
          <w:rFonts w:hint="eastAsia" w:ascii="宋体" w:hAnsi="宋体" w:eastAsia="宋体" w:cs="宋体"/>
          <w:bCs/>
          <w:szCs w:val="21"/>
          <w:u w:val="single"/>
        </w:rPr>
        <w:t xml:space="preserve">   </w:t>
      </w:r>
    </w:p>
    <w:p w14:paraId="58A481C4">
      <w:pPr>
        <w:pageBreakBefore w:val="0"/>
        <w:kinsoku/>
        <w:wordWrap/>
        <w:overflowPunct/>
        <w:topLinePunct w:val="0"/>
        <w:bidi w:val="0"/>
        <w:adjustRightInd w:val="0"/>
        <w:snapToGrid w:val="0"/>
        <w:spacing w:before="0" w:beforeLines="0" w:line="400" w:lineRule="exact"/>
        <w:ind w:left="0" w:leftChars="0" w:firstLine="420" w:firstLineChars="200"/>
        <w:textAlignment w:val="auto"/>
        <w:outlineLvl w:val="9"/>
        <w:rPr>
          <w:rFonts w:hint="eastAsia" w:ascii="宋体" w:hAnsi="宋体" w:eastAsia="宋体" w:cs="宋体"/>
          <w:bCs/>
          <w:szCs w:val="21"/>
          <w:u w:val="single"/>
          <w:lang w:val="en-US" w:eastAsia="zh-CN"/>
        </w:rPr>
      </w:pPr>
      <w:r>
        <w:rPr>
          <w:rFonts w:hint="eastAsia" w:ascii="宋体" w:hAnsi="宋体" w:eastAsia="宋体" w:cs="宋体"/>
          <w:bCs/>
          <w:szCs w:val="21"/>
        </w:rPr>
        <w:t>（2）履约验收时间：</w:t>
      </w:r>
      <w:r>
        <w:rPr>
          <w:rFonts w:hint="eastAsia" w:ascii="宋体" w:hAnsi="宋体" w:eastAsia="宋体" w:cs="宋体"/>
          <w:bCs/>
          <w:szCs w:val="21"/>
          <w:u w:val="single"/>
          <w:lang w:val="en-US" w:eastAsia="zh-CN"/>
        </w:rPr>
        <w:t>培训完成且设备正常运行后，乙方提出验收申请之日起  日内，甲方组织验收 。</w:t>
      </w:r>
    </w:p>
    <w:p w14:paraId="18129B75">
      <w:pPr>
        <w:pageBreakBefore w:val="0"/>
        <w:kinsoku/>
        <w:wordWrap/>
        <w:overflowPunct/>
        <w:topLinePunct w:val="0"/>
        <w:bidi w:val="0"/>
        <w:adjustRightInd w:val="0"/>
        <w:snapToGrid w:val="0"/>
        <w:spacing w:before="0" w:beforeLines="0" w:line="400" w:lineRule="exact"/>
        <w:ind w:left="0" w:leftChars="0" w:firstLine="420" w:firstLineChars="200"/>
        <w:textAlignment w:val="auto"/>
        <w:outlineLvl w:val="9"/>
        <w:rPr>
          <w:rFonts w:hint="eastAsia" w:ascii="宋体" w:hAnsi="宋体" w:eastAsia="宋体" w:cs="宋体"/>
          <w:bCs/>
          <w:szCs w:val="21"/>
        </w:rPr>
      </w:pPr>
      <w:r>
        <w:rPr>
          <w:rFonts w:hint="eastAsia" w:ascii="宋体" w:hAnsi="宋体" w:eastAsia="宋体" w:cs="宋体"/>
          <w:bCs/>
          <w:szCs w:val="21"/>
        </w:rPr>
        <w:t>（3）履约验收方式：</w:t>
      </w:r>
      <w:r>
        <w:rPr>
          <w:rFonts w:hint="eastAsia" w:ascii="宋体" w:hAnsi="宋体" w:eastAsia="宋体" w:cs="宋体"/>
          <w:sz w:val="21"/>
          <w:szCs w:val="21"/>
        </w:rPr>
        <w:sym w:font="Wingdings" w:char="00A8"/>
      </w:r>
      <w:r>
        <w:rPr>
          <w:rFonts w:hint="eastAsia" w:ascii="宋体" w:hAnsi="宋体" w:eastAsia="宋体" w:cs="宋体"/>
          <w:bCs/>
          <w:szCs w:val="21"/>
        </w:rPr>
        <w:t xml:space="preserve">一次性验收         </w:t>
      </w:r>
    </w:p>
    <w:p w14:paraId="3B430FB3">
      <w:pPr>
        <w:pageBreakBefore w:val="0"/>
        <w:kinsoku/>
        <w:wordWrap/>
        <w:overflowPunct/>
        <w:topLinePunct w:val="0"/>
        <w:bidi w:val="0"/>
        <w:adjustRightInd w:val="0"/>
        <w:snapToGrid w:val="0"/>
        <w:spacing w:before="0" w:beforeLines="0" w:line="400" w:lineRule="exact"/>
        <w:ind w:left="0" w:leftChars="0" w:firstLine="0" w:firstLineChars="0"/>
        <w:textAlignment w:val="auto"/>
        <w:outlineLvl w:val="9"/>
        <w:rPr>
          <w:rFonts w:hint="eastAsia" w:ascii="宋体" w:hAnsi="宋体" w:eastAsia="宋体" w:cs="宋体"/>
          <w:bCs/>
          <w:szCs w:val="21"/>
          <w:lang w:val="en-US" w:eastAsia="zh-CN"/>
        </w:rPr>
      </w:pPr>
      <w:r>
        <w:rPr>
          <w:rFonts w:hint="eastAsia" w:ascii="宋体" w:hAnsi="宋体" w:eastAsia="宋体" w:cs="宋体"/>
          <w:bCs/>
          <w:szCs w:val="21"/>
          <w:lang w:val="en-US" w:eastAsia="zh-CN"/>
        </w:rPr>
        <w:t xml:space="preserve">                       </w:t>
      </w:r>
      <w:r>
        <w:rPr>
          <w:rFonts w:hint="eastAsia" w:ascii="宋体" w:hAnsi="宋体" w:eastAsia="宋体" w:cs="宋体"/>
          <w:sz w:val="21"/>
          <w:szCs w:val="21"/>
        </w:rPr>
        <w:sym w:font="Wingdings" w:char="00A8"/>
      </w:r>
      <w:r>
        <w:rPr>
          <w:rFonts w:hint="eastAsia" w:ascii="宋体" w:hAnsi="宋体" w:eastAsia="宋体" w:cs="宋体"/>
          <w:bCs/>
          <w:szCs w:val="21"/>
        </w:rPr>
        <w:t>分期/分项验收</w:t>
      </w:r>
      <w:r>
        <w:rPr>
          <w:rFonts w:hint="eastAsia" w:ascii="宋体" w:hAnsi="宋体" w:eastAsia="宋体" w:cs="宋体"/>
          <w:bCs/>
          <w:szCs w:val="21"/>
          <w:lang w:eastAsia="zh-CN"/>
        </w:rPr>
        <w:t>：</w:t>
      </w:r>
      <w:r>
        <w:rPr>
          <w:rFonts w:hint="eastAsia" w:ascii="宋体" w:hAnsi="宋体" w:eastAsia="宋体" w:cs="宋体"/>
          <w:bCs/>
          <w:szCs w:val="21"/>
          <w:u w:val="single"/>
        </w:rPr>
        <w:t xml:space="preserve"> </w:t>
      </w:r>
      <w:r>
        <w:rPr>
          <w:rFonts w:hint="eastAsia" w:ascii="宋体" w:hAnsi="宋体" w:eastAsia="宋体" w:cs="宋体"/>
          <w:bCs/>
          <w:szCs w:val="21"/>
          <w:u w:val="single"/>
          <w:lang w:eastAsia="zh-CN"/>
        </w:rPr>
        <w:t>（应明确分期</w:t>
      </w:r>
      <w:r>
        <w:rPr>
          <w:rFonts w:hint="eastAsia" w:ascii="宋体" w:hAnsi="宋体" w:eastAsia="宋体" w:cs="宋体"/>
          <w:bCs/>
          <w:szCs w:val="21"/>
          <w:u w:val="single"/>
          <w:lang w:val="en" w:eastAsia="zh-CN"/>
        </w:rPr>
        <w:t>/分项验收的工作安排</w:t>
      </w:r>
      <w:r>
        <w:rPr>
          <w:rFonts w:hint="eastAsia" w:ascii="宋体" w:hAnsi="宋体" w:eastAsia="宋体" w:cs="宋体"/>
          <w:bCs/>
          <w:szCs w:val="21"/>
          <w:u w:val="single"/>
          <w:lang w:eastAsia="zh-CN"/>
        </w:rPr>
        <w:t>）</w:t>
      </w:r>
      <w:r>
        <w:rPr>
          <w:rFonts w:hint="eastAsia" w:ascii="宋体" w:hAnsi="宋体" w:eastAsia="宋体" w:cs="宋体"/>
          <w:bCs/>
          <w:szCs w:val="21"/>
          <w:u w:val="single"/>
        </w:rPr>
        <w:t xml:space="preserve"> </w:t>
      </w:r>
      <w:r>
        <w:rPr>
          <w:rFonts w:hint="eastAsia" w:ascii="宋体" w:hAnsi="宋体" w:eastAsia="宋体" w:cs="宋体"/>
          <w:bCs/>
          <w:szCs w:val="21"/>
          <w:u w:val="single"/>
          <w:lang w:val="en-US" w:eastAsia="zh-CN"/>
        </w:rPr>
        <w:t xml:space="preserve"> </w:t>
      </w:r>
    </w:p>
    <w:p w14:paraId="38B4855B">
      <w:pPr>
        <w:pageBreakBefore w:val="0"/>
        <w:kinsoku/>
        <w:wordWrap/>
        <w:overflowPunct/>
        <w:topLinePunct w:val="0"/>
        <w:bidi w:val="0"/>
        <w:adjustRightInd w:val="0"/>
        <w:snapToGrid w:val="0"/>
        <w:spacing w:before="0" w:beforeLines="0" w:line="400" w:lineRule="exact"/>
        <w:ind w:left="0" w:leftChars="0" w:firstLine="420" w:firstLineChars="200"/>
        <w:textAlignment w:val="auto"/>
        <w:outlineLvl w:val="9"/>
        <w:rPr>
          <w:rFonts w:hint="eastAsia" w:ascii="宋体" w:hAnsi="宋体" w:eastAsia="宋体" w:cs="宋体"/>
          <w:bCs/>
          <w:szCs w:val="21"/>
        </w:rPr>
      </w:pPr>
      <w:r>
        <w:rPr>
          <w:rFonts w:hint="eastAsia" w:ascii="宋体" w:hAnsi="宋体" w:eastAsia="宋体" w:cs="宋体"/>
          <w:bCs/>
          <w:szCs w:val="21"/>
        </w:rPr>
        <w:t>（4）履约验收程序：</w:t>
      </w:r>
      <w:r>
        <w:rPr>
          <w:rFonts w:hint="eastAsia" w:ascii="宋体" w:hAnsi="宋体" w:eastAsia="宋体" w:cs="宋体"/>
          <w:bCs/>
          <w:szCs w:val="21"/>
          <w:u w:val="single"/>
        </w:rPr>
        <w:t xml:space="preserve"> 本项目严格按照《财政部关于进一步加强政府采购需求和履约验收管理的指导意见》（财库〔2016〕205 号）的要求组织验收，以采购文件技术参数及要求、投标文件技术响应及双方签订合同为准。</w:t>
      </w:r>
    </w:p>
    <w:p w14:paraId="7246006F">
      <w:pPr>
        <w:pageBreakBefore w:val="0"/>
        <w:kinsoku/>
        <w:wordWrap/>
        <w:overflowPunct/>
        <w:topLinePunct w:val="0"/>
        <w:bidi w:val="0"/>
        <w:adjustRightInd w:val="0"/>
        <w:snapToGrid w:val="0"/>
        <w:spacing w:before="0" w:beforeLines="0" w:line="400" w:lineRule="exact"/>
        <w:ind w:left="0" w:leftChars="0" w:firstLine="420" w:firstLineChars="200"/>
        <w:textAlignment w:val="auto"/>
        <w:outlineLvl w:val="9"/>
        <w:rPr>
          <w:rFonts w:hint="eastAsia" w:ascii="宋体" w:hAnsi="宋体" w:eastAsia="宋体" w:cs="宋体"/>
          <w:bCs/>
          <w:szCs w:val="21"/>
          <w:u w:val="single"/>
        </w:rPr>
      </w:pPr>
      <w:r>
        <w:rPr>
          <w:rFonts w:hint="eastAsia" w:ascii="宋体" w:hAnsi="宋体" w:eastAsia="宋体" w:cs="宋体"/>
          <w:bCs/>
          <w:szCs w:val="21"/>
        </w:rPr>
        <w:t>（5）履约验收的内容：</w:t>
      </w:r>
      <w:r>
        <w:rPr>
          <w:rFonts w:hint="eastAsia" w:ascii="宋体" w:hAnsi="宋体" w:eastAsia="宋体" w:cs="宋体"/>
          <w:bCs/>
          <w:szCs w:val="21"/>
          <w:u w:val="single"/>
        </w:rPr>
        <w:t xml:space="preserve"> </w:t>
      </w:r>
      <w:r>
        <w:rPr>
          <w:rFonts w:hint="eastAsia" w:ascii="宋体" w:hAnsi="宋体" w:eastAsia="宋体" w:cs="宋体"/>
          <w:bCs/>
          <w:szCs w:val="21"/>
          <w:u w:val="single"/>
          <w:lang w:eastAsia="zh-CN"/>
        </w:rPr>
        <w:t>包括每一项技术和商务要求的履约情况。</w:t>
      </w:r>
      <w:r>
        <w:rPr>
          <w:rFonts w:hint="eastAsia" w:ascii="宋体" w:hAnsi="宋体" w:eastAsia="宋体" w:cs="宋体"/>
          <w:bCs/>
          <w:szCs w:val="21"/>
          <w:u w:val="single"/>
        </w:rPr>
        <w:t xml:space="preserve">                                      </w:t>
      </w:r>
    </w:p>
    <w:p w14:paraId="02591637">
      <w:pPr>
        <w:pageBreakBefore w:val="0"/>
        <w:kinsoku/>
        <w:wordWrap/>
        <w:overflowPunct/>
        <w:topLinePunct w:val="0"/>
        <w:bidi w:val="0"/>
        <w:adjustRightInd w:val="0"/>
        <w:snapToGrid w:val="0"/>
        <w:spacing w:before="0" w:beforeLines="0" w:line="400" w:lineRule="exact"/>
        <w:ind w:left="0" w:leftChars="0" w:firstLine="420" w:firstLineChars="200"/>
        <w:textAlignment w:val="auto"/>
        <w:outlineLvl w:val="9"/>
        <w:rPr>
          <w:rFonts w:hint="eastAsia" w:ascii="宋体" w:hAnsi="宋体" w:eastAsia="宋体" w:cs="宋体"/>
          <w:bCs/>
          <w:szCs w:val="21"/>
          <w:u w:val="single"/>
        </w:rPr>
      </w:pPr>
      <w:r>
        <w:rPr>
          <w:rFonts w:hint="eastAsia" w:ascii="宋体" w:hAnsi="宋体" w:eastAsia="宋体" w:cs="宋体"/>
          <w:bCs/>
          <w:szCs w:val="21"/>
        </w:rPr>
        <w:t>（6）履约验收标准：</w:t>
      </w:r>
      <w:r>
        <w:rPr>
          <w:rFonts w:hint="eastAsia" w:ascii="宋体" w:hAnsi="宋体" w:eastAsia="宋体" w:cs="宋体"/>
          <w:bCs/>
          <w:szCs w:val="21"/>
          <w:u w:val="single"/>
        </w:rPr>
        <w:t>中标人负责设备的安装和调试，并应于交付设备同时向采购人提供设备的配置清单、产品说明书、出厂合格证等相关证明文件。按国家或行业规定的质量标准验收，中标人承担所需的一切费用。</w:t>
      </w:r>
    </w:p>
    <w:p w14:paraId="7ECF88F7">
      <w:pPr>
        <w:pStyle w:val="290"/>
        <w:pageBreakBefore w:val="0"/>
        <w:kinsoku/>
        <w:wordWrap/>
        <w:overflowPunct/>
        <w:topLinePunct w:val="0"/>
        <w:bidi w:val="0"/>
        <w:spacing w:beforeLines="0"/>
        <w:ind w:left="0" w:leftChars="0"/>
        <w:textAlignment w:val="auto"/>
        <w:outlineLvl w:val="9"/>
        <w:rPr>
          <w:rFonts w:hint="eastAsia" w:ascii="宋体" w:hAnsi="宋体" w:eastAsia="宋体" w:cs="宋体"/>
          <w:sz w:val="21"/>
          <w:lang w:eastAsia="zh-CN"/>
        </w:rPr>
      </w:pPr>
      <w:r>
        <w:rPr>
          <w:rFonts w:hint="eastAsia" w:ascii="宋体" w:hAnsi="宋体" w:eastAsia="宋体" w:cs="宋体"/>
          <w:bCs/>
          <w:sz w:val="21"/>
          <w:szCs w:val="21"/>
          <w:u w:val="none"/>
          <w:lang w:eastAsia="zh-CN"/>
        </w:rPr>
        <w:t>（</w:t>
      </w:r>
      <w:r>
        <w:rPr>
          <w:rFonts w:hint="eastAsia" w:ascii="宋体" w:hAnsi="宋体" w:eastAsia="宋体" w:cs="宋体"/>
          <w:bCs/>
          <w:sz w:val="21"/>
          <w:szCs w:val="21"/>
          <w:u w:val="none"/>
          <w:lang w:val="en-US" w:eastAsia="zh-CN"/>
        </w:rPr>
        <w:t>7</w:t>
      </w:r>
      <w:r>
        <w:rPr>
          <w:rFonts w:hint="eastAsia" w:ascii="宋体" w:hAnsi="宋体" w:eastAsia="宋体" w:cs="宋体"/>
          <w:bCs/>
          <w:sz w:val="21"/>
          <w:szCs w:val="21"/>
          <w:u w:val="none"/>
          <w:lang w:eastAsia="zh-CN"/>
        </w:rPr>
        <w:t>）是否以采购活动中供应商提供的样品作为参考：</w:t>
      </w:r>
      <w:r>
        <w:rPr>
          <w:rFonts w:hint="eastAsia" w:ascii="宋体" w:hAnsi="宋体" w:eastAsia="宋体" w:cs="宋体"/>
          <w:sz w:val="21"/>
          <w:szCs w:val="21"/>
        </w:rPr>
        <w:sym w:font="Wingdings" w:char="00A8"/>
      </w:r>
      <w:r>
        <w:rPr>
          <w:rFonts w:hint="eastAsia" w:ascii="宋体" w:hAnsi="宋体" w:eastAsia="宋体" w:cs="宋体"/>
          <w:bCs/>
          <w:sz w:val="21"/>
          <w:szCs w:val="21"/>
        </w:rPr>
        <w:t xml:space="preserve">是  </w:t>
      </w:r>
      <w:r>
        <w:rPr>
          <w:rFonts w:hint="eastAsia" w:ascii="宋体" w:hAnsi="宋体" w:eastAsia="宋体" w:cs="宋体"/>
          <w:sz w:val="21"/>
          <w:szCs w:val="21"/>
        </w:rPr>
        <w:sym w:font="Wingdings" w:char="00FE"/>
      </w:r>
      <w:r>
        <w:rPr>
          <w:rFonts w:hint="eastAsia" w:ascii="宋体" w:hAnsi="宋体" w:eastAsia="宋体" w:cs="宋体"/>
          <w:bCs/>
          <w:sz w:val="21"/>
          <w:szCs w:val="21"/>
        </w:rPr>
        <w:t>否</w:t>
      </w:r>
    </w:p>
    <w:p w14:paraId="60E886A7">
      <w:pPr>
        <w:pageBreakBefore w:val="0"/>
        <w:kinsoku/>
        <w:wordWrap/>
        <w:overflowPunct/>
        <w:topLinePunct w:val="0"/>
        <w:bidi w:val="0"/>
        <w:adjustRightInd w:val="0"/>
        <w:snapToGrid w:val="0"/>
        <w:spacing w:before="0" w:beforeLines="0" w:line="400" w:lineRule="exact"/>
        <w:ind w:left="0" w:leftChars="0" w:firstLine="420" w:firstLineChars="200"/>
        <w:textAlignment w:val="auto"/>
        <w:outlineLvl w:val="9"/>
        <w:rPr>
          <w:rFonts w:hint="eastAsia" w:ascii="宋体" w:hAnsi="宋体" w:eastAsia="宋体" w:cs="宋体"/>
          <w:bCs/>
          <w:szCs w:val="21"/>
          <w:u w:val="single"/>
        </w:rPr>
      </w:pPr>
      <w:r>
        <w:rPr>
          <w:rFonts w:hint="eastAsia" w:ascii="宋体" w:hAnsi="宋体" w:eastAsia="宋体" w:cs="宋体"/>
          <w:bCs/>
          <w:szCs w:val="21"/>
        </w:rPr>
        <w:t>（8）履约验收其他事项：</w:t>
      </w:r>
      <w:r>
        <w:rPr>
          <w:rFonts w:hint="eastAsia" w:ascii="宋体" w:hAnsi="宋体" w:eastAsia="宋体" w:cs="宋体"/>
          <w:bCs/>
          <w:szCs w:val="21"/>
          <w:u w:val="single"/>
        </w:rPr>
        <w:t xml:space="preserve">    </w:t>
      </w:r>
      <w:r>
        <w:rPr>
          <w:rFonts w:hint="eastAsia" w:ascii="宋体" w:hAnsi="宋体" w:eastAsia="宋体" w:cs="宋体"/>
          <w:bCs/>
          <w:szCs w:val="21"/>
          <w:u w:val="single"/>
          <w:lang w:val="en-US" w:eastAsia="zh-CN"/>
        </w:rPr>
        <w:t>/</w:t>
      </w:r>
      <w:r>
        <w:rPr>
          <w:rFonts w:hint="eastAsia" w:ascii="宋体" w:hAnsi="宋体" w:eastAsia="宋体" w:cs="宋体"/>
          <w:bCs/>
          <w:szCs w:val="21"/>
          <w:u w:val="single"/>
        </w:rPr>
        <w:t xml:space="preserve">   </w:t>
      </w:r>
    </w:p>
    <w:p w14:paraId="3B959A94">
      <w:pPr>
        <w:pageBreakBefore w:val="0"/>
        <w:numPr>
          <w:ilvl w:val="0"/>
          <w:numId w:val="3"/>
        </w:numPr>
        <w:kinsoku/>
        <w:wordWrap/>
        <w:overflowPunct/>
        <w:topLinePunct w:val="0"/>
        <w:bidi w:val="0"/>
        <w:adjustRightInd w:val="0"/>
        <w:snapToGrid w:val="0"/>
        <w:spacing w:before="0" w:beforeLines="0" w:line="400" w:lineRule="exact"/>
        <w:ind w:left="0" w:leftChars="0" w:firstLine="422" w:firstLineChars="200"/>
        <w:textAlignment w:val="auto"/>
        <w:outlineLvl w:val="9"/>
        <w:rPr>
          <w:rFonts w:hint="eastAsia" w:ascii="宋体" w:hAnsi="宋体" w:eastAsia="宋体" w:cs="宋体"/>
          <w:b/>
          <w:szCs w:val="21"/>
        </w:rPr>
      </w:pPr>
      <w:r>
        <w:rPr>
          <w:rFonts w:hint="eastAsia" w:ascii="宋体" w:hAnsi="宋体" w:eastAsia="宋体" w:cs="宋体"/>
          <w:b/>
          <w:szCs w:val="21"/>
        </w:rPr>
        <w:t>违约责任</w:t>
      </w:r>
    </w:p>
    <w:p w14:paraId="25C0BC76">
      <w:pPr>
        <w:pageBreakBefore w:val="0"/>
        <w:kinsoku/>
        <w:wordWrap/>
        <w:overflowPunct/>
        <w:topLinePunct w:val="0"/>
        <w:bidi w:val="0"/>
        <w:adjustRightInd w:val="0"/>
        <w:snapToGrid w:val="0"/>
        <w:spacing w:before="0" w:beforeLines="0" w:line="400" w:lineRule="exact"/>
        <w:ind w:left="0" w:leftChars="0" w:firstLine="420" w:firstLineChars="200"/>
        <w:textAlignment w:val="auto"/>
        <w:outlineLvl w:val="9"/>
        <w:rPr>
          <w:rFonts w:hint="eastAsia" w:ascii="宋体" w:hAnsi="宋体" w:eastAsia="宋体" w:cs="宋体"/>
          <w:szCs w:val="21"/>
        </w:rPr>
      </w:pPr>
      <w:r>
        <w:rPr>
          <w:rFonts w:hint="eastAsia" w:ascii="宋体" w:hAnsi="宋体" w:eastAsia="宋体" w:cs="宋体"/>
          <w:color w:val="auto"/>
          <w:szCs w:val="21"/>
        </w:rPr>
        <w:t>（1）</w:t>
      </w:r>
      <w:r>
        <w:rPr>
          <w:rFonts w:hint="eastAsia" w:ascii="宋体" w:hAnsi="宋体" w:eastAsia="宋体" w:cs="宋体"/>
          <w:szCs w:val="21"/>
        </w:rPr>
        <w:t>双方不履行合同义务或者履行合同义务不符合约定的，应当承担继续履行、采取补救措施或者赔偿损失等违约责任。</w:t>
      </w:r>
    </w:p>
    <w:p w14:paraId="3B0A4635">
      <w:pPr>
        <w:pageBreakBefore w:val="0"/>
        <w:kinsoku/>
        <w:wordWrap/>
        <w:overflowPunct/>
        <w:topLinePunct w:val="0"/>
        <w:bidi w:val="0"/>
        <w:adjustRightInd w:val="0"/>
        <w:snapToGrid w:val="0"/>
        <w:spacing w:before="0" w:beforeLines="0" w:line="400" w:lineRule="exact"/>
        <w:ind w:left="0" w:leftChars="0" w:firstLine="420" w:firstLineChars="200"/>
        <w:textAlignment w:val="auto"/>
        <w:outlineLvl w:val="9"/>
        <w:rPr>
          <w:rFonts w:hint="eastAsia" w:ascii="宋体" w:hAnsi="宋体" w:eastAsia="宋体" w:cs="宋体"/>
          <w:szCs w:val="21"/>
        </w:rPr>
      </w:pPr>
      <w:r>
        <w:rPr>
          <w:rFonts w:hint="eastAsia" w:ascii="宋体" w:hAnsi="宋体" w:eastAsia="宋体" w:cs="宋体"/>
          <w:szCs w:val="21"/>
        </w:rPr>
        <w:t>（</w:t>
      </w:r>
      <w:r>
        <w:rPr>
          <w:rFonts w:hint="eastAsia" w:ascii="宋体" w:hAnsi="宋体" w:eastAsia="宋体" w:cs="宋体"/>
          <w:szCs w:val="21"/>
          <w:lang w:val="en-US" w:eastAsia="zh-CN"/>
        </w:rPr>
        <w:t>2</w:t>
      </w:r>
      <w:r>
        <w:rPr>
          <w:rFonts w:hint="eastAsia" w:ascii="宋体" w:hAnsi="宋体" w:eastAsia="宋体" w:cs="宋体"/>
          <w:szCs w:val="21"/>
        </w:rPr>
        <w:t>）乙方逾期交付货物的，乙方应当按逾期交货总额每日千分之六向甲方支付违约金，由甲方从待付货款中扣除。逾期超过约定日期10个工作日不能交货的，甲方有权解除本合同。乙方因逾期交货或其他违约行为导致甲方解除合同的，乙方应向甲方支付合同总值5%的违约金，</w:t>
      </w:r>
      <w:r>
        <w:rPr>
          <w:rFonts w:hint="eastAsia" w:ascii="宋体" w:hAnsi="宋体" w:eastAsia="宋体" w:cs="宋体"/>
          <w:szCs w:val="21"/>
          <w:lang w:val="en-US" w:eastAsia="zh-CN"/>
        </w:rPr>
        <w:t>并承担因合作终止甲方产生的实际损失（包括逾期损失）。</w:t>
      </w:r>
      <w:r>
        <w:rPr>
          <w:rFonts w:hint="eastAsia" w:ascii="宋体" w:hAnsi="宋体" w:eastAsia="宋体" w:cs="宋体"/>
          <w:szCs w:val="21"/>
        </w:rPr>
        <w:t>如造成甲方损失超过违约金的，超出部分由乙方继续承担赔偿责任。</w:t>
      </w:r>
    </w:p>
    <w:p w14:paraId="775ECA13">
      <w:pPr>
        <w:pageBreakBefore w:val="0"/>
        <w:kinsoku/>
        <w:wordWrap/>
        <w:overflowPunct/>
        <w:topLinePunct w:val="0"/>
        <w:bidi w:val="0"/>
        <w:adjustRightInd w:val="0"/>
        <w:snapToGrid w:val="0"/>
        <w:spacing w:before="0" w:beforeLines="0" w:line="400" w:lineRule="exact"/>
        <w:ind w:left="0" w:leftChars="0" w:firstLine="420" w:firstLineChars="200"/>
        <w:textAlignment w:val="auto"/>
        <w:outlineLvl w:val="9"/>
        <w:rPr>
          <w:rFonts w:hint="eastAsia" w:ascii="宋体" w:hAnsi="宋体" w:eastAsia="宋体" w:cs="宋体"/>
          <w:szCs w:val="21"/>
        </w:rPr>
      </w:pPr>
      <w:r>
        <w:rPr>
          <w:rFonts w:hint="eastAsia" w:ascii="宋体" w:hAnsi="宋体" w:eastAsia="宋体" w:cs="宋体"/>
          <w:color w:val="auto"/>
          <w:szCs w:val="21"/>
        </w:rPr>
        <w:t>（</w:t>
      </w:r>
      <w:r>
        <w:rPr>
          <w:rFonts w:hint="eastAsia" w:ascii="宋体" w:hAnsi="宋体" w:eastAsia="宋体" w:cs="宋体"/>
          <w:color w:val="auto"/>
          <w:szCs w:val="21"/>
          <w:lang w:val="en-US" w:eastAsia="zh-CN"/>
        </w:rPr>
        <w:t>3</w:t>
      </w:r>
      <w:r>
        <w:rPr>
          <w:rFonts w:hint="eastAsia" w:ascii="宋体" w:hAnsi="宋体" w:eastAsia="宋体" w:cs="宋体"/>
          <w:color w:val="auto"/>
          <w:szCs w:val="21"/>
        </w:rPr>
        <w:t>）</w:t>
      </w:r>
      <w:r>
        <w:rPr>
          <w:rFonts w:hint="eastAsia" w:ascii="宋体" w:hAnsi="宋体" w:eastAsia="宋体" w:cs="宋体"/>
          <w:szCs w:val="21"/>
        </w:rPr>
        <w:t>乙方所交的货物品种、型号、规格、技术参数、质量不符合合同约定及招标文件规定标准的，甲方有权拒收该货物，乙方愿意更换货物但逾期交货的，按乙方逾期交货处理。乙方拒绝更换货物的，甲方可单方解除合同。</w:t>
      </w:r>
    </w:p>
    <w:p w14:paraId="11B03C66">
      <w:pPr>
        <w:pageBreakBefore w:val="0"/>
        <w:numPr>
          <w:ilvl w:val="0"/>
          <w:numId w:val="3"/>
        </w:numPr>
        <w:kinsoku/>
        <w:wordWrap/>
        <w:overflowPunct/>
        <w:topLinePunct w:val="0"/>
        <w:bidi w:val="0"/>
        <w:adjustRightInd w:val="0"/>
        <w:snapToGrid w:val="0"/>
        <w:spacing w:before="0" w:beforeLines="0" w:line="400" w:lineRule="exact"/>
        <w:ind w:left="0" w:leftChars="0" w:firstLine="422" w:firstLineChars="200"/>
        <w:textAlignment w:val="auto"/>
        <w:outlineLvl w:val="9"/>
        <w:rPr>
          <w:rFonts w:hint="eastAsia" w:ascii="宋体" w:hAnsi="宋体" w:eastAsia="宋体" w:cs="宋体"/>
          <w:b/>
          <w:szCs w:val="21"/>
        </w:rPr>
      </w:pPr>
      <w:r>
        <w:rPr>
          <w:rFonts w:hint="eastAsia" w:ascii="宋体" w:hAnsi="宋体" w:eastAsia="宋体" w:cs="宋体"/>
          <w:b/>
          <w:szCs w:val="21"/>
        </w:rPr>
        <w:t>组成合同的文件</w:t>
      </w:r>
    </w:p>
    <w:p w14:paraId="6BAB6DBE">
      <w:pPr>
        <w:pageBreakBefore w:val="0"/>
        <w:kinsoku/>
        <w:wordWrap/>
        <w:overflowPunct/>
        <w:topLinePunct w:val="0"/>
        <w:bidi w:val="0"/>
        <w:adjustRightInd w:val="0"/>
        <w:snapToGrid w:val="0"/>
        <w:spacing w:before="0" w:beforeLines="0" w:line="400" w:lineRule="exact"/>
        <w:ind w:left="0" w:leftChars="0" w:firstLine="420" w:firstLineChars="200"/>
        <w:textAlignment w:val="auto"/>
        <w:outlineLvl w:val="9"/>
        <w:rPr>
          <w:rFonts w:hint="eastAsia" w:ascii="宋体" w:hAnsi="宋体" w:eastAsia="宋体" w:cs="宋体"/>
          <w:szCs w:val="21"/>
        </w:rPr>
      </w:pPr>
      <w:r>
        <w:rPr>
          <w:rFonts w:hint="eastAsia" w:ascii="宋体" w:hAnsi="宋体" w:eastAsia="宋体" w:cs="宋体"/>
          <w:szCs w:val="21"/>
        </w:rPr>
        <w:t>本协议书与下列文件一起构成合同文件，具有同等约束力</w:t>
      </w:r>
      <w:r>
        <w:rPr>
          <w:rFonts w:hint="eastAsia" w:ascii="宋体" w:hAnsi="宋体" w:eastAsia="宋体" w:cs="宋体"/>
          <w:szCs w:val="21"/>
          <w:lang w:eastAsia="zh-CN"/>
        </w:rPr>
        <w:t>，</w:t>
      </w:r>
      <w:r>
        <w:rPr>
          <w:rFonts w:hint="eastAsia" w:ascii="宋体" w:hAnsi="宋体" w:eastAsia="宋体" w:cs="宋体"/>
          <w:szCs w:val="21"/>
        </w:rPr>
        <w:t>如下述文件之间有任何抵触、矛盾或歧义，应按以下顺序解释：</w:t>
      </w:r>
    </w:p>
    <w:p w14:paraId="6FC8D857">
      <w:pPr>
        <w:pageBreakBefore w:val="0"/>
        <w:kinsoku/>
        <w:wordWrap/>
        <w:overflowPunct/>
        <w:topLinePunct w:val="0"/>
        <w:bidi w:val="0"/>
        <w:adjustRightInd w:val="0"/>
        <w:snapToGrid w:val="0"/>
        <w:spacing w:before="0" w:beforeLines="0" w:line="400" w:lineRule="exact"/>
        <w:ind w:left="0" w:leftChars="0" w:firstLine="420" w:firstLineChars="200"/>
        <w:textAlignment w:val="auto"/>
        <w:outlineLvl w:val="9"/>
        <w:rPr>
          <w:rFonts w:hint="eastAsia" w:ascii="宋体" w:hAnsi="宋体" w:eastAsia="宋体" w:cs="宋体"/>
          <w:color w:val="auto"/>
          <w:szCs w:val="21"/>
          <w:lang w:eastAsia="zh-CN"/>
        </w:rPr>
      </w:pPr>
      <w:r>
        <w:rPr>
          <w:rFonts w:hint="eastAsia" w:ascii="宋体" w:hAnsi="宋体" w:eastAsia="宋体" w:cs="宋体"/>
          <w:color w:val="auto"/>
          <w:szCs w:val="21"/>
        </w:rPr>
        <w:t>（1）</w:t>
      </w:r>
      <w:r>
        <w:rPr>
          <w:rFonts w:hint="eastAsia" w:ascii="宋体" w:hAnsi="宋体" w:eastAsia="宋体" w:cs="宋体"/>
          <w:color w:val="auto"/>
          <w:szCs w:val="21"/>
          <w:lang w:eastAsia="zh-CN"/>
        </w:rPr>
        <w:t>政府采购</w:t>
      </w:r>
      <w:r>
        <w:rPr>
          <w:rFonts w:hint="eastAsia" w:ascii="宋体" w:hAnsi="宋体" w:eastAsia="宋体" w:cs="宋体"/>
          <w:color w:val="auto"/>
          <w:szCs w:val="21"/>
        </w:rPr>
        <w:t>合同协议书及</w:t>
      </w:r>
      <w:r>
        <w:rPr>
          <w:rFonts w:hint="eastAsia" w:ascii="宋体" w:hAnsi="宋体" w:eastAsia="宋体" w:cs="宋体"/>
          <w:color w:val="auto"/>
          <w:szCs w:val="21"/>
          <w:lang w:val="en-US" w:eastAsia="zh-CN"/>
        </w:rPr>
        <w:t>附件、</w:t>
      </w:r>
      <w:r>
        <w:rPr>
          <w:rFonts w:hint="eastAsia" w:ascii="宋体" w:hAnsi="宋体" w:eastAsia="宋体" w:cs="宋体"/>
          <w:color w:val="auto"/>
          <w:szCs w:val="21"/>
        </w:rPr>
        <w:t>变更</w:t>
      </w:r>
      <w:r>
        <w:rPr>
          <w:rFonts w:hint="eastAsia" w:ascii="宋体" w:hAnsi="宋体" w:eastAsia="宋体" w:cs="宋体"/>
          <w:color w:val="auto"/>
          <w:szCs w:val="21"/>
          <w:lang w:val="en-US" w:eastAsia="zh-CN"/>
        </w:rPr>
        <w:t>协议、</w:t>
      </w:r>
      <w:r>
        <w:rPr>
          <w:rFonts w:hint="eastAsia" w:ascii="宋体" w:hAnsi="宋体" w:eastAsia="宋体" w:cs="宋体"/>
          <w:color w:val="auto"/>
          <w:szCs w:val="21"/>
        </w:rPr>
        <w:t>补充</w:t>
      </w:r>
      <w:r>
        <w:rPr>
          <w:rFonts w:hint="eastAsia" w:ascii="宋体" w:hAnsi="宋体" w:eastAsia="宋体" w:cs="宋体"/>
          <w:color w:val="auto"/>
          <w:szCs w:val="21"/>
          <w:lang w:eastAsia="zh-CN"/>
        </w:rPr>
        <w:t>协议；</w:t>
      </w:r>
    </w:p>
    <w:p w14:paraId="22908CA3">
      <w:pPr>
        <w:pageBreakBefore w:val="0"/>
        <w:kinsoku/>
        <w:wordWrap/>
        <w:overflowPunct/>
        <w:topLinePunct w:val="0"/>
        <w:bidi w:val="0"/>
        <w:adjustRightInd w:val="0"/>
        <w:snapToGrid w:val="0"/>
        <w:spacing w:before="0" w:beforeLines="0" w:line="400" w:lineRule="exact"/>
        <w:ind w:left="0" w:leftChars="0" w:firstLine="420" w:firstLineChars="200"/>
        <w:textAlignment w:val="auto"/>
        <w:outlineLvl w:val="9"/>
        <w:rPr>
          <w:rFonts w:hint="eastAsia" w:ascii="宋体" w:hAnsi="宋体" w:eastAsia="宋体" w:cs="宋体"/>
          <w:szCs w:val="21"/>
          <w:lang w:eastAsia="zh-CN"/>
        </w:rPr>
      </w:pPr>
      <w:r>
        <w:rPr>
          <w:rFonts w:hint="eastAsia" w:ascii="宋体" w:hAnsi="宋体" w:eastAsia="宋体" w:cs="宋体"/>
          <w:szCs w:val="21"/>
        </w:rPr>
        <w:t>（</w:t>
      </w:r>
      <w:r>
        <w:rPr>
          <w:rFonts w:hint="eastAsia" w:ascii="宋体" w:hAnsi="宋体" w:eastAsia="宋体" w:cs="宋体"/>
          <w:szCs w:val="21"/>
          <w:lang w:val="en-US" w:eastAsia="zh-CN"/>
        </w:rPr>
        <w:t>2</w:t>
      </w:r>
      <w:r>
        <w:rPr>
          <w:rFonts w:hint="eastAsia" w:ascii="宋体" w:hAnsi="宋体" w:eastAsia="宋体" w:cs="宋体"/>
          <w:szCs w:val="21"/>
        </w:rPr>
        <w:t>）</w:t>
      </w:r>
      <w:r>
        <w:rPr>
          <w:rFonts w:hint="eastAsia" w:ascii="宋体" w:hAnsi="宋体" w:eastAsia="宋体" w:cs="宋体"/>
          <w:color w:val="auto"/>
          <w:szCs w:val="21"/>
        </w:rPr>
        <w:t>中标通知书</w:t>
      </w:r>
      <w:r>
        <w:rPr>
          <w:rFonts w:hint="eastAsia" w:ascii="宋体" w:hAnsi="宋体" w:eastAsia="宋体" w:cs="宋体"/>
          <w:color w:val="auto"/>
          <w:szCs w:val="21"/>
          <w:lang w:eastAsia="zh-CN"/>
        </w:rPr>
        <w:t>；</w:t>
      </w:r>
    </w:p>
    <w:p w14:paraId="13AE2C4A">
      <w:pPr>
        <w:pageBreakBefore w:val="0"/>
        <w:kinsoku/>
        <w:wordWrap/>
        <w:overflowPunct/>
        <w:topLinePunct w:val="0"/>
        <w:bidi w:val="0"/>
        <w:adjustRightInd w:val="0"/>
        <w:snapToGrid w:val="0"/>
        <w:spacing w:before="0" w:beforeLines="0" w:line="400" w:lineRule="exact"/>
        <w:ind w:left="0" w:leftChars="0" w:firstLine="420" w:firstLineChars="200"/>
        <w:textAlignment w:val="auto"/>
        <w:outlineLvl w:val="9"/>
        <w:rPr>
          <w:rFonts w:hint="eastAsia" w:ascii="宋体" w:hAnsi="宋体" w:eastAsia="宋体" w:cs="宋体"/>
          <w:szCs w:val="21"/>
          <w:lang w:eastAsia="zh-CN"/>
        </w:rPr>
      </w:pPr>
      <w:r>
        <w:rPr>
          <w:rFonts w:hint="eastAsia" w:ascii="宋体" w:hAnsi="宋体" w:eastAsia="宋体" w:cs="宋体"/>
          <w:szCs w:val="21"/>
        </w:rPr>
        <w:t>（</w:t>
      </w:r>
      <w:r>
        <w:rPr>
          <w:rFonts w:hint="eastAsia" w:ascii="宋体" w:hAnsi="宋体" w:eastAsia="宋体" w:cs="宋体"/>
          <w:szCs w:val="21"/>
          <w:lang w:val="en-US" w:eastAsia="zh-CN"/>
        </w:rPr>
        <w:t>3</w:t>
      </w:r>
      <w:r>
        <w:rPr>
          <w:rFonts w:hint="eastAsia" w:ascii="宋体" w:hAnsi="宋体" w:eastAsia="宋体" w:cs="宋体"/>
          <w:szCs w:val="21"/>
        </w:rPr>
        <w:t>）投标文件</w:t>
      </w:r>
      <w:r>
        <w:rPr>
          <w:rFonts w:hint="eastAsia" w:ascii="宋体" w:hAnsi="宋体" w:eastAsia="宋体" w:cs="宋体"/>
          <w:szCs w:val="21"/>
          <w:lang w:eastAsia="zh-CN"/>
        </w:rPr>
        <w:t>；</w:t>
      </w:r>
    </w:p>
    <w:p w14:paraId="3C7588BB">
      <w:pPr>
        <w:pageBreakBefore w:val="0"/>
        <w:kinsoku/>
        <w:wordWrap/>
        <w:overflowPunct/>
        <w:topLinePunct w:val="0"/>
        <w:bidi w:val="0"/>
        <w:adjustRightInd w:val="0"/>
        <w:snapToGrid w:val="0"/>
        <w:spacing w:before="0" w:beforeLines="0" w:line="400" w:lineRule="exact"/>
        <w:ind w:left="0" w:leftChars="0" w:firstLine="420" w:firstLineChars="200"/>
        <w:textAlignment w:val="auto"/>
        <w:outlineLvl w:val="9"/>
        <w:rPr>
          <w:rFonts w:hint="eastAsia" w:ascii="宋体" w:hAnsi="宋体" w:eastAsia="宋体" w:cs="宋体"/>
          <w:color w:val="auto"/>
          <w:szCs w:val="21"/>
          <w:lang w:eastAsia="zh-CN"/>
        </w:rPr>
      </w:pPr>
      <w:r>
        <w:rPr>
          <w:rFonts w:hint="eastAsia" w:ascii="宋体" w:hAnsi="宋体" w:eastAsia="宋体" w:cs="宋体"/>
          <w:color w:val="auto"/>
          <w:szCs w:val="21"/>
        </w:rPr>
        <w:t>（</w:t>
      </w:r>
      <w:r>
        <w:rPr>
          <w:rFonts w:hint="eastAsia" w:ascii="宋体" w:hAnsi="宋体" w:eastAsia="宋体" w:cs="宋体"/>
          <w:color w:val="auto"/>
          <w:szCs w:val="21"/>
          <w:lang w:val="en-US" w:eastAsia="zh-CN"/>
        </w:rPr>
        <w:t>4</w:t>
      </w:r>
      <w:r>
        <w:rPr>
          <w:rFonts w:hint="eastAsia" w:ascii="宋体" w:hAnsi="宋体" w:eastAsia="宋体" w:cs="宋体"/>
          <w:color w:val="auto"/>
          <w:szCs w:val="21"/>
        </w:rPr>
        <w:t>）</w:t>
      </w:r>
      <w:r>
        <w:rPr>
          <w:rFonts w:hint="eastAsia" w:ascii="宋体" w:hAnsi="宋体" w:eastAsia="宋体" w:cs="宋体"/>
          <w:szCs w:val="21"/>
        </w:rPr>
        <w:t>采购文件</w:t>
      </w:r>
      <w:r>
        <w:rPr>
          <w:rFonts w:hint="eastAsia" w:ascii="宋体" w:hAnsi="宋体" w:eastAsia="宋体" w:cs="宋体"/>
          <w:szCs w:val="21"/>
          <w:lang w:eastAsia="zh-CN"/>
        </w:rPr>
        <w:t>；</w:t>
      </w:r>
    </w:p>
    <w:p w14:paraId="27579DF7">
      <w:pPr>
        <w:pageBreakBefore w:val="0"/>
        <w:kinsoku/>
        <w:wordWrap/>
        <w:overflowPunct/>
        <w:topLinePunct w:val="0"/>
        <w:bidi w:val="0"/>
        <w:adjustRightInd w:val="0"/>
        <w:snapToGrid w:val="0"/>
        <w:spacing w:before="0" w:beforeLines="0" w:line="400" w:lineRule="exact"/>
        <w:ind w:left="0" w:leftChars="0" w:firstLine="420" w:firstLineChars="200"/>
        <w:textAlignment w:val="auto"/>
        <w:outlineLvl w:val="9"/>
        <w:rPr>
          <w:rFonts w:hint="eastAsia" w:ascii="宋体" w:hAnsi="宋体" w:eastAsia="宋体" w:cs="宋体"/>
          <w:szCs w:val="21"/>
          <w:lang w:eastAsia="zh-CN"/>
        </w:rPr>
      </w:pPr>
      <w:r>
        <w:rPr>
          <w:rFonts w:hint="eastAsia" w:ascii="宋体" w:hAnsi="宋体" w:eastAsia="宋体" w:cs="宋体"/>
          <w:szCs w:val="21"/>
        </w:rPr>
        <w:t>（</w:t>
      </w:r>
      <w:r>
        <w:rPr>
          <w:rFonts w:hint="eastAsia" w:ascii="宋体" w:hAnsi="宋体" w:eastAsia="宋体" w:cs="宋体"/>
          <w:szCs w:val="21"/>
          <w:lang w:val="en-US" w:eastAsia="zh-CN"/>
        </w:rPr>
        <w:t>5</w:t>
      </w:r>
      <w:r>
        <w:rPr>
          <w:rFonts w:hint="eastAsia" w:ascii="宋体" w:hAnsi="宋体" w:eastAsia="宋体" w:cs="宋体"/>
          <w:szCs w:val="21"/>
        </w:rPr>
        <w:t>）有关技术文件，图纸</w:t>
      </w:r>
      <w:r>
        <w:rPr>
          <w:rFonts w:hint="eastAsia" w:ascii="宋体" w:hAnsi="宋体" w:eastAsia="宋体" w:cs="宋体"/>
          <w:szCs w:val="21"/>
          <w:lang w:eastAsia="zh-CN"/>
        </w:rPr>
        <w:t>；</w:t>
      </w:r>
    </w:p>
    <w:p w14:paraId="5A9D02F1">
      <w:pPr>
        <w:pStyle w:val="290"/>
        <w:pageBreakBefore w:val="0"/>
        <w:kinsoku/>
        <w:wordWrap/>
        <w:overflowPunct/>
        <w:topLinePunct w:val="0"/>
        <w:bidi w:val="0"/>
        <w:spacing w:beforeLines="0"/>
        <w:ind w:left="0" w:leftChars="0"/>
        <w:textAlignment w:val="auto"/>
        <w:outlineLvl w:val="9"/>
        <w:rPr>
          <w:rFonts w:hint="eastAsia" w:ascii="宋体" w:hAnsi="宋体" w:eastAsia="宋体" w:cs="宋体"/>
          <w:kern w:val="2"/>
          <w:sz w:val="21"/>
          <w:highlight w:val="none"/>
          <w:lang w:eastAsia="zh-CN"/>
        </w:rPr>
      </w:pPr>
      <w:r>
        <w:rPr>
          <w:rFonts w:hint="eastAsia" w:ascii="宋体" w:hAnsi="宋体" w:eastAsia="宋体" w:cs="宋体"/>
          <w:kern w:val="2"/>
          <w:sz w:val="21"/>
          <w:szCs w:val="21"/>
          <w:lang w:val="en-US" w:eastAsia="zh-CN" w:bidi="ar-SA"/>
        </w:rPr>
        <w:t>（6）国</w:t>
      </w:r>
      <w:r>
        <w:rPr>
          <w:rFonts w:hint="eastAsia" w:ascii="宋体" w:hAnsi="宋体" w:eastAsia="宋体" w:cs="宋体"/>
          <w:bCs w:val="0"/>
          <w:color w:val="000000"/>
          <w:kern w:val="2"/>
          <w:sz w:val="21"/>
          <w:szCs w:val="21"/>
          <w:highlight w:val="none"/>
          <w:lang w:eastAsia="zh-CN"/>
        </w:rPr>
        <w:t>家法律、行政法规和规章制度规定或合同约定的作为合同组成部分的其他文件。</w:t>
      </w:r>
    </w:p>
    <w:p w14:paraId="7860CEA1">
      <w:pPr>
        <w:pageBreakBefore w:val="0"/>
        <w:numPr>
          <w:ilvl w:val="0"/>
          <w:numId w:val="3"/>
        </w:numPr>
        <w:kinsoku/>
        <w:wordWrap/>
        <w:overflowPunct/>
        <w:topLinePunct w:val="0"/>
        <w:bidi w:val="0"/>
        <w:adjustRightInd w:val="0"/>
        <w:snapToGrid w:val="0"/>
        <w:spacing w:before="0" w:beforeLines="0" w:line="400" w:lineRule="exact"/>
        <w:ind w:left="0" w:leftChars="0" w:firstLine="422" w:firstLineChars="200"/>
        <w:textAlignment w:val="auto"/>
        <w:outlineLvl w:val="9"/>
        <w:rPr>
          <w:rFonts w:hint="eastAsia" w:ascii="宋体" w:hAnsi="宋体" w:eastAsia="宋体" w:cs="宋体"/>
          <w:b/>
          <w:szCs w:val="21"/>
        </w:rPr>
      </w:pPr>
      <w:r>
        <w:rPr>
          <w:rFonts w:hint="eastAsia" w:ascii="宋体" w:hAnsi="宋体" w:eastAsia="宋体" w:cs="宋体"/>
          <w:b/>
          <w:szCs w:val="21"/>
        </w:rPr>
        <w:t>不可抗力</w:t>
      </w:r>
    </w:p>
    <w:p w14:paraId="09F4E6E9">
      <w:pPr>
        <w:pageBreakBefore w:val="0"/>
        <w:kinsoku/>
        <w:wordWrap/>
        <w:overflowPunct/>
        <w:topLinePunct w:val="0"/>
        <w:bidi w:val="0"/>
        <w:adjustRightInd w:val="0"/>
        <w:snapToGrid w:val="0"/>
        <w:spacing w:before="0" w:beforeLines="0" w:line="400" w:lineRule="exact"/>
        <w:ind w:left="0" w:leftChars="0" w:firstLine="420" w:firstLineChars="200"/>
        <w:textAlignment w:val="auto"/>
        <w:outlineLvl w:val="9"/>
        <w:rPr>
          <w:rFonts w:hint="eastAsia"/>
        </w:rPr>
      </w:pPr>
      <w:r>
        <w:rPr>
          <w:rFonts w:hint="eastAsia" w:ascii="宋体" w:hAnsi="宋体" w:eastAsia="宋体" w:cs="宋体"/>
          <w:color w:val="auto"/>
          <w:szCs w:val="21"/>
        </w:rPr>
        <w:t>任何一方由于不可抗力因素影响合同履行时，双方可协商延期履行或解除合同，并避免相应的违约责任。受不可抗力影响的一方，应在事发后（24小时内）及时通知对方，并于事实发生后15天内将有关证明交对方确认。</w:t>
      </w:r>
    </w:p>
    <w:p w14:paraId="1FA52B87">
      <w:pPr>
        <w:pageBreakBefore w:val="0"/>
        <w:numPr>
          <w:ilvl w:val="0"/>
          <w:numId w:val="3"/>
        </w:numPr>
        <w:kinsoku/>
        <w:wordWrap/>
        <w:overflowPunct/>
        <w:topLinePunct w:val="0"/>
        <w:bidi w:val="0"/>
        <w:adjustRightInd w:val="0"/>
        <w:snapToGrid w:val="0"/>
        <w:spacing w:before="0" w:beforeLines="0" w:line="400" w:lineRule="exact"/>
        <w:ind w:left="0" w:leftChars="0" w:firstLine="422" w:firstLineChars="200"/>
        <w:textAlignment w:val="auto"/>
        <w:outlineLvl w:val="9"/>
        <w:rPr>
          <w:rFonts w:hint="eastAsia" w:ascii="宋体" w:hAnsi="宋体" w:eastAsia="宋体" w:cs="宋体"/>
          <w:b/>
          <w:szCs w:val="21"/>
        </w:rPr>
      </w:pPr>
      <w:r>
        <w:rPr>
          <w:rFonts w:hint="eastAsia" w:ascii="宋体" w:hAnsi="宋体" w:eastAsia="宋体" w:cs="宋体"/>
          <w:b/>
          <w:szCs w:val="21"/>
        </w:rPr>
        <w:t>合同生效</w:t>
      </w:r>
    </w:p>
    <w:p w14:paraId="0AF816FE">
      <w:pPr>
        <w:pageBreakBefore w:val="0"/>
        <w:kinsoku/>
        <w:wordWrap/>
        <w:overflowPunct/>
        <w:topLinePunct w:val="0"/>
        <w:bidi w:val="0"/>
        <w:adjustRightInd w:val="0"/>
        <w:snapToGrid w:val="0"/>
        <w:spacing w:before="0" w:beforeLines="0" w:line="400" w:lineRule="exact"/>
        <w:ind w:left="0" w:leftChars="0" w:firstLine="420" w:firstLineChars="200"/>
        <w:textAlignment w:val="auto"/>
        <w:outlineLvl w:val="9"/>
        <w:rPr>
          <w:rFonts w:hint="eastAsia" w:ascii="宋体" w:hAnsi="宋体" w:eastAsia="宋体" w:cs="宋体"/>
          <w:szCs w:val="21"/>
        </w:rPr>
      </w:pPr>
      <w:r>
        <w:rPr>
          <w:rFonts w:hint="eastAsia" w:ascii="宋体" w:hAnsi="宋体" w:eastAsia="宋体" w:cs="宋体"/>
          <w:color w:val="auto"/>
          <w:szCs w:val="21"/>
        </w:rPr>
        <w:t>（1）</w:t>
      </w:r>
      <w:r>
        <w:rPr>
          <w:rFonts w:hint="eastAsia" w:ascii="宋体" w:hAnsi="宋体" w:eastAsia="宋体" w:cs="宋体"/>
          <w:szCs w:val="21"/>
        </w:rPr>
        <w:t>本合同自甲乙双方签字并盖章之日起生效，合同执行期内，双方不可随意变更或解除合同。</w:t>
      </w:r>
    </w:p>
    <w:p w14:paraId="22E50005">
      <w:pPr>
        <w:pageBreakBefore w:val="0"/>
        <w:kinsoku/>
        <w:wordWrap/>
        <w:overflowPunct/>
        <w:topLinePunct w:val="0"/>
        <w:bidi w:val="0"/>
        <w:adjustRightInd w:val="0"/>
        <w:snapToGrid w:val="0"/>
        <w:spacing w:before="0" w:beforeLines="0" w:line="400" w:lineRule="exact"/>
        <w:ind w:left="0" w:leftChars="0" w:firstLine="420" w:firstLineChars="200"/>
        <w:textAlignment w:val="auto"/>
        <w:outlineLvl w:val="9"/>
        <w:rPr>
          <w:rFonts w:hint="eastAsia" w:ascii="宋体" w:hAnsi="宋体" w:eastAsia="宋体" w:cs="宋体"/>
          <w:szCs w:val="21"/>
        </w:rPr>
      </w:pPr>
      <w:r>
        <w:rPr>
          <w:rFonts w:hint="eastAsia" w:ascii="宋体" w:hAnsi="宋体" w:eastAsia="宋体" w:cs="宋体"/>
          <w:szCs w:val="21"/>
        </w:rPr>
        <w:t>（</w:t>
      </w:r>
      <w:r>
        <w:rPr>
          <w:rFonts w:hint="eastAsia" w:ascii="宋体" w:hAnsi="宋体" w:eastAsia="宋体" w:cs="宋体"/>
          <w:szCs w:val="21"/>
          <w:lang w:val="en-US" w:eastAsia="zh-CN"/>
        </w:rPr>
        <w:t>2</w:t>
      </w:r>
      <w:r>
        <w:rPr>
          <w:rFonts w:hint="eastAsia" w:ascii="宋体" w:hAnsi="宋体" w:eastAsia="宋体" w:cs="宋体"/>
          <w:szCs w:val="21"/>
        </w:rPr>
        <w:t>）本合同如有未尽事宜，须经双方</w:t>
      </w:r>
      <w:r>
        <w:rPr>
          <w:rFonts w:hint="eastAsia" w:ascii="宋体" w:hAnsi="宋体" w:eastAsia="宋体" w:cs="宋体"/>
          <w:szCs w:val="21"/>
          <w:lang w:eastAsia="zh-CN"/>
        </w:rPr>
        <w:t>协商</w:t>
      </w:r>
      <w:r>
        <w:rPr>
          <w:rFonts w:hint="eastAsia" w:ascii="宋体" w:hAnsi="宋体" w:eastAsia="宋体" w:cs="宋体"/>
          <w:szCs w:val="21"/>
        </w:rPr>
        <w:t>，</w:t>
      </w:r>
      <w:r>
        <w:rPr>
          <w:rFonts w:hint="eastAsia" w:ascii="宋体" w:hAnsi="宋体" w:eastAsia="宋体" w:cs="宋体"/>
          <w:szCs w:val="21"/>
          <w:lang w:eastAsia="zh-CN"/>
        </w:rPr>
        <w:t>作出</w:t>
      </w:r>
      <w:r>
        <w:rPr>
          <w:rFonts w:hint="eastAsia" w:ascii="宋体" w:hAnsi="宋体" w:eastAsia="宋体" w:cs="宋体"/>
          <w:szCs w:val="21"/>
        </w:rPr>
        <w:t>补充规定，补充规定与本合同具有同等效力。</w:t>
      </w:r>
    </w:p>
    <w:p w14:paraId="027F3FC4">
      <w:pPr>
        <w:pageBreakBefore w:val="0"/>
        <w:kinsoku/>
        <w:wordWrap/>
        <w:overflowPunct/>
        <w:topLinePunct w:val="0"/>
        <w:bidi w:val="0"/>
        <w:adjustRightInd w:val="0"/>
        <w:snapToGrid w:val="0"/>
        <w:spacing w:before="0" w:beforeLines="0" w:line="400" w:lineRule="exact"/>
        <w:ind w:left="0" w:leftChars="0" w:firstLine="420" w:firstLineChars="200"/>
        <w:textAlignment w:val="auto"/>
        <w:outlineLvl w:val="9"/>
        <w:rPr>
          <w:rFonts w:hint="eastAsia" w:ascii="宋体" w:hAnsi="宋体" w:eastAsia="宋体" w:cs="宋体"/>
          <w:szCs w:val="21"/>
        </w:rPr>
      </w:pPr>
      <w:r>
        <w:rPr>
          <w:rFonts w:hint="eastAsia" w:ascii="宋体" w:hAnsi="宋体" w:eastAsia="宋体" w:cs="宋体"/>
          <w:szCs w:val="21"/>
        </w:rPr>
        <w:t>（</w:t>
      </w:r>
      <w:r>
        <w:rPr>
          <w:rFonts w:hint="eastAsia" w:ascii="宋体" w:hAnsi="宋体" w:eastAsia="宋体" w:cs="宋体"/>
          <w:szCs w:val="21"/>
          <w:lang w:val="en-US" w:eastAsia="zh-CN"/>
        </w:rPr>
        <w:t>3</w:t>
      </w:r>
      <w:r>
        <w:rPr>
          <w:rFonts w:hint="eastAsia" w:ascii="宋体" w:hAnsi="宋体" w:eastAsia="宋体" w:cs="宋体"/>
          <w:szCs w:val="21"/>
        </w:rPr>
        <w:t>）发生合同争议双方可以协商解决。协商调解不成，可依法向甲方人民法院起诉。</w:t>
      </w:r>
    </w:p>
    <w:p w14:paraId="7CD69D69">
      <w:pPr>
        <w:pageBreakBefore w:val="0"/>
        <w:numPr>
          <w:ilvl w:val="0"/>
          <w:numId w:val="3"/>
        </w:numPr>
        <w:kinsoku/>
        <w:wordWrap/>
        <w:overflowPunct/>
        <w:topLinePunct w:val="0"/>
        <w:bidi w:val="0"/>
        <w:adjustRightInd w:val="0"/>
        <w:snapToGrid w:val="0"/>
        <w:spacing w:before="0" w:beforeLines="0" w:line="400" w:lineRule="exact"/>
        <w:ind w:left="0" w:leftChars="0" w:firstLine="422" w:firstLineChars="200"/>
        <w:textAlignment w:val="auto"/>
        <w:outlineLvl w:val="9"/>
        <w:rPr>
          <w:rFonts w:hint="eastAsia" w:ascii="宋体" w:hAnsi="宋体" w:eastAsia="宋体" w:cs="宋体"/>
          <w:b/>
          <w:szCs w:val="21"/>
        </w:rPr>
      </w:pPr>
      <w:r>
        <w:rPr>
          <w:rFonts w:hint="eastAsia" w:ascii="宋体" w:hAnsi="宋体" w:eastAsia="宋体" w:cs="宋体"/>
          <w:b/>
          <w:szCs w:val="21"/>
        </w:rPr>
        <w:t>合同份数</w:t>
      </w:r>
    </w:p>
    <w:p w14:paraId="6B587165">
      <w:pPr>
        <w:pageBreakBefore w:val="0"/>
        <w:kinsoku/>
        <w:wordWrap/>
        <w:overflowPunct/>
        <w:topLinePunct w:val="0"/>
        <w:bidi w:val="0"/>
        <w:adjustRightInd w:val="0"/>
        <w:snapToGrid w:val="0"/>
        <w:spacing w:before="0" w:beforeLines="0" w:line="400" w:lineRule="exact"/>
        <w:ind w:left="0" w:leftChars="0" w:firstLine="420" w:firstLineChars="200"/>
        <w:textAlignment w:val="auto"/>
        <w:outlineLvl w:val="9"/>
        <w:rPr>
          <w:rFonts w:hint="eastAsia" w:ascii="宋体" w:hAnsi="宋体" w:eastAsia="宋体" w:cs="宋体"/>
          <w:szCs w:val="21"/>
        </w:rPr>
      </w:pPr>
      <w:r>
        <w:rPr>
          <w:rFonts w:hint="eastAsia" w:ascii="宋体" w:hAnsi="宋体" w:eastAsia="宋体" w:cs="宋体"/>
          <w:szCs w:val="21"/>
        </w:rPr>
        <w:t>本合同一式</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rPr>
        <w:t>份，</w:t>
      </w:r>
      <w:r>
        <w:rPr>
          <w:rFonts w:hint="eastAsia" w:ascii="宋体" w:hAnsi="宋体" w:eastAsia="宋体" w:cs="宋体"/>
          <w:szCs w:val="21"/>
          <w:lang w:eastAsia="zh-CN"/>
        </w:rPr>
        <w:t>甲方</w:t>
      </w:r>
      <w:r>
        <w:rPr>
          <w:rFonts w:hint="eastAsia" w:ascii="宋体" w:hAnsi="宋体" w:eastAsia="宋体" w:cs="宋体"/>
          <w:szCs w:val="21"/>
        </w:rPr>
        <w:t>执</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rPr>
        <w:t>份，</w:t>
      </w:r>
      <w:r>
        <w:rPr>
          <w:rFonts w:hint="eastAsia" w:ascii="宋体" w:hAnsi="宋体" w:eastAsia="宋体" w:cs="宋体"/>
          <w:szCs w:val="21"/>
          <w:lang w:eastAsia="zh-CN"/>
        </w:rPr>
        <w:t>乙方</w:t>
      </w:r>
      <w:r>
        <w:rPr>
          <w:rFonts w:hint="eastAsia" w:ascii="宋体" w:hAnsi="宋体" w:eastAsia="宋体" w:cs="宋体"/>
          <w:szCs w:val="21"/>
        </w:rPr>
        <w:t>执</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u w:val="single"/>
        </w:rPr>
        <w:t xml:space="preserve"> </w:t>
      </w:r>
      <w:r>
        <w:rPr>
          <w:rFonts w:hint="eastAsia" w:ascii="宋体" w:hAnsi="宋体" w:eastAsia="宋体" w:cs="宋体"/>
          <w:szCs w:val="21"/>
        </w:rPr>
        <w:t>份，均具有同等法律效力。</w:t>
      </w:r>
    </w:p>
    <w:p w14:paraId="60847CA2">
      <w:pPr>
        <w:pageBreakBefore w:val="0"/>
        <w:kinsoku/>
        <w:wordWrap/>
        <w:overflowPunct/>
        <w:topLinePunct w:val="0"/>
        <w:bidi w:val="0"/>
        <w:adjustRightInd w:val="0"/>
        <w:snapToGrid w:val="0"/>
        <w:spacing w:before="0" w:beforeLines="0" w:line="400" w:lineRule="exact"/>
        <w:ind w:left="0" w:leftChars="0" w:firstLine="420" w:firstLineChars="200"/>
        <w:textAlignment w:val="auto"/>
        <w:outlineLvl w:val="9"/>
        <w:rPr>
          <w:rFonts w:hint="eastAsia" w:ascii="宋体" w:hAnsi="宋体" w:eastAsia="宋体" w:cs="宋体"/>
          <w:szCs w:val="21"/>
        </w:rPr>
      </w:pPr>
      <w:r>
        <w:rPr>
          <w:rFonts w:hint="eastAsia" w:ascii="宋体" w:hAnsi="宋体" w:eastAsia="宋体" w:cs="宋体"/>
          <w:szCs w:val="21"/>
        </w:rPr>
        <w:t>合同订立时间：</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w:t>
      </w:r>
    </w:p>
    <w:p w14:paraId="6B4C0C15">
      <w:pPr>
        <w:pageBreakBefore w:val="0"/>
        <w:kinsoku/>
        <w:wordWrap/>
        <w:overflowPunct/>
        <w:topLinePunct w:val="0"/>
        <w:bidi w:val="0"/>
        <w:adjustRightInd w:val="0"/>
        <w:snapToGrid w:val="0"/>
        <w:spacing w:before="0" w:beforeLines="0" w:line="400" w:lineRule="exact"/>
        <w:ind w:left="0" w:leftChars="0" w:firstLine="420" w:firstLineChars="200"/>
        <w:textAlignment w:val="auto"/>
        <w:outlineLvl w:val="9"/>
        <w:rPr>
          <w:rFonts w:hint="default" w:ascii="宋体" w:hAnsi="宋体" w:eastAsia="宋体" w:cs="宋体"/>
          <w:szCs w:val="21"/>
          <w:u w:val="single"/>
          <w:lang w:val="en-US" w:eastAsia="zh-CN"/>
        </w:rPr>
      </w:pPr>
      <w:r>
        <w:rPr>
          <w:rFonts w:hint="eastAsia" w:ascii="宋体" w:hAnsi="宋体" w:eastAsia="宋体" w:cs="宋体"/>
          <w:szCs w:val="21"/>
        </w:rPr>
        <w:t>合同订立地点：</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p>
    <w:p w14:paraId="772F3497">
      <w:pPr>
        <w:pStyle w:val="290"/>
        <w:pageBreakBefore w:val="0"/>
        <w:kinsoku/>
        <w:wordWrap/>
        <w:overflowPunct/>
        <w:topLinePunct w:val="0"/>
        <w:bidi w:val="0"/>
        <w:ind w:left="0" w:leftChars="0"/>
        <w:textAlignment w:val="auto"/>
        <w:outlineLvl w:val="9"/>
        <w:rPr>
          <w:rFonts w:hint="eastAsia" w:ascii="宋体" w:hAnsi="宋体" w:eastAsia="宋体" w:cs="宋体"/>
        </w:rPr>
      </w:pPr>
    </w:p>
    <w:p w14:paraId="6DE17283">
      <w:pPr>
        <w:pStyle w:val="291"/>
        <w:pageBreakBefore w:val="0"/>
        <w:kinsoku/>
        <w:wordWrap/>
        <w:overflowPunct/>
        <w:topLinePunct w:val="0"/>
        <w:bidi w:val="0"/>
        <w:spacing w:beforeLines="0" w:line="400" w:lineRule="exact"/>
        <w:ind w:left="0" w:leftChars="0"/>
        <w:textAlignment w:val="auto"/>
        <w:outlineLvl w:val="9"/>
        <w:rPr>
          <w:rFonts w:hint="eastAsia" w:ascii="宋体" w:hAnsi="宋体" w:eastAsia="宋体" w:cs="宋体"/>
        </w:rPr>
      </w:pPr>
    </w:p>
    <w:p w14:paraId="37E8A786">
      <w:pPr>
        <w:pageBreakBefore w:val="0"/>
        <w:kinsoku/>
        <w:wordWrap/>
        <w:overflowPunct/>
        <w:topLinePunct w:val="0"/>
        <w:bidi w:val="0"/>
        <w:spacing w:beforeLines="0" w:line="400" w:lineRule="exact"/>
        <w:ind w:left="0" w:leftChars="0"/>
        <w:textAlignment w:val="auto"/>
        <w:outlineLvl w:val="9"/>
        <w:rPr>
          <w:rFonts w:hint="eastAsia" w:ascii="宋体" w:hAnsi="宋体" w:eastAsia="宋体" w:cs="宋体"/>
          <w:b w:val="0"/>
          <w:bCs w:val="0"/>
          <w:sz w:val="21"/>
          <w:szCs w:val="21"/>
          <w:highlight w:val="none"/>
          <w:lang w:val="en-US" w:eastAsia="zh-CN"/>
        </w:rPr>
      </w:pPr>
      <w:r>
        <w:rPr>
          <w:rFonts w:hint="eastAsia" w:ascii="宋体" w:hAnsi="宋体" w:eastAsia="宋体" w:cs="宋体"/>
          <w:lang w:val="en"/>
        </w:rPr>
        <w:t xml:space="preserve">   </w:t>
      </w:r>
    </w:p>
    <w:p w14:paraId="1BDFE425">
      <w:pPr>
        <w:pageBreakBefore w:val="0"/>
        <w:kinsoku/>
        <w:wordWrap/>
        <w:overflowPunct/>
        <w:topLinePunct w:val="0"/>
        <w:bidi w:val="0"/>
        <w:ind w:left="0" w:leftChars="0"/>
        <w:textAlignment w:val="auto"/>
        <w:outlineLvl w:val="9"/>
        <w:rPr>
          <w:rFonts w:hint="eastAsia" w:ascii="宋体" w:hAnsi="宋体" w:eastAsia="宋体" w:cs="宋体"/>
        </w:rPr>
      </w:pPr>
      <w:r>
        <w:rPr>
          <w:rFonts w:hint="eastAsia" w:ascii="宋体" w:hAnsi="宋体" w:eastAsia="宋体" w:cs="宋体"/>
        </w:rPr>
        <w:br w:type="page"/>
      </w:r>
    </w:p>
    <w:p w14:paraId="38DC271F">
      <w:pPr>
        <w:pStyle w:val="291"/>
        <w:pageBreakBefore w:val="0"/>
        <w:kinsoku/>
        <w:wordWrap/>
        <w:overflowPunct/>
        <w:topLinePunct w:val="0"/>
        <w:bidi w:val="0"/>
        <w:ind w:left="0" w:leftChars="0"/>
        <w:textAlignment w:val="auto"/>
        <w:outlineLvl w:val="9"/>
        <w:rPr>
          <w:rFonts w:hint="eastAsia" w:ascii="宋体" w:hAnsi="宋体" w:eastAsia="宋体" w:cs="宋体"/>
        </w:rPr>
      </w:pPr>
    </w:p>
    <w:tbl>
      <w:tblPr>
        <w:tblStyle w:val="47"/>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2209"/>
        <w:gridCol w:w="2820"/>
        <w:gridCol w:w="2313"/>
        <w:gridCol w:w="2475"/>
      </w:tblGrid>
      <w:tr w14:paraId="7515456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561" w:type="pct"/>
            <w:gridSpan w:val="2"/>
            <w:tcBorders>
              <w:bottom w:val="single" w:color="auto" w:sz="2" w:space="0"/>
              <w:right w:val="single" w:color="auto" w:sz="2" w:space="0"/>
            </w:tcBorders>
            <w:noWrap w:val="0"/>
            <w:vAlign w:val="center"/>
          </w:tcPr>
          <w:p w14:paraId="64434F0E">
            <w:pPr>
              <w:pageBreakBefore w:val="0"/>
              <w:kinsoku/>
              <w:wordWrap/>
              <w:overflowPunct/>
              <w:topLinePunct w:val="0"/>
              <w:bidi w:val="0"/>
              <w:adjustRightInd w:val="0"/>
              <w:snapToGrid w:val="0"/>
              <w:spacing w:line="300" w:lineRule="exact"/>
              <w:ind w:left="0" w:leftChars="0"/>
              <w:jc w:val="center"/>
              <w:textAlignment w:val="auto"/>
              <w:outlineLvl w:val="9"/>
              <w:rPr>
                <w:rFonts w:hint="eastAsia" w:ascii="宋体" w:hAnsi="宋体" w:eastAsia="宋体" w:cs="宋体"/>
              </w:rPr>
            </w:pPr>
            <w:r>
              <w:rPr>
                <w:rFonts w:hint="eastAsia" w:ascii="宋体" w:hAnsi="宋体" w:eastAsia="宋体" w:cs="宋体"/>
                <w:szCs w:val="21"/>
              </w:rPr>
              <w:t>甲方（（采购人、受采购人委托签订合同的单位或采购文件约定的合同甲方）</w:t>
            </w:r>
          </w:p>
        </w:tc>
        <w:tc>
          <w:tcPr>
            <w:tcW w:w="2438" w:type="pct"/>
            <w:gridSpan w:val="2"/>
            <w:tcBorders>
              <w:left w:val="single" w:color="auto" w:sz="2" w:space="0"/>
              <w:bottom w:val="single" w:color="auto" w:sz="2" w:space="0"/>
            </w:tcBorders>
            <w:noWrap w:val="0"/>
            <w:vAlign w:val="center"/>
          </w:tcPr>
          <w:p w14:paraId="7EF62229">
            <w:pPr>
              <w:pageBreakBefore w:val="0"/>
              <w:kinsoku/>
              <w:wordWrap/>
              <w:overflowPunct/>
              <w:topLinePunct w:val="0"/>
              <w:bidi w:val="0"/>
              <w:adjustRightInd w:val="0"/>
              <w:snapToGrid w:val="0"/>
              <w:spacing w:line="300" w:lineRule="exact"/>
              <w:ind w:left="0" w:leftChars="0"/>
              <w:jc w:val="center"/>
              <w:textAlignment w:val="auto"/>
              <w:outlineLvl w:val="9"/>
              <w:rPr>
                <w:rFonts w:hint="eastAsia" w:ascii="宋体" w:hAnsi="宋体" w:eastAsia="宋体" w:cs="宋体"/>
              </w:rPr>
            </w:pPr>
            <w:r>
              <w:rPr>
                <w:rFonts w:hint="eastAsia" w:ascii="宋体" w:hAnsi="宋体" w:eastAsia="宋体" w:cs="宋体"/>
                <w:szCs w:val="21"/>
              </w:rPr>
              <w:t>乙方（供应商）</w:t>
            </w:r>
          </w:p>
        </w:tc>
      </w:tr>
      <w:tr w14:paraId="3EE72E7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125" w:type="pct"/>
            <w:tcBorders>
              <w:top w:val="single" w:color="auto" w:sz="2" w:space="0"/>
              <w:bottom w:val="single" w:color="auto" w:sz="2" w:space="0"/>
              <w:right w:val="single" w:color="auto" w:sz="2" w:space="0"/>
            </w:tcBorders>
            <w:noWrap w:val="0"/>
            <w:vAlign w:val="center"/>
          </w:tcPr>
          <w:p w14:paraId="2038F7BE">
            <w:pPr>
              <w:pageBreakBefore w:val="0"/>
              <w:kinsoku/>
              <w:wordWrap/>
              <w:overflowPunct/>
              <w:topLinePunct w:val="0"/>
              <w:bidi w:val="0"/>
              <w:adjustRightInd w:val="0"/>
              <w:snapToGrid w:val="0"/>
              <w:spacing w:line="300" w:lineRule="exact"/>
              <w:ind w:left="0" w:leftChars="0"/>
              <w:jc w:val="center"/>
              <w:textAlignment w:val="auto"/>
              <w:outlineLvl w:val="9"/>
              <w:rPr>
                <w:rFonts w:hint="eastAsia" w:ascii="宋体" w:hAnsi="宋体" w:eastAsia="宋体" w:cs="宋体"/>
                <w:szCs w:val="21"/>
              </w:rPr>
            </w:pPr>
            <w:r>
              <w:rPr>
                <w:rFonts w:hint="eastAsia" w:ascii="宋体" w:hAnsi="宋体" w:eastAsia="宋体" w:cs="宋体"/>
                <w:szCs w:val="21"/>
              </w:rPr>
              <w:t>单位名称（公章</w:t>
            </w:r>
            <w:r>
              <w:rPr>
                <w:rFonts w:hint="eastAsia" w:ascii="宋体" w:hAnsi="宋体" w:eastAsia="宋体" w:cs="宋体"/>
                <w:szCs w:val="21"/>
                <w:lang w:eastAsia="zh-CN"/>
              </w:rPr>
              <w:t>或合同章</w:t>
            </w:r>
            <w:r>
              <w:rPr>
                <w:rFonts w:hint="eastAsia" w:ascii="宋体" w:hAnsi="宋体" w:eastAsia="宋体" w:cs="宋体"/>
                <w:szCs w:val="21"/>
              </w:rPr>
              <w:t>）</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35EEB150">
            <w:pPr>
              <w:pageBreakBefore w:val="0"/>
              <w:kinsoku/>
              <w:wordWrap/>
              <w:overflowPunct/>
              <w:topLinePunct w:val="0"/>
              <w:bidi w:val="0"/>
              <w:adjustRightInd w:val="0"/>
              <w:snapToGrid w:val="0"/>
              <w:spacing w:line="300" w:lineRule="exact"/>
              <w:ind w:left="0" w:leftChars="0"/>
              <w:jc w:val="center"/>
              <w:textAlignment w:val="auto"/>
              <w:outlineLvl w:val="9"/>
              <w:rPr>
                <w:rFonts w:hint="eastAsia" w:ascii="宋体" w:hAnsi="宋体" w:eastAsia="宋体" w:cs="宋体"/>
                <w:szCs w:val="21"/>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63D89A60">
            <w:pPr>
              <w:pageBreakBefore w:val="0"/>
              <w:kinsoku/>
              <w:wordWrap/>
              <w:overflowPunct/>
              <w:topLinePunct w:val="0"/>
              <w:bidi w:val="0"/>
              <w:adjustRightInd w:val="0"/>
              <w:snapToGrid w:val="0"/>
              <w:spacing w:line="300" w:lineRule="exact"/>
              <w:ind w:left="0" w:leftChars="0"/>
              <w:jc w:val="center"/>
              <w:textAlignment w:val="auto"/>
              <w:outlineLvl w:val="9"/>
              <w:rPr>
                <w:rFonts w:hint="eastAsia" w:ascii="宋体" w:hAnsi="宋体" w:eastAsia="宋体" w:cs="宋体"/>
                <w:szCs w:val="21"/>
              </w:rPr>
            </w:pPr>
            <w:r>
              <w:rPr>
                <w:rFonts w:hint="eastAsia" w:ascii="宋体" w:hAnsi="宋体" w:eastAsia="宋体" w:cs="宋体"/>
                <w:szCs w:val="21"/>
              </w:rPr>
              <w:t>单位名称（公章</w:t>
            </w:r>
            <w:r>
              <w:rPr>
                <w:rFonts w:hint="eastAsia" w:ascii="宋体" w:hAnsi="宋体" w:eastAsia="宋体" w:cs="宋体"/>
                <w:szCs w:val="21"/>
                <w:lang w:eastAsia="zh-CN"/>
              </w:rPr>
              <w:t>或合同章</w:t>
            </w:r>
            <w:r>
              <w:rPr>
                <w:rFonts w:hint="eastAsia" w:ascii="宋体" w:hAnsi="宋体" w:eastAsia="宋体" w:cs="宋体"/>
                <w:szCs w:val="21"/>
              </w:rPr>
              <w:t>）</w:t>
            </w:r>
          </w:p>
        </w:tc>
        <w:tc>
          <w:tcPr>
            <w:tcW w:w="1259" w:type="pct"/>
            <w:tcBorders>
              <w:top w:val="single" w:color="auto" w:sz="2" w:space="0"/>
              <w:left w:val="single" w:color="auto" w:sz="2" w:space="0"/>
              <w:bottom w:val="single" w:color="auto" w:sz="2" w:space="0"/>
            </w:tcBorders>
            <w:noWrap w:val="0"/>
            <w:vAlign w:val="center"/>
          </w:tcPr>
          <w:p w14:paraId="53BCF877">
            <w:pPr>
              <w:pageBreakBefore w:val="0"/>
              <w:kinsoku/>
              <w:wordWrap/>
              <w:overflowPunct/>
              <w:topLinePunct w:val="0"/>
              <w:bidi w:val="0"/>
              <w:adjustRightInd w:val="0"/>
              <w:snapToGrid w:val="0"/>
              <w:spacing w:line="300" w:lineRule="exact"/>
              <w:ind w:left="0" w:leftChars="0"/>
              <w:jc w:val="center"/>
              <w:textAlignment w:val="auto"/>
              <w:outlineLvl w:val="9"/>
              <w:rPr>
                <w:rFonts w:hint="eastAsia" w:ascii="宋体" w:hAnsi="宋体" w:eastAsia="宋体" w:cs="宋体"/>
                <w:spacing w:val="20"/>
                <w:szCs w:val="21"/>
              </w:rPr>
            </w:pPr>
          </w:p>
        </w:tc>
      </w:tr>
      <w:tr w14:paraId="3A0AC57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125" w:type="pct"/>
            <w:vMerge w:val="restart"/>
            <w:tcBorders>
              <w:top w:val="single" w:color="auto" w:sz="2" w:space="0"/>
              <w:right w:val="single" w:color="auto" w:sz="2" w:space="0"/>
            </w:tcBorders>
            <w:noWrap w:val="0"/>
            <w:vAlign w:val="center"/>
          </w:tcPr>
          <w:p w14:paraId="319A0B4C">
            <w:pPr>
              <w:pageBreakBefore w:val="0"/>
              <w:kinsoku/>
              <w:wordWrap/>
              <w:overflowPunct/>
              <w:topLinePunct w:val="0"/>
              <w:bidi w:val="0"/>
              <w:adjustRightInd w:val="0"/>
              <w:snapToGrid w:val="0"/>
              <w:spacing w:line="300" w:lineRule="exact"/>
              <w:ind w:left="0" w:leftChars="0"/>
              <w:jc w:val="center"/>
              <w:textAlignment w:val="auto"/>
              <w:outlineLvl w:val="9"/>
              <w:rPr>
                <w:rFonts w:hint="eastAsia" w:ascii="宋体" w:hAnsi="宋体" w:eastAsia="宋体" w:cs="宋体"/>
                <w:szCs w:val="21"/>
              </w:rPr>
            </w:pPr>
            <w:r>
              <w:rPr>
                <w:rFonts w:hint="eastAsia" w:ascii="宋体" w:hAnsi="宋体" w:eastAsia="宋体" w:cs="宋体"/>
                <w:szCs w:val="21"/>
              </w:rPr>
              <w:t>法定代表人</w:t>
            </w:r>
          </w:p>
          <w:p w14:paraId="776F1B03">
            <w:pPr>
              <w:pageBreakBefore w:val="0"/>
              <w:kinsoku/>
              <w:wordWrap/>
              <w:overflowPunct/>
              <w:topLinePunct w:val="0"/>
              <w:bidi w:val="0"/>
              <w:adjustRightInd w:val="0"/>
              <w:snapToGrid w:val="0"/>
              <w:spacing w:line="300" w:lineRule="exact"/>
              <w:ind w:left="0" w:leftChars="0" w:firstLine="100" w:firstLineChars="48"/>
              <w:jc w:val="center"/>
              <w:textAlignment w:val="auto"/>
              <w:outlineLvl w:val="9"/>
              <w:rPr>
                <w:rFonts w:hint="eastAsia" w:ascii="宋体" w:hAnsi="宋体" w:eastAsia="宋体" w:cs="宋体"/>
                <w:szCs w:val="21"/>
              </w:rPr>
            </w:pPr>
            <w:r>
              <w:rPr>
                <w:rFonts w:hint="eastAsia" w:ascii="宋体" w:hAnsi="宋体" w:eastAsia="宋体" w:cs="宋体"/>
                <w:szCs w:val="21"/>
              </w:rPr>
              <w:t>或其委托代理人（签章）</w:t>
            </w:r>
          </w:p>
        </w:tc>
        <w:tc>
          <w:tcPr>
            <w:tcW w:w="1436" w:type="pct"/>
            <w:vMerge w:val="restart"/>
            <w:tcBorders>
              <w:top w:val="single" w:color="auto" w:sz="2" w:space="0"/>
              <w:left w:val="single" w:color="auto" w:sz="2" w:space="0"/>
              <w:right w:val="single" w:color="auto" w:sz="2" w:space="0"/>
            </w:tcBorders>
            <w:noWrap w:val="0"/>
            <w:vAlign w:val="center"/>
          </w:tcPr>
          <w:p w14:paraId="2E78C51A">
            <w:pPr>
              <w:pageBreakBefore w:val="0"/>
              <w:kinsoku/>
              <w:wordWrap/>
              <w:overflowPunct/>
              <w:topLinePunct w:val="0"/>
              <w:bidi w:val="0"/>
              <w:adjustRightInd w:val="0"/>
              <w:snapToGrid w:val="0"/>
              <w:spacing w:line="300" w:lineRule="exact"/>
              <w:ind w:left="0" w:leftChars="0"/>
              <w:jc w:val="center"/>
              <w:textAlignment w:val="auto"/>
              <w:outlineLvl w:val="9"/>
              <w:rPr>
                <w:rFonts w:hint="eastAsia" w:ascii="宋体" w:hAnsi="宋体" w:eastAsia="宋体" w:cs="宋体"/>
                <w:szCs w:val="21"/>
              </w:rPr>
            </w:pPr>
          </w:p>
        </w:tc>
        <w:tc>
          <w:tcPr>
            <w:tcW w:w="1178" w:type="pct"/>
            <w:tcBorders>
              <w:top w:val="single" w:color="auto" w:sz="2" w:space="0"/>
              <w:left w:val="single" w:color="auto" w:sz="2" w:space="0"/>
              <w:right w:val="single" w:color="auto" w:sz="2" w:space="0"/>
            </w:tcBorders>
            <w:noWrap w:val="0"/>
            <w:vAlign w:val="center"/>
          </w:tcPr>
          <w:p w14:paraId="3DFA5062">
            <w:pPr>
              <w:pageBreakBefore w:val="0"/>
              <w:kinsoku/>
              <w:wordWrap/>
              <w:overflowPunct/>
              <w:topLinePunct w:val="0"/>
              <w:bidi w:val="0"/>
              <w:adjustRightInd w:val="0"/>
              <w:snapToGrid w:val="0"/>
              <w:spacing w:line="300" w:lineRule="exact"/>
              <w:ind w:left="0" w:leftChars="0"/>
              <w:jc w:val="center"/>
              <w:textAlignment w:val="auto"/>
              <w:outlineLvl w:val="9"/>
              <w:rPr>
                <w:rFonts w:hint="eastAsia" w:ascii="宋体" w:hAnsi="宋体" w:eastAsia="宋体" w:cs="宋体"/>
                <w:szCs w:val="21"/>
              </w:rPr>
            </w:pPr>
            <w:r>
              <w:rPr>
                <w:rFonts w:hint="eastAsia" w:ascii="宋体" w:hAnsi="宋体" w:eastAsia="宋体" w:cs="宋体"/>
                <w:szCs w:val="21"/>
              </w:rPr>
              <w:t>法定代表人</w:t>
            </w:r>
          </w:p>
          <w:p w14:paraId="742EAD54">
            <w:pPr>
              <w:pageBreakBefore w:val="0"/>
              <w:kinsoku/>
              <w:wordWrap/>
              <w:overflowPunct/>
              <w:topLinePunct w:val="0"/>
              <w:bidi w:val="0"/>
              <w:adjustRightInd w:val="0"/>
              <w:snapToGrid w:val="0"/>
              <w:spacing w:line="300" w:lineRule="exact"/>
              <w:ind w:left="0" w:leftChars="0"/>
              <w:jc w:val="center"/>
              <w:textAlignment w:val="auto"/>
              <w:outlineLvl w:val="9"/>
              <w:rPr>
                <w:rFonts w:hint="eastAsia" w:ascii="宋体" w:hAnsi="宋体" w:eastAsia="宋体" w:cs="宋体"/>
                <w:szCs w:val="21"/>
              </w:rPr>
            </w:pPr>
            <w:r>
              <w:rPr>
                <w:rFonts w:hint="eastAsia" w:ascii="宋体" w:hAnsi="宋体" w:eastAsia="宋体" w:cs="宋体"/>
                <w:szCs w:val="21"/>
              </w:rPr>
              <w:t>或其委托代理人（签章）</w:t>
            </w:r>
          </w:p>
        </w:tc>
        <w:tc>
          <w:tcPr>
            <w:tcW w:w="1259" w:type="pct"/>
            <w:tcBorders>
              <w:top w:val="single" w:color="auto" w:sz="2" w:space="0"/>
              <w:left w:val="single" w:color="auto" w:sz="2" w:space="0"/>
              <w:bottom w:val="single" w:color="auto" w:sz="2" w:space="0"/>
            </w:tcBorders>
            <w:noWrap w:val="0"/>
            <w:vAlign w:val="center"/>
          </w:tcPr>
          <w:p w14:paraId="0F91DFC8">
            <w:pPr>
              <w:pageBreakBefore w:val="0"/>
              <w:kinsoku/>
              <w:wordWrap/>
              <w:overflowPunct/>
              <w:topLinePunct w:val="0"/>
              <w:bidi w:val="0"/>
              <w:adjustRightInd w:val="0"/>
              <w:snapToGrid w:val="0"/>
              <w:spacing w:line="300" w:lineRule="exact"/>
              <w:ind w:left="0" w:leftChars="0"/>
              <w:jc w:val="center"/>
              <w:textAlignment w:val="auto"/>
              <w:outlineLvl w:val="9"/>
              <w:rPr>
                <w:rFonts w:hint="eastAsia" w:ascii="宋体" w:hAnsi="宋体" w:eastAsia="宋体" w:cs="宋体"/>
                <w:szCs w:val="21"/>
              </w:rPr>
            </w:pPr>
          </w:p>
        </w:tc>
      </w:tr>
      <w:tr w14:paraId="7746DF5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5" w:type="pct"/>
            <w:vMerge w:val="continue"/>
            <w:tcBorders>
              <w:bottom w:val="single" w:color="auto" w:sz="2" w:space="0"/>
              <w:right w:val="single" w:color="auto" w:sz="2" w:space="0"/>
            </w:tcBorders>
            <w:noWrap w:val="0"/>
            <w:vAlign w:val="center"/>
          </w:tcPr>
          <w:p w14:paraId="12D743E2">
            <w:pPr>
              <w:pageBreakBefore w:val="0"/>
              <w:kinsoku/>
              <w:wordWrap/>
              <w:overflowPunct/>
              <w:topLinePunct w:val="0"/>
              <w:bidi w:val="0"/>
              <w:adjustRightInd w:val="0"/>
              <w:snapToGrid w:val="0"/>
              <w:spacing w:line="300" w:lineRule="exact"/>
              <w:ind w:left="0" w:leftChars="0"/>
              <w:jc w:val="center"/>
              <w:textAlignment w:val="auto"/>
              <w:outlineLvl w:val="9"/>
              <w:rPr>
                <w:rFonts w:hint="eastAsia" w:ascii="宋体" w:hAnsi="宋体" w:eastAsia="宋体" w:cs="宋体"/>
                <w:szCs w:val="21"/>
              </w:rPr>
            </w:pPr>
          </w:p>
        </w:tc>
        <w:tc>
          <w:tcPr>
            <w:tcW w:w="1436" w:type="pct"/>
            <w:vMerge w:val="continue"/>
            <w:tcBorders>
              <w:left w:val="single" w:color="auto" w:sz="2" w:space="0"/>
              <w:bottom w:val="single" w:color="auto" w:sz="2" w:space="0"/>
              <w:right w:val="single" w:color="auto" w:sz="2" w:space="0"/>
            </w:tcBorders>
            <w:noWrap w:val="0"/>
            <w:vAlign w:val="center"/>
          </w:tcPr>
          <w:p w14:paraId="27D08CC2">
            <w:pPr>
              <w:pageBreakBefore w:val="0"/>
              <w:kinsoku/>
              <w:wordWrap/>
              <w:overflowPunct/>
              <w:topLinePunct w:val="0"/>
              <w:bidi w:val="0"/>
              <w:adjustRightInd w:val="0"/>
              <w:snapToGrid w:val="0"/>
              <w:spacing w:line="300" w:lineRule="exact"/>
              <w:ind w:left="0" w:leftChars="0"/>
              <w:jc w:val="center"/>
              <w:textAlignment w:val="auto"/>
              <w:outlineLvl w:val="9"/>
              <w:rPr>
                <w:rFonts w:hint="eastAsia" w:ascii="宋体" w:hAnsi="宋体" w:eastAsia="宋体" w:cs="宋体"/>
                <w:szCs w:val="21"/>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4D5FF010">
            <w:pPr>
              <w:pageBreakBefore w:val="0"/>
              <w:kinsoku/>
              <w:wordWrap/>
              <w:overflowPunct/>
              <w:topLinePunct w:val="0"/>
              <w:bidi w:val="0"/>
              <w:adjustRightInd w:val="0"/>
              <w:snapToGrid w:val="0"/>
              <w:spacing w:line="300" w:lineRule="exact"/>
              <w:ind w:left="0" w:leftChars="0"/>
              <w:jc w:val="center"/>
              <w:textAlignment w:val="auto"/>
              <w:outlineLvl w:val="9"/>
              <w:rPr>
                <w:rFonts w:hint="eastAsia" w:ascii="宋体" w:hAnsi="宋体" w:eastAsia="宋体" w:cs="宋体"/>
                <w:szCs w:val="21"/>
                <w:lang w:eastAsia="zh-CN"/>
              </w:rPr>
            </w:pPr>
            <w:r>
              <w:rPr>
                <w:rFonts w:hint="eastAsia" w:ascii="宋体" w:hAnsi="宋体" w:eastAsia="宋体" w:cs="宋体"/>
                <w:szCs w:val="21"/>
                <w:lang w:eastAsia="zh-CN"/>
              </w:rPr>
              <w:t>拥有者性别</w:t>
            </w:r>
          </w:p>
        </w:tc>
        <w:tc>
          <w:tcPr>
            <w:tcW w:w="1259" w:type="pct"/>
            <w:tcBorders>
              <w:top w:val="single" w:color="auto" w:sz="2" w:space="0"/>
              <w:left w:val="single" w:color="auto" w:sz="2" w:space="0"/>
              <w:bottom w:val="single" w:color="auto" w:sz="2" w:space="0"/>
            </w:tcBorders>
            <w:noWrap w:val="0"/>
            <w:vAlign w:val="center"/>
          </w:tcPr>
          <w:p w14:paraId="7F135E98">
            <w:pPr>
              <w:pageBreakBefore w:val="0"/>
              <w:kinsoku/>
              <w:wordWrap/>
              <w:overflowPunct/>
              <w:topLinePunct w:val="0"/>
              <w:bidi w:val="0"/>
              <w:adjustRightInd w:val="0"/>
              <w:snapToGrid w:val="0"/>
              <w:spacing w:line="300" w:lineRule="exact"/>
              <w:ind w:left="0" w:leftChars="0"/>
              <w:jc w:val="center"/>
              <w:textAlignment w:val="auto"/>
              <w:outlineLvl w:val="9"/>
              <w:rPr>
                <w:rFonts w:hint="eastAsia" w:ascii="宋体" w:hAnsi="宋体" w:eastAsia="宋体" w:cs="宋体"/>
                <w:spacing w:val="20"/>
                <w:szCs w:val="21"/>
              </w:rPr>
            </w:pPr>
          </w:p>
        </w:tc>
      </w:tr>
      <w:tr w14:paraId="2E75F02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5" w:type="pct"/>
            <w:tcBorders>
              <w:top w:val="single" w:color="auto" w:sz="2" w:space="0"/>
              <w:bottom w:val="single" w:color="auto" w:sz="2" w:space="0"/>
              <w:right w:val="single" w:color="auto" w:sz="2" w:space="0"/>
            </w:tcBorders>
            <w:noWrap w:val="0"/>
            <w:vAlign w:val="center"/>
          </w:tcPr>
          <w:p w14:paraId="56C230C6">
            <w:pPr>
              <w:pageBreakBefore w:val="0"/>
              <w:kinsoku/>
              <w:wordWrap/>
              <w:overflowPunct/>
              <w:topLinePunct w:val="0"/>
              <w:bidi w:val="0"/>
              <w:adjustRightInd w:val="0"/>
              <w:snapToGrid w:val="0"/>
              <w:spacing w:line="300" w:lineRule="exact"/>
              <w:ind w:left="0" w:leftChars="0"/>
              <w:jc w:val="center"/>
              <w:textAlignment w:val="auto"/>
              <w:outlineLvl w:val="9"/>
              <w:rPr>
                <w:rFonts w:hint="eastAsia" w:ascii="宋体" w:hAnsi="宋体" w:eastAsia="宋体" w:cs="宋体"/>
                <w:szCs w:val="21"/>
                <w:lang w:eastAsia="zh-CN"/>
              </w:rPr>
            </w:pPr>
            <w:r>
              <w:rPr>
                <w:rFonts w:hint="eastAsia" w:ascii="宋体" w:hAnsi="宋体" w:eastAsia="宋体" w:cs="宋体"/>
                <w:szCs w:val="21"/>
                <w:lang w:eastAsia="zh-CN"/>
              </w:rPr>
              <w:t>住</w:t>
            </w:r>
            <w:r>
              <w:rPr>
                <w:rFonts w:hint="eastAsia" w:ascii="宋体" w:hAnsi="宋体" w:eastAsia="宋体" w:cs="宋体"/>
                <w:szCs w:val="21"/>
                <w:lang w:val="en-US" w:eastAsia="zh-CN"/>
              </w:rPr>
              <w:t xml:space="preserve">  </w:t>
            </w:r>
            <w:r>
              <w:rPr>
                <w:rFonts w:hint="eastAsia" w:ascii="宋体" w:hAnsi="宋体" w:eastAsia="宋体" w:cs="宋体"/>
                <w:szCs w:val="21"/>
                <w:lang w:eastAsia="zh-CN"/>
              </w:rPr>
              <w:t>所</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1CCE9CAB">
            <w:pPr>
              <w:pageBreakBefore w:val="0"/>
              <w:kinsoku/>
              <w:wordWrap/>
              <w:overflowPunct/>
              <w:topLinePunct w:val="0"/>
              <w:bidi w:val="0"/>
              <w:adjustRightInd w:val="0"/>
              <w:snapToGrid w:val="0"/>
              <w:spacing w:line="300" w:lineRule="exact"/>
              <w:ind w:left="0" w:leftChars="0"/>
              <w:jc w:val="center"/>
              <w:textAlignment w:val="auto"/>
              <w:outlineLvl w:val="9"/>
              <w:rPr>
                <w:rFonts w:hint="eastAsia" w:ascii="宋体" w:hAnsi="宋体" w:eastAsia="宋体" w:cs="宋体"/>
                <w:szCs w:val="21"/>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754039D3">
            <w:pPr>
              <w:pageBreakBefore w:val="0"/>
              <w:kinsoku/>
              <w:wordWrap/>
              <w:overflowPunct/>
              <w:topLinePunct w:val="0"/>
              <w:bidi w:val="0"/>
              <w:adjustRightInd w:val="0"/>
              <w:snapToGrid w:val="0"/>
              <w:spacing w:line="300" w:lineRule="exact"/>
              <w:ind w:left="0" w:leftChars="0"/>
              <w:jc w:val="center"/>
              <w:textAlignment w:val="auto"/>
              <w:outlineLvl w:val="9"/>
              <w:rPr>
                <w:rFonts w:hint="eastAsia" w:ascii="宋体" w:hAnsi="宋体" w:eastAsia="宋体" w:cs="宋体"/>
                <w:szCs w:val="21"/>
                <w:lang w:eastAsia="zh-CN"/>
              </w:rPr>
            </w:pPr>
            <w:r>
              <w:rPr>
                <w:rFonts w:hint="eastAsia" w:ascii="宋体" w:hAnsi="宋体" w:eastAsia="宋体" w:cs="宋体"/>
                <w:szCs w:val="21"/>
                <w:lang w:eastAsia="zh-CN"/>
              </w:rPr>
              <w:t>住</w:t>
            </w:r>
            <w:r>
              <w:rPr>
                <w:rFonts w:hint="eastAsia" w:ascii="宋体" w:hAnsi="宋体" w:eastAsia="宋体" w:cs="宋体"/>
                <w:szCs w:val="21"/>
                <w:lang w:val="en-US" w:eastAsia="zh-CN"/>
              </w:rPr>
              <w:t xml:space="preserve">  </w:t>
            </w:r>
            <w:r>
              <w:rPr>
                <w:rFonts w:hint="eastAsia" w:ascii="宋体" w:hAnsi="宋体" w:eastAsia="宋体" w:cs="宋体"/>
                <w:szCs w:val="21"/>
                <w:lang w:eastAsia="zh-CN"/>
              </w:rPr>
              <w:t>所</w:t>
            </w:r>
          </w:p>
        </w:tc>
        <w:tc>
          <w:tcPr>
            <w:tcW w:w="1259" w:type="pct"/>
            <w:tcBorders>
              <w:top w:val="single" w:color="auto" w:sz="2" w:space="0"/>
              <w:left w:val="single" w:color="auto" w:sz="2" w:space="0"/>
              <w:bottom w:val="single" w:color="auto" w:sz="2" w:space="0"/>
            </w:tcBorders>
            <w:noWrap w:val="0"/>
            <w:vAlign w:val="center"/>
          </w:tcPr>
          <w:p w14:paraId="4EFEDFAB">
            <w:pPr>
              <w:pageBreakBefore w:val="0"/>
              <w:kinsoku/>
              <w:wordWrap/>
              <w:overflowPunct/>
              <w:topLinePunct w:val="0"/>
              <w:bidi w:val="0"/>
              <w:adjustRightInd w:val="0"/>
              <w:snapToGrid w:val="0"/>
              <w:spacing w:line="300" w:lineRule="exact"/>
              <w:ind w:left="0" w:leftChars="0"/>
              <w:jc w:val="center"/>
              <w:textAlignment w:val="auto"/>
              <w:outlineLvl w:val="9"/>
              <w:rPr>
                <w:rFonts w:hint="eastAsia" w:ascii="宋体" w:hAnsi="宋体" w:eastAsia="宋体" w:cs="宋体"/>
                <w:spacing w:val="20"/>
                <w:szCs w:val="21"/>
              </w:rPr>
            </w:pPr>
          </w:p>
        </w:tc>
      </w:tr>
      <w:tr w14:paraId="7AA1091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5" w:type="pct"/>
            <w:tcBorders>
              <w:top w:val="single" w:color="auto" w:sz="2" w:space="0"/>
              <w:bottom w:val="single" w:color="auto" w:sz="2" w:space="0"/>
              <w:right w:val="single" w:color="auto" w:sz="2" w:space="0"/>
            </w:tcBorders>
            <w:noWrap w:val="0"/>
            <w:vAlign w:val="center"/>
          </w:tcPr>
          <w:p w14:paraId="79C4ACD8">
            <w:pPr>
              <w:pageBreakBefore w:val="0"/>
              <w:kinsoku/>
              <w:wordWrap/>
              <w:overflowPunct/>
              <w:topLinePunct w:val="0"/>
              <w:bidi w:val="0"/>
              <w:adjustRightInd w:val="0"/>
              <w:snapToGrid w:val="0"/>
              <w:spacing w:line="300" w:lineRule="exact"/>
              <w:ind w:left="0" w:leftChars="0"/>
              <w:jc w:val="center"/>
              <w:textAlignment w:val="auto"/>
              <w:outlineLvl w:val="9"/>
              <w:rPr>
                <w:rFonts w:hint="eastAsia" w:ascii="宋体" w:hAnsi="宋体" w:eastAsia="宋体" w:cs="宋体"/>
                <w:szCs w:val="21"/>
              </w:rPr>
            </w:pPr>
            <w:r>
              <w:rPr>
                <w:rFonts w:hint="eastAsia" w:ascii="宋体" w:hAnsi="宋体" w:eastAsia="宋体" w:cs="宋体"/>
                <w:szCs w:val="21"/>
              </w:rPr>
              <w:t>联 系 人</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78B37135">
            <w:pPr>
              <w:pageBreakBefore w:val="0"/>
              <w:kinsoku/>
              <w:wordWrap/>
              <w:overflowPunct/>
              <w:topLinePunct w:val="0"/>
              <w:bidi w:val="0"/>
              <w:adjustRightInd w:val="0"/>
              <w:snapToGrid w:val="0"/>
              <w:spacing w:line="300" w:lineRule="exact"/>
              <w:ind w:left="0" w:leftChars="0"/>
              <w:jc w:val="center"/>
              <w:textAlignment w:val="auto"/>
              <w:outlineLvl w:val="9"/>
              <w:rPr>
                <w:rFonts w:hint="eastAsia" w:ascii="宋体" w:hAnsi="宋体" w:eastAsia="宋体" w:cs="宋体"/>
                <w:szCs w:val="21"/>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68A0F16F">
            <w:pPr>
              <w:pageBreakBefore w:val="0"/>
              <w:kinsoku/>
              <w:wordWrap/>
              <w:overflowPunct/>
              <w:topLinePunct w:val="0"/>
              <w:bidi w:val="0"/>
              <w:adjustRightInd w:val="0"/>
              <w:snapToGrid w:val="0"/>
              <w:spacing w:line="300" w:lineRule="exact"/>
              <w:ind w:left="0" w:leftChars="0"/>
              <w:jc w:val="center"/>
              <w:textAlignment w:val="auto"/>
              <w:outlineLvl w:val="9"/>
              <w:rPr>
                <w:rFonts w:hint="eastAsia" w:ascii="宋体" w:hAnsi="宋体" w:eastAsia="宋体" w:cs="宋体"/>
                <w:szCs w:val="21"/>
              </w:rPr>
            </w:pPr>
            <w:r>
              <w:rPr>
                <w:rFonts w:hint="eastAsia" w:ascii="宋体" w:hAnsi="宋体" w:eastAsia="宋体" w:cs="宋体"/>
                <w:szCs w:val="21"/>
              </w:rPr>
              <w:t>联 系 人</w:t>
            </w:r>
          </w:p>
        </w:tc>
        <w:tc>
          <w:tcPr>
            <w:tcW w:w="1259" w:type="pct"/>
            <w:tcBorders>
              <w:top w:val="single" w:color="auto" w:sz="2" w:space="0"/>
              <w:left w:val="single" w:color="auto" w:sz="2" w:space="0"/>
              <w:bottom w:val="single" w:color="auto" w:sz="2" w:space="0"/>
            </w:tcBorders>
            <w:noWrap w:val="0"/>
            <w:vAlign w:val="center"/>
          </w:tcPr>
          <w:p w14:paraId="621F7F82">
            <w:pPr>
              <w:pageBreakBefore w:val="0"/>
              <w:kinsoku/>
              <w:wordWrap/>
              <w:overflowPunct/>
              <w:topLinePunct w:val="0"/>
              <w:bidi w:val="0"/>
              <w:adjustRightInd w:val="0"/>
              <w:snapToGrid w:val="0"/>
              <w:spacing w:line="300" w:lineRule="exact"/>
              <w:ind w:left="0" w:leftChars="0"/>
              <w:jc w:val="center"/>
              <w:textAlignment w:val="auto"/>
              <w:outlineLvl w:val="9"/>
              <w:rPr>
                <w:rFonts w:hint="eastAsia" w:ascii="宋体" w:hAnsi="宋体" w:eastAsia="宋体" w:cs="宋体"/>
                <w:spacing w:val="20"/>
                <w:szCs w:val="21"/>
              </w:rPr>
            </w:pPr>
          </w:p>
        </w:tc>
      </w:tr>
      <w:tr w14:paraId="7109F76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5" w:type="pct"/>
            <w:tcBorders>
              <w:top w:val="single" w:color="auto" w:sz="2" w:space="0"/>
              <w:bottom w:val="single" w:color="auto" w:sz="2" w:space="0"/>
              <w:right w:val="single" w:color="auto" w:sz="2" w:space="0"/>
            </w:tcBorders>
            <w:noWrap w:val="0"/>
            <w:vAlign w:val="center"/>
          </w:tcPr>
          <w:p w14:paraId="1186DD68">
            <w:pPr>
              <w:pageBreakBefore w:val="0"/>
              <w:kinsoku/>
              <w:wordWrap/>
              <w:overflowPunct/>
              <w:topLinePunct w:val="0"/>
              <w:bidi w:val="0"/>
              <w:adjustRightInd w:val="0"/>
              <w:snapToGrid w:val="0"/>
              <w:spacing w:line="300" w:lineRule="exact"/>
              <w:ind w:left="0" w:leftChars="0"/>
              <w:jc w:val="center"/>
              <w:textAlignment w:val="auto"/>
              <w:outlineLvl w:val="9"/>
              <w:rPr>
                <w:rFonts w:hint="eastAsia" w:ascii="宋体" w:hAnsi="宋体" w:eastAsia="宋体" w:cs="宋体"/>
                <w:szCs w:val="21"/>
              </w:rPr>
            </w:pPr>
            <w:r>
              <w:rPr>
                <w:rFonts w:hint="eastAsia" w:ascii="宋体" w:hAnsi="宋体" w:eastAsia="宋体" w:cs="宋体"/>
                <w:szCs w:val="21"/>
              </w:rPr>
              <w:t>联系电话</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38445CEE">
            <w:pPr>
              <w:pageBreakBefore w:val="0"/>
              <w:kinsoku/>
              <w:wordWrap/>
              <w:overflowPunct/>
              <w:topLinePunct w:val="0"/>
              <w:bidi w:val="0"/>
              <w:adjustRightInd w:val="0"/>
              <w:snapToGrid w:val="0"/>
              <w:spacing w:line="300" w:lineRule="exact"/>
              <w:ind w:left="0" w:leftChars="0"/>
              <w:jc w:val="center"/>
              <w:textAlignment w:val="auto"/>
              <w:outlineLvl w:val="9"/>
              <w:rPr>
                <w:rFonts w:hint="eastAsia" w:ascii="宋体" w:hAnsi="宋体" w:eastAsia="宋体" w:cs="宋体"/>
                <w:szCs w:val="21"/>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33C17F0F">
            <w:pPr>
              <w:pageBreakBefore w:val="0"/>
              <w:kinsoku/>
              <w:wordWrap/>
              <w:overflowPunct/>
              <w:topLinePunct w:val="0"/>
              <w:bidi w:val="0"/>
              <w:adjustRightInd w:val="0"/>
              <w:snapToGrid w:val="0"/>
              <w:spacing w:line="300" w:lineRule="exact"/>
              <w:ind w:left="0" w:leftChars="0"/>
              <w:jc w:val="center"/>
              <w:textAlignment w:val="auto"/>
              <w:outlineLvl w:val="9"/>
              <w:rPr>
                <w:rFonts w:hint="eastAsia" w:ascii="宋体" w:hAnsi="宋体" w:eastAsia="宋体" w:cs="宋体"/>
                <w:szCs w:val="21"/>
              </w:rPr>
            </w:pPr>
            <w:r>
              <w:rPr>
                <w:rFonts w:hint="eastAsia" w:ascii="宋体" w:hAnsi="宋体" w:eastAsia="宋体" w:cs="宋体"/>
                <w:szCs w:val="21"/>
              </w:rPr>
              <w:t>联系电话</w:t>
            </w:r>
          </w:p>
        </w:tc>
        <w:tc>
          <w:tcPr>
            <w:tcW w:w="1259" w:type="pct"/>
            <w:tcBorders>
              <w:top w:val="single" w:color="auto" w:sz="2" w:space="0"/>
              <w:left w:val="single" w:color="auto" w:sz="2" w:space="0"/>
              <w:bottom w:val="single" w:color="auto" w:sz="2" w:space="0"/>
            </w:tcBorders>
            <w:noWrap w:val="0"/>
            <w:vAlign w:val="center"/>
          </w:tcPr>
          <w:p w14:paraId="0AF1382A">
            <w:pPr>
              <w:pageBreakBefore w:val="0"/>
              <w:kinsoku/>
              <w:wordWrap/>
              <w:overflowPunct/>
              <w:topLinePunct w:val="0"/>
              <w:bidi w:val="0"/>
              <w:adjustRightInd w:val="0"/>
              <w:snapToGrid w:val="0"/>
              <w:spacing w:line="300" w:lineRule="exact"/>
              <w:ind w:left="0" w:leftChars="0"/>
              <w:jc w:val="center"/>
              <w:textAlignment w:val="auto"/>
              <w:outlineLvl w:val="9"/>
              <w:rPr>
                <w:rFonts w:hint="eastAsia" w:ascii="宋体" w:hAnsi="宋体" w:eastAsia="宋体" w:cs="宋体"/>
                <w:spacing w:val="20"/>
                <w:szCs w:val="21"/>
              </w:rPr>
            </w:pPr>
          </w:p>
        </w:tc>
      </w:tr>
      <w:tr w14:paraId="305C5AF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5" w:type="pct"/>
            <w:tcBorders>
              <w:top w:val="single" w:color="auto" w:sz="2" w:space="0"/>
              <w:bottom w:val="single" w:color="auto" w:sz="2" w:space="0"/>
              <w:right w:val="single" w:color="auto" w:sz="2" w:space="0"/>
            </w:tcBorders>
            <w:noWrap w:val="0"/>
            <w:vAlign w:val="center"/>
          </w:tcPr>
          <w:p w14:paraId="6520EADF">
            <w:pPr>
              <w:pageBreakBefore w:val="0"/>
              <w:kinsoku/>
              <w:wordWrap/>
              <w:overflowPunct/>
              <w:topLinePunct w:val="0"/>
              <w:bidi w:val="0"/>
              <w:adjustRightInd w:val="0"/>
              <w:snapToGrid w:val="0"/>
              <w:spacing w:line="300" w:lineRule="exact"/>
              <w:ind w:left="0" w:leftChars="0"/>
              <w:jc w:val="center"/>
              <w:textAlignment w:val="auto"/>
              <w:outlineLvl w:val="9"/>
              <w:rPr>
                <w:rFonts w:hint="eastAsia" w:ascii="宋体" w:hAnsi="宋体" w:eastAsia="宋体" w:cs="宋体"/>
                <w:szCs w:val="21"/>
                <w:lang w:eastAsia="zh-CN"/>
              </w:rPr>
            </w:pPr>
            <w:r>
              <w:rPr>
                <w:rFonts w:hint="eastAsia" w:ascii="宋体" w:hAnsi="宋体" w:eastAsia="宋体" w:cs="宋体"/>
                <w:szCs w:val="21"/>
                <w:lang w:eastAsia="zh-CN"/>
              </w:rPr>
              <w:t>通信地址</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3249E69F">
            <w:pPr>
              <w:pageBreakBefore w:val="0"/>
              <w:kinsoku/>
              <w:wordWrap/>
              <w:overflowPunct/>
              <w:topLinePunct w:val="0"/>
              <w:bidi w:val="0"/>
              <w:adjustRightInd w:val="0"/>
              <w:snapToGrid w:val="0"/>
              <w:spacing w:line="300" w:lineRule="exact"/>
              <w:ind w:left="0" w:leftChars="0"/>
              <w:jc w:val="center"/>
              <w:textAlignment w:val="auto"/>
              <w:outlineLvl w:val="9"/>
              <w:rPr>
                <w:rFonts w:hint="eastAsia" w:ascii="宋体" w:hAnsi="宋体" w:eastAsia="宋体" w:cs="宋体"/>
                <w:szCs w:val="21"/>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69CE1141">
            <w:pPr>
              <w:pageBreakBefore w:val="0"/>
              <w:kinsoku/>
              <w:wordWrap/>
              <w:overflowPunct/>
              <w:topLinePunct w:val="0"/>
              <w:bidi w:val="0"/>
              <w:adjustRightInd w:val="0"/>
              <w:snapToGrid w:val="0"/>
              <w:spacing w:line="300" w:lineRule="exact"/>
              <w:ind w:left="0" w:leftChars="0"/>
              <w:jc w:val="center"/>
              <w:textAlignment w:val="auto"/>
              <w:outlineLvl w:val="9"/>
              <w:rPr>
                <w:rFonts w:hint="eastAsia" w:ascii="宋体" w:hAnsi="宋体" w:eastAsia="宋体" w:cs="宋体"/>
                <w:szCs w:val="21"/>
              </w:rPr>
            </w:pPr>
            <w:r>
              <w:rPr>
                <w:rFonts w:hint="eastAsia" w:ascii="宋体" w:hAnsi="宋体" w:eastAsia="宋体" w:cs="宋体"/>
                <w:szCs w:val="21"/>
                <w:lang w:eastAsia="zh-CN"/>
              </w:rPr>
              <w:t>通信地址</w:t>
            </w:r>
          </w:p>
        </w:tc>
        <w:tc>
          <w:tcPr>
            <w:tcW w:w="1259" w:type="pct"/>
            <w:tcBorders>
              <w:top w:val="single" w:color="auto" w:sz="2" w:space="0"/>
              <w:left w:val="single" w:color="auto" w:sz="2" w:space="0"/>
              <w:bottom w:val="single" w:color="auto" w:sz="2" w:space="0"/>
            </w:tcBorders>
            <w:noWrap w:val="0"/>
            <w:vAlign w:val="center"/>
          </w:tcPr>
          <w:p w14:paraId="39A572D2">
            <w:pPr>
              <w:pageBreakBefore w:val="0"/>
              <w:kinsoku/>
              <w:wordWrap/>
              <w:overflowPunct/>
              <w:topLinePunct w:val="0"/>
              <w:bidi w:val="0"/>
              <w:adjustRightInd w:val="0"/>
              <w:snapToGrid w:val="0"/>
              <w:spacing w:line="300" w:lineRule="exact"/>
              <w:ind w:left="0" w:leftChars="0"/>
              <w:jc w:val="center"/>
              <w:textAlignment w:val="auto"/>
              <w:outlineLvl w:val="9"/>
              <w:rPr>
                <w:rFonts w:hint="eastAsia" w:ascii="宋体" w:hAnsi="宋体" w:eastAsia="宋体" w:cs="宋体"/>
                <w:spacing w:val="20"/>
                <w:szCs w:val="21"/>
              </w:rPr>
            </w:pPr>
          </w:p>
        </w:tc>
      </w:tr>
      <w:tr w14:paraId="47A3561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5" w:type="pct"/>
            <w:tcBorders>
              <w:top w:val="single" w:color="auto" w:sz="2" w:space="0"/>
              <w:bottom w:val="single" w:color="auto" w:sz="2" w:space="0"/>
              <w:right w:val="single" w:color="auto" w:sz="2" w:space="0"/>
            </w:tcBorders>
            <w:noWrap w:val="0"/>
            <w:vAlign w:val="center"/>
          </w:tcPr>
          <w:p w14:paraId="238891B8">
            <w:pPr>
              <w:pageBreakBefore w:val="0"/>
              <w:kinsoku/>
              <w:wordWrap/>
              <w:overflowPunct/>
              <w:topLinePunct w:val="0"/>
              <w:bidi w:val="0"/>
              <w:adjustRightInd w:val="0"/>
              <w:snapToGrid w:val="0"/>
              <w:spacing w:line="300" w:lineRule="exact"/>
              <w:ind w:left="0" w:leftChars="0"/>
              <w:jc w:val="center"/>
              <w:textAlignment w:val="auto"/>
              <w:outlineLvl w:val="9"/>
              <w:rPr>
                <w:rFonts w:hint="eastAsia" w:ascii="宋体" w:hAnsi="宋体" w:eastAsia="宋体" w:cs="宋体"/>
                <w:szCs w:val="21"/>
              </w:rPr>
            </w:pPr>
            <w:r>
              <w:rPr>
                <w:rFonts w:hint="eastAsia" w:ascii="宋体" w:hAnsi="宋体" w:eastAsia="宋体" w:cs="宋体"/>
                <w:szCs w:val="21"/>
              </w:rPr>
              <w:t>邮政编码</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32A79449">
            <w:pPr>
              <w:pageBreakBefore w:val="0"/>
              <w:kinsoku/>
              <w:wordWrap/>
              <w:overflowPunct/>
              <w:topLinePunct w:val="0"/>
              <w:bidi w:val="0"/>
              <w:adjustRightInd w:val="0"/>
              <w:snapToGrid w:val="0"/>
              <w:spacing w:line="300" w:lineRule="exact"/>
              <w:ind w:left="0" w:leftChars="0"/>
              <w:jc w:val="center"/>
              <w:textAlignment w:val="auto"/>
              <w:outlineLvl w:val="9"/>
              <w:rPr>
                <w:rFonts w:hint="eastAsia" w:ascii="宋体" w:hAnsi="宋体" w:eastAsia="宋体" w:cs="宋体"/>
                <w:szCs w:val="21"/>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297558B7">
            <w:pPr>
              <w:pageBreakBefore w:val="0"/>
              <w:kinsoku/>
              <w:wordWrap/>
              <w:overflowPunct/>
              <w:topLinePunct w:val="0"/>
              <w:bidi w:val="0"/>
              <w:adjustRightInd w:val="0"/>
              <w:snapToGrid w:val="0"/>
              <w:spacing w:line="300" w:lineRule="exact"/>
              <w:ind w:left="0" w:leftChars="0"/>
              <w:jc w:val="center"/>
              <w:textAlignment w:val="auto"/>
              <w:outlineLvl w:val="9"/>
              <w:rPr>
                <w:rFonts w:hint="eastAsia" w:ascii="宋体" w:hAnsi="宋体" w:eastAsia="宋体" w:cs="宋体"/>
                <w:szCs w:val="21"/>
              </w:rPr>
            </w:pPr>
            <w:r>
              <w:rPr>
                <w:rFonts w:hint="eastAsia" w:ascii="宋体" w:hAnsi="宋体" w:eastAsia="宋体" w:cs="宋体"/>
                <w:szCs w:val="21"/>
              </w:rPr>
              <w:t>邮政编码</w:t>
            </w:r>
          </w:p>
        </w:tc>
        <w:tc>
          <w:tcPr>
            <w:tcW w:w="1259" w:type="pct"/>
            <w:tcBorders>
              <w:top w:val="single" w:color="auto" w:sz="2" w:space="0"/>
              <w:left w:val="single" w:color="auto" w:sz="2" w:space="0"/>
              <w:bottom w:val="single" w:color="auto" w:sz="2" w:space="0"/>
            </w:tcBorders>
            <w:noWrap w:val="0"/>
            <w:vAlign w:val="center"/>
          </w:tcPr>
          <w:p w14:paraId="3757860C">
            <w:pPr>
              <w:pageBreakBefore w:val="0"/>
              <w:kinsoku/>
              <w:wordWrap/>
              <w:overflowPunct/>
              <w:topLinePunct w:val="0"/>
              <w:bidi w:val="0"/>
              <w:adjustRightInd w:val="0"/>
              <w:snapToGrid w:val="0"/>
              <w:spacing w:line="300" w:lineRule="exact"/>
              <w:ind w:left="0" w:leftChars="0"/>
              <w:jc w:val="center"/>
              <w:textAlignment w:val="auto"/>
              <w:outlineLvl w:val="9"/>
              <w:rPr>
                <w:rFonts w:hint="eastAsia" w:ascii="宋体" w:hAnsi="宋体" w:eastAsia="宋体" w:cs="宋体"/>
                <w:spacing w:val="20"/>
                <w:szCs w:val="21"/>
              </w:rPr>
            </w:pPr>
          </w:p>
        </w:tc>
      </w:tr>
      <w:tr w14:paraId="319321E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5" w:type="pct"/>
            <w:tcBorders>
              <w:top w:val="single" w:color="auto" w:sz="2" w:space="0"/>
              <w:bottom w:val="single" w:color="auto" w:sz="2" w:space="0"/>
              <w:right w:val="single" w:color="auto" w:sz="2" w:space="0"/>
            </w:tcBorders>
            <w:noWrap w:val="0"/>
            <w:vAlign w:val="center"/>
          </w:tcPr>
          <w:p w14:paraId="11D24A68">
            <w:pPr>
              <w:pageBreakBefore w:val="0"/>
              <w:kinsoku/>
              <w:wordWrap/>
              <w:overflowPunct/>
              <w:topLinePunct w:val="0"/>
              <w:bidi w:val="0"/>
              <w:adjustRightInd w:val="0"/>
              <w:snapToGrid w:val="0"/>
              <w:spacing w:line="300" w:lineRule="exact"/>
              <w:ind w:left="0" w:leftChars="0"/>
              <w:jc w:val="center"/>
              <w:textAlignment w:val="auto"/>
              <w:outlineLvl w:val="9"/>
              <w:rPr>
                <w:rFonts w:hint="eastAsia" w:ascii="宋体" w:hAnsi="宋体" w:eastAsia="宋体" w:cs="宋体"/>
                <w:szCs w:val="21"/>
              </w:rPr>
            </w:pPr>
            <w:r>
              <w:rPr>
                <w:rFonts w:hint="eastAsia" w:ascii="宋体" w:hAnsi="宋体" w:eastAsia="宋体" w:cs="宋体"/>
                <w:szCs w:val="21"/>
              </w:rPr>
              <w:t>电子邮箱</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0EDA184B">
            <w:pPr>
              <w:pageBreakBefore w:val="0"/>
              <w:kinsoku/>
              <w:wordWrap/>
              <w:overflowPunct/>
              <w:topLinePunct w:val="0"/>
              <w:bidi w:val="0"/>
              <w:adjustRightInd w:val="0"/>
              <w:snapToGrid w:val="0"/>
              <w:spacing w:line="300" w:lineRule="exact"/>
              <w:ind w:left="0" w:leftChars="0"/>
              <w:jc w:val="center"/>
              <w:textAlignment w:val="auto"/>
              <w:outlineLvl w:val="9"/>
              <w:rPr>
                <w:rFonts w:hint="eastAsia" w:ascii="宋体" w:hAnsi="宋体" w:eastAsia="宋体" w:cs="宋体"/>
                <w:szCs w:val="21"/>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2378540F">
            <w:pPr>
              <w:pageBreakBefore w:val="0"/>
              <w:kinsoku/>
              <w:wordWrap/>
              <w:overflowPunct/>
              <w:topLinePunct w:val="0"/>
              <w:bidi w:val="0"/>
              <w:adjustRightInd w:val="0"/>
              <w:snapToGrid w:val="0"/>
              <w:spacing w:line="300" w:lineRule="exact"/>
              <w:ind w:left="0" w:leftChars="0"/>
              <w:jc w:val="center"/>
              <w:textAlignment w:val="auto"/>
              <w:outlineLvl w:val="9"/>
              <w:rPr>
                <w:rFonts w:hint="eastAsia" w:ascii="宋体" w:hAnsi="宋体" w:eastAsia="宋体" w:cs="宋体"/>
                <w:szCs w:val="21"/>
              </w:rPr>
            </w:pPr>
            <w:r>
              <w:rPr>
                <w:rFonts w:hint="eastAsia" w:ascii="宋体" w:hAnsi="宋体" w:eastAsia="宋体" w:cs="宋体"/>
                <w:szCs w:val="21"/>
              </w:rPr>
              <w:t>电子邮箱</w:t>
            </w:r>
          </w:p>
        </w:tc>
        <w:tc>
          <w:tcPr>
            <w:tcW w:w="1259" w:type="pct"/>
            <w:tcBorders>
              <w:top w:val="single" w:color="auto" w:sz="2" w:space="0"/>
              <w:left w:val="single" w:color="auto" w:sz="2" w:space="0"/>
              <w:bottom w:val="single" w:color="auto" w:sz="2" w:space="0"/>
            </w:tcBorders>
            <w:noWrap w:val="0"/>
            <w:vAlign w:val="center"/>
          </w:tcPr>
          <w:p w14:paraId="5B34EAB9">
            <w:pPr>
              <w:pageBreakBefore w:val="0"/>
              <w:kinsoku/>
              <w:wordWrap/>
              <w:overflowPunct/>
              <w:topLinePunct w:val="0"/>
              <w:bidi w:val="0"/>
              <w:adjustRightInd w:val="0"/>
              <w:snapToGrid w:val="0"/>
              <w:spacing w:line="300" w:lineRule="exact"/>
              <w:ind w:left="0" w:leftChars="0"/>
              <w:jc w:val="center"/>
              <w:textAlignment w:val="auto"/>
              <w:outlineLvl w:val="9"/>
              <w:rPr>
                <w:rFonts w:hint="eastAsia" w:ascii="宋体" w:hAnsi="宋体" w:eastAsia="宋体" w:cs="宋体"/>
                <w:spacing w:val="20"/>
                <w:szCs w:val="21"/>
              </w:rPr>
            </w:pPr>
          </w:p>
        </w:tc>
      </w:tr>
      <w:tr w14:paraId="4831124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5" w:type="pct"/>
            <w:tcBorders>
              <w:top w:val="single" w:color="auto" w:sz="2" w:space="0"/>
              <w:bottom w:val="single" w:color="auto" w:sz="2" w:space="0"/>
              <w:right w:val="single" w:color="auto" w:sz="2" w:space="0"/>
            </w:tcBorders>
            <w:noWrap w:val="0"/>
            <w:vAlign w:val="center"/>
          </w:tcPr>
          <w:p w14:paraId="1784E1D7">
            <w:pPr>
              <w:pageBreakBefore w:val="0"/>
              <w:kinsoku/>
              <w:wordWrap/>
              <w:overflowPunct/>
              <w:topLinePunct w:val="0"/>
              <w:bidi w:val="0"/>
              <w:adjustRightInd w:val="0"/>
              <w:snapToGrid w:val="0"/>
              <w:spacing w:line="300" w:lineRule="exact"/>
              <w:ind w:left="0" w:leftChars="0"/>
              <w:jc w:val="center"/>
              <w:textAlignment w:val="auto"/>
              <w:outlineLvl w:val="9"/>
              <w:rPr>
                <w:rFonts w:hint="eastAsia" w:ascii="宋体" w:hAnsi="宋体" w:eastAsia="宋体" w:cs="宋体"/>
                <w:szCs w:val="21"/>
              </w:rPr>
            </w:pPr>
            <w:r>
              <w:rPr>
                <w:rFonts w:hint="eastAsia" w:ascii="宋体" w:hAnsi="宋体" w:eastAsia="宋体" w:cs="宋体"/>
                <w:szCs w:val="21"/>
              </w:rPr>
              <w:t>统一社会信用代码</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552F9651">
            <w:pPr>
              <w:pageBreakBefore w:val="0"/>
              <w:kinsoku/>
              <w:wordWrap/>
              <w:overflowPunct/>
              <w:topLinePunct w:val="0"/>
              <w:bidi w:val="0"/>
              <w:adjustRightInd w:val="0"/>
              <w:snapToGrid w:val="0"/>
              <w:spacing w:line="300" w:lineRule="exact"/>
              <w:ind w:left="0" w:leftChars="0"/>
              <w:jc w:val="center"/>
              <w:textAlignment w:val="auto"/>
              <w:outlineLvl w:val="9"/>
              <w:rPr>
                <w:rFonts w:hint="eastAsia" w:ascii="宋体" w:hAnsi="宋体" w:eastAsia="宋体" w:cs="宋体"/>
                <w:szCs w:val="21"/>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474DB37B">
            <w:pPr>
              <w:pageBreakBefore w:val="0"/>
              <w:kinsoku/>
              <w:wordWrap/>
              <w:overflowPunct/>
              <w:topLinePunct w:val="0"/>
              <w:bidi w:val="0"/>
              <w:adjustRightInd w:val="0"/>
              <w:snapToGrid w:val="0"/>
              <w:spacing w:line="300" w:lineRule="exact"/>
              <w:ind w:left="0" w:leftChars="0"/>
              <w:jc w:val="center"/>
              <w:textAlignment w:val="auto"/>
              <w:outlineLvl w:val="9"/>
              <w:rPr>
                <w:rFonts w:hint="eastAsia" w:ascii="宋体" w:hAnsi="宋体" w:eastAsia="宋体" w:cs="宋体"/>
                <w:szCs w:val="21"/>
              </w:rPr>
            </w:pPr>
            <w:r>
              <w:rPr>
                <w:rFonts w:hint="eastAsia" w:ascii="宋体" w:hAnsi="宋体" w:eastAsia="宋体" w:cs="宋体"/>
                <w:szCs w:val="21"/>
              </w:rPr>
              <w:t>统一社会信用代码</w:t>
            </w:r>
          </w:p>
        </w:tc>
        <w:tc>
          <w:tcPr>
            <w:tcW w:w="1259" w:type="pct"/>
            <w:tcBorders>
              <w:top w:val="single" w:color="auto" w:sz="2" w:space="0"/>
              <w:left w:val="single" w:color="auto" w:sz="2" w:space="0"/>
              <w:bottom w:val="single" w:color="auto" w:sz="2" w:space="0"/>
            </w:tcBorders>
            <w:noWrap w:val="0"/>
            <w:vAlign w:val="center"/>
          </w:tcPr>
          <w:p w14:paraId="6F07ED89">
            <w:pPr>
              <w:pageBreakBefore w:val="0"/>
              <w:kinsoku/>
              <w:wordWrap/>
              <w:overflowPunct/>
              <w:topLinePunct w:val="0"/>
              <w:bidi w:val="0"/>
              <w:adjustRightInd w:val="0"/>
              <w:snapToGrid w:val="0"/>
              <w:spacing w:line="300" w:lineRule="exact"/>
              <w:ind w:left="0" w:leftChars="0"/>
              <w:jc w:val="center"/>
              <w:textAlignment w:val="auto"/>
              <w:outlineLvl w:val="9"/>
              <w:rPr>
                <w:rFonts w:hint="eastAsia" w:ascii="宋体" w:hAnsi="宋体" w:eastAsia="宋体" w:cs="宋体"/>
                <w:spacing w:val="20"/>
                <w:szCs w:val="21"/>
              </w:rPr>
            </w:pPr>
          </w:p>
        </w:tc>
      </w:tr>
      <w:tr w14:paraId="178DBC4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5" w:type="pct"/>
            <w:tcBorders>
              <w:top w:val="single" w:color="auto" w:sz="2" w:space="0"/>
              <w:bottom w:val="single" w:color="auto" w:sz="2" w:space="0"/>
              <w:right w:val="single" w:color="auto" w:sz="2" w:space="0"/>
            </w:tcBorders>
            <w:noWrap w:val="0"/>
            <w:vAlign w:val="center"/>
          </w:tcPr>
          <w:p w14:paraId="53CE63E0">
            <w:pPr>
              <w:pageBreakBefore w:val="0"/>
              <w:kinsoku/>
              <w:wordWrap/>
              <w:overflowPunct/>
              <w:topLinePunct w:val="0"/>
              <w:bidi w:val="0"/>
              <w:adjustRightInd w:val="0"/>
              <w:snapToGrid w:val="0"/>
              <w:spacing w:line="300" w:lineRule="exact"/>
              <w:ind w:left="0" w:leftChars="0"/>
              <w:jc w:val="center"/>
              <w:textAlignment w:val="auto"/>
              <w:outlineLvl w:val="9"/>
              <w:rPr>
                <w:rFonts w:hint="eastAsia" w:ascii="宋体" w:hAnsi="宋体" w:eastAsia="宋体" w:cs="宋体"/>
                <w:szCs w:val="21"/>
              </w:rPr>
            </w:pPr>
          </w:p>
        </w:tc>
        <w:tc>
          <w:tcPr>
            <w:tcW w:w="1436" w:type="pct"/>
            <w:tcBorders>
              <w:top w:val="single" w:color="auto" w:sz="2" w:space="0"/>
              <w:left w:val="single" w:color="auto" w:sz="2" w:space="0"/>
              <w:bottom w:val="single" w:color="auto" w:sz="2" w:space="0"/>
              <w:right w:val="single" w:color="auto" w:sz="2" w:space="0"/>
            </w:tcBorders>
            <w:noWrap w:val="0"/>
            <w:vAlign w:val="center"/>
          </w:tcPr>
          <w:p w14:paraId="2BE6C06A">
            <w:pPr>
              <w:pageBreakBefore w:val="0"/>
              <w:kinsoku/>
              <w:wordWrap/>
              <w:overflowPunct/>
              <w:topLinePunct w:val="0"/>
              <w:bidi w:val="0"/>
              <w:adjustRightInd w:val="0"/>
              <w:snapToGrid w:val="0"/>
              <w:spacing w:line="300" w:lineRule="exact"/>
              <w:ind w:left="0" w:leftChars="0"/>
              <w:jc w:val="center"/>
              <w:textAlignment w:val="auto"/>
              <w:outlineLvl w:val="9"/>
              <w:rPr>
                <w:rFonts w:hint="eastAsia" w:ascii="宋体" w:hAnsi="宋体" w:eastAsia="宋体" w:cs="宋体"/>
                <w:szCs w:val="21"/>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2B64DAAE">
            <w:pPr>
              <w:pageBreakBefore w:val="0"/>
              <w:kinsoku/>
              <w:wordWrap/>
              <w:overflowPunct/>
              <w:topLinePunct w:val="0"/>
              <w:bidi w:val="0"/>
              <w:adjustRightInd w:val="0"/>
              <w:snapToGrid w:val="0"/>
              <w:spacing w:line="300" w:lineRule="exact"/>
              <w:ind w:left="0" w:leftChars="0"/>
              <w:jc w:val="center"/>
              <w:textAlignment w:val="auto"/>
              <w:outlineLvl w:val="9"/>
              <w:rPr>
                <w:rFonts w:hint="eastAsia" w:ascii="宋体" w:hAnsi="宋体" w:eastAsia="宋体" w:cs="宋体"/>
                <w:szCs w:val="21"/>
              </w:rPr>
            </w:pPr>
            <w:r>
              <w:rPr>
                <w:rFonts w:hint="eastAsia" w:ascii="宋体" w:hAnsi="宋体" w:eastAsia="宋体" w:cs="宋体"/>
                <w:szCs w:val="21"/>
              </w:rPr>
              <w:t>开户名称</w:t>
            </w:r>
          </w:p>
        </w:tc>
        <w:tc>
          <w:tcPr>
            <w:tcW w:w="1259" w:type="pct"/>
            <w:tcBorders>
              <w:top w:val="single" w:color="auto" w:sz="2" w:space="0"/>
              <w:left w:val="single" w:color="auto" w:sz="2" w:space="0"/>
              <w:bottom w:val="single" w:color="auto" w:sz="2" w:space="0"/>
            </w:tcBorders>
            <w:noWrap w:val="0"/>
            <w:vAlign w:val="center"/>
          </w:tcPr>
          <w:p w14:paraId="4330B493">
            <w:pPr>
              <w:pageBreakBefore w:val="0"/>
              <w:kinsoku/>
              <w:wordWrap/>
              <w:overflowPunct/>
              <w:topLinePunct w:val="0"/>
              <w:bidi w:val="0"/>
              <w:adjustRightInd w:val="0"/>
              <w:snapToGrid w:val="0"/>
              <w:spacing w:line="300" w:lineRule="exact"/>
              <w:ind w:left="0" w:leftChars="0"/>
              <w:jc w:val="center"/>
              <w:textAlignment w:val="auto"/>
              <w:outlineLvl w:val="9"/>
              <w:rPr>
                <w:rFonts w:hint="eastAsia" w:ascii="宋体" w:hAnsi="宋体" w:eastAsia="宋体" w:cs="宋体"/>
                <w:spacing w:val="20"/>
                <w:szCs w:val="21"/>
              </w:rPr>
            </w:pPr>
          </w:p>
        </w:tc>
      </w:tr>
      <w:tr w14:paraId="605FC81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5" w:type="pct"/>
            <w:tcBorders>
              <w:top w:val="single" w:color="auto" w:sz="2" w:space="0"/>
              <w:bottom w:val="single" w:color="auto" w:sz="2" w:space="0"/>
              <w:right w:val="single" w:color="auto" w:sz="2" w:space="0"/>
            </w:tcBorders>
            <w:noWrap w:val="0"/>
            <w:vAlign w:val="center"/>
          </w:tcPr>
          <w:p w14:paraId="018660D1">
            <w:pPr>
              <w:pageBreakBefore w:val="0"/>
              <w:kinsoku/>
              <w:wordWrap/>
              <w:overflowPunct/>
              <w:topLinePunct w:val="0"/>
              <w:bidi w:val="0"/>
              <w:adjustRightInd w:val="0"/>
              <w:snapToGrid w:val="0"/>
              <w:spacing w:line="300" w:lineRule="exact"/>
              <w:ind w:left="0" w:leftChars="0"/>
              <w:jc w:val="center"/>
              <w:textAlignment w:val="auto"/>
              <w:outlineLvl w:val="9"/>
              <w:rPr>
                <w:rFonts w:hint="eastAsia" w:ascii="宋体" w:hAnsi="宋体" w:eastAsia="宋体" w:cs="宋体"/>
                <w:szCs w:val="21"/>
              </w:rPr>
            </w:pPr>
          </w:p>
        </w:tc>
        <w:tc>
          <w:tcPr>
            <w:tcW w:w="1436" w:type="pct"/>
            <w:tcBorders>
              <w:top w:val="single" w:color="auto" w:sz="2" w:space="0"/>
              <w:left w:val="single" w:color="auto" w:sz="2" w:space="0"/>
              <w:bottom w:val="single" w:color="auto" w:sz="2" w:space="0"/>
              <w:right w:val="single" w:color="auto" w:sz="2" w:space="0"/>
            </w:tcBorders>
            <w:noWrap w:val="0"/>
            <w:vAlign w:val="center"/>
          </w:tcPr>
          <w:p w14:paraId="6EAF852C">
            <w:pPr>
              <w:pageBreakBefore w:val="0"/>
              <w:kinsoku/>
              <w:wordWrap/>
              <w:overflowPunct/>
              <w:topLinePunct w:val="0"/>
              <w:bidi w:val="0"/>
              <w:adjustRightInd w:val="0"/>
              <w:snapToGrid w:val="0"/>
              <w:spacing w:line="300" w:lineRule="exact"/>
              <w:ind w:left="0" w:leftChars="0"/>
              <w:jc w:val="center"/>
              <w:textAlignment w:val="auto"/>
              <w:outlineLvl w:val="9"/>
              <w:rPr>
                <w:rFonts w:hint="eastAsia" w:ascii="宋体" w:hAnsi="宋体" w:eastAsia="宋体" w:cs="宋体"/>
                <w:szCs w:val="21"/>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3330715F">
            <w:pPr>
              <w:pageBreakBefore w:val="0"/>
              <w:kinsoku/>
              <w:wordWrap/>
              <w:overflowPunct/>
              <w:topLinePunct w:val="0"/>
              <w:bidi w:val="0"/>
              <w:adjustRightInd w:val="0"/>
              <w:snapToGrid w:val="0"/>
              <w:spacing w:line="300" w:lineRule="exact"/>
              <w:ind w:left="0" w:leftChars="0"/>
              <w:jc w:val="center"/>
              <w:textAlignment w:val="auto"/>
              <w:outlineLvl w:val="9"/>
              <w:rPr>
                <w:rFonts w:hint="eastAsia" w:ascii="宋体" w:hAnsi="宋体" w:eastAsia="宋体" w:cs="宋体"/>
                <w:szCs w:val="21"/>
              </w:rPr>
            </w:pPr>
            <w:r>
              <w:rPr>
                <w:rFonts w:hint="eastAsia" w:ascii="宋体" w:hAnsi="宋体" w:eastAsia="宋体" w:cs="宋体"/>
                <w:szCs w:val="21"/>
              </w:rPr>
              <w:t>开户银行</w:t>
            </w:r>
          </w:p>
        </w:tc>
        <w:tc>
          <w:tcPr>
            <w:tcW w:w="1259" w:type="pct"/>
            <w:tcBorders>
              <w:top w:val="single" w:color="auto" w:sz="2" w:space="0"/>
              <w:left w:val="single" w:color="auto" w:sz="2" w:space="0"/>
              <w:bottom w:val="single" w:color="auto" w:sz="2" w:space="0"/>
            </w:tcBorders>
            <w:noWrap w:val="0"/>
            <w:vAlign w:val="center"/>
          </w:tcPr>
          <w:p w14:paraId="74B3B081">
            <w:pPr>
              <w:pageBreakBefore w:val="0"/>
              <w:kinsoku/>
              <w:wordWrap/>
              <w:overflowPunct/>
              <w:topLinePunct w:val="0"/>
              <w:bidi w:val="0"/>
              <w:adjustRightInd w:val="0"/>
              <w:snapToGrid w:val="0"/>
              <w:spacing w:line="300" w:lineRule="exact"/>
              <w:ind w:left="0" w:leftChars="0"/>
              <w:jc w:val="center"/>
              <w:textAlignment w:val="auto"/>
              <w:outlineLvl w:val="9"/>
              <w:rPr>
                <w:rFonts w:hint="eastAsia" w:ascii="宋体" w:hAnsi="宋体" w:eastAsia="宋体" w:cs="宋体"/>
                <w:spacing w:val="20"/>
                <w:szCs w:val="21"/>
              </w:rPr>
            </w:pPr>
          </w:p>
        </w:tc>
      </w:tr>
      <w:tr w14:paraId="580A485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5" w:type="pct"/>
            <w:tcBorders>
              <w:top w:val="single" w:color="auto" w:sz="2" w:space="0"/>
              <w:bottom w:val="single" w:color="auto" w:sz="2" w:space="0"/>
              <w:right w:val="single" w:color="auto" w:sz="2" w:space="0"/>
            </w:tcBorders>
            <w:noWrap w:val="0"/>
            <w:vAlign w:val="center"/>
          </w:tcPr>
          <w:p w14:paraId="469F8A3B">
            <w:pPr>
              <w:pageBreakBefore w:val="0"/>
              <w:kinsoku/>
              <w:wordWrap/>
              <w:overflowPunct/>
              <w:topLinePunct w:val="0"/>
              <w:bidi w:val="0"/>
              <w:adjustRightInd w:val="0"/>
              <w:snapToGrid w:val="0"/>
              <w:spacing w:line="300" w:lineRule="exact"/>
              <w:ind w:left="0" w:leftChars="0"/>
              <w:jc w:val="center"/>
              <w:textAlignment w:val="auto"/>
              <w:outlineLvl w:val="9"/>
              <w:rPr>
                <w:rFonts w:hint="eastAsia" w:ascii="宋体" w:hAnsi="宋体" w:eastAsia="宋体" w:cs="宋体"/>
                <w:szCs w:val="21"/>
              </w:rPr>
            </w:pPr>
          </w:p>
        </w:tc>
        <w:tc>
          <w:tcPr>
            <w:tcW w:w="1436" w:type="pct"/>
            <w:tcBorders>
              <w:top w:val="single" w:color="auto" w:sz="2" w:space="0"/>
              <w:left w:val="single" w:color="auto" w:sz="2" w:space="0"/>
              <w:bottom w:val="single" w:color="auto" w:sz="2" w:space="0"/>
              <w:right w:val="single" w:color="auto" w:sz="2" w:space="0"/>
            </w:tcBorders>
            <w:noWrap w:val="0"/>
            <w:vAlign w:val="center"/>
          </w:tcPr>
          <w:p w14:paraId="59B72CE1">
            <w:pPr>
              <w:pageBreakBefore w:val="0"/>
              <w:kinsoku/>
              <w:wordWrap/>
              <w:overflowPunct/>
              <w:topLinePunct w:val="0"/>
              <w:bidi w:val="0"/>
              <w:adjustRightInd w:val="0"/>
              <w:snapToGrid w:val="0"/>
              <w:spacing w:line="300" w:lineRule="exact"/>
              <w:ind w:left="0" w:leftChars="0"/>
              <w:jc w:val="center"/>
              <w:textAlignment w:val="auto"/>
              <w:outlineLvl w:val="9"/>
              <w:rPr>
                <w:rFonts w:hint="eastAsia" w:ascii="宋体" w:hAnsi="宋体" w:eastAsia="宋体" w:cs="宋体"/>
                <w:szCs w:val="21"/>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73DCC293">
            <w:pPr>
              <w:pageBreakBefore w:val="0"/>
              <w:kinsoku/>
              <w:wordWrap/>
              <w:overflowPunct/>
              <w:topLinePunct w:val="0"/>
              <w:bidi w:val="0"/>
              <w:adjustRightInd w:val="0"/>
              <w:snapToGrid w:val="0"/>
              <w:spacing w:line="300" w:lineRule="exact"/>
              <w:ind w:left="0" w:leftChars="0"/>
              <w:jc w:val="center"/>
              <w:textAlignment w:val="auto"/>
              <w:outlineLvl w:val="9"/>
              <w:rPr>
                <w:rFonts w:hint="eastAsia" w:ascii="宋体" w:hAnsi="宋体" w:eastAsia="宋体" w:cs="宋体"/>
                <w:szCs w:val="21"/>
              </w:rPr>
            </w:pPr>
            <w:r>
              <w:rPr>
                <w:rFonts w:hint="eastAsia" w:ascii="宋体" w:hAnsi="宋体" w:eastAsia="宋体" w:cs="宋体"/>
                <w:szCs w:val="21"/>
              </w:rPr>
              <w:t>银行账号</w:t>
            </w:r>
          </w:p>
        </w:tc>
        <w:tc>
          <w:tcPr>
            <w:tcW w:w="1259" w:type="pct"/>
            <w:tcBorders>
              <w:top w:val="single" w:color="auto" w:sz="2" w:space="0"/>
              <w:left w:val="single" w:color="auto" w:sz="2" w:space="0"/>
              <w:bottom w:val="single" w:color="auto" w:sz="2" w:space="0"/>
            </w:tcBorders>
            <w:noWrap w:val="0"/>
            <w:vAlign w:val="center"/>
          </w:tcPr>
          <w:p w14:paraId="564B9463">
            <w:pPr>
              <w:pageBreakBefore w:val="0"/>
              <w:kinsoku/>
              <w:wordWrap/>
              <w:overflowPunct/>
              <w:topLinePunct w:val="0"/>
              <w:bidi w:val="0"/>
              <w:adjustRightInd w:val="0"/>
              <w:snapToGrid w:val="0"/>
              <w:spacing w:line="300" w:lineRule="exact"/>
              <w:ind w:left="0" w:leftChars="0"/>
              <w:jc w:val="center"/>
              <w:textAlignment w:val="auto"/>
              <w:outlineLvl w:val="9"/>
              <w:rPr>
                <w:rFonts w:hint="eastAsia" w:ascii="宋体" w:hAnsi="宋体" w:eastAsia="宋体" w:cs="宋体"/>
                <w:spacing w:val="20"/>
                <w:szCs w:val="21"/>
              </w:rPr>
            </w:pPr>
          </w:p>
        </w:tc>
      </w:tr>
    </w:tbl>
    <w:p w14:paraId="457ABD74">
      <w:pPr>
        <w:pageBreakBefore w:val="0"/>
        <w:kinsoku/>
        <w:wordWrap/>
        <w:overflowPunct/>
        <w:topLinePunct w:val="0"/>
        <w:bidi w:val="0"/>
        <w:ind w:left="0" w:leftChars="0"/>
        <w:textAlignment w:val="auto"/>
        <w:outlineLvl w:val="9"/>
        <w:rPr>
          <w:rFonts w:hint="eastAsia" w:ascii="宋体" w:hAnsi="宋体" w:eastAsia="宋体" w:cs="宋体"/>
        </w:rPr>
      </w:pPr>
    </w:p>
    <w:p w14:paraId="0DB98E73">
      <w:pPr>
        <w:pStyle w:val="290"/>
        <w:rPr>
          <w:rFonts w:hint="eastAsia" w:ascii="宋体" w:hAnsi="宋体" w:eastAsia="宋体" w:cs="宋体"/>
        </w:rPr>
      </w:pPr>
    </w:p>
    <w:p w14:paraId="008C60E0">
      <w:pPr>
        <w:pStyle w:val="290"/>
        <w:rPr>
          <w:rFonts w:hint="eastAsia" w:ascii="宋体" w:hAnsi="宋体" w:eastAsia="宋体" w:cs="宋体"/>
        </w:rPr>
      </w:pPr>
    </w:p>
    <w:p w14:paraId="4BC59CB5">
      <w:pPr>
        <w:pStyle w:val="290"/>
        <w:rPr>
          <w:rFonts w:hint="eastAsia" w:ascii="宋体" w:hAnsi="宋体" w:eastAsia="宋体" w:cs="宋体"/>
        </w:rPr>
      </w:pPr>
    </w:p>
    <w:p w14:paraId="793FF078">
      <w:pPr>
        <w:pStyle w:val="290"/>
        <w:rPr>
          <w:rFonts w:hint="eastAsia" w:ascii="宋体" w:hAnsi="宋体" w:eastAsia="宋体" w:cs="宋体"/>
        </w:rPr>
      </w:pPr>
    </w:p>
    <w:p w14:paraId="53826084">
      <w:pPr>
        <w:pStyle w:val="290"/>
        <w:rPr>
          <w:rFonts w:hint="eastAsia" w:ascii="宋体" w:hAnsi="宋体" w:eastAsia="宋体" w:cs="宋体"/>
        </w:rPr>
      </w:pPr>
    </w:p>
    <w:p w14:paraId="00331235">
      <w:pPr>
        <w:pStyle w:val="290"/>
        <w:rPr>
          <w:rFonts w:hint="eastAsia" w:ascii="宋体" w:hAnsi="宋体" w:eastAsia="宋体" w:cs="宋体"/>
        </w:rPr>
      </w:pPr>
    </w:p>
    <w:p w14:paraId="228031FE">
      <w:pPr>
        <w:pStyle w:val="290"/>
        <w:rPr>
          <w:rFonts w:hint="eastAsia" w:ascii="宋体" w:hAnsi="宋体" w:eastAsia="宋体" w:cs="宋体"/>
        </w:rPr>
      </w:pPr>
    </w:p>
    <w:p w14:paraId="3456DAA3">
      <w:pPr>
        <w:pStyle w:val="290"/>
        <w:rPr>
          <w:rFonts w:hint="eastAsia" w:ascii="宋体" w:hAnsi="宋体" w:eastAsia="宋体" w:cs="宋体"/>
        </w:rPr>
      </w:pPr>
    </w:p>
    <w:p w14:paraId="308094DC">
      <w:pPr>
        <w:pStyle w:val="290"/>
        <w:rPr>
          <w:rFonts w:hint="eastAsia" w:ascii="宋体" w:hAnsi="宋体" w:eastAsia="宋体" w:cs="宋体"/>
        </w:rPr>
      </w:pPr>
    </w:p>
    <w:p w14:paraId="48FE748D">
      <w:pPr>
        <w:pStyle w:val="290"/>
        <w:rPr>
          <w:rFonts w:hint="eastAsia" w:ascii="宋体" w:hAnsi="宋体" w:eastAsia="宋体" w:cs="宋体"/>
        </w:rPr>
      </w:pPr>
    </w:p>
    <w:p w14:paraId="1496FB0A">
      <w:pPr>
        <w:pStyle w:val="290"/>
        <w:rPr>
          <w:rFonts w:hint="eastAsia" w:ascii="宋体" w:hAnsi="宋体" w:eastAsia="宋体" w:cs="宋体"/>
        </w:rPr>
      </w:pPr>
    </w:p>
    <w:p w14:paraId="173417CE">
      <w:pPr>
        <w:pStyle w:val="290"/>
        <w:rPr>
          <w:rFonts w:hint="eastAsia" w:ascii="宋体" w:hAnsi="宋体" w:eastAsia="宋体" w:cs="宋体"/>
        </w:rPr>
      </w:pPr>
    </w:p>
    <w:p w14:paraId="2AD5B821">
      <w:pPr>
        <w:pStyle w:val="290"/>
        <w:rPr>
          <w:rFonts w:hint="eastAsia" w:ascii="宋体" w:hAnsi="宋体" w:eastAsia="宋体" w:cs="宋体"/>
        </w:rPr>
      </w:pPr>
    </w:p>
    <w:bookmarkEnd w:id="309"/>
    <w:p w14:paraId="1AA05101">
      <w:pPr>
        <w:bidi w:val="0"/>
        <w:rPr>
          <w:rFonts w:hint="eastAsia"/>
          <w:b/>
          <w:bCs/>
          <w:sz w:val="30"/>
          <w:szCs w:val="30"/>
        </w:rPr>
      </w:pPr>
      <w:r>
        <w:rPr>
          <w:rFonts w:hint="eastAsia"/>
          <w:b/>
          <w:bCs/>
          <w:sz w:val="30"/>
          <w:szCs w:val="30"/>
        </w:rPr>
        <w:t>附件：</w:t>
      </w:r>
    </w:p>
    <w:p w14:paraId="1E85C037">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0"/>
        <w:rPr>
          <w:rFonts w:hint="eastAsia" w:ascii="宋体" w:hAnsi="宋体" w:eastAsia="宋体" w:cs="宋体"/>
          <w:b/>
          <w:bCs/>
          <w:sz w:val="28"/>
          <w:szCs w:val="28"/>
        </w:rPr>
      </w:pPr>
      <w:bookmarkStart w:id="311" w:name="_Toc6254"/>
      <w:bookmarkStart w:id="312" w:name="_Toc2177"/>
      <w:r>
        <w:rPr>
          <w:rFonts w:hint="eastAsia" w:ascii="宋体" w:hAnsi="宋体" w:eastAsia="宋体" w:cs="宋体"/>
          <w:b/>
          <w:bCs/>
          <w:sz w:val="28"/>
          <w:szCs w:val="28"/>
        </w:rPr>
        <w:t>河南省政府采购合同融资政策告知函</w:t>
      </w:r>
      <w:bookmarkEnd w:id="311"/>
      <w:bookmarkEnd w:id="312"/>
    </w:p>
    <w:p w14:paraId="171CA1A7">
      <w:pPr>
        <w:spacing w:line="360" w:lineRule="auto"/>
        <w:rPr>
          <w:rFonts w:hint="eastAsia" w:ascii="宋体" w:hAnsi="宋体" w:eastAsia="宋体" w:cs="宋体"/>
          <w:sz w:val="28"/>
          <w:szCs w:val="28"/>
        </w:rPr>
      </w:pPr>
      <w:r>
        <w:rPr>
          <w:rFonts w:hint="eastAsia" w:ascii="宋体" w:hAnsi="宋体" w:eastAsia="宋体" w:cs="宋体"/>
          <w:sz w:val="28"/>
          <w:szCs w:val="28"/>
        </w:rPr>
        <w:t> </w:t>
      </w:r>
    </w:p>
    <w:p w14:paraId="42F8B12A">
      <w:pPr>
        <w:spacing w:line="360" w:lineRule="auto"/>
        <w:rPr>
          <w:rFonts w:hint="eastAsia" w:ascii="宋体" w:hAnsi="宋体" w:eastAsia="宋体" w:cs="宋体"/>
          <w:sz w:val="28"/>
          <w:szCs w:val="28"/>
        </w:rPr>
      </w:pPr>
      <w:r>
        <w:rPr>
          <w:rFonts w:hint="eastAsia" w:ascii="宋体" w:hAnsi="宋体" w:eastAsia="宋体" w:cs="宋体"/>
          <w:sz w:val="28"/>
          <w:szCs w:val="28"/>
        </w:rPr>
        <w:t>各</w:t>
      </w:r>
      <w:r>
        <w:rPr>
          <w:rFonts w:hint="eastAsia" w:ascii="宋体" w:hAnsi="宋体" w:eastAsia="宋体" w:cs="宋体"/>
          <w:sz w:val="28"/>
          <w:szCs w:val="28"/>
          <w:lang w:val="en-US" w:eastAsia="zh-CN"/>
        </w:rPr>
        <w:t>投标人</w:t>
      </w:r>
      <w:r>
        <w:rPr>
          <w:rFonts w:hint="eastAsia" w:ascii="宋体" w:hAnsi="宋体" w:eastAsia="宋体" w:cs="宋体"/>
          <w:sz w:val="28"/>
          <w:szCs w:val="28"/>
        </w:rPr>
        <w:t>：</w:t>
      </w:r>
    </w:p>
    <w:p w14:paraId="61D72C85">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欢迎贵公司参与河南省政府采购活动！</w:t>
      </w:r>
    </w:p>
    <w:p w14:paraId="696C52C3">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14:paraId="4DFAD60E">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贷款渠道和提供贷款的金融机构，可在河南省政府采购网“河南省政府采购合同融资平台”查询联系。</w:t>
      </w:r>
    </w:p>
    <w:p w14:paraId="67F82FB9">
      <w:pPr>
        <w:spacing w:line="360" w:lineRule="auto"/>
        <w:jc w:val="left"/>
        <w:rPr>
          <w:rFonts w:hint="eastAsia" w:ascii="宋体" w:hAnsi="宋体" w:eastAsia="宋体" w:cs="宋体"/>
          <w:sz w:val="24"/>
        </w:rPr>
      </w:pPr>
    </w:p>
    <w:p w14:paraId="56852F14">
      <w:pPr>
        <w:spacing w:line="360" w:lineRule="auto"/>
        <w:jc w:val="left"/>
        <w:rPr>
          <w:rFonts w:hint="eastAsia" w:ascii="宋体" w:hAnsi="宋体" w:eastAsia="宋体" w:cs="宋体"/>
          <w:sz w:val="24"/>
        </w:rPr>
      </w:pPr>
    </w:p>
    <w:p w14:paraId="4C395B7F">
      <w:pPr>
        <w:spacing w:line="360" w:lineRule="auto"/>
        <w:jc w:val="left"/>
        <w:rPr>
          <w:rFonts w:hint="eastAsia" w:ascii="宋体" w:hAnsi="宋体" w:eastAsia="宋体" w:cs="宋体"/>
          <w:sz w:val="24"/>
        </w:rPr>
      </w:pPr>
    </w:p>
    <w:p w14:paraId="1C151BA4">
      <w:pPr>
        <w:wordWrap w:val="0"/>
        <w:spacing w:line="360" w:lineRule="auto"/>
        <w:ind w:firstLine="480" w:firstLineChars="200"/>
        <w:rPr>
          <w:rFonts w:hint="eastAsia" w:ascii="宋体" w:hAnsi="宋体" w:cs="宋体"/>
          <w:color w:val="444444"/>
          <w:sz w:val="24"/>
        </w:rPr>
      </w:pPr>
      <w:r>
        <w:rPr>
          <w:rFonts w:hint="eastAsia" w:ascii="宋体" w:hAnsi="宋体" w:cs="宋体"/>
          <w:color w:val="444444"/>
          <w:sz w:val="24"/>
        </w:rPr>
        <w:t>政策解读网址：http://ccgp-henan.gov.cn/henan/content?infoId=1595466414110974&amp;channelCode=H601501</w:t>
      </w:r>
    </w:p>
    <w:p w14:paraId="65D1AF4A">
      <w:pPr>
        <w:spacing w:line="360" w:lineRule="auto"/>
        <w:ind w:firstLine="480" w:firstLineChars="200"/>
        <w:rPr>
          <w:rFonts w:hint="eastAsia" w:ascii="宋体" w:hAnsi="宋体" w:cs="宋体"/>
          <w:color w:val="444444"/>
          <w:sz w:val="24"/>
        </w:rPr>
      </w:pPr>
    </w:p>
    <w:p w14:paraId="0F00C4A9">
      <w:pPr>
        <w:spacing w:line="360" w:lineRule="auto"/>
        <w:ind w:firstLine="482" w:firstLineChars="200"/>
        <w:rPr>
          <w:rFonts w:hint="eastAsia" w:ascii="宋体" w:hAnsi="宋体" w:cs="宋体"/>
          <w:b/>
          <w:bCs/>
          <w:color w:val="444444"/>
          <w:sz w:val="24"/>
        </w:rPr>
      </w:pPr>
      <w:r>
        <w:rPr>
          <w:rFonts w:hint="eastAsia" w:ascii="宋体" w:hAnsi="宋体" w:cs="宋体"/>
          <w:b/>
          <w:bCs/>
          <w:color w:val="444444"/>
          <w:sz w:val="24"/>
        </w:rPr>
        <w:t>注：1.预进行合同融资的，在签订合同时，中标人的合同账号需为合同融资行指定的账户和账号。</w:t>
      </w:r>
    </w:p>
    <w:p w14:paraId="0715DA0B">
      <w:pPr>
        <w:spacing w:line="360" w:lineRule="auto"/>
        <w:ind w:firstLine="964" w:firstLineChars="400"/>
        <w:rPr>
          <w:rFonts w:hint="eastAsia" w:ascii="宋体" w:hAnsi="宋体" w:cs="宋体"/>
          <w:color w:val="444444"/>
          <w:sz w:val="24"/>
        </w:rPr>
      </w:pPr>
      <w:r>
        <w:rPr>
          <w:rFonts w:hint="eastAsia" w:ascii="宋体" w:hAnsi="宋体" w:cs="宋体"/>
          <w:b/>
          <w:bCs/>
          <w:color w:val="444444"/>
          <w:sz w:val="24"/>
        </w:rPr>
        <w:t>2.预进行合同融资的，请提醒采购人在合同备案时，将备案系统中中标人默认账户和账号修改为合同融资行指定的账户和账号，然后再提交合同备案。</w:t>
      </w:r>
    </w:p>
    <w:p w14:paraId="727FA6C1">
      <w:pPr>
        <w:pageBreakBefore w:val="0"/>
        <w:widowControl w:val="0"/>
        <w:numPr>
          <w:ilvl w:val="0"/>
          <w:numId w:val="0"/>
        </w:numPr>
        <w:wordWrap/>
        <w:overflowPunct/>
        <w:topLinePunct w:val="0"/>
        <w:bidi w:val="0"/>
        <w:spacing w:before="83" w:line="224" w:lineRule="auto"/>
        <w:jc w:val="center"/>
        <w:rPr>
          <w:rFonts w:ascii="宋体" w:hAnsi="宋体" w:eastAsia="宋体" w:cs="宋体"/>
          <w:color w:val="auto"/>
          <w:spacing w:val="0"/>
          <w:w w:val="100"/>
          <w:position w:val="0"/>
          <w:sz w:val="31"/>
          <w:szCs w:val="31"/>
          <w:lang w:eastAsia="zh-CN"/>
          <w14:textOutline w14:w="5791" w14:cap="sq" w14:cmpd="sng" w14:algn="ctr">
            <w14:solidFill>
              <w14:srgbClr w14:val="000000"/>
            </w14:solidFill>
            <w14:prstDash w14:val="solid"/>
            <w14:bevel/>
          </w14:textOutline>
        </w:rPr>
      </w:pPr>
    </w:p>
    <w:p w14:paraId="75C7AF62">
      <w:pPr>
        <w:pageBreakBefore w:val="0"/>
        <w:widowControl w:val="0"/>
        <w:numPr>
          <w:ilvl w:val="0"/>
          <w:numId w:val="0"/>
        </w:numPr>
        <w:wordWrap/>
        <w:overflowPunct/>
        <w:topLinePunct w:val="0"/>
        <w:bidi w:val="0"/>
        <w:spacing w:before="83" w:line="224" w:lineRule="auto"/>
        <w:jc w:val="center"/>
        <w:rPr>
          <w:rFonts w:ascii="宋体" w:hAnsi="宋体" w:eastAsia="宋体" w:cs="宋体"/>
          <w:color w:val="auto"/>
          <w:spacing w:val="0"/>
          <w:w w:val="100"/>
          <w:position w:val="0"/>
          <w:sz w:val="31"/>
          <w:szCs w:val="31"/>
          <w:lang w:eastAsia="zh-CN"/>
          <w14:textOutline w14:w="5791" w14:cap="sq" w14:cmpd="sng" w14:algn="ctr">
            <w14:solidFill>
              <w14:srgbClr w14:val="000000"/>
            </w14:solidFill>
            <w14:prstDash w14:val="solid"/>
            <w14:bevel/>
          </w14:textOutline>
        </w:rPr>
      </w:pPr>
    </w:p>
    <w:p w14:paraId="289145AE">
      <w:pPr>
        <w:pStyle w:val="2"/>
        <w:keepNext/>
        <w:keepLines/>
        <w:pageBreakBefore w:val="0"/>
        <w:widowControl w:val="0"/>
        <w:tabs>
          <w:tab w:val="left" w:pos="0"/>
        </w:tabs>
        <w:kinsoku/>
        <w:wordWrap/>
        <w:overflowPunct/>
        <w:topLinePunct w:val="0"/>
        <w:autoSpaceDE w:val="0"/>
        <w:autoSpaceDN w:val="0"/>
        <w:bidi w:val="0"/>
        <w:adjustRightInd w:val="0"/>
        <w:snapToGrid w:val="0"/>
        <w:spacing w:before="0" w:after="0" w:line="360" w:lineRule="auto"/>
        <w:jc w:val="both"/>
        <w:textAlignment w:val="auto"/>
        <w:rPr>
          <w:rFonts w:hint="default" w:ascii="黑体" w:hAnsi="黑体" w:eastAsia="黑体"/>
          <w:b w:val="0"/>
          <w:bCs w:val="0"/>
          <w:lang w:val="en-US" w:eastAsia="zh-CN"/>
        </w:rPr>
      </w:pPr>
      <w:bookmarkStart w:id="313" w:name="_Toc24084"/>
      <w:bookmarkStart w:id="314" w:name="_Toc18070"/>
      <w:r>
        <w:rPr>
          <w:rFonts w:hint="eastAsia"/>
        </w:rPr>
        <w:t>第</w:t>
      </w:r>
      <w:r>
        <w:rPr>
          <w:rFonts w:hint="eastAsia"/>
          <w:lang w:eastAsia="zh-CN"/>
        </w:rPr>
        <w:t>五</w:t>
      </w:r>
      <w:r>
        <w:rPr>
          <w:rFonts w:hint="eastAsia"/>
        </w:rPr>
        <w:t xml:space="preserve">章 </w:t>
      </w:r>
      <w:bookmarkEnd w:id="313"/>
      <w:bookmarkEnd w:id="314"/>
      <w:r>
        <w:rPr>
          <w:rFonts w:hint="eastAsia"/>
          <w:lang w:val="en-US" w:eastAsia="zh-CN"/>
        </w:rPr>
        <w:t xml:space="preserve"> 采购清单及技术标准</w:t>
      </w:r>
      <w:r>
        <w:drawing>
          <wp:inline distT="0" distB="0" distL="114300" distR="114300">
            <wp:extent cx="5685790" cy="7682230"/>
            <wp:effectExtent l="0" t="0" r="10160" b="139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5685790" cy="7682230"/>
                    </a:xfrm>
                    <a:prstGeom prst="rect">
                      <a:avLst/>
                    </a:prstGeom>
                    <a:noFill/>
                    <a:ln>
                      <a:noFill/>
                    </a:ln>
                  </pic:spPr>
                </pic:pic>
              </a:graphicData>
            </a:graphic>
          </wp:inline>
        </w:drawing>
      </w:r>
      <w:r>
        <w:drawing>
          <wp:inline distT="0" distB="0" distL="114300" distR="114300">
            <wp:extent cx="5682615" cy="7647940"/>
            <wp:effectExtent l="0" t="0" r="13335" b="1016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8"/>
                    <a:stretch>
                      <a:fillRect/>
                    </a:stretch>
                  </pic:blipFill>
                  <pic:spPr>
                    <a:xfrm>
                      <a:off x="0" y="0"/>
                      <a:ext cx="5682615" cy="7647940"/>
                    </a:xfrm>
                    <a:prstGeom prst="rect">
                      <a:avLst/>
                    </a:prstGeom>
                    <a:noFill/>
                    <a:ln>
                      <a:noFill/>
                    </a:ln>
                  </pic:spPr>
                </pic:pic>
              </a:graphicData>
            </a:graphic>
          </wp:inline>
        </w:drawing>
      </w:r>
      <w:r>
        <w:drawing>
          <wp:inline distT="0" distB="0" distL="114300" distR="114300">
            <wp:extent cx="5688330" cy="7622540"/>
            <wp:effectExtent l="0" t="0" r="7620" b="1651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9"/>
                    <a:stretch>
                      <a:fillRect/>
                    </a:stretch>
                  </pic:blipFill>
                  <pic:spPr>
                    <a:xfrm>
                      <a:off x="0" y="0"/>
                      <a:ext cx="5688330" cy="7622540"/>
                    </a:xfrm>
                    <a:prstGeom prst="rect">
                      <a:avLst/>
                    </a:prstGeom>
                    <a:noFill/>
                    <a:ln>
                      <a:noFill/>
                    </a:ln>
                  </pic:spPr>
                </pic:pic>
              </a:graphicData>
            </a:graphic>
          </wp:inline>
        </w:drawing>
      </w:r>
      <w:r>
        <w:drawing>
          <wp:inline distT="0" distB="0" distL="114300" distR="114300">
            <wp:extent cx="5682615" cy="7618730"/>
            <wp:effectExtent l="0" t="0" r="13335" b="127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10"/>
                    <a:stretch>
                      <a:fillRect/>
                    </a:stretch>
                  </pic:blipFill>
                  <pic:spPr>
                    <a:xfrm>
                      <a:off x="0" y="0"/>
                      <a:ext cx="5682615" cy="7618730"/>
                    </a:xfrm>
                    <a:prstGeom prst="rect">
                      <a:avLst/>
                    </a:prstGeom>
                    <a:noFill/>
                    <a:ln>
                      <a:noFill/>
                    </a:ln>
                  </pic:spPr>
                </pic:pic>
              </a:graphicData>
            </a:graphic>
          </wp:inline>
        </w:drawing>
      </w:r>
      <w:r>
        <w:drawing>
          <wp:inline distT="0" distB="0" distL="114300" distR="114300">
            <wp:extent cx="5687695" cy="7527290"/>
            <wp:effectExtent l="0" t="0" r="8255" b="16510"/>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11"/>
                    <a:stretch>
                      <a:fillRect/>
                    </a:stretch>
                  </pic:blipFill>
                  <pic:spPr>
                    <a:xfrm>
                      <a:off x="0" y="0"/>
                      <a:ext cx="5687695" cy="7527290"/>
                    </a:xfrm>
                    <a:prstGeom prst="rect">
                      <a:avLst/>
                    </a:prstGeom>
                    <a:noFill/>
                    <a:ln>
                      <a:noFill/>
                    </a:ln>
                  </pic:spPr>
                </pic:pic>
              </a:graphicData>
            </a:graphic>
          </wp:inline>
        </w:drawing>
      </w:r>
      <w:r>
        <w:drawing>
          <wp:inline distT="0" distB="0" distL="114300" distR="114300">
            <wp:extent cx="5682615" cy="7616190"/>
            <wp:effectExtent l="0" t="0" r="13335" b="3810"/>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12"/>
                    <a:stretch>
                      <a:fillRect/>
                    </a:stretch>
                  </pic:blipFill>
                  <pic:spPr>
                    <a:xfrm>
                      <a:off x="0" y="0"/>
                      <a:ext cx="5682615" cy="7616190"/>
                    </a:xfrm>
                    <a:prstGeom prst="rect">
                      <a:avLst/>
                    </a:prstGeom>
                    <a:noFill/>
                    <a:ln>
                      <a:noFill/>
                    </a:ln>
                  </pic:spPr>
                </pic:pic>
              </a:graphicData>
            </a:graphic>
          </wp:inline>
        </w:drawing>
      </w:r>
      <w:r>
        <w:drawing>
          <wp:inline distT="0" distB="0" distL="114300" distR="114300">
            <wp:extent cx="5685790" cy="7653020"/>
            <wp:effectExtent l="0" t="0" r="10160" b="5080"/>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13"/>
                    <a:stretch>
                      <a:fillRect/>
                    </a:stretch>
                  </pic:blipFill>
                  <pic:spPr>
                    <a:xfrm>
                      <a:off x="0" y="0"/>
                      <a:ext cx="5685790" cy="7653020"/>
                    </a:xfrm>
                    <a:prstGeom prst="rect">
                      <a:avLst/>
                    </a:prstGeom>
                    <a:noFill/>
                    <a:ln>
                      <a:noFill/>
                    </a:ln>
                  </pic:spPr>
                </pic:pic>
              </a:graphicData>
            </a:graphic>
          </wp:inline>
        </w:drawing>
      </w:r>
      <w:r>
        <w:drawing>
          <wp:inline distT="0" distB="0" distL="114300" distR="114300">
            <wp:extent cx="5685790" cy="7580630"/>
            <wp:effectExtent l="0" t="0" r="10160" b="1270"/>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14"/>
                    <a:stretch>
                      <a:fillRect/>
                    </a:stretch>
                  </pic:blipFill>
                  <pic:spPr>
                    <a:xfrm>
                      <a:off x="0" y="0"/>
                      <a:ext cx="5685790" cy="7580630"/>
                    </a:xfrm>
                    <a:prstGeom prst="rect">
                      <a:avLst/>
                    </a:prstGeom>
                    <a:noFill/>
                    <a:ln>
                      <a:noFill/>
                    </a:ln>
                  </pic:spPr>
                </pic:pic>
              </a:graphicData>
            </a:graphic>
          </wp:inline>
        </w:drawing>
      </w:r>
      <w:r>
        <w:drawing>
          <wp:inline distT="0" distB="0" distL="114300" distR="114300">
            <wp:extent cx="5685155" cy="7639685"/>
            <wp:effectExtent l="0" t="0" r="10795" b="18415"/>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15"/>
                    <a:stretch>
                      <a:fillRect/>
                    </a:stretch>
                  </pic:blipFill>
                  <pic:spPr>
                    <a:xfrm>
                      <a:off x="0" y="0"/>
                      <a:ext cx="5685155" cy="7639685"/>
                    </a:xfrm>
                    <a:prstGeom prst="rect">
                      <a:avLst/>
                    </a:prstGeom>
                    <a:noFill/>
                    <a:ln>
                      <a:noFill/>
                    </a:ln>
                  </pic:spPr>
                </pic:pic>
              </a:graphicData>
            </a:graphic>
          </wp:inline>
        </w:drawing>
      </w:r>
      <w:r>
        <w:drawing>
          <wp:inline distT="0" distB="0" distL="114300" distR="114300">
            <wp:extent cx="5687060" cy="7458710"/>
            <wp:effectExtent l="0" t="0" r="8890" b="8890"/>
            <wp:docPr id="1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pic:cNvPicPr>
                      <a:picLocks noChangeAspect="1"/>
                    </pic:cNvPicPr>
                  </pic:nvPicPr>
                  <pic:blipFill>
                    <a:blip r:embed="rId16"/>
                    <a:stretch>
                      <a:fillRect/>
                    </a:stretch>
                  </pic:blipFill>
                  <pic:spPr>
                    <a:xfrm>
                      <a:off x="0" y="0"/>
                      <a:ext cx="5687060" cy="7458710"/>
                    </a:xfrm>
                    <a:prstGeom prst="rect">
                      <a:avLst/>
                    </a:prstGeom>
                    <a:noFill/>
                    <a:ln>
                      <a:noFill/>
                    </a:ln>
                  </pic:spPr>
                </pic:pic>
              </a:graphicData>
            </a:graphic>
          </wp:inline>
        </w:drawing>
      </w:r>
      <w:r>
        <w:drawing>
          <wp:inline distT="0" distB="0" distL="114300" distR="114300">
            <wp:extent cx="5685790" cy="7782560"/>
            <wp:effectExtent l="0" t="0" r="10160" b="8890"/>
            <wp:docPr id="1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pic:cNvPicPr>
                      <a:picLocks noChangeAspect="1"/>
                    </pic:cNvPicPr>
                  </pic:nvPicPr>
                  <pic:blipFill>
                    <a:blip r:embed="rId17"/>
                    <a:stretch>
                      <a:fillRect/>
                    </a:stretch>
                  </pic:blipFill>
                  <pic:spPr>
                    <a:xfrm>
                      <a:off x="0" y="0"/>
                      <a:ext cx="5685790" cy="7782560"/>
                    </a:xfrm>
                    <a:prstGeom prst="rect">
                      <a:avLst/>
                    </a:prstGeom>
                    <a:noFill/>
                    <a:ln>
                      <a:noFill/>
                    </a:ln>
                  </pic:spPr>
                </pic:pic>
              </a:graphicData>
            </a:graphic>
          </wp:inline>
        </w:drawing>
      </w:r>
      <w:r>
        <w:drawing>
          <wp:inline distT="0" distB="0" distL="114300" distR="114300">
            <wp:extent cx="5682615" cy="7613015"/>
            <wp:effectExtent l="0" t="0" r="13335" b="6985"/>
            <wp:docPr id="1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pic:cNvPicPr>
                      <a:picLocks noChangeAspect="1"/>
                    </pic:cNvPicPr>
                  </pic:nvPicPr>
                  <pic:blipFill>
                    <a:blip r:embed="rId18"/>
                    <a:stretch>
                      <a:fillRect/>
                    </a:stretch>
                  </pic:blipFill>
                  <pic:spPr>
                    <a:xfrm>
                      <a:off x="0" y="0"/>
                      <a:ext cx="5682615" cy="7613015"/>
                    </a:xfrm>
                    <a:prstGeom prst="rect">
                      <a:avLst/>
                    </a:prstGeom>
                    <a:noFill/>
                    <a:ln>
                      <a:noFill/>
                    </a:ln>
                  </pic:spPr>
                </pic:pic>
              </a:graphicData>
            </a:graphic>
          </wp:inline>
        </w:drawing>
      </w:r>
      <w:r>
        <w:drawing>
          <wp:inline distT="0" distB="0" distL="114300" distR="114300">
            <wp:extent cx="5684520" cy="7526020"/>
            <wp:effectExtent l="0" t="0" r="11430" b="17780"/>
            <wp:docPr id="1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pic:cNvPicPr>
                      <a:picLocks noChangeAspect="1"/>
                    </pic:cNvPicPr>
                  </pic:nvPicPr>
                  <pic:blipFill>
                    <a:blip r:embed="rId19"/>
                    <a:stretch>
                      <a:fillRect/>
                    </a:stretch>
                  </pic:blipFill>
                  <pic:spPr>
                    <a:xfrm>
                      <a:off x="0" y="0"/>
                      <a:ext cx="5684520" cy="7526020"/>
                    </a:xfrm>
                    <a:prstGeom prst="rect">
                      <a:avLst/>
                    </a:prstGeom>
                    <a:noFill/>
                    <a:ln>
                      <a:noFill/>
                    </a:ln>
                  </pic:spPr>
                </pic:pic>
              </a:graphicData>
            </a:graphic>
          </wp:inline>
        </w:drawing>
      </w:r>
      <w:r>
        <w:drawing>
          <wp:inline distT="0" distB="0" distL="114300" distR="114300">
            <wp:extent cx="5685790" cy="7583805"/>
            <wp:effectExtent l="0" t="0" r="10160" b="17145"/>
            <wp:docPr id="1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4"/>
                    <pic:cNvPicPr>
                      <a:picLocks noChangeAspect="1"/>
                    </pic:cNvPicPr>
                  </pic:nvPicPr>
                  <pic:blipFill>
                    <a:blip r:embed="rId20"/>
                    <a:stretch>
                      <a:fillRect/>
                    </a:stretch>
                  </pic:blipFill>
                  <pic:spPr>
                    <a:xfrm>
                      <a:off x="0" y="0"/>
                      <a:ext cx="5685790" cy="7583805"/>
                    </a:xfrm>
                    <a:prstGeom prst="rect">
                      <a:avLst/>
                    </a:prstGeom>
                    <a:noFill/>
                    <a:ln>
                      <a:noFill/>
                    </a:ln>
                  </pic:spPr>
                </pic:pic>
              </a:graphicData>
            </a:graphic>
          </wp:inline>
        </w:drawing>
      </w:r>
      <w:r>
        <w:drawing>
          <wp:inline distT="0" distB="0" distL="114300" distR="114300">
            <wp:extent cx="5685790" cy="7607935"/>
            <wp:effectExtent l="0" t="0" r="10160" b="12065"/>
            <wp:docPr id="1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5"/>
                    <pic:cNvPicPr>
                      <a:picLocks noChangeAspect="1"/>
                    </pic:cNvPicPr>
                  </pic:nvPicPr>
                  <pic:blipFill>
                    <a:blip r:embed="rId21"/>
                    <a:stretch>
                      <a:fillRect/>
                    </a:stretch>
                  </pic:blipFill>
                  <pic:spPr>
                    <a:xfrm>
                      <a:off x="0" y="0"/>
                      <a:ext cx="5685790" cy="7607935"/>
                    </a:xfrm>
                    <a:prstGeom prst="rect">
                      <a:avLst/>
                    </a:prstGeom>
                    <a:noFill/>
                    <a:ln>
                      <a:noFill/>
                    </a:ln>
                  </pic:spPr>
                </pic:pic>
              </a:graphicData>
            </a:graphic>
          </wp:inline>
        </w:drawing>
      </w:r>
      <w:r>
        <w:drawing>
          <wp:inline distT="0" distB="0" distL="114300" distR="114300">
            <wp:extent cx="5682615" cy="7656830"/>
            <wp:effectExtent l="0" t="0" r="13335" b="1270"/>
            <wp:docPr id="1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6"/>
                    <pic:cNvPicPr>
                      <a:picLocks noChangeAspect="1"/>
                    </pic:cNvPicPr>
                  </pic:nvPicPr>
                  <pic:blipFill>
                    <a:blip r:embed="rId22"/>
                    <a:stretch>
                      <a:fillRect/>
                    </a:stretch>
                  </pic:blipFill>
                  <pic:spPr>
                    <a:xfrm>
                      <a:off x="0" y="0"/>
                      <a:ext cx="5682615" cy="7656830"/>
                    </a:xfrm>
                    <a:prstGeom prst="rect">
                      <a:avLst/>
                    </a:prstGeom>
                    <a:noFill/>
                    <a:ln>
                      <a:noFill/>
                    </a:ln>
                  </pic:spPr>
                </pic:pic>
              </a:graphicData>
            </a:graphic>
          </wp:inline>
        </w:drawing>
      </w:r>
      <w:r>
        <w:drawing>
          <wp:inline distT="0" distB="0" distL="114300" distR="114300">
            <wp:extent cx="5687060" cy="7591425"/>
            <wp:effectExtent l="0" t="0" r="8890" b="9525"/>
            <wp:docPr id="1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7"/>
                    <pic:cNvPicPr>
                      <a:picLocks noChangeAspect="1"/>
                    </pic:cNvPicPr>
                  </pic:nvPicPr>
                  <pic:blipFill>
                    <a:blip r:embed="rId23"/>
                    <a:stretch>
                      <a:fillRect/>
                    </a:stretch>
                  </pic:blipFill>
                  <pic:spPr>
                    <a:xfrm>
                      <a:off x="0" y="0"/>
                      <a:ext cx="5687060" cy="7591425"/>
                    </a:xfrm>
                    <a:prstGeom prst="rect">
                      <a:avLst/>
                    </a:prstGeom>
                    <a:noFill/>
                    <a:ln>
                      <a:noFill/>
                    </a:ln>
                  </pic:spPr>
                </pic:pic>
              </a:graphicData>
            </a:graphic>
          </wp:inline>
        </w:drawing>
      </w:r>
      <w:r>
        <w:drawing>
          <wp:inline distT="0" distB="0" distL="114300" distR="114300">
            <wp:extent cx="5682615" cy="7703185"/>
            <wp:effectExtent l="0" t="0" r="13335" b="12065"/>
            <wp:docPr id="1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8"/>
                    <pic:cNvPicPr>
                      <a:picLocks noChangeAspect="1"/>
                    </pic:cNvPicPr>
                  </pic:nvPicPr>
                  <pic:blipFill>
                    <a:blip r:embed="rId24"/>
                    <a:stretch>
                      <a:fillRect/>
                    </a:stretch>
                  </pic:blipFill>
                  <pic:spPr>
                    <a:xfrm>
                      <a:off x="0" y="0"/>
                      <a:ext cx="5682615" cy="7703185"/>
                    </a:xfrm>
                    <a:prstGeom prst="rect">
                      <a:avLst/>
                    </a:prstGeom>
                    <a:noFill/>
                    <a:ln>
                      <a:noFill/>
                    </a:ln>
                  </pic:spPr>
                </pic:pic>
              </a:graphicData>
            </a:graphic>
          </wp:inline>
        </w:drawing>
      </w:r>
      <w:r>
        <w:drawing>
          <wp:inline distT="0" distB="0" distL="114300" distR="114300">
            <wp:extent cx="5682615" cy="7664450"/>
            <wp:effectExtent l="0" t="0" r="13335" b="12700"/>
            <wp:docPr id="21"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0"/>
                    <pic:cNvPicPr>
                      <a:picLocks noChangeAspect="1"/>
                    </pic:cNvPicPr>
                  </pic:nvPicPr>
                  <pic:blipFill>
                    <a:blip r:embed="rId25"/>
                    <a:stretch>
                      <a:fillRect/>
                    </a:stretch>
                  </pic:blipFill>
                  <pic:spPr>
                    <a:xfrm>
                      <a:off x="0" y="0"/>
                      <a:ext cx="5682615" cy="7664450"/>
                    </a:xfrm>
                    <a:prstGeom prst="rect">
                      <a:avLst/>
                    </a:prstGeom>
                    <a:noFill/>
                    <a:ln>
                      <a:noFill/>
                    </a:ln>
                  </pic:spPr>
                </pic:pic>
              </a:graphicData>
            </a:graphic>
          </wp:inline>
        </w:drawing>
      </w:r>
      <w:r>
        <w:drawing>
          <wp:inline distT="0" distB="0" distL="114300" distR="114300">
            <wp:extent cx="5685790" cy="7679690"/>
            <wp:effectExtent l="0" t="0" r="10160" b="16510"/>
            <wp:docPr id="22"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1"/>
                    <pic:cNvPicPr>
                      <a:picLocks noChangeAspect="1"/>
                    </pic:cNvPicPr>
                  </pic:nvPicPr>
                  <pic:blipFill>
                    <a:blip r:embed="rId26"/>
                    <a:stretch>
                      <a:fillRect/>
                    </a:stretch>
                  </pic:blipFill>
                  <pic:spPr>
                    <a:xfrm>
                      <a:off x="0" y="0"/>
                      <a:ext cx="5685790" cy="7679690"/>
                    </a:xfrm>
                    <a:prstGeom prst="rect">
                      <a:avLst/>
                    </a:prstGeom>
                    <a:noFill/>
                    <a:ln>
                      <a:noFill/>
                    </a:ln>
                  </pic:spPr>
                </pic:pic>
              </a:graphicData>
            </a:graphic>
          </wp:inline>
        </w:drawing>
      </w:r>
      <w:r>
        <w:drawing>
          <wp:inline distT="0" distB="0" distL="114300" distR="114300">
            <wp:extent cx="5684520" cy="7564120"/>
            <wp:effectExtent l="0" t="0" r="11430" b="17780"/>
            <wp:docPr id="23"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2"/>
                    <pic:cNvPicPr>
                      <a:picLocks noChangeAspect="1"/>
                    </pic:cNvPicPr>
                  </pic:nvPicPr>
                  <pic:blipFill>
                    <a:blip r:embed="rId27"/>
                    <a:stretch>
                      <a:fillRect/>
                    </a:stretch>
                  </pic:blipFill>
                  <pic:spPr>
                    <a:xfrm>
                      <a:off x="0" y="0"/>
                      <a:ext cx="5684520" cy="7564120"/>
                    </a:xfrm>
                    <a:prstGeom prst="rect">
                      <a:avLst/>
                    </a:prstGeom>
                    <a:noFill/>
                    <a:ln>
                      <a:noFill/>
                    </a:ln>
                  </pic:spPr>
                </pic:pic>
              </a:graphicData>
            </a:graphic>
          </wp:inline>
        </w:drawing>
      </w:r>
      <w:r>
        <w:drawing>
          <wp:inline distT="0" distB="0" distL="114300" distR="114300">
            <wp:extent cx="5684520" cy="7642225"/>
            <wp:effectExtent l="0" t="0" r="11430" b="15875"/>
            <wp:docPr id="24"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3"/>
                    <pic:cNvPicPr>
                      <a:picLocks noChangeAspect="1"/>
                    </pic:cNvPicPr>
                  </pic:nvPicPr>
                  <pic:blipFill>
                    <a:blip r:embed="rId28"/>
                    <a:stretch>
                      <a:fillRect/>
                    </a:stretch>
                  </pic:blipFill>
                  <pic:spPr>
                    <a:xfrm>
                      <a:off x="0" y="0"/>
                      <a:ext cx="5684520" cy="7642225"/>
                    </a:xfrm>
                    <a:prstGeom prst="rect">
                      <a:avLst/>
                    </a:prstGeom>
                    <a:noFill/>
                    <a:ln>
                      <a:noFill/>
                    </a:ln>
                  </pic:spPr>
                </pic:pic>
              </a:graphicData>
            </a:graphic>
          </wp:inline>
        </w:drawing>
      </w:r>
      <w:r>
        <w:drawing>
          <wp:inline distT="0" distB="0" distL="114300" distR="114300">
            <wp:extent cx="5685790" cy="7646035"/>
            <wp:effectExtent l="0" t="0" r="10160" b="12065"/>
            <wp:docPr id="25"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4"/>
                    <pic:cNvPicPr>
                      <a:picLocks noChangeAspect="1"/>
                    </pic:cNvPicPr>
                  </pic:nvPicPr>
                  <pic:blipFill>
                    <a:blip r:embed="rId29"/>
                    <a:stretch>
                      <a:fillRect/>
                    </a:stretch>
                  </pic:blipFill>
                  <pic:spPr>
                    <a:xfrm>
                      <a:off x="0" y="0"/>
                      <a:ext cx="5685790" cy="7646035"/>
                    </a:xfrm>
                    <a:prstGeom prst="rect">
                      <a:avLst/>
                    </a:prstGeom>
                    <a:noFill/>
                    <a:ln>
                      <a:noFill/>
                    </a:ln>
                  </pic:spPr>
                </pic:pic>
              </a:graphicData>
            </a:graphic>
          </wp:inline>
        </w:drawing>
      </w:r>
      <w:r>
        <w:drawing>
          <wp:inline distT="0" distB="0" distL="114300" distR="114300">
            <wp:extent cx="5684520" cy="7517130"/>
            <wp:effectExtent l="0" t="0" r="11430" b="7620"/>
            <wp:docPr id="26"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5"/>
                    <pic:cNvPicPr>
                      <a:picLocks noChangeAspect="1"/>
                    </pic:cNvPicPr>
                  </pic:nvPicPr>
                  <pic:blipFill>
                    <a:blip r:embed="rId30"/>
                    <a:stretch>
                      <a:fillRect/>
                    </a:stretch>
                  </pic:blipFill>
                  <pic:spPr>
                    <a:xfrm>
                      <a:off x="0" y="0"/>
                      <a:ext cx="5684520" cy="7517130"/>
                    </a:xfrm>
                    <a:prstGeom prst="rect">
                      <a:avLst/>
                    </a:prstGeom>
                    <a:noFill/>
                    <a:ln>
                      <a:noFill/>
                    </a:ln>
                  </pic:spPr>
                </pic:pic>
              </a:graphicData>
            </a:graphic>
          </wp:inline>
        </w:drawing>
      </w:r>
      <w:r>
        <w:drawing>
          <wp:inline distT="0" distB="0" distL="114300" distR="114300">
            <wp:extent cx="5685155" cy="7657465"/>
            <wp:effectExtent l="0" t="0" r="10795" b="635"/>
            <wp:docPr id="27"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6"/>
                    <pic:cNvPicPr>
                      <a:picLocks noChangeAspect="1"/>
                    </pic:cNvPicPr>
                  </pic:nvPicPr>
                  <pic:blipFill>
                    <a:blip r:embed="rId31"/>
                    <a:stretch>
                      <a:fillRect/>
                    </a:stretch>
                  </pic:blipFill>
                  <pic:spPr>
                    <a:xfrm>
                      <a:off x="0" y="0"/>
                      <a:ext cx="5685155" cy="7657465"/>
                    </a:xfrm>
                    <a:prstGeom prst="rect">
                      <a:avLst/>
                    </a:prstGeom>
                    <a:noFill/>
                    <a:ln>
                      <a:noFill/>
                    </a:ln>
                  </pic:spPr>
                </pic:pic>
              </a:graphicData>
            </a:graphic>
          </wp:inline>
        </w:drawing>
      </w:r>
      <w:r>
        <w:drawing>
          <wp:inline distT="0" distB="0" distL="114300" distR="114300">
            <wp:extent cx="5685790" cy="7677150"/>
            <wp:effectExtent l="0" t="0" r="10160" b="0"/>
            <wp:docPr id="28"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7"/>
                    <pic:cNvPicPr>
                      <a:picLocks noChangeAspect="1"/>
                    </pic:cNvPicPr>
                  </pic:nvPicPr>
                  <pic:blipFill>
                    <a:blip r:embed="rId32"/>
                    <a:stretch>
                      <a:fillRect/>
                    </a:stretch>
                  </pic:blipFill>
                  <pic:spPr>
                    <a:xfrm>
                      <a:off x="0" y="0"/>
                      <a:ext cx="5685790" cy="7677150"/>
                    </a:xfrm>
                    <a:prstGeom prst="rect">
                      <a:avLst/>
                    </a:prstGeom>
                    <a:noFill/>
                    <a:ln>
                      <a:noFill/>
                    </a:ln>
                  </pic:spPr>
                </pic:pic>
              </a:graphicData>
            </a:graphic>
          </wp:inline>
        </w:drawing>
      </w:r>
      <w:r>
        <w:drawing>
          <wp:inline distT="0" distB="0" distL="114300" distR="114300">
            <wp:extent cx="5687695" cy="7726680"/>
            <wp:effectExtent l="0" t="0" r="8255" b="7620"/>
            <wp:docPr id="29"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8"/>
                    <pic:cNvPicPr>
                      <a:picLocks noChangeAspect="1"/>
                    </pic:cNvPicPr>
                  </pic:nvPicPr>
                  <pic:blipFill>
                    <a:blip r:embed="rId33"/>
                    <a:stretch>
                      <a:fillRect/>
                    </a:stretch>
                  </pic:blipFill>
                  <pic:spPr>
                    <a:xfrm>
                      <a:off x="0" y="0"/>
                      <a:ext cx="5687695" cy="7726680"/>
                    </a:xfrm>
                    <a:prstGeom prst="rect">
                      <a:avLst/>
                    </a:prstGeom>
                    <a:noFill/>
                    <a:ln>
                      <a:noFill/>
                    </a:ln>
                  </pic:spPr>
                </pic:pic>
              </a:graphicData>
            </a:graphic>
          </wp:inline>
        </w:drawing>
      </w:r>
      <w:r>
        <w:drawing>
          <wp:inline distT="0" distB="0" distL="114300" distR="114300">
            <wp:extent cx="5682615" cy="7710170"/>
            <wp:effectExtent l="0" t="0" r="13335" b="5080"/>
            <wp:docPr id="30"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9"/>
                    <pic:cNvPicPr>
                      <a:picLocks noChangeAspect="1"/>
                    </pic:cNvPicPr>
                  </pic:nvPicPr>
                  <pic:blipFill>
                    <a:blip r:embed="rId34"/>
                    <a:stretch>
                      <a:fillRect/>
                    </a:stretch>
                  </pic:blipFill>
                  <pic:spPr>
                    <a:xfrm>
                      <a:off x="0" y="0"/>
                      <a:ext cx="5682615" cy="7710170"/>
                    </a:xfrm>
                    <a:prstGeom prst="rect">
                      <a:avLst/>
                    </a:prstGeom>
                    <a:noFill/>
                    <a:ln>
                      <a:noFill/>
                    </a:ln>
                  </pic:spPr>
                </pic:pic>
              </a:graphicData>
            </a:graphic>
          </wp:inline>
        </w:drawing>
      </w:r>
      <w:r>
        <w:drawing>
          <wp:inline distT="0" distB="0" distL="114300" distR="114300">
            <wp:extent cx="5682615" cy="7660640"/>
            <wp:effectExtent l="0" t="0" r="13335" b="16510"/>
            <wp:docPr id="31"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0"/>
                    <pic:cNvPicPr>
                      <a:picLocks noChangeAspect="1"/>
                    </pic:cNvPicPr>
                  </pic:nvPicPr>
                  <pic:blipFill>
                    <a:blip r:embed="rId35"/>
                    <a:stretch>
                      <a:fillRect/>
                    </a:stretch>
                  </pic:blipFill>
                  <pic:spPr>
                    <a:xfrm>
                      <a:off x="0" y="0"/>
                      <a:ext cx="5682615" cy="7660640"/>
                    </a:xfrm>
                    <a:prstGeom prst="rect">
                      <a:avLst/>
                    </a:prstGeom>
                    <a:noFill/>
                    <a:ln>
                      <a:noFill/>
                    </a:ln>
                  </pic:spPr>
                </pic:pic>
              </a:graphicData>
            </a:graphic>
          </wp:inline>
        </w:drawing>
      </w:r>
      <w:r>
        <w:drawing>
          <wp:inline distT="0" distB="0" distL="114300" distR="114300">
            <wp:extent cx="5685155" cy="7541260"/>
            <wp:effectExtent l="0" t="0" r="10795" b="2540"/>
            <wp:docPr id="32"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1"/>
                    <pic:cNvPicPr>
                      <a:picLocks noChangeAspect="1"/>
                    </pic:cNvPicPr>
                  </pic:nvPicPr>
                  <pic:blipFill>
                    <a:blip r:embed="rId36"/>
                    <a:stretch>
                      <a:fillRect/>
                    </a:stretch>
                  </pic:blipFill>
                  <pic:spPr>
                    <a:xfrm>
                      <a:off x="0" y="0"/>
                      <a:ext cx="5685155" cy="7541260"/>
                    </a:xfrm>
                    <a:prstGeom prst="rect">
                      <a:avLst/>
                    </a:prstGeom>
                    <a:noFill/>
                    <a:ln>
                      <a:noFill/>
                    </a:ln>
                  </pic:spPr>
                </pic:pic>
              </a:graphicData>
            </a:graphic>
          </wp:inline>
        </w:drawing>
      </w:r>
      <w:r>
        <w:drawing>
          <wp:inline distT="0" distB="0" distL="114300" distR="114300">
            <wp:extent cx="5685790" cy="7628890"/>
            <wp:effectExtent l="0" t="0" r="10160" b="10160"/>
            <wp:docPr id="33"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2"/>
                    <pic:cNvPicPr>
                      <a:picLocks noChangeAspect="1"/>
                    </pic:cNvPicPr>
                  </pic:nvPicPr>
                  <pic:blipFill>
                    <a:blip r:embed="rId37"/>
                    <a:stretch>
                      <a:fillRect/>
                    </a:stretch>
                  </pic:blipFill>
                  <pic:spPr>
                    <a:xfrm>
                      <a:off x="0" y="0"/>
                      <a:ext cx="5685790" cy="7628890"/>
                    </a:xfrm>
                    <a:prstGeom prst="rect">
                      <a:avLst/>
                    </a:prstGeom>
                    <a:noFill/>
                    <a:ln>
                      <a:noFill/>
                    </a:ln>
                  </pic:spPr>
                </pic:pic>
              </a:graphicData>
            </a:graphic>
          </wp:inline>
        </w:drawing>
      </w:r>
      <w:r>
        <w:drawing>
          <wp:inline distT="0" distB="0" distL="114300" distR="114300">
            <wp:extent cx="5685790" cy="7545070"/>
            <wp:effectExtent l="0" t="0" r="10160" b="17780"/>
            <wp:docPr id="34"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3"/>
                    <pic:cNvPicPr>
                      <a:picLocks noChangeAspect="1"/>
                    </pic:cNvPicPr>
                  </pic:nvPicPr>
                  <pic:blipFill>
                    <a:blip r:embed="rId38"/>
                    <a:stretch>
                      <a:fillRect/>
                    </a:stretch>
                  </pic:blipFill>
                  <pic:spPr>
                    <a:xfrm>
                      <a:off x="0" y="0"/>
                      <a:ext cx="5685790" cy="7545070"/>
                    </a:xfrm>
                    <a:prstGeom prst="rect">
                      <a:avLst/>
                    </a:prstGeom>
                    <a:noFill/>
                    <a:ln>
                      <a:noFill/>
                    </a:ln>
                  </pic:spPr>
                </pic:pic>
              </a:graphicData>
            </a:graphic>
          </wp:inline>
        </w:drawing>
      </w:r>
      <w:r>
        <w:drawing>
          <wp:inline distT="0" distB="0" distL="114300" distR="114300">
            <wp:extent cx="5682615" cy="7715885"/>
            <wp:effectExtent l="0" t="0" r="13335" b="18415"/>
            <wp:docPr id="35"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4"/>
                    <pic:cNvPicPr>
                      <a:picLocks noChangeAspect="1"/>
                    </pic:cNvPicPr>
                  </pic:nvPicPr>
                  <pic:blipFill>
                    <a:blip r:embed="rId39"/>
                    <a:stretch>
                      <a:fillRect/>
                    </a:stretch>
                  </pic:blipFill>
                  <pic:spPr>
                    <a:xfrm>
                      <a:off x="0" y="0"/>
                      <a:ext cx="5682615" cy="7715885"/>
                    </a:xfrm>
                    <a:prstGeom prst="rect">
                      <a:avLst/>
                    </a:prstGeom>
                    <a:noFill/>
                    <a:ln>
                      <a:noFill/>
                    </a:ln>
                  </pic:spPr>
                </pic:pic>
              </a:graphicData>
            </a:graphic>
          </wp:inline>
        </w:drawing>
      </w:r>
      <w:r>
        <w:drawing>
          <wp:inline distT="0" distB="0" distL="114300" distR="114300">
            <wp:extent cx="5685790" cy="7697470"/>
            <wp:effectExtent l="0" t="0" r="10160" b="17780"/>
            <wp:docPr id="36"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5"/>
                    <pic:cNvPicPr>
                      <a:picLocks noChangeAspect="1"/>
                    </pic:cNvPicPr>
                  </pic:nvPicPr>
                  <pic:blipFill>
                    <a:blip r:embed="rId40"/>
                    <a:stretch>
                      <a:fillRect/>
                    </a:stretch>
                  </pic:blipFill>
                  <pic:spPr>
                    <a:xfrm>
                      <a:off x="0" y="0"/>
                      <a:ext cx="5685790" cy="7697470"/>
                    </a:xfrm>
                    <a:prstGeom prst="rect">
                      <a:avLst/>
                    </a:prstGeom>
                    <a:noFill/>
                    <a:ln>
                      <a:noFill/>
                    </a:ln>
                  </pic:spPr>
                </pic:pic>
              </a:graphicData>
            </a:graphic>
          </wp:inline>
        </w:drawing>
      </w:r>
      <w:r>
        <w:drawing>
          <wp:inline distT="0" distB="0" distL="114300" distR="114300">
            <wp:extent cx="5682615" cy="7647940"/>
            <wp:effectExtent l="0" t="0" r="13335" b="10160"/>
            <wp:docPr id="37"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6"/>
                    <pic:cNvPicPr>
                      <a:picLocks noChangeAspect="1"/>
                    </pic:cNvPicPr>
                  </pic:nvPicPr>
                  <pic:blipFill>
                    <a:blip r:embed="rId41"/>
                    <a:stretch>
                      <a:fillRect/>
                    </a:stretch>
                  </pic:blipFill>
                  <pic:spPr>
                    <a:xfrm>
                      <a:off x="0" y="0"/>
                      <a:ext cx="5682615" cy="7647940"/>
                    </a:xfrm>
                    <a:prstGeom prst="rect">
                      <a:avLst/>
                    </a:prstGeom>
                    <a:noFill/>
                    <a:ln>
                      <a:noFill/>
                    </a:ln>
                  </pic:spPr>
                </pic:pic>
              </a:graphicData>
            </a:graphic>
          </wp:inline>
        </w:drawing>
      </w:r>
    </w:p>
    <w:p w14:paraId="61DDFB99">
      <w:pPr>
        <w:adjustRightInd w:val="0"/>
        <w:snapToGrid w:val="0"/>
        <w:spacing w:line="360" w:lineRule="auto"/>
        <w:rPr>
          <w:rFonts w:hint="eastAsia" w:ascii="宋体" w:hAnsi="宋体"/>
          <w:b/>
          <w:color w:val="FF0000"/>
          <w:sz w:val="24"/>
        </w:rPr>
      </w:pPr>
      <w:bookmarkStart w:id="315" w:name="_Hlk166473725"/>
    </w:p>
    <w:p w14:paraId="5CE17B17">
      <w:pPr>
        <w:adjustRightInd w:val="0"/>
        <w:snapToGrid w:val="0"/>
        <w:spacing w:line="360" w:lineRule="auto"/>
        <w:rPr>
          <w:rFonts w:hint="eastAsia" w:ascii="宋体" w:hAnsi="宋体"/>
          <w:b/>
          <w:color w:val="FF0000"/>
          <w:sz w:val="24"/>
        </w:rPr>
      </w:pPr>
      <w:r>
        <w:rPr>
          <w:rFonts w:hint="eastAsia" w:ascii="宋体" w:hAnsi="宋体"/>
          <w:b/>
          <w:color w:val="FF0000"/>
          <w:sz w:val="24"/>
        </w:rPr>
        <w:br w:type="page"/>
      </w:r>
    </w:p>
    <w:bookmarkEnd w:id="315"/>
    <w:p w14:paraId="3A8B2C1F">
      <w:pPr>
        <w:pStyle w:val="2"/>
        <w:keepNext/>
        <w:keepLines/>
        <w:pageBreakBefore w:val="0"/>
        <w:widowControl w:val="0"/>
        <w:tabs>
          <w:tab w:val="left" w:pos="0"/>
        </w:tabs>
        <w:kinsoku/>
        <w:wordWrap/>
        <w:overflowPunct/>
        <w:topLinePunct w:val="0"/>
        <w:autoSpaceDE w:val="0"/>
        <w:autoSpaceDN w:val="0"/>
        <w:bidi w:val="0"/>
        <w:adjustRightInd w:val="0"/>
        <w:snapToGrid w:val="0"/>
        <w:spacing w:before="0" w:after="157" w:afterLines="50" w:line="360" w:lineRule="auto"/>
        <w:ind w:left="0"/>
        <w:jc w:val="center"/>
        <w:textAlignment w:val="auto"/>
        <w:rPr>
          <w:rFonts w:hint="eastAsia" w:ascii="黑体" w:hAnsi="黑体" w:eastAsia="黑体"/>
          <w:b w:val="0"/>
          <w:bCs w:val="0"/>
        </w:rPr>
      </w:pPr>
      <w:bookmarkStart w:id="316" w:name="_Toc22847"/>
      <w:bookmarkStart w:id="317" w:name="_Toc532473493"/>
      <w:bookmarkStart w:id="318" w:name="_Toc15048333"/>
      <w:bookmarkStart w:id="319" w:name="_Toc515647802"/>
      <w:bookmarkStart w:id="320" w:name="_Toc728"/>
      <w:bookmarkStart w:id="321" w:name="_Toc216582812"/>
      <w:bookmarkStart w:id="322" w:name="_Toc17678"/>
      <w:bookmarkStart w:id="323" w:name="_Toc702"/>
      <w:r>
        <w:rPr>
          <w:rFonts w:hint="eastAsia" w:asciiTheme="majorEastAsia" w:hAnsiTheme="majorEastAsia" w:eastAsiaTheme="majorEastAsia" w:cstheme="majorEastAsia"/>
          <w:b/>
          <w:bCs/>
        </w:rPr>
        <w:t>第</w:t>
      </w:r>
      <w:r>
        <w:rPr>
          <w:rFonts w:hint="eastAsia" w:asciiTheme="majorEastAsia" w:hAnsiTheme="majorEastAsia" w:eastAsiaTheme="majorEastAsia" w:cstheme="majorEastAsia"/>
          <w:b/>
          <w:bCs/>
          <w:lang w:eastAsia="zh-CN"/>
        </w:rPr>
        <w:t>六</w:t>
      </w:r>
      <w:r>
        <w:rPr>
          <w:rFonts w:hint="eastAsia" w:asciiTheme="majorEastAsia" w:hAnsiTheme="majorEastAsia" w:eastAsiaTheme="majorEastAsia" w:cstheme="majorEastAsia"/>
          <w:b/>
          <w:bCs/>
        </w:rPr>
        <w:t>章  投标文件格式</w:t>
      </w:r>
      <w:bookmarkEnd w:id="316"/>
      <w:bookmarkEnd w:id="317"/>
      <w:bookmarkEnd w:id="318"/>
      <w:bookmarkEnd w:id="319"/>
      <w:bookmarkEnd w:id="320"/>
      <w:bookmarkEnd w:id="321"/>
      <w:bookmarkEnd w:id="322"/>
      <w:bookmarkEnd w:id="323"/>
    </w:p>
    <w:p w14:paraId="05287C6F">
      <w:pPr>
        <w:tabs>
          <w:tab w:val="left" w:pos="360"/>
        </w:tabs>
        <w:spacing w:line="360" w:lineRule="auto"/>
        <w:jc w:val="center"/>
        <w:rPr>
          <w:rFonts w:hint="eastAsia" w:ascii="宋体" w:hAnsi="宋体" w:cs="宋体"/>
          <w:b/>
          <w:sz w:val="44"/>
          <w:szCs w:val="44"/>
        </w:rPr>
      </w:pPr>
    </w:p>
    <w:p w14:paraId="796B4F84">
      <w:pPr>
        <w:tabs>
          <w:tab w:val="left" w:pos="360"/>
        </w:tabs>
        <w:spacing w:line="360" w:lineRule="auto"/>
        <w:jc w:val="center"/>
        <w:rPr>
          <w:rFonts w:hint="eastAsia" w:ascii="宋体" w:hAnsi="宋体" w:cs="宋体"/>
          <w:b/>
          <w:sz w:val="44"/>
          <w:szCs w:val="44"/>
        </w:rPr>
      </w:pPr>
      <w:r>
        <w:rPr>
          <w:rFonts w:hint="eastAsia" w:ascii="宋体" w:hAnsi="宋体" w:cs="宋体"/>
          <w:b/>
          <w:sz w:val="44"/>
          <w:szCs w:val="44"/>
        </w:rPr>
        <w:t>********</w:t>
      </w:r>
      <w:r>
        <w:rPr>
          <w:rFonts w:hint="eastAsia" w:ascii="宋体" w:hAnsi="宋体" w:cs="宋体"/>
          <w:b/>
          <w:sz w:val="44"/>
          <w:szCs w:val="44"/>
          <w:lang w:eastAsia="zh-CN"/>
        </w:rPr>
        <w:t>（</w:t>
      </w:r>
      <w:r>
        <w:rPr>
          <w:rFonts w:hint="eastAsia" w:ascii="宋体" w:hAnsi="宋体" w:cs="宋体"/>
          <w:b/>
          <w:sz w:val="44"/>
          <w:szCs w:val="44"/>
        </w:rPr>
        <w:t>填写项目名称</w:t>
      </w:r>
      <w:r>
        <w:rPr>
          <w:rFonts w:hint="eastAsia" w:ascii="宋体" w:hAnsi="宋体" w:cs="宋体"/>
          <w:b/>
          <w:sz w:val="44"/>
          <w:szCs w:val="44"/>
          <w:lang w:eastAsia="zh-CN"/>
        </w:rPr>
        <w:t>）</w:t>
      </w:r>
    </w:p>
    <w:p w14:paraId="1806E777">
      <w:pPr>
        <w:tabs>
          <w:tab w:val="left" w:pos="55"/>
        </w:tabs>
        <w:jc w:val="left"/>
        <w:rPr>
          <w:rFonts w:hint="eastAsia" w:ascii="宋体" w:hAnsi="宋体" w:cs="宋体"/>
          <w:b/>
          <w:w w:val="150"/>
          <w:sz w:val="84"/>
        </w:rPr>
      </w:pPr>
    </w:p>
    <w:p w14:paraId="038143F8">
      <w:pPr>
        <w:tabs>
          <w:tab w:val="left" w:pos="55"/>
        </w:tabs>
        <w:jc w:val="left"/>
        <w:rPr>
          <w:rFonts w:hint="eastAsia" w:ascii="宋体" w:hAnsi="宋体" w:cs="宋体"/>
          <w:b/>
          <w:w w:val="150"/>
          <w:sz w:val="48"/>
          <w:szCs w:val="48"/>
        </w:rPr>
      </w:pPr>
      <w:r>
        <w:rPr>
          <w:rFonts w:hint="eastAsia" w:ascii="宋体" w:hAnsi="宋体" w:cs="宋体"/>
          <w:b/>
          <w:w w:val="150"/>
          <w:sz w:val="84"/>
        </w:rPr>
        <w:tab/>
      </w:r>
    </w:p>
    <w:p w14:paraId="02DFC6EC">
      <w:pPr>
        <w:tabs>
          <w:tab w:val="left" w:pos="1950"/>
        </w:tabs>
        <w:jc w:val="left"/>
        <w:rPr>
          <w:rFonts w:hint="eastAsia" w:ascii="宋体" w:hAnsi="宋体" w:cs="宋体"/>
          <w:b/>
          <w:w w:val="150"/>
          <w:sz w:val="48"/>
          <w:szCs w:val="48"/>
        </w:rPr>
      </w:pPr>
    </w:p>
    <w:p w14:paraId="666C08C9">
      <w:pPr>
        <w:tabs>
          <w:tab w:val="left" w:pos="1950"/>
        </w:tabs>
        <w:jc w:val="left"/>
        <w:rPr>
          <w:rFonts w:hint="eastAsia" w:ascii="宋体" w:hAnsi="宋体" w:cs="宋体"/>
          <w:b/>
          <w:w w:val="150"/>
          <w:sz w:val="48"/>
          <w:szCs w:val="48"/>
        </w:rPr>
      </w:pPr>
    </w:p>
    <w:p w14:paraId="4929692B">
      <w:pPr>
        <w:jc w:val="center"/>
        <w:rPr>
          <w:rFonts w:hint="eastAsia" w:ascii="宋体" w:hAnsi="宋体" w:cs="宋体"/>
          <w:b/>
          <w:sz w:val="84"/>
          <w:szCs w:val="84"/>
        </w:rPr>
      </w:pPr>
      <w:r>
        <w:rPr>
          <w:rFonts w:hint="eastAsia" w:ascii="宋体" w:hAnsi="宋体" w:cs="宋体"/>
          <w:b/>
          <w:sz w:val="84"/>
          <w:szCs w:val="84"/>
        </w:rPr>
        <w:t>投  标 文 件</w:t>
      </w:r>
    </w:p>
    <w:p w14:paraId="0332EA73">
      <w:pPr>
        <w:keepNext w:val="0"/>
        <w:keepLines w:val="0"/>
        <w:pageBreakBefore w:val="0"/>
        <w:widowControl w:val="0"/>
        <w:kinsoku/>
        <w:wordWrap/>
        <w:overflowPunct/>
        <w:topLinePunct w:val="0"/>
        <w:autoSpaceDE/>
        <w:autoSpaceDN/>
        <w:bidi w:val="0"/>
        <w:adjustRightInd/>
        <w:snapToGrid/>
        <w:spacing w:before="157" w:beforeLines="50" w:line="360" w:lineRule="auto"/>
        <w:jc w:val="center"/>
        <w:textAlignment w:val="auto"/>
        <w:rPr>
          <w:rFonts w:ascii="宋体" w:hAnsi="宋体" w:cs="宋体"/>
          <w:b/>
          <w:bCs/>
          <w:sz w:val="28"/>
          <w:szCs w:val="28"/>
        </w:rPr>
      </w:pPr>
      <w:r>
        <w:rPr>
          <w:rFonts w:hint="eastAsia" w:ascii="宋体" w:hAnsi="宋体" w:cs="宋体"/>
          <w:b/>
          <w:bCs/>
          <w:sz w:val="28"/>
          <w:szCs w:val="28"/>
        </w:rPr>
        <w:t>项目编号：******</w:t>
      </w:r>
    </w:p>
    <w:p w14:paraId="374FAC99">
      <w:pPr>
        <w:spacing w:line="360" w:lineRule="auto"/>
        <w:jc w:val="center"/>
        <w:rPr>
          <w:rFonts w:hint="eastAsia" w:ascii="宋体" w:hAnsi="宋体" w:cs="宋体"/>
          <w:b/>
          <w:bCs/>
          <w:szCs w:val="21"/>
        </w:rPr>
      </w:pPr>
    </w:p>
    <w:p w14:paraId="08DBCAF3">
      <w:pPr>
        <w:spacing w:line="360" w:lineRule="auto"/>
        <w:jc w:val="center"/>
        <w:rPr>
          <w:rFonts w:hint="eastAsia" w:ascii="宋体" w:hAnsi="宋体" w:cs="宋体"/>
          <w:b/>
          <w:sz w:val="32"/>
        </w:rPr>
      </w:pPr>
    </w:p>
    <w:p w14:paraId="449FCB36">
      <w:pPr>
        <w:spacing w:line="360" w:lineRule="auto"/>
        <w:jc w:val="both"/>
        <w:rPr>
          <w:rFonts w:hint="eastAsia" w:ascii="宋体" w:hAnsi="宋体" w:cs="宋体"/>
          <w:b/>
          <w:sz w:val="32"/>
        </w:rPr>
      </w:pPr>
    </w:p>
    <w:p w14:paraId="64EC5623">
      <w:pPr>
        <w:spacing w:line="360" w:lineRule="auto"/>
        <w:rPr>
          <w:rFonts w:hint="eastAsia" w:ascii="宋体" w:hAnsi="宋体" w:cs="宋体"/>
          <w:b/>
          <w:sz w:val="32"/>
        </w:rPr>
      </w:pPr>
    </w:p>
    <w:p w14:paraId="357C6882">
      <w:pPr>
        <w:spacing w:line="360" w:lineRule="auto"/>
        <w:jc w:val="center"/>
        <w:rPr>
          <w:rFonts w:hint="eastAsia" w:ascii="宋体" w:hAnsi="宋体" w:eastAsia="宋体" w:cs="宋体"/>
          <w:b/>
          <w:sz w:val="28"/>
          <w:szCs w:val="28"/>
          <w:u w:val="single"/>
        </w:rPr>
      </w:pPr>
    </w:p>
    <w:p w14:paraId="29B52339">
      <w:pPr>
        <w:spacing w:line="360" w:lineRule="auto"/>
        <w:jc w:val="center"/>
        <w:rPr>
          <w:rFonts w:hint="eastAsia" w:ascii="宋体" w:hAnsi="宋体" w:eastAsia="宋体" w:cs="宋体"/>
          <w:b/>
          <w:sz w:val="28"/>
          <w:szCs w:val="28"/>
          <w:u w:val="single"/>
        </w:rPr>
      </w:pPr>
      <w:r>
        <w:rPr>
          <w:rFonts w:hint="eastAsia" w:ascii="宋体" w:hAnsi="宋体" w:eastAsia="宋体" w:cs="宋体"/>
          <w:b/>
          <w:sz w:val="28"/>
          <w:szCs w:val="28"/>
          <w:u w:val="single"/>
        </w:rPr>
        <w:t>投标人：                       （单位电子签章）</w:t>
      </w:r>
    </w:p>
    <w:p w14:paraId="4E7C06C6">
      <w:pPr>
        <w:spacing w:line="360" w:lineRule="auto"/>
        <w:jc w:val="center"/>
        <w:rPr>
          <w:rFonts w:hint="eastAsia" w:ascii="宋体" w:hAnsi="宋体" w:eastAsia="宋体" w:cs="宋体"/>
          <w:b/>
          <w:sz w:val="28"/>
          <w:szCs w:val="28"/>
        </w:rPr>
      </w:pPr>
      <w:r>
        <w:rPr>
          <w:rFonts w:hint="eastAsia" w:ascii="宋体" w:hAnsi="宋体" w:eastAsia="宋体" w:cs="宋体"/>
          <w:b/>
          <w:sz w:val="28"/>
          <w:szCs w:val="28"/>
          <w:u w:val="single"/>
        </w:rPr>
        <w:t>法定代表人或其委托代理人：                 （电子签名或盖章</w:t>
      </w:r>
      <w:r>
        <w:rPr>
          <w:rFonts w:hint="eastAsia" w:ascii="宋体" w:hAnsi="宋体" w:eastAsia="宋体" w:cs="宋体"/>
          <w:b/>
          <w:sz w:val="28"/>
          <w:szCs w:val="28"/>
        </w:rPr>
        <w:t>）</w:t>
      </w:r>
    </w:p>
    <w:p w14:paraId="6219A380">
      <w:pPr>
        <w:spacing w:line="360" w:lineRule="auto"/>
        <w:ind w:firstLine="1124" w:firstLineChars="400"/>
        <w:rPr>
          <w:rFonts w:hint="eastAsia" w:ascii="宋体" w:hAnsi="宋体" w:cs="宋体"/>
          <w:b/>
          <w:sz w:val="28"/>
          <w:szCs w:val="28"/>
        </w:rPr>
      </w:pPr>
    </w:p>
    <w:p w14:paraId="4BE77906">
      <w:pPr>
        <w:spacing w:line="360" w:lineRule="auto"/>
        <w:ind w:firstLine="1124" w:firstLineChars="400"/>
        <w:rPr>
          <w:rFonts w:hint="eastAsia" w:ascii="宋体" w:hAnsi="宋体" w:cs="宋体"/>
          <w:b/>
          <w:sz w:val="28"/>
          <w:szCs w:val="28"/>
        </w:rPr>
      </w:pPr>
      <w:r>
        <w:rPr>
          <w:rFonts w:hint="eastAsia" w:ascii="宋体" w:hAnsi="宋体" w:cs="宋体"/>
          <w:b/>
          <w:sz w:val="28"/>
          <w:szCs w:val="28"/>
        </w:rPr>
        <w:t>日    期：    年    月    日</w:t>
      </w:r>
    </w:p>
    <w:p w14:paraId="5A03D29D">
      <w:pPr>
        <w:spacing w:line="360" w:lineRule="auto"/>
        <w:rPr>
          <w:rFonts w:hint="eastAsia" w:ascii="宋体" w:hAnsi="宋体"/>
          <w:sz w:val="24"/>
        </w:rPr>
      </w:pPr>
    </w:p>
    <w:p w14:paraId="27B6E3F8">
      <w:pPr>
        <w:rPr>
          <w:rFonts w:hint="default" w:ascii="Times New Roman" w:hAnsi="Times New Roman" w:eastAsia="仿宋" w:cs="Times New Roman"/>
          <w:bCs/>
          <w:szCs w:val="24"/>
        </w:rPr>
      </w:pPr>
      <w:r>
        <w:rPr>
          <w:rFonts w:hint="eastAsia"/>
        </w:rPr>
        <w:br w:type="page"/>
      </w:r>
    </w:p>
    <w:p w14:paraId="68FFCF81">
      <w:pPr>
        <w:spacing w:line="400" w:lineRule="exact"/>
        <w:ind w:right="210"/>
        <w:jc w:val="center"/>
        <w:rPr>
          <w:rFonts w:hint="eastAsia" w:ascii="宋体" w:hAnsi="宋体" w:cs="宋体"/>
          <w:b/>
          <w:bCs/>
          <w:color w:val="auto"/>
          <w:sz w:val="32"/>
          <w:szCs w:val="48"/>
        </w:rPr>
      </w:pPr>
      <w:bookmarkStart w:id="324" w:name="_Toc29703"/>
      <w:bookmarkStart w:id="325" w:name="_Toc10053"/>
      <w:bookmarkStart w:id="326" w:name="_Toc532473502"/>
      <w:bookmarkStart w:id="327" w:name="_Toc515647813"/>
      <w:bookmarkStart w:id="328" w:name="_Toc17207"/>
      <w:bookmarkStart w:id="329" w:name="_Toc913"/>
      <w:bookmarkStart w:id="330" w:name="_Toc15048343"/>
      <w:r>
        <w:rPr>
          <w:rFonts w:hint="eastAsia" w:ascii="宋体" w:hAnsi="宋体" w:cs="宋体"/>
          <w:b/>
          <w:bCs/>
          <w:color w:val="auto"/>
          <w:sz w:val="32"/>
          <w:szCs w:val="48"/>
        </w:rPr>
        <w:t>目  录</w:t>
      </w:r>
    </w:p>
    <w:p w14:paraId="350EBEDD">
      <w:pPr>
        <w:spacing w:line="480" w:lineRule="auto"/>
        <w:ind w:firstLine="420" w:firstLineChars="200"/>
        <w:rPr>
          <w:rFonts w:ascii="宋体" w:hAnsi="宋体" w:cs="宋体"/>
          <w:color w:val="auto"/>
          <w:szCs w:val="21"/>
        </w:rPr>
      </w:pPr>
      <w:r>
        <w:rPr>
          <w:rFonts w:hint="eastAsia" w:ascii="宋体" w:hAnsi="宋体" w:cs="宋体"/>
          <w:color w:val="auto"/>
          <w:szCs w:val="21"/>
        </w:rPr>
        <w:t xml:space="preserve">一、投标函及投标函附录 </w:t>
      </w:r>
    </w:p>
    <w:p w14:paraId="2EABBF09">
      <w:pPr>
        <w:spacing w:line="480" w:lineRule="auto"/>
        <w:ind w:firstLine="420" w:firstLineChars="200"/>
        <w:rPr>
          <w:rFonts w:ascii="宋体" w:hAnsi="宋体" w:cs="宋体"/>
          <w:color w:val="auto"/>
          <w:szCs w:val="21"/>
        </w:rPr>
      </w:pPr>
      <w:r>
        <w:rPr>
          <w:rFonts w:hint="eastAsia" w:ascii="宋体" w:hAnsi="宋体" w:cs="宋体"/>
          <w:color w:val="auto"/>
          <w:szCs w:val="21"/>
        </w:rPr>
        <w:t>二、法定代表人身份证明</w:t>
      </w:r>
    </w:p>
    <w:p w14:paraId="6E0ADF30">
      <w:pPr>
        <w:spacing w:line="480" w:lineRule="auto"/>
        <w:ind w:firstLine="420" w:firstLineChars="200"/>
        <w:rPr>
          <w:rFonts w:hint="eastAsia" w:ascii="宋体" w:hAnsi="宋体" w:cs="宋体"/>
          <w:color w:val="auto"/>
          <w:szCs w:val="21"/>
        </w:rPr>
      </w:pPr>
      <w:r>
        <w:rPr>
          <w:rFonts w:hint="eastAsia" w:ascii="宋体" w:hAnsi="宋体" w:cs="宋体"/>
          <w:color w:val="auto"/>
          <w:szCs w:val="21"/>
        </w:rPr>
        <w:t>三、授权委托书</w:t>
      </w:r>
    </w:p>
    <w:p w14:paraId="4E95ED73">
      <w:pPr>
        <w:spacing w:line="480" w:lineRule="auto"/>
        <w:ind w:firstLine="420" w:firstLineChars="200"/>
        <w:rPr>
          <w:rFonts w:ascii="宋体" w:hAnsi="宋体" w:cs="宋体"/>
          <w:color w:val="auto"/>
          <w:szCs w:val="21"/>
        </w:rPr>
      </w:pPr>
      <w:r>
        <w:rPr>
          <w:rFonts w:hint="eastAsia" w:ascii="宋体" w:hAnsi="宋体" w:cs="宋体"/>
          <w:color w:val="auto"/>
          <w:szCs w:val="21"/>
        </w:rPr>
        <w:t>四、分项报价表</w:t>
      </w:r>
    </w:p>
    <w:p w14:paraId="0FABD6F8">
      <w:pPr>
        <w:spacing w:line="480" w:lineRule="auto"/>
        <w:ind w:firstLine="420" w:firstLineChars="200"/>
        <w:rPr>
          <w:rFonts w:ascii="宋体" w:hAnsi="宋体" w:cs="宋体"/>
          <w:color w:val="auto"/>
          <w:szCs w:val="21"/>
        </w:rPr>
      </w:pPr>
      <w:r>
        <w:rPr>
          <w:rFonts w:hint="eastAsia" w:ascii="宋体" w:hAnsi="宋体" w:cs="宋体"/>
          <w:color w:val="auto"/>
          <w:szCs w:val="21"/>
        </w:rPr>
        <w:t>五、技术规格偏离表</w:t>
      </w:r>
    </w:p>
    <w:p w14:paraId="2F090ACF">
      <w:pPr>
        <w:spacing w:line="480" w:lineRule="auto"/>
        <w:ind w:firstLine="420" w:firstLineChars="200"/>
        <w:rPr>
          <w:rFonts w:ascii="宋体" w:hAnsi="宋体" w:cs="宋体"/>
          <w:color w:val="auto"/>
          <w:szCs w:val="21"/>
        </w:rPr>
      </w:pPr>
      <w:r>
        <w:rPr>
          <w:rFonts w:hint="eastAsia" w:ascii="宋体" w:hAnsi="宋体" w:cs="宋体"/>
          <w:color w:val="auto"/>
          <w:szCs w:val="21"/>
          <w:lang w:val="en-US" w:eastAsia="zh-CN"/>
        </w:rPr>
        <w:t>六、</w:t>
      </w:r>
      <w:r>
        <w:rPr>
          <w:rFonts w:hint="eastAsia" w:ascii="宋体" w:hAnsi="宋体" w:cs="宋体"/>
          <w:color w:val="auto"/>
          <w:szCs w:val="21"/>
        </w:rPr>
        <w:t>技术方案</w:t>
      </w:r>
    </w:p>
    <w:p w14:paraId="6FB79951">
      <w:pPr>
        <w:spacing w:line="480" w:lineRule="auto"/>
        <w:ind w:firstLine="420" w:firstLineChars="200"/>
        <w:rPr>
          <w:rFonts w:ascii="宋体" w:hAnsi="宋体" w:cs="宋体"/>
          <w:color w:val="auto"/>
          <w:szCs w:val="21"/>
        </w:rPr>
      </w:pPr>
      <w:r>
        <w:rPr>
          <w:rFonts w:hint="eastAsia" w:ascii="宋体" w:hAnsi="宋体" w:cs="宋体"/>
          <w:color w:val="auto"/>
          <w:szCs w:val="21"/>
          <w:lang w:val="en-US" w:eastAsia="zh-CN"/>
        </w:rPr>
        <w:t>七</w:t>
      </w:r>
      <w:r>
        <w:rPr>
          <w:rFonts w:hint="eastAsia" w:ascii="宋体" w:hAnsi="宋体" w:cs="宋体"/>
          <w:color w:val="auto"/>
          <w:szCs w:val="21"/>
        </w:rPr>
        <w:t>、资格审查资料</w:t>
      </w:r>
    </w:p>
    <w:p w14:paraId="7DDD35FC">
      <w:pPr>
        <w:spacing w:line="480" w:lineRule="auto"/>
        <w:ind w:firstLine="420" w:firstLineChars="200"/>
        <w:rPr>
          <w:rFonts w:ascii="宋体" w:hAnsi="宋体" w:cs="宋体"/>
          <w:color w:val="auto"/>
          <w:szCs w:val="21"/>
        </w:rPr>
      </w:pPr>
      <w:r>
        <w:rPr>
          <w:rFonts w:hint="eastAsia" w:ascii="宋体" w:hAnsi="宋体" w:cs="宋体"/>
          <w:color w:val="auto"/>
          <w:szCs w:val="21"/>
          <w:lang w:val="en-US" w:eastAsia="zh-CN"/>
        </w:rPr>
        <w:t>八</w:t>
      </w:r>
      <w:r>
        <w:rPr>
          <w:rFonts w:hint="eastAsia" w:ascii="宋体" w:hAnsi="宋体" w:cs="宋体"/>
          <w:color w:val="auto"/>
          <w:szCs w:val="21"/>
        </w:rPr>
        <w:t>、其他材料</w:t>
      </w:r>
    </w:p>
    <w:p w14:paraId="2D3FDF5E">
      <w:pPr>
        <w:spacing w:line="400" w:lineRule="exact"/>
        <w:ind w:left="210" w:right="210"/>
        <w:jc w:val="center"/>
        <w:rPr>
          <w:rFonts w:ascii="宋体" w:hAnsi="宋体" w:cs="宋体"/>
          <w:b/>
          <w:color w:val="auto"/>
          <w:sz w:val="28"/>
          <w:szCs w:val="28"/>
        </w:rPr>
      </w:pPr>
    </w:p>
    <w:p w14:paraId="5E67046A">
      <w:pPr>
        <w:spacing w:line="400" w:lineRule="exact"/>
        <w:ind w:left="210" w:right="210"/>
        <w:jc w:val="center"/>
        <w:rPr>
          <w:rFonts w:ascii="宋体" w:hAnsi="宋体" w:cs="宋体"/>
          <w:b/>
          <w:color w:val="auto"/>
          <w:sz w:val="28"/>
          <w:szCs w:val="28"/>
        </w:rPr>
      </w:pPr>
    </w:p>
    <w:p w14:paraId="72882307">
      <w:pPr>
        <w:spacing w:line="400" w:lineRule="exact"/>
        <w:ind w:left="210" w:right="210"/>
        <w:jc w:val="center"/>
        <w:rPr>
          <w:rFonts w:ascii="宋体" w:hAnsi="宋体" w:cs="宋体"/>
          <w:b/>
          <w:color w:val="auto"/>
          <w:sz w:val="28"/>
          <w:szCs w:val="28"/>
        </w:rPr>
      </w:pPr>
    </w:p>
    <w:p w14:paraId="319E09BF">
      <w:pPr>
        <w:spacing w:line="400" w:lineRule="exact"/>
        <w:ind w:left="210" w:right="210"/>
        <w:jc w:val="center"/>
        <w:rPr>
          <w:rFonts w:ascii="宋体" w:hAnsi="宋体" w:cs="宋体"/>
          <w:b/>
          <w:color w:val="auto"/>
          <w:sz w:val="28"/>
          <w:szCs w:val="28"/>
        </w:rPr>
      </w:pPr>
    </w:p>
    <w:p w14:paraId="5356C678">
      <w:pPr>
        <w:spacing w:line="360" w:lineRule="auto"/>
        <w:ind w:firstLine="440" w:firstLineChars="200"/>
        <w:rPr>
          <w:rFonts w:hint="eastAsia" w:ascii="宋体" w:hAnsi="宋体" w:cs="宋体"/>
          <w:color w:val="auto"/>
          <w:sz w:val="22"/>
          <w:szCs w:val="22"/>
          <w:highlight w:val="none"/>
        </w:rPr>
      </w:pPr>
      <w:r>
        <w:rPr>
          <w:rFonts w:hint="eastAsia" w:ascii="宋体" w:hAnsi="宋体" w:cs="宋体"/>
          <w:color w:val="FF0000"/>
          <w:sz w:val="22"/>
          <w:szCs w:val="22"/>
          <w:highlight w:val="none"/>
          <w:lang w:val="en-US" w:eastAsia="zh-CN"/>
        </w:rPr>
        <w:t>注：投标人需要编制连续带页码的目录</w:t>
      </w:r>
    </w:p>
    <w:p w14:paraId="4905388C">
      <w:pPr>
        <w:spacing w:line="400" w:lineRule="exact"/>
        <w:ind w:left="210" w:right="210"/>
        <w:jc w:val="center"/>
        <w:rPr>
          <w:rFonts w:ascii="宋体" w:hAnsi="宋体" w:cs="宋体"/>
          <w:b/>
          <w:color w:val="auto"/>
          <w:sz w:val="28"/>
          <w:szCs w:val="28"/>
        </w:rPr>
      </w:pPr>
    </w:p>
    <w:p w14:paraId="7A0C3B63">
      <w:pPr>
        <w:pStyle w:val="3"/>
        <w:numPr>
          <w:ilvl w:val="0"/>
          <w:numId w:val="0"/>
        </w:numPr>
        <w:spacing w:line="400" w:lineRule="exact"/>
        <w:ind w:left="210" w:right="210"/>
        <w:jc w:val="center"/>
        <w:rPr>
          <w:rFonts w:hint="eastAsia" w:ascii="宋体" w:hAnsi="宋体" w:eastAsia="宋体" w:cs="宋体"/>
          <w:b/>
          <w:color w:val="auto"/>
          <w:szCs w:val="28"/>
        </w:rPr>
      </w:pPr>
      <w:bookmarkStart w:id="331" w:name="_Toc3804"/>
    </w:p>
    <w:p w14:paraId="24BC774F">
      <w:pPr>
        <w:pStyle w:val="3"/>
        <w:numPr>
          <w:ilvl w:val="0"/>
          <w:numId w:val="0"/>
        </w:numPr>
        <w:spacing w:line="400" w:lineRule="exact"/>
        <w:ind w:left="210" w:right="210"/>
        <w:jc w:val="center"/>
        <w:rPr>
          <w:rFonts w:hint="eastAsia" w:ascii="宋体" w:hAnsi="宋体" w:eastAsia="宋体" w:cs="宋体"/>
          <w:b/>
          <w:color w:val="auto"/>
          <w:szCs w:val="28"/>
        </w:rPr>
      </w:pPr>
    </w:p>
    <w:p w14:paraId="7E723899">
      <w:pPr>
        <w:pStyle w:val="3"/>
        <w:numPr>
          <w:ilvl w:val="0"/>
          <w:numId w:val="0"/>
        </w:numPr>
        <w:spacing w:line="400" w:lineRule="exact"/>
        <w:ind w:left="210" w:right="210"/>
        <w:jc w:val="center"/>
        <w:rPr>
          <w:rFonts w:hint="eastAsia" w:ascii="宋体" w:hAnsi="宋体" w:eastAsia="宋体" w:cs="宋体"/>
          <w:b/>
          <w:color w:val="auto"/>
          <w:szCs w:val="28"/>
        </w:rPr>
      </w:pPr>
    </w:p>
    <w:p w14:paraId="5C5B38EF">
      <w:pPr>
        <w:bidi w:val="0"/>
        <w:rPr>
          <w:rFonts w:hint="eastAsia"/>
        </w:rPr>
      </w:pPr>
    </w:p>
    <w:p w14:paraId="325ADC8A">
      <w:pPr>
        <w:bidi w:val="0"/>
        <w:rPr>
          <w:rFonts w:hint="eastAsia"/>
        </w:rPr>
      </w:pPr>
    </w:p>
    <w:p w14:paraId="0B08F805">
      <w:pPr>
        <w:bidi w:val="0"/>
        <w:rPr>
          <w:rFonts w:hint="eastAsia"/>
        </w:rPr>
      </w:pPr>
    </w:p>
    <w:p w14:paraId="414AE5FE">
      <w:pPr>
        <w:bidi w:val="0"/>
        <w:rPr>
          <w:rFonts w:hint="eastAsia"/>
        </w:rPr>
      </w:pPr>
    </w:p>
    <w:p w14:paraId="43BE2773">
      <w:pPr>
        <w:bidi w:val="0"/>
        <w:rPr>
          <w:rFonts w:hint="eastAsia"/>
        </w:rPr>
      </w:pPr>
    </w:p>
    <w:p w14:paraId="7F1E61EB">
      <w:pPr>
        <w:bidi w:val="0"/>
        <w:rPr>
          <w:rFonts w:hint="eastAsia"/>
        </w:rPr>
      </w:pPr>
    </w:p>
    <w:p w14:paraId="260AF335">
      <w:pPr>
        <w:bidi w:val="0"/>
        <w:rPr>
          <w:rFonts w:hint="eastAsia"/>
        </w:rPr>
      </w:pPr>
    </w:p>
    <w:p w14:paraId="5BDF767E">
      <w:pPr>
        <w:bidi w:val="0"/>
        <w:rPr>
          <w:rFonts w:hint="eastAsia"/>
        </w:rPr>
      </w:pPr>
    </w:p>
    <w:p w14:paraId="16262C2E">
      <w:pPr>
        <w:bidi w:val="0"/>
        <w:rPr>
          <w:rFonts w:hint="eastAsia"/>
        </w:rPr>
      </w:pPr>
    </w:p>
    <w:p w14:paraId="18CF42B6">
      <w:pPr>
        <w:bidi w:val="0"/>
        <w:rPr>
          <w:rFonts w:hint="eastAsia"/>
        </w:rPr>
      </w:pPr>
    </w:p>
    <w:p w14:paraId="6A2E03E4">
      <w:pPr>
        <w:bidi w:val="0"/>
        <w:rPr>
          <w:rFonts w:hint="eastAsia"/>
        </w:rPr>
      </w:pPr>
    </w:p>
    <w:p w14:paraId="6D2F1679">
      <w:pPr>
        <w:bidi w:val="0"/>
        <w:rPr>
          <w:rFonts w:hint="eastAsia"/>
        </w:rPr>
      </w:pPr>
    </w:p>
    <w:p w14:paraId="76550C59">
      <w:pPr>
        <w:bidi w:val="0"/>
        <w:rPr>
          <w:rFonts w:hint="eastAsia"/>
        </w:rPr>
      </w:pPr>
    </w:p>
    <w:p w14:paraId="4283C16B">
      <w:pPr>
        <w:bidi w:val="0"/>
        <w:rPr>
          <w:rFonts w:hint="eastAsia"/>
        </w:rPr>
      </w:pPr>
    </w:p>
    <w:p w14:paraId="1B460582">
      <w:pPr>
        <w:pStyle w:val="3"/>
        <w:numPr>
          <w:ilvl w:val="0"/>
          <w:numId w:val="0"/>
        </w:numPr>
        <w:adjustRightInd w:val="0"/>
        <w:spacing w:before="160" w:after="160" w:line="400" w:lineRule="exact"/>
        <w:ind w:left="210" w:right="210" w:hanging="284"/>
        <w:jc w:val="center"/>
        <w:textAlignment w:val="baseline"/>
        <w:rPr>
          <w:rFonts w:hint="eastAsia" w:ascii="宋体" w:hAnsi="宋体" w:eastAsia="宋体" w:cs="宋体"/>
          <w:b/>
          <w:bCs w:val="0"/>
          <w:color w:val="auto"/>
          <w:kern w:val="0"/>
          <w:sz w:val="28"/>
          <w:szCs w:val="28"/>
        </w:rPr>
      </w:pPr>
      <w:r>
        <w:rPr>
          <w:rFonts w:hint="eastAsia" w:ascii="宋体" w:hAnsi="宋体" w:eastAsia="宋体" w:cs="宋体"/>
          <w:b/>
          <w:bCs w:val="0"/>
          <w:color w:val="auto"/>
          <w:kern w:val="0"/>
          <w:sz w:val="28"/>
          <w:szCs w:val="28"/>
        </w:rPr>
        <w:t>一、投标函及投标函附录</w:t>
      </w:r>
      <w:bookmarkEnd w:id="331"/>
    </w:p>
    <w:p w14:paraId="3EBEB166">
      <w:pPr>
        <w:pStyle w:val="3"/>
        <w:numPr>
          <w:ilvl w:val="0"/>
          <w:numId w:val="0"/>
        </w:numPr>
        <w:adjustRightInd w:val="0"/>
        <w:spacing w:before="160" w:after="160" w:line="400" w:lineRule="exact"/>
        <w:ind w:left="210" w:right="210" w:hanging="284"/>
        <w:jc w:val="center"/>
        <w:textAlignment w:val="baseline"/>
        <w:rPr>
          <w:rFonts w:hint="eastAsia" w:ascii="宋体" w:hAnsi="宋体" w:eastAsia="宋体" w:cs="宋体"/>
          <w:b/>
          <w:bCs w:val="0"/>
          <w:color w:val="auto"/>
          <w:kern w:val="0"/>
          <w:sz w:val="28"/>
          <w:szCs w:val="28"/>
        </w:rPr>
      </w:pPr>
      <w:r>
        <w:rPr>
          <w:rFonts w:hint="eastAsia" w:ascii="宋体" w:hAnsi="宋体" w:eastAsia="宋体" w:cs="宋体"/>
          <w:b/>
          <w:bCs w:val="0"/>
          <w:color w:val="auto"/>
          <w:kern w:val="0"/>
          <w:sz w:val="28"/>
          <w:szCs w:val="28"/>
        </w:rPr>
        <w:t>（一）投标函</w:t>
      </w:r>
    </w:p>
    <w:p w14:paraId="4F957CFE">
      <w:pPr>
        <w:widowControl/>
        <w:spacing w:line="400" w:lineRule="exact"/>
        <w:rPr>
          <w:rFonts w:ascii="宋体" w:hAnsi="宋体" w:cs="宋体"/>
          <w:color w:val="auto"/>
          <w:szCs w:val="21"/>
          <w:u w:val="single"/>
        </w:rPr>
      </w:pPr>
      <w:r>
        <w:rPr>
          <w:rFonts w:hint="eastAsia" w:ascii="宋体" w:hAnsi="宋体" w:cs="宋体"/>
          <w:color w:val="auto"/>
          <w:szCs w:val="21"/>
        </w:rPr>
        <w:t>致：</w:t>
      </w:r>
      <w:r>
        <w:rPr>
          <w:rFonts w:hint="eastAsia" w:ascii="宋体" w:hAnsi="宋体" w:cs="宋体"/>
          <w:color w:val="auto"/>
          <w:szCs w:val="21"/>
          <w:u w:val="single"/>
        </w:rPr>
        <w:t xml:space="preserve">（招标人）    </w:t>
      </w:r>
    </w:p>
    <w:p w14:paraId="79CA9776">
      <w:pPr>
        <w:spacing w:line="400" w:lineRule="exact"/>
        <w:ind w:firstLine="420" w:firstLineChars="200"/>
        <w:jc w:val="left"/>
        <w:rPr>
          <w:rFonts w:ascii="宋体" w:hAnsi="宋体" w:cs="宋体"/>
          <w:color w:val="auto"/>
          <w:szCs w:val="21"/>
        </w:rPr>
      </w:pPr>
      <w:r>
        <w:rPr>
          <w:rFonts w:hint="eastAsia" w:ascii="宋体" w:hAnsi="宋体" w:cs="宋体"/>
          <w:color w:val="auto"/>
          <w:szCs w:val="21"/>
        </w:rPr>
        <w:t>1.我方已仔细研究了</w:t>
      </w:r>
      <w:r>
        <w:rPr>
          <w:rFonts w:hint="eastAsia" w:ascii="宋体" w:hAnsi="宋体" w:cs="宋体"/>
          <w:color w:val="auto"/>
          <w:szCs w:val="21"/>
          <w:u w:val="single"/>
        </w:rPr>
        <w:t xml:space="preserve">            </w:t>
      </w:r>
      <w:r>
        <w:rPr>
          <w:rFonts w:hint="eastAsia" w:ascii="宋体" w:hAnsi="宋体" w:cs="宋体"/>
          <w:color w:val="auto"/>
          <w:szCs w:val="21"/>
        </w:rPr>
        <w:t>（项目名称）招标文件的全部内容，愿以人民币（大写）</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cs="宋体"/>
          <w:color w:val="auto"/>
          <w:szCs w:val="21"/>
          <w:u w:val="single"/>
        </w:rPr>
        <w:t xml:space="preserve"> </w:t>
      </w:r>
      <w:r>
        <w:rPr>
          <w:rFonts w:hint="eastAsia" w:ascii="宋体" w:hAnsi="宋体" w:cs="宋体"/>
          <w:color w:val="auto"/>
          <w:szCs w:val="21"/>
        </w:rPr>
        <w:t>（￥</w:t>
      </w:r>
      <w:r>
        <w:rPr>
          <w:rFonts w:hint="eastAsia" w:ascii="宋体" w:hAnsi="宋体" w:cs="宋体"/>
          <w:color w:val="auto"/>
          <w:szCs w:val="21"/>
          <w:u w:val="single"/>
        </w:rPr>
        <w:t xml:space="preserve">     </w:t>
      </w:r>
      <w:r>
        <w:rPr>
          <w:rFonts w:hint="eastAsia" w:ascii="宋体" w:hAnsi="宋体" w:cs="宋体"/>
          <w:color w:val="auto"/>
          <w:szCs w:val="21"/>
        </w:rPr>
        <w:t>元）</w:t>
      </w:r>
      <w:r>
        <w:rPr>
          <w:rFonts w:hint="eastAsia" w:ascii="宋体" w:hAnsi="宋体" w:cs="宋体"/>
          <w:color w:val="auto"/>
          <w:szCs w:val="21"/>
          <w:lang w:val="en-US" w:eastAsia="zh-CN"/>
        </w:rPr>
        <w:t>的投标</w:t>
      </w:r>
      <w:r>
        <w:rPr>
          <w:rFonts w:hint="eastAsia" w:ascii="宋体" w:hAnsi="宋体" w:cs="宋体"/>
          <w:color w:val="auto"/>
          <w:szCs w:val="21"/>
        </w:rPr>
        <w:t>报价，提供招标文件规定的各项服务，并按合同约定履行义务。</w:t>
      </w:r>
    </w:p>
    <w:p w14:paraId="2A867D80">
      <w:pPr>
        <w:spacing w:line="400" w:lineRule="exact"/>
        <w:ind w:firstLine="420" w:firstLineChars="200"/>
        <w:jc w:val="left"/>
        <w:rPr>
          <w:rFonts w:ascii="宋体" w:hAnsi="宋体" w:cs="宋体"/>
          <w:color w:val="auto"/>
          <w:szCs w:val="21"/>
        </w:rPr>
      </w:pPr>
      <w:r>
        <w:rPr>
          <w:rFonts w:hint="eastAsia" w:ascii="宋体" w:hAnsi="宋体" w:cs="宋体"/>
          <w:color w:val="auto"/>
          <w:szCs w:val="21"/>
        </w:rPr>
        <w:t>2.我方承诺投标有效期为60日历天。在投标有效期内不修改、撤销投标文件。</w:t>
      </w:r>
    </w:p>
    <w:p w14:paraId="0DFEFF76">
      <w:pPr>
        <w:spacing w:line="400" w:lineRule="exact"/>
        <w:ind w:firstLine="420" w:firstLineChars="200"/>
        <w:jc w:val="left"/>
        <w:rPr>
          <w:rFonts w:ascii="宋体" w:hAnsi="宋体" w:cs="宋体"/>
          <w:color w:val="auto"/>
          <w:szCs w:val="21"/>
        </w:rPr>
      </w:pPr>
      <w:r>
        <w:rPr>
          <w:rFonts w:hint="eastAsia" w:ascii="宋体" w:hAnsi="宋体" w:cs="宋体"/>
          <w:color w:val="auto"/>
          <w:szCs w:val="21"/>
        </w:rPr>
        <w:t>3.如我方中标：</w:t>
      </w:r>
    </w:p>
    <w:p w14:paraId="674B4BF9">
      <w:pPr>
        <w:spacing w:line="400" w:lineRule="exact"/>
        <w:ind w:firstLine="210" w:firstLineChars="100"/>
        <w:jc w:val="left"/>
        <w:rPr>
          <w:rFonts w:ascii="宋体" w:hAnsi="宋体" w:cs="宋体"/>
          <w:color w:val="auto"/>
          <w:szCs w:val="21"/>
        </w:rPr>
      </w:pPr>
      <w:r>
        <w:rPr>
          <w:rFonts w:hint="eastAsia" w:ascii="宋体" w:hAnsi="宋体" w:cs="宋体"/>
          <w:color w:val="auto"/>
          <w:szCs w:val="21"/>
        </w:rPr>
        <w:t>（1）我方承诺在收到中标通知书后，在中标通知书规定的期限内与你方签订合同。</w:t>
      </w:r>
    </w:p>
    <w:p w14:paraId="4B91B6CC">
      <w:pPr>
        <w:spacing w:line="400" w:lineRule="exact"/>
        <w:ind w:firstLine="210" w:firstLineChars="100"/>
        <w:jc w:val="left"/>
        <w:rPr>
          <w:rFonts w:ascii="宋体" w:hAnsi="宋体" w:cs="宋体"/>
          <w:color w:val="auto"/>
          <w:szCs w:val="21"/>
        </w:rPr>
      </w:pPr>
      <w:r>
        <w:rPr>
          <w:rFonts w:hint="eastAsia" w:ascii="宋体" w:hAnsi="宋体" w:cs="宋体"/>
          <w:color w:val="auto"/>
          <w:szCs w:val="21"/>
        </w:rPr>
        <w:t>（2）随同本投标函递交的投标函附录属于合同文件的组成部分。</w:t>
      </w:r>
    </w:p>
    <w:p w14:paraId="725BB89B">
      <w:pPr>
        <w:spacing w:line="400" w:lineRule="exact"/>
        <w:ind w:firstLine="210" w:firstLineChars="100"/>
        <w:jc w:val="left"/>
        <w:rPr>
          <w:rFonts w:ascii="宋体" w:hAnsi="宋体" w:cs="宋体"/>
          <w:color w:val="auto"/>
          <w:szCs w:val="21"/>
        </w:rPr>
      </w:pPr>
      <w:r>
        <w:rPr>
          <w:rFonts w:hint="eastAsia" w:ascii="宋体" w:hAnsi="宋体" w:cs="宋体"/>
          <w:color w:val="auto"/>
          <w:szCs w:val="21"/>
        </w:rPr>
        <w:t>（3）如果我方中标，同意按招标文件规定的收费标准向采购代理机构支付服务费。</w:t>
      </w:r>
    </w:p>
    <w:p w14:paraId="13AE9667">
      <w:pPr>
        <w:spacing w:line="400" w:lineRule="exact"/>
        <w:ind w:firstLine="420" w:firstLineChars="200"/>
        <w:jc w:val="left"/>
        <w:rPr>
          <w:rFonts w:ascii="宋体" w:hAnsi="宋体" w:cs="宋体"/>
          <w:color w:val="auto"/>
          <w:szCs w:val="21"/>
        </w:rPr>
      </w:pPr>
      <w:r>
        <w:rPr>
          <w:rFonts w:hint="eastAsia" w:ascii="宋体" w:hAnsi="宋体" w:cs="宋体"/>
          <w:color w:val="auto"/>
          <w:szCs w:val="21"/>
        </w:rPr>
        <w:t>4.我方在此声明，所递交的投标文件及有关资料内容完整、真实和准确，且不存在第二章“投标人须知”第1.4.3项规定的任何一种情形。</w:t>
      </w:r>
    </w:p>
    <w:p w14:paraId="03D83974">
      <w:pPr>
        <w:spacing w:line="400" w:lineRule="exact"/>
        <w:ind w:firstLine="420" w:firstLineChars="200"/>
        <w:jc w:val="left"/>
        <w:rPr>
          <w:rFonts w:ascii="宋体" w:hAnsi="宋体" w:cs="宋体"/>
          <w:color w:val="auto"/>
          <w:szCs w:val="21"/>
        </w:rPr>
      </w:pPr>
      <w:r>
        <w:rPr>
          <w:rFonts w:hint="eastAsia" w:ascii="宋体" w:hAnsi="宋体" w:cs="宋体"/>
          <w:color w:val="auto"/>
          <w:szCs w:val="21"/>
        </w:rPr>
        <w:t xml:space="preserve">5. </w:t>
      </w:r>
      <w:r>
        <w:rPr>
          <w:rFonts w:hint="eastAsia" w:ascii="宋体" w:hAnsi="宋体" w:cs="宋体"/>
          <w:color w:val="auto"/>
          <w:szCs w:val="21"/>
          <w:u w:val="single"/>
        </w:rPr>
        <w:t>（其他补充说明）</w:t>
      </w:r>
      <w:r>
        <w:rPr>
          <w:rFonts w:hint="eastAsia" w:ascii="宋体" w:hAnsi="宋体" w:cs="宋体"/>
          <w:color w:val="auto"/>
          <w:szCs w:val="21"/>
        </w:rPr>
        <w:t>。</w:t>
      </w:r>
    </w:p>
    <w:p w14:paraId="728EFBD3">
      <w:pPr>
        <w:bidi w:val="0"/>
        <w:rPr>
          <w:rFonts w:hint="eastAsia"/>
        </w:rPr>
      </w:pPr>
    </w:p>
    <w:p w14:paraId="49409572">
      <w:pPr>
        <w:bidi w:val="0"/>
        <w:rPr>
          <w:rFonts w:hint="eastAsia"/>
        </w:rPr>
      </w:pPr>
    </w:p>
    <w:p w14:paraId="4096EB42">
      <w:pPr>
        <w:bidi w:val="0"/>
        <w:rPr>
          <w:rFonts w:hint="eastAsia"/>
        </w:rPr>
      </w:pPr>
    </w:p>
    <w:p w14:paraId="3321CB9A">
      <w:pPr>
        <w:spacing w:line="400" w:lineRule="exact"/>
        <w:ind w:firstLine="3885" w:firstLineChars="1850"/>
        <w:rPr>
          <w:rFonts w:ascii="宋体" w:hAnsi="宋体" w:cs="宋体"/>
          <w:color w:val="auto"/>
          <w:szCs w:val="21"/>
        </w:rPr>
      </w:pPr>
      <w:r>
        <w:rPr>
          <w:rFonts w:hint="eastAsia" w:ascii="宋体" w:hAnsi="宋体" w:cs="宋体"/>
          <w:color w:val="auto"/>
          <w:szCs w:val="21"/>
        </w:rPr>
        <w:t>投标人：(单位电子签章)</w:t>
      </w:r>
    </w:p>
    <w:p w14:paraId="17F60462">
      <w:pPr>
        <w:spacing w:line="400" w:lineRule="exact"/>
        <w:ind w:firstLine="3885" w:firstLineChars="1850"/>
        <w:rPr>
          <w:rFonts w:ascii="宋体" w:hAnsi="宋体" w:cs="宋体"/>
          <w:color w:val="auto"/>
          <w:szCs w:val="21"/>
        </w:rPr>
      </w:pPr>
      <w:r>
        <w:rPr>
          <w:rFonts w:hint="eastAsia" w:ascii="宋体" w:hAnsi="宋体" w:cs="宋体"/>
          <w:color w:val="auto"/>
          <w:szCs w:val="21"/>
        </w:rPr>
        <w:t>法定代表人或其委托代理人：(电子签名或盖章)</w:t>
      </w:r>
    </w:p>
    <w:p w14:paraId="03455D04">
      <w:pPr>
        <w:spacing w:line="400" w:lineRule="exact"/>
        <w:ind w:firstLine="3885" w:firstLineChars="1850"/>
        <w:rPr>
          <w:rFonts w:ascii="宋体" w:hAnsi="宋体" w:cs="宋体"/>
          <w:color w:val="auto"/>
          <w:szCs w:val="21"/>
        </w:rPr>
      </w:pPr>
      <w:r>
        <w:rPr>
          <w:rFonts w:hint="eastAsia" w:ascii="宋体" w:hAnsi="宋体" w:cs="宋体"/>
          <w:color w:val="auto"/>
          <w:szCs w:val="21"/>
        </w:rPr>
        <w:t>地址：</w:t>
      </w:r>
    </w:p>
    <w:p w14:paraId="77F3D4BF">
      <w:pPr>
        <w:spacing w:line="400" w:lineRule="exact"/>
        <w:ind w:firstLine="3885" w:firstLineChars="1850"/>
        <w:rPr>
          <w:rFonts w:ascii="宋体" w:hAnsi="宋体" w:cs="宋体"/>
          <w:color w:val="auto"/>
          <w:szCs w:val="21"/>
        </w:rPr>
      </w:pPr>
      <w:r>
        <w:rPr>
          <w:rFonts w:hint="eastAsia" w:ascii="宋体" w:hAnsi="宋体" w:cs="宋体"/>
          <w:color w:val="auto"/>
          <w:szCs w:val="21"/>
        </w:rPr>
        <w:t>电话：</w:t>
      </w:r>
    </w:p>
    <w:p w14:paraId="374C07A9">
      <w:pPr>
        <w:spacing w:line="400" w:lineRule="exact"/>
        <w:ind w:firstLine="3990" w:firstLineChars="1900"/>
        <w:rPr>
          <w:rFonts w:hint="eastAsia" w:ascii="宋体" w:hAnsi="宋体" w:cs="宋体"/>
          <w:color w:val="auto"/>
          <w:szCs w:val="21"/>
        </w:rPr>
      </w:pPr>
      <w:r>
        <w:rPr>
          <w:rFonts w:hint="eastAsia" w:ascii="宋体" w:hAnsi="宋体" w:cs="宋体"/>
          <w:color w:val="auto"/>
          <w:szCs w:val="21"/>
        </w:rPr>
        <w:t>年   月  日</w:t>
      </w:r>
    </w:p>
    <w:p w14:paraId="16DBF98C">
      <w:pPr>
        <w:bidi w:val="0"/>
        <w:rPr>
          <w:rFonts w:hint="eastAsia"/>
        </w:rPr>
      </w:pPr>
    </w:p>
    <w:p w14:paraId="333BB7BD">
      <w:pPr>
        <w:bidi w:val="0"/>
      </w:pPr>
    </w:p>
    <w:p w14:paraId="3DD286B8">
      <w:pPr>
        <w:bidi w:val="0"/>
      </w:pPr>
    </w:p>
    <w:p w14:paraId="38506D0F">
      <w:pPr>
        <w:bidi w:val="0"/>
      </w:pPr>
    </w:p>
    <w:p w14:paraId="7D9FF069">
      <w:pPr>
        <w:bidi w:val="0"/>
      </w:pPr>
    </w:p>
    <w:p w14:paraId="586B08EA">
      <w:pPr>
        <w:bidi w:val="0"/>
      </w:pPr>
    </w:p>
    <w:p w14:paraId="5ACEF7C8">
      <w:pPr>
        <w:bidi w:val="0"/>
      </w:pPr>
    </w:p>
    <w:p w14:paraId="30A77E0E">
      <w:pPr>
        <w:bidi w:val="0"/>
      </w:pPr>
    </w:p>
    <w:p w14:paraId="3C0B77DF">
      <w:pPr>
        <w:bidi w:val="0"/>
        <w:rPr>
          <w:rFonts w:hint="eastAsia"/>
        </w:rPr>
      </w:pPr>
    </w:p>
    <w:p w14:paraId="194B662A">
      <w:pPr>
        <w:bidi w:val="0"/>
      </w:pPr>
    </w:p>
    <w:p w14:paraId="16919D0A">
      <w:pPr>
        <w:bidi w:val="0"/>
      </w:pPr>
    </w:p>
    <w:p w14:paraId="294F8C90">
      <w:pPr>
        <w:bidi w:val="0"/>
      </w:pPr>
    </w:p>
    <w:p w14:paraId="629EDA81">
      <w:pPr>
        <w:bidi w:val="0"/>
      </w:pPr>
    </w:p>
    <w:p w14:paraId="04D99210">
      <w:pPr>
        <w:bidi w:val="0"/>
      </w:pPr>
    </w:p>
    <w:p w14:paraId="3C32E4E2">
      <w:pPr>
        <w:bidi w:val="0"/>
      </w:pPr>
    </w:p>
    <w:p w14:paraId="1690C6A2">
      <w:pPr>
        <w:pStyle w:val="3"/>
        <w:numPr>
          <w:ilvl w:val="0"/>
          <w:numId w:val="0"/>
        </w:numPr>
        <w:adjustRightInd w:val="0"/>
        <w:spacing w:before="160" w:after="160" w:line="400" w:lineRule="exact"/>
        <w:ind w:left="210" w:right="210" w:hanging="284"/>
        <w:jc w:val="center"/>
        <w:textAlignment w:val="baseline"/>
        <w:rPr>
          <w:rFonts w:hint="eastAsia" w:ascii="宋体" w:hAnsi="宋体" w:eastAsia="宋体" w:cs="宋体"/>
          <w:b/>
          <w:bCs w:val="0"/>
          <w:color w:val="auto"/>
          <w:kern w:val="0"/>
          <w:sz w:val="28"/>
          <w:szCs w:val="28"/>
        </w:rPr>
      </w:pPr>
      <w:r>
        <w:rPr>
          <w:rFonts w:hint="eastAsia" w:ascii="宋体" w:hAnsi="宋体" w:eastAsia="宋体" w:cs="宋体"/>
          <w:b/>
          <w:bCs w:val="0"/>
          <w:color w:val="auto"/>
          <w:kern w:val="0"/>
          <w:sz w:val="28"/>
          <w:szCs w:val="28"/>
        </w:rPr>
        <w:t>（二）投标函附录</w:t>
      </w:r>
    </w:p>
    <w:p w14:paraId="1CC4E125">
      <w:pPr>
        <w:bidi w:val="0"/>
      </w:pPr>
    </w:p>
    <w:tbl>
      <w:tblPr>
        <w:tblStyle w:val="4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666"/>
        <w:gridCol w:w="6553"/>
      </w:tblGrid>
      <w:tr w14:paraId="146AFD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666" w:type="dxa"/>
            <w:noWrap w:val="0"/>
            <w:vAlign w:val="center"/>
          </w:tcPr>
          <w:p w14:paraId="0FA5401F">
            <w:pPr>
              <w:bidi w:val="0"/>
            </w:pPr>
            <w:r>
              <w:rPr>
                <w:rFonts w:hint="eastAsia"/>
              </w:rPr>
              <w:t>项目名称</w:t>
            </w:r>
          </w:p>
        </w:tc>
        <w:tc>
          <w:tcPr>
            <w:tcW w:w="6553" w:type="dxa"/>
            <w:noWrap w:val="0"/>
            <w:vAlign w:val="center"/>
          </w:tcPr>
          <w:p w14:paraId="415E9980">
            <w:pPr>
              <w:bidi w:val="0"/>
            </w:pPr>
          </w:p>
        </w:tc>
      </w:tr>
      <w:tr w14:paraId="1FEA46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666" w:type="dxa"/>
            <w:noWrap w:val="0"/>
            <w:vAlign w:val="center"/>
          </w:tcPr>
          <w:p w14:paraId="10BCA9A7">
            <w:pPr>
              <w:bidi w:val="0"/>
              <w:rPr>
                <w:rFonts w:hint="eastAsia"/>
              </w:rPr>
            </w:pPr>
            <w:r>
              <w:rPr>
                <w:rFonts w:hint="eastAsia"/>
              </w:rPr>
              <w:t>供应商名称</w:t>
            </w:r>
          </w:p>
        </w:tc>
        <w:tc>
          <w:tcPr>
            <w:tcW w:w="6553" w:type="dxa"/>
            <w:noWrap w:val="0"/>
            <w:vAlign w:val="center"/>
          </w:tcPr>
          <w:p w14:paraId="7E2FDA8B">
            <w:pPr>
              <w:bidi w:val="0"/>
            </w:pPr>
          </w:p>
        </w:tc>
      </w:tr>
      <w:tr w14:paraId="34EB7E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666" w:type="dxa"/>
            <w:noWrap w:val="0"/>
            <w:vAlign w:val="center"/>
          </w:tcPr>
          <w:p w14:paraId="46C3D06E">
            <w:pPr>
              <w:bidi w:val="0"/>
              <w:rPr>
                <w:rFonts w:hint="default"/>
                <w:lang w:val="en-US" w:eastAsia="zh-CN"/>
              </w:rPr>
            </w:pPr>
            <w:r>
              <w:rPr>
                <w:rFonts w:hint="eastAsia"/>
                <w:lang w:val="en-US" w:eastAsia="zh-CN"/>
              </w:rPr>
              <w:t>投标内容</w:t>
            </w:r>
          </w:p>
        </w:tc>
        <w:tc>
          <w:tcPr>
            <w:tcW w:w="6553" w:type="dxa"/>
            <w:noWrap w:val="0"/>
            <w:vAlign w:val="center"/>
          </w:tcPr>
          <w:p w14:paraId="5D81FC26">
            <w:pPr>
              <w:bidi w:val="0"/>
              <w:rPr>
                <w:rFonts w:hint="eastAsia"/>
                <w:lang w:val="en-US" w:eastAsia="zh-CN"/>
              </w:rPr>
            </w:pPr>
          </w:p>
        </w:tc>
      </w:tr>
      <w:tr w14:paraId="479A6B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38" w:hRule="atLeast"/>
          <w:jc w:val="center"/>
        </w:trPr>
        <w:tc>
          <w:tcPr>
            <w:tcW w:w="1666" w:type="dxa"/>
            <w:noWrap w:val="0"/>
            <w:vAlign w:val="center"/>
          </w:tcPr>
          <w:p w14:paraId="77668190">
            <w:pPr>
              <w:bidi w:val="0"/>
            </w:pPr>
            <w:r>
              <w:rPr>
                <w:rFonts w:hint="eastAsia"/>
              </w:rPr>
              <w:t>投标报价</w:t>
            </w:r>
          </w:p>
          <w:p w14:paraId="4D50CA1D">
            <w:pPr>
              <w:bidi w:val="0"/>
            </w:pPr>
            <w:r>
              <w:rPr>
                <w:rFonts w:hint="eastAsia"/>
              </w:rPr>
              <w:t>（元）</w:t>
            </w:r>
          </w:p>
        </w:tc>
        <w:tc>
          <w:tcPr>
            <w:tcW w:w="6553" w:type="dxa"/>
            <w:noWrap w:val="0"/>
            <w:vAlign w:val="center"/>
          </w:tcPr>
          <w:p w14:paraId="495B846D">
            <w:pPr>
              <w:bidi w:val="0"/>
              <w:rPr>
                <w:rFonts w:hint="eastAsia"/>
                <w:lang w:eastAsia="zh-CN"/>
              </w:rPr>
            </w:pPr>
            <w:r>
              <w:rPr>
                <w:rFonts w:hint="eastAsia"/>
              </w:rPr>
              <w:t xml:space="preserve">大写：     </w:t>
            </w:r>
          </w:p>
          <w:p w14:paraId="48AD3B4F">
            <w:pPr>
              <w:bidi w:val="0"/>
            </w:pPr>
            <w:r>
              <w:rPr>
                <w:rFonts w:hint="eastAsia"/>
              </w:rPr>
              <w:t>小写：</w:t>
            </w:r>
            <w:r>
              <w:rPr>
                <w:rFonts w:hint="eastAsia"/>
                <w:lang w:val="en-US" w:eastAsia="zh-CN"/>
              </w:rPr>
              <w:t xml:space="preserve">      </w:t>
            </w:r>
          </w:p>
        </w:tc>
      </w:tr>
      <w:tr w14:paraId="0FA0FB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3" w:hRule="atLeast"/>
          <w:jc w:val="center"/>
        </w:trPr>
        <w:tc>
          <w:tcPr>
            <w:tcW w:w="1666" w:type="dxa"/>
            <w:noWrap w:val="0"/>
            <w:vAlign w:val="center"/>
          </w:tcPr>
          <w:p w14:paraId="035281F3">
            <w:pPr>
              <w:bidi w:val="0"/>
            </w:pPr>
            <w:r>
              <w:rPr>
                <w:rFonts w:hint="eastAsia"/>
              </w:rPr>
              <w:t>交货期</w:t>
            </w:r>
          </w:p>
        </w:tc>
        <w:tc>
          <w:tcPr>
            <w:tcW w:w="6553" w:type="dxa"/>
            <w:noWrap w:val="0"/>
            <w:vAlign w:val="center"/>
          </w:tcPr>
          <w:p w14:paraId="154005C4">
            <w:pPr>
              <w:bidi w:val="0"/>
            </w:pPr>
          </w:p>
        </w:tc>
      </w:tr>
      <w:tr w14:paraId="773DE9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3" w:hRule="atLeast"/>
          <w:jc w:val="center"/>
        </w:trPr>
        <w:tc>
          <w:tcPr>
            <w:tcW w:w="1666" w:type="dxa"/>
            <w:noWrap w:val="0"/>
            <w:vAlign w:val="center"/>
          </w:tcPr>
          <w:p w14:paraId="5E1854EC">
            <w:pPr>
              <w:bidi w:val="0"/>
              <w:rPr>
                <w:rFonts w:hint="default"/>
                <w:lang w:val="en-US" w:eastAsia="zh-CN"/>
              </w:rPr>
            </w:pPr>
            <w:r>
              <w:rPr>
                <w:rFonts w:hint="eastAsia"/>
              </w:rPr>
              <w:t>质保期</w:t>
            </w:r>
          </w:p>
        </w:tc>
        <w:tc>
          <w:tcPr>
            <w:tcW w:w="6553" w:type="dxa"/>
            <w:noWrap w:val="0"/>
            <w:vAlign w:val="center"/>
          </w:tcPr>
          <w:p w14:paraId="0CB327C4">
            <w:pPr>
              <w:bidi w:val="0"/>
            </w:pPr>
          </w:p>
        </w:tc>
      </w:tr>
      <w:tr w14:paraId="362FC4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3" w:hRule="atLeast"/>
          <w:jc w:val="center"/>
        </w:trPr>
        <w:tc>
          <w:tcPr>
            <w:tcW w:w="1666" w:type="dxa"/>
            <w:noWrap w:val="0"/>
            <w:vAlign w:val="center"/>
          </w:tcPr>
          <w:p w14:paraId="4F8A7B3B">
            <w:pPr>
              <w:bidi w:val="0"/>
              <w:rPr>
                <w:rFonts w:hint="eastAsia"/>
              </w:rPr>
            </w:pPr>
            <w:r>
              <w:rPr>
                <w:rFonts w:hint="eastAsia"/>
              </w:rPr>
              <w:t>质量要求</w:t>
            </w:r>
          </w:p>
        </w:tc>
        <w:tc>
          <w:tcPr>
            <w:tcW w:w="6553" w:type="dxa"/>
            <w:noWrap w:val="0"/>
            <w:vAlign w:val="center"/>
          </w:tcPr>
          <w:p w14:paraId="30309D2F">
            <w:pPr>
              <w:bidi w:val="0"/>
            </w:pPr>
          </w:p>
        </w:tc>
      </w:tr>
      <w:tr w14:paraId="27FF23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3" w:hRule="atLeast"/>
          <w:jc w:val="center"/>
        </w:trPr>
        <w:tc>
          <w:tcPr>
            <w:tcW w:w="1666" w:type="dxa"/>
            <w:noWrap w:val="0"/>
            <w:vAlign w:val="center"/>
          </w:tcPr>
          <w:p w14:paraId="25C172E7">
            <w:pPr>
              <w:bidi w:val="0"/>
            </w:pPr>
            <w:r>
              <w:rPr>
                <w:rFonts w:hint="eastAsia"/>
              </w:rPr>
              <w:t>投标有效期</w:t>
            </w:r>
          </w:p>
        </w:tc>
        <w:tc>
          <w:tcPr>
            <w:tcW w:w="6553" w:type="dxa"/>
            <w:noWrap w:val="0"/>
            <w:vAlign w:val="center"/>
          </w:tcPr>
          <w:p w14:paraId="415A0487">
            <w:pPr>
              <w:bidi w:val="0"/>
            </w:pPr>
          </w:p>
        </w:tc>
      </w:tr>
      <w:tr w14:paraId="633ADD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62" w:hRule="atLeast"/>
          <w:jc w:val="center"/>
        </w:trPr>
        <w:tc>
          <w:tcPr>
            <w:tcW w:w="1666" w:type="dxa"/>
            <w:noWrap w:val="0"/>
            <w:vAlign w:val="center"/>
          </w:tcPr>
          <w:p w14:paraId="644A08CD">
            <w:pPr>
              <w:bidi w:val="0"/>
            </w:pPr>
            <w:r>
              <w:rPr>
                <w:rFonts w:hint="eastAsia"/>
              </w:rPr>
              <w:t>备  注</w:t>
            </w:r>
          </w:p>
        </w:tc>
        <w:tc>
          <w:tcPr>
            <w:tcW w:w="6553" w:type="dxa"/>
            <w:noWrap w:val="0"/>
            <w:vAlign w:val="center"/>
          </w:tcPr>
          <w:p w14:paraId="34495002">
            <w:pPr>
              <w:bidi w:val="0"/>
            </w:pPr>
          </w:p>
        </w:tc>
      </w:tr>
    </w:tbl>
    <w:p w14:paraId="11FC00F9">
      <w:pPr>
        <w:bidi w:val="0"/>
      </w:pPr>
    </w:p>
    <w:p w14:paraId="62539B2C">
      <w:pPr>
        <w:bidi w:val="0"/>
      </w:pPr>
      <w:r>
        <w:rPr>
          <w:rFonts w:hint="eastAsia"/>
        </w:rPr>
        <w:t>投标人：(单位电子签章)</w:t>
      </w:r>
    </w:p>
    <w:p w14:paraId="0A9FBCC9">
      <w:pPr>
        <w:bidi w:val="0"/>
      </w:pPr>
    </w:p>
    <w:p w14:paraId="4F3D157E">
      <w:pPr>
        <w:bidi w:val="0"/>
      </w:pPr>
      <w:r>
        <w:rPr>
          <w:rFonts w:hint="eastAsia"/>
        </w:rPr>
        <w:t>法定代表人或其委托代理人：(电子签名或盖章)</w:t>
      </w:r>
    </w:p>
    <w:p w14:paraId="4A25E449">
      <w:pPr>
        <w:bidi w:val="0"/>
      </w:pPr>
    </w:p>
    <w:p w14:paraId="14F2459E">
      <w:pPr>
        <w:bidi w:val="0"/>
        <w:rPr>
          <w:rFonts w:hint="eastAsia"/>
        </w:rPr>
      </w:pPr>
      <w:r>
        <w:rPr>
          <w:rFonts w:hint="eastAsia"/>
        </w:rPr>
        <w:t>年   月    日</w:t>
      </w:r>
    </w:p>
    <w:p w14:paraId="738073F6">
      <w:pPr>
        <w:pStyle w:val="3"/>
        <w:numPr>
          <w:ilvl w:val="2"/>
          <w:numId w:val="0"/>
        </w:numPr>
        <w:tabs>
          <w:tab w:val="left" w:pos="1260"/>
        </w:tabs>
        <w:spacing w:line="400" w:lineRule="exact"/>
        <w:jc w:val="center"/>
        <w:rPr>
          <w:rFonts w:hint="eastAsia" w:ascii="宋体" w:hAnsi="宋体" w:eastAsia="宋体" w:cs="宋体"/>
          <w:b/>
          <w:color w:val="auto"/>
          <w:kern w:val="44"/>
          <w:szCs w:val="28"/>
        </w:rPr>
      </w:pPr>
      <w:bookmarkStart w:id="332" w:name="_Toc5897"/>
    </w:p>
    <w:p w14:paraId="1379BC82">
      <w:pPr>
        <w:pStyle w:val="3"/>
        <w:numPr>
          <w:ilvl w:val="2"/>
          <w:numId w:val="0"/>
        </w:numPr>
        <w:tabs>
          <w:tab w:val="left" w:pos="1260"/>
        </w:tabs>
        <w:spacing w:line="400" w:lineRule="exact"/>
        <w:jc w:val="center"/>
        <w:rPr>
          <w:rFonts w:hint="eastAsia" w:ascii="宋体" w:hAnsi="宋体" w:eastAsia="宋体" w:cs="宋体"/>
          <w:b/>
          <w:color w:val="auto"/>
          <w:kern w:val="44"/>
          <w:szCs w:val="28"/>
        </w:rPr>
      </w:pPr>
    </w:p>
    <w:p w14:paraId="70210AD1">
      <w:pPr>
        <w:pStyle w:val="3"/>
        <w:numPr>
          <w:ilvl w:val="2"/>
          <w:numId w:val="0"/>
        </w:numPr>
        <w:tabs>
          <w:tab w:val="left" w:pos="1260"/>
        </w:tabs>
        <w:spacing w:line="400" w:lineRule="exact"/>
        <w:jc w:val="center"/>
        <w:rPr>
          <w:rFonts w:ascii="宋体" w:hAnsi="宋体" w:eastAsia="宋体" w:cs="宋体"/>
          <w:b/>
          <w:color w:val="auto"/>
        </w:rPr>
      </w:pPr>
      <w:r>
        <w:rPr>
          <w:rFonts w:hint="eastAsia" w:ascii="宋体" w:hAnsi="宋体" w:eastAsia="宋体" w:cs="宋体"/>
          <w:b/>
          <w:color w:val="auto"/>
          <w:kern w:val="44"/>
          <w:szCs w:val="28"/>
        </w:rPr>
        <w:t>二、法定代表人身份证明</w:t>
      </w:r>
      <w:bookmarkEnd w:id="332"/>
    </w:p>
    <w:p w14:paraId="5EC4388D">
      <w:pPr>
        <w:spacing w:line="400" w:lineRule="exact"/>
        <w:ind w:firstLine="480" w:firstLineChars="200"/>
        <w:rPr>
          <w:rFonts w:ascii="宋体" w:hAnsi="宋体" w:cs="宋体"/>
          <w:color w:val="auto"/>
          <w:sz w:val="24"/>
        </w:rPr>
      </w:pPr>
    </w:p>
    <w:p w14:paraId="50671226">
      <w:pPr>
        <w:spacing w:line="400" w:lineRule="exact"/>
        <w:ind w:firstLine="420" w:firstLineChars="200"/>
        <w:rPr>
          <w:rFonts w:ascii="宋体" w:hAnsi="宋体" w:cs="宋体"/>
          <w:color w:val="auto"/>
          <w:szCs w:val="21"/>
          <w:u w:val="single"/>
        </w:rPr>
      </w:pPr>
      <w:r>
        <w:rPr>
          <w:rFonts w:hint="eastAsia" w:ascii="宋体" w:hAnsi="宋体" w:cs="宋体"/>
          <w:color w:val="auto"/>
          <w:szCs w:val="21"/>
        </w:rPr>
        <w:t xml:space="preserve">投标人名称：  </w:t>
      </w:r>
    </w:p>
    <w:p w14:paraId="640E6219">
      <w:pPr>
        <w:spacing w:line="400" w:lineRule="exact"/>
        <w:ind w:firstLine="420" w:firstLineChars="200"/>
        <w:rPr>
          <w:rFonts w:ascii="宋体" w:hAnsi="宋体" w:cs="宋体"/>
          <w:color w:val="auto"/>
          <w:szCs w:val="21"/>
        </w:rPr>
      </w:pPr>
      <w:r>
        <w:rPr>
          <w:rFonts w:hint="eastAsia" w:ascii="宋体" w:hAnsi="宋体" w:cs="宋体"/>
          <w:color w:val="auto"/>
          <w:szCs w:val="21"/>
        </w:rPr>
        <w:t>姓名：</w:t>
      </w:r>
    </w:p>
    <w:p w14:paraId="7053E62F">
      <w:pPr>
        <w:spacing w:line="400" w:lineRule="exact"/>
        <w:ind w:firstLine="420" w:firstLineChars="200"/>
        <w:rPr>
          <w:rFonts w:ascii="宋体" w:hAnsi="宋体" w:cs="宋体"/>
          <w:color w:val="auto"/>
          <w:szCs w:val="21"/>
        </w:rPr>
      </w:pPr>
      <w:r>
        <w:rPr>
          <w:rFonts w:hint="eastAsia" w:ascii="宋体" w:hAnsi="宋体" w:cs="宋体"/>
          <w:color w:val="auto"/>
          <w:szCs w:val="21"/>
        </w:rPr>
        <w:t>性别：</w:t>
      </w:r>
    </w:p>
    <w:p w14:paraId="2435BA0C">
      <w:pPr>
        <w:spacing w:line="400" w:lineRule="exact"/>
        <w:ind w:firstLine="420" w:firstLineChars="200"/>
        <w:rPr>
          <w:rFonts w:ascii="宋体" w:hAnsi="宋体" w:cs="宋体"/>
          <w:color w:val="auto"/>
          <w:szCs w:val="21"/>
          <w:u w:val="single"/>
        </w:rPr>
      </w:pPr>
      <w:r>
        <w:rPr>
          <w:rFonts w:hint="eastAsia" w:ascii="宋体" w:hAnsi="宋体" w:cs="宋体"/>
          <w:color w:val="auto"/>
          <w:szCs w:val="21"/>
        </w:rPr>
        <w:t>年龄：</w:t>
      </w:r>
      <w:r>
        <w:rPr>
          <w:rFonts w:hint="eastAsia" w:ascii="宋体" w:hAnsi="宋体" w:cs="宋体"/>
          <w:color w:val="auto"/>
          <w:szCs w:val="21"/>
          <w:u w:val="single"/>
        </w:rPr>
        <w:t xml:space="preserve">            </w:t>
      </w:r>
      <w:r>
        <w:rPr>
          <w:rFonts w:hint="eastAsia" w:ascii="宋体" w:hAnsi="宋体" w:cs="宋体"/>
          <w:color w:val="auto"/>
          <w:szCs w:val="21"/>
        </w:rPr>
        <w:t>职务：</w:t>
      </w:r>
      <w:r>
        <w:rPr>
          <w:rFonts w:hint="eastAsia" w:ascii="宋体" w:hAnsi="宋体" w:cs="宋体"/>
          <w:color w:val="auto"/>
          <w:szCs w:val="21"/>
          <w:u w:val="single"/>
        </w:rPr>
        <w:t xml:space="preserve">                </w:t>
      </w:r>
    </w:p>
    <w:p w14:paraId="257501B7">
      <w:pPr>
        <w:spacing w:line="400" w:lineRule="exact"/>
        <w:ind w:firstLine="420" w:firstLineChars="200"/>
        <w:rPr>
          <w:rFonts w:ascii="宋体" w:hAnsi="宋体" w:cs="宋体"/>
          <w:color w:val="auto"/>
          <w:szCs w:val="21"/>
        </w:rPr>
      </w:pPr>
      <w:r>
        <w:rPr>
          <w:rFonts w:hint="eastAsia" w:ascii="宋体" w:hAnsi="宋体" w:cs="宋体"/>
          <w:color w:val="auto"/>
          <w:szCs w:val="21"/>
        </w:rPr>
        <w:t>系</w:t>
      </w:r>
      <w:r>
        <w:rPr>
          <w:rFonts w:hint="eastAsia" w:ascii="宋体" w:hAnsi="宋体" w:cs="宋体"/>
          <w:color w:val="auto"/>
          <w:szCs w:val="21"/>
          <w:u w:val="single"/>
        </w:rPr>
        <w:t xml:space="preserve">                         </w:t>
      </w:r>
      <w:r>
        <w:rPr>
          <w:rFonts w:hint="eastAsia" w:ascii="宋体" w:hAnsi="宋体" w:cs="宋体"/>
          <w:color w:val="auto"/>
          <w:szCs w:val="21"/>
        </w:rPr>
        <w:t>（投标人名称）的法定代表人。</w:t>
      </w:r>
    </w:p>
    <w:p w14:paraId="36E9E1E1">
      <w:pPr>
        <w:spacing w:line="400" w:lineRule="exact"/>
        <w:ind w:firstLine="840" w:firstLineChars="400"/>
        <w:rPr>
          <w:rFonts w:ascii="宋体" w:hAnsi="宋体" w:cs="宋体"/>
          <w:color w:val="auto"/>
          <w:szCs w:val="21"/>
        </w:rPr>
      </w:pPr>
      <w:r>
        <w:rPr>
          <w:rFonts w:hint="eastAsia" w:ascii="宋体" w:hAnsi="宋体" w:cs="宋体"/>
          <w:color w:val="auto"/>
          <w:szCs w:val="21"/>
        </w:rPr>
        <w:t>特此证明。</w:t>
      </w:r>
    </w:p>
    <w:p w14:paraId="430F6A66">
      <w:pPr>
        <w:spacing w:line="400" w:lineRule="exact"/>
        <w:ind w:firstLine="420" w:firstLineChars="200"/>
        <w:rPr>
          <w:rFonts w:ascii="宋体" w:hAnsi="宋体" w:cs="宋体"/>
          <w:color w:val="auto"/>
          <w:szCs w:val="21"/>
        </w:rPr>
      </w:pPr>
    </w:p>
    <w:p w14:paraId="46E450DB">
      <w:pPr>
        <w:spacing w:line="400" w:lineRule="exact"/>
        <w:ind w:firstLine="420" w:firstLineChars="200"/>
        <w:rPr>
          <w:rFonts w:ascii="宋体" w:hAnsi="宋体" w:cs="宋体"/>
          <w:color w:val="auto"/>
          <w:szCs w:val="21"/>
        </w:rPr>
      </w:pPr>
      <w:r>
        <w:rPr>
          <w:rFonts w:hint="eastAsia" w:ascii="宋体" w:hAnsi="宋体" w:cs="宋体"/>
          <w:color w:val="auto"/>
          <w:szCs w:val="21"/>
        </w:rPr>
        <w:t>附：法定代表人身份证扫描件。</w:t>
      </w:r>
    </w:p>
    <w:p w14:paraId="725AFF88">
      <w:pPr>
        <w:pStyle w:val="45"/>
        <w:spacing w:line="400" w:lineRule="exact"/>
        <w:ind w:firstLine="210"/>
        <w:rPr>
          <w:rFonts w:ascii="宋体" w:hAnsi="宋体" w:cs="宋体"/>
          <w:color w:val="auto"/>
          <w:szCs w:val="21"/>
        </w:rPr>
      </w:pPr>
    </w:p>
    <w:p w14:paraId="0D1400D4">
      <w:pPr>
        <w:spacing w:line="400" w:lineRule="exact"/>
        <w:ind w:firstLine="420" w:firstLineChars="200"/>
        <w:rPr>
          <w:rFonts w:ascii="宋体" w:hAnsi="宋体" w:cs="宋体"/>
          <w:color w:val="auto"/>
          <w:szCs w:val="21"/>
        </w:rPr>
      </w:pPr>
    </w:p>
    <w:p w14:paraId="1A425D95">
      <w:pPr>
        <w:spacing w:line="400" w:lineRule="exact"/>
        <w:ind w:firstLine="4200" w:firstLineChars="2000"/>
        <w:rPr>
          <w:rFonts w:ascii="宋体" w:hAnsi="宋体" w:cs="宋体"/>
          <w:color w:val="auto"/>
          <w:szCs w:val="21"/>
        </w:rPr>
      </w:pPr>
      <w:r>
        <w:rPr>
          <w:rFonts w:hint="eastAsia" w:ascii="宋体" w:hAnsi="宋体" w:cs="宋体"/>
          <w:color w:val="auto"/>
          <w:szCs w:val="21"/>
        </w:rPr>
        <w:t>投标人：（单位电子签章）</w:t>
      </w:r>
    </w:p>
    <w:p w14:paraId="5686C79E">
      <w:pPr>
        <w:spacing w:line="400" w:lineRule="exact"/>
        <w:ind w:firstLine="4515" w:firstLineChars="2150"/>
        <w:rPr>
          <w:rFonts w:ascii="宋体" w:hAnsi="宋体" w:cs="宋体"/>
          <w:color w:val="auto"/>
          <w:szCs w:val="21"/>
          <w:u w:val="single"/>
        </w:rPr>
      </w:pPr>
    </w:p>
    <w:p w14:paraId="08CE2FF9">
      <w:pPr>
        <w:spacing w:line="400" w:lineRule="exact"/>
        <w:ind w:firstLine="4515" w:firstLineChars="2150"/>
        <w:rPr>
          <w:rFonts w:ascii="宋体" w:hAnsi="宋体" w:cs="宋体"/>
          <w:color w:val="auto"/>
          <w:szCs w:val="21"/>
        </w:rPr>
      </w:pPr>
      <w:r>
        <w:rPr>
          <w:rFonts w:hint="eastAsia" w:ascii="宋体" w:hAnsi="宋体" w:cs="宋体"/>
          <w:color w:val="auto"/>
          <w:szCs w:val="21"/>
        </w:rPr>
        <w:t>年  月   日</w:t>
      </w:r>
    </w:p>
    <w:p w14:paraId="75CE1F8E">
      <w:pPr>
        <w:spacing w:line="400" w:lineRule="exact"/>
        <w:ind w:firstLine="420" w:firstLineChars="200"/>
        <w:rPr>
          <w:rFonts w:ascii="宋体" w:hAnsi="宋体" w:cs="宋体"/>
          <w:color w:val="auto"/>
          <w:szCs w:val="21"/>
        </w:rPr>
      </w:pPr>
    </w:p>
    <w:p w14:paraId="44F17793">
      <w:pPr>
        <w:pStyle w:val="45"/>
        <w:ind w:firstLine="210"/>
        <w:rPr>
          <w:rFonts w:ascii="宋体" w:hAnsi="宋体" w:cs="宋体"/>
          <w:color w:val="auto"/>
          <w:szCs w:val="21"/>
        </w:rPr>
      </w:pPr>
    </w:p>
    <w:p w14:paraId="7389EAF5">
      <w:pPr>
        <w:spacing w:line="440" w:lineRule="exact"/>
        <w:rPr>
          <w:rFonts w:hint="eastAsia" w:ascii="宋体" w:hAnsi="宋体"/>
          <w:b/>
          <w:bCs/>
          <w:color w:val="auto"/>
          <w:sz w:val="22"/>
          <w:szCs w:val="20"/>
        </w:rPr>
      </w:pPr>
    </w:p>
    <w:p w14:paraId="31B794D2">
      <w:pPr>
        <w:pStyle w:val="46"/>
        <w:tabs>
          <w:tab w:val="left" w:pos="945"/>
          <w:tab w:val="left" w:pos="1155"/>
        </w:tabs>
        <w:ind w:firstLine="560"/>
        <w:rPr>
          <w:color w:val="auto"/>
        </w:rPr>
        <w:sectPr>
          <w:headerReference r:id="rId3" w:type="default"/>
          <w:pgSz w:w="11906" w:h="16838"/>
          <w:pgMar w:top="1440" w:right="1080" w:bottom="1440" w:left="1080" w:header="851" w:footer="992" w:gutter="0"/>
          <w:pgNumType w:fmt="decimal"/>
          <w:cols w:space="720" w:num="1"/>
          <w:docGrid w:type="lines" w:linePitch="312" w:charSpace="0"/>
        </w:sectPr>
      </w:pPr>
    </w:p>
    <w:p w14:paraId="7A7A2507">
      <w:pPr>
        <w:pStyle w:val="3"/>
        <w:numPr>
          <w:ilvl w:val="2"/>
          <w:numId w:val="0"/>
        </w:numPr>
        <w:tabs>
          <w:tab w:val="left" w:pos="1260"/>
        </w:tabs>
        <w:spacing w:line="400" w:lineRule="exact"/>
        <w:jc w:val="center"/>
        <w:rPr>
          <w:rFonts w:ascii="宋体" w:hAnsi="宋体" w:eastAsia="宋体" w:cs="宋体"/>
          <w:b/>
          <w:color w:val="auto"/>
        </w:rPr>
      </w:pPr>
      <w:bookmarkStart w:id="333" w:name="_Toc13759"/>
      <w:bookmarkStart w:id="334" w:name="_Toc184635140"/>
      <w:r>
        <w:rPr>
          <w:rFonts w:hint="eastAsia" w:ascii="宋体" w:hAnsi="宋体" w:eastAsia="宋体" w:cs="宋体"/>
          <w:b/>
          <w:color w:val="auto"/>
        </w:rPr>
        <w:t>三、授权委托书</w:t>
      </w:r>
      <w:bookmarkEnd w:id="333"/>
      <w:bookmarkEnd w:id="334"/>
    </w:p>
    <w:p w14:paraId="19D31A7C">
      <w:pPr>
        <w:spacing w:line="400" w:lineRule="exact"/>
        <w:ind w:firstLine="420" w:firstLineChars="200"/>
        <w:rPr>
          <w:rFonts w:ascii="宋体" w:hAnsi="宋体" w:cs="宋体"/>
          <w:color w:val="auto"/>
          <w:szCs w:val="21"/>
        </w:rPr>
      </w:pPr>
    </w:p>
    <w:p w14:paraId="53D668D9">
      <w:pPr>
        <w:spacing w:line="400" w:lineRule="exact"/>
        <w:ind w:firstLine="420" w:firstLineChars="200"/>
        <w:rPr>
          <w:rFonts w:ascii="宋体" w:hAnsi="宋体" w:cs="宋体"/>
          <w:color w:val="auto"/>
          <w:szCs w:val="21"/>
        </w:rPr>
      </w:pPr>
      <w:r>
        <w:rPr>
          <w:rFonts w:hint="eastAsia" w:ascii="宋体" w:hAnsi="宋体" w:cs="宋体"/>
          <w:color w:val="auto"/>
          <w:szCs w:val="21"/>
        </w:rPr>
        <w:t>本人</w:t>
      </w:r>
      <w:r>
        <w:rPr>
          <w:rFonts w:hint="eastAsia" w:ascii="宋体" w:hAnsi="宋体" w:cs="宋体"/>
          <w:color w:val="auto"/>
          <w:szCs w:val="21"/>
          <w:u w:val="single"/>
        </w:rPr>
        <w:t xml:space="preserve">          </w:t>
      </w:r>
      <w:r>
        <w:rPr>
          <w:rFonts w:hint="eastAsia" w:ascii="宋体" w:hAnsi="宋体" w:cs="宋体"/>
          <w:color w:val="auto"/>
          <w:szCs w:val="21"/>
        </w:rPr>
        <w:t>（姓名）系</w:t>
      </w:r>
      <w:r>
        <w:rPr>
          <w:rFonts w:hint="eastAsia" w:ascii="宋体" w:hAnsi="宋体" w:cs="宋体"/>
          <w:color w:val="auto"/>
          <w:szCs w:val="21"/>
          <w:u w:val="single"/>
        </w:rPr>
        <w:t xml:space="preserve">         </w:t>
      </w:r>
      <w:r>
        <w:rPr>
          <w:rFonts w:hint="eastAsia" w:ascii="宋体" w:hAnsi="宋体" w:cs="宋体"/>
          <w:color w:val="auto"/>
          <w:szCs w:val="21"/>
        </w:rPr>
        <w:t>（投标人名称）的法定代表人，现委托</w:t>
      </w:r>
      <w:r>
        <w:rPr>
          <w:rFonts w:hint="eastAsia" w:ascii="宋体" w:hAnsi="宋体" w:cs="宋体"/>
          <w:color w:val="auto"/>
          <w:szCs w:val="21"/>
          <w:u w:val="single"/>
        </w:rPr>
        <w:t xml:space="preserve">      </w:t>
      </w:r>
      <w:r>
        <w:rPr>
          <w:rFonts w:hint="eastAsia" w:ascii="宋体" w:hAnsi="宋体" w:cs="宋体"/>
          <w:color w:val="auto"/>
          <w:szCs w:val="21"/>
        </w:rPr>
        <w:t>（姓名）为我方代理人。代理人根据授权，以我方名义签署、澄清、说明、补正、递交、撤回、修改</w:t>
      </w:r>
      <w:r>
        <w:rPr>
          <w:rFonts w:hint="eastAsia" w:ascii="宋体" w:hAnsi="宋体" w:cs="宋体"/>
          <w:color w:val="auto"/>
          <w:szCs w:val="21"/>
          <w:u w:val="single"/>
        </w:rPr>
        <w:t xml:space="preserve">      </w:t>
      </w:r>
      <w:r>
        <w:rPr>
          <w:rFonts w:hint="eastAsia" w:ascii="宋体" w:hAnsi="宋体" w:cs="宋体"/>
          <w:color w:val="auto"/>
          <w:szCs w:val="21"/>
        </w:rPr>
        <w:t>（项目名称）</w:t>
      </w:r>
      <w:r>
        <w:rPr>
          <w:rFonts w:hint="eastAsia" w:ascii="宋体" w:hAnsi="宋体" w:cs="宋体"/>
          <w:color w:val="auto"/>
          <w:szCs w:val="21"/>
          <w:u w:val="single"/>
        </w:rPr>
        <w:t xml:space="preserve">    </w:t>
      </w:r>
      <w:r>
        <w:rPr>
          <w:rFonts w:hint="eastAsia" w:ascii="宋体" w:hAnsi="宋体" w:cs="宋体"/>
          <w:color w:val="auto"/>
          <w:szCs w:val="21"/>
        </w:rPr>
        <w:t>投标文件、签订合同和处理有关事宜，其法律后果由我方承担。</w:t>
      </w:r>
    </w:p>
    <w:p w14:paraId="7306800E">
      <w:pPr>
        <w:spacing w:line="400" w:lineRule="exact"/>
        <w:ind w:firstLine="420" w:firstLineChars="200"/>
        <w:rPr>
          <w:rFonts w:ascii="宋体" w:hAnsi="宋体" w:cs="宋体"/>
          <w:color w:val="auto"/>
          <w:sz w:val="24"/>
        </w:rPr>
      </w:pPr>
      <w:r>
        <w:rPr>
          <w:rFonts w:hint="eastAsia" w:ascii="宋体" w:hAnsi="宋体" w:cs="宋体"/>
          <w:color w:val="auto"/>
          <w:szCs w:val="21"/>
        </w:rPr>
        <w:t>代理人无转委托权</w:t>
      </w:r>
      <w:r>
        <w:rPr>
          <w:rFonts w:hint="eastAsia" w:ascii="宋体" w:hAnsi="宋体" w:cs="宋体"/>
          <w:color w:val="auto"/>
          <w:sz w:val="24"/>
        </w:rPr>
        <w:t>。</w:t>
      </w:r>
    </w:p>
    <w:p w14:paraId="7BE168CF">
      <w:pPr>
        <w:spacing w:before="318" w:beforeLines="100" w:after="318" w:afterLines="100" w:line="500" w:lineRule="exact"/>
        <w:ind w:firstLine="422" w:firstLineChars="200"/>
        <w:rPr>
          <w:rFonts w:ascii="宋体" w:hAnsi="宋体" w:cs="宋体"/>
          <w:b/>
          <w:bCs/>
          <w:color w:val="auto"/>
          <w:szCs w:val="21"/>
          <w:u w:val="single"/>
        </w:rPr>
      </w:pPr>
      <w:r>
        <w:rPr>
          <w:rFonts w:hint="eastAsia" w:ascii="宋体" w:hAnsi="宋体" w:cs="宋体"/>
          <w:b/>
          <w:bCs/>
          <w:color w:val="auto"/>
          <w:szCs w:val="21"/>
        </w:rPr>
        <w:t xml:space="preserve">委托期限： </w:t>
      </w:r>
      <w:r>
        <w:rPr>
          <w:rFonts w:hint="eastAsia" w:ascii="宋体" w:hAnsi="宋体" w:cs="宋体"/>
          <w:b/>
          <w:bCs/>
          <w:color w:val="auto"/>
          <w:szCs w:val="21"/>
          <w:u w:val="single"/>
        </w:rPr>
        <w:t>本授权书至投标有效期结束前始终有效。</w:t>
      </w:r>
    </w:p>
    <w:p w14:paraId="2CDD6351">
      <w:pPr>
        <w:spacing w:line="400" w:lineRule="exact"/>
        <w:ind w:firstLine="480" w:firstLineChars="200"/>
        <w:rPr>
          <w:rFonts w:ascii="宋体" w:hAnsi="宋体" w:cs="宋体"/>
          <w:color w:val="auto"/>
          <w:sz w:val="24"/>
        </w:rPr>
      </w:pPr>
    </w:p>
    <w:p w14:paraId="62835006">
      <w:pPr>
        <w:spacing w:line="400" w:lineRule="exact"/>
        <w:ind w:firstLine="420" w:firstLineChars="200"/>
        <w:rPr>
          <w:rFonts w:hint="eastAsia" w:ascii="宋体" w:hAnsi="宋体" w:cs="宋体"/>
          <w:color w:val="auto"/>
          <w:szCs w:val="21"/>
        </w:rPr>
      </w:pPr>
      <w:r>
        <w:rPr>
          <w:rFonts w:hint="eastAsia" w:ascii="宋体" w:hAnsi="宋体" w:cs="宋体"/>
          <w:color w:val="auto"/>
          <w:szCs w:val="21"/>
        </w:rPr>
        <w:t>附：法定代表人身份证复印件及委托代理人身份证扫描件</w:t>
      </w:r>
    </w:p>
    <w:p w14:paraId="50F2A6D5">
      <w:pPr>
        <w:spacing w:line="400" w:lineRule="exact"/>
        <w:ind w:firstLine="420" w:firstLineChars="200"/>
        <w:rPr>
          <w:rFonts w:ascii="宋体" w:hAnsi="宋体" w:cs="宋体"/>
          <w:color w:val="auto"/>
          <w:szCs w:val="21"/>
        </w:rPr>
      </w:pPr>
    </w:p>
    <w:p w14:paraId="5FAA629C">
      <w:pPr>
        <w:spacing w:line="400" w:lineRule="exact"/>
        <w:ind w:firstLine="420" w:firstLineChars="200"/>
        <w:rPr>
          <w:rFonts w:ascii="宋体" w:hAnsi="宋体" w:cs="宋体"/>
          <w:color w:val="auto"/>
          <w:szCs w:val="21"/>
        </w:rPr>
      </w:pPr>
    </w:p>
    <w:p w14:paraId="709816C7">
      <w:pPr>
        <w:spacing w:line="400" w:lineRule="exact"/>
        <w:ind w:firstLine="420" w:firstLineChars="200"/>
        <w:rPr>
          <w:rFonts w:ascii="宋体" w:hAnsi="宋体" w:cs="宋体"/>
          <w:color w:val="auto"/>
          <w:szCs w:val="21"/>
        </w:rPr>
      </w:pPr>
    </w:p>
    <w:p w14:paraId="27B3D5A4">
      <w:pPr>
        <w:spacing w:line="400" w:lineRule="exact"/>
        <w:ind w:firstLine="4725" w:firstLineChars="2250"/>
        <w:rPr>
          <w:rFonts w:ascii="宋体" w:hAnsi="宋体" w:cs="宋体"/>
          <w:color w:val="auto"/>
          <w:szCs w:val="21"/>
        </w:rPr>
      </w:pPr>
      <w:r>
        <w:rPr>
          <w:rFonts w:hint="eastAsia" w:ascii="宋体" w:hAnsi="宋体" w:cs="宋体"/>
          <w:color w:val="auto"/>
          <w:szCs w:val="21"/>
        </w:rPr>
        <w:t>投标人：（单位电子签章）</w:t>
      </w:r>
    </w:p>
    <w:p w14:paraId="694E6596">
      <w:pPr>
        <w:spacing w:line="400" w:lineRule="exact"/>
        <w:ind w:firstLine="420" w:firstLineChars="200"/>
        <w:rPr>
          <w:rFonts w:ascii="宋体" w:hAnsi="宋体" w:cs="宋体"/>
          <w:color w:val="auto"/>
          <w:szCs w:val="21"/>
        </w:rPr>
      </w:pPr>
    </w:p>
    <w:p w14:paraId="5D00509D">
      <w:pPr>
        <w:spacing w:line="400" w:lineRule="exact"/>
        <w:ind w:firstLine="4725" w:firstLineChars="2250"/>
        <w:rPr>
          <w:rFonts w:ascii="宋体" w:hAnsi="宋体" w:cs="宋体"/>
          <w:color w:val="auto"/>
          <w:szCs w:val="21"/>
        </w:rPr>
      </w:pPr>
      <w:r>
        <w:rPr>
          <w:rFonts w:hint="eastAsia" w:ascii="宋体" w:hAnsi="宋体" w:cs="宋体"/>
          <w:color w:val="auto"/>
          <w:szCs w:val="21"/>
        </w:rPr>
        <w:t>法定代表人：（电子签名或盖章）</w:t>
      </w:r>
    </w:p>
    <w:p w14:paraId="056BC5F8">
      <w:pPr>
        <w:spacing w:line="400" w:lineRule="exact"/>
        <w:ind w:firstLine="420" w:firstLineChars="200"/>
        <w:rPr>
          <w:rFonts w:ascii="宋体" w:hAnsi="宋体" w:cs="宋体"/>
          <w:color w:val="auto"/>
          <w:szCs w:val="21"/>
        </w:rPr>
      </w:pPr>
    </w:p>
    <w:p w14:paraId="327FC498">
      <w:pPr>
        <w:spacing w:line="400" w:lineRule="exact"/>
        <w:ind w:firstLine="4725" w:firstLineChars="2250"/>
        <w:rPr>
          <w:rFonts w:hint="eastAsia" w:ascii="宋体" w:hAnsi="宋体" w:cs="宋体"/>
          <w:color w:val="auto"/>
          <w:szCs w:val="21"/>
          <w:u w:val="single"/>
        </w:rPr>
      </w:pPr>
      <w:r>
        <w:rPr>
          <w:rFonts w:hint="eastAsia" w:ascii="宋体" w:hAnsi="宋体" w:cs="宋体"/>
          <w:color w:val="auto"/>
          <w:szCs w:val="21"/>
        </w:rPr>
        <w:t>身份证号码：</w:t>
      </w:r>
      <w:r>
        <w:rPr>
          <w:rFonts w:hint="eastAsia" w:ascii="宋体" w:hAnsi="宋体" w:cs="宋体"/>
          <w:color w:val="auto"/>
          <w:szCs w:val="21"/>
          <w:u w:val="single"/>
        </w:rPr>
        <w:t xml:space="preserve">              </w:t>
      </w:r>
    </w:p>
    <w:p w14:paraId="059DA167">
      <w:pPr>
        <w:spacing w:line="400" w:lineRule="exact"/>
        <w:ind w:firstLine="4725" w:firstLineChars="2250"/>
        <w:rPr>
          <w:rFonts w:hint="eastAsia" w:ascii="宋体" w:hAnsi="宋体" w:cs="宋体"/>
          <w:color w:val="auto"/>
          <w:szCs w:val="21"/>
          <w:u w:val="single"/>
        </w:rPr>
      </w:pPr>
    </w:p>
    <w:p w14:paraId="47DD6C41">
      <w:pPr>
        <w:spacing w:line="400" w:lineRule="exact"/>
        <w:ind w:firstLine="4725" w:firstLineChars="2250"/>
        <w:rPr>
          <w:rFonts w:ascii="宋体" w:hAnsi="宋体" w:cs="宋体"/>
          <w:color w:val="auto"/>
          <w:szCs w:val="21"/>
        </w:rPr>
      </w:pPr>
      <w:r>
        <w:rPr>
          <w:rFonts w:hint="eastAsia" w:ascii="宋体" w:hAnsi="宋体" w:cs="宋体"/>
          <w:color w:val="auto"/>
          <w:szCs w:val="21"/>
        </w:rPr>
        <w:t>委托代理人：（电子签名或盖章）</w:t>
      </w:r>
    </w:p>
    <w:p w14:paraId="2167BAE0">
      <w:pPr>
        <w:spacing w:line="400" w:lineRule="exact"/>
        <w:ind w:firstLine="420" w:firstLineChars="200"/>
        <w:rPr>
          <w:rFonts w:ascii="宋体" w:hAnsi="宋体" w:cs="宋体"/>
          <w:color w:val="auto"/>
          <w:szCs w:val="21"/>
        </w:rPr>
      </w:pPr>
    </w:p>
    <w:p w14:paraId="5BFD6619">
      <w:pPr>
        <w:spacing w:line="400" w:lineRule="exact"/>
        <w:ind w:firstLine="4725" w:firstLineChars="2250"/>
        <w:rPr>
          <w:rFonts w:ascii="宋体" w:hAnsi="宋体" w:cs="宋体"/>
          <w:color w:val="auto"/>
          <w:szCs w:val="21"/>
          <w:u w:val="single"/>
        </w:rPr>
      </w:pPr>
      <w:r>
        <w:rPr>
          <w:rFonts w:hint="eastAsia" w:ascii="宋体" w:hAnsi="宋体" w:cs="宋体"/>
          <w:color w:val="auto"/>
          <w:szCs w:val="21"/>
        </w:rPr>
        <w:t>身份证号码：</w:t>
      </w:r>
      <w:r>
        <w:rPr>
          <w:rFonts w:hint="eastAsia" w:ascii="宋体" w:hAnsi="宋体" w:cs="宋体"/>
          <w:color w:val="auto"/>
          <w:szCs w:val="21"/>
          <w:u w:val="single"/>
        </w:rPr>
        <w:t xml:space="preserve">              </w:t>
      </w:r>
    </w:p>
    <w:p w14:paraId="719F79BE">
      <w:pPr>
        <w:spacing w:line="400" w:lineRule="exact"/>
        <w:ind w:firstLine="5355" w:firstLineChars="2550"/>
        <w:rPr>
          <w:rFonts w:ascii="宋体" w:hAnsi="宋体" w:cs="宋体"/>
          <w:color w:val="auto"/>
          <w:szCs w:val="21"/>
        </w:rPr>
      </w:pPr>
    </w:p>
    <w:p w14:paraId="31238CB7">
      <w:pPr>
        <w:spacing w:line="400" w:lineRule="exact"/>
        <w:ind w:firstLine="5040" w:firstLineChars="2400"/>
        <w:rPr>
          <w:rFonts w:ascii="宋体" w:hAnsi="宋体" w:cs="宋体"/>
          <w:color w:val="auto"/>
          <w:szCs w:val="21"/>
        </w:rPr>
      </w:pPr>
      <w:r>
        <w:rPr>
          <w:rFonts w:hint="eastAsia" w:ascii="宋体" w:hAnsi="宋体" w:cs="宋体"/>
          <w:color w:val="auto"/>
          <w:szCs w:val="21"/>
        </w:rPr>
        <w:t>年  月   日</w:t>
      </w:r>
    </w:p>
    <w:p w14:paraId="64BDA922">
      <w:pPr>
        <w:spacing w:line="400" w:lineRule="exact"/>
        <w:rPr>
          <w:rFonts w:ascii="宋体" w:hAnsi="宋体" w:cs="宋体"/>
          <w:color w:val="auto"/>
          <w:sz w:val="24"/>
        </w:rPr>
      </w:pPr>
    </w:p>
    <w:p w14:paraId="04FACB2E">
      <w:pPr>
        <w:spacing w:line="400" w:lineRule="exact"/>
        <w:rPr>
          <w:rFonts w:ascii="宋体" w:hAnsi="宋体" w:cs="宋体"/>
          <w:bCs/>
          <w:color w:val="auto"/>
          <w:sz w:val="24"/>
        </w:rPr>
      </w:pPr>
    </w:p>
    <w:p w14:paraId="33963277">
      <w:pPr>
        <w:spacing w:line="400" w:lineRule="exact"/>
        <w:rPr>
          <w:rFonts w:ascii="宋体" w:hAnsi="宋体" w:cs="宋体"/>
          <w:bCs/>
          <w:color w:val="auto"/>
          <w:sz w:val="24"/>
        </w:rPr>
      </w:pPr>
    </w:p>
    <w:p w14:paraId="18C4D49F">
      <w:pPr>
        <w:spacing w:line="400" w:lineRule="exact"/>
        <w:rPr>
          <w:rFonts w:ascii="宋体" w:hAnsi="宋体" w:cs="宋体"/>
          <w:bCs/>
          <w:color w:val="auto"/>
          <w:sz w:val="24"/>
        </w:rPr>
      </w:pPr>
    </w:p>
    <w:p w14:paraId="020B2C79">
      <w:pPr>
        <w:rPr>
          <w:rFonts w:hint="eastAsia"/>
          <w:color w:val="auto"/>
        </w:rPr>
      </w:pPr>
      <w:bookmarkStart w:id="335" w:name="_Toc6348"/>
      <w:bookmarkStart w:id="336" w:name="_Toc516822671"/>
      <w:bookmarkStart w:id="337" w:name="_Toc25217"/>
      <w:bookmarkStart w:id="338" w:name="_Toc26969"/>
      <w:bookmarkStart w:id="339" w:name="_Toc5032"/>
      <w:bookmarkStart w:id="340" w:name="_Toc17238"/>
    </w:p>
    <w:p w14:paraId="71957A67">
      <w:pPr>
        <w:pStyle w:val="45"/>
        <w:ind w:firstLine="617" w:firstLineChars="192"/>
        <w:jc w:val="center"/>
        <w:outlineLvl w:val="1"/>
        <w:rPr>
          <w:rFonts w:hint="eastAsia" w:ascii="宋体" w:hAnsi="宋体" w:cs="宋体"/>
          <w:b/>
          <w:bCs/>
          <w:color w:val="auto"/>
          <w:sz w:val="32"/>
          <w:szCs w:val="32"/>
        </w:rPr>
      </w:pPr>
      <w:bookmarkStart w:id="341" w:name="_Toc12843"/>
    </w:p>
    <w:p w14:paraId="597949D1">
      <w:pPr>
        <w:pStyle w:val="45"/>
        <w:ind w:left="0" w:leftChars="0" w:firstLine="0" w:firstLineChars="0"/>
        <w:jc w:val="both"/>
        <w:outlineLvl w:val="1"/>
        <w:rPr>
          <w:rFonts w:hint="eastAsia" w:ascii="宋体" w:hAnsi="宋体" w:cs="宋体"/>
          <w:b/>
          <w:bCs/>
          <w:color w:val="auto"/>
          <w:sz w:val="32"/>
          <w:szCs w:val="32"/>
        </w:rPr>
      </w:pPr>
    </w:p>
    <w:p w14:paraId="65A1BBFD">
      <w:pPr>
        <w:pStyle w:val="3"/>
        <w:numPr>
          <w:ilvl w:val="2"/>
          <w:numId w:val="0"/>
        </w:numPr>
        <w:tabs>
          <w:tab w:val="left" w:pos="1260"/>
        </w:tabs>
        <w:spacing w:line="400" w:lineRule="exact"/>
        <w:jc w:val="center"/>
        <w:rPr>
          <w:rFonts w:hint="eastAsia" w:ascii="宋体" w:hAnsi="宋体" w:eastAsia="宋体" w:cs="宋体"/>
          <w:b/>
          <w:color w:val="auto"/>
        </w:rPr>
      </w:pPr>
      <w:r>
        <w:rPr>
          <w:rFonts w:hint="eastAsia" w:ascii="宋体" w:hAnsi="宋体" w:eastAsia="宋体" w:cs="宋体"/>
          <w:b/>
          <w:color w:val="auto"/>
        </w:rPr>
        <w:t>四、</w:t>
      </w:r>
      <w:bookmarkEnd w:id="335"/>
      <w:bookmarkEnd w:id="336"/>
      <w:bookmarkEnd w:id="337"/>
      <w:bookmarkEnd w:id="338"/>
      <w:bookmarkEnd w:id="339"/>
      <w:bookmarkEnd w:id="341"/>
      <w:r>
        <w:rPr>
          <w:rFonts w:hint="eastAsia" w:ascii="宋体" w:hAnsi="宋体" w:eastAsia="宋体" w:cs="宋体"/>
          <w:b/>
          <w:color w:val="auto"/>
        </w:rPr>
        <w:t>分项报价表</w:t>
      </w:r>
      <w:bookmarkEnd w:id="340"/>
    </w:p>
    <w:p w14:paraId="358CD1AD">
      <w:pPr>
        <w:pStyle w:val="190"/>
        <w:ind w:firstLine="0"/>
        <w:rPr>
          <w:rFonts w:ascii="宋体" w:hAnsi="宋体" w:eastAsia="宋体" w:cs="宋体"/>
          <w:b/>
          <w:bCs/>
          <w:color w:val="auto"/>
          <w:sz w:val="21"/>
          <w:szCs w:val="21"/>
        </w:rPr>
      </w:pPr>
      <w:r>
        <w:rPr>
          <w:rFonts w:hint="eastAsia" w:ascii="宋体" w:hAnsi="宋体" w:eastAsia="宋体" w:cs="宋体"/>
          <w:b/>
          <w:bCs/>
          <w:color w:val="auto"/>
          <w:sz w:val="21"/>
          <w:szCs w:val="21"/>
        </w:rPr>
        <w:t>(一）分项报价：</w:t>
      </w:r>
    </w:p>
    <w:p w14:paraId="3747836F">
      <w:pPr>
        <w:tabs>
          <w:tab w:val="left" w:pos="926"/>
          <w:tab w:val="left" w:pos="4335"/>
          <w:tab w:val="left" w:pos="7227"/>
        </w:tabs>
        <w:spacing w:line="400" w:lineRule="exact"/>
        <w:jc w:val="left"/>
        <w:rPr>
          <w:rFonts w:ascii="宋体" w:hAnsi="宋体" w:cs="宋体"/>
          <w:color w:val="auto"/>
          <w:szCs w:val="21"/>
        </w:rPr>
      </w:pPr>
      <w:r>
        <w:rPr>
          <w:rFonts w:hint="eastAsia" w:ascii="宋体" w:hAnsi="宋体" w:cs="宋体"/>
          <w:color w:val="auto"/>
          <w:szCs w:val="21"/>
        </w:rPr>
        <w:t xml:space="preserve">项目名称：                                              </w:t>
      </w:r>
    </w:p>
    <w:p w14:paraId="17799323">
      <w:pPr>
        <w:pStyle w:val="190"/>
        <w:spacing w:line="400" w:lineRule="exact"/>
        <w:ind w:right="280" w:firstLine="0"/>
        <w:jc w:val="left"/>
        <w:rPr>
          <w:rFonts w:ascii="宋体" w:hAnsi="宋体" w:eastAsia="宋体" w:cs="宋体"/>
          <w:color w:val="auto"/>
          <w:sz w:val="21"/>
          <w:szCs w:val="21"/>
        </w:rPr>
      </w:pPr>
      <w:r>
        <w:rPr>
          <w:rFonts w:hint="eastAsia" w:ascii="宋体" w:hAnsi="宋体" w:eastAsia="宋体" w:cs="宋体"/>
          <w:color w:val="auto"/>
          <w:sz w:val="21"/>
          <w:szCs w:val="21"/>
        </w:rPr>
        <w:t>项目编号：                                                     单位：人民币元</w:t>
      </w:r>
    </w:p>
    <w:tbl>
      <w:tblPr>
        <w:tblStyle w:val="47"/>
        <w:tblW w:w="105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9"/>
        <w:gridCol w:w="1078"/>
        <w:gridCol w:w="1184"/>
        <w:gridCol w:w="1179"/>
        <w:gridCol w:w="1058"/>
        <w:gridCol w:w="1058"/>
        <w:gridCol w:w="875"/>
        <w:gridCol w:w="875"/>
        <w:gridCol w:w="1169"/>
        <w:gridCol w:w="1169"/>
      </w:tblGrid>
      <w:tr w14:paraId="0AC57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7" w:hRule="atLeast"/>
          <w:jc w:val="center"/>
        </w:trPr>
        <w:tc>
          <w:tcPr>
            <w:tcW w:w="869" w:type="dxa"/>
            <w:noWrap w:val="0"/>
            <w:vAlign w:val="center"/>
          </w:tcPr>
          <w:p w14:paraId="0D0149F7">
            <w:pPr>
              <w:pStyle w:val="189"/>
              <w:keepNext w:val="0"/>
              <w:adjustRightInd/>
              <w:spacing w:before="0" w:after="0" w:line="240" w:lineRule="auto"/>
              <w:textAlignment w:val="auto"/>
              <w:rPr>
                <w:rFonts w:ascii="宋体" w:hAnsi="宋体" w:cs="宋体"/>
                <w:snapToGrid/>
                <w:color w:val="auto"/>
                <w:spacing w:val="0"/>
                <w:kern w:val="2"/>
                <w:sz w:val="21"/>
                <w:szCs w:val="21"/>
              </w:rPr>
            </w:pPr>
            <w:r>
              <w:rPr>
                <w:rFonts w:hint="eastAsia" w:ascii="宋体" w:hAnsi="宋体" w:cs="宋体"/>
                <w:snapToGrid/>
                <w:color w:val="auto"/>
                <w:spacing w:val="0"/>
                <w:kern w:val="2"/>
                <w:sz w:val="21"/>
                <w:szCs w:val="21"/>
              </w:rPr>
              <w:t>序号</w:t>
            </w:r>
          </w:p>
        </w:tc>
        <w:tc>
          <w:tcPr>
            <w:tcW w:w="1078" w:type="dxa"/>
            <w:noWrap w:val="0"/>
            <w:vAlign w:val="center"/>
          </w:tcPr>
          <w:p w14:paraId="24B3A3AF">
            <w:pPr>
              <w:jc w:val="center"/>
              <w:rPr>
                <w:rFonts w:ascii="宋体" w:hAnsi="宋体" w:cs="宋体"/>
                <w:color w:val="auto"/>
                <w:szCs w:val="21"/>
              </w:rPr>
            </w:pPr>
            <w:r>
              <w:rPr>
                <w:rFonts w:hint="eastAsia" w:ascii="宋体" w:hAnsi="宋体" w:cs="宋体"/>
                <w:color w:val="auto"/>
                <w:szCs w:val="21"/>
              </w:rPr>
              <w:t>名称</w:t>
            </w:r>
          </w:p>
        </w:tc>
        <w:tc>
          <w:tcPr>
            <w:tcW w:w="1184" w:type="dxa"/>
            <w:noWrap w:val="0"/>
            <w:vAlign w:val="center"/>
          </w:tcPr>
          <w:p w14:paraId="75AC8ECC">
            <w:pPr>
              <w:jc w:val="center"/>
              <w:rPr>
                <w:rFonts w:ascii="宋体" w:hAnsi="宋体" w:cs="宋体"/>
                <w:color w:val="auto"/>
                <w:szCs w:val="21"/>
              </w:rPr>
            </w:pPr>
            <w:r>
              <w:rPr>
                <w:rFonts w:hint="eastAsia" w:ascii="宋体" w:hAnsi="宋体" w:cs="宋体"/>
                <w:color w:val="auto"/>
                <w:szCs w:val="21"/>
              </w:rPr>
              <w:t>规格型号</w:t>
            </w:r>
          </w:p>
        </w:tc>
        <w:tc>
          <w:tcPr>
            <w:tcW w:w="1179" w:type="dxa"/>
            <w:noWrap w:val="0"/>
            <w:vAlign w:val="center"/>
          </w:tcPr>
          <w:p w14:paraId="2A52556E">
            <w:pPr>
              <w:jc w:val="center"/>
              <w:rPr>
                <w:rFonts w:ascii="宋体" w:hAnsi="宋体" w:cs="宋体"/>
                <w:color w:val="auto"/>
                <w:szCs w:val="21"/>
              </w:rPr>
            </w:pPr>
            <w:r>
              <w:rPr>
                <w:rFonts w:hint="eastAsia" w:ascii="宋体" w:hAnsi="宋体" w:cs="宋体"/>
                <w:color w:val="auto"/>
                <w:szCs w:val="21"/>
              </w:rPr>
              <w:t>生产厂家</w:t>
            </w:r>
          </w:p>
        </w:tc>
        <w:tc>
          <w:tcPr>
            <w:tcW w:w="1058" w:type="dxa"/>
            <w:noWrap w:val="0"/>
            <w:vAlign w:val="center"/>
          </w:tcPr>
          <w:p w14:paraId="549736D6">
            <w:pPr>
              <w:jc w:val="center"/>
              <w:rPr>
                <w:rFonts w:hint="eastAsia" w:ascii="宋体" w:hAnsi="宋体" w:eastAsia="宋体" w:cs="宋体"/>
                <w:color w:val="auto"/>
                <w:szCs w:val="21"/>
                <w:lang w:val="en-US" w:eastAsia="zh-CN"/>
              </w:rPr>
            </w:pPr>
            <w:r>
              <w:rPr>
                <w:rFonts w:hint="eastAsia" w:ascii="宋体" w:hAnsi="宋体" w:cs="宋体"/>
                <w:color w:val="auto"/>
                <w:szCs w:val="21"/>
                <w:lang w:val="en-US" w:eastAsia="zh-CN"/>
              </w:rPr>
              <w:t>品牌</w:t>
            </w:r>
          </w:p>
        </w:tc>
        <w:tc>
          <w:tcPr>
            <w:tcW w:w="1058" w:type="dxa"/>
            <w:noWrap w:val="0"/>
            <w:vAlign w:val="center"/>
          </w:tcPr>
          <w:p w14:paraId="41FDF95A">
            <w:pPr>
              <w:jc w:val="center"/>
              <w:rPr>
                <w:rFonts w:ascii="宋体" w:hAnsi="宋体" w:cs="宋体"/>
                <w:color w:val="auto"/>
                <w:szCs w:val="21"/>
              </w:rPr>
            </w:pPr>
            <w:r>
              <w:rPr>
                <w:rFonts w:hint="eastAsia" w:ascii="宋体" w:hAnsi="宋体" w:cs="宋体"/>
                <w:color w:val="auto"/>
                <w:szCs w:val="21"/>
              </w:rPr>
              <w:t>数量</w:t>
            </w:r>
          </w:p>
        </w:tc>
        <w:tc>
          <w:tcPr>
            <w:tcW w:w="875" w:type="dxa"/>
            <w:noWrap w:val="0"/>
            <w:vAlign w:val="center"/>
          </w:tcPr>
          <w:p w14:paraId="3B3096A5">
            <w:pPr>
              <w:jc w:val="center"/>
              <w:rPr>
                <w:rFonts w:hint="eastAsia" w:ascii="宋体" w:hAnsi="宋体" w:cs="宋体"/>
                <w:color w:val="auto"/>
                <w:szCs w:val="21"/>
              </w:rPr>
            </w:pPr>
            <w:r>
              <w:rPr>
                <w:rFonts w:hint="eastAsia" w:ascii="宋体" w:hAnsi="宋体" w:cs="宋体"/>
                <w:color w:val="auto"/>
                <w:szCs w:val="21"/>
              </w:rPr>
              <w:t>单位</w:t>
            </w:r>
          </w:p>
        </w:tc>
        <w:tc>
          <w:tcPr>
            <w:tcW w:w="875" w:type="dxa"/>
            <w:noWrap w:val="0"/>
            <w:vAlign w:val="center"/>
          </w:tcPr>
          <w:p w14:paraId="1110FA7C">
            <w:pPr>
              <w:jc w:val="center"/>
              <w:rPr>
                <w:rFonts w:ascii="宋体" w:hAnsi="宋体" w:cs="宋体"/>
                <w:color w:val="auto"/>
                <w:szCs w:val="21"/>
              </w:rPr>
            </w:pPr>
            <w:r>
              <w:rPr>
                <w:rFonts w:hint="eastAsia" w:ascii="宋体" w:hAnsi="宋体" w:cs="宋体"/>
                <w:color w:val="auto"/>
                <w:szCs w:val="21"/>
              </w:rPr>
              <w:t>单价</w:t>
            </w:r>
          </w:p>
        </w:tc>
        <w:tc>
          <w:tcPr>
            <w:tcW w:w="1169" w:type="dxa"/>
            <w:noWrap w:val="0"/>
            <w:vAlign w:val="center"/>
          </w:tcPr>
          <w:p w14:paraId="7DCA7B17">
            <w:pPr>
              <w:jc w:val="center"/>
              <w:rPr>
                <w:rFonts w:ascii="宋体" w:hAnsi="宋体" w:cs="宋体"/>
                <w:color w:val="auto"/>
                <w:szCs w:val="21"/>
              </w:rPr>
            </w:pPr>
            <w:r>
              <w:rPr>
                <w:rFonts w:hint="eastAsia" w:ascii="宋体" w:hAnsi="宋体"/>
                <w:color w:val="auto"/>
                <w:szCs w:val="21"/>
              </w:rPr>
              <w:t>总价（元）</w:t>
            </w:r>
          </w:p>
        </w:tc>
        <w:tc>
          <w:tcPr>
            <w:tcW w:w="1169" w:type="dxa"/>
            <w:noWrap w:val="0"/>
            <w:vAlign w:val="center"/>
          </w:tcPr>
          <w:p w14:paraId="53174DFD">
            <w:pPr>
              <w:jc w:val="center"/>
              <w:rPr>
                <w:rFonts w:ascii="宋体" w:hAnsi="宋体" w:cs="宋体"/>
                <w:color w:val="auto"/>
                <w:szCs w:val="21"/>
              </w:rPr>
            </w:pPr>
            <w:r>
              <w:rPr>
                <w:rFonts w:hint="eastAsia" w:ascii="宋体" w:hAnsi="宋体" w:cs="宋体"/>
                <w:color w:val="auto"/>
                <w:szCs w:val="21"/>
              </w:rPr>
              <w:t>备注</w:t>
            </w:r>
          </w:p>
        </w:tc>
      </w:tr>
      <w:tr w14:paraId="07579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9" w:hRule="atLeast"/>
          <w:jc w:val="center"/>
        </w:trPr>
        <w:tc>
          <w:tcPr>
            <w:tcW w:w="869" w:type="dxa"/>
            <w:noWrap w:val="0"/>
            <w:vAlign w:val="center"/>
          </w:tcPr>
          <w:p w14:paraId="04256B68">
            <w:pPr>
              <w:pStyle w:val="189"/>
              <w:keepNext w:val="0"/>
              <w:adjustRightInd/>
              <w:spacing w:before="0" w:after="0" w:line="240" w:lineRule="auto"/>
              <w:textAlignment w:val="auto"/>
              <w:rPr>
                <w:rFonts w:ascii="宋体" w:hAnsi="宋体" w:cs="宋体"/>
                <w:snapToGrid/>
                <w:color w:val="auto"/>
                <w:spacing w:val="0"/>
                <w:kern w:val="2"/>
                <w:sz w:val="21"/>
                <w:szCs w:val="21"/>
              </w:rPr>
            </w:pPr>
            <w:r>
              <w:rPr>
                <w:rFonts w:hint="eastAsia" w:ascii="宋体" w:hAnsi="宋体" w:cs="宋体"/>
                <w:snapToGrid/>
                <w:color w:val="auto"/>
                <w:spacing w:val="0"/>
                <w:kern w:val="2"/>
                <w:sz w:val="21"/>
                <w:szCs w:val="21"/>
              </w:rPr>
              <w:t>1</w:t>
            </w:r>
          </w:p>
        </w:tc>
        <w:tc>
          <w:tcPr>
            <w:tcW w:w="1078" w:type="dxa"/>
            <w:noWrap w:val="0"/>
            <w:vAlign w:val="center"/>
          </w:tcPr>
          <w:p w14:paraId="571326E5">
            <w:pPr>
              <w:jc w:val="center"/>
              <w:rPr>
                <w:rFonts w:ascii="宋体" w:hAnsi="宋体" w:cs="宋体"/>
                <w:color w:val="auto"/>
                <w:szCs w:val="21"/>
              </w:rPr>
            </w:pPr>
          </w:p>
        </w:tc>
        <w:tc>
          <w:tcPr>
            <w:tcW w:w="1184" w:type="dxa"/>
            <w:noWrap w:val="0"/>
            <w:vAlign w:val="center"/>
          </w:tcPr>
          <w:p w14:paraId="339B007E">
            <w:pPr>
              <w:jc w:val="center"/>
              <w:rPr>
                <w:rFonts w:ascii="宋体" w:hAnsi="宋体" w:cs="宋体"/>
                <w:color w:val="auto"/>
                <w:szCs w:val="21"/>
              </w:rPr>
            </w:pPr>
          </w:p>
        </w:tc>
        <w:tc>
          <w:tcPr>
            <w:tcW w:w="1179" w:type="dxa"/>
            <w:noWrap w:val="0"/>
            <w:vAlign w:val="center"/>
          </w:tcPr>
          <w:p w14:paraId="2579DE14">
            <w:pPr>
              <w:jc w:val="center"/>
              <w:rPr>
                <w:rFonts w:ascii="宋体" w:hAnsi="宋体" w:cs="宋体"/>
                <w:color w:val="auto"/>
                <w:szCs w:val="21"/>
              </w:rPr>
            </w:pPr>
          </w:p>
        </w:tc>
        <w:tc>
          <w:tcPr>
            <w:tcW w:w="1058" w:type="dxa"/>
            <w:noWrap w:val="0"/>
            <w:vAlign w:val="center"/>
          </w:tcPr>
          <w:p w14:paraId="0377325E">
            <w:pPr>
              <w:jc w:val="center"/>
              <w:rPr>
                <w:rFonts w:ascii="宋体" w:hAnsi="宋体" w:cs="宋体"/>
                <w:color w:val="auto"/>
                <w:szCs w:val="21"/>
              </w:rPr>
            </w:pPr>
          </w:p>
        </w:tc>
        <w:tc>
          <w:tcPr>
            <w:tcW w:w="1058" w:type="dxa"/>
            <w:noWrap w:val="0"/>
            <w:vAlign w:val="center"/>
          </w:tcPr>
          <w:p w14:paraId="5D041E46">
            <w:pPr>
              <w:jc w:val="center"/>
              <w:rPr>
                <w:rFonts w:ascii="宋体" w:hAnsi="宋体" w:cs="宋体"/>
                <w:color w:val="auto"/>
                <w:szCs w:val="21"/>
              </w:rPr>
            </w:pPr>
          </w:p>
        </w:tc>
        <w:tc>
          <w:tcPr>
            <w:tcW w:w="875" w:type="dxa"/>
            <w:noWrap w:val="0"/>
            <w:vAlign w:val="center"/>
          </w:tcPr>
          <w:p w14:paraId="62121052">
            <w:pPr>
              <w:jc w:val="center"/>
              <w:rPr>
                <w:rFonts w:ascii="宋体" w:hAnsi="宋体" w:cs="宋体"/>
                <w:color w:val="auto"/>
                <w:szCs w:val="21"/>
              </w:rPr>
            </w:pPr>
          </w:p>
        </w:tc>
        <w:tc>
          <w:tcPr>
            <w:tcW w:w="875" w:type="dxa"/>
            <w:noWrap w:val="0"/>
            <w:vAlign w:val="center"/>
          </w:tcPr>
          <w:p w14:paraId="03641086">
            <w:pPr>
              <w:jc w:val="center"/>
              <w:rPr>
                <w:rFonts w:ascii="宋体" w:hAnsi="宋体" w:cs="宋体"/>
                <w:color w:val="auto"/>
                <w:szCs w:val="21"/>
              </w:rPr>
            </w:pPr>
          </w:p>
        </w:tc>
        <w:tc>
          <w:tcPr>
            <w:tcW w:w="1169" w:type="dxa"/>
            <w:noWrap w:val="0"/>
            <w:vAlign w:val="center"/>
          </w:tcPr>
          <w:p w14:paraId="45D4ED76">
            <w:pPr>
              <w:jc w:val="center"/>
              <w:rPr>
                <w:rFonts w:ascii="宋体" w:hAnsi="宋体" w:cs="宋体"/>
                <w:color w:val="auto"/>
                <w:szCs w:val="21"/>
              </w:rPr>
            </w:pPr>
          </w:p>
        </w:tc>
        <w:tc>
          <w:tcPr>
            <w:tcW w:w="1169" w:type="dxa"/>
            <w:noWrap w:val="0"/>
            <w:vAlign w:val="center"/>
          </w:tcPr>
          <w:p w14:paraId="1A7050DA">
            <w:pPr>
              <w:jc w:val="center"/>
              <w:rPr>
                <w:rFonts w:ascii="宋体" w:hAnsi="宋体" w:cs="宋体"/>
                <w:color w:val="auto"/>
                <w:szCs w:val="21"/>
              </w:rPr>
            </w:pPr>
          </w:p>
        </w:tc>
      </w:tr>
      <w:tr w14:paraId="2B4F8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9" w:hRule="atLeast"/>
          <w:jc w:val="center"/>
        </w:trPr>
        <w:tc>
          <w:tcPr>
            <w:tcW w:w="869" w:type="dxa"/>
            <w:noWrap w:val="0"/>
            <w:vAlign w:val="center"/>
          </w:tcPr>
          <w:p w14:paraId="46169448">
            <w:pPr>
              <w:jc w:val="center"/>
              <w:rPr>
                <w:rFonts w:ascii="宋体" w:hAnsi="宋体" w:cs="宋体"/>
                <w:color w:val="auto"/>
                <w:szCs w:val="21"/>
              </w:rPr>
            </w:pPr>
            <w:r>
              <w:rPr>
                <w:rFonts w:hint="eastAsia" w:ascii="宋体" w:hAnsi="宋体" w:cs="宋体"/>
                <w:color w:val="auto"/>
                <w:szCs w:val="21"/>
              </w:rPr>
              <w:t>2</w:t>
            </w:r>
          </w:p>
        </w:tc>
        <w:tc>
          <w:tcPr>
            <w:tcW w:w="1078" w:type="dxa"/>
            <w:noWrap w:val="0"/>
            <w:vAlign w:val="center"/>
          </w:tcPr>
          <w:p w14:paraId="29D3DC39">
            <w:pPr>
              <w:jc w:val="center"/>
              <w:rPr>
                <w:rFonts w:ascii="宋体" w:hAnsi="宋体" w:cs="宋体"/>
                <w:color w:val="auto"/>
                <w:szCs w:val="21"/>
              </w:rPr>
            </w:pPr>
          </w:p>
        </w:tc>
        <w:tc>
          <w:tcPr>
            <w:tcW w:w="1184" w:type="dxa"/>
            <w:noWrap w:val="0"/>
            <w:vAlign w:val="center"/>
          </w:tcPr>
          <w:p w14:paraId="6C5D4CB7">
            <w:pPr>
              <w:jc w:val="center"/>
              <w:rPr>
                <w:rFonts w:ascii="宋体" w:hAnsi="宋体" w:cs="宋体"/>
                <w:color w:val="auto"/>
                <w:szCs w:val="21"/>
              </w:rPr>
            </w:pPr>
          </w:p>
        </w:tc>
        <w:tc>
          <w:tcPr>
            <w:tcW w:w="1179" w:type="dxa"/>
            <w:noWrap w:val="0"/>
            <w:vAlign w:val="center"/>
          </w:tcPr>
          <w:p w14:paraId="63E75488">
            <w:pPr>
              <w:jc w:val="center"/>
              <w:rPr>
                <w:rFonts w:ascii="宋体" w:hAnsi="宋体" w:cs="宋体"/>
                <w:color w:val="auto"/>
                <w:szCs w:val="21"/>
              </w:rPr>
            </w:pPr>
          </w:p>
        </w:tc>
        <w:tc>
          <w:tcPr>
            <w:tcW w:w="1058" w:type="dxa"/>
            <w:noWrap w:val="0"/>
            <w:vAlign w:val="center"/>
          </w:tcPr>
          <w:p w14:paraId="2D8CB98F">
            <w:pPr>
              <w:jc w:val="center"/>
              <w:rPr>
                <w:rFonts w:ascii="宋体" w:hAnsi="宋体" w:cs="宋体"/>
                <w:color w:val="auto"/>
                <w:szCs w:val="21"/>
              </w:rPr>
            </w:pPr>
          </w:p>
        </w:tc>
        <w:tc>
          <w:tcPr>
            <w:tcW w:w="1058" w:type="dxa"/>
            <w:noWrap w:val="0"/>
            <w:vAlign w:val="center"/>
          </w:tcPr>
          <w:p w14:paraId="2B839A0A">
            <w:pPr>
              <w:jc w:val="center"/>
              <w:rPr>
                <w:rFonts w:ascii="宋体" w:hAnsi="宋体" w:cs="宋体"/>
                <w:color w:val="auto"/>
                <w:szCs w:val="21"/>
              </w:rPr>
            </w:pPr>
          </w:p>
        </w:tc>
        <w:tc>
          <w:tcPr>
            <w:tcW w:w="875" w:type="dxa"/>
            <w:noWrap w:val="0"/>
            <w:vAlign w:val="center"/>
          </w:tcPr>
          <w:p w14:paraId="372E5782">
            <w:pPr>
              <w:jc w:val="center"/>
              <w:rPr>
                <w:rFonts w:ascii="宋体" w:hAnsi="宋体" w:cs="宋体"/>
                <w:color w:val="auto"/>
                <w:szCs w:val="21"/>
              </w:rPr>
            </w:pPr>
          </w:p>
        </w:tc>
        <w:tc>
          <w:tcPr>
            <w:tcW w:w="875" w:type="dxa"/>
            <w:noWrap w:val="0"/>
            <w:vAlign w:val="center"/>
          </w:tcPr>
          <w:p w14:paraId="56685F08">
            <w:pPr>
              <w:jc w:val="center"/>
              <w:rPr>
                <w:rFonts w:ascii="宋体" w:hAnsi="宋体" w:cs="宋体"/>
                <w:color w:val="auto"/>
                <w:szCs w:val="21"/>
              </w:rPr>
            </w:pPr>
          </w:p>
        </w:tc>
        <w:tc>
          <w:tcPr>
            <w:tcW w:w="1169" w:type="dxa"/>
            <w:noWrap w:val="0"/>
            <w:vAlign w:val="center"/>
          </w:tcPr>
          <w:p w14:paraId="5B013EE4">
            <w:pPr>
              <w:jc w:val="center"/>
              <w:rPr>
                <w:rFonts w:ascii="宋体" w:hAnsi="宋体" w:cs="宋体"/>
                <w:color w:val="auto"/>
                <w:szCs w:val="21"/>
              </w:rPr>
            </w:pPr>
          </w:p>
        </w:tc>
        <w:tc>
          <w:tcPr>
            <w:tcW w:w="1169" w:type="dxa"/>
            <w:noWrap w:val="0"/>
            <w:vAlign w:val="center"/>
          </w:tcPr>
          <w:p w14:paraId="2A08B0AD">
            <w:pPr>
              <w:jc w:val="center"/>
              <w:rPr>
                <w:rFonts w:ascii="宋体" w:hAnsi="宋体" w:cs="宋体"/>
                <w:color w:val="auto"/>
                <w:szCs w:val="21"/>
              </w:rPr>
            </w:pPr>
          </w:p>
        </w:tc>
      </w:tr>
      <w:tr w14:paraId="0C3A3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9" w:hRule="atLeast"/>
          <w:jc w:val="center"/>
        </w:trPr>
        <w:tc>
          <w:tcPr>
            <w:tcW w:w="869" w:type="dxa"/>
            <w:noWrap w:val="0"/>
            <w:vAlign w:val="center"/>
          </w:tcPr>
          <w:p w14:paraId="26EE357D">
            <w:pPr>
              <w:jc w:val="center"/>
              <w:rPr>
                <w:rFonts w:ascii="宋体" w:hAnsi="宋体" w:cs="宋体"/>
                <w:color w:val="auto"/>
                <w:szCs w:val="21"/>
              </w:rPr>
            </w:pPr>
            <w:r>
              <w:rPr>
                <w:rFonts w:hint="eastAsia" w:ascii="宋体" w:hAnsi="宋体" w:cs="宋体"/>
                <w:color w:val="auto"/>
                <w:szCs w:val="21"/>
              </w:rPr>
              <w:t>3</w:t>
            </w:r>
          </w:p>
        </w:tc>
        <w:tc>
          <w:tcPr>
            <w:tcW w:w="1078" w:type="dxa"/>
            <w:noWrap w:val="0"/>
            <w:vAlign w:val="center"/>
          </w:tcPr>
          <w:p w14:paraId="2F216AF5">
            <w:pPr>
              <w:jc w:val="center"/>
              <w:rPr>
                <w:rFonts w:ascii="宋体" w:hAnsi="宋体" w:cs="宋体"/>
                <w:color w:val="auto"/>
                <w:szCs w:val="21"/>
              </w:rPr>
            </w:pPr>
          </w:p>
        </w:tc>
        <w:tc>
          <w:tcPr>
            <w:tcW w:w="1184" w:type="dxa"/>
            <w:noWrap w:val="0"/>
            <w:vAlign w:val="center"/>
          </w:tcPr>
          <w:p w14:paraId="61591206">
            <w:pPr>
              <w:jc w:val="center"/>
              <w:rPr>
                <w:rFonts w:ascii="宋体" w:hAnsi="宋体" w:cs="宋体"/>
                <w:color w:val="auto"/>
                <w:szCs w:val="21"/>
              </w:rPr>
            </w:pPr>
          </w:p>
        </w:tc>
        <w:tc>
          <w:tcPr>
            <w:tcW w:w="1179" w:type="dxa"/>
            <w:noWrap w:val="0"/>
            <w:vAlign w:val="center"/>
          </w:tcPr>
          <w:p w14:paraId="0E109333">
            <w:pPr>
              <w:jc w:val="center"/>
              <w:rPr>
                <w:rFonts w:ascii="宋体" w:hAnsi="宋体" w:cs="宋体"/>
                <w:color w:val="auto"/>
                <w:szCs w:val="21"/>
              </w:rPr>
            </w:pPr>
          </w:p>
        </w:tc>
        <w:tc>
          <w:tcPr>
            <w:tcW w:w="1058" w:type="dxa"/>
            <w:noWrap w:val="0"/>
            <w:vAlign w:val="center"/>
          </w:tcPr>
          <w:p w14:paraId="2906CC53">
            <w:pPr>
              <w:jc w:val="center"/>
              <w:rPr>
                <w:rFonts w:ascii="宋体" w:hAnsi="宋体" w:cs="宋体"/>
                <w:color w:val="auto"/>
                <w:szCs w:val="21"/>
              </w:rPr>
            </w:pPr>
          </w:p>
        </w:tc>
        <w:tc>
          <w:tcPr>
            <w:tcW w:w="1058" w:type="dxa"/>
            <w:noWrap w:val="0"/>
            <w:vAlign w:val="center"/>
          </w:tcPr>
          <w:p w14:paraId="1E7E0732">
            <w:pPr>
              <w:jc w:val="center"/>
              <w:rPr>
                <w:rFonts w:ascii="宋体" w:hAnsi="宋体" w:cs="宋体"/>
                <w:color w:val="auto"/>
                <w:szCs w:val="21"/>
              </w:rPr>
            </w:pPr>
          </w:p>
        </w:tc>
        <w:tc>
          <w:tcPr>
            <w:tcW w:w="875" w:type="dxa"/>
            <w:noWrap w:val="0"/>
            <w:vAlign w:val="center"/>
          </w:tcPr>
          <w:p w14:paraId="094046BF">
            <w:pPr>
              <w:jc w:val="center"/>
              <w:rPr>
                <w:rFonts w:ascii="宋体" w:hAnsi="宋体" w:cs="宋体"/>
                <w:color w:val="auto"/>
                <w:szCs w:val="21"/>
              </w:rPr>
            </w:pPr>
          </w:p>
        </w:tc>
        <w:tc>
          <w:tcPr>
            <w:tcW w:w="875" w:type="dxa"/>
            <w:noWrap w:val="0"/>
            <w:vAlign w:val="center"/>
          </w:tcPr>
          <w:p w14:paraId="4D2C0903">
            <w:pPr>
              <w:jc w:val="center"/>
              <w:rPr>
                <w:rFonts w:ascii="宋体" w:hAnsi="宋体" w:cs="宋体"/>
                <w:color w:val="auto"/>
                <w:szCs w:val="21"/>
              </w:rPr>
            </w:pPr>
          </w:p>
        </w:tc>
        <w:tc>
          <w:tcPr>
            <w:tcW w:w="1169" w:type="dxa"/>
            <w:noWrap w:val="0"/>
            <w:vAlign w:val="center"/>
          </w:tcPr>
          <w:p w14:paraId="1C9E5EE2">
            <w:pPr>
              <w:jc w:val="center"/>
              <w:rPr>
                <w:rFonts w:ascii="宋体" w:hAnsi="宋体" w:cs="宋体"/>
                <w:color w:val="auto"/>
                <w:szCs w:val="21"/>
              </w:rPr>
            </w:pPr>
          </w:p>
        </w:tc>
        <w:tc>
          <w:tcPr>
            <w:tcW w:w="1169" w:type="dxa"/>
            <w:noWrap w:val="0"/>
            <w:vAlign w:val="center"/>
          </w:tcPr>
          <w:p w14:paraId="6917E58D">
            <w:pPr>
              <w:jc w:val="center"/>
              <w:rPr>
                <w:rFonts w:ascii="宋体" w:hAnsi="宋体" w:cs="宋体"/>
                <w:color w:val="auto"/>
                <w:szCs w:val="21"/>
              </w:rPr>
            </w:pPr>
          </w:p>
        </w:tc>
      </w:tr>
      <w:tr w14:paraId="0B941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9" w:hRule="atLeast"/>
          <w:jc w:val="center"/>
        </w:trPr>
        <w:tc>
          <w:tcPr>
            <w:tcW w:w="869" w:type="dxa"/>
            <w:noWrap w:val="0"/>
            <w:vAlign w:val="center"/>
          </w:tcPr>
          <w:p w14:paraId="7D3565A4">
            <w:pPr>
              <w:jc w:val="center"/>
              <w:rPr>
                <w:rFonts w:ascii="宋体" w:hAnsi="宋体" w:cs="宋体"/>
                <w:color w:val="auto"/>
                <w:szCs w:val="21"/>
              </w:rPr>
            </w:pPr>
            <w:r>
              <w:rPr>
                <w:rFonts w:hint="eastAsia" w:ascii="宋体" w:hAnsi="宋体" w:cs="宋体"/>
                <w:color w:val="auto"/>
                <w:szCs w:val="21"/>
              </w:rPr>
              <w:t>4</w:t>
            </w:r>
          </w:p>
        </w:tc>
        <w:tc>
          <w:tcPr>
            <w:tcW w:w="1078" w:type="dxa"/>
            <w:noWrap w:val="0"/>
            <w:vAlign w:val="center"/>
          </w:tcPr>
          <w:p w14:paraId="76764E29">
            <w:pPr>
              <w:jc w:val="center"/>
              <w:rPr>
                <w:rFonts w:ascii="宋体" w:hAnsi="宋体" w:cs="宋体"/>
                <w:color w:val="auto"/>
                <w:szCs w:val="21"/>
              </w:rPr>
            </w:pPr>
          </w:p>
        </w:tc>
        <w:tc>
          <w:tcPr>
            <w:tcW w:w="1184" w:type="dxa"/>
            <w:noWrap w:val="0"/>
            <w:vAlign w:val="center"/>
          </w:tcPr>
          <w:p w14:paraId="72CD4F10">
            <w:pPr>
              <w:jc w:val="center"/>
              <w:rPr>
                <w:rFonts w:ascii="宋体" w:hAnsi="宋体" w:cs="宋体"/>
                <w:color w:val="auto"/>
                <w:szCs w:val="21"/>
              </w:rPr>
            </w:pPr>
          </w:p>
        </w:tc>
        <w:tc>
          <w:tcPr>
            <w:tcW w:w="1179" w:type="dxa"/>
            <w:noWrap w:val="0"/>
            <w:vAlign w:val="center"/>
          </w:tcPr>
          <w:p w14:paraId="416F0769">
            <w:pPr>
              <w:jc w:val="center"/>
              <w:rPr>
                <w:rFonts w:ascii="宋体" w:hAnsi="宋体" w:cs="宋体"/>
                <w:color w:val="auto"/>
                <w:szCs w:val="21"/>
              </w:rPr>
            </w:pPr>
          </w:p>
        </w:tc>
        <w:tc>
          <w:tcPr>
            <w:tcW w:w="1058" w:type="dxa"/>
            <w:noWrap w:val="0"/>
            <w:vAlign w:val="center"/>
          </w:tcPr>
          <w:p w14:paraId="34E10A5C">
            <w:pPr>
              <w:jc w:val="center"/>
              <w:rPr>
                <w:rFonts w:ascii="宋体" w:hAnsi="宋体" w:cs="宋体"/>
                <w:color w:val="auto"/>
                <w:szCs w:val="21"/>
              </w:rPr>
            </w:pPr>
          </w:p>
        </w:tc>
        <w:tc>
          <w:tcPr>
            <w:tcW w:w="1058" w:type="dxa"/>
            <w:noWrap w:val="0"/>
            <w:vAlign w:val="center"/>
          </w:tcPr>
          <w:p w14:paraId="1E8FFFA8">
            <w:pPr>
              <w:jc w:val="center"/>
              <w:rPr>
                <w:rFonts w:ascii="宋体" w:hAnsi="宋体" w:cs="宋体"/>
                <w:color w:val="auto"/>
                <w:szCs w:val="21"/>
              </w:rPr>
            </w:pPr>
          </w:p>
        </w:tc>
        <w:tc>
          <w:tcPr>
            <w:tcW w:w="875" w:type="dxa"/>
            <w:noWrap w:val="0"/>
            <w:vAlign w:val="center"/>
          </w:tcPr>
          <w:p w14:paraId="7E58F735">
            <w:pPr>
              <w:jc w:val="center"/>
              <w:rPr>
                <w:rFonts w:ascii="宋体" w:hAnsi="宋体" w:cs="宋体"/>
                <w:color w:val="auto"/>
                <w:szCs w:val="21"/>
              </w:rPr>
            </w:pPr>
          </w:p>
        </w:tc>
        <w:tc>
          <w:tcPr>
            <w:tcW w:w="875" w:type="dxa"/>
            <w:noWrap w:val="0"/>
            <w:vAlign w:val="center"/>
          </w:tcPr>
          <w:p w14:paraId="53C7A1E3">
            <w:pPr>
              <w:jc w:val="center"/>
              <w:rPr>
                <w:rFonts w:ascii="宋体" w:hAnsi="宋体" w:cs="宋体"/>
                <w:color w:val="auto"/>
                <w:szCs w:val="21"/>
              </w:rPr>
            </w:pPr>
          </w:p>
        </w:tc>
        <w:tc>
          <w:tcPr>
            <w:tcW w:w="1169" w:type="dxa"/>
            <w:noWrap w:val="0"/>
            <w:vAlign w:val="center"/>
          </w:tcPr>
          <w:p w14:paraId="728C1276">
            <w:pPr>
              <w:jc w:val="center"/>
              <w:rPr>
                <w:rFonts w:ascii="宋体" w:hAnsi="宋体" w:cs="宋体"/>
                <w:color w:val="auto"/>
                <w:szCs w:val="21"/>
              </w:rPr>
            </w:pPr>
          </w:p>
        </w:tc>
        <w:tc>
          <w:tcPr>
            <w:tcW w:w="1169" w:type="dxa"/>
            <w:noWrap w:val="0"/>
            <w:vAlign w:val="center"/>
          </w:tcPr>
          <w:p w14:paraId="15ED8BC4">
            <w:pPr>
              <w:jc w:val="center"/>
              <w:rPr>
                <w:rFonts w:ascii="宋体" w:hAnsi="宋体" w:cs="宋体"/>
                <w:color w:val="auto"/>
                <w:szCs w:val="21"/>
              </w:rPr>
            </w:pPr>
          </w:p>
        </w:tc>
      </w:tr>
      <w:tr w14:paraId="036E4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9" w:hRule="atLeast"/>
          <w:jc w:val="center"/>
        </w:trPr>
        <w:tc>
          <w:tcPr>
            <w:tcW w:w="869" w:type="dxa"/>
            <w:noWrap w:val="0"/>
            <w:vAlign w:val="center"/>
          </w:tcPr>
          <w:p w14:paraId="42F13C03">
            <w:pPr>
              <w:jc w:val="center"/>
              <w:rPr>
                <w:rFonts w:ascii="宋体" w:hAnsi="宋体" w:cs="宋体"/>
                <w:color w:val="auto"/>
                <w:szCs w:val="21"/>
              </w:rPr>
            </w:pPr>
            <w:r>
              <w:rPr>
                <w:rFonts w:hint="eastAsia" w:ascii="宋体" w:hAnsi="宋体" w:cs="宋体"/>
                <w:color w:val="auto"/>
                <w:szCs w:val="21"/>
              </w:rPr>
              <w:t>5</w:t>
            </w:r>
          </w:p>
        </w:tc>
        <w:tc>
          <w:tcPr>
            <w:tcW w:w="1078" w:type="dxa"/>
            <w:noWrap w:val="0"/>
            <w:vAlign w:val="center"/>
          </w:tcPr>
          <w:p w14:paraId="729D58EA">
            <w:pPr>
              <w:jc w:val="center"/>
              <w:rPr>
                <w:rFonts w:ascii="宋体" w:hAnsi="宋体" w:cs="宋体"/>
                <w:color w:val="auto"/>
                <w:szCs w:val="21"/>
              </w:rPr>
            </w:pPr>
          </w:p>
        </w:tc>
        <w:tc>
          <w:tcPr>
            <w:tcW w:w="1184" w:type="dxa"/>
            <w:noWrap w:val="0"/>
            <w:vAlign w:val="center"/>
          </w:tcPr>
          <w:p w14:paraId="25295D2C">
            <w:pPr>
              <w:jc w:val="center"/>
              <w:rPr>
                <w:rFonts w:ascii="宋体" w:hAnsi="宋体" w:cs="宋体"/>
                <w:color w:val="auto"/>
                <w:szCs w:val="21"/>
              </w:rPr>
            </w:pPr>
          </w:p>
        </w:tc>
        <w:tc>
          <w:tcPr>
            <w:tcW w:w="1179" w:type="dxa"/>
            <w:noWrap w:val="0"/>
            <w:vAlign w:val="center"/>
          </w:tcPr>
          <w:p w14:paraId="392399F3">
            <w:pPr>
              <w:jc w:val="center"/>
              <w:rPr>
                <w:rFonts w:ascii="宋体" w:hAnsi="宋体" w:cs="宋体"/>
                <w:color w:val="auto"/>
                <w:szCs w:val="21"/>
              </w:rPr>
            </w:pPr>
          </w:p>
        </w:tc>
        <w:tc>
          <w:tcPr>
            <w:tcW w:w="1058" w:type="dxa"/>
            <w:noWrap w:val="0"/>
            <w:vAlign w:val="center"/>
          </w:tcPr>
          <w:p w14:paraId="78BE6600">
            <w:pPr>
              <w:jc w:val="center"/>
              <w:rPr>
                <w:rFonts w:ascii="宋体" w:hAnsi="宋体" w:cs="宋体"/>
                <w:color w:val="auto"/>
                <w:szCs w:val="21"/>
              </w:rPr>
            </w:pPr>
          </w:p>
        </w:tc>
        <w:tc>
          <w:tcPr>
            <w:tcW w:w="1058" w:type="dxa"/>
            <w:noWrap w:val="0"/>
            <w:vAlign w:val="center"/>
          </w:tcPr>
          <w:p w14:paraId="0FCAC07D">
            <w:pPr>
              <w:jc w:val="center"/>
              <w:rPr>
                <w:rFonts w:ascii="宋体" w:hAnsi="宋体" w:cs="宋体"/>
                <w:color w:val="auto"/>
                <w:szCs w:val="21"/>
              </w:rPr>
            </w:pPr>
          </w:p>
        </w:tc>
        <w:tc>
          <w:tcPr>
            <w:tcW w:w="875" w:type="dxa"/>
            <w:noWrap w:val="0"/>
            <w:vAlign w:val="center"/>
          </w:tcPr>
          <w:p w14:paraId="5A8C8927">
            <w:pPr>
              <w:jc w:val="center"/>
              <w:rPr>
                <w:rFonts w:ascii="宋体" w:hAnsi="宋体" w:cs="宋体"/>
                <w:color w:val="auto"/>
                <w:szCs w:val="21"/>
              </w:rPr>
            </w:pPr>
          </w:p>
        </w:tc>
        <w:tc>
          <w:tcPr>
            <w:tcW w:w="875" w:type="dxa"/>
            <w:noWrap w:val="0"/>
            <w:vAlign w:val="center"/>
          </w:tcPr>
          <w:p w14:paraId="2DDAABA0">
            <w:pPr>
              <w:jc w:val="center"/>
              <w:rPr>
                <w:rFonts w:ascii="宋体" w:hAnsi="宋体" w:cs="宋体"/>
                <w:color w:val="auto"/>
                <w:szCs w:val="21"/>
              </w:rPr>
            </w:pPr>
          </w:p>
        </w:tc>
        <w:tc>
          <w:tcPr>
            <w:tcW w:w="1169" w:type="dxa"/>
            <w:noWrap w:val="0"/>
            <w:vAlign w:val="center"/>
          </w:tcPr>
          <w:p w14:paraId="13A114F1">
            <w:pPr>
              <w:jc w:val="center"/>
              <w:rPr>
                <w:rFonts w:ascii="宋体" w:hAnsi="宋体" w:cs="宋体"/>
                <w:color w:val="auto"/>
                <w:szCs w:val="21"/>
              </w:rPr>
            </w:pPr>
          </w:p>
        </w:tc>
        <w:tc>
          <w:tcPr>
            <w:tcW w:w="1169" w:type="dxa"/>
            <w:noWrap w:val="0"/>
            <w:vAlign w:val="center"/>
          </w:tcPr>
          <w:p w14:paraId="5E9485F1">
            <w:pPr>
              <w:jc w:val="center"/>
              <w:rPr>
                <w:rFonts w:ascii="宋体" w:hAnsi="宋体" w:cs="宋体"/>
                <w:color w:val="auto"/>
                <w:szCs w:val="21"/>
              </w:rPr>
            </w:pPr>
          </w:p>
        </w:tc>
      </w:tr>
      <w:tr w14:paraId="3CADC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9" w:hRule="atLeast"/>
          <w:jc w:val="center"/>
        </w:trPr>
        <w:tc>
          <w:tcPr>
            <w:tcW w:w="869" w:type="dxa"/>
            <w:noWrap w:val="0"/>
            <w:vAlign w:val="center"/>
          </w:tcPr>
          <w:p w14:paraId="282EC5EE">
            <w:pPr>
              <w:jc w:val="center"/>
              <w:rPr>
                <w:rFonts w:ascii="宋体" w:hAnsi="宋体" w:cs="宋体"/>
                <w:color w:val="auto"/>
                <w:szCs w:val="21"/>
              </w:rPr>
            </w:pPr>
            <w:r>
              <w:rPr>
                <w:rFonts w:hint="eastAsia" w:ascii="宋体" w:hAnsi="宋体" w:cs="宋体"/>
                <w:color w:val="auto"/>
                <w:szCs w:val="21"/>
              </w:rPr>
              <w:t>……</w:t>
            </w:r>
          </w:p>
        </w:tc>
        <w:tc>
          <w:tcPr>
            <w:tcW w:w="1078" w:type="dxa"/>
            <w:noWrap w:val="0"/>
            <w:vAlign w:val="center"/>
          </w:tcPr>
          <w:p w14:paraId="0FE4E90D">
            <w:pPr>
              <w:jc w:val="center"/>
              <w:rPr>
                <w:rFonts w:ascii="宋体" w:hAnsi="宋体" w:cs="宋体"/>
                <w:color w:val="auto"/>
                <w:szCs w:val="21"/>
              </w:rPr>
            </w:pPr>
          </w:p>
        </w:tc>
        <w:tc>
          <w:tcPr>
            <w:tcW w:w="1184" w:type="dxa"/>
            <w:noWrap w:val="0"/>
            <w:vAlign w:val="center"/>
          </w:tcPr>
          <w:p w14:paraId="4555BD4C">
            <w:pPr>
              <w:jc w:val="center"/>
              <w:rPr>
                <w:rFonts w:ascii="宋体" w:hAnsi="宋体" w:cs="宋体"/>
                <w:color w:val="auto"/>
                <w:szCs w:val="21"/>
              </w:rPr>
            </w:pPr>
          </w:p>
        </w:tc>
        <w:tc>
          <w:tcPr>
            <w:tcW w:w="1179" w:type="dxa"/>
            <w:noWrap w:val="0"/>
            <w:vAlign w:val="center"/>
          </w:tcPr>
          <w:p w14:paraId="2EE437D4">
            <w:pPr>
              <w:jc w:val="center"/>
              <w:rPr>
                <w:rFonts w:ascii="宋体" w:hAnsi="宋体" w:cs="宋体"/>
                <w:color w:val="auto"/>
                <w:szCs w:val="21"/>
              </w:rPr>
            </w:pPr>
          </w:p>
        </w:tc>
        <w:tc>
          <w:tcPr>
            <w:tcW w:w="1058" w:type="dxa"/>
            <w:noWrap w:val="0"/>
            <w:vAlign w:val="center"/>
          </w:tcPr>
          <w:p w14:paraId="57F9FFE7">
            <w:pPr>
              <w:jc w:val="center"/>
              <w:rPr>
                <w:rFonts w:ascii="宋体" w:hAnsi="宋体" w:cs="宋体"/>
                <w:color w:val="auto"/>
                <w:szCs w:val="21"/>
              </w:rPr>
            </w:pPr>
          </w:p>
        </w:tc>
        <w:tc>
          <w:tcPr>
            <w:tcW w:w="1058" w:type="dxa"/>
            <w:noWrap w:val="0"/>
            <w:vAlign w:val="center"/>
          </w:tcPr>
          <w:p w14:paraId="6F9C4776">
            <w:pPr>
              <w:jc w:val="center"/>
              <w:rPr>
                <w:rFonts w:ascii="宋体" w:hAnsi="宋体" w:cs="宋体"/>
                <w:color w:val="auto"/>
                <w:szCs w:val="21"/>
              </w:rPr>
            </w:pPr>
          </w:p>
        </w:tc>
        <w:tc>
          <w:tcPr>
            <w:tcW w:w="875" w:type="dxa"/>
            <w:noWrap w:val="0"/>
            <w:vAlign w:val="center"/>
          </w:tcPr>
          <w:p w14:paraId="43822C5D">
            <w:pPr>
              <w:jc w:val="center"/>
              <w:rPr>
                <w:rFonts w:ascii="宋体" w:hAnsi="宋体" w:cs="宋体"/>
                <w:color w:val="auto"/>
                <w:szCs w:val="21"/>
              </w:rPr>
            </w:pPr>
          </w:p>
        </w:tc>
        <w:tc>
          <w:tcPr>
            <w:tcW w:w="875" w:type="dxa"/>
            <w:noWrap w:val="0"/>
            <w:vAlign w:val="center"/>
          </w:tcPr>
          <w:p w14:paraId="70CB1758">
            <w:pPr>
              <w:jc w:val="center"/>
              <w:rPr>
                <w:rFonts w:ascii="宋体" w:hAnsi="宋体" w:cs="宋体"/>
                <w:color w:val="auto"/>
                <w:szCs w:val="21"/>
              </w:rPr>
            </w:pPr>
          </w:p>
        </w:tc>
        <w:tc>
          <w:tcPr>
            <w:tcW w:w="1169" w:type="dxa"/>
            <w:noWrap w:val="0"/>
            <w:vAlign w:val="center"/>
          </w:tcPr>
          <w:p w14:paraId="44DE34AE">
            <w:pPr>
              <w:jc w:val="center"/>
              <w:rPr>
                <w:rFonts w:ascii="宋体" w:hAnsi="宋体" w:cs="宋体"/>
                <w:color w:val="auto"/>
                <w:szCs w:val="21"/>
              </w:rPr>
            </w:pPr>
          </w:p>
        </w:tc>
        <w:tc>
          <w:tcPr>
            <w:tcW w:w="1169" w:type="dxa"/>
            <w:noWrap w:val="0"/>
            <w:vAlign w:val="center"/>
          </w:tcPr>
          <w:p w14:paraId="1D46C645">
            <w:pPr>
              <w:jc w:val="center"/>
              <w:rPr>
                <w:rFonts w:ascii="宋体" w:hAnsi="宋体" w:cs="宋体"/>
                <w:color w:val="auto"/>
                <w:szCs w:val="21"/>
              </w:rPr>
            </w:pPr>
          </w:p>
        </w:tc>
      </w:tr>
      <w:tr w14:paraId="7A8C6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6" w:hRule="atLeast"/>
          <w:jc w:val="center"/>
        </w:trPr>
        <w:tc>
          <w:tcPr>
            <w:tcW w:w="869" w:type="dxa"/>
            <w:noWrap w:val="0"/>
            <w:vAlign w:val="center"/>
          </w:tcPr>
          <w:p w14:paraId="5A7AEB71">
            <w:pPr>
              <w:jc w:val="center"/>
              <w:rPr>
                <w:rFonts w:ascii="宋体" w:hAnsi="宋体" w:cs="宋体"/>
                <w:color w:val="auto"/>
                <w:szCs w:val="21"/>
              </w:rPr>
            </w:pPr>
            <w:r>
              <w:rPr>
                <w:rFonts w:hint="eastAsia" w:ascii="宋体" w:hAnsi="宋体" w:cs="宋体"/>
                <w:color w:val="auto"/>
                <w:szCs w:val="21"/>
              </w:rPr>
              <w:t>合计</w:t>
            </w:r>
          </w:p>
        </w:tc>
        <w:tc>
          <w:tcPr>
            <w:tcW w:w="1078" w:type="dxa"/>
            <w:noWrap w:val="0"/>
            <w:vAlign w:val="center"/>
          </w:tcPr>
          <w:p w14:paraId="4283CF0A">
            <w:pPr>
              <w:jc w:val="center"/>
              <w:rPr>
                <w:rFonts w:ascii="宋体" w:hAnsi="宋体" w:cs="宋体"/>
                <w:color w:val="auto"/>
                <w:szCs w:val="21"/>
              </w:rPr>
            </w:pPr>
          </w:p>
        </w:tc>
        <w:tc>
          <w:tcPr>
            <w:tcW w:w="1184" w:type="dxa"/>
            <w:noWrap w:val="0"/>
            <w:vAlign w:val="center"/>
          </w:tcPr>
          <w:p w14:paraId="1722CD20">
            <w:pPr>
              <w:jc w:val="center"/>
              <w:rPr>
                <w:rFonts w:ascii="宋体" w:hAnsi="宋体" w:cs="宋体"/>
                <w:color w:val="auto"/>
                <w:szCs w:val="21"/>
              </w:rPr>
            </w:pPr>
          </w:p>
        </w:tc>
        <w:tc>
          <w:tcPr>
            <w:tcW w:w="1179" w:type="dxa"/>
            <w:noWrap w:val="0"/>
            <w:vAlign w:val="center"/>
          </w:tcPr>
          <w:p w14:paraId="50470B08">
            <w:pPr>
              <w:jc w:val="center"/>
              <w:rPr>
                <w:rFonts w:ascii="宋体" w:hAnsi="宋体" w:cs="宋体"/>
                <w:color w:val="auto"/>
                <w:szCs w:val="21"/>
              </w:rPr>
            </w:pPr>
          </w:p>
        </w:tc>
        <w:tc>
          <w:tcPr>
            <w:tcW w:w="1058" w:type="dxa"/>
            <w:noWrap w:val="0"/>
            <w:vAlign w:val="center"/>
          </w:tcPr>
          <w:p w14:paraId="491AEA11">
            <w:pPr>
              <w:jc w:val="center"/>
              <w:rPr>
                <w:rFonts w:ascii="宋体" w:hAnsi="宋体" w:cs="宋体"/>
                <w:color w:val="auto"/>
                <w:szCs w:val="21"/>
              </w:rPr>
            </w:pPr>
          </w:p>
        </w:tc>
        <w:tc>
          <w:tcPr>
            <w:tcW w:w="1058" w:type="dxa"/>
            <w:noWrap w:val="0"/>
            <w:vAlign w:val="center"/>
          </w:tcPr>
          <w:p w14:paraId="556C091D">
            <w:pPr>
              <w:jc w:val="center"/>
              <w:rPr>
                <w:rFonts w:ascii="宋体" w:hAnsi="宋体" w:cs="宋体"/>
                <w:color w:val="auto"/>
                <w:szCs w:val="21"/>
              </w:rPr>
            </w:pPr>
          </w:p>
        </w:tc>
        <w:tc>
          <w:tcPr>
            <w:tcW w:w="875" w:type="dxa"/>
            <w:noWrap w:val="0"/>
            <w:vAlign w:val="center"/>
          </w:tcPr>
          <w:p w14:paraId="372AFA45">
            <w:pPr>
              <w:jc w:val="center"/>
              <w:rPr>
                <w:rFonts w:ascii="宋体" w:hAnsi="宋体" w:cs="宋体"/>
                <w:color w:val="auto"/>
                <w:szCs w:val="21"/>
              </w:rPr>
            </w:pPr>
          </w:p>
        </w:tc>
        <w:tc>
          <w:tcPr>
            <w:tcW w:w="875" w:type="dxa"/>
            <w:noWrap w:val="0"/>
            <w:vAlign w:val="center"/>
          </w:tcPr>
          <w:p w14:paraId="000D0F55">
            <w:pPr>
              <w:jc w:val="center"/>
              <w:rPr>
                <w:rFonts w:ascii="宋体" w:hAnsi="宋体" w:cs="宋体"/>
                <w:color w:val="auto"/>
                <w:szCs w:val="21"/>
              </w:rPr>
            </w:pPr>
          </w:p>
        </w:tc>
        <w:tc>
          <w:tcPr>
            <w:tcW w:w="1169" w:type="dxa"/>
            <w:noWrap w:val="0"/>
            <w:vAlign w:val="center"/>
          </w:tcPr>
          <w:p w14:paraId="19FE55A1">
            <w:pPr>
              <w:jc w:val="center"/>
              <w:rPr>
                <w:rFonts w:ascii="宋体" w:hAnsi="宋体" w:cs="宋体"/>
                <w:color w:val="auto"/>
                <w:szCs w:val="21"/>
              </w:rPr>
            </w:pPr>
          </w:p>
        </w:tc>
        <w:tc>
          <w:tcPr>
            <w:tcW w:w="1169" w:type="dxa"/>
            <w:noWrap w:val="0"/>
            <w:vAlign w:val="center"/>
          </w:tcPr>
          <w:p w14:paraId="373CE437">
            <w:pPr>
              <w:jc w:val="center"/>
              <w:rPr>
                <w:rFonts w:ascii="宋体" w:hAnsi="宋体" w:cs="宋体"/>
                <w:color w:val="auto"/>
                <w:szCs w:val="21"/>
              </w:rPr>
            </w:pPr>
          </w:p>
        </w:tc>
      </w:tr>
    </w:tbl>
    <w:p w14:paraId="1DDEC48C">
      <w:pPr>
        <w:spacing w:line="400" w:lineRule="exact"/>
        <w:rPr>
          <w:rFonts w:ascii="宋体" w:hAnsi="宋体" w:cs="宋体"/>
          <w:color w:val="auto"/>
          <w:szCs w:val="21"/>
        </w:rPr>
      </w:pPr>
      <w:r>
        <w:rPr>
          <w:rFonts w:hint="eastAsia" w:ascii="宋体" w:hAnsi="宋体" w:cs="宋体"/>
          <w:color w:val="auto"/>
          <w:szCs w:val="21"/>
        </w:rPr>
        <w:t xml:space="preserve">   注：本格式仅供参考，投标人可根据需要扩展或调整。</w:t>
      </w:r>
    </w:p>
    <w:p w14:paraId="635E6A5D">
      <w:pPr>
        <w:spacing w:line="400" w:lineRule="exact"/>
        <w:rPr>
          <w:rFonts w:ascii="宋体" w:hAnsi="宋体" w:cs="宋体"/>
          <w:color w:val="auto"/>
          <w:szCs w:val="21"/>
        </w:rPr>
      </w:pPr>
      <w:r>
        <w:rPr>
          <w:rFonts w:hint="eastAsia" w:ascii="宋体" w:hAnsi="宋体" w:cs="宋体"/>
          <w:color w:val="auto"/>
          <w:szCs w:val="21"/>
        </w:rPr>
        <w:t xml:space="preserve">   </w:t>
      </w:r>
    </w:p>
    <w:p w14:paraId="6A516E43">
      <w:pPr>
        <w:pStyle w:val="296"/>
        <w:rPr>
          <w:rFonts w:ascii="宋体" w:hAnsi="宋体" w:eastAsia="宋体" w:cs="宋体"/>
          <w:color w:val="auto"/>
          <w:sz w:val="21"/>
          <w:szCs w:val="21"/>
        </w:rPr>
      </w:pPr>
    </w:p>
    <w:p w14:paraId="53DEF942">
      <w:pPr>
        <w:pStyle w:val="298"/>
        <w:ind w:firstLine="420"/>
        <w:rPr>
          <w:rFonts w:ascii="宋体" w:hAnsi="宋体" w:cs="宋体"/>
          <w:color w:val="auto"/>
          <w:szCs w:val="21"/>
        </w:rPr>
      </w:pPr>
    </w:p>
    <w:p w14:paraId="19AF362D">
      <w:pPr>
        <w:spacing w:line="400" w:lineRule="exact"/>
        <w:ind w:firstLine="3885" w:firstLineChars="1850"/>
        <w:rPr>
          <w:rFonts w:ascii="宋体" w:hAnsi="宋体" w:cs="宋体"/>
          <w:color w:val="auto"/>
          <w:szCs w:val="21"/>
        </w:rPr>
      </w:pPr>
      <w:r>
        <w:rPr>
          <w:rFonts w:hint="eastAsia" w:ascii="宋体" w:hAnsi="宋体" w:cs="宋体"/>
          <w:color w:val="auto"/>
          <w:szCs w:val="21"/>
        </w:rPr>
        <w:t>投标人：(单位电子签章)</w:t>
      </w:r>
    </w:p>
    <w:p w14:paraId="2A0242C3">
      <w:pPr>
        <w:spacing w:line="400" w:lineRule="exact"/>
        <w:ind w:firstLine="3885" w:firstLineChars="1850"/>
        <w:rPr>
          <w:rFonts w:ascii="宋体" w:hAnsi="宋体" w:cs="宋体"/>
          <w:color w:val="auto"/>
          <w:szCs w:val="21"/>
        </w:rPr>
      </w:pPr>
      <w:r>
        <w:rPr>
          <w:rFonts w:hint="eastAsia" w:ascii="宋体" w:hAnsi="宋体" w:cs="宋体"/>
          <w:color w:val="auto"/>
          <w:szCs w:val="21"/>
        </w:rPr>
        <w:t>法定代表人或其委托代理人：(电子签名或盖章)</w:t>
      </w:r>
    </w:p>
    <w:p w14:paraId="4E18FCE3">
      <w:pPr>
        <w:spacing w:line="400" w:lineRule="exact"/>
        <w:ind w:left="699" w:leftChars="227" w:hanging="222" w:hangingChars="106"/>
        <w:jc w:val="right"/>
        <w:rPr>
          <w:rFonts w:ascii="宋体" w:hAnsi="宋体" w:cs="宋体"/>
          <w:color w:val="auto"/>
          <w:szCs w:val="21"/>
        </w:rPr>
      </w:pPr>
    </w:p>
    <w:p w14:paraId="596B8B73">
      <w:pPr>
        <w:spacing w:line="400" w:lineRule="exact"/>
        <w:ind w:left="687" w:leftChars="327" w:right="840" w:firstLine="3360" w:firstLineChars="1600"/>
        <w:rPr>
          <w:rFonts w:ascii="宋体" w:hAnsi="宋体" w:cs="宋体"/>
          <w:color w:val="auto"/>
          <w:szCs w:val="21"/>
        </w:rPr>
      </w:pPr>
      <w:r>
        <w:rPr>
          <w:rFonts w:hint="eastAsia" w:ascii="宋体" w:hAnsi="宋体" w:cs="宋体"/>
          <w:color w:val="auto"/>
          <w:szCs w:val="21"/>
        </w:rPr>
        <w:t>年  月  日</w:t>
      </w:r>
    </w:p>
    <w:p w14:paraId="398C5BEE">
      <w:pPr>
        <w:spacing w:line="400" w:lineRule="exact"/>
        <w:ind w:left="699" w:leftChars="227" w:hanging="222" w:hangingChars="106"/>
        <w:rPr>
          <w:rFonts w:ascii="宋体" w:hAnsi="宋体" w:cs="宋体"/>
          <w:color w:val="auto"/>
          <w:szCs w:val="21"/>
        </w:rPr>
      </w:pPr>
    </w:p>
    <w:p w14:paraId="21CAFCC7">
      <w:pPr>
        <w:pStyle w:val="45"/>
        <w:ind w:firstLine="540" w:firstLineChars="192"/>
        <w:jc w:val="center"/>
        <w:outlineLvl w:val="1"/>
        <w:rPr>
          <w:rFonts w:hint="eastAsia" w:ascii="宋体" w:hAnsi="宋体" w:cs="宋体"/>
          <w:b/>
          <w:color w:val="auto"/>
          <w:sz w:val="28"/>
          <w:szCs w:val="28"/>
        </w:rPr>
      </w:pPr>
      <w:bookmarkStart w:id="342" w:name="_Toc28439"/>
    </w:p>
    <w:p w14:paraId="0B05635B">
      <w:pPr>
        <w:pStyle w:val="45"/>
        <w:ind w:firstLine="540" w:firstLineChars="192"/>
        <w:jc w:val="center"/>
        <w:outlineLvl w:val="1"/>
        <w:rPr>
          <w:rFonts w:hint="eastAsia" w:ascii="宋体" w:hAnsi="宋体" w:cs="宋体"/>
          <w:b/>
          <w:color w:val="auto"/>
          <w:sz w:val="28"/>
          <w:szCs w:val="28"/>
        </w:rPr>
      </w:pPr>
    </w:p>
    <w:p w14:paraId="1144E349">
      <w:pPr>
        <w:pStyle w:val="45"/>
        <w:ind w:firstLine="540" w:firstLineChars="192"/>
        <w:jc w:val="center"/>
        <w:outlineLvl w:val="1"/>
        <w:rPr>
          <w:rFonts w:hint="eastAsia" w:ascii="宋体" w:hAnsi="宋体" w:cs="宋体"/>
          <w:b/>
          <w:color w:val="auto"/>
          <w:sz w:val="28"/>
          <w:szCs w:val="28"/>
        </w:rPr>
      </w:pPr>
    </w:p>
    <w:p w14:paraId="60B163C3">
      <w:pPr>
        <w:pStyle w:val="45"/>
        <w:ind w:left="0" w:leftChars="0" w:firstLine="0" w:firstLineChars="0"/>
        <w:jc w:val="both"/>
        <w:outlineLvl w:val="1"/>
        <w:rPr>
          <w:rFonts w:hint="eastAsia" w:ascii="宋体" w:hAnsi="宋体" w:cs="宋体"/>
          <w:b/>
          <w:color w:val="auto"/>
          <w:sz w:val="28"/>
          <w:szCs w:val="28"/>
        </w:rPr>
      </w:pPr>
    </w:p>
    <w:p w14:paraId="3D39244D">
      <w:pPr>
        <w:pStyle w:val="3"/>
        <w:numPr>
          <w:ilvl w:val="2"/>
          <w:numId w:val="0"/>
        </w:numPr>
        <w:tabs>
          <w:tab w:val="left" w:pos="1260"/>
        </w:tabs>
        <w:spacing w:line="400" w:lineRule="exact"/>
        <w:jc w:val="center"/>
        <w:rPr>
          <w:rFonts w:hint="eastAsia" w:ascii="宋体" w:hAnsi="宋体" w:eastAsia="宋体" w:cs="宋体"/>
          <w:b/>
          <w:color w:val="auto"/>
        </w:rPr>
      </w:pPr>
      <w:r>
        <w:rPr>
          <w:rFonts w:hint="eastAsia" w:ascii="宋体" w:hAnsi="宋体" w:eastAsia="宋体" w:cs="宋体"/>
          <w:b/>
          <w:color w:val="auto"/>
        </w:rPr>
        <w:t>五、技术规格偏离表</w:t>
      </w:r>
      <w:bookmarkEnd w:id="342"/>
    </w:p>
    <w:p w14:paraId="11791EB4">
      <w:pPr>
        <w:tabs>
          <w:tab w:val="left" w:pos="926"/>
          <w:tab w:val="left" w:pos="4335"/>
          <w:tab w:val="left" w:pos="6390"/>
        </w:tabs>
        <w:spacing w:line="400" w:lineRule="exact"/>
        <w:jc w:val="left"/>
        <w:rPr>
          <w:rFonts w:hint="eastAsia" w:ascii="宋体" w:hAnsi="宋体" w:cs="宋体"/>
          <w:color w:val="auto"/>
          <w:szCs w:val="21"/>
        </w:rPr>
      </w:pPr>
      <w:r>
        <w:rPr>
          <w:rFonts w:hint="eastAsia" w:ascii="宋体" w:hAnsi="宋体" w:cs="宋体"/>
          <w:color w:val="auto"/>
          <w:szCs w:val="21"/>
        </w:rPr>
        <w:t>严格按照招标文件第五章“</w:t>
      </w:r>
      <w:r>
        <w:rPr>
          <w:rFonts w:hint="eastAsia" w:ascii="宋体" w:hAnsi="宋体" w:cs="宋体"/>
          <w:color w:val="auto"/>
          <w:szCs w:val="21"/>
          <w:lang w:eastAsia="zh-CN"/>
        </w:rPr>
        <w:t>招标需求</w:t>
      </w:r>
      <w:r>
        <w:rPr>
          <w:rFonts w:hint="eastAsia" w:ascii="宋体" w:hAnsi="宋体" w:cs="宋体"/>
          <w:color w:val="auto"/>
          <w:szCs w:val="21"/>
        </w:rPr>
        <w:t>”对参数、性能指标和功能进行描述。</w:t>
      </w:r>
      <w:r>
        <w:rPr>
          <w:rFonts w:hint="eastAsia" w:ascii="宋体" w:hAnsi="宋体" w:cs="宋体"/>
          <w:color w:val="auto"/>
          <w:szCs w:val="21"/>
        </w:rPr>
        <w:tab/>
      </w:r>
      <w:r>
        <w:rPr>
          <w:rFonts w:hint="eastAsia" w:ascii="宋体" w:hAnsi="宋体" w:cs="宋体"/>
          <w:color w:val="auto"/>
          <w:szCs w:val="21"/>
        </w:rPr>
        <w:tab/>
      </w:r>
    </w:p>
    <w:tbl>
      <w:tblPr>
        <w:tblStyle w:val="47"/>
        <w:tblW w:w="92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1"/>
        <w:gridCol w:w="1854"/>
        <w:gridCol w:w="2120"/>
        <w:gridCol w:w="2192"/>
        <w:gridCol w:w="1732"/>
        <w:gridCol w:w="731"/>
      </w:tblGrid>
      <w:tr w14:paraId="40422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621" w:type="dxa"/>
            <w:vMerge w:val="restart"/>
            <w:noWrap w:val="0"/>
            <w:vAlign w:val="center"/>
          </w:tcPr>
          <w:p w14:paraId="133E5116">
            <w:pPr>
              <w:spacing w:line="312" w:lineRule="auto"/>
              <w:jc w:val="center"/>
              <w:rPr>
                <w:rFonts w:hint="eastAsia" w:ascii="宋体" w:hAnsi="宋体"/>
                <w:color w:val="auto"/>
                <w:szCs w:val="21"/>
              </w:rPr>
            </w:pPr>
            <w:r>
              <w:rPr>
                <w:rFonts w:hint="eastAsia" w:ascii="宋体" w:hAnsi="宋体"/>
                <w:color w:val="auto"/>
                <w:szCs w:val="21"/>
              </w:rPr>
              <w:t>序</w:t>
            </w:r>
          </w:p>
          <w:p w14:paraId="6DA0219A">
            <w:pPr>
              <w:spacing w:line="312" w:lineRule="auto"/>
              <w:jc w:val="center"/>
              <w:rPr>
                <w:rFonts w:hint="eastAsia" w:ascii="宋体" w:hAnsi="宋体"/>
                <w:color w:val="auto"/>
                <w:szCs w:val="21"/>
              </w:rPr>
            </w:pPr>
            <w:r>
              <w:rPr>
                <w:rFonts w:hint="eastAsia" w:ascii="宋体" w:hAnsi="宋体"/>
                <w:color w:val="auto"/>
                <w:szCs w:val="21"/>
              </w:rPr>
              <w:t>号</w:t>
            </w:r>
          </w:p>
        </w:tc>
        <w:tc>
          <w:tcPr>
            <w:tcW w:w="1854" w:type="dxa"/>
            <w:vMerge w:val="restart"/>
            <w:noWrap w:val="0"/>
            <w:vAlign w:val="center"/>
          </w:tcPr>
          <w:p w14:paraId="515CE87C">
            <w:pPr>
              <w:spacing w:line="312" w:lineRule="auto"/>
              <w:jc w:val="center"/>
              <w:rPr>
                <w:rFonts w:hint="eastAsia" w:ascii="宋体" w:hAnsi="宋体"/>
                <w:color w:val="auto"/>
                <w:szCs w:val="21"/>
              </w:rPr>
            </w:pPr>
            <w:r>
              <w:rPr>
                <w:rFonts w:hint="eastAsia" w:ascii="宋体" w:hAnsi="宋体"/>
                <w:color w:val="auto"/>
                <w:szCs w:val="21"/>
                <w:lang w:val="en-US" w:eastAsia="zh-CN"/>
              </w:rPr>
              <w:t>产品</w:t>
            </w:r>
            <w:r>
              <w:rPr>
                <w:rFonts w:hint="eastAsia" w:ascii="宋体" w:hAnsi="宋体"/>
                <w:color w:val="auto"/>
                <w:szCs w:val="21"/>
              </w:rPr>
              <w:t>名称</w:t>
            </w:r>
          </w:p>
        </w:tc>
        <w:tc>
          <w:tcPr>
            <w:tcW w:w="4312" w:type="dxa"/>
            <w:gridSpan w:val="2"/>
            <w:noWrap w:val="0"/>
            <w:vAlign w:val="center"/>
          </w:tcPr>
          <w:p w14:paraId="7EE62F74">
            <w:pPr>
              <w:spacing w:line="312" w:lineRule="auto"/>
              <w:jc w:val="center"/>
              <w:rPr>
                <w:rFonts w:hint="eastAsia" w:ascii="宋体" w:hAnsi="宋体"/>
                <w:color w:val="auto"/>
                <w:szCs w:val="21"/>
              </w:rPr>
            </w:pPr>
            <w:r>
              <w:rPr>
                <w:rFonts w:hint="eastAsia" w:ascii="宋体" w:hAnsi="宋体"/>
                <w:color w:val="auto"/>
                <w:szCs w:val="21"/>
              </w:rPr>
              <w:t>技术参数及要求</w:t>
            </w:r>
          </w:p>
        </w:tc>
        <w:tc>
          <w:tcPr>
            <w:tcW w:w="1732" w:type="dxa"/>
            <w:vMerge w:val="restart"/>
            <w:noWrap w:val="0"/>
            <w:vAlign w:val="center"/>
          </w:tcPr>
          <w:p w14:paraId="38595C59">
            <w:pPr>
              <w:spacing w:line="312" w:lineRule="auto"/>
              <w:jc w:val="center"/>
              <w:rPr>
                <w:rFonts w:hint="eastAsia" w:ascii="宋体" w:hAnsi="宋体"/>
                <w:color w:val="auto"/>
                <w:szCs w:val="21"/>
              </w:rPr>
            </w:pPr>
            <w:r>
              <w:rPr>
                <w:rFonts w:hint="eastAsia" w:ascii="宋体" w:hAnsi="宋体"/>
                <w:color w:val="auto"/>
                <w:szCs w:val="21"/>
              </w:rPr>
              <w:t>偏差情况       （正/负/无偏离）</w:t>
            </w:r>
          </w:p>
        </w:tc>
        <w:tc>
          <w:tcPr>
            <w:tcW w:w="731" w:type="dxa"/>
            <w:vMerge w:val="restart"/>
            <w:noWrap w:val="0"/>
            <w:vAlign w:val="center"/>
          </w:tcPr>
          <w:p w14:paraId="36D84B0B">
            <w:pPr>
              <w:spacing w:line="312" w:lineRule="auto"/>
              <w:jc w:val="center"/>
              <w:rPr>
                <w:rFonts w:hint="eastAsia" w:ascii="宋体" w:hAnsi="宋体"/>
                <w:color w:val="auto"/>
                <w:szCs w:val="21"/>
              </w:rPr>
            </w:pPr>
            <w:r>
              <w:rPr>
                <w:rFonts w:hint="eastAsia" w:ascii="宋体" w:hAnsi="宋体"/>
                <w:color w:val="auto"/>
                <w:szCs w:val="21"/>
              </w:rPr>
              <w:t>备注</w:t>
            </w:r>
          </w:p>
        </w:tc>
      </w:tr>
      <w:tr w14:paraId="62E23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621" w:type="dxa"/>
            <w:vMerge w:val="continue"/>
            <w:noWrap w:val="0"/>
            <w:vAlign w:val="center"/>
          </w:tcPr>
          <w:p w14:paraId="41B4FCB8">
            <w:pPr>
              <w:spacing w:line="312" w:lineRule="auto"/>
              <w:jc w:val="center"/>
              <w:rPr>
                <w:rFonts w:hint="eastAsia" w:ascii="宋体" w:hAnsi="宋体"/>
                <w:color w:val="auto"/>
                <w:szCs w:val="21"/>
              </w:rPr>
            </w:pPr>
          </w:p>
        </w:tc>
        <w:tc>
          <w:tcPr>
            <w:tcW w:w="1854" w:type="dxa"/>
            <w:vMerge w:val="continue"/>
            <w:noWrap w:val="0"/>
            <w:vAlign w:val="center"/>
          </w:tcPr>
          <w:p w14:paraId="459A7712">
            <w:pPr>
              <w:spacing w:line="312" w:lineRule="auto"/>
              <w:jc w:val="center"/>
              <w:rPr>
                <w:rFonts w:hint="eastAsia" w:ascii="宋体" w:hAnsi="宋体"/>
                <w:color w:val="auto"/>
                <w:szCs w:val="21"/>
              </w:rPr>
            </w:pPr>
          </w:p>
        </w:tc>
        <w:tc>
          <w:tcPr>
            <w:tcW w:w="2120" w:type="dxa"/>
            <w:noWrap w:val="0"/>
            <w:vAlign w:val="center"/>
          </w:tcPr>
          <w:p w14:paraId="55378087">
            <w:pPr>
              <w:spacing w:line="312" w:lineRule="auto"/>
              <w:jc w:val="center"/>
              <w:rPr>
                <w:rFonts w:ascii="宋体" w:hAnsi="宋体"/>
                <w:color w:val="auto"/>
                <w:szCs w:val="21"/>
              </w:rPr>
            </w:pPr>
            <w:r>
              <w:rPr>
                <w:rFonts w:hint="eastAsia" w:ascii="宋体" w:hAnsi="宋体"/>
                <w:color w:val="auto"/>
                <w:szCs w:val="21"/>
              </w:rPr>
              <w:t>招标技术要求</w:t>
            </w:r>
          </w:p>
        </w:tc>
        <w:tc>
          <w:tcPr>
            <w:tcW w:w="2192" w:type="dxa"/>
            <w:noWrap w:val="0"/>
            <w:vAlign w:val="center"/>
          </w:tcPr>
          <w:p w14:paraId="280F3B28">
            <w:pPr>
              <w:spacing w:line="312" w:lineRule="auto"/>
              <w:jc w:val="center"/>
              <w:rPr>
                <w:rFonts w:ascii="宋体" w:hAnsi="宋体"/>
                <w:color w:val="auto"/>
                <w:szCs w:val="21"/>
              </w:rPr>
            </w:pPr>
            <w:r>
              <w:rPr>
                <w:rFonts w:hint="eastAsia" w:ascii="宋体" w:hAnsi="宋体"/>
                <w:color w:val="auto"/>
                <w:szCs w:val="21"/>
              </w:rPr>
              <w:t>投标技术指标</w:t>
            </w:r>
          </w:p>
        </w:tc>
        <w:tc>
          <w:tcPr>
            <w:tcW w:w="1732" w:type="dxa"/>
            <w:vMerge w:val="continue"/>
            <w:noWrap w:val="0"/>
            <w:vAlign w:val="center"/>
          </w:tcPr>
          <w:p w14:paraId="4CFDF9DB">
            <w:pPr>
              <w:spacing w:line="312" w:lineRule="auto"/>
              <w:jc w:val="center"/>
              <w:rPr>
                <w:rFonts w:hint="eastAsia" w:ascii="宋体" w:hAnsi="宋体"/>
                <w:color w:val="auto"/>
                <w:szCs w:val="21"/>
              </w:rPr>
            </w:pPr>
          </w:p>
        </w:tc>
        <w:tc>
          <w:tcPr>
            <w:tcW w:w="731" w:type="dxa"/>
            <w:vMerge w:val="continue"/>
            <w:noWrap w:val="0"/>
            <w:vAlign w:val="center"/>
          </w:tcPr>
          <w:p w14:paraId="30A94C79">
            <w:pPr>
              <w:spacing w:line="312" w:lineRule="auto"/>
              <w:jc w:val="center"/>
              <w:rPr>
                <w:rFonts w:hint="eastAsia" w:ascii="宋体" w:hAnsi="宋体"/>
                <w:color w:val="auto"/>
                <w:szCs w:val="21"/>
              </w:rPr>
            </w:pPr>
          </w:p>
        </w:tc>
      </w:tr>
      <w:tr w14:paraId="3E122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621" w:type="dxa"/>
            <w:noWrap w:val="0"/>
            <w:vAlign w:val="center"/>
          </w:tcPr>
          <w:p w14:paraId="32A49031">
            <w:pPr>
              <w:spacing w:line="312" w:lineRule="auto"/>
              <w:jc w:val="center"/>
              <w:rPr>
                <w:rFonts w:hint="eastAsia" w:ascii="宋体" w:hAnsi="宋体"/>
                <w:color w:val="auto"/>
                <w:szCs w:val="21"/>
              </w:rPr>
            </w:pPr>
            <w:r>
              <w:rPr>
                <w:rFonts w:hint="eastAsia" w:ascii="宋体" w:hAnsi="宋体"/>
                <w:color w:val="auto"/>
                <w:szCs w:val="21"/>
              </w:rPr>
              <w:t>1</w:t>
            </w:r>
          </w:p>
        </w:tc>
        <w:tc>
          <w:tcPr>
            <w:tcW w:w="1854" w:type="dxa"/>
            <w:noWrap w:val="0"/>
            <w:vAlign w:val="center"/>
          </w:tcPr>
          <w:p w14:paraId="541CB402">
            <w:pPr>
              <w:spacing w:line="312" w:lineRule="auto"/>
              <w:jc w:val="center"/>
              <w:rPr>
                <w:rFonts w:hint="eastAsia" w:ascii="宋体" w:hAnsi="宋体"/>
                <w:color w:val="auto"/>
                <w:szCs w:val="21"/>
              </w:rPr>
            </w:pPr>
          </w:p>
        </w:tc>
        <w:tc>
          <w:tcPr>
            <w:tcW w:w="2120" w:type="dxa"/>
            <w:noWrap w:val="0"/>
            <w:vAlign w:val="center"/>
          </w:tcPr>
          <w:p w14:paraId="29290AE8">
            <w:pPr>
              <w:spacing w:line="312" w:lineRule="auto"/>
              <w:jc w:val="center"/>
              <w:rPr>
                <w:rFonts w:ascii="宋体" w:hAnsi="宋体"/>
                <w:color w:val="auto"/>
                <w:szCs w:val="21"/>
              </w:rPr>
            </w:pPr>
          </w:p>
        </w:tc>
        <w:tc>
          <w:tcPr>
            <w:tcW w:w="2192" w:type="dxa"/>
            <w:noWrap w:val="0"/>
            <w:vAlign w:val="center"/>
          </w:tcPr>
          <w:p w14:paraId="7B562F21">
            <w:pPr>
              <w:spacing w:line="312" w:lineRule="auto"/>
              <w:jc w:val="center"/>
              <w:rPr>
                <w:rFonts w:ascii="宋体" w:hAnsi="宋体"/>
                <w:color w:val="auto"/>
                <w:szCs w:val="21"/>
              </w:rPr>
            </w:pPr>
          </w:p>
        </w:tc>
        <w:tc>
          <w:tcPr>
            <w:tcW w:w="1732" w:type="dxa"/>
            <w:noWrap w:val="0"/>
            <w:vAlign w:val="center"/>
          </w:tcPr>
          <w:p w14:paraId="6D5B65F5">
            <w:pPr>
              <w:spacing w:line="312" w:lineRule="auto"/>
              <w:jc w:val="center"/>
              <w:rPr>
                <w:rFonts w:ascii="宋体" w:hAnsi="宋体"/>
                <w:color w:val="auto"/>
                <w:szCs w:val="21"/>
              </w:rPr>
            </w:pPr>
          </w:p>
        </w:tc>
        <w:tc>
          <w:tcPr>
            <w:tcW w:w="731" w:type="dxa"/>
            <w:noWrap w:val="0"/>
            <w:vAlign w:val="center"/>
          </w:tcPr>
          <w:p w14:paraId="056F3EA9">
            <w:pPr>
              <w:spacing w:line="312" w:lineRule="auto"/>
              <w:jc w:val="center"/>
              <w:rPr>
                <w:rFonts w:ascii="宋体" w:hAnsi="宋体"/>
                <w:color w:val="auto"/>
                <w:szCs w:val="21"/>
              </w:rPr>
            </w:pPr>
          </w:p>
        </w:tc>
      </w:tr>
      <w:tr w14:paraId="55875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621" w:type="dxa"/>
            <w:noWrap w:val="0"/>
            <w:vAlign w:val="center"/>
          </w:tcPr>
          <w:p w14:paraId="1FBCE05D">
            <w:pPr>
              <w:spacing w:line="312" w:lineRule="auto"/>
              <w:jc w:val="center"/>
              <w:rPr>
                <w:rFonts w:hint="eastAsia" w:ascii="宋体" w:hAnsi="宋体"/>
                <w:color w:val="auto"/>
                <w:szCs w:val="21"/>
              </w:rPr>
            </w:pPr>
            <w:r>
              <w:rPr>
                <w:rFonts w:hint="eastAsia" w:ascii="宋体" w:hAnsi="宋体"/>
                <w:color w:val="auto"/>
                <w:szCs w:val="21"/>
              </w:rPr>
              <w:t>2</w:t>
            </w:r>
          </w:p>
        </w:tc>
        <w:tc>
          <w:tcPr>
            <w:tcW w:w="1854" w:type="dxa"/>
            <w:noWrap w:val="0"/>
            <w:vAlign w:val="center"/>
          </w:tcPr>
          <w:p w14:paraId="7DD1C284">
            <w:pPr>
              <w:spacing w:line="312" w:lineRule="auto"/>
              <w:jc w:val="center"/>
              <w:rPr>
                <w:rFonts w:hint="eastAsia" w:ascii="宋体" w:hAnsi="宋体"/>
                <w:color w:val="auto"/>
                <w:szCs w:val="21"/>
              </w:rPr>
            </w:pPr>
          </w:p>
        </w:tc>
        <w:tc>
          <w:tcPr>
            <w:tcW w:w="2120" w:type="dxa"/>
            <w:noWrap w:val="0"/>
            <w:vAlign w:val="center"/>
          </w:tcPr>
          <w:p w14:paraId="12ECA7BF">
            <w:pPr>
              <w:spacing w:line="312" w:lineRule="auto"/>
              <w:jc w:val="center"/>
              <w:rPr>
                <w:rFonts w:hint="eastAsia" w:ascii="宋体" w:hAnsi="宋体"/>
                <w:color w:val="auto"/>
                <w:szCs w:val="21"/>
              </w:rPr>
            </w:pPr>
          </w:p>
        </w:tc>
        <w:tc>
          <w:tcPr>
            <w:tcW w:w="2192" w:type="dxa"/>
            <w:noWrap w:val="0"/>
            <w:vAlign w:val="center"/>
          </w:tcPr>
          <w:p w14:paraId="5DD7F301">
            <w:pPr>
              <w:spacing w:line="312" w:lineRule="auto"/>
              <w:jc w:val="center"/>
              <w:rPr>
                <w:rFonts w:ascii="宋体" w:hAnsi="宋体"/>
                <w:color w:val="auto"/>
                <w:szCs w:val="21"/>
              </w:rPr>
            </w:pPr>
          </w:p>
        </w:tc>
        <w:tc>
          <w:tcPr>
            <w:tcW w:w="1732" w:type="dxa"/>
            <w:noWrap w:val="0"/>
            <w:vAlign w:val="center"/>
          </w:tcPr>
          <w:p w14:paraId="098EAFFA">
            <w:pPr>
              <w:spacing w:line="312" w:lineRule="auto"/>
              <w:jc w:val="center"/>
              <w:rPr>
                <w:rFonts w:ascii="宋体" w:hAnsi="宋体"/>
                <w:color w:val="auto"/>
                <w:szCs w:val="21"/>
              </w:rPr>
            </w:pPr>
          </w:p>
        </w:tc>
        <w:tc>
          <w:tcPr>
            <w:tcW w:w="731" w:type="dxa"/>
            <w:noWrap w:val="0"/>
            <w:vAlign w:val="center"/>
          </w:tcPr>
          <w:p w14:paraId="6153A5BE">
            <w:pPr>
              <w:spacing w:line="312" w:lineRule="auto"/>
              <w:jc w:val="center"/>
              <w:rPr>
                <w:rFonts w:ascii="宋体" w:hAnsi="宋体"/>
                <w:color w:val="auto"/>
                <w:szCs w:val="21"/>
              </w:rPr>
            </w:pPr>
          </w:p>
        </w:tc>
      </w:tr>
      <w:tr w14:paraId="1C069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621" w:type="dxa"/>
            <w:noWrap w:val="0"/>
            <w:vAlign w:val="center"/>
          </w:tcPr>
          <w:p w14:paraId="5CD14819">
            <w:pPr>
              <w:spacing w:line="312" w:lineRule="auto"/>
              <w:jc w:val="center"/>
              <w:rPr>
                <w:rFonts w:hint="eastAsia" w:ascii="宋体" w:hAnsi="宋体"/>
                <w:color w:val="auto"/>
                <w:szCs w:val="21"/>
              </w:rPr>
            </w:pPr>
            <w:r>
              <w:rPr>
                <w:rFonts w:hint="eastAsia" w:ascii="宋体" w:hAnsi="宋体"/>
                <w:color w:val="auto"/>
                <w:szCs w:val="21"/>
              </w:rPr>
              <w:t>3</w:t>
            </w:r>
          </w:p>
        </w:tc>
        <w:tc>
          <w:tcPr>
            <w:tcW w:w="1854" w:type="dxa"/>
            <w:noWrap w:val="0"/>
            <w:vAlign w:val="center"/>
          </w:tcPr>
          <w:p w14:paraId="055AB901">
            <w:pPr>
              <w:spacing w:line="312" w:lineRule="auto"/>
              <w:jc w:val="center"/>
              <w:rPr>
                <w:rFonts w:hint="eastAsia" w:ascii="宋体" w:hAnsi="宋体"/>
                <w:color w:val="auto"/>
                <w:szCs w:val="21"/>
              </w:rPr>
            </w:pPr>
          </w:p>
        </w:tc>
        <w:tc>
          <w:tcPr>
            <w:tcW w:w="2120" w:type="dxa"/>
            <w:noWrap w:val="0"/>
            <w:vAlign w:val="center"/>
          </w:tcPr>
          <w:p w14:paraId="6EC257BC">
            <w:pPr>
              <w:spacing w:line="312" w:lineRule="auto"/>
              <w:jc w:val="center"/>
              <w:rPr>
                <w:rFonts w:hint="eastAsia" w:ascii="宋体" w:hAnsi="宋体"/>
                <w:color w:val="auto"/>
                <w:szCs w:val="21"/>
              </w:rPr>
            </w:pPr>
          </w:p>
        </w:tc>
        <w:tc>
          <w:tcPr>
            <w:tcW w:w="2192" w:type="dxa"/>
            <w:noWrap w:val="0"/>
            <w:vAlign w:val="center"/>
          </w:tcPr>
          <w:p w14:paraId="4528CA62">
            <w:pPr>
              <w:spacing w:line="312" w:lineRule="auto"/>
              <w:jc w:val="center"/>
              <w:rPr>
                <w:rFonts w:ascii="宋体" w:hAnsi="宋体"/>
                <w:color w:val="auto"/>
                <w:szCs w:val="21"/>
              </w:rPr>
            </w:pPr>
          </w:p>
        </w:tc>
        <w:tc>
          <w:tcPr>
            <w:tcW w:w="1732" w:type="dxa"/>
            <w:noWrap w:val="0"/>
            <w:vAlign w:val="center"/>
          </w:tcPr>
          <w:p w14:paraId="1DBD305A">
            <w:pPr>
              <w:spacing w:line="312" w:lineRule="auto"/>
              <w:jc w:val="center"/>
              <w:rPr>
                <w:rFonts w:ascii="宋体" w:hAnsi="宋体"/>
                <w:color w:val="auto"/>
                <w:szCs w:val="21"/>
              </w:rPr>
            </w:pPr>
          </w:p>
        </w:tc>
        <w:tc>
          <w:tcPr>
            <w:tcW w:w="731" w:type="dxa"/>
            <w:noWrap w:val="0"/>
            <w:vAlign w:val="center"/>
          </w:tcPr>
          <w:p w14:paraId="171AF275">
            <w:pPr>
              <w:spacing w:line="312" w:lineRule="auto"/>
              <w:jc w:val="center"/>
              <w:rPr>
                <w:rFonts w:ascii="宋体" w:hAnsi="宋体"/>
                <w:color w:val="auto"/>
                <w:szCs w:val="21"/>
              </w:rPr>
            </w:pPr>
          </w:p>
        </w:tc>
      </w:tr>
      <w:tr w14:paraId="1B04A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621" w:type="dxa"/>
            <w:noWrap w:val="0"/>
            <w:vAlign w:val="center"/>
          </w:tcPr>
          <w:p w14:paraId="4325B577">
            <w:pPr>
              <w:spacing w:line="312" w:lineRule="auto"/>
              <w:jc w:val="center"/>
              <w:rPr>
                <w:rFonts w:hint="eastAsia" w:ascii="宋体" w:hAnsi="宋体"/>
                <w:color w:val="auto"/>
                <w:szCs w:val="21"/>
              </w:rPr>
            </w:pPr>
            <w:r>
              <w:rPr>
                <w:rFonts w:hint="eastAsia" w:ascii="宋体" w:hAnsi="宋体"/>
                <w:color w:val="auto"/>
                <w:szCs w:val="21"/>
              </w:rPr>
              <w:t>4</w:t>
            </w:r>
          </w:p>
        </w:tc>
        <w:tc>
          <w:tcPr>
            <w:tcW w:w="1854" w:type="dxa"/>
            <w:noWrap w:val="0"/>
            <w:vAlign w:val="center"/>
          </w:tcPr>
          <w:p w14:paraId="73152303">
            <w:pPr>
              <w:spacing w:line="312" w:lineRule="auto"/>
              <w:jc w:val="center"/>
              <w:rPr>
                <w:rFonts w:hint="eastAsia" w:ascii="宋体" w:hAnsi="宋体"/>
                <w:color w:val="auto"/>
                <w:szCs w:val="21"/>
              </w:rPr>
            </w:pPr>
          </w:p>
        </w:tc>
        <w:tc>
          <w:tcPr>
            <w:tcW w:w="2120" w:type="dxa"/>
            <w:noWrap w:val="0"/>
            <w:vAlign w:val="center"/>
          </w:tcPr>
          <w:p w14:paraId="6141F069">
            <w:pPr>
              <w:spacing w:line="312" w:lineRule="auto"/>
              <w:jc w:val="center"/>
              <w:rPr>
                <w:rFonts w:hint="eastAsia" w:ascii="宋体" w:hAnsi="宋体"/>
                <w:color w:val="auto"/>
                <w:szCs w:val="21"/>
              </w:rPr>
            </w:pPr>
          </w:p>
        </w:tc>
        <w:tc>
          <w:tcPr>
            <w:tcW w:w="2192" w:type="dxa"/>
            <w:noWrap w:val="0"/>
            <w:vAlign w:val="center"/>
          </w:tcPr>
          <w:p w14:paraId="3569480D">
            <w:pPr>
              <w:spacing w:line="312" w:lineRule="auto"/>
              <w:jc w:val="center"/>
              <w:rPr>
                <w:rFonts w:ascii="宋体" w:hAnsi="宋体"/>
                <w:color w:val="auto"/>
                <w:szCs w:val="21"/>
              </w:rPr>
            </w:pPr>
          </w:p>
        </w:tc>
        <w:tc>
          <w:tcPr>
            <w:tcW w:w="1732" w:type="dxa"/>
            <w:noWrap w:val="0"/>
            <w:vAlign w:val="center"/>
          </w:tcPr>
          <w:p w14:paraId="290CA6EA">
            <w:pPr>
              <w:spacing w:line="312" w:lineRule="auto"/>
              <w:jc w:val="center"/>
              <w:rPr>
                <w:rFonts w:ascii="宋体" w:hAnsi="宋体"/>
                <w:color w:val="auto"/>
                <w:szCs w:val="21"/>
              </w:rPr>
            </w:pPr>
          </w:p>
        </w:tc>
        <w:tc>
          <w:tcPr>
            <w:tcW w:w="731" w:type="dxa"/>
            <w:noWrap w:val="0"/>
            <w:vAlign w:val="center"/>
          </w:tcPr>
          <w:p w14:paraId="3F4E87AF">
            <w:pPr>
              <w:spacing w:line="312" w:lineRule="auto"/>
              <w:jc w:val="center"/>
              <w:rPr>
                <w:rFonts w:ascii="宋体" w:hAnsi="宋体"/>
                <w:color w:val="auto"/>
                <w:szCs w:val="21"/>
              </w:rPr>
            </w:pPr>
          </w:p>
        </w:tc>
      </w:tr>
      <w:tr w14:paraId="08967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621" w:type="dxa"/>
            <w:noWrap w:val="0"/>
            <w:vAlign w:val="center"/>
          </w:tcPr>
          <w:p w14:paraId="6AFBDA35">
            <w:pPr>
              <w:spacing w:line="312" w:lineRule="auto"/>
              <w:jc w:val="center"/>
              <w:rPr>
                <w:rFonts w:hint="eastAsia" w:ascii="宋体" w:hAnsi="宋体"/>
                <w:color w:val="auto"/>
                <w:szCs w:val="21"/>
              </w:rPr>
            </w:pPr>
            <w:r>
              <w:rPr>
                <w:rFonts w:hint="eastAsia" w:ascii="宋体" w:hAnsi="宋体"/>
                <w:color w:val="auto"/>
                <w:szCs w:val="21"/>
              </w:rPr>
              <w:t>5</w:t>
            </w:r>
          </w:p>
        </w:tc>
        <w:tc>
          <w:tcPr>
            <w:tcW w:w="1854" w:type="dxa"/>
            <w:noWrap w:val="0"/>
            <w:vAlign w:val="center"/>
          </w:tcPr>
          <w:p w14:paraId="722F3C38">
            <w:pPr>
              <w:spacing w:line="312" w:lineRule="auto"/>
              <w:jc w:val="center"/>
              <w:rPr>
                <w:rFonts w:hint="eastAsia" w:ascii="宋体" w:hAnsi="宋体"/>
                <w:color w:val="auto"/>
                <w:szCs w:val="21"/>
              </w:rPr>
            </w:pPr>
          </w:p>
        </w:tc>
        <w:tc>
          <w:tcPr>
            <w:tcW w:w="2120" w:type="dxa"/>
            <w:noWrap w:val="0"/>
            <w:vAlign w:val="center"/>
          </w:tcPr>
          <w:p w14:paraId="7C9FCDCF">
            <w:pPr>
              <w:spacing w:line="312" w:lineRule="auto"/>
              <w:jc w:val="center"/>
              <w:rPr>
                <w:rFonts w:hint="eastAsia" w:ascii="宋体" w:hAnsi="宋体"/>
                <w:color w:val="auto"/>
                <w:szCs w:val="21"/>
              </w:rPr>
            </w:pPr>
          </w:p>
        </w:tc>
        <w:tc>
          <w:tcPr>
            <w:tcW w:w="2192" w:type="dxa"/>
            <w:noWrap w:val="0"/>
            <w:vAlign w:val="center"/>
          </w:tcPr>
          <w:p w14:paraId="2BAAC373">
            <w:pPr>
              <w:spacing w:line="312" w:lineRule="auto"/>
              <w:jc w:val="center"/>
              <w:rPr>
                <w:rFonts w:hint="eastAsia" w:ascii="宋体" w:hAnsi="宋体"/>
                <w:color w:val="auto"/>
                <w:szCs w:val="21"/>
              </w:rPr>
            </w:pPr>
          </w:p>
        </w:tc>
        <w:tc>
          <w:tcPr>
            <w:tcW w:w="1732" w:type="dxa"/>
            <w:noWrap w:val="0"/>
            <w:vAlign w:val="center"/>
          </w:tcPr>
          <w:p w14:paraId="229829D7">
            <w:pPr>
              <w:spacing w:line="312" w:lineRule="auto"/>
              <w:jc w:val="center"/>
              <w:rPr>
                <w:rFonts w:hint="eastAsia" w:ascii="宋体" w:hAnsi="宋体"/>
                <w:color w:val="auto"/>
                <w:szCs w:val="21"/>
              </w:rPr>
            </w:pPr>
          </w:p>
        </w:tc>
        <w:tc>
          <w:tcPr>
            <w:tcW w:w="731" w:type="dxa"/>
            <w:noWrap w:val="0"/>
            <w:vAlign w:val="center"/>
          </w:tcPr>
          <w:p w14:paraId="3B89BBD8">
            <w:pPr>
              <w:spacing w:line="312" w:lineRule="auto"/>
              <w:jc w:val="center"/>
              <w:rPr>
                <w:rFonts w:hint="eastAsia" w:ascii="宋体" w:hAnsi="宋体"/>
                <w:color w:val="auto"/>
                <w:szCs w:val="21"/>
              </w:rPr>
            </w:pPr>
          </w:p>
        </w:tc>
      </w:tr>
      <w:tr w14:paraId="11512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621" w:type="dxa"/>
            <w:noWrap w:val="0"/>
            <w:vAlign w:val="center"/>
          </w:tcPr>
          <w:p w14:paraId="2B4F3148">
            <w:pPr>
              <w:spacing w:line="312" w:lineRule="auto"/>
              <w:jc w:val="center"/>
              <w:rPr>
                <w:rFonts w:hint="eastAsia" w:ascii="宋体" w:hAnsi="宋体"/>
                <w:color w:val="auto"/>
                <w:szCs w:val="21"/>
              </w:rPr>
            </w:pPr>
            <w:r>
              <w:rPr>
                <w:rFonts w:hint="eastAsia" w:ascii="宋体" w:hAnsi="宋体"/>
                <w:color w:val="auto"/>
                <w:szCs w:val="21"/>
              </w:rPr>
              <w:t>6</w:t>
            </w:r>
          </w:p>
        </w:tc>
        <w:tc>
          <w:tcPr>
            <w:tcW w:w="1854" w:type="dxa"/>
            <w:noWrap w:val="0"/>
            <w:vAlign w:val="center"/>
          </w:tcPr>
          <w:p w14:paraId="46D14F70">
            <w:pPr>
              <w:spacing w:line="312" w:lineRule="auto"/>
              <w:jc w:val="center"/>
              <w:rPr>
                <w:rFonts w:hint="eastAsia" w:ascii="宋体" w:hAnsi="宋体"/>
                <w:color w:val="auto"/>
                <w:szCs w:val="21"/>
              </w:rPr>
            </w:pPr>
          </w:p>
        </w:tc>
        <w:tc>
          <w:tcPr>
            <w:tcW w:w="2120" w:type="dxa"/>
            <w:noWrap w:val="0"/>
            <w:vAlign w:val="center"/>
          </w:tcPr>
          <w:p w14:paraId="6C949C75">
            <w:pPr>
              <w:spacing w:line="312" w:lineRule="auto"/>
              <w:jc w:val="center"/>
              <w:rPr>
                <w:rFonts w:hint="eastAsia" w:ascii="宋体" w:hAnsi="宋体"/>
                <w:color w:val="auto"/>
                <w:szCs w:val="21"/>
              </w:rPr>
            </w:pPr>
          </w:p>
        </w:tc>
        <w:tc>
          <w:tcPr>
            <w:tcW w:w="2192" w:type="dxa"/>
            <w:noWrap w:val="0"/>
            <w:vAlign w:val="center"/>
          </w:tcPr>
          <w:p w14:paraId="5A710703">
            <w:pPr>
              <w:spacing w:line="312" w:lineRule="auto"/>
              <w:jc w:val="center"/>
              <w:rPr>
                <w:rFonts w:hint="eastAsia" w:ascii="宋体" w:hAnsi="宋体"/>
                <w:color w:val="auto"/>
                <w:szCs w:val="21"/>
              </w:rPr>
            </w:pPr>
          </w:p>
        </w:tc>
        <w:tc>
          <w:tcPr>
            <w:tcW w:w="1732" w:type="dxa"/>
            <w:noWrap w:val="0"/>
            <w:vAlign w:val="center"/>
          </w:tcPr>
          <w:p w14:paraId="2F4570E4">
            <w:pPr>
              <w:spacing w:line="312" w:lineRule="auto"/>
              <w:jc w:val="center"/>
              <w:rPr>
                <w:rFonts w:hint="eastAsia" w:ascii="宋体" w:hAnsi="宋体"/>
                <w:color w:val="auto"/>
                <w:szCs w:val="21"/>
              </w:rPr>
            </w:pPr>
          </w:p>
        </w:tc>
        <w:tc>
          <w:tcPr>
            <w:tcW w:w="731" w:type="dxa"/>
            <w:noWrap w:val="0"/>
            <w:vAlign w:val="center"/>
          </w:tcPr>
          <w:p w14:paraId="32C6AB61">
            <w:pPr>
              <w:spacing w:line="312" w:lineRule="auto"/>
              <w:jc w:val="center"/>
              <w:rPr>
                <w:rFonts w:hint="eastAsia" w:ascii="宋体" w:hAnsi="宋体"/>
                <w:color w:val="auto"/>
                <w:szCs w:val="21"/>
              </w:rPr>
            </w:pPr>
          </w:p>
        </w:tc>
      </w:tr>
      <w:tr w14:paraId="318D4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621" w:type="dxa"/>
            <w:noWrap w:val="0"/>
            <w:vAlign w:val="center"/>
          </w:tcPr>
          <w:p w14:paraId="576A5BFE">
            <w:pPr>
              <w:spacing w:line="312" w:lineRule="auto"/>
              <w:rPr>
                <w:rFonts w:hint="eastAsia" w:ascii="宋体" w:hAnsi="宋体"/>
                <w:color w:val="auto"/>
              </w:rPr>
            </w:pPr>
            <w:r>
              <w:rPr>
                <w:rFonts w:ascii="宋体" w:hAnsi="宋体"/>
                <w:color w:val="auto"/>
              </w:rPr>
              <w:t>…</w:t>
            </w:r>
          </w:p>
        </w:tc>
        <w:tc>
          <w:tcPr>
            <w:tcW w:w="1854" w:type="dxa"/>
            <w:noWrap w:val="0"/>
            <w:vAlign w:val="center"/>
          </w:tcPr>
          <w:p w14:paraId="4DCDE049">
            <w:pPr>
              <w:spacing w:line="312" w:lineRule="auto"/>
              <w:rPr>
                <w:rFonts w:hint="eastAsia" w:ascii="宋体" w:hAnsi="宋体"/>
                <w:color w:val="auto"/>
              </w:rPr>
            </w:pPr>
          </w:p>
        </w:tc>
        <w:tc>
          <w:tcPr>
            <w:tcW w:w="2120" w:type="dxa"/>
            <w:noWrap w:val="0"/>
            <w:vAlign w:val="center"/>
          </w:tcPr>
          <w:p w14:paraId="281A0A10">
            <w:pPr>
              <w:spacing w:line="312" w:lineRule="auto"/>
              <w:rPr>
                <w:rFonts w:ascii="宋体" w:hAnsi="宋体"/>
                <w:color w:val="auto"/>
              </w:rPr>
            </w:pPr>
          </w:p>
        </w:tc>
        <w:tc>
          <w:tcPr>
            <w:tcW w:w="2192" w:type="dxa"/>
            <w:noWrap w:val="0"/>
            <w:vAlign w:val="center"/>
          </w:tcPr>
          <w:p w14:paraId="643842B7">
            <w:pPr>
              <w:spacing w:line="312" w:lineRule="auto"/>
              <w:rPr>
                <w:rFonts w:ascii="宋体" w:hAnsi="宋体"/>
                <w:color w:val="auto"/>
              </w:rPr>
            </w:pPr>
          </w:p>
        </w:tc>
        <w:tc>
          <w:tcPr>
            <w:tcW w:w="1732" w:type="dxa"/>
            <w:noWrap w:val="0"/>
            <w:vAlign w:val="center"/>
          </w:tcPr>
          <w:p w14:paraId="1948550A">
            <w:pPr>
              <w:spacing w:line="312" w:lineRule="auto"/>
              <w:rPr>
                <w:rFonts w:ascii="宋体" w:hAnsi="宋体"/>
                <w:color w:val="auto"/>
              </w:rPr>
            </w:pPr>
          </w:p>
        </w:tc>
        <w:tc>
          <w:tcPr>
            <w:tcW w:w="731" w:type="dxa"/>
            <w:noWrap w:val="0"/>
            <w:vAlign w:val="center"/>
          </w:tcPr>
          <w:p w14:paraId="62A48B90">
            <w:pPr>
              <w:spacing w:line="312" w:lineRule="auto"/>
              <w:rPr>
                <w:rFonts w:ascii="宋体" w:hAnsi="宋体"/>
                <w:color w:val="auto"/>
              </w:rPr>
            </w:pPr>
          </w:p>
        </w:tc>
      </w:tr>
    </w:tbl>
    <w:p w14:paraId="0FDD27B4">
      <w:pPr>
        <w:rPr>
          <w:rFonts w:hint="eastAsia" w:ascii="宋体" w:hAnsi="宋体" w:cs="宋体"/>
          <w:color w:val="auto"/>
          <w:szCs w:val="21"/>
        </w:rPr>
      </w:pPr>
      <w:r>
        <w:rPr>
          <w:rFonts w:hint="eastAsia" w:ascii="宋体" w:hAnsi="宋体" w:cs="宋体"/>
          <w:color w:val="auto"/>
          <w:szCs w:val="21"/>
        </w:rPr>
        <w:t xml:space="preserve">                               </w:t>
      </w:r>
    </w:p>
    <w:p w14:paraId="7A85BD81">
      <w:pPr>
        <w:pStyle w:val="20"/>
        <w:spacing w:after="0" w:line="360" w:lineRule="auto"/>
        <w:ind w:left="420" w:hanging="420" w:hangingChars="200"/>
        <w:rPr>
          <w:rFonts w:hint="eastAsia" w:ascii="宋体" w:hAnsi="宋体"/>
          <w:color w:val="auto"/>
          <w:szCs w:val="21"/>
        </w:rPr>
      </w:pPr>
      <w:r>
        <w:rPr>
          <w:rFonts w:hint="eastAsia" w:ascii="宋体" w:hAnsi="宋体"/>
          <w:color w:val="auto"/>
          <w:szCs w:val="21"/>
        </w:rPr>
        <w:t>注：</w:t>
      </w:r>
      <w:r>
        <w:rPr>
          <w:rFonts w:hint="eastAsia" w:ascii="宋体" w:hAnsi="宋体"/>
          <w:b/>
          <w:bCs/>
          <w:color w:val="auto"/>
          <w:szCs w:val="21"/>
        </w:rPr>
        <w:t>1、未填写此表视为不响应招标文件，按废标处理，投标人可根据招标项目情况，对表格进行调整</w:t>
      </w:r>
      <w:r>
        <w:rPr>
          <w:rFonts w:hint="eastAsia"/>
          <w:color w:val="auto"/>
          <w:szCs w:val="21"/>
        </w:rPr>
        <w:t>。</w:t>
      </w:r>
    </w:p>
    <w:p w14:paraId="13AEE591">
      <w:pPr>
        <w:spacing w:line="360" w:lineRule="auto"/>
        <w:rPr>
          <w:rFonts w:ascii="宋体" w:hAnsi="宋体"/>
          <w:color w:val="auto"/>
          <w:szCs w:val="21"/>
        </w:rPr>
      </w:pPr>
      <w:r>
        <w:rPr>
          <w:rFonts w:hint="eastAsia"/>
          <w:snapToGrid w:val="0"/>
          <w:color w:val="auto"/>
          <w:kern w:val="0"/>
          <w:szCs w:val="21"/>
        </w:rPr>
        <w:t xml:space="preserve">    </w:t>
      </w:r>
      <w:r>
        <w:rPr>
          <w:rFonts w:hint="eastAsia"/>
          <w:b/>
          <w:bCs/>
          <w:snapToGrid w:val="0"/>
          <w:color w:val="auto"/>
          <w:kern w:val="0"/>
          <w:szCs w:val="21"/>
        </w:rPr>
        <w:t>2、</w:t>
      </w:r>
      <w:r>
        <w:rPr>
          <w:b/>
          <w:bCs/>
          <w:color w:val="auto"/>
          <w:szCs w:val="21"/>
          <w:u w:val="single"/>
        </w:rPr>
        <w:t>若投标人未列出但经审查确实存在或在以后的合同执行中发现技术偏离，投标人应弥补这些偏离并不能要求改变投标价格或合同价格</w:t>
      </w:r>
      <w:r>
        <w:rPr>
          <w:rFonts w:hint="eastAsia"/>
          <w:b/>
          <w:bCs/>
          <w:color w:val="auto"/>
          <w:szCs w:val="21"/>
          <w:u w:val="single"/>
        </w:rPr>
        <w:t>，</w:t>
      </w:r>
      <w:r>
        <w:rPr>
          <w:b/>
          <w:bCs/>
          <w:color w:val="auto"/>
          <w:szCs w:val="21"/>
          <w:u w:val="single"/>
        </w:rPr>
        <w:t xml:space="preserve">否则将被作为无效标处理或合同违约。 </w:t>
      </w:r>
      <w:r>
        <w:rPr>
          <w:rFonts w:ascii="宋体" w:hAnsi="宋体"/>
          <w:b/>
          <w:bCs/>
          <w:color w:val="auto"/>
          <w:szCs w:val="21"/>
          <w:u w:val="single"/>
        </w:rPr>
        <w:t xml:space="preserve"> </w:t>
      </w:r>
    </w:p>
    <w:p w14:paraId="3AA6C672">
      <w:pPr>
        <w:spacing w:line="400" w:lineRule="exact"/>
        <w:ind w:firstLine="3885" w:firstLineChars="1850"/>
        <w:rPr>
          <w:rFonts w:hint="eastAsia" w:ascii="宋体" w:hAnsi="宋体" w:cs="宋体"/>
          <w:color w:val="auto"/>
          <w:szCs w:val="21"/>
        </w:rPr>
      </w:pPr>
    </w:p>
    <w:p w14:paraId="77BDEEF0">
      <w:pPr>
        <w:spacing w:line="400" w:lineRule="exact"/>
        <w:ind w:firstLine="3885" w:firstLineChars="1850"/>
        <w:rPr>
          <w:rFonts w:hint="eastAsia" w:ascii="宋体" w:hAnsi="宋体" w:cs="宋体"/>
          <w:color w:val="auto"/>
          <w:szCs w:val="21"/>
        </w:rPr>
      </w:pPr>
    </w:p>
    <w:p w14:paraId="7BEB19C2">
      <w:pPr>
        <w:spacing w:line="400" w:lineRule="exact"/>
        <w:ind w:firstLine="3885" w:firstLineChars="1850"/>
        <w:rPr>
          <w:rFonts w:hint="eastAsia" w:ascii="宋体" w:hAnsi="宋体" w:cs="宋体"/>
          <w:color w:val="auto"/>
          <w:szCs w:val="21"/>
        </w:rPr>
      </w:pPr>
      <w:r>
        <w:rPr>
          <w:rFonts w:hint="eastAsia" w:ascii="宋体" w:hAnsi="宋体" w:cs="宋体"/>
          <w:color w:val="auto"/>
          <w:szCs w:val="21"/>
        </w:rPr>
        <w:t>供应商：（单位电子签章）</w:t>
      </w:r>
    </w:p>
    <w:p w14:paraId="27EAC895">
      <w:pPr>
        <w:spacing w:line="400" w:lineRule="exact"/>
        <w:ind w:firstLine="3885" w:firstLineChars="1850"/>
        <w:rPr>
          <w:rFonts w:hint="eastAsia" w:ascii="宋体" w:hAnsi="宋体" w:cs="宋体"/>
          <w:color w:val="auto"/>
          <w:szCs w:val="21"/>
        </w:rPr>
      </w:pPr>
      <w:r>
        <w:rPr>
          <w:rFonts w:hint="eastAsia" w:ascii="宋体" w:hAnsi="宋体" w:cs="宋体"/>
          <w:color w:val="auto"/>
          <w:szCs w:val="21"/>
        </w:rPr>
        <w:t>法定代表人或其委托代理人：（电子签字或盖章）</w:t>
      </w:r>
    </w:p>
    <w:p w14:paraId="1E3BFEDF">
      <w:pPr>
        <w:spacing w:line="400" w:lineRule="exact"/>
        <w:ind w:firstLine="4095" w:firstLineChars="1950"/>
        <w:rPr>
          <w:rFonts w:hint="eastAsia" w:ascii="宋体" w:hAnsi="宋体" w:cs="宋体"/>
          <w:color w:val="auto"/>
          <w:szCs w:val="21"/>
        </w:rPr>
      </w:pPr>
      <w:r>
        <w:rPr>
          <w:rFonts w:hint="eastAsia" w:ascii="宋体" w:hAnsi="宋体" w:cs="宋体"/>
          <w:color w:val="auto"/>
          <w:szCs w:val="21"/>
        </w:rPr>
        <w:t>年  月  日</w:t>
      </w:r>
    </w:p>
    <w:p w14:paraId="61D73382">
      <w:pPr>
        <w:spacing w:line="440" w:lineRule="exact"/>
        <w:ind w:firstLine="562" w:firstLineChars="200"/>
        <w:jc w:val="center"/>
        <w:rPr>
          <w:rFonts w:ascii="宋体" w:hAnsi="宋体" w:cs="宋体"/>
          <w:b/>
          <w:color w:val="auto"/>
          <w:sz w:val="28"/>
          <w:szCs w:val="28"/>
        </w:rPr>
      </w:pPr>
    </w:p>
    <w:p w14:paraId="43EA29AC">
      <w:pPr>
        <w:spacing w:line="440" w:lineRule="exact"/>
        <w:ind w:firstLine="562" w:firstLineChars="200"/>
        <w:jc w:val="center"/>
        <w:rPr>
          <w:rFonts w:ascii="宋体" w:hAnsi="宋体" w:cs="宋体"/>
          <w:b/>
          <w:color w:val="auto"/>
          <w:sz w:val="28"/>
          <w:szCs w:val="28"/>
        </w:rPr>
      </w:pPr>
    </w:p>
    <w:p w14:paraId="649A3E5D">
      <w:pPr>
        <w:rPr>
          <w:b/>
          <w:bCs/>
          <w:color w:val="auto"/>
        </w:rPr>
      </w:pPr>
    </w:p>
    <w:p w14:paraId="0157CFAD">
      <w:pPr>
        <w:rPr>
          <w:b/>
          <w:bCs/>
          <w:color w:val="auto"/>
        </w:rPr>
      </w:pPr>
    </w:p>
    <w:p w14:paraId="7F01EC32">
      <w:pPr>
        <w:spacing w:line="440" w:lineRule="exact"/>
        <w:ind w:firstLine="562" w:firstLineChars="200"/>
        <w:jc w:val="center"/>
        <w:rPr>
          <w:rFonts w:ascii="宋体" w:hAnsi="宋体" w:cs="宋体"/>
          <w:b/>
          <w:color w:val="auto"/>
          <w:sz w:val="28"/>
          <w:szCs w:val="28"/>
        </w:rPr>
      </w:pPr>
    </w:p>
    <w:p w14:paraId="35DEEA20">
      <w:pPr>
        <w:spacing w:line="440" w:lineRule="exact"/>
        <w:ind w:firstLine="562" w:firstLineChars="200"/>
        <w:jc w:val="center"/>
        <w:rPr>
          <w:rFonts w:ascii="宋体" w:hAnsi="宋体" w:cs="宋体"/>
          <w:b/>
          <w:color w:val="auto"/>
          <w:sz w:val="28"/>
          <w:szCs w:val="28"/>
        </w:rPr>
      </w:pPr>
    </w:p>
    <w:p w14:paraId="02C9B2D9">
      <w:pPr>
        <w:spacing w:line="440" w:lineRule="exact"/>
        <w:ind w:firstLine="562" w:firstLineChars="200"/>
        <w:jc w:val="center"/>
        <w:rPr>
          <w:rFonts w:hint="eastAsia" w:ascii="宋体" w:hAnsi="宋体" w:cs="宋体"/>
          <w:b/>
          <w:color w:val="auto"/>
          <w:sz w:val="28"/>
          <w:szCs w:val="28"/>
        </w:rPr>
      </w:pPr>
    </w:p>
    <w:p w14:paraId="028CCA45">
      <w:pPr>
        <w:bidi w:val="0"/>
        <w:rPr>
          <w:rFonts w:hint="eastAsia"/>
        </w:rPr>
      </w:pPr>
      <w:bookmarkStart w:id="343" w:name="_Toc31027"/>
    </w:p>
    <w:p w14:paraId="4D8B7C0C">
      <w:pPr>
        <w:spacing w:line="440" w:lineRule="exact"/>
        <w:ind w:firstLine="562" w:firstLineChars="200"/>
        <w:jc w:val="center"/>
        <w:outlineLvl w:val="1"/>
        <w:rPr>
          <w:rFonts w:hint="eastAsia" w:ascii="宋体" w:hAnsi="宋体" w:cs="宋体"/>
          <w:b/>
          <w:color w:val="auto"/>
          <w:sz w:val="28"/>
          <w:szCs w:val="28"/>
          <w:lang w:val="en-US" w:eastAsia="zh-CN"/>
        </w:rPr>
      </w:pPr>
    </w:p>
    <w:p w14:paraId="661545C5">
      <w:pPr>
        <w:spacing w:line="440" w:lineRule="exact"/>
        <w:ind w:firstLine="562" w:firstLineChars="200"/>
        <w:jc w:val="center"/>
        <w:outlineLvl w:val="1"/>
        <w:rPr>
          <w:rFonts w:ascii="宋体" w:hAnsi="宋体" w:cs="宋体"/>
          <w:b/>
          <w:color w:val="auto"/>
          <w:sz w:val="28"/>
          <w:szCs w:val="28"/>
        </w:rPr>
      </w:pPr>
      <w:r>
        <w:rPr>
          <w:rFonts w:hint="eastAsia" w:ascii="宋体" w:hAnsi="宋体" w:cs="宋体"/>
          <w:b/>
          <w:color w:val="auto"/>
          <w:sz w:val="28"/>
          <w:szCs w:val="28"/>
          <w:lang w:val="en-US" w:eastAsia="zh-CN"/>
        </w:rPr>
        <w:t>六</w:t>
      </w:r>
      <w:r>
        <w:rPr>
          <w:rFonts w:hint="eastAsia" w:ascii="宋体" w:hAnsi="宋体" w:cs="宋体"/>
          <w:b/>
          <w:color w:val="auto"/>
          <w:sz w:val="28"/>
          <w:szCs w:val="28"/>
        </w:rPr>
        <w:t>、技术方案</w:t>
      </w:r>
      <w:bookmarkEnd w:id="343"/>
    </w:p>
    <w:p w14:paraId="22D8E359">
      <w:pPr>
        <w:spacing w:line="440" w:lineRule="exact"/>
        <w:ind w:firstLine="562" w:firstLineChars="200"/>
        <w:jc w:val="center"/>
        <w:rPr>
          <w:rFonts w:ascii="宋体" w:hAnsi="宋体" w:cs="宋体"/>
          <w:b/>
          <w:color w:val="auto"/>
          <w:sz w:val="28"/>
          <w:szCs w:val="28"/>
        </w:rPr>
      </w:pPr>
      <w:r>
        <w:rPr>
          <w:rFonts w:hint="eastAsia" w:ascii="宋体" w:hAnsi="宋体" w:cs="宋体"/>
          <w:b/>
          <w:color w:val="auto"/>
          <w:sz w:val="28"/>
        </w:rPr>
        <w:t>（格式内容自定）</w:t>
      </w:r>
    </w:p>
    <w:p w14:paraId="71DE4C1B">
      <w:pPr>
        <w:spacing w:line="440" w:lineRule="exact"/>
        <w:ind w:firstLine="562" w:firstLineChars="200"/>
        <w:jc w:val="center"/>
        <w:outlineLvl w:val="1"/>
        <w:rPr>
          <w:rFonts w:hint="eastAsia" w:ascii="宋体" w:hAnsi="宋体" w:eastAsia="宋体" w:cs="宋体"/>
          <w:b/>
          <w:color w:val="auto"/>
          <w:sz w:val="28"/>
          <w:szCs w:val="28"/>
        </w:rPr>
      </w:pPr>
    </w:p>
    <w:p w14:paraId="56BE93F7">
      <w:pPr>
        <w:spacing w:line="440" w:lineRule="exact"/>
        <w:ind w:firstLine="562" w:firstLineChars="200"/>
        <w:jc w:val="center"/>
        <w:outlineLvl w:val="1"/>
        <w:rPr>
          <w:rFonts w:hint="eastAsia" w:ascii="宋体" w:hAnsi="宋体" w:eastAsia="宋体" w:cs="宋体"/>
          <w:b/>
          <w:color w:val="auto"/>
          <w:sz w:val="28"/>
          <w:szCs w:val="28"/>
        </w:rPr>
      </w:pPr>
      <w:bookmarkStart w:id="344" w:name="_Toc20982"/>
      <w:r>
        <w:rPr>
          <w:rFonts w:hint="eastAsia" w:ascii="宋体" w:hAnsi="宋体" w:eastAsia="宋体" w:cs="宋体"/>
          <w:b/>
          <w:color w:val="auto"/>
          <w:sz w:val="28"/>
          <w:szCs w:val="28"/>
          <w:lang w:val="en-US" w:eastAsia="zh-CN"/>
        </w:rPr>
        <w:t>七</w:t>
      </w:r>
      <w:r>
        <w:rPr>
          <w:rFonts w:hint="eastAsia" w:ascii="宋体" w:hAnsi="宋体" w:eastAsia="宋体" w:cs="宋体"/>
          <w:b/>
          <w:color w:val="auto"/>
          <w:sz w:val="28"/>
          <w:szCs w:val="28"/>
        </w:rPr>
        <w:t>、资格审查资料</w:t>
      </w:r>
      <w:bookmarkEnd w:id="344"/>
    </w:p>
    <w:p w14:paraId="2BD199F5">
      <w:pPr>
        <w:numPr>
          <w:ilvl w:val="3"/>
          <w:numId w:val="0"/>
        </w:numPr>
        <w:tabs>
          <w:tab w:val="left" w:pos="1680"/>
        </w:tabs>
        <w:spacing w:line="400" w:lineRule="exact"/>
        <w:jc w:val="center"/>
        <w:rPr>
          <w:rFonts w:ascii="宋体" w:hAnsi="宋体" w:cs="宋体"/>
          <w:b/>
          <w:bCs/>
          <w:color w:val="auto"/>
          <w:sz w:val="22"/>
          <w:szCs w:val="28"/>
        </w:rPr>
      </w:pPr>
      <w:r>
        <w:rPr>
          <w:rFonts w:hint="eastAsia" w:ascii="宋体" w:hAnsi="宋体" w:cs="宋体"/>
          <w:b/>
          <w:bCs/>
          <w:color w:val="auto"/>
          <w:sz w:val="22"/>
          <w:szCs w:val="28"/>
        </w:rPr>
        <w:t>1、投标人基本情况表</w:t>
      </w:r>
    </w:p>
    <w:tbl>
      <w:tblPr>
        <w:tblStyle w:val="47"/>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6"/>
        <w:gridCol w:w="1080"/>
        <w:gridCol w:w="1808"/>
        <w:gridCol w:w="1257"/>
        <w:gridCol w:w="1092"/>
        <w:gridCol w:w="176"/>
        <w:gridCol w:w="725"/>
        <w:gridCol w:w="1435"/>
      </w:tblGrid>
      <w:tr w14:paraId="2AA24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1986" w:type="dxa"/>
            <w:noWrap w:val="0"/>
            <w:vAlign w:val="center"/>
          </w:tcPr>
          <w:p w14:paraId="1749E93C">
            <w:pPr>
              <w:spacing w:line="400" w:lineRule="exact"/>
              <w:jc w:val="center"/>
              <w:rPr>
                <w:rFonts w:ascii="宋体" w:hAnsi="宋体" w:cs="宋体"/>
                <w:color w:val="auto"/>
                <w:szCs w:val="21"/>
              </w:rPr>
            </w:pPr>
            <w:r>
              <w:rPr>
                <w:rFonts w:hint="eastAsia" w:ascii="宋体" w:hAnsi="宋体" w:cs="宋体"/>
                <w:color w:val="auto"/>
                <w:szCs w:val="21"/>
              </w:rPr>
              <w:t>投标人名称</w:t>
            </w:r>
          </w:p>
        </w:tc>
        <w:tc>
          <w:tcPr>
            <w:tcW w:w="7573" w:type="dxa"/>
            <w:gridSpan w:val="7"/>
            <w:noWrap w:val="0"/>
            <w:vAlign w:val="center"/>
          </w:tcPr>
          <w:p w14:paraId="7C000912">
            <w:pPr>
              <w:spacing w:line="400" w:lineRule="exact"/>
              <w:jc w:val="center"/>
              <w:rPr>
                <w:rFonts w:ascii="宋体" w:hAnsi="宋体" w:cs="宋体"/>
                <w:color w:val="auto"/>
                <w:szCs w:val="21"/>
              </w:rPr>
            </w:pPr>
          </w:p>
        </w:tc>
      </w:tr>
      <w:tr w14:paraId="455C0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986" w:type="dxa"/>
            <w:noWrap w:val="0"/>
            <w:vAlign w:val="center"/>
          </w:tcPr>
          <w:p w14:paraId="70671C6F">
            <w:pPr>
              <w:spacing w:line="400" w:lineRule="exact"/>
              <w:jc w:val="center"/>
              <w:rPr>
                <w:rFonts w:ascii="宋体" w:hAnsi="宋体" w:cs="宋体"/>
                <w:color w:val="auto"/>
                <w:szCs w:val="21"/>
              </w:rPr>
            </w:pPr>
            <w:r>
              <w:rPr>
                <w:rFonts w:hint="eastAsia" w:ascii="宋体" w:hAnsi="宋体" w:cs="宋体"/>
                <w:color w:val="auto"/>
                <w:szCs w:val="21"/>
              </w:rPr>
              <w:t>注册地址</w:t>
            </w:r>
          </w:p>
        </w:tc>
        <w:tc>
          <w:tcPr>
            <w:tcW w:w="4145" w:type="dxa"/>
            <w:gridSpan w:val="3"/>
            <w:noWrap w:val="0"/>
            <w:vAlign w:val="center"/>
          </w:tcPr>
          <w:p w14:paraId="3EC10A32">
            <w:pPr>
              <w:spacing w:line="400" w:lineRule="exact"/>
              <w:jc w:val="center"/>
              <w:rPr>
                <w:rFonts w:ascii="宋体" w:hAnsi="宋体" w:cs="宋体"/>
                <w:color w:val="auto"/>
                <w:szCs w:val="21"/>
              </w:rPr>
            </w:pPr>
          </w:p>
        </w:tc>
        <w:tc>
          <w:tcPr>
            <w:tcW w:w="1092" w:type="dxa"/>
            <w:noWrap w:val="0"/>
            <w:vAlign w:val="center"/>
          </w:tcPr>
          <w:p w14:paraId="2FE1BB7E">
            <w:pPr>
              <w:spacing w:line="400" w:lineRule="exact"/>
              <w:jc w:val="center"/>
              <w:rPr>
                <w:rFonts w:ascii="宋体" w:hAnsi="宋体" w:cs="宋体"/>
                <w:color w:val="auto"/>
                <w:szCs w:val="21"/>
              </w:rPr>
            </w:pPr>
            <w:r>
              <w:rPr>
                <w:rFonts w:hint="eastAsia" w:ascii="宋体" w:hAnsi="宋体" w:cs="宋体"/>
                <w:color w:val="auto"/>
                <w:szCs w:val="21"/>
              </w:rPr>
              <w:t>邮政编码</w:t>
            </w:r>
          </w:p>
        </w:tc>
        <w:tc>
          <w:tcPr>
            <w:tcW w:w="2336" w:type="dxa"/>
            <w:gridSpan w:val="3"/>
            <w:noWrap w:val="0"/>
            <w:vAlign w:val="center"/>
          </w:tcPr>
          <w:p w14:paraId="533DCAD7">
            <w:pPr>
              <w:spacing w:line="400" w:lineRule="exact"/>
              <w:jc w:val="center"/>
              <w:rPr>
                <w:rFonts w:ascii="宋体" w:hAnsi="宋体" w:cs="宋体"/>
                <w:color w:val="auto"/>
                <w:szCs w:val="21"/>
              </w:rPr>
            </w:pPr>
          </w:p>
        </w:tc>
      </w:tr>
      <w:tr w14:paraId="14D30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986" w:type="dxa"/>
            <w:noWrap w:val="0"/>
            <w:vAlign w:val="center"/>
          </w:tcPr>
          <w:p w14:paraId="24F9BB84">
            <w:pPr>
              <w:spacing w:line="400" w:lineRule="exact"/>
              <w:jc w:val="center"/>
              <w:rPr>
                <w:rFonts w:ascii="宋体" w:hAnsi="宋体" w:cs="宋体"/>
                <w:color w:val="auto"/>
                <w:szCs w:val="21"/>
              </w:rPr>
            </w:pPr>
            <w:r>
              <w:rPr>
                <w:rFonts w:hint="eastAsia" w:ascii="宋体" w:hAnsi="宋体" w:cs="宋体"/>
                <w:color w:val="auto"/>
                <w:szCs w:val="21"/>
              </w:rPr>
              <w:t>注册资金</w:t>
            </w:r>
          </w:p>
        </w:tc>
        <w:tc>
          <w:tcPr>
            <w:tcW w:w="4145" w:type="dxa"/>
            <w:gridSpan w:val="3"/>
            <w:noWrap w:val="0"/>
            <w:vAlign w:val="center"/>
          </w:tcPr>
          <w:p w14:paraId="499FD028">
            <w:pPr>
              <w:spacing w:line="400" w:lineRule="exact"/>
              <w:jc w:val="center"/>
              <w:rPr>
                <w:rFonts w:ascii="宋体" w:hAnsi="宋体" w:cs="宋体"/>
                <w:color w:val="auto"/>
                <w:szCs w:val="21"/>
              </w:rPr>
            </w:pPr>
          </w:p>
        </w:tc>
        <w:tc>
          <w:tcPr>
            <w:tcW w:w="1092" w:type="dxa"/>
            <w:noWrap w:val="0"/>
            <w:vAlign w:val="center"/>
          </w:tcPr>
          <w:p w14:paraId="5A52BA88">
            <w:pPr>
              <w:spacing w:line="400" w:lineRule="exact"/>
              <w:jc w:val="center"/>
              <w:rPr>
                <w:rFonts w:ascii="宋体" w:hAnsi="宋体" w:cs="宋体"/>
                <w:color w:val="auto"/>
                <w:szCs w:val="21"/>
              </w:rPr>
            </w:pPr>
            <w:r>
              <w:rPr>
                <w:rFonts w:hint="eastAsia" w:ascii="宋体" w:hAnsi="宋体" w:cs="宋体"/>
                <w:color w:val="auto"/>
                <w:szCs w:val="21"/>
              </w:rPr>
              <w:t>成立时间</w:t>
            </w:r>
          </w:p>
        </w:tc>
        <w:tc>
          <w:tcPr>
            <w:tcW w:w="2336" w:type="dxa"/>
            <w:gridSpan w:val="3"/>
            <w:noWrap w:val="0"/>
            <w:vAlign w:val="center"/>
          </w:tcPr>
          <w:p w14:paraId="7546AE58">
            <w:pPr>
              <w:spacing w:line="400" w:lineRule="exact"/>
              <w:jc w:val="center"/>
              <w:rPr>
                <w:rFonts w:ascii="宋体" w:hAnsi="宋体" w:cs="宋体"/>
                <w:color w:val="auto"/>
                <w:szCs w:val="21"/>
              </w:rPr>
            </w:pPr>
          </w:p>
        </w:tc>
      </w:tr>
      <w:tr w14:paraId="2DB29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1986" w:type="dxa"/>
            <w:vMerge w:val="restart"/>
            <w:noWrap w:val="0"/>
            <w:vAlign w:val="center"/>
          </w:tcPr>
          <w:p w14:paraId="75716743">
            <w:pPr>
              <w:spacing w:line="400" w:lineRule="exact"/>
              <w:jc w:val="center"/>
              <w:rPr>
                <w:rFonts w:ascii="宋体" w:hAnsi="宋体" w:cs="宋体"/>
                <w:color w:val="auto"/>
                <w:szCs w:val="21"/>
              </w:rPr>
            </w:pPr>
            <w:r>
              <w:rPr>
                <w:rFonts w:hint="eastAsia" w:ascii="宋体" w:hAnsi="宋体" w:cs="宋体"/>
                <w:color w:val="auto"/>
                <w:szCs w:val="21"/>
              </w:rPr>
              <w:t>联系方式</w:t>
            </w:r>
          </w:p>
        </w:tc>
        <w:tc>
          <w:tcPr>
            <w:tcW w:w="1080" w:type="dxa"/>
            <w:noWrap w:val="0"/>
            <w:vAlign w:val="center"/>
          </w:tcPr>
          <w:p w14:paraId="13A21626">
            <w:pPr>
              <w:spacing w:line="400" w:lineRule="exact"/>
              <w:jc w:val="center"/>
              <w:rPr>
                <w:rFonts w:ascii="宋体" w:hAnsi="宋体" w:cs="宋体"/>
                <w:color w:val="auto"/>
                <w:szCs w:val="21"/>
              </w:rPr>
            </w:pPr>
            <w:r>
              <w:rPr>
                <w:rFonts w:hint="eastAsia" w:ascii="宋体" w:hAnsi="宋体" w:cs="宋体"/>
                <w:color w:val="auto"/>
                <w:szCs w:val="21"/>
              </w:rPr>
              <w:t>联系人</w:t>
            </w:r>
          </w:p>
        </w:tc>
        <w:tc>
          <w:tcPr>
            <w:tcW w:w="3065" w:type="dxa"/>
            <w:gridSpan w:val="2"/>
            <w:noWrap w:val="0"/>
            <w:vAlign w:val="center"/>
          </w:tcPr>
          <w:p w14:paraId="15B3BFE8">
            <w:pPr>
              <w:spacing w:line="400" w:lineRule="exact"/>
              <w:jc w:val="center"/>
              <w:rPr>
                <w:rFonts w:ascii="宋体" w:hAnsi="宋体" w:cs="宋体"/>
                <w:color w:val="auto"/>
                <w:szCs w:val="21"/>
              </w:rPr>
            </w:pPr>
          </w:p>
        </w:tc>
        <w:tc>
          <w:tcPr>
            <w:tcW w:w="1092" w:type="dxa"/>
            <w:noWrap w:val="0"/>
            <w:vAlign w:val="center"/>
          </w:tcPr>
          <w:p w14:paraId="55BD08F7">
            <w:pPr>
              <w:spacing w:line="400" w:lineRule="exact"/>
              <w:jc w:val="center"/>
              <w:rPr>
                <w:rFonts w:ascii="宋体" w:hAnsi="宋体" w:cs="宋体"/>
                <w:color w:val="auto"/>
                <w:szCs w:val="21"/>
              </w:rPr>
            </w:pPr>
            <w:r>
              <w:rPr>
                <w:rFonts w:hint="eastAsia" w:ascii="宋体" w:hAnsi="宋体" w:cs="宋体"/>
                <w:color w:val="auto"/>
                <w:szCs w:val="21"/>
              </w:rPr>
              <w:t>电话</w:t>
            </w:r>
          </w:p>
        </w:tc>
        <w:tc>
          <w:tcPr>
            <w:tcW w:w="2336" w:type="dxa"/>
            <w:gridSpan w:val="3"/>
            <w:noWrap w:val="0"/>
            <w:vAlign w:val="center"/>
          </w:tcPr>
          <w:p w14:paraId="2D4B27EE">
            <w:pPr>
              <w:spacing w:line="400" w:lineRule="exact"/>
              <w:jc w:val="center"/>
              <w:rPr>
                <w:rFonts w:ascii="宋体" w:hAnsi="宋体" w:cs="宋体"/>
                <w:color w:val="auto"/>
                <w:szCs w:val="21"/>
              </w:rPr>
            </w:pPr>
          </w:p>
        </w:tc>
      </w:tr>
      <w:tr w14:paraId="48BCB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986" w:type="dxa"/>
            <w:vMerge w:val="continue"/>
            <w:noWrap w:val="0"/>
            <w:vAlign w:val="center"/>
          </w:tcPr>
          <w:p w14:paraId="20E44B63">
            <w:pPr>
              <w:spacing w:line="400" w:lineRule="exact"/>
              <w:jc w:val="center"/>
              <w:rPr>
                <w:rFonts w:ascii="宋体" w:hAnsi="宋体" w:cs="宋体"/>
                <w:color w:val="auto"/>
                <w:szCs w:val="21"/>
              </w:rPr>
            </w:pPr>
          </w:p>
        </w:tc>
        <w:tc>
          <w:tcPr>
            <w:tcW w:w="1080" w:type="dxa"/>
            <w:noWrap w:val="0"/>
            <w:vAlign w:val="center"/>
          </w:tcPr>
          <w:p w14:paraId="7A766ECB">
            <w:pPr>
              <w:spacing w:line="400" w:lineRule="exact"/>
              <w:jc w:val="center"/>
              <w:rPr>
                <w:rFonts w:ascii="宋体" w:hAnsi="宋体" w:cs="宋体"/>
                <w:color w:val="auto"/>
                <w:szCs w:val="21"/>
              </w:rPr>
            </w:pPr>
            <w:r>
              <w:rPr>
                <w:rFonts w:hint="eastAsia" w:ascii="宋体" w:hAnsi="宋体" w:cs="宋体"/>
                <w:color w:val="auto"/>
                <w:szCs w:val="21"/>
              </w:rPr>
              <w:t>传真</w:t>
            </w:r>
          </w:p>
        </w:tc>
        <w:tc>
          <w:tcPr>
            <w:tcW w:w="3065" w:type="dxa"/>
            <w:gridSpan w:val="2"/>
            <w:noWrap w:val="0"/>
            <w:vAlign w:val="center"/>
          </w:tcPr>
          <w:p w14:paraId="551C2B70">
            <w:pPr>
              <w:spacing w:line="400" w:lineRule="exact"/>
              <w:jc w:val="center"/>
              <w:rPr>
                <w:rFonts w:ascii="宋体" w:hAnsi="宋体" w:cs="宋体"/>
                <w:color w:val="auto"/>
                <w:szCs w:val="21"/>
              </w:rPr>
            </w:pPr>
          </w:p>
        </w:tc>
        <w:tc>
          <w:tcPr>
            <w:tcW w:w="1092" w:type="dxa"/>
            <w:noWrap w:val="0"/>
            <w:vAlign w:val="center"/>
          </w:tcPr>
          <w:p w14:paraId="1A5877AC">
            <w:pPr>
              <w:spacing w:line="400" w:lineRule="exact"/>
              <w:jc w:val="center"/>
              <w:rPr>
                <w:rFonts w:ascii="宋体" w:hAnsi="宋体" w:cs="宋体"/>
                <w:color w:val="auto"/>
                <w:szCs w:val="21"/>
              </w:rPr>
            </w:pPr>
            <w:r>
              <w:rPr>
                <w:rFonts w:hint="eastAsia" w:ascii="宋体" w:hAnsi="宋体" w:cs="宋体"/>
                <w:color w:val="auto"/>
                <w:szCs w:val="21"/>
              </w:rPr>
              <w:t>网址</w:t>
            </w:r>
          </w:p>
        </w:tc>
        <w:tc>
          <w:tcPr>
            <w:tcW w:w="2336" w:type="dxa"/>
            <w:gridSpan w:val="3"/>
            <w:noWrap w:val="0"/>
            <w:vAlign w:val="center"/>
          </w:tcPr>
          <w:p w14:paraId="4DECFAF8">
            <w:pPr>
              <w:spacing w:line="400" w:lineRule="exact"/>
              <w:jc w:val="center"/>
              <w:rPr>
                <w:rFonts w:ascii="宋体" w:hAnsi="宋体" w:cs="宋体"/>
                <w:color w:val="auto"/>
                <w:szCs w:val="21"/>
              </w:rPr>
            </w:pPr>
          </w:p>
        </w:tc>
      </w:tr>
      <w:tr w14:paraId="77BF3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1986" w:type="dxa"/>
            <w:noWrap w:val="0"/>
            <w:vAlign w:val="center"/>
          </w:tcPr>
          <w:p w14:paraId="335F9532">
            <w:pPr>
              <w:spacing w:line="400" w:lineRule="exact"/>
              <w:jc w:val="center"/>
              <w:rPr>
                <w:rFonts w:ascii="宋体" w:hAnsi="宋体" w:cs="宋体"/>
                <w:color w:val="auto"/>
                <w:szCs w:val="21"/>
              </w:rPr>
            </w:pPr>
            <w:r>
              <w:rPr>
                <w:rFonts w:hint="eastAsia" w:ascii="宋体" w:hAnsi="宋体" w:cs="宋体"/>
                <w:color w:val="auto"/>
                <w:szCs w:val="21"/>
              </w:rPr>
              <w:t>法定代表人</w:t>
            </w:r>
          </w:p>
        </w:tc>
        <w:tc>
          <w:tcPr>
            <w:tcW w:w="1080" w:type="dxa"/>
            <w:noWrap w:val="0"/>
            <w:vAlign w:val="center"/>
          </w:tcPr>
          <w:p w14:paraId="51AC3EBF">
            <w:pPr>
              <w:spacing w:line="400" w:lineRule="exact"/>
              <w:jc w:val="center"/>
              <w:rPr>
                <w:rFonts w:ascii="宋体" w:hAnsi="宋体" w:cs="宋体"/>
                <w:color w:val="auto"/>
                <w:szCs w:val="21"/>
              </w:rPr>
            </w:pPr>
            <w:r>
              <w:rPr>
                <w:rFonts w:hint="eastAsia" w:ascii="宋体" w:hAnsi="宋体" w:cs="宋体"/>
                <w:color w:val="auto"/>
                <w:szCs w:val="21"/>
              </w:rPr>
              <w:t>姓名</w:t>
            </w:r>
          </w:p>
        </w:tc>
        <w:tc>
          <w:tcPr>
            <w:tcW w:w="1808" w:type="dxa"/>
            <w:noWrap w:val="0"/>
            <w:vAlign w:val="center"/>
          </w:tcPr>
          <w:p w14:paraId="7B2B0F46">
            <w:pPr>
              <w:spacing w:line="400" w:lineRule="exact"/>
              <w:jc w:val="center"/>
              <w:rPr>
                <w:rFonts w:ascii="宋体" w:hAnsi="宋体" w:cs="宋体"/>
                <w:color w:val="auto"/>
                <w:szCs w:val="21"/>
              </w:rPr>
            </w:pPr>
          </w:p>
        </w:tc>
        <w:tc>
          <w:tcPr>
            <w:tcW w:w="1257" w:type="dxa"/>
            <w:noWrap w:val="0"/>
            <w:vAlign w:val="center"/>
          </w:tcPr>
          <w:p w14:paraId="46442C42">
            <w:pPr>
              <w:spacing w:line="400" w:lineRule="exact"/>
              <w:jc w:val="center"/>
              <w:rPr>
                <w:rFonts w:ascii="宋体" w:hAnsi="宋体" w:cs="宋体"/>
                <w:color w:val="auto"/>
                <w:szCs w:val="21"/>
              </w:rPr>
            </w:pPr>
            <w:r>
              <w:rPr>
                <w:rFonts w:hint="eastAsia" w:ascii="宋体" w:hAnsi="宋体" w:cs="宋体"/>
                <w:color w:val="auto"/>
                <w:szCs w:val="21"/>
              </w:rPr>
              <w:t>技术职称</w:t>
            </w:r>
          </w:p>
        </w:tc>
        <w:tc>
          <w:tcPr>
            <w:tcW w:w="1268" w:type="dxa"/>
            <w:gridSpan w:val="2"/>
            <w:noWrap w:val="0"/>
            <w:vAlign w:val="center"/>
          </w:tcPr>
          <w:p w14:paraId="382E1A97">
            <w:pPr>
              <w:spacing w:line="400" w:lineRule="exact"/>
              <w:jc w:val="center"/>
              <w:rPr>
                <w:rFonts w:ascii="宋体" w:hAnsi="宋体" w:cs="宋体"/>
                <w:color w:val="auto"/>
                <w:szCs w:val="21"/>
              </w:rPr>
            </w:pPr>
          </w:p>
        </w:tc>
        <w:tc>
          <w:tcPr>
            <w:tcW w:w="725" w:type="dxa"/>
            <w:noWrap w:val="0"/>
            <w:vAlign w:val="center"/>
          </w:tcPr>
          <w:p w14:paraId="02E29CFA">
            <w:pPr>
              <w:spacing w:line="400" w:lineRule="exact"/>
              <w:jc w:val="center"/>
              <w:rPr>
                <w:rFonts w:ascii="宋体" w:hAnsi="宋体" w:cs="宋体"/>
                <w:color w:val="auto"/>
                <w:szCs w:val="21"/>
              </w:rPr>
            </w:pPr>
            <w:r>
              <w:rPr>
                <w:rFonts w:hint="eastAsia" w:ascii="宋体" w:hAnsi="宋体" w:cs="宋体"/>
                <w:color w:val="auto"/>
                <w:szCs w:val="21"/>
              </w:rPr>
              <w:t>电话</w:t>
            </w:r>
          </w:p>
        </w:tc>
        <w:tc>
          <w:tcPr>
            <w:tcW w:w="1435" w:type="dxa"/>
            <w:noWrap w:val="0"/>
            <w:vAlign w:val="center"/>
          </w:tcPr>
          <w:p w14:paraId="0A632490">
            <w:pPr>
              <w:spacing w:line="400" w:lineRule="exact"/>
              <w:jc w:val="center"/>
              <w:rPr>
                <w:rFonts w:ascii="宋体" w:hAnsi="宋体" w:cs="宋体"/>
                <w:color w:val="auto"/>
                <w:szCs w:val="21"/>
              </w:rPr>
            </w:pPr>
          </w:p>
        </w:tc>
      </w:tr>
      <w:tr w14:paraId="2E725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1986" w:type="dxa"/>
            <w:noWrap w:val="0"/>
            <w:vAlign w:val="center"/>
          </w:tcPr>
          <w:p w14:paraId="416726E4">
            <w:pPr>
              <w:spacing w:line="400" w:lineRule="exact"/>
              <w:jc w:val="center"/>
              <w:rPr>
                <w:rFonts w:ascii="宋体" w:hAnsi="宋体" w:cs="宋体"/>
                <w:color w:val="auto"/>
                <w:szCs w:val="21"/>
              </w:rPr>
            </w:pPr>
            <w:r>
              <w:rPr>
                <w:rFonts w:hint="eastAsia" w:ascii="宋体" w:hAnsi="宋体" w:cs="宋体"/>
                <w:color w:val="auto"/>
                <w:szCs w:val="21"/>
              </w:rPr>
              <w:t>基本账户开户银行</w:t>
            </w:r>
          </w:p>
        </w:tc>
        <w:tc>
          <w:tcPr>
            <w:tcW w:w="7573" w:type="dxa"/>
            <w:gridSpan w:val="7"/>
            <w:noWrap w:val="0"/>
            <w:vAlign w:val="center"/>
          </w:tcPr>
          <w:p w14:paraId="06A494AA">
            <w:pPr>
              <w:spacing w:line="400" w:lineRule="exact"/>
              <w:jc w:val="center"/>
              <w:rPr>
                <w:rFonts w:ascii="宋体" w:hAnsi="宋体" w:cs="宋体"/>
                <w:color w:val="auto"/>
                <w:szCs w:val="21"/>
              </w:rPr>
            </w:pPr>
          </w:p>
        </w:tc>
      </w:tr>
      <w:tr w14:paraId="3A4D8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1986" w:type="dxa"/>
            <w:noWrap w:val="0"/>
            <w:vAlign w:val="center"/>
          </w:tcPr>
          <w:p w14:paraId="32B5709B">
            <w:pPr>
              <w:spacing w:line="400" w:lineRule="exact"/>
              <w:jc w:val="center"/>
              <w:rPr>
                <w:rFonts w:ascii="宋体" w:hAnsi="宋体" w:cs="宋体"/>
                <w:color w:val="auto"/>
                <w:szCs w:val="21"/>
              </w:rPr>
            </w:pPr>
            <w:r>
              <w:rPr>
                <w:rFonts w:hint="eastAsia" w:ascii="宋体" w:hAnsi="宋体" w:cs="宋体"/>
                <w:color w:val="auto"/>
                <w:szCs w:val="21"/>
              </w:rPr>
              <w:t>基本账户银行账号</w:t>
            </w:r>
          </w:p>
        </w:tc>
        <w:tc>
          <w:tcPr>
            <w:tcW w:w="7573" w:type="dxa"/>
            <w:gridSpan w:val="7"/>
            <w:noWrap w:val="0"/>
            <w:vAlign w:val="top"/>
          </w:tcPr>
          <w:p w14:paraId="1B18249D">
            <w:pPr>
              <w:spacing w:line="400" w:lineRule="exact"/>
              <w:rPr>
                <w:rFonts w:ascii="宋体" w:hAnsi="宋体" w:cs="宋体"/>
                <w:color w:val="auto"/>
                <w:szCs w:val="21"/>
              </w:rPr>
            </w:pPr>
          </w:p>
        </w:tc>
      </w:tr>
      <w:tr w14:paraId="17814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1986" w:type="dxa"/>
            <w:noWrap w:val="0"/>
            <w:vAlign w:val="center"/>
          </w:tcPr>
          <w:p w14:paraId="6335D992">
            <w:pPr>
              <w:spacing w:line="400" w:lineRule="exact"/>
              <w:jc w:val="center"/>
              <w:rPr>
                <w:rFonts w:ascii="宋体" w:hAnsi="宋体" w:cs="宋体"/>
                <w:color w:val="auto"/>
                <w:szCs w:val="21"/>
              </w:rPr>
            </w:pPr>
            <w:r>
              <w:rPr>
                <w:rFonts w:hint="eastAsia" w:ascii="宋体" w:hAnsi="宋体" w:cs="宋体"/>
                <w:color w:val="auto"/>
                <w:szCs w:val="21"/>
              </w:rPr>
              <w:t>近三年营业额</w:t>
            </w:r>
          </w:p>
        </w:tc>
        <w:tc>
          <w:tcPr>
            <w:tcW w:w="7573" w:type="dxa"/>
            <w:gridSpan w:val="7"/>
            <w:noWrap w:val="0"/>
            <w:vAlign w:val="top"/>
          </w:tcPr>
          <w:p w14:paraId="50C747F1">
            <w:pPr>
              <w:spacing w:line="400" w:lineRule="exact"/>
              <w:rPr>
                <w:rFonts w:ascii="宋体" w:hAnsi="宋体" w:cs="宋体"/>
                <w:color w:val="auto"/>
                <w:szCs w:val="21"/>
              </w:rPr>
            </w:pPr>
          </w:p>
        </w:tc>
      </w:tr>
      <w:tr w14:paraId="2AEE8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7" w:hRule="atLeast"/>
        </w:trPr>
        <w:tc>
          <w:tcPr>
            <w:tcW w:w="1986" w:type="dxa"/>
            <w:noWrap w:val="0"/>
            <w:vAlign w:val="center"/>
          </w:tcPr>
          <w:p w14:paraId="3E71113A">
            <w:pPr>
              <w:spacing w:line="400" w:lineRule="exact"/>
              <w:jc w:val="center"/>
              <w:rPr>
                <w:rFonts w:ascii="宋体" w:hAnsi="宋体" w:cs="宋体"/>
                <w:color w:val="auto"/>
                <w:szCs w:val="21"/>
              </w:rPr>
            </w:pPr>
            <w:r>
              <w:rPr>
                <w:rFonts w:hint="eastAsia" w:ascii="宋体" w:hAnsi="宋体" w:cs="宋体"/>
                <w:color w:val="auto"/>
                <w:szCs w:val="21"/>
              </w:rPr>
              <w:t>投标人关联企业情况（包括但不限于与投标人法定代表人为同一人或者存在控股、管理关系的不同单位）</w:t>
            </w:r>
          </w:p>
        </w:tc>
        <w:tc>
          <w:tcPr>
            <w:tcW w:w="7573" w:type="dxa"/>
            <w:gridSpan w:val="7"/>
            <w:noWrap w:val="0"/>
            <w:vAlign w:val="top"/>
          </w:tcPr>
          <w:p w14:paraId="3F8BC95F">
            <w:pPr>
              <w:spacing w:line="400" w:lineRule="exact"/>
              <w:rPr>
                <w:rFonts w:ascii="宋体" w:hAnsi="宋体" w:cs="宋体"/>
                <w:color w:val="auto"/>
                <w:szCs w:val="21"/>
              </w:rPr>
            </w:pPr>
          </w:p>
        </w:tc>
      </w:tr>
      <w:tr w14:paraId="404AE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3" w:hRule="atLeast"/>
        </w:trPr>
        <w:tc>
          <w:tcPr>
            <w:tcW w:w="1986" w:type="dxa"/>
            <w:noWrap w:val="0"/>
            <w:vAlign w:val="center"/>
          </w:tcPr>
          <w:p w14:paraId="2FA17944">
            <w:pPr>
              <w:spacing w:line="400" w:lineRule="exact"/>
              <w:jc w:val="center"/>
              <w:rPr>
                <w:rFonts w:ascii="宋体" w:hAnsi="宋体" w:cs="宋体"/>
                <w:color w:val="auto"/>
                <w:szCs w:val="21"/>
              </w:rPr>
            </w:pPr>
            <w:r>
              <w:rPr>
                <w:rFonts w:hint="eastAsia" w:ascii="宋体" w:hAnsi="宋体" w:cs="宋体"/>
                <w:color w:val="auto"/>
                <w:szCs w:val="21"/>
              </w:rPr>
              <w:t>经营范围备注</w:t>
            </w:r>
          </w:p>
        </w:tc>
        <w:tc>
          <w:tcPr>
            <w:tcW w:w="7573" w:type="dxa"/>
            <w:gridSpan w:val="7"/>
            <w:noWrap w:val="0"/>
            <w:vAlign w:val="top"/>
          </w:tcPr>
          <w:p w14:paraId="020E3F69">
            <w:pPr>
              <w:spacing w:line="400" w:lineRule="exact"/>
              <w:ind w:firstLine="420" w:firstLineChars="200"/>
              <w:rPr>
                <w:rFonts w:ascii="宋体" w:hAnsi="宋体" w:cs="宋体"/>
                <w:color w:val="auto"/>
                <w:szCs w:val="21"/>
              </w:rPr>
            </w:pPr>
          </w:p>
        </w:tc>
      </w:tr>
    </w:tbl>
    <w:p w14:paraId="07F6BB83">
      <w:pPr>
        <w:spacing w:line="400" w:lineRule="exact"/>
        <w:rPr>
          <w:rFonts w:ascii="宋体" w:hAnsi="宋体" w:cs="宋体"/>
          <w:color w:val="auto"/>
          <w:szCs w:val="21"/>
        </w:rPr>
      </w:pPr>
    </w:p>
    <w:p w14:paraId="34106F4C">
      <w:pPr>
        <w:pStyle w:val="20"/>
        <w:spacing w:line="360" w:lineRule="auto"/>
        <w:rPr>
          <w:rFonts w:hint="eastAsia" w:ascii="宋体" w:hAnsi="宋体"/>
          <w:b/>
          <w:bCs/>
          <w:color w:val="auto"/>
          <w:szCs w:val="21"/>
        </w:rPr>
      </w:pPr>
      <w:r>
        <w:rPr>
          <w:rFonts w:hint="eastAsia" w:ascii="宋体" w:hAnsi="宋体"/>
          <w:b/>
          <w:bCs/>
          <w:color w:val="auto"/>
          <w:szCs w:val="21"/>
        </w:rPr>
        <w:t>注：1.根据供应商须知第1.4.1项的要求在本表后附“</w:t>
      </w:r>
      <w:r>
        <w:rPr>
          <w:rFonts w:hint="eastAsia" w:ascii="宋体" w:hAnsi="宋体" w:cs="宋体"/>
          <w:b/>
          <w:bCs/>
          <w:color w:val="auto"/>
          <w:kern w:val="0"/>
          <w:szCs w:val="21"/>
          <w:lang w:bidi="ar"/>
        </w:rPr>
        <w:t>投标人</w:t>
      </w:r>
      <w:r>
        <w:rPr>
          <w:rFonts w:hint="eastAsia" w:ascii="宋体" w:hAnsi="宋体"/>
          <w:b/>
          <w:bCs/>
          <w:color w:val="auto"/>
          <w:szCs w:val="21"/>
        </w:rPr>
        <w:t>信用承诺函”。</w:t>
      </w:r>
    </w:p>
    <w:p w14:paraId="38C5C337">
      <w:pPr>
        <w:pStyle w:val="20"/>
        <w:spacing w:line="360" w:lineRule="auto"/>
        <w:ind w:firstLine="422" w:firstLineChars="200"/>
        <w:rPr>
          <w:rFonts w:hint="eastAsia" w:ascii="宋体" w:hAnsi="宋体"/>
          <w:b/>
          <w:bCs/>
          <w:color w:val="auto"/>
          <w:szCs w:val="21"/>
        </w:rPr>
        <w:sectPr>
          <w:footerReference r:id="rId4" w:type="default"/>
          <w:pgSz w:w="11905" w:h="16838"/>
          <w:pgMar w:top="1417" w:right="1213" w:bottom="1417" w:left="1196" w:header="850" w:footer="850" w:gutter="0"/>
          <w:pgNumType w:fmt="decimal"/>
          <w:cols w:space="720" w:num="1"/>
          <w:docGrid w:type="lines" w:linePitch="318" w:charSpace="0"/>
        </w:sectPr>
      </w:pPr>
      <w:r>
        <w:rPr>
          <w:rFonts w:hint="eastAsia" w:ascii="宋体" w:hAnsi="宋体"/>
          <w:b/>
          <w:bCs/>
          <w:color w:val="auto"/>
          <w:szCs w:val="21"/>
        </w:rPr>
        <w:t>2.本项目的特定资格要求（如有）</w:t>
      </w:r>
      <w:r>
        <w:rPr>
          <w:rFonts w:hint="eastAsia" w:ascii="宋体" w:hAnsi="宋体"/>
          <w:b/>
          <w:bCs/>
          <w:color w:val="auto"/>
          <w:szCs w:val="21"/>
          <w:lang w:val="en-US" w:eastAsia="zh-CN"/>
        </w:rPr>
        <w:t>及其他要求</w:t>
      </w:r>
      <w:r>
        <w:rPr>
          <w:rFonts w:hint="eastAsia" w:ascii="宋体" w:hAnsi="宋体"/>
          <w:b/>
          <w:bCs/>
          <w:color w:val="auto"/>
          <w:szCs w:val="21"/>
        </w:rPr>
        <w:t>：需提供相应的证明材料。</w:t>
      </w:r>
    </w:p>
    <w:p w14:paraId="3F24975A">
      <w:pPr>
        <w:widowControl/>
        <w:spacing w:line="400" w:lineRule="exact"/>
        <w:rPr>
          <w:rFonts w:ascii="宋体" w:hAnsi="宋体" w:cs="宋体"/>
          <w:b/>
          <w:bCs/>
          <w:color w:val="auto"/>
          <w:kern w:val="0"/>
          <w:szCs w:val="21"/>
          <w:lang w:bidi="ar"/>
        </w:rPr>
      </w:pPr>
      <w:r>
        <w:rPr>
          <w:rFonts w:hint="eastAsia" w:ascii="宋体" w:hAnsi="宋体" w:cs="宋体"/>
          <w:b/>
          <w:bCs/>
          <w:color w:val="auto"/>
          <w:kern w:val="0"/>
          <w:szCs w:val="21"/>
          <w:lang w:bidi="ar"/>
        </w:rPr>
        <w:t>附件：</w:t>
      </w:r>
    </w:p>
    <w:p w14:paraId="10FE9EDA">
      <w:pPr>
        <w:widowControl/>
        <w:spacing w:line="400" w:lineRule="exact"/>
        <w:jc w:val="center"/>
        <w:rPr>
          <w:rFonts w:ascii="宋体" w:hAnsi="宋体" w:cs="宋体"/>
          <w:color w:val="auto"/>
          <w:kern w:val="0"/>
          <w:szCs w:val="21"/>
          <w:lang w:bidi="ar"/>
        </w:rPr>
      </w:pPr>
      <w:r>
        <w:rPr>
          <w:rFonts w:hint="eastAsia" w:ascii="宋体" w:hAnsi="宋体" w:cs="宋体"/>
          <w:b/>
          <w:bCs/>
          <w:color w:val="auto"/>
          <w:kern w:val="0"/>
          <w:szCs w:val="21"/>
          <w:lang w:bidi="ar"/>
        </w:rPr>
        <w:t>信阳市政府采购投标人信用承诺函</w:t>
      </w:r>
    </w:p>
    <w:p w14:paraId="1A3569C4">
      <w:pPr>
        <w:widowControl/>
        <w:spacing w:line="400" w:lineRule="exact"/>
        <w:ind w:firstLine="420" w:firstLineChars="200"/>
        <w:jc w:val="left"/>
        <w:rPr>
          <w:rFonts w:ascii="宋体" w:hAnsi="宋体" w:cs="宋体"/>
          <w:color w:val="auto"/>
          <w:kern w:val="0"/>
          <w:szCs w:val="21"/>
          <w:lang w:bidi="ar"/>
        </w:rPr>
      </w:pPr>
    </w:p>
    <w:p w14:paraId="7E85227F">
      <w:pPr>
        <w:widowControl/>
        <w:spacing w:line="360" w:lineRule="auto"/>
        <w:ind w:firstLine="420" w:firstLineChars="200"/>
        <w:jc w:val="left"/>
        <w:rPr>
          <w:rFonts w:ascii="宋体" w:hAnsi="宋体" w:cs="宋体"/>
          <w:color w:val="auto"/>
          <w:kern w:val="0"/>
          <w:szCs w:val="21"/>
          <w:lang w:bidi="ar"/>
        </w:rPr>
      </w:pPr>
      <w:r>
        <w:rPr>
          <w:rFonts w:hint="eastAsia" w:ascii="宋体" w:hAnsi="宋体" w:cs="宋体"/>
          <w:color w:val="auto"/>
          <w:kern w:val="0"/>
          <w:szCs w:val="21"/>
          <w:lang w:bidi="ar"/>
        </w:rPr>
        <w:t>致</w:t>
      </w:r>
      <w:r>
        <w:rPr>
          <w:rFonts w:hint="eastAsia" w:ascii="宋体" w:hAnsi="宋体" w:cs="宋体"/>
          <w:color w:val="auto"/>
          <w:kern w:val="0"/>
          <w:szCs w:val="21"/>
          <w:u w:val="single"/>
          <w:lang w:bidi="ar"/>
        </w:rPr>
        <w:t xml:space="preserve">（采购人或采购代理机构）：         </w:t>
      </w:r>
      <w:r>
        <w:rPr>
          <w:rFonts w:hint="eastAsia" w:ascii="宋体" w:hAnsi="宋体" w:cs="宋体"/>
          <w:color w:val="auto"/>
          <w:kern w:val="0"/>
          <w:szCs w:val="21"/>
          <w:lang w:bidi="ar"/>
        </w:rPr>
        <w:t xml:space="preserve">      </w:t>
      </w:r>
    </w:p>
    <w:p w14:paraId="24D0DC69">
      <w:pPr>
        <w:widowControl/>
        <w:spacing w:line="360" w:lineRule="auto"/>
        <w:ind w:firstLine="420" w:firstLineChars="200"/>
        <w:jc w:val="left"/>
        <w:rPr>
          <w:rFonts w:ascii="宋体" w:hAnsi="宋体" w:cs="宋体"/>
          <w:color w:val="auto"/>
          <w:kern w:val="0"/>
          <w:szCs w:val="21"/>
          <w:u w:val="single"/>
          <w:lang w:bidi="ar"/>
        </w:rPr>
      </w:pPr>
      <w:r>
        <w:rPr>
          <w:rFonts w:hint="eastAsia" w:ascii="宋体" w:hAnsi="宋体" w:cs="宋体"/>
          <w:color w:val="auto"/>
          <w:kern w:val="0"/>
          <w:szCs w:val="21"/>
          <w:lang w:bidi="ar"/>
        </w:rPr>
        <w:t>单位名称（自然人姓名）</w:t>
      </w:r>
      <w:r>
        <w:rPr>
          <w:rFonts w:hint="eastAsia" w:ascii="宋体" w:hAnsi="宋体" w:cs="宋体"/>
          <w:color w:val="auto"/>
          <w:kern w:val="0"/>
          <w:szCs w:val="21"/>
          <w:u w:val="single"/>
          <w:lang w:bidi="ar"/>
        </w:rPr>
        <w:t xml:space="preserve">：               </w:t>
      </w:r>
    </w:p>
    <w:p w14:paraId="6FF3FDDC">
      <w:pPr>
        <w:widowControl/>
        <w:spacing w:line="360" w:lineRule="auto"/>
        <w:ind w:firstLine="420" w:firstLineChars="200"/>
        <w:jc w:val="left"/>
        <w:rPr>
          <w:rFonts w:ascii="宋体" w:hAnsi="宋体" w:cs="宋体"/>
          <w:color w:val="auto"/>
          <w:kern w:val="0"/>
          <w:szCs w:val="21"/>
          <w:u w:val="single"/>
          <w:lang w:bidi="ar"/>
        </w:rPr>
      </w:pPr>
      <w:r>
        <w:rPr>
          <w:rFonts w:hint="eastAsia" w:ascii="宋体" w:hAnsi="宋体" w:cs="宋体"/>
          <w:color w:val="auto"/>
          <w:kern w:val="0"/>
          <w:szCs w:val="21"/>
          <w:lang w:bidi="ar"/>
        </w:rPr>
        <w:t>统一社会信用代码（身份证号码）</w:t>
      </w:r>
      <w:r>
        <w:rPr>
          <w:rFonts w:hint="eastAsia" w:ascii="宋体" w:hAnsi="宋体" w:cs="宋体"/>
          <w:color w:val="auto"/>
          <w:kern w:val="0"/>
          <w:szCs w:val="21"/>
          <w:u w:val="single"/>
          <w:lang w:bidi="ar"/>
        </w:rPr>
        <w:t xml:space="preserve">：                   </w:t>
      </w:r>
    </w:p>
    <w:p w14:paraId="3E1183BB">
      <w:pPr>
        <w:widowControl/>
        <w:spacing w:line="360" w:lineRule="auto"/>
        <w:ind w:firstLine="420" w:firstLineChars="200"/>
        <w:jc w:val="left"/>
        <w:rPr>
          <w:rFonts w:ascii="宋体" w:hAnsi="宋体" w:cs="宋体"/>
          <w:color w:val="auto"/>
          <w:kern w:val="0"/>
          <w:szCs w:val="21"/>
          <w:u w:val="single"/>
          <w:lang w:bidi="ar"/>
        </w:rPr>
      </w:pPr>
      <w:r>
        <w:rPr>
          <w:rFonts w:hint="eastAsia" w:ascii="宋体" w:hAnsi="宋体" w:cs="宋体"/>
          <w:color w:val="auto"/>
          <w:kern w:val="0"/>
          <w:szCs w:val="21"/>
          <w:lang w:bidi="ar"/>
        </w:rPr>
        <w:t>法定代表人（负责人）</w:t>
      </w:r>
      <w:r>
        <w:rPr>
          <w:rFonts w:hint="eastAsia" w:ascii="宋体" w:hAnsi="宋体" w:cs="宋体"/>
          <w:color w:val="auto"/>
          <w:kern w:val="0"/>
          <w:szCs w:val="21"/>
          <w:u w:val="single"/>
          <w:lang w:bidi="ar"/>
        </w:rPr>
        <w:t xml:space="preserve">：                   </w:t>
      </w:r>
    </w:p>
    <w:p w14:paraId="7ECAD511">
      <w:pPr>
        <w:widowControl/>
        <w:spacing w:line="360" w:lineRule="auto"/>
        <w:ind w:firstLine="420" w:firstLineChars="200"/>
        <w:jc w:val="left"/>
        <w:rPr>
          <w:rFonts w:ascii="宋体" w:hAnsi="宋体" w:cs="宋体"/>
          <w:color w:val="auto"/>
          <w:kern w:val="0"/>
          <w:szCs w:val="21"/>
          <w:u w:val="single"/>
          <w:lang w:bidi="ar"/>
        </w:rPr>
      </w:pPr>
      <w:r>
        <w:rPr>
          <w:rFonts w:hint="eastAsia" w:ascii="宋体" w:hAnsi="宋体" w:cs="宋体"/>
          <w:color w:val="auto"/>
          <w:kern w:val="0"/>
          <w:szCs w:val="21"/>
          <w:lang w:bidi="ar"/>
        </w:rPr>
        <w:t>联系地址和电话</w:t>
      </w:r>
      <w:r>
        <w:rPr>
          <w:rFonts w:hint="eastAsia" w:ascii="宋体" w:hAnsi="宋体" w:cs="宋体"/>
          <w:color w:val="auto"/>
          <w:kern w:val="0"/>
          <w:szCs w:val="21"/>
          <w:u w:val="single"/>
          <w:lang w:bidi="ar"/>
        </w:rPr>
        <w:t xml:space="preserve">：              </w:t>
      </w:r>
    </w:p>
    <w:p w14:paraId="63B56C64">
      <w:pPr>
        <w:widowControl/>
        <w:spacing w:line="360" w:lineRule="auto"/>
        <w:ind w:firstLine="420" w:firstLineChars="200"/>
        <w:jc w:val="left"/>
        <w:rPr>
          <w:rFonts w:ascii="宋体" w:hAnsi="宋体" w:cs="宋体"/>
          <w:color w:val="auto"/>
          <w:kern w:val="0"/>
          <w:szCs w:val="21"/>
          <w:lang w:bidi="ar"/>
        </w:rPr>
      </w:pPr>
      <w:r>
        <w:rPr>
          <w:rFonts w:hint="eastAsia" w:ascii="宋体" w:hAnsi="宋体" w:cs="宋体"/>
          <w:color w:val="auto"/>
          <w:kern w:val="0"/>
          <w:szCs w:val="21"/>
          <w:lang w:bidi="ar"/>
        </w:rPr>
        <w:t>为维护公平、公正、公开的政府采购市场秩序，树立诚实守信的政府采购投标人形象，我单位（本人）自愿作出以下承诺：</w:t>
      </w:r>
    </w:p>
    <w:p w14:paraId="1F073E83">
      <w:pPr>
        <w:widowControl/>
        <w:numPr>
          <w:ilvl w:val="0"/>
          <w:numId w:val="6"/>
        </w:numPr>
        <w:spacing w:line="360" w:lineRule="auto"/>
        <w:ind w:firstLine="420" w:firstLineChars="200"/>
        <w:jc w:val="left"/>
        <w:rPr>
          <w:rFonts w:ascii="宋体" w:hAnsi="宋体" w:cs="宋体"/>
          <w:color w:val="auto"/>
          <w:kern w:val="0"/>
          <w:szCs w:val="21"/>
          <w:lang w:bidi="ar"/>
        </w:rPr>
      </w:pPr>
      <w:r>
        <w:rPr>
          <w:rFonts w:hint="eastAsia" w:ascii="宋体" w:hAnsi="宋体" w:cs="宋体"/>
          <w:color w:val="auto"/>
          <w:kern w:val="0"/>
          <w:szCs w:val="21"/>
          <w:lang w:bidi="ar"/>
        </w:rPr>
        <w:t>我单位（本人）自愿参加本次政府采购活动，严格遵守《中华人民共和国政府采购法》及相关法律法规，依法诚信经营，无条件遵守本次政府采购活动的各项规定。我单位（本人）郑重承诺，我单位（本人）符合《中华人民共和国政府采购法》第二十二条规定和采购文件、本承诺书的条件：</w:t>
      </w:r>
    </w:p>
    <w:p w14:paraId="059EC0F5">
      <w:pPr>
        <w:widowControl/>
        <w:numPr>
          <w:ilvl w:val="0"/>
          <w:numId w:val="7"/>
        </w:numPr>
        <w:spacing w:line="360" w:lineRule="auto"/>
        <w:ind w:left="0"/>
        <w:jc w:val="left"/>
        <w:rPr>
          <w:rFonts w:ascii="宋体" w:hAnsi="宋体" w:cs="宋体"/>
          <w:color w:val="auto"/>
          <w:kern w:val="0"/>
          <w:szCs w:val="21"/>
          <w:lang w:bidi="ar"/>
        </w:rPr>
      </w:pPr>
      <w:r>
        <w:rPr>
          <w:rFonts w:hint="eastAsia" w:ascii="宋体" w:hAnsi="宋体" w:cs="宋体"/>
          <w:color w:val="auto"/>
          <w:kern w:val="0"/>
          <w:szCs w:val="21"/>
          <w:lang w:bidi="ar"/>
        </w:rPr>
        <w:t>具有独立承担民事责任的能力；</w:t>
      </w:r>
    </w:p>
    <w:p w14:paraId="3743FBE9">
      <w:pPr>
        <w:widowControl/>
        <w:numPr>
          <w:ilvl w:val="0"/>
          <w:numId w:val="7"/>
        </w:numPr>
        <w:spacing w:line="360" w:lineRule="auto"/>
        <w:ind w:left="0"/>
        <w:jc w:val="left"/>
        <w:rPr>
          <w:rFonts w:ascii="宋体" w:hAnsi="宋体" w:cs="宋体"/>
          <w:color w:val="auto"/>
          <w:kern w:val="0"/>
          <w:szCs w:val="21"/>
          <w:lang w:bidi="ar"/>
        </w:rPr>
      </w:pPr>
      <w:r>
        <w:rPr>
          <w:rFonts w:hint="eastAsia" w:ascii="宋体" w:hAnsi="宋体" w:cs="宋体"/>
          <w:color w:val="auto"/>
          <w:kern w:val="0"/>
          <w:szCs w:val="21"/>
          <w:lang w:bidi="ar"/>
        </w:rPr>
        <w:t xml:space="preserve">具有良好的商业信誉和健全的财务会计制度； </w:t>
      </w:r>
    </w:p>
    <w:p w14:paraId="5AF32459">
      <w:pPr>
        <w:widowControl/>
        <w:numPr>
          <w:ilvl w:val="0"/>
          <w:numId w:val="7"/>
        </w:numPr>
        <w:spacing w:line="360" w:lineRule="auto"/>
        <w:ind w:left="0"/>
        <w:jc w:val="left"/>
        <w:rPr>
          <w:rFonts w:ascii="宋体" w:hAnsi="宋体" w:cs="宋体"/>
          <w:color w:val="auto"/>
          <w:kern w:val="0"/>
          <w:szCs w:val="21"/>
          <w:lang w:bidi="ar"/>
        </w:rPr>
      </w:pPr>
      <w:r>
        <w:rPr>
          <w:rFonts w:hint="eastAsia" w:ascii="宋体" w:hAnsi="宋体" w:cs="宋体"/>
          <w:color w:val="auto"/>
          <w:kern w:val="0"/>
          <w:szCs w:val="21"/>
          <w:lang w:bidi="ar"/>
        </w:rPr>
        <w:t>具有履行合同所必需的设备和专业技术能力；</w:t>
      </w:r>
    </w:p>
    <w:p w14:paraId="4F8E096C">
      <w:pPr>
        <w:widowControl/>
        <w:numPr>
          <w:ilvl w:val="0"/>
          <w:numId w:val="7"/>
        </w:numPr>
        <w:spacing w:line="360" w:lineRule="auto"/>
        <w:ind w:left="0"/>
        <w:jc w:val="left"/>
        <w:rPr>
          <w:rFonts w:ascii="宋体" w:hAnsi="宋体" w:cs="宋体"/>
          <w:color w:val="auto"/>
          <w:kern w:val="0"/>
          <w:szCs w:val="21"/>
          <w:lang w:bidi="ar"/>
        </w:rPr>
      </w:pPr>
      <w:r>
        <w:rPr>
          <w:rFonts w:hint="eastAsia" w:ascii="宋体" w:hAnsi="宋体" w:cs="宋体"/>
          <w:color w:val="auto"/>
          <w:kern w:val="0"/>
          <w:szCs w:val="21"/>
          <w:lang w:bidi="ar"/>
        </w:rPr>
        <w:t xml:space="preserve">有依法缴纳税收和社会保障资金的良好记录； </w:t>
      </w:r>
    </w:p>
    <w:p w14:paraId="3043C77F">
      <w:pPr>
        <w:widowControl/>
        <w:numPr>
          <w:ilvl w:val="0"/>
          <w:numId w:val="7"/>
        </w:numPr>
        <w:spacing w:line="360" w:lineRule="auto"/>
        <w:ind w:left="0"/>
        <w:jc w:val="left"/>
        <w:rPr>
          <w:rFonts w:ascii="宋体" w:hAnsi="宋体" w:cs="宋体"/>
          <w:color w:val="auto"/>
          <w:kern w:val="0"/>
          <w:szCs w:val="21"/>
          <w:lang w:bidi="ar"/>
        </w:rPr>
      </w:pPr>
      <w:r>
        <w:rPr>
          <w:rFonts w:hint="eastAsia" w:ascii="宋体" w:hAnsi="宋体" w:cs="宋体"/>
          <w:color w:val="auto"/>
          <w:kern w:val="0"/>
          <w:szCs w:val="21"/>
          <w:lang w:bidi="ar"/>
        </w:rPr>
        <w:t xml:space="preserve">参加政府采购活动前三年内，在经营活动中没有重大违法记录； </w:t>
      </w:r>
    </w:p>
    <w:p w14:paraId="765552A8">
      <w:pPr>
        <w:widowControl/>
        <w:numPr>
          <w:ilvl w:val="0"/>
          <w:numId w:val="7"/>
        </w:numPr>
        <w:spacing w:line="360" w:lineRule="auto"/>
        <w:ind w:left="0"/>
        <w:jc w:val="left"/>
        <w:rPr>
          <w:rFonts w:ascii="宋体" w:hAnsi="宋体" w:cs="宋体"/>
          <w:color w:val="auto"/>
          <w:kern w:val="0"/>
          <w:szCs w:val="21"/>
          <w:lang w:bidi="ar"/>
        </w:rPr>
      </w:pPr>
      <w:r>
        <w:rPr>
          <w:rFonts w:hint="eastAsia" w:ascii="宋体" w:hAnsi="宋体" w:cs="宋体"/>
          <w:color w:val="auto"/>
          <w:kern w:val="0"/>
          <w:szCs w:val="21"/>
          <w:lang w:bidi="ar"/>
        </w:rPr>
        <w:t>未被列入经营异常名录或者严重违法失信名单、失信被执行人、重大税收违法案件当事人名单、政府采购严重违法失信行为记录名单；</w:t>
      </w:r>
    </w:p>
    <w:p w14:paraId="097C5863">
      <w:pPr>
        <w:widowControl/>
        <w:numPr>
          <w:ilvl w:val="0"/>
          <w:numId w:val="7"/>
        </w:numPr>
        <w:spacing w:line="360" w:lineRule="auto"/>
        <w:ind w:left="0"/>
        <w:jc w:val="left"/>
        <w:rPr>
          <w:rFonts w:ascii="宋体" w:hAnsi="宋体" w:cs="宋体"/>
          <w:color w:val="auto"/>
          <w:kern w:val="0"/>
          <w:szCs w:val="21"/>
          <w:lang w:bidi="ar"/>
        </w:rPr>
      </w:pPr>
      <w:r>
        <w:rPr>
          <w:rFonts w:hint="eastAsia" w:ascii="宋体" w:hAnsi="宋体" w:cs="宋体"/>
          <w:color w:val="auto"/>
          <w:kern w:val="0"/>
          <w:szCs w:val="21"/>
          <w:lang w:bidi="ar"/>
        </w:rPr>
        <w:t xml:space="preserve">未被相关监管部门作出行政处罚且尚在处罚有效期内； </w:t>
      </w:r>
    </w:p>
    <w:p w14:paraId="64839F2F">
      <w:pPr>
        <w:widowControl/>
        <w:numPr>
          <w:ilvl w:val="0"/>
          <w:numId w:val="7"/>
        </w:numPr>
        <w:spacing w:line="360" w:lineRule="auto"/>
        <w:ind w:left="0"/>
        <w:jc w:val="left"/>
        <w:rPr>
          <w:rFonts w:ascii="宋体" w:hAnsi="宋体" w:cs="宋体"/>
          <w:color w:val="auto"/>
          <w:kern w:val="0"/>
          <w:szCs w:val="21"/>
          <w:lang w:bidi="ar"/>
        </w:rPr>
      </w:pPr>
      <w:r>
        <w:rPr>
          <w:rFonts w:hint="eastAsia" w:ascii="宋体" w:hAnsi="宋体" w:cs="宋体"/>
          <w:color w:val="auto"/>
          <w:kern w:val="0"/>
          <w:szCs w:val="21"/>
          <w:lang w:bidi="ar"/>
        </w:rPr>
        <w:t xml:space="preserve">未曾做出虚假采购承诺； </w:t>
      </w:r>
    </w:p>
    <w:p w14:paraId="33DB8A8A">
      <w:pPr>
        <w:widowControl/>
        <w:spacing w:line="360" w:lineRule="auto"/>
        <w:jc w:val="left"/>
        <w:rPr>
          <w:rFonts w:ascii="宋体" w:hAnsi="宋体" w:cs="宋体"/>
          <w:color w:val="auto"/>
          <w:kern w:val="0"/>
          <w:szCs w:val="21"/>
          <w:lang w:bidi="ar"/>
        </w:rPr>
      </w:pPr>
      <w:r>
        <w:rPr>
          <w:rFonts w:hint="eastAsia" w:ascii="宋体" w:hAnsi="宋体" w:cs="宋体"/>
          <w:color w:val="auto"/>
          <w:kern w:val="0"/>
          <w:szCs w:val="21"/>
          <w:lang w:bidi="ar"/>
        </w:rPr>
        <w:t>（九）符合法律、行政法规规定的其他条件。</w:t>
      </w:r>
    </w:p>
    <w:p w14:paraId="013EE717">
      <w:pPr>
        <w:widowControl/>
        <w:numPr>
          <w:ilvl w:val="0"/>
          <w:numId w:val="6"/>
        </w:numPr>
        <w:spacing w:line="360" w:lineRule="auto"/>
        <w:ind w:firstLine="420" w:firstLineChars="200"/>
        <w:jc w:val="left"/>
        <w:rPr>
          <w:rFonts w:ascii="宋体" w:hAnsi="宋体" w:cs="宋体"/>
          <w:color w:val="auto"/>
          <w:kern w:val="0"/>
          <w:szCs w:val="21"/>
          <w:lang w:bidi="ar"/>
        </w:rPr>
      </w:pPr>
      <w:r>
        <w:rPr>
          <w:rFonts w:hint="eastAsia" w:ascii="宋体" w:hAnsi="宋体" w:cs="宋体"/>
          <w:color w:val="auto"/>
          <w:kern w:val="0"/>
          <w:szCs w:val="21"/>
          <w:lang w:bidi="ar"/>
        </w:rPr>
        <w:t xml:space="preserve">我单位（本人）保证上述承诺事项的真实性。如有弄虚作假或其他违法违规行为，自愿按照规定将违背承诺行为作为失信行为记录到社会信用信息平台，并视同为“提供虚假材料谋取中标”按照《政府采购法》第七十七、七十九条规定，处以采购金额千分之五以上千分之十以下的罚款，列入不良行为记录名单，在一至三年内禁止参加政府采购活动，有违法所得的，并处没收违法所得，情节严重的，由市场监管部门吊销营业执照；构成犯罪的，依法追究刑事责任；给他人造成损失的，并应依照有关民事法律规定承担民事责任。 </w:t>
      </w:r>
    </w:p>
    <w:p w14:paraId="04AE4618">
      <w:pPr>
        <w:widowControl/>
        <w:spacing w:line="360" w:lineRule="auto"/>
        <w:ind w:firstLine="420" w:firstLineChars="200"/>
        <w:jc w:val="left"/>
        <w:rPr>
          <w:rFonts w:ascii="宋体" w:hAnsi="宋体" w:cs="宋体"/>
          <w:color w:val="auto"/>
          <w:kern w:val="0"/>
          <w:szCs w:val="21"/>
          <w:lang w:bidi="ar"/>
        </w:rPr>
      </w:pPr>
    </w:p>
    <w:p w14:paraId="1FEF3904">
      <w:pPr>
        <w:widowControl/>
        <w:spacing w:line="360" w:lineRule="auto"/>
        <w:ind w:firstLine="420" w:firstLineChars="200"/>
        <w:jc w:val="left"/>
        <w:rPr>
          <w:rFonts w:ascii="宋体" w:hAnsi="宋体" w:cs="宋体"/>
          <w:color w:val="auto"/>
          <w:kern w:val="0"/>
          <w:szCs w:val="21"/>
          <w:lang w:bidi="ar"/>
        </w:rPr>
      </w:pPr>
      <w:r>
        <w:rPr>
          <w:rFonts w:hint="eastAsia" w:ascii="宋体" w:hAnsi="宋体" w:cs="宋体"/>
          <w:color w:val="auto"/>
          <w:kern w:val="0"/>
          <w:szCs w:val="21"/>
          <w:lang w:bidi="ar"/>
        </w:rPr>
        <w:t>投标人（</w:t>
      </w:r>
      <w:r>
        <w:rPr>
          <w:rFonts w:hint="eastAsia" w:ascii="宋体" w:hAnsi="宋体" w:cs="宋体"/>
          <w:color w:val="auto"/>
          <w:szCs w:val="21"/>
        </w:rPr>
        <w:t>单位电子签章</w:t>
      </w:r>
      <w:r>
        <w:rPr>
          <w:rFonts w:hint="eastAsia" w:ascii="宋体" w:hAnsi="宋体" w:cs="宋体"/>
          <w:color w:val="auto"/>
          <w:kern w:val="0"/>
          <w:szCs w:val="21"/>
          <w:lang w:bidi="ar"/>
        </w:rPr>
        <w:t>）：</w:t>
      </w:r>
    </w:p>
    <w:p w14:paraId="0CB3523D">
      <w:pPr>
        <w:widowControl/>
        <w:spacing w:line="360" w:lineRule="auto"/>
        <w:ind w:firstLine="210" w:firstLineChars="100"/>
        <w:jc w:val="left"/>
        <w:rPr>
          <w:rFonts w:ascii="宋体" w:hAnsi="宋体" w:cs="宋体"/>
          <w:color w:val="auto"/>
          <w:kern w:val="0"/>
          <w:szCs w:val="21"/>
          <w:lang w:bidi="ar"/>
        </w:rPr>
      </w:pPr>
      <w:r>
        <w:rPr>
          <w:rFonts w:hint="eastAsia" w:ascii="宋体" w:hAnsi="宋体" w:cs="宋体"/>
          <w:color w:val="auto"/>
          <w:kern w:val="0"/>
          <w:szCs w:val="21"/>
          <w:lang w:bidi="ar"/>
        </w:rPr>
        <w:t xml:space="preserve"> 法定代表人、负责人、本人或授权代表（</w:t>
      </w:r>
      <w:r>
        <w:rPr>
          <w:rFonts w:hint="eastAsia" w:ascii="宋体" w:hAnsi="宋体" w:cs="宋体"/>
          <w:color w:val="auto"/>
          <w:szCs w:val="21"/>
        </w:rPr>
        <w:t>电子签名或盖章</w:t>
      </w:r>
      <w:r>
        <w:rPr>
          <w:rFonts w:hint="eastAsia" w:ascii="宋体" w:hAnsi="宋体" w:cs="宋体"/>
          <w:color w:val="auto"/>
          <w:kern w:val="0"/>
          <w:szCs w:val="21"/>
          <w:lang w:bidi="ar"/>
        </w:rPr>
        <w:t>）：</w:t>
      </w:r>
    </w:p>
    <w:p w14:paraId="7BDEF70D">
      <w:pPr>
        <w:widowControl/>
        <w:spacing w:line="360" w:lineRule="auto"/>
        <w:ind w:firstLine="210" w:firstLineChars="100"/>
        <w:jc w:val="left"/>
        <w:rPr>
          <w:rFonts w:ascii="宋体" w:hAnsi="宋体" w:cs="宋体"/>
          <w:color w:val="auto"/>
          <w:kern w:val="0"/>
          <w:szCs w:val="21"/>
          <w:lang w:bidi="ar"/>
        </w:rPr>
      </w:pPr>
      <w:r>
        <w:rPr>
          <w:rFonts w:hint="eastAsia" w:ascii="宋体" w:hAnsi="宋体" w:cs="宋体"/>
          <w:color w:val="auto"/>
          <w:kern w:val="0"/>
          <w:szCs w:val="21"/>
          <w:lang w:bidi="ar"/>
        </w:rPr>
        <w:t xml:space="preserve"> 日期：  年  月  日</w:t>
      </w:r>
    </w:p>
    <w:p w14:paraId="4FB2F21E">
      <w:pPr>
        <w:widowControl/>
        <w:spacing w:line="360" w:lineRule="auto"/>
        <w:ind w:firstLine="210" w:firstLineChars="100"/>
        <w:jc w:val="left"/>
        <w:rPr>
          <w:rFonts w:ascii="宋体" w:hAnsi="宋体" w:cs="宋体"/>
          <w:color w:val="auto"/>
          <w:kern w:val="0"/>
          <w:szCs w:val="21"/>
          <w:lang w:bidi="ar"/>
        </w:rPr>
      </w:pPr>
      <w:r>
        <w:rPr>
          <w:rFonts w:hint="eastAsia" w:ascii="宋体" w:hAnsi="宋体" w:cs="宋体"/>
          <w:color w:val="auto"/>
          <w:kern w:val="0"/>
          <w:szCs w:val="21"/>
          <w:lang w:bidi="ar"/>
        </w:rPr>
        <w:t xml:space="preserve"> 注：1、投标人须在投标文件中按此模板提供承诺函，未提供视为未实质性响应招标文件要求，按无效投标处理。</w:t>
      </w:r>
    </w:p>
    <w:p w14:paraId="449ABB87">
      <w:pPr>
        <w:widowControl/>
        <w:numPr>
          <w:ilvl w:val="0"/>
          <w:numId w:val="8"/>
        </w:numPr>
        <w:spacing w:line="360" w:lineRule="auto"/>
        <w:ind w:firstLine="735" w:firstLineChars="350"/>
        <w:jc w:val="left"/>
        <w:rPr>
          <w:rFonts w:ascii="宋体" w:hAnsi="宋体" w:cs="宋体"/>
          <w:color w:val="auto"/>
          <w:kern w:val="0"/>
          <w:szCs w:val="21"/>
          <w:lang w:bidi="ar"/>
        </w:rPr>
      </w:pPr>
      <w:r>
        <w:rPr>
          <w:rFonts w:hint="eastAsia" w:ascii="宋体" w:hAnsi="宋体" w:cs="宋体"/>
          <w:color w:val="auto"/>
          <w:kern w:val="0"/>
          <w:szCs w:val="21"/>
          <w:lang w:bidi="ar"/>
        </w:rPr>
        <w:t>投标人的法定代表人或者授权代表的签字或盖章应真实、有效，如由授权代表签字或盖章的，应提供“法定代表人授权书”。</w:t>
      </w:r>
    </w:p>
    <w:p w14:paraId="1756EA77">
      <w:pPr>
        <w:pStyle w:val="288"/>
        <w:rPr>
          <w:color w:val="auto"/>
        </w:rPr>
      </w:pPr>
    </w:p>
    <w:p w14:paraId="6D8B03AB">
      <w:pPr>
        <w:pStyle w:val="288"/>
        <w:rPr>
          <w:color w:val="auto"/>
        </w:rPr>
      </w:pPr>
    </w:p>
    <w:p w14:paraId="1CD603E5">
      <w:pPr>
        <w:pStyle w:val="288"/>
        <w:rPr>
          <w:color w:val="auto"/>
        </w:rPr>
      </w:pPr>
    </w:p>
    <w:p w14:paraId="1A1D253C">
      <w:pPr>
        <w:pStyle w:val="288"/>
        <w:rPr>
          <w:color w:val="auto"/>
        </w:rPr>
      </w:pPr>
    </w:p>
    <w:p w14:paraId="43F8FFF7">
      <w:pPr>
        <w:pStyle w:val="288"/>
        <w:rPr>
          <w:color w:val="auto"/>
        </w:rPr>
      </w:pPr>
    </w:p>
    <w:p w14:paraId="39FCE75B">
      <w:pPr>
        <w:pStyle w:val="288"/>
        <w:rPr>
          <w:color w:val="auto"/>
        </w:rPr>
      </w:pPr>
    </w:p>
    <w:p w14:paraId="7CF46877">
      <w:pPr>
        <w:pStyle w:val="288"/>
        <w:rPr>
          <w:color w:val="auto"/>
        </w:rPr>
      </w:pPr>
    </w:p>
    <w:p w14:paraId="45D70747">
      <w:pPr>
        <w:pStyle w:val="288"/>
        <w:rPr>
          <w:color w:val="auto"/>
        </w:rPr>
      </w:pPr>
    </w:p>
    <w:p w14:paraId="04F494B8">
      <w:pPr>
        <w:pStyle w:val="288"/>
        <w:rPr>
          <w:color w:val="auto"/>
        </w:rPr>
      </w:pPr>
    </w:p>
    <w:p w14:paraId="01812BF3">
      <w:pPr>
        <w:pStyle w:val="288"/>
        <w:rPr>
          <w:color w:val="auto"/>
        </w:rPr>
      </w:pPr>
    </w:p>
    <w:p w14:paraId="768F49D9">
      <w:pPr>
        <w:pStyle w:val="288"/>
        <w:rPr>
          <w:color w:val="auto"/>
        </w:rPr>
      </w:pPr>
    </w:p>
    <w:p w14:paraId="081A1C49">
      <w:pPr>
        <w:pStyle w:val="288"/>
        <w:rPr>
          <w:color w:val="auto"/>
        </w:rPr>
      </w:pPr>
    </w:p>
    <w:p w14:paraId="17FCFF7E">
      <w:pPr>
        <w:pStyle w:val="288"/>
        <w:rPr>
          <w:color w:val="auto"/>
        </w:rPr>
      </w:pPr>
    </w:p>
    <w:p w14:paraId="74B3CEAA">
      <w:pPr>
        <w:spacing w:line="400" w:lineRule="exact"/>
        <w:jc w:val="center"/>
        <w:rPr>
          <w:rFonts w:hint="eastAsia" w:ascii="宋体" w:hAnsi="宋体" w:cs="宋体"/>
          <w:b/>
          <w:color w:val="auto"/>
          <w:sz w:val="28"/>
          <w:szCs w:val="28"/>
        </w:rPr>
      </w:pPr>
      <w:r>
        <w:rPr>
          <w:rFonts w:hint="eastAsia" w:ascii="宋体" w:hAnsi="宋体"/>
          <w:b/>
          <w:bCs/>
          <w:color w:val="auto"/>
          <w:szCs w:val="21"/>
        </w:rPr>
        <w:br w:type="page"/>
      </w:r>
      <w:bookmarkStart w:id="345" w:name="_Toc17628"/>
      <w:r>
        <w:rPr>
          <w:rFonts w:hint="eastAsia" w:ascii="宋体" w:hAnsi="宋体" w:cs="宋体"/>
          <w:b/>
          <w:color w:val="auto"/>
          <w:sz w:val="28"/>
          <w:szCs w:val="28"/>
          <w:lang w:val="en-US" w:eastAsia="zh-CN"/>
        </w:rPr>
        <w:t>八</w:t>
      </w:r>
      <w:r>
        <w:rPr>
          <w:rFonts w:hint="eastAsia" w:ascii="宋体" w:hAnsi="宋体" w:cs="宋体"/>
          <w:b/>
          <w:color w:val="auto"/>
          <w:sz w:val="28"/>
          <w:szCs w:val="28"/>
        </w:rPr>
        <w:t>、其他材料</w:t>
      </w:r>
      <w:bookmarkEnd w:id="345"/>
    </w:p>
    <w:p w14:paraId="085422FD">
      <w:pPr>
        <w:spacing w:line="360" w:lineRule="auto"/>
        <w:jc w:val="center"/>
        <w:outlineLvl w:val="2"/>
        <w:rPr>
          <w:rFonts w:ascii="宋体" w:hAnsi="宋体" w:cs="宋体"/>
          <w:color w:val="auto"/>
          <w:szCs w:val="21"/>
        </w:rPr>
      </w:pPr>
      <w:bookmarkStart w:id="346" w:name="_Toc525210051"/>
      <w:bookmarkStart w:id="347" w:name="_Toc523494085"/>
      <w:r>
        <w:rPr>
          <w:rFonts w:hint="eastAsia" w:ascii="宋体" w:hAnsi="宋体" w:cs="宋体"/>
          <w:b/>
          <w:color w:val="auto"/>
          <w:szCs w:val="21"/>
        </w:rPr>
        <w:t>1、中小企业声明函</w:t>
      </w:r>
      <w:bookmarkEnd w:id="346"/>
      <w:bookmarkEnd w:id="347"/>
      <w:r>
        <w:rPr>
          <w:rFonts w:hint="eastAsia" w:ascii="宋体" w:hAnsi="宋体" w:cs="宋体"/>
          <w:b/>
          <w:color w:val="auto"/>
          <w:szCs w:val="21"/>
        </w:rPr>
        <w:t>（货物）</w:t>
      </w:r>
    </w:p>
    <w:p w14:paraId="0024437A">
      <w:pPr>
        <w:pStyle w:val="45"/>
        <w:ind w:firstLine="0" w:firstLineChars="0"/>
        <w:rPr>
          <w:rFonts w:ascii="宋体" w:hAnsi="宋体" w:cs="宋体"/>
          <w:color w:val="auto"/>
          <w:szCs w:val="21"/>
        </w:rPr>
      </w:pPr>
    </w:p>
    <w:p w14:paraId="3A09DDDC">
      <w:pPr>
        <w:pStyle w:val="299"/>
        <w:spacing w:line="360" w:lineRule="auto"/>
        <w:ind w:firstLine="420" w:firstLineChars="200"/>
        <w:rPr>
          <w:rFonts w:ascii="宋体" w:hAnsi="宋体" w:cs="宋体"/>
          <w:color w:val="auto"/>
          <w:szCs w:val="21"/>
        </w:rPr>
      </w:pPr>
      <w:r>
        <w:rPr>
          <w:rFonts w:hint="eastAsia" w:ascii="宋体" w:hAnsi="宋体" w:cs="宋体"/>
          <w:color w:val="auto"/>
          <w:szCs w:val="21"/>
        </w:rPr>
        <w:t>本公司（联合体）郑重声明，根据《政府采购促进中小企业发展管理办法》（财库[2020]46号）的规定，本公司（联合体）参加（单位名称）的（项目名称）采购活动，</w:t>
      </w:r>
      <w:r>
        <w:rPr>
          <w:rFonts w:hint="eastAsia" w:ascii="宋体" w:hAnsi="宋体" w:cs="宋体"/>
          <w:b/>
          <w:bCs/>
          <w:color w:val="auto"/>
          <w:szCs w:val="21"/>
        </w:rPr>
        <w:t>提供的货物全部由符合政策要求的中小企业制造。</w:t>
      </w:r>
      <w:r>
        <w:rPr>
          <w:rFonts w:hint="eastAsia" w:ascii="宋体" w:hAnsi="宋体" w:cs="宋体"/>
          <w:color w:val="auto"/>
          <w:szCs w:val="21"/>
        </w:rPr>
        <w:t>相关企业（含联合体中的中小企业、签订分包意向协议的中小企业）的具体情况如下：</w:t>
      </w:r>
    </w:p>
    <w:p w14:paraId="584AC4E4">
      <w:pPr>
        <w:pStyle w:val="299"/>
        <w:numPr>
          <w:ilvl w:val="0"/>
          <w:numId w:val="9"/>
        </w:numPr>
        <w:spacing w:line="360" w:lineRule="auto"/>
        <w:ind w:firstLine="420" w:firstLineChars="200"/>
        <w:rPr>
          <w:rFonts w:ascii="宋体" w:hAnsi="宋体" w:cs="宋体"/>
          <w:color w:val="auto"/>
          <w:szCs w:val="21"/>
        </w:rPr>
      </w:pPr>
      <w:r>
        <w:rPr>
          <w:rFonts w:hint="eastAsia" w:ascii="宋体" w:hAnsi="宋体" w:cs="宋体"/>
          <w:color w:val="auto"/>
          <w:szCs w:val="21"/>
          <w:u w:val="single"/>
        </w:rPr>
        <w:t>（标的名称）</w:t>
      </w:r>
      <w:r>
        <w:rPr>
          <w:rFonts w:hint="eastAsia" w:ascii="宋体" w:hAnsi="宋体" w:cs="宋体"/>
          <w:color w:val="auto"/>
          <w:szCs w:val="21"/>
        </w:rPr>
        <w:t>，属于</w:t>
      </w:r>
      <w:r>
        <w:rPr>
          <w:rFonts w:hint="eastAsia" w:ascii="宋体" w:hAnsi="宋体" w:cs="宋体"/>
          <w:color w:val="auto"/>
          <w:szCs w:val="21"/>
          <w:u w:val="single"/>
        </w:rPr>
        <w:t>（采购文件中明确的所属行业）</w:t>
      </w:r>
      <w:r>
        <w:rPr>
          <w:rFonts w:hint="eastAsia" w:ascii="宋体" w:hAnsi="宋体" w:cs="宋体"/>
          <w:color w:val="auto"/>
          <w:szCs w:val="21"/>
        </w:rPr>
        <w:t>行业；制造商为（企业名称），从业人员</w:t>
      </w:r>
      <w:r>
        <w:rPr>
          <w:rFonts w:hint="eastAsia" w:ascii="宋体" w:hAnsi="宋体" w:cs="宋体"/>
          <w:color w:val="auto"/>
          <w:szCs w:val="21"/>
          <w:u w:val="single"/>
        </w:rPr>
        <w:t xml:space="preserve">         </w:t>
      </w:r>
      <w:r>
        <w:rPr>
          <w:rFonts w:hint="eastAsia" w:ascii="宋体" w:hAnsi="宋体" w:cs="宋体"/>
          <w:color w:val="auto"/>
          <w:szCs w:val="21"/>
        </w:rPr>
        <w:t>人，营业收入为</w:t>
      </w:r>
      <w:r>
        <w:rPr>
          <w:rFonts w:hint="eastAsia" w:ascii="宋体" w:hAnsi="宋体" w:cs="宋体"/>
          <w:color w:val="auto"/>
          <w:szCs w:val="21"/>
          <w:u w:val="single"/>
        </w:rPr>
        <w:t xml:space="preserve">        </w:t>
      </w:r>
      <w:r>
        <w:rPr>
          <w:rFonts w:hint="eastAsia" w:ascii="宋体" w:hAnsi="宋体" w:cs="宋体"/>
          <w:color w:val="auto"/>
          <w:szCs w:val="21"/>
        </w:rPr>
        <w:t>万元，资产总额为</w:t>
      </w:r>
      <w:r>
        <w:rPr>
          <w:rFonts w:hint="eastAsia" w:ascii="宋体" w:hAnsi="宋体" w:cs="宋体"/>
          <w:color w:val="auto"/>
          <w:szCs w:val="21"/>
          <w:u w:val="single"/>
        </w:rPr>
        <w:t xml:space="preserve">      </w:t>
      </w:r>
      <w:r>
        <w:rPr>
          <w:rFonts w:hint="eastAsia" w:ascii="宋体" w:hAnsi="宋体" w:cs="宋体"/>
          <w:color w:val="auto"/>
          <w:szCs w:val="21"/>
        </w:rPr>
        <w:t>万元，属于（中型企业、小型企业、微型企业）；</w:t>
      </w:r>
    </w:p>
    <w:p w14:paraId="5838B115">
      <w:pPr>
        <w:pStyle w:val="299"/>
        <w:numPr>
          <w:ilvl w:val="0"/>
          <w:numId w:val="9"/>
        </w:numPr>
        <w:spacing w:line="360" w:lineRule="auto"/>
        <w:ind w:firstLine="420" w:firstLineChars="200"/>
        <w:rPr>
          <w:rFonts w:ascii="宋体" w:hAnsi="宋体" w:cs="宋体"/>
          <w:color w:val="auto"/>
          <w:szCs w:val="21"/>
        </w:rPr>
      </w:pPr>
      <w:r>
        <w:rPr>
          <w:rFonts w:hint="eastAsia" w:ascii="宋体" w:hAnsi="宋体" w:cs="宋体"/>
          <w:color w:val="auto"/>
          <w:szCs w:val="21"/>
          <w:u w:val="single"/>
        </w:rPr>
        <w:t>（标的名称）</w:t>
      </w:r>
      <w:r>
        <w:rPr>
          <w:rFonts w:hint="eastAsia" w:ascii="宋体" w:hAnsi="宋体" w:cs="宋体"/>
          <w:color w:val="auto"/>
          <w:szCs w:val="21"/>
        </w:rPr>
        <w:t>，属于</w:t>
      </w:r>
      <w:r>
        <w:rPr>
          <w:rFonts w:hint="eastAsia" w:ascii="宋体" w:hAnsi="宋体" w:cs="宋体"/>
          <w:color w:val="auto"/>
          <w:szCs w:val="21"/>
          <w:u w:val="single"/>
        </w:rPr>
        <w:t>（采购文件中明确的所属行业）</w:t>
      </w:r>
      <w:r>
        <w:rPr>
          <w:rFonts w:hint="eastAsia" w:ascii="宋体" w:hAnsi="宋体" w:cs="宋体"/>
          <w:color w:val="auto"/>
          <w:szCs w:val="21"/>
        </w:rPr>
        <w:t>行业；制造商为（企业名称），从业人员</w:t>
      </w:r>
      <w:r>
        <w:rPr>
          <w:rFonts w:hint="eastAsia" w:ascii="宋体" w:hAnsi="宋体" w:cs="宋体"/>
          <w:color w:val="auto"/>
          <w:szCs w:val="21"/>
          <w:u w:val="single"/>
        </w:rPr>
        <w:t xml:space="preserve">         </w:t>
      </w:r>
      <w:r>
        <w:rPr>
          <w:rFonts w:hint="eastAsia" w:ascii="宋体" w:hAnsi="宋体" w:cs="宋体"/>
          <w:color w:val="auto"/>
          <w:szCs w:val="21"/>
        </w:rPr>
        <w:t>人，营业收入为</w:t>
      </w:r>
      <w:r>
        <w:rPr>
          <w:rFonts w:hint="eastAsia" w:ascii="宋体" w:hAnsi="宋体" w:cs="宋体"/>
          <w:color w:val="auto"/>
          <w:szCs w:val="21"/>
          <w:u w:val="single"/>
        </w:rPr>
        <w:t xml:space="preserve">        </w:t>
      </w:r>
      <w:r>
        <w:rPr>
          <w:rFonts w:hint="eastAsia" w:ascii="宋体" w:hAnsi="宋体" w:cs="宋体"/>
          <w:color w:val="auto"/>
          <w:szCs w:val="21"/>
        </w:rPr>
        <w:t>万元，资产总额为</w:t>
      </w:r>
      <w:r>
        <w:rPr>
          <w:rFonts w:hint="eastAsia" w:ascii="宋体" w:hAnsi="宋体" w:cs="宋体"/>
          <w:color w:val="auto"/>
          <w:szCs w:val="21"/>
          <w:u w:val="single"/>
        </w:rPr>
        <w:t xml:space="preserve">      </w:t>
      </w:r>
      <w:r>
        <w:rPr>
          <w:rFonts w:hint="eastAsia" w:ascii="宋体" w:hAnsi="宋体" w:cs="宋体"/>
          <w:color w:val="auto"/>
          <w:szCs w:val="21"/>
        </w:rPr>
        <w:t>万元，属于（中型企业、小型企业、微型企业）；</w:t>
      </w:r>
    </w:p>
    <w:p w14:paraId="77303D58">
      <w:pPr>
        <w:pStyle w:val="299"/>
        <w:spacing w:line="360" w:lineRule="auto"/>
        <w:ind w:left="420" w:leftChars="200"/>
        <w:rPr>
          <w:rFonts w:ascii="宋体" w:hAnsi="宋体" w:cs="宋体"/>
          <w:color w:val="auto"/>
          <w:szCs w:val="21"/>
        </w:rPr>
      </w:pPr>
      <w:r>
        <w:rPr>
          <w:rFonts w:hint="eastAsia" w:ascii="宋体" w:hAnsi="宋体" w:cs="宋体"/>
          <w:color w:val="auto"/>
          <w:szCs w:val="21"/>
        </w:rPr>
        <w:t>......</w:t>
      </w:r>
    </w:p>
    <w:p w14:paraId="49B10C85">
      <w:pPr>
        <w:pStyle w:val="299"/>
        <w:spacing w:line="360" w:lineRule="auto"/>
        <w:ind w:firstLine="420" w:firstLineChars="200"/>
        <w:rPr>
          <w:rFonts w:ascii="宋体" w:hAnsi="宋体" w:cs="宋体"/>
          <w:color w:val="auto"/>
          <w:szCs w:val="21"/>
        </w:rPr>
      </w:pPr>
    </w:p>
    <w:p w14:paraId="3B648E50">
      <w:pPr>
        <w:spacing w:line="360" w:lineRule="auto"/>
        <w:rPr>
          <w:rFonts w:ascii="宋体" w:hAnsi="宋体" w:cs="宋体"/>
          <w:color w:val="auto"/>
          <w:szCs w:val="21"/>
        </w:rPr>
      </w:pPr>
      <w:r>
        <w:rPr>
          <w:rFonts w:hint="eastAsia" w:ascii="宋体" w:hAnsi="宋体" w:cs="宋体"/>
          <w:color w:val="auto"/>
          <w:szCs w:val="21"/>
        </w:rPr>
        <w:t>　以上企业，不属于大企业的分支机构，不存在控股股东为大型企业的情形，也不存在与大型企业的负责人为同一人的情形。</w:t>
      </w:r>
    </w:p>
    <w:p w14:paraId="060E460A">
      <w:pPr>
        <w:pStyle w:val="20"/>
        <w:spacing w:line="360" w:lineRule="auto"/>
        <w:rPr>
          <w:rFonts w:ascii="宋体" w:hAnsi="宋体" w:cs="宋体"/>
          <w:color w:val="auto"/>
          <w:szCs w:val="21"/>
        </w:rPr>
      </w:pPr>
      <w:r>
        <w:rPr>
          <w:rFonts w:hint="eastAsia" w:ascii="宋体" w:hAnsi="宋体" w:cs="宋体"/>
          <w:color w:val="auto"/>
          <w:szCs w:val="21"/>
        </w:rPr>
        <w:t xml:space="preserve">  本企业对上述声明内容的真实性负责。如有虚假，将依法承担相应责任。</w:t>
      </w:r>
    </w:p>
    <w:p w14:paraId="3F506634">
      <w:pPr>
        <w:pStyle w:val="175"/>
        <w:spacing w:line="360" w:lineRule="auto"/>
        <w:ind w:firstLine="2940" w:firstLineChars="1400"/>
        <w:jc w:val="center"/>
        <w:rPr>
          <w:rFonts w:hAnsi="宋体" w:cs="宋体"/>
          <w:color w:val="auto"/>
          <w:sz w:val="21"/>
          <w:szCs w:val="21"/>
        </w:rPr>
      </w:pPr>
      <w:r>
        <w:rPr>
          <w:rFonts w:hint="eastAsia" w:hAnsi="宋体" w:cs="宋体"/>
          <w:color w:val="auto"/>
          <w:sz w:val="21"/>
          <w:szCs w:val="21"/>
        </w:rPr>
        <w:t xml:space="preserve">        单位名称（单位电子签章）：</w:t>
      </w:r>
      <w:r>
        <w:rPr>
          <w:rFonts w:hint="eastAsia" w:hAnsi="宋体" w:cs="宋体"/>
          <w:color w:val="auto"/>
          <w:sz w:val="21"/>
          <w:szCs w:val="21"/>
          <w:u w:val="single"/>
        </w:rPr>
        <w:t xml:space="preserve">               </w:t>
      </w:r>
      <w:r>
        <w:rPr>
          <w:rFonts w:hint="eastAsia" w:hAnsi="宋体" w:cs="宋体"/>
          <w:color w:val="auto"/>
          <w:sz w:val="21"/>
          <w:szCs w:val="21"/>
        </w:rPr>
        <w:t xml:space="preserve">       </w:t>
      </w:r>
    </w:p>
    <w:p w14:paraId="67F96BEA">
      <w:pPr>
        <w:pStyle w:val="175"/>
        <w:spacing w:line="360" w:lineRule="auto"/>
        <w:ind w:firstLine="5460" w:firstLineChars="2600"/>
        <w:rPr>
          <w:rFonts w:hAnsi="宋体" w:cs="宋体"/>
          <w:color w:val="auto"/>
          <w:sz w:val="21"/>
          <w:szCs w:val="21"/>
          <w:u w:val="single"/>
        </w:rPr>
      </w:pPr>
      <w:r>
        <w:rPr>
          <w:rFonts w:hint="eastAsia" w:hAnsi="宋体" w:cs="宋体"/>
          <w:color w:val="auto"/>
          <w:sz w:val="21"/>
          <w:szCs w:val="21"/>
        </w:rPr>
        <w:t>日期：</w:t>
      </w:r>
      <w:r>
        <w:rPr>
          <w:rFonts w:hint="eastAsia" w:hAnsi="宋体" w:cs="宋体"/>
          <w:color w:val="auto"/>
          <w:sz w:val="21"/>
          <w:szCs w:val="21"/>
          <w:u w:val="single"/>
        </w:rPr>
        <w:t xml:space="preserve">                 </w:t>
      </w:r>
    </w:p>
    <w:p w14:paraId="6B07B139">
      <w:pPr>
        <w:rPr>
          <w:rFonts w:ascii="宋体" w:hAnsi="宋体" w:cs="宋体"/>
          <w:color w:val="auto"/>
          <w:szCs w:val="21"/>
          <w:u w:val="single"/>
        </w:rPr>
      </w:pPr>
    </w:p>
    <w:p w14:paraId="0A90C269">
      <w:pPr>
        <w:pStyle w:val="175"/>
        <w:rPr>
          <w:rFonts w:hAnsi="宋体" w:cs="宋体"/>
          <w:color w:val="auto"/>
          <w:sz w:val="21"/>
          <w:szCs w:val="21"/>
        </w:rPr>
      </w:pPr>
      <w:r>
        <w:rPr>
          <w:rFonts w:hint="eastAsia" w:hAnsi="宋体" w:cs="宋体"/>
          <w:color w:val="auto"/>
          <w:sz w:val="21"/>
          <w:szCs w:val="21"/>
        </w:rPr>
        <w:t>1、从业人员、营业收入、资产总额填报上一年度数据，无上一年度数据的新成立企业可不填报。</w:t>
      </w:r>
    </w:p>
    <w:p w14:paraId="13C3D332">
      <w:pPr>
        <w:pStyle w:val="12"/>
        <w:spacing w:line="360" w:lineRule="auto"/>
        <w:ind w:firstLine="0"/>
        <w:rPr>
          <w:rFonts w:ascii="宋体" w:hAnsi="宋体" w:cs="宋体"/>
          <w:b/>
          <w:color w:val="auto"/>
          <w:spacing w:val="20"/>
          <w:szCs w:val="21"/>
        </w:rPr>
      </w:pPr>
      <w:r>
        <w:rPr>
          <w:rFonts w:hint="eastAsia" w:ascii="宋体" w:hAnsi="宋体" w:cs="宋体"/>
          <w:b/>
          <w:bCs/>
          <w:color w:val="auto"/>
          <w:szCs w:val="21"/>
        </w:rPr>
        <w:t>2、所投全部产品制造商属于中小微企业的填写，不属于的无需填写此项内容。</w:t>
      </w:r>
    </w:p>
    <w:p w14:paraId="69150D5F">
      <w:pPr>
        <w:pStyle w:val="288"/>
        <w:rPr>
          <w:rFonts w:ascii="宋体" w:hAnsi="宋体" w:cs="宋体"/>
          <w:b/>
          <w:color w:val="auto"/>
          <w:spacing w:val="20"/>
          <w:szCs w:val="21"/>
        </w:rPr>
      </w:pPr>
    </w:p>
    <w:p w14:paraId="69E7E12A">
      <w:pPr>
        <w:pStyle w:val="288"/>
        <w:rPr>
          <w:rFonts w:ascii="宋体" w:hAnsi="宋体" w:cs="宋体"/>
          <w:b/>
          <w:color w:val="auto"/>
          <w:spacing w:val="20"/>
          <w:szCs w:val="21"/>
        </w:rPr>
      </w:pPr>
    </w:p>
    <w:p w14:paraId="71EC70D4">
      <w:pPr>
        <w:pStyle w:val="288"/>
        <w:rPr>
          <w:rFonts w:ascii="宋体" w:hAnsi="宋体" w:cs="宋体"/>
          <w:b/>
          <w:color w:val="auto"/>
          <w:spacing w:val="20"/>
          <w:szCs w:val="21"/>
        </w:rPr>
      </w:pPr>
    </w:p>
    <w:p w14:paraId="65475949">
      <w:pPr>
        <w:pStyle w:val="288"/>
        <w:rPr>
          <w:rFonts w:ascii="宋体" w:hAnsi="宋体" w:cs="宋体"/>
          <w:b/>
          <w:color w:val="auto"/>
          <w:spacing w:val="20"/>
          <w:szCs w:val="21"/>
        </w:rPr>
      </w:pPr>
    </w:p>
    <w:p w14:paraId="7811CF98">
      <w:pPr>
        <w:pStyle w:val="288"/>
        <w:rPr>
          <w:rFonts w:ascii="宋体" w:hAnsi="宋体" w:cs="宋体"/>
          <w:b/>
          <w:color w:val="auto"/>
          <w:spacing w:val="20"/>
          <w:szCs w:val="21"/>
        </w:rPr>
      </w:pPr>
    </w:p>
    <w:p w14:paraId="2DEF2701">
      <w:pPr>
        <w:pStyle w:val="288"/>
        <w:rPr>
          <w:rFonts w:ascii="宋体" w:hAnsi="宋体" w:cs="宋体"/>
          <w:b/>
          <w:color w:val="auto"/>
          <w:spacing w:val="20"/>
          <w:szCs w:val="21"/>
        </w:rPr>
      </w:pPr>
    </w:p>
    <w:p w14:paraId="303D2B7F">
      <w:pPr>
        <w:pStyle w:val="288"/>
        <w:rPr>
          <w:rFonts w:ascii="宋体" w:hAnsi="宋体" w:cs="宋体"/>
          <w:b/>
          <w:color w:val="auto"/>
          <w:spacing w:val="20"/>
          <w:szCs w:val="21"/>
        </w:rPr>
      </w:pPr>
    </w:p>
    <w:p w14:paraId="444DFC91">
      <w:pPr>
        <w:pStyle w:val="288"/>
        <w:rPr>
          <w:rFonts w:ascii="宋体" w:hAnsi="宋体" w:cs="宋体"/>
          <w:b/>
          <w:color w:val="auto"/>
          <w:spacing w:val="20"/>
          <w:szCs w:val="21"/>
        </w:rPr>
      </w:pPr>
    </w:p>
    <w:p w14:paraId="012A67A4">
      <w:pPr>
        <w:pStyle w:val="288"/>
        <w:rPr>
          <w:rFonts w:ascii="宋体" w:hAnsi="宋体" w:cs="宋体"/>
          <w:b/>
          <w:color w:val="auto"/>
          <w:spacing w:val="20"/>
          <w:szCs w:val="21"/>
        </w:rPr>
      </w:pPr>
    </w:p>
    <w:p w14:paraId="275BA900">
      <w:pPr>
        <w:pStyle w:val="288"/>
        <w:rPr>
          <w:rFonts w:ascii="宋体" w:hAnsi="宋体" w:cs="宋体"/>
          <w:b/>
          <w:color w:val="auto"/>
          <w:spacing w:val="20"/>
          <w:szCs w:val="21"/>
        </w:rPr>
      </w:pPr>
    </w:p>
    <w:p w14:paraId="67C4ECD5">
      <w:pPr>
        <w:pStyle w:val="14"/>
        <w:rPr>
          <w:rFonts w:ascii="宋体" w:hAnsi="宋体" w:cs="宋体"/>
          <w:b/>
          <w:color w:val="auto"/>
          <w:spacing w:val="20"/>
          <w:szCs w:val="21"/>
        </w:rPr>
      </w:pPr>
    </w:p>
    <w:p w14:paraId="51F302D0">
      <w:pPr>
        <w:rPr>
          <w:rFonts w:ascii="宋体" w:hAnsi="宋体" w:cs="宋体"/>
          <w:b/>
          <w:color w:val="auto"/>
          <w:spacing w:val="20"/>
          <w:szCs w:val="21"/>
        </w:rPr>
      </w:pPr>
    </w:p>
    <w:p w14:paraId="718D2640">
      <w:pPr>
        <w:rPr>
          <w:rFonts w:ascii="宋体" w:hAnsi="宋体" w:cs="宋体"/>
          <w:b/>
          <w:color w:val="auto"/>
          <w:spacing w:val="20"/>
          <w:szCs w:val="21"/>
        </w:rPr>
      </w:pPr>
    </w:p>
    <w:p w14:paraId="3034EAFD">
      <w:pPr>
        <w:pStyle w:val="288"/>
        <w:rPr>
          <w:rFonts w:ascii="宋体" w:hAnsi="宋体" w:cs="宋体"/>
          <w:b/>
          <w:color w:val="auto"/>
          <w:spacing w:val="20"/>
          <w:szCs w:val="21"/>
        </w:rPr>
      </w:pPr>
    </w:p>
    <w:p w14:paraId="52A4B7FA">
      <w:pPr>
        <w:pStyle w:val="288"/>
        <w:rPr>
          <w:rFonts w:ascii="宋体" w:hAnsi="宋体" w:cs="宋体"/>
          <w:b/>
          <w:color w:val="auto"/>
          <w:spacing w:val="20"/>
          <w:szCs w:val="21"/>
        </w:rPr>
      </w:pPr>
    </w:p>
    <w:p w14:paraId="194C6EF0">
      <w:pPr>
        <w:widowControl/>
        <w:spacing w:line="600" w:lineRule="exact"/>
        <w:jc w:val="left"/>
        <w:rPr>
          <w:rFonts w:ascii="黑体" w:hAnsi="黑体" w:eastAsia="黑体" w:cs="宋体"/>
          <w:color w:val="auto"/>
          <w:kern w:val="0"/>
          <w:sz w:val="32"/>
          <w:szCs w:val="32"/>
        </w:rPr>
      </w:pPr>
      <w:r>
        <w:rPr>
          <w:rFonts w:hint="eastAsia" w:ascii="黑体" w:hAnsi="黑体" w:eastAsia="黑体" w:cs="宋体"/>
          <w:color w:val="auto"/>
          <w:kern w:val="0"/>
          <w:sz w:val="32"/>
          <w:szCs w:val="32"/>
        </w:rPr>
        <w:t>附表</w:t>
      </w:r>
    </w:p>
    <w:p w14:paraId="1DE0DFE5">
      <w:pPr>
        <w:widowControl/>
        <w:spacing w:line="330" w:lineRule="atLeast"/>
        <w:jc w:val="center"/>
        <w:rPr>
          <w:rFonts w:hint="eastAsia" w:ascii="方正小标宋_GBK" w:hAnsi="宋体" w:eastAsia="方正小标宋_GBK" w:cs="宋体"/>
          <w:color w:val="auto"/>
          <w:kern w:val="0"/>
          <w:sz w:val="36"/>
          <w:szCs w:val="32"/>
        </w:rPr>
      </w:pPr>
      <w:r>
        <w:rPr>
          <w:rFonts w:hint="eastAsia" w:ascii="方正小标宋_GBK" w:hAnsi="宋体" w:eastAsia="方正小标宋_GBK" w:cs="宋体"/>
          <w:color w:val="auto"/>
          <w:kern w:val="0"/>
          <w:sz w:val="36"/>
          <w:szCs w:val="32"/>
        </w:rPr>
        <w:t>统计上大中小微型企业划分标准</w:t>
      </w:r>
    </w:p>
    <w:tbl>
      <w:tblPr>
        <w:tblStyle w:val="47"/>
        <w:tblW w:w="0" w:type="auto"/>
        <w:jc w:val="center"/>
        <w:tblLayout w:type="fixed"/>
        <w:tblCellMar>
          <w:top w:w="0" w:type="dxa"/>
          <w:left w:w="108" w:type="dxa"/>
          <w:bottom w:w="0" w:type="dxa"/>
          <w:right w:w="108" w:type="dxa"/>
        </w:tblCellMar>
      </w:tblPr>
      <w:tblGrid>
        <w:gridCol w:w="2113"/>
        <w:gridCol w:w="1369"/>
        <w:gridCol w:w="709"/>
        <w:gridCol w:w="1125"/>
        <w:gridCol w:w="1701"/>
        <w:gridCol w:w="1426"/>
        <w:gridCol w:w="992"/>
      </w:tblGrid>
      <w:tr w14:paraId="70CDD947">
        <w:tblPrEx>
          <w:tblCellMar>
            <w:top w:w="0" w:type="dxa"/>
            <w:left w:w="108" w:type="dxa"/>
            <w:bottom w:w="0" w:type="dxa"/>
            <w:right w:w="108" w:type="dxa"/>
          </w:tblCellMar>
        </w:tblPrEx>
        <w:trPr>
          <w:trHeight w:val="622" w:hRule="exact"/>
          <w:jc w:val="center"/>
        </w:trPr>
        <w:tc>
          <w:tcPr>
            <w:tcW w:w="2113" w:type="dxa"/>
            <w:tcBorders>
              <w:top w:val="single" w:color="auto" w:sz="4" w:space="0"/>
              <w:left w:val="nil"/>
              <w:bottom w:val="single" w:color="auto" w:sz="4" w:space="0"/>
              <w:right w:val="single" w:color="auto" w:sz="4" w:space="0"/>
            </w:tcBorders>
            <w:noWrap w:val="0"/>
            <w:vAlign w:val="center"/>
          </w:tcPr>
          <w:p w14:paraId="5BF1ED2E">
            <w:pPr>
              <w:widowControl/>
              <w:spacing w:line="240" w:lineRule="exact"/>
              <w:jc w:val="center"/>
              <w:rPr>
                <w:rFonts w:ascii="宋体" w:hAnsi="宋体" w:cs="宋体"/>
                <w:b/>
                <w:bCs/>
                <w:color w:val="auto"/>
                <w:kern w:val="0"/>
                <w:sz w:val="18"/>
                <w:szCs w:val="21"/>
              </w:rPr>
            </w:pPr>
            <w:r>
              <w:rPr>
                <w:rFonts w:hint="eastAsia" w:ascii="宋体" w:hAnsi="宋体" w:cs="宋体"/>
                <w:b/>
                <w:bCs/>
                <w:color w:val="auto"/>
                <w:kern w:val="0"/>
                <w:sz w:val="18"/>
                <w:szCs w:val="21"/>
              </w:rPr>
              <w:t>行业名称</w:t>
            </w:r>
          </w:p>
        </w:tc>
        <w:tc>
          <w:tcPr>
            <w:tcW w:w="1369" w:type="dxa"/>
            <w:tcBorders>
              <w:top w:val="single" w:color="auto" w:sz="4" w:space="0"/>
              <w:left w:val="nil"/>
              <w:bottom w:val="single" w:color="auto" w:sz="4" w:space="0"/>
              <w:right w:val="single" w:color="auto" w:sz="4" w:space="0"/>
            </w:tcBorders>
            <w:noWrap w:val="0"/>
            <w:vAlign w:val="center"/>
          </w:tcPr>
          <w:p w14:paraId="46BABE60">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指标名称</w:t>
            </w:r>
          </w:p>
        </w:tc>
        <w:tc>
          <w:tcPr>
            <w:tcW w:w="709" w:type="dxa"/>
            <w:tcBorders>
              <w:top w:val="single" w:color="auto" w:sz="4" w:space="0"/>
              <w:left w:val="nil"/>
              <w:bottom w:val="single" w:color="auto" w:sz="4" w:space="0"/>
              <w:right w:val="single" w:color="auto" w:sz="4" w:space="0"/>
            </w:tcBorders>
            <w:noWrap w:val="0"/>
            <w:vAlign w:val="center"/>
          </w:tcPr>
          <w:p w14:paraId="02F53090">
            <w:pPr>
              <w:widowControl/>
              <w:jc w:val="center"/>
              <w:rPr>
                <w:rFonts w:hint="eastAsia" w:ascii="宋体" w:hAnsi="宋体" w:cs="宋体"/>
                <w:b/>
                <w:bCs/>
                <w:color w:val="auto"/>
                <w:kern w:val="0"/>
                <w:sz w:val="18"/>
                <w:szCs w:val="18"/>
              </w:rPr>
            </w:pPr>
            <w:r>
              <w:rPr>
                <w:rFonts w:hint="eastAsia" w:ascii="宋体" w:hAnsi="宋体" w:cs="宋体"/>
                <w:b/>
                <w:bCs/>
                <w:color w:val="auto"/>
                <w:kern w:val="0"/>
                <w:sz w:val="18"/>
                <w:szCs w:val="18"/>
              </w:rPr>
              <w:t>计量</w:t>
            </w:r>
          </w:p>
          <w:p w14:paraId="0A904FE3">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单位</w:t>
            </w:r>
          </w:p>
        </w:tc>
        <w:tc>
          <w:tcPr>
            <w:tcW w:w="1125" w:type="dxa"/>
            <w:tcBorders>
              <w:top w:val="single" w:color="auto" w:sz="4" w:space="0"/>
              <w:left w:val="nil"/>
              <w:bottom w:val="single" w:color="auto" w:sz="4" w:space="0"/>
              <w:right w:val="single" w:color="auto" w:sz="4" w:space="0"/>
            </w:tcBorders>
            <w:noWrap w:val="0"/>
            <w:vAlign w:val="center"/>
          </w:tcPr>
          <w:p w14:paraId="1DB82245">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大型</w:t>
            </w:r>
          </w:p>
        </w:tc>
        <w:tc>
          <w:tcPr>
            <w:tcW w:w="1701" w:type="dxa"/>
            <w:tcBorders>
              <w:top w:val="single" w:color="auto" w:sz="4" w:space="0"/>
              <w:left w:val="nil"/>
              <w:bottom w:val="single" w:color="auto" w:sz="4" w:space="0"/>
              <w:right w:val="single" w:color="auto" w:sz="4" w:space="0"/>
            </w:tcBorders>
            <w:noWrap w:val="0"/>
            <w:vAlign w:val="center"/>
          </w:tcPr>
          <w:p w14:paraId="77F2BB0A">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中型</w:t>
            </w:r>
          </w:p>
        </w:tc>
        <w:tc>
          <w:tcPr>
            <w:tcW w:w="1426" w:type="dxa"/>
            <w:tcBorders>
              <w:top w:val="single" w:color="auto" w:sz="4" w:space="0"/>
              <w:left w:val="nil"/>
              <w:bottom w:val="single" w:color="auto" w:sz="4" w:space="0"/>
              <w:right w:val="single" w:color="auto" w:sz="4" w:space="0"/>
            </w:tcBorders>
            <w:noWrap w:val="0"/>
            <w:vAlign w:val="center"/>
          </w:tcPr>
          <w:p w14:paraId="56F0289B">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小型</w:t>
            </w:r>
          </w:p>
        </w:tc>
        <w:tc>
          <w:tcPr>
            <w:tcW w:w="992" w:type="dxa"/>
            <w:tcBorders>
              <w:top w:val="single" w:color="auto" w:sz="4" w:space="0"/>
              <w:left w:val="nil"/>
              <w:bottom w:val="single" w:color="auto" w:sz="4" w:space="0"/>
              <w:right w:val="nil"/>
            </w:tcBorders>
            <w:noWrap w:val="0"/>
            <w:vAlign w:val="center"/>
          </w:tcPr>
          <w:p w14:paraId="289B98FE">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微型</w:t>
            </w:r>
          </w:p>
        </w:tc>
      </w:tr>
      <w:tr w14:paraId="3F77E4B0">
        <w:tblPrEx>
          <w:tblCellMar>
            <w:top w:w="0" w:type="dxa"/>
            <w:left w:w="108" w:type="dxa"/>
            <w:bottom w:w="0" w:type="dxa"/>
            <w:right w:w="108" w:type="dxa"/>
          </w:tblCellMar>
        </w:tblPrEx>
        <w:trPr>
          <w:trHeight w:val="397" w:hRule="exact"/>
          <w:jc w:val="center"/>
        </w:trPr>
        <w:tc>
          <w:tcPr>
            <w:tcW w:w="2113" w:type="dxa"/>
            <w:tcBorders>
              <w:top w:val="nil"/>
              <w:left w:val="nil"/>
              <w:bottom w:val="single" w:color="auto" w:sz="4" w:space="0"/>
              <w:right w:val="single" w:color="auto" w:sz="4" w:space="0"/>
            </w:tcBorders>
            <w:noWrap w:val="0"/>
            <w:vAlign w:val="center"/>
          </w:tcPr>
          <w:p w14:paraId="45C06233">
            <w:pPr>
              <w:widowControl/>
              <w:spacing w:line="240" w:lineRule="exact"/>
              <w:jc w:val="left"/>
              <w:rPr>
                <w:rFonts w:ascii="宋体" w:hAnsi="宋体" w:cs="宋体"/>
                <w:color w:val="auto"/>
                <w:kern w:val="0"/>
                <w:sz w:val="18"/>
                <w:szCs w:val="18"/>
              </w:rPr>
            </w:pPr>
            <w:r>
              <w:rPr>
                <w:rFonts w:hint="eastAsia" w:ascii="宋体" w:hAnsi="宋体" w:cs="宋体"/>
                <w:color w:val="auto"/>
                <w:kern w:val="0"/>
                <w:sz w:val="18"/>
                <w:szCs w:val="18"/>
              </w:rPr>
              <w:t>农、林、牧、渔业</w:t>
            </w:r>
          </w:p>
        </w:tc>
        <w:tc>
          <w:tcPr>
            <w:tcW w:w="1369" w:type="dxa"/>
            <w:tcBorders>
              <w:top w:val="nil"/>
              <w:left w:val="nil"/>
              <w:bottom w:val="single" w:color="auto" w:sz="4" w:space="0"/>
              <w:right w:val="single" w:color="auto" w:sz="4" w:space="0"/>
            </w:tcBorders>
            <w:noWrap w:val="0"/>
            <w:vAlign w:val="center"/>
          </w:tcPr>
          <w:p w14:paraId="6B8814CE">
            <w:pPr>
              <w:widowControl/>
              <w:jc w:val="center"/>
              <w:rPr>
                <w:rFonts w:ascii="宋体" w:hAnsi="宋体" w:cs="宋体"/>
                <w:color w:val="auto"/>
                <w:kern w:val="0"/>
                <w:sz w:val="18"/>
                <w:szCs w:val="18"/>
              </w:rPr>
            </w:pPr>
            <w:r>
              <w:rPr>
                <w:rFonts w:hint="eastAsia" w:ascii="宋体" w:hAnsi="宋体" w:cs="宋体"/>
                <w:color w:val="auto"/>
                <w:kern w:val="0"/>
                <w:sz w:val="18"/>
                <w:szCs w:val="18"/>
              </w:rPr>
              <w:t>营业收入(Y)</w:t>
            </w:r>
          </w:p>
        </w:tc>
        <w:tc>
          <w:tcPr>
            <w:tcW w:w="709" w:type="dxa"/>
            <w:tcBorders>
              <w:top w:val="nil"/>
              <w:left w:val="nil"/>
              <w:bottom w:val="single" w:color="auto" w:sz="4" w:space="0"/>
              <w:right w:val="single" w:color="auto" w:sz="4" w:space="0"/>
            </w:tcBorders>
            <w:noWrap w:val="0"/>
            <w:vAlign w:val="center"/>
          </w:tcPr>
          <w:p w14:paraId="10665018">
            <w:pPr>
              <w:widowControl/>
              <w:jc w:val="center"/>
              <w:rPr>
                <w:rFonts w:ascii="宋体" w:hAnsi="宋体" w:cs="宋体"/>
                <w:color w:val="auto"/>
                <w:kern w:val="0"/>
                <w:sz w:val="18"/>
                <w:szCs w:val="18"/>
              </w:rPr>
            </w:pPr>
            <w:r>
              <w:rPr>
                <w:rFonts w:hint="eastAsia" w:ascii="宋体" w:hAnsi="宋体" w:cs="宋体"/>
                <w:color w:val="auto"/>
                <w:kern w:val="0"/>
                <w:sz w:val="18"/>
                <w:szCs w:val="18"/>
              </w:rPr>
              <w:t>万元</w:t>
            </w:r>
          </w:p>
        </w:tc>
        <w:tc>
          <w:tcPr>
            <w:tcW w:w="1125" w:type="dxa"/>
            <w:tcBorders>
              <w:top w:val="nil"/>
              <w:left w:val="nil"/>
              <w:bottom w:val="single" w:color="auto" w:sz="4" w:space="0"/>
              <w:right w:val="single" w:color="auto" w:sz="4" w:space="0"/>
            </w:tcBorders>
            <w:noWrap w:val="0"/>
            <w:vAlign w:val="center"/>
          </w:tcPr>
          <w:p w14:paraId="027FE1EF">
            <w:pPr>
              <w:widowControl/>
              <w:jc w:val="center"/>
              <w:rPr>
                <w:rFonts w:ascii="宋体" w:hAnsi="宋体" w:cs="宋体"/>
                <w:color w:val="auto"/>
                <w:kern w:val="0"/>
                <w:sz w:val="18"/>
                <w:szCs w:val="18"/>
              </w:rPr>
            </w:pPr>
            <w:r>
              <w:rPr>
                <w:rFonts w:hint="eastAsia" w:ascii="宋体" w:hAnsi="宋体" w:cs="宋体"/>
                <w:color w:val="auto"/>
                <w:kern w:val="0"/>
                <w:sz w:val="18"/>
                <w:szCs w:val="18"/>
              </w:rPr>
              <w:t>Y≥20000</w:t>
            </w:r>
          </w:p>
        </w:tc>
        <w:tc>
          <w:tcPr>
            <w:tcW w:w="1701" w:type="dxa"/>
            <w:tcBorders>
              <w:top w:val="nil"/>
              <w:left w:val="nil"/>
              <w:bottom w:val="single" w:color="auto" w:sz="4" w:space="0"/>
              <w:right w:val="single" w:color="auto" w:sz="4" w:space="0"/>
            </w:tcBorders>
            <w:noWrap w:val="0"/>
            <w:vAlign w:val="center"/>
          </w:tcPr>
          <w:p w14:paraId="2772EE76">
            <w:pPr>
              <w:widowControl/>
              <w:jc w:val="center"/>
              <w:rPr>
                <w:rFonts w:ascii="宋体" w:hAnsi="宋体" w:cs="宋体"/>
                <w:color w:val="auto"/>
                <w:kern w:val="0"/>
                <w:sz w:val="18"/>
                <w:szCs w:val="18"/>
              </w:rPr>
            </w:pPr>
            <w:r>
              <w:rPr>
                <w:rFonts w:hint="eastAsia" w:ascii="宋体" w:hAnsi="宋体" w:cs="宋体"/>
                <w:color w:val="auto"/>
                <w:kern w:val="0"/>
                <w:sz w:val="18"/>
                <w:szCs w:val="18"/>
              </w:rPr>
              <w:t xml:space="preserve"> 500≤Y＜20000</w:t>
            </w:r>
          </w:p>
        </w:tc>
        <w:tc>
          <w:tcPr>
            <w:tcW w:w="1426" w:type="dxa"/>
            <w:tcBorders>
              <w:top w:val="nil"/>
              <w:left w:val="nil"/>
              <w:bottom w:val="single" w:color="auto" w:sz="4" w:space="0"/>
              <w:right w:val="single" w:color="auto" w:sz="4" w:space="0"/>
            </w:tcBorders>
            <w:noWrap w:val="0"/>
            <w:vAlign w:val="center"/>
          </w:tcPr>
          <w:p w14:paraId="3CE129A5">
            <w:pPr>
              <w:widowControl/>
              <w:jc w:val="center"/>
              <w:rPr>
                <w:rFonts w:ascii="宋体" w:hAnsi="宋体" w:cs="宋体"/>
                <w:color w:val="auto"/>
                <w:kern w:val="0"/>
                <w:sz w:val="18"/>
                <w:szCs w:val="18"/>
              </w:rPr>
            </w:pPr>
            <w:r>
              <w:rPr>
                <w:rFonts w:hint="eastAsia" w:ascii="宋体" w:hAnsi="宋体" w:cs="宋体"/>
                <w:color w:val="auto"/>
                <w:kern w:val="0"/>
                <w:sz w:val="18"/>
                <w:szCs w:val="18"/>
              </w:rPr>
              <w:t xml:space="preserve"> 50≤Y＜500</w:t>
            </w:r>
          </w:p>
        </w:tc>
        <w:tc>
          <w:tcPr>
            <w:tcW w:w="992" w:type="dxa"/>
            <w:tcBorders>
              <w:top w:val="nil"/>
              <w:left w:val="nil"/>
              <w:bottom w:val="single" w:color="auto" w:sz="4" w:space="0"/>
              <w:right w:val="nil"/>
            </w:tcBorders>
            <w:noWrap w:val="0"/>
            <w:vAlign w:val="center"/>
          </w:tcPr>
          <w:p w14:paraId="6EC15048">
            <w:pPr>
              <w:widowControl/>
              <w:jc w:val="center"/>
              <w:rPr>
                <w:rFonts w:ascii="宋体" w:hAnsi="宋体" w:cs="宋体"/>
                <w:color w:val="auto"/>
                <w:kern w:val="0"/>
                <w:sz w:val="18"/>
                <w:szCs w:val="18"/>
              </w:rPr>
            </w:pPr>
            <w:r>
              <w:rPr>
                <w:rFonts w:hint="eastAsia" w:ascii="宋体" w:hAnsi="宋体" w:cs="宋体"/>
                <w:color w:val="auto"/>
                <w:kern w:val="0"/>
                <w:sz w:val="18"/>
                <w:szCs w:val="18"/>
              </w:rPr>
              <w:t>Y＜50</w:t>
            </w:r>
          </w:p>
        </w:tc>
      </w:tr>
      <w:tr w14:paraId="5CD6F915">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noWrap w:val="0"/>
            <w:vAlign w:val="center"/>
          </w:tcPr>
          <w:p w14:paraId="49A70336">
            <w:pPr>
              <w:widowControl/>
              <w:spacing w:line="240" w:lineRule="exact"/>
              <w:jc w:val="left"/>
              <w:rPr>
                <w:rFonts w:ascii="宋体" w:hAnsi="宋体" w:cs="宋体"/>
                <w:color w:val="auto"/>
                <w:kern w:val="0"/>
                <w:sz w:val="18"/>
                <w:szCs w:val="18"/>
              </w:rPr>
            </w:pPr>
            <w:r>
              <w:rPr>
                <w:rFonts w:hint="eastAsia" w:ascii="宋体" w:hAnsi="宋体" w:cs="宋体"/>
                <w:color w:val="auto"/>
                <w:kern w:val="0"/>
                <w:sz w:val="18"/>
                <w:szCs w:val="18"/>
              </w:rPr>
              <w:t>工业 *</w:t>
            </w:r>
          </w:p>
        </w:tc>
        <w:tc>
          <w:tcPr>
            <w:tcW w:w="1369" w:type="dxa"/>
            <w:tcBorders>
              <w:top w:val="nil"/>
              <w:left w:val="nil"/>
              <w:bottom w:val="nil"/>
              <w:right w:val="single" w:color="auto" w:sz="4" w:space="0"/>
            </w:tcBorders>
            <w:noWrap w:val="0"/>
            <w:vAlign w:val="center"/>
          </w:tcPr>
          <w:p w14:paraId="49EBD621">
            <w:pPr>
              <w:widowControl/>
              <w:jc w:val="center"/>
              <w:rPr>
                <w:rFonts w:ascii="宋体" w:hAnsi="宋体" w:cs="宋体"/>
                <w:color w:val="auto"/>
                <w:kern w:val="0"/>
                <w:sz w:val="18"/>
                <w:szCs w:val="18"/>
              </w:rPr>
            </w:pPr>
            <w:r>
              <w:rPr>
                <w:rFonts w:hint="eastAsia" w:ascii="宋体" w:hAnsi="宋体" w:cs="宋体"/>
                <w:color w:val="auto"/>
                <w:kern w:val="0"/>
                <w:sz w:val="18"/>
                <w:szCs w:val="18"/>
              </w:rPr>
              <w:t>从业人员(X)</w:t>
            </w:r>
          </w:p>
        </w:tc>
        <w:tc>
          <w:tcPr>
            <w:tcW w:w="709" w:type="dxa"/>
            <w:tcBorders>
              <w:top w:val="nil"/>
              <w:left w:val="nil"/>
              <w:bottom w:val="nil"/>
              <w:right w:val="single" w:color="auto" w:sz="4" w:space="0"/>
            </w:tcBorders>
            <w:noWrap w:val="0"/>
            <w:vAlign w:val="center"/>
          </w:tcPr>
          <w:p w14:paraId="43C0399B">
            <w:pPr>
              <w:widowControl/>
              <w:jc w:val="center"/>
              <w:rPr>
                <w:rFonts w:ascii="宋体" w:hAnsi="宋体" w:cs="宋体"/>
                <w:color w:val="auto"/>
                <w:kern w:val="0"/>
                <w:sz w:val="18"/>
                <w:szCs w:val="18"/>
              </w:rPr>
            </w:pPr>
            <w:r>
              <w:rPr>
                <w:rFonts w:hint="eastAsia" w:ascii="宋体" w:hAnsi="宋体" w:cs="宋体"/>
                <w:color w:val="auto"/>
                <w:kern w:val="0"/>
                <w:sz w:val="18"/>
                <w:szCs w:val="18"/>
              </w:rPr>
              <w:t>人</w:t>
            </w:r>
          </w:p>
        </w:tc>
        <w:tc>
          <w:tcPr>
            <w:tcW w:w="1125" w:type="dxa"/>
            <w:tcBorders>
              <w:top w:val="nil"/>
              <w:left w:val="nil"/>
              <w:bottom w:val="nil"/>
              <w:right w:val="single" w:color="auto" w:sz="4" w:space="0"/>
            </w:tcBorders>
            <w:noWrap w:val="0"/>
            <w:vAlign w:val="center"/>
          </w:tcPr>
          <w:p w14:paraId="4B637B9D">
            <w:pPr>
              <w:widowControl/>
              <w:jc w:val="center"/>
              <w:rPr>
                <w:rFonts w:ascii="宋体" w:hAnsi="宋体" w:cs="宋体"/>
                <w:color w:val="auto"/>
                <w:kern w:val="0"/>
                <w:sz w:val="18"/>
                <w:szCs w:val="18"/>
              </w:rPr>
            </w:pPr>
            <w:r>
              <w:rPr>
                <w:rFonts w:hint="eastAsia" w:ascii="宋体" w:hAnsi="宋体" w:cs="宋体"/>
                <w:color w:val="auto"/>
                <w:kern w:val="0"/>
                <w:sz w:val="18"/>
                <w:szCs w:val="18"/>
              </w:rPr>
              <w:t>X≥1000</w:t>
            </w:r>
          </w:p>
        </w:tc>
        <w:tc>
          <w:tcPr>
            <w:tcW w:w="1701" w:type="dxa"/>
            <w:tcBorders>
              <w:top w:val="nil"/>
              <w:left w:val="nil"/>
              <w:bottom w:val="nil"/>
              <w:right w:val="single" w:color="auto" w:sz="4" w:space="0"/>
            </w:tcBorders>
            <w:noWrap w:val="0"/>
            <w:vAlign w:val="center"/>
          </w:tcPr>
          <w:p w14:paraId="00BEDB93">
            <w:pPr>
              <w:widowControl/>
              <w:jc w:val="center"/>
              <w:rPr>
                <w:rFonts w:ascii="宋体" w:hAnsi="宋体" w:cs="宋体"/>
                <w:color w:val="auto"/>
                <w:kern w:val="0"/>
                <w:sz w:val="18"/>
                <w:szCs w:val="18"/>
              </w:rPr>
            </w:pPr>
            <w:r>
              <w:rPr>
                <w:rFonts w:hint="eastAsia" w:ascii="宋体" w:hAnsi="宋体" w:cs="宋体"/>
                <w:color w:val="auto"/>
                <w:kern w:val="0"/>
                <w:sz w:val="18"/>
                <w:szCs w:val="18"/>
              </w:rPr>
              <w:t>300≤X＜1000</w:t>
            </w:r>
          </w:p>
        </w:tc>
        <w:tc>
          <w:tcPr>
            <w:tcW w:w="1426" w:type="dxa"/>
            <w:tcBorders>
              <w:top w:val="nil"/>
              <w:left w:val="nil"/>
              <w:bottom w:val="nil"/>
              <w:right w:val="single" w:color="auto" w:sz="4" w:space="0"/>
            </w:tcBorders>
            <w:noWrap w:val="0"/>
            <w:vAlign w:val="center"/>
          </w:tcPr>
          <w:p w14:paraId="29B4E587">
            <w:pPr>
              <w:widowControl/>
              <w:jc w:val="center"/>
              <w:rPr>
                <w:rFonts w:ascii="宋体" w:hAnsi="宋体" w:cs="宋体"/>
                <w:color w:val="auto"/>
                <w:kern w:val="0"/>
                <w:sz w:val="18"/>
                <w:szCs w:val="18"/>
              </w:rPr>
            </w:pPr>
            <w:r>
              <w:rPr>
                <w:rFonts w:hint="eastAsia" w:ascii="宋体" w:hAnsi="宋体" w:cs="宋体"/>
                <w:color w:val="auto"/>
                <w:kern w:val="0"/>
                <w:sz w:val="18"/>
                <w:szCs w:val="18"/>
              </w:rPr>
              <w:t xml:space="preserve"> 20≤X＜300</w:t>
            </w:r>
          </w:p>
        </w:tc>
        <w:tc>
          <w:tcPr>
            <w:tcW w:w="992" w:type="dxa"/>
            <w:tcBorders>
              <w:top w:val="nil"/>
              <w:left w:val="nil"/>
              <w:bottom w:val="nil"/>
              <w:right w:val="nil"/>
            </w:tcBorders>
            <w:noWrap w:val="0"/>
            <w:vAlign w:val="center"/>
          </w:tcPr>
          <w:p w14:paraId="48F6535E">
            <w:pPr>
              <w:widowControl/>
              <w:jc w:val="center"/>
              <w:rPr>
                <w:rFonts w:ascii="宋体" w:hAnsi="宋体" w:cs="宋体"/>
                <w:color w:val="auto"/>
                <w:kern w:val="0"/>
                <w:sz w:val="18"/>
                <w:szCs w:val="18"/>
              </w:rPr>
            </w:pPr>
            <w:r>
              <w:rPr>
                <w:rFonts w:hint="eastAsia" w:ascii="宋体" w:hAnsi="宋体" w:cs="宋体"/>
                <w:color w:val="auto"/>
                <w:kern w:val="0"/>
                <w:sz w:val="18"/>
                <w:szCs w:val="18"/>
              </w:rPr>
              <w:t>X＜20</w:t>
            </w:r>
          </w:p>
        </w:tc>
      </w:tr>
      <w:tr w14:paraId="1BA1E36C">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noWrap w:val="0"/>
            <w:vAlign w:val="center"/>
          </w:tcPr>
          <w:p w14:paraId="327FC481">
            <w:pPr>
              <w:widowControl/>
              <w:jc w:val="left"/>
              <w:rPr>
                <w:rFonts w:ascii="宋体" w:hAnsi="宋体" w:cs="宋体"/>
                <w:color w:val="auto"/>
                <w:kern w:val="0"/>
                <w:sz w:val="18"/>
                <w:szCs w:val="18"/>
              </w:rPr>
            </w:pPr>
          </w:p>
        </w:tc>
        <w:tc>
          <w:tcPr>
            <w:tcW w:w="1369" w:type="dxa"/>
            <w:tcBorders>
              <w:top w:val="nil"/>
              <w:left w:val="nil"/>
              <w:bottom w:val="single" w:color="auto" w:sz="4" w:space="0"/>
              <w:right w:val="single" w:color="auto" w:sz="4" w:space="0"/>
            </w:tcBorders>
            <w:noWrap w:val="0"/>
            <w:vAlign w:val="center"/>
          </w:tcPr>
          <w:p w14:paraId="58245F86">
            <w:pPr>
              <w:widowControl/>
              <w:spacing w:line="240" w:lineRule="exact"/>
              <w:jc w:val="center"/>
              <w:rPr>
                <w:rFonts w:ascii="宋体" w:hAnsi="宋体" w:cs="宋体"/>
                <w:color w:val="auto"/>
                <w:kern w:val="0"/>
                <w:sz w:val="18"/>
                <w:szCs w:val="18"/>
              </w:rPr>
            </w:pPr>
            <w:r>
              <w:rPr>
                <w:rFonts w:hint="eastAsia" w:ascii="宋体" w:hAnsi="宋体" w:cs="宋体"/>
                <w:color w:val="auto"/>
                <w:kern w:val="0"/>
                <w:sz w:val="18"/>
                <w:szCs w:val="18"/>
              </w:rPr>
              <w:t>营业收入(Y)</w:t>
            </w:r>
          </w:p>
        </w:tc>
        <w:tc>
          <w:tcPr>
            <w:tcW w:w="709" w:type="dxa"/>
            <w:tcBorders>
              <w:top w:val="nil"/>
              <w:left w:val="nil"/>
              <w:bottom w:val="single" w:color="auto" w:sz="4" w:space="0"/>
              <w:right w:val="single" w:color="auto" w:sz="4" w:space="0"/>
            </w:tcBorders>
            <w:noWrap w:val="0"/>
            <w:vAlign w:val="center"/>
          </w:tcPr>
          <w:p w14:paraId="17830EC6">
            <w:pPr>
              <w:widowControl/>
              <w:jc w:val="center"/>
              <w:rPr>
                <w:rFonts w:ascii="宋体" w:hAnsi="宋体" w:cs="宋体"/>
                <w:color w:val="auto"/>
                <w:kern w:val="0"/>
                <w:sz w:val="18"/>
                <w:szCs w:val="18"/>
              </w:rPr>
            </w:pPr>
            <w:r>
              <w:rPr>
                <w:rFonts w:hint="eastAsia" w:ascii="宋体" w:hAnsi="宋体" w:cs="宋体"/>
                <w:color w:val="auto"/>
                <w:kern w:val="0"/>
                <w:sz w:val="18"/>
                <w:szCs w:val="18"/>
              </w:rPr>
              <w:t>万元</w:t>
            </w:r>
          </w:p>
        </w:tc>
        <w:tc>
          <w:tcPr>
            <w:tcW w:w="1125" w:type="dxa"/>
            <w:tcBorders>
              <w:top w:val="nil"/>
              <w:left w:val="nil"/>
              <w:bottom w:val="single" w:color="auto" w:sz="4" w:space="0"/>
              <w:right w:val="single" w:color="auto" w:sz="4" w:space="0"/>
            </w:tcBorders>
            <w:noWrap w:val="0"/>
            <w:vAlign w:val="center"/>
          </w:tcPr>
          <w:p w14:paraId="4CAAEDDA">
            <w:pPr>
              <w:widowControl/>
              <w:jc w:val="center"/>
              <w:rPr>
                <w:rFonts w:ascii="宋体" w:hAnsi="宋体" w:cs="宋体"/>
                <w:color w:val="auto"/>
                <w:kern w:val="0"/>
                <w:sz w:val="18"/>
                <w:szCs w:val="18"/>
              </w:rPr>
            </w:pPr>
            <w:r>
              <w:rPr>
                <w:rFonts w:hint="eastAsia" w:ascii="宋体" w:hAnsi="宋体" w:cs="宋体"/>
                <w:color w:val="auto"/>
                <w:kern w:val="0"/>
                <w:sz w:val="18"/>
                <w:szCs w:val="18"/>
              </w:rPr>
              <w:t>Y≥40000</w:t>
            </w:r>
          </w:p>
        </w:tc>
        <w:tc>
          <w:tcPr>
            <w:tcW w:w="1701" w:type="dxa"/>
            <w:tcBorders>
              <w:top w:val="nil"/>
              <w:left w:val="nil"/>
              <w:bottom w:val="single" w:color="auto" w:sz="4" w:space="0"/>
              <w:right w:val="single" w:color="auto" w:sz="4" w:space="0"/>
            </w:tcBorders>
            <w:noWrap w:val="0"/>
            <w:vAlign w:val="center"/>
          </w:tcPr>
          <w:p w14:paraId="55B42448">
            <w:pPr>
              <w:widowControl/>
              <w:jc w:val="center"/>
              <w:rPr>
                <w:rFonts w:ascii="宋体" w:hAnsi="宋体" w:cs="宋体"/>
                <w:color w:val="auto"/>
                <w:kern w:val="0"/>
                <w:sz w:val="18"/>
                <w:szCs w:val="18"/>
              </w:rPr>
            </w:pPr>
            <w:r>
              <w:rPr>
                <w:rFonts w:hint="eastAsia" w:ascii="宋体" w:hAnsi="宋体" w:cs="宋体"/>
                <w:color w:val="auto"/>
                <w:kern w:val="0"/>
                <w:sz w:val="18"/>
                <w:szCs w:val="18"/>
              </w:rPr>
              <w:t>2000≤Y＜40000</w:t>
            </w:r>
          </w:p>
        </w:tc>
        <w:tc>
          <w:tcPr>
            <w:tcW w:w="1426" w:type="dxa"/>
            <w:tcBorders>
              <w:top w:val="nil"/>
              <w:left w:val="nil"/>
              <w:bottom w:val="single" w:color="auto" w:sz="4" w:space="0"/>
              <w:right w:val="single" w:color="auto" w:sz="4" w:space="0"/>
            </w:tcBorders>
            <w:noWrap w:val="0"/>
            <w:vAlign w:val="center"/>
          </w:tcPr>
          <w:p w14:paraId="3D59121E">
            <w:pPr>
              <w:widowControl/>
              <w:jc w:val="center"/>
              <w:rPr>
                <w:rFonts w:ascii="宋体" w:hAnsi="宋体" w:cs="宋体"/>
                <w:color w:val="auto"/>
                <w:kern w:val="0"/>
                <w:sz w:val="18"/>
                <w:szCs w:val="18"/>
              </w:rPr>
            </w:pPr>
            <w:r>
              <w:rPr>
                <w:rFonts w:hint="eastAsia" w:ascii="宋体" w:hAnsi="宋体" w:cs="宋体"/>
                <w:color w:val="auto"/>
                <w:kern w:val="0"/>
                <w:sz w:val="18"/>
                <w:szCs w:val="18"/>
              </w:rPr>
              <w:t xml:space="preserve"> 300≤Y＜2000</w:t>
            </w:r>
          </w:p>
        </w:tc>
        <w:tc>
          <w:tcPr>
            <w:tcW w:w="992" w:type="dxa"/>
            <w:tcBorders>
              <w:top w:val="nil"/>
              <w:left w:val="nil"/>
              <w:bottom w:val="single" w:color="auto" w:sz="4" w:space="0"/>
              <w:right w:val="nil"/>
            </w:tcBorders>
            <w:noWrap w:val="0"/>
            <w:vAlign w:val="center"/>
          </w:tcPr>
          <w:p w14:paraId="60D8F299">
            <w:pPr>
              <w:widowControl/>
              <w:jc w:val="center"/>
              <w:rPr>
                <w:rFonts w:ascii="宋体" w:hAnsi="宋体" w:cs="宋体"/>
                <w:color w:val="auto"/>
                <w:kern w:val="0"/>
                <w:sz w:val="18"/>
                <w:szCs w:val="18"/>
              </w:rPr>
            </w:pPr>
            <w:r>
              <w:rPr>
                <w:rFonts w:hint="eastAsia" w:ascii="宋体" w:hAnsi="宋体" w:cs="宋体"/>
                <w:color w:val="auto"/>
                <w:kern w:val="0"/>
                <w:sz w:val="18"/>
                <w:szCs w:val="18"/>
              </w:rPr>
              <w:t>Y＜300</w:t>
            </w:r>
          </w:p>
        </w:tc>
      </w:tr>
      <w:tr w14:paraId="1DAAB411">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noWrap w:val="0"/>
            <w:vAlign w:val="center"/>
          </w:tcPr>
          <w:p w14:paraId="2DB5E019">
            <w:pPr>
              <w:widowControl/>
              <w:spacing w:line="240" w:lineRule="exact"/>
              <w:jc w:val="left"/>
              <w:rPr>
                <w:rFonts w:ascii="宋体" w:hAnsi="宋体" w:cs="宋体"/>
                <w:color w:val="auto"/>
                <w:kern w:val="0"/>
                <w:sz w:val="18"/>
                <w:szCs w:val="18"/>
              </w:rPr>
            </w:pPr>
            <w:r>
              <w:rPr>
                <w:rFonts w:hint="eastAsia" w:ascii="宋体" w:hAnsi="宋体" w:cs="宋体"/>
                <w:color w:val="auto"/>
                <w:kern w:val="0"/>
                <w:sz w:val="18"/>
                <w:szCs w:val="18"/>
              </w:rPr>
              <w:t>建筑业</w:t>
            </w:r>
          </w:p>
        </w:tc>
        <w:tc>
          <w:tcPr>
            <w:tcW w:w="1369" w:type="dxa"/>
            <w:tcBorders>
              <w:top w:val="nil"/>
              <w:left w:val="nil"/>
              <w:bottom w:val="nil"/>
              <w:right w:val="single" w:color="auto" w:sz="4" w:space="0"/>
            </w:tcBorders>
            <w:noWrap w:val="0"/>
            <w:vAlign w:val="center"/>
          </w:tcPr>
          <w:p w14:paraId="20D7866C">
            <w:pPr>
              <w:widowControl/>
              <w:jc w:val="center"/>
              <w:rPr>
                <w:rFonts w:ascii="宋体" w:hAnsi="宋体" w:cs="宋体"/>
                <w:color w:val="auto"/>
                <w:kern w:val="0"/>
                <w:sz w:val="18"/>
                <w:szCs w:val="18"/>
              </w:rPr>
            </w:pPr>
            <w:r>
              <w:rPr>
                <w:rFonts w:hint="eastAsia" w:ascii="宋体" w:hAnsi="宋体" w:cs="宋体"/>
                <w:color w:val="auto"/>
                <w:kern w:val="0"/>
                <w:sz w:val="18"/>
                <w:szCs w:val="18"/>
              </w:rPr>
              <w:t>营业收入(Y)</w:t>
            </w:r>
          </w:p>
        </w:tc>
        <w:tc>
          <w:tcPr>
            <w:tcW w:w="709" w:type="dxa"/>
            <w:tcBorders>
              <w:top w:val="nil"/>
              <w:left w:val="nil"/>
              <w:bottom w:val="nil"/>
              <w:right w:val="single" w:color="auto" w:sz="4" w:space="0"/>
            </w:tcBorders>
            <w:noWrap w:val="0"/>
            <w:vAlign w:val="center"/>
          </w:tcPr>
          <w:p w14:paraId="1592F1EE">
            <w:pPr>
              <w:widowControl/>
              <w:jc w:val="center"/>
              <w:rPr>
                <w:rFonts w:ascii="宋体" w:hAnsi="宋体" w:cs="宋体"/>
                <w:color w:val="auto"/>
                <w:kern w:val="0"/>
                <w:sz w:val="18"/>
                <w:szCs w:val="18"/>
              </w:rPr>
            </w:pPr>
            <w:r>
              <w:rPr>
                <w:rFonts w:hint="eastAsia" w:ascii="宋体" w:hAnsi="宋体" w:cs="宋体"/>
                <w:color w:val="auto"/>
                <w:kern w:val="0"/>
                <w:sz w:val="18"/>
                <w:szCs w:val="18"/>
              </w:rPr>
              <w:t>万元</w:t>
            </w:r>
          </w:p>
        </w:tc>
        <w:tc>
          <w:tcPr>
            <w:tcW w:w="1125" w:type="dxa"/>
            <w:tcBorders>
              <w:top w:val="nil"/>
              <w:left w:val="nil"/>
              <w:bottom w:val="nil"/>
              <w:right w:val="single" w:color="auto" w:sz="4" w:space="0"/>
            </w:tcBorders>
            <w:noWrap w:val="0"/>
            <w:vAlign w:val="center"/>
          </w:tcPr>
          <w:p w14:paraId="31EB8772">
            <w:pPr>
              <w:widowControl/>
              <w:jc w:val="center"/>
              <w:rPr>
                <w:rFonts w:ascii="宋体" w:hAnsi="宋体" w:cs="宋体"/>
                <w:color w:val="auto"/>
                <w:kern w:val="0"/>
                <w:sz w:val="18"/>
                <w:szCs w:val="18"/>
              </w:rPr>
            </w:pPr>
            <w:r>
              <w:rPr>
                <w:rFonts w:hint="eastAsia" w:ascii="宋体" w:hAnsi="宋体" w:cs="宋体"/>
                <w:color w:val="auto"/>
                <w:kern w:val="0"/>
                <w:sz w:val="18"/>
                <w:szCs w:val="18"/>
              </w:rPr>
              <w:t>Y≥80000</w:t>
            </w:r>
          </w:p>
        </w:tc>
        <w:tc>
          <w:tcPr>
            <w:tcW w:w="1701" w:type="dxa"/>
            <w:tcBorders>
              <w:top w:val="nil"/>
              <w:left w:val="nil"/>
              <w:bottom w:val="nil"/>
              <w:right w:val="single" w:color="auto" w:sz="4" w:space="0"/>
            </w:tcBorders>
            <w:noWrap w:val="0"/>
            <w:vAlign w:val="center"/>
          </w:tcPr>
          <w:p w14:paraId="43ED1AC7">
            <w:pPr>
              <w:widowControl/>
              <w:jc w:val="center"/>
              <w:rPr>
                <w:rFonts w:ascii="宋体" w:hAnsi="宋体" w:cs="宋体"/>
                <w:color w:val="auto"/>
                <w:kern w:val="0"/>
                <w:sz w:val="18"/>
                <w:szCs w:val="18"/>
              </w:rPr>
            </w:pPr>
            <w:r>
              <w:rPr>
                <w:rFonts w:hint="eastAsia" w:ascii="宋体" w:hAnsi="宋体" w:cs="宋体"/>
                <w:color w:val="auto"/>
                <w:kern w:val="0"/>
                <w:sz w:val="18"/>
                <w:szCs w:val="18"/>
              </w:rPr>
              <w:t>6000≤Y＜80000</w:t>
            </w:r>
          </w:p>
        </w:tc>
        <w:tc>
          <w:tcPr>
            <w:tcW w:w="1426" w:type="dxa"/>
            <w:tcBorders>
              <w:top w:val="nil"/>
              <w:left w:val="nil"/>
              <w:bottom w:val="nil"/>
              <w:right w:val="single" w:color="auto" w:sz="4" w:space="0"/>
            </w:tcBorders>
            <w:noWrap w:val="0"/>
            <w:vAlign w:val="center"/>
          </w:tcPr>
          <w:p w14:paraId="74163852">
            <w:pPr>
              <w:widowControl/>
              <w:jc w:val="center"/>
              <w:rPr>
                <w:rFonts w:ascii="宋体" w:hAnsi="宋体" w:cs="宋体"/>
                <w:color w:val="auto"/>
                <w:kern w:val="0"/>
                <w:sz w:val="18"/>
                <w:szCs w:val="18"/>
              </w:rPr>
            </w:pPr>
            <w:r>
              <w:rPr>
                <w:rFonts w:hint="eastAsia" w:ascii="宋体" w:hAnsi="宋体" w:cs="宋体"/>
                <w:color w:val="auto"/>
                <w:kern w:val="0"/>
                <w:sz w:val="18"/>
                <w:szCs w:val="18"/>
              </w:rPr>
              <w:t xml:space="preserve"> 300≤Y＜6000</w:t>
            </w:r>
          </w:p>
        </w:tc>
        <w:tc>
          <w:tcPr>
            <w:tcW w:w="992" w:type="dxa"/>
            <w:tcBorders>
              <w:top w:val="nil"/>
              <w:left w:val="nil"/>
              <w:bottom w:val="nil"/>
              <w:right w:val="nil"/>
            </w:tcBorders>
            <w:noWrap w:val="0"/>
            <w:vAlign w:val="center"/>
          </w:tcPr>
          <w:p w14:paraId="56DA12F2">
            <w:pPr>
              <w:widowControl/>
              <w:jc w:val="center"/>
              <w:rPr>
                <w:rFonts w:ascii="宋体" w:hAnsi="宋体" w:cs="宋体"/>
                <w:color w:val="auto"/>
                <w:kern w:val="0"/>
                <w:sz w:val="18"/>
                <w:szCs w:val="18"/>
              </w:rPr>
            </w:pPr>
            <w:r>
              <w:rPr>
                <w:rFonts w:hint="eastAsia" w:ascii="宋体" w:hAnsi="宋体" w:cs="宋体"/>
                <w:color w:val="auto"/>
                <w:kern w:val="0"/>
                <w:sz w:val="18"/>
                <w:szCs w:val="18"/>
              </w:rPr>
              <w:t>Y＜300</w:t>
            </w:r>
          </w:p>
        </w:tc>
      </w:tr>
      <w:tr w14:paraId="4ED092A9">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noWrap w:val="0"/>
            <w:vAlign w:val="center"/>
          </w:tcPr>
          <w:p w14:paraId="7AF84B5B">
            <w:pPr>
              <w:widowControl/>
              <w:jc w:val="left"/>
              <w:rPr>
                <w:rFonts w:ascii="宋体" w:hAnsi="宋体" w:cs="宋体"/>
                <w:color w:val="auto"/>
                <w:kern w:val="0"/>
                <w:sz w:val="18"/>
                <w:szCs w:val="18"/>
              </w:rPr>
            </w:pPr>
          </w:p>
        </w:tc>
        <w:tc>
          <w:tcPr>
            <w:tcW w:w="1369" w:type="dxa"/>
            <w:tcBorders>
              <w:top w:val="nil"/>
              <w:left w:val="nil"/>
              <w:bottom w:val="single" w:color="auto" w:sz="4" w:space="0"/>
              <w:right w:val="single" w:color="auto" w:sz="4" w:space="0"/>
            </w:tcBorders>
            <w:noWrap w:val="0"/>
            <w:vAlign w:val="center"/>
          </w:tcPr>
          <w:p w14:paraId="7A2E8546">
            <w:pPr>
              <w:widowControl/>
              <w:spacing w:line="240" w:lineRule="exact"/>
              <w:jc w:val="center"/>
              <w:rPr>
                <w:rFonts w:ascii="宋体" w:hAnsi="宋体" w:cs="宋体"/>
                <w:color w:val="auto"/>
                <w:kern w:val="0"/>
                <w:sz w:val="18"/>
                <w:szCs w:val="18"/>
              </w:rPr>
            </w:pPr>
            <w:r>
              <w:rPr>
                <w:rFonts w:hint="eastAsia" w:ascii="宋体" w:hAnsi="宋体" w:cs="宋体"/>
                <w:color w:val="auto"/>
                <w:kern w:val="0"/>
                <w:sz w:val="18"/>
                <w:szCs w:val="18"/>
              </w:rPr>
              <w:t>资产总额(Z)</w:t>
            </w:r>
          </w:p>
        </w:tc>
        <w:tc>
          <w:tcPr>
            <w:tcW w:w="709" w:type="dxa"/>
            <w:tcBorders>
              <w:top w:val="nil"/>
              <w:left w:val="nil"/>
              <w:bottom w:val="single" w:color="auto" w:sz="4" w:space="0"/>
              <w:right w:val="single" w:color="auto" w:sz="4" w:space="0"/>
            </w:tcBorders>
            <w:noWrap w:val="0"/>
            <w:vAlign w:val="center"/>
          </w:tcPr>
          <w:p w14:paraId="6982588D">
            <w:pPr>
              <w:widowControl/>
              <w:jc w:val="center"/>
              <w:rPr>
                <w:rFonts w:ascii="宋体" w:hAnsi="宋体" w:cs="宋体"/>
                <w:color w:val="auto"/>
                <w:kern w:val="0"/>
                <w:sz w:val="18"/>
                <w:szCs w:val="18"/>
              </w:rPr>
            </w:pPr>
            <w:r>
              <w:rPr>
                <w:rFonts w:hint="eastAsia" w:ascii="宋体" w:hAnsi="宋体" w:cs="宋体"/>
                <w:color w:val="auto"/>
                <w:kern w:val="0"/>
                <w:sz w:val="18"/>
                <w:szCs w:val="18"/>
              </w:rPr>
              <w:t>万元</w:t>
            </w:r>
          </w:p>
        </w:tc>
        <w:tc>
          <w:tcPr>
            <w:tcW w:w="1125" w:type="dxa"/>
            <w:tcBorders>
              <w:top w:val="nil"/>
              <w:left w:val="nil"/>
              <w:bottom w:val="single" w:color="auto" w:sz="4" w:space="0"/>
              <w:right w:val="single" w:color="auto" w:sz="4" w:space="0"/>
            </w:tcBorders>
            <w:noWrap w:val="0"/>
            <w:vAlign w:val="center"/>
          </w:tcPr>
          <w:p w14:paraId="02B4B77F">
            <w:pPr>
              <w:widowControl/>
              <w:jc w:val="center"/>
              <w:rPr>
                <w:rFonts w:ascii="宋体" w:hAnsi="宋体" w:cs="宋体"/>
                <w:color w:val="auto"/>
                <w:kern w:val="0"/>
                <w:sz w:val="18"/>
                <w:szCs w:val="18"/>
              </w:rPr>
            </w:pPr>
            <w:r>
              <w:rPr>
                <w:rFonts w:hint="eastAsia" w:ascii="宋体" w:hAnsi="宋体" w:cs="宋体"/>
                <w:color w:val="auto"/>
                <w:kern w:val="0"/>
                <w:sz w:val="18"/>
                <w:szCs w:val="18"/>
              </w:rPr>
              <w:t>Z≥80000</w:t>
            </w:r>
          </w:p>
        </w:tc>
        <w:tc>
          <w:tcPr>
            <w:tcW w:w="1701" w:type="dxa"/>
            <w:tcBorders>
              <w:top w:val="nil"/>
              <w:left w:val="nil"/>
              <w:bottom w:val="single" w:color="auto" w:sz="4" w:space="0"/>
              <w:right w:val="single" w:color="auto" w:sz="4" w:space="0"/>
            </w:tcBorders>
            <w:noWrap w:val="0"/>
            <w:vAlign w:val="center"/>
          </w:tcPr>
          <w:p w14:paraId="3202FC55">
            <w:pPr>
              <w:widowControl/>
              <w:jc w:val="center"/>
              <w:rPr>
                <w:rFonts w:ascii="宋体" w:hAnsi="宋体" w:cs="宋体"/>
                <w:color w:val="auto"/>
                <w:kern w:val="0"/>
                <w:sz w:val="18"/>
                <w:szCs w:val="18"/>
              </w:rPr>
            </w:pPr>
            <w:r>
              <w:rPr>
                <w:rFonts w:hint="eastAsia" w:ascii="宋体" w:hAnsi="宋体" w:cs="宋体"/>
                <w:color w:val="auto"/>
                <w:kern w:val="0"/>
                <w:sz w:val="18"/>
                <w:szCs w:val="18"/>
              </w:rPr>
              <w:t>5000≤Z＜80000</w:t>
            </w:r>
          </w:p>
        </w:tc>
        <w:tc>
          <w:tcPr>
            <w:tcW w:w="1426" w:type="dxa"/>
            <w:tcBorders>
              <w:top w:val="nil"/>
              <w:left w:val="nil"/>
              <w:bottom w:val="single" w:color="auto" w:sz="4" w:space="0"/>
              <w:right w:val="single" w:color="auto" w:sz="4" w:space="0"/>
            </w:tcBorders>
            <w:noWrap w:val="0"/>
            <w:vAlign w:val="center"/>
          </w:tcPr>
          <w:p w14:paraId="1E6C8E0F">
            <w:pPr>
              <w:widowControl/>
              <w:jc w:val="center"/>
              <w:rPr>
                <w:rFonts w:ascii="宋体" w:hAnsi="宋体" w:cs="宋体"/>
                <w:color w:val="auto"/>
                <w:kern w:val="0"/>
                <w:sz w:val="18"/>
                <w:szCs w:val="18"/>
              </w:rPr>
            </w:pPr>
            <w:r>
              <w:rPr>
                <w:rFonts w:hint="eastAsia" w:ascii="宋体" w:hAnsi="宋体" w:cs="宋体"/>
                <w:color w:val="auto"/>
                <w:kern w:val="0"/>
                <w:sz w:val="18"/>
                <w:szCs w:val="18"/>
              </w:rPr>
              <w:t xml:space="preserve"> 300≤Z＜5000</w:t>
            </w:r>
          </w:p>
        </w:tc>
        <w:tc>
          <w:tcPr>
            <w:tcW w:w="992" w:type="dxa"/>
            <w:tcBorders>
              <w:top w:val="nil"/>
              <w:left w:val="nil"/>
              <w:bottom w:val="single" w:color="auto" w:sz="4" w:space="0"/>
              <w:right w:val="nil"/>
            </w:tcBorders>
            <w:noWrap w:val="0"/>
            <w:vAlign w:val="center"/>
          </w:tcPr>
          <w:p w14:paraId="73AE3E03">
            <w:pPr>
              <w:widowControl/>
              <w:jc w:val="center"/>
              <w:rPr>
                <w:rFonts w:ascii="宋体" w:hAnsi="宋体" w:cs="宋体"/>
                <w:color w:val="auto"/>
                <w:kern w:val="0"/>
                <w:sz w:val="18"/>
                <w:szCs w:val="18"/>
              </w:rPr>
            </w:pPr>
            <w:r>
              <w:rPr>
                <w:rFonts w:hint="eastAsia" w:ascii="宋体" w:hAnsi="宋体" w:cs="宋体"/>
                <w:color w:val="auto"/>
                <w:kern w:val="0"/>
                <w:sz w:val="18"/>
                <w:szCs w:val="18"/>
              </w:rPr>
              <w:t>Z＜300</w:t>
            </w:r>
          </w:p>
        </w:tc>
      </w:tr>
      <w:tr w14:paraId="4BDB9424">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noWrap w:val="0"/>
            <w:vAlign w:val="center"/>
          </w:tcPr>
          <w:p w14:paraId="7B6E2495">
            <w:pPr>
              <w:widowControl/>
              <w:spacing w:line="240" w:lineRule="exact"/>
              <w:jc w:val="left"/>
              <w:rPr>
                <w:rFonts w:ascii="宋体" w:hAnsi="宋体" w:cs="宋体"/>
                <w:color w:val="auto"/>
                <w:kern w:val="0"/>
                <w:sz w:val="18"/>
                <w:szCs w:val="18"/>
              </w:rPr>
            </w:pPr>
            <w:r>
              <w:rPr>
                <w:rFonts w:hint="eastAsia" w:ascii="宋体" w:hAnsi="宋体" w:cs="宋体"/>
                <w:color w:val="auto"/>
                <w:kern w:val="0"/>
                <w:sz w:val="18"/>
                <w:szCs w:val="18"/>
              </w:rPr>
              <w:t>批发业</w:t>
            </w:r>
          </w:p>
        </w:tc>
        <w:tc>
          <w:tcPr>
            <w:tcW w:w="1369" w:type="dxa"/>
            <w:tcBorders>
              <w:top w:val="nil"/>
              <w:left w:val="nil"/>
              <w:bottom w:val="nil"/>
              <w:right w:val="single" w:color="auto" w:sz="4" w:space="0"/>
            </w:tcBorders>
            <w:noWrap w:val="0"/>
            <w:vAlign w:val="center"/>
          </w:tcPr>
          <w:p w14:paraId="2FF06610">
            <w:pPr>
              <w:widowControl/>
              <w:jc w:val="center"/>
              <w:rPr>
                <w:rFonts w:ascii="宋体" w:hAnsi="宋体" w:cs="宋体"/>
                <w:color w:val="auto"/>
                <w:kern w:val="0"/>
                <w:sz w:val="18"/>
                <w:szCs w:val="18"/>
              </w:rPr>
            </w:pPr>
            <w:r>
              <w:rPr>
                <w:rFonts w:hint="eastAsia" w:ascii="宋体" w:hAnsi="宋体" w:cs="宋体"/>
                <w:color w:val="auto"/>
                <w:kern w:val="0"/>
                <w:sz w:val="18"/>
                <w:szCs w:val="18"/>
              </w:rPr>
              <w:t>从业人员(X)</w:t>
            </w:r>
          </w:p>
        </w:tc>
        <w:tc>
          <w:tcPr>
            <w:tcW w:w="709" w:type="dxa"/>
            <w:tcBorders>
              <w:top w:val="nil"/>
              <w:left w:val="nil"/>
              <w:bottom w:val="nil"/>
              <w:right w:val="single" w:color="auto" w:sz="4" w:space="0"/>
            </w:tcBorders>
            <w:noWrap w:val="0"/>
            <w:vAlign w:val="center"/>
          </w:tcPr>
          <w:p w14:paraId="3300BF85">
            <w:pPr>
              <w:widowControl/>
              <w:jc w:val="center"/>
              <w:rPr>
                <w:rFonts w:ascii="宋体" w:hAnsi="宋体" w:cs="宋体"/>
                <w:color w:val="auto"/>
                <w:kern w:val="0"/>
                <w:sz w:val="18"/>
                <w:szCs w:val="18"/>
              </w:rPr>
            </w:pPr>
            <w:r>
              <w:rPr>
                <w:rFonts w:hint="eastAsia" w:ascii="宋体" w:hAnsi="宋体" w:cs="宋体"/>
                <w:color w:val="auto"/>
                <w:kern w:val="0"/>
                <w:sz w:val="18"/>
                <w:szCs w:val="18"/>
              </w:rPr>
              <w:t>人</w:t>
            </w:r>
          </w:p>
        </w:tc>
        <w:tc>
          <w:tcPr>
            <w:tcW w:w="1125" w:type="dxa"/>
            <w:tcBorders>
              <w:top w:val="nil"/>
              <w:left w:val="nil"/>
              <w:bottom w:val="nil"/>
              <w:right w:val="single" w:color="auto" w:sz="4" w:space="0"/>
            </w:tcBorders>
            <w:noWrap w:val="0"/>
            <w:vAlign w:val="center"/>
          </w:tcPr>
          <w:p w14:paraId="09EFD2AE">
            <w:pPr>
              <w:widowControl/>
              <w:jc w:val="center"/>
              <w:rPr>
                <w:rFonts w:ascii="宋体" w:hAnsi="宋体" w:cs="宋体"/>
                <w:color w:val="auto"/>
                <w:kern w:val="0"/>
                <w:sz w:val="18"/>
                <w:szCs w:val="18"/>
              </w:rPr>
            </w:pPr>
            <w:r>
              <w:rPr>
                <w:rFonts w:hint="eastAsia" w:ascii="宋体" w:hAnsi="宋体" w:cs="宋体"/>
                <w:color w:val="auto"/>
                <w:kern w:val="0"/>
                <w:sz w:val="18"/>
                <w:szCs w:val="18"/>
              </w:rPr>
              <w:t>X≥200</w:t>
            </w:r>
          </w:p>
        </w:tc>
        <w:tc>
          <w:tcPr>
            <w:tcW w:w="1701" w:type="dxa"/>
            <w:tcBorders>
              <w:top w:val="nil"/>
              <w:left w:val="nil"/>
              <w:bottom w:val="nil"/>
              <w:right w:val="single" w:color="auto" w:sz="4" w:space="0"/>
            </w:tcBorders>
            <w:noWrap w:val="0"/>
            <w:vAlign w:val="center"/>
          </w:tcPr>
          <w:p w14:paraId="2A1E16EE">
            <w:pPr>
              <w:widowControl/>
              <w:jc w:val="center"/>
              <w:rPr>
                <w:rFonts w:ascii="宋体" w:hAnsi="宋体" w:cs="宋体"/>
                <w:color w:val="auto"/>
                <w:kern w:val="0"/>
                <w:sz w:val="18"/>
                <w:szCs w:val="18"/>
              </w:rPr>
            </w:pPr>
            <w:r>
              <w:rPr>
                <w:rFonts w:hint="eastAsia" w:ascii="宋体" w:hAnsi="宋体" w:cs="宋体"/>
                <w:color w:val="auto"/>
                <w:kern w:val="0"/>
                <w:sz w:val="18"/>
                <w:szCs w:val="18"/>
              </w:rPr>
              <w:t>20≤X＜200</w:t>
            </w:r>
          </w:p>
        </w:tc>
        <w:tc>
          <w:tcPr>
            <w:tcW w:w="1426" w:type="dxa"/>
            <w:tcBorders>
              <w:top w:val="nil"/>
              <w:left w:val="nil"/>
              <w:bottom w:val="nil"/>
              <w:right w:val="single" w:color="auto" w:sz="4" w:space="0"/>
            </w:tcBorders>
            <w:noWrap w:val="0"/>
            <w:vAlign w:val="center"/>
          </w:tcPr>
          <w:p w14:paraId="6565D115">
            <w:pPr>
              <w:widowControl/>
              <w:jc w:val="center"/>
              <w:rPr>
                <w:rFonts w:ascii="宋体" w:hAnsi="宋体" w:cs="宋体"/>
                <w:color w:val="auto"/>
                <w:kern w:val="0"/>
                <w:sz w:val="18"/>
                <w:szCs w:val="18"/>
              </w:rPr>
            </w:pPr>
            <w:r>
              <w:rPr>
                <w:rFonts w:hint="eastAsia" w:ascii="宋体" w:hAnsi="宋体" w:cs="宋体"/>
                <w:color w:val="auto"/>
                <w:kern w:val="0"/>
                <w:sz w:val="18"/>
                <w:szCs w:val="18"/>
              </w:rPr>
              <w:t xml:space="preserve"> 5≤X＜20</w:t>
            </w:r>
          </w:p>
        </w:tc>
        <w:tc>
          <w:tcPr>
            <w:tcW w:w="992" w:type="dxa"/>
            <w:tcBorders>
              <w:top w:val="nil"/>
              <w:left w:val="nil"/>
              <w:bottom w:val="nil"/>
              <w:right w:val="nil"/>
            </w:tcBorders>
            <w:noWrap w:val="0"/>
            <w:vAlign w:val="center"/>
          </w:tcPr>
          <w:p w14:paraId="12A9F812">
            <w:pPr>
              <w:widowControl/>
              <w:jc w:val="center"/>
              <w:rPr>
                <w:rFonts w:ascii="宋体" w:hAnsi="宋体" w:cs="宋体"/>
                <w:color w:val="auto"/>
                <w:kern w:val="0"/>
                <w:sz w:val="18"/>
                <w:szCs w:val="18"/>
              </w:rPr>
            </w:pPr>
            <w:r>
              <w:rPr>
                <w:rFonts w:hint="eastAsia" w:ascii="宋体" w:hAnsi="宋体" w:cs="宋体"/>
                <w:color w:val="auto"/>
                <w:kern w:val="0"/>
                <w:sz w:val="18"/>
                <w:szCs w:val="18"/>
              </w:rPr>
              <w:t>X＜5</w:t>
            </w:r>
          </w:p>
        </w:tc>
      </w:tr>
      <w:tr w14:paraId="657262A1">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noWrap w:val="0"/>
            <w:vAlign w:val="center"/>
          </w:tcPr>
          <w:p w14:paraId="5B51A12E">
            <w:pPr>
              <w:widowControl/>
              <w:jc w:val="left"/>
              <w:rPr>
                <w:rFonts w:ascii="宋体" w:hAnsi="宋体" w:cs="宋体"/>
                <w:color w:val="auto"/>
                <w:kern w:val="0"/>
                <w:sz w:val="18"/>
                <w:szCs w:val="18"/>
              </w:rPr>
            </w:pPr>
          </w:p>
        </w:tc>
        <w:tc>
          <w:tcPr>
            <w:tcW w:w="1369" w:type="dxa"/>
            <w:tcBorders>
              <w:top w:val="nil"/>
              <w:left w:val="nil"/>
              <w:bottom w:val="single" w:color="auto" w:sz="4" w:space="0"/>
              <w:right w:val="single" w:color="auto" w:sz="4" w:space="0"/>
            </w:tcBorders>
            <w:noWrap w:val="0"/>
            <w:vAlign w:val="center"/>
          </w:tcPr>
          <w:p w14:paraId="5345DB99">
            <w:pPr>
              <w:widowControl/>
              <w:spacing w:line="240" w:lineRule="exact"/>
              <w:jc w:val="center"/>
              <w:rPr>
                <w:rFonts w:ascii="宋体" w:hAnsi="宋体" w:cs="宋体"/>
                <w:color w:val="auto"/>
                <w:kern w:val="0"/>
                <w:sz w:val="18"/>
                <w:szCs w:val="18"/>
              </w:rPr>
            </w:pPr>
            <w:r>
              <w:rPr>
                <w:rFonts w:hint="eastAsia" w:ascii="宋体" w:hAnsi="宋体" w:cs="宋体"/>
                <w:color w:val="auto"/>
                <w:kern w:val="0"/>
                <w:sz w:val="18"/>
                <w:szCs w:val="18"/>
              </w:rPr>
              <w:t>营业收入(Y)</w:t>
            </w:r>
          </w:p>
        </w:tc>
        <w:tc>
          <w:tcPr>
            <w:tcW w:w="709" w:type="dxa"/>
            <w:tcBorders>
              <w:top w:val="nil"/>
              <w:left w:val="nil"/>
              <w:bottom w:val="single" w:color="auto" w:sz="4" w:space="0"/>
              <w:right w:val="single" w:color="auto" w:sz="4" w:space="0"/>
            </w:tcBorders>
            <w:noWrap w:val="0"/>
            <w:vAlign w:val="center"/>
          </w:tcPr>
          <w:p w14:paraId="103245EC">
            <w:pPr>
              <w:widowControl/>
              <w:jc w:val="center"/>
              <w:rPr>
                <w:rFonts w:ascii="宋体" w:hAnsi="宋体" w:cs="宋体"/>
                <w:color w:val="auto"/>
                <w:kern w:val="0"/>
                <w:sz w:val="18"/>
                <w:szCs w:val="18"/>
              </w:rPr>
            </w:pPr>
            <w:r>
              <w:rPr>
                <w:rFonts w:hint="eastAsia" w:ascii="宋体" w:hAnsi="宋体" w:cs="宋体"/>
                <w:color w:val="auto"/>
                <w:kern w:val="0"/>
                <w:sz w:val="18"/>
                <w:szCs w:val="18"/>
              </w:rPr>
              <w:t>万元</w:t>
            </w:r>
          </w:p>
        </w:tc>
        <w:tc>
          <w:tcPr>
            <w:tcW w:w="1125" w:type="dxa"/>
            <w:tcBorders>
              <w:top w:val="nil"/>
              <w:left w:val="nil"/>
              <w:bottom w:val="single" w:color="auto" w:sz="4" w:space="0"/>
              <w:right w:val="single" w:color="auto" w:sz="4" w:space="0"/>
            </w:tcBorders>
            <w:noWrap w:val="0"/>
            <w:vAlign w:val="center"/>
          </w:tcPr>
          <w:p w14:paraId="04C4D2AA">
            <w:pPr>
              <w:widowControl/>
              <w:jc w:val="center"/>
              <w:rPr>
                <w:rFonts w:ascii="宋体" w:hAnsi="宋体" w:cs="宋体"/>
                <w:color w:val="auto"/>
                <w:kern w:val="0"/>
                <w:sz w:val="18"/>
                <w:szCs w:val="18"/>
              </w:rPr>
            </w:pPr>
            <w:r>
              <w:rPr>
                <w:rFonts w:hint="eastAsia" w:ascii="宋体" w:hAnsi="宋体" w:cs="宋体"/>
                <w:color w:val="auto"/>
                <w:kern w:val="0"/>
                <w:sz w:val="18"/>
                <w:szCs w:val="18"/>
              </w:rPr>
              <w:t>Y≥40000</w:t>
            </w:r>
          </w:p>
        </w:tc>
        <w:tc>
          <w:tcPr>
            <w:tcW w:w="1701" w:type="dxa"/>
            <w:tcBorders>
              <w:top w:val="nil"/>
              <w:left w:val="nil"/>
              <w:bottom w:val="single" w:color="auto" w:sz="4" w:space="0"/>
              <w:right w:val="single" w:color="auto" w:sz="4" w:space="0"/>
            </w:tcBorders>
            <w:noWrap w:val="0"/>
            <w:vAlign w:val="center"/>
          </w:tcPr>
          <w:p w14:paraId="7622D561">
            <w:pPr>
              <w:widowControl/>
              <w:jc w:val="center"/>
              <w:rPr>
                <w:rFonts w:ascii="宋体" w:hAnsi="宋体" w:cs="宋体"/>
                <w:color w:val="auto"/>
                <w:kern w:val="0"/>
                <w:sz w:val="18"/>
                <w:szCs w:val="18"/>
              </w:rPr>
            </w:pPr>
            <w:r>
              <w:rPr>
                <w:rFonts w:hint="eastAsia" w:ascii="宋体" w:hAnsi="宋体" w:cs="宋体"/>
                <w:color w:val="auto"/>
                <w:kern w:val="0"/>
                <w:sz w:val="18"/>
                <w:szCs w:val="18"/>
              </w:rPr>
              <w:t>5000≤Y＜40000</w:t>
            </w:r>
          </w:p>
        </w:tc>
        <w:tc>
          <w:tcPr>
            <w:tcW w:w="1426" w:type="dxa"/>
            <w:tcBorders>
              <w:top w:val="nil"/>
              <w:left w:val="nil"/>
              <w:bottom w:val="single" w:color="auto" w:sz="4" w:space="0"/>
              <w:right w:val="single" w:color="auto" w:sz="4" w:space="0"/>
            </w:tcBorders>
            <w:noWrap w:val="0"/>
            <w:vAlign w:val="center"/>
          </w:tcPr>
          <w:p w14:paraId="60171571">
            <w:pPr>
              <w:widowControl/>
              <w:ind w:left="-1" w:leftChars="-1" w:hanging="1"/>
              <w:jc w:val="center"/>
              <w:rPr>
                <w:rFonts w:ascii="宋体" w:hAnsi="宋体" w:cs="宋体"/>
                <w:color w:val="auto"/>
                <w:kern w:val="0"/>
                <w:sz w:val="18"/>
                <w:szCs w:val="18"/>
              </w:rPr>
            </w:pPr>
            <w:r>
              <w:rPr>
                <w:rFonts w:hint="eastAsia" w:ascii="宋体" w:hAnsi="宋体" w:cs="宋体"/>
                <w:color w:val="auto"/>
                <w:kern w:val="0"/>
                <w:sz w:val="18"/>
                <w:szCs w:val="18"/>
              </w:rPr>
              <w:t>1000≤Y＜5000</w:t>
            </w:r>
          </w:p>
        </w:tc>
        <w:tc>
          <w:tcPr>
            <w:tcW w:w="992" w:type="dxa"/>
            <w:tcBorders>
              <w:top w:val="nil"/>
              <w:left w:val="nil"/>
              <w:bottom w:val="single" w:color="auto" w:sz="4" w:space="0"/>
              <w:right w:val="nil"/>
            </w:tcBorders>
            <w:noWrap w:val="0"/>
            <w:vAlign w:val="center"/>
          </w:tcPr>
          <w:p w14:paraId="05C7BA3D">
            <w:pPr>
              <w:widowControl/>
              <w:jc w:val="center"/>
              <w:rPr>
                <w:rFonts w:ascii="宋体" w:hAnsi="宋体" w:cs="宋体"/>
                <w:color w:val="auto"/>
                <w:kern w:val="0"/>
                <w:sz w:val="18"/>
                <w:szCs w:val="18"/>
              </w:rPr>
            </w:pPr>
            <w:r>
              <w:rPr>
                <w:rFonts w:hint="eastAsia" w:ascii="宋体" w:hAnsi="宋体" w:cs="宋体"/>
                <w:color w:val="auto"/>
                <w:kern w:val="0"/>
                <w:sz w:val="18"/>
                <w:szCs w:val="18"/>
              </w:rPr>
              <w:t>Y＜1000</w:t>
            </w:r>
          </w:p>
        </w:tc>
      </w:tr>
      <w:tr w14:paraId="659DE78A">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noWrap w:val="0"/>
            <w:vAlign w:val="center"/>
          </w:tcPr>
          <w:p w14:paraId="582C36D6">
            <w:pPr>
              <w:widowControl/>
              <w:spacing w:line="240" w:lineRule="exact"/>
              <w:jc w:val="left"/>
              <w:rPr>
                <w:rFonts w:ascii="宋体" w:hAnsi="宋体" w:cs="宋体"/>
                <w:color w:val="auto"/>
                <w:kern w:val="0"/>
                <w:sz w:val="18"/>
                <w:szCs w:val="18"/>
              </w:rPr>
            </w:pPr>
            <w:r>
              <w:rPr>
                <w:rFonts w:hint="eastAsia" w:ascii="宋体" w:hAnsi="宋体" w:cs="宋体"/>
                <w:color w:val="auto"/>
                <w:kern w:val="0"/>
                <w:sz w:val="18"/>
                <w:szCs w:val="18"/>
              </w:rPr>
              <w:t>零售业</w:t>
            </w:r>
          </w:p>
        </w:tc>
        <w:tc>
          <w:tcPr>
            <w:tcW w:w="1369" w:type="dxa"/>
            <w:tcBorders>
              <w:top w:val="nil"/>
              <w:left w:val="nil"/>
              <w:bottom w:val="nil"/>
              <w:right w:val="single" w:color="auto" w:sz="4" w:space="0"/>
            </w:tcBorders>
            <w:noWrap w:val="0"/>
            <w:vAlign w:val="center"/>
          </w:tcPr>
          <w:p w14:paraId="267EA071">
            <w:pPr>
              <w:widowControl/>
              <w:jc w:val="center"/>
              <w:rPr>
                <w:rFonts w:ascii="宋体" w:hAnsi="宋体" w:cs="宋体"/>
                <w:color w:val="auto"/>
                <w:kern w:val="0"/>
                <w:sz w:val="18"/>
                <w:szCs w:val="18"/>
              </w:rPr>
            </w:pPr>
            <w:r>
              <w:rPr>
                <w:rFonts w:hint="eastAsia" w:ascii="宋体" w:hAnsi="宋体" w:cs="宋体"/>
                <w:color w:val="auto"/>
                <w:kern w:val="0"/>
                <w:sz w:val="18"/>
                <w:szCs w:val="18"/>
              </w:rPr>
              <w:t>从业人员(X)</w:t>
            </w:r>
          </w:p>
        </w:tc>
        <w:tc>
          <w:tcPr>
            <w:tcW w:w="709" w:type="dxa"/>
            <w:tcBorders>
              <w:top w:val="nil"/>
              <w:left w:val="nil"/>
              <w:bottom w:val="nil"/>
              <w:right w:val="single" w:color="auto" w:sz="4" w:space="0"/>
            </w:tcBorders>
            <w:noWrap w:val="0"/>
            <w:vAlign w:val="center"/>
          </w:tcPr>
          <w:p w14:paraId="783F75A9">
            <w:pPr>
              <w:widowControl/>
              <w:jc w:val="center"/>
              <w:rPr>
                <w:rFonts w:ascii="宋体" w:hAnsi="宋体" w:cs="宋体"/>
                <w:color w:val="auto"/>
                <w:kern w:val="0"/>
                <w:sz w:val="18"/>
                <w:szCs w:val="18"/>
              </w:rPr>
            </w:pPr>
            <w:r>
              <w:rPr>
                <w:rFonts w:hint="eastAsia" w:ascii="宋体" w:hAnsi="宋体" w:cs="宋体"/>
                <w:color w:val="auto"/>
                <w:kern w:val="0"/>
                <w:sz w:val="18"/>
                <w:szCs w:val="18"/>
              </w:rPr>
              <w:t>人</w:t>
            </w:r>
          </w:p>
        </w:tc>
        <w:tc>
          <w:tcPr>
            <w:tcW w:w="1125" w:type="dxa"/>
            <w:tcBorders>
              <w:top w:val="nil"/>
              <w:left w:val="nil"/>
              <w:bottom w:val="nil"/>
              <w:right w:val="single" w:color="auto" w:sz="4" w:space="0"/>
            </w:tcBorders>
            <w:noWrap w:val="0"/>
            <w:vAlign w:val="center"/>
          </w:tcPr>
          <w:p w14:paraId="1B728D25">
            <w:pPr>
              <w:widowControl/>
              <w:jc w:val="center"/>
              <w:rPr>
                <w:rFonts w:ascii="宋体" w:hAnsi="宋体" w:cs="宋体"/>
                <w:color w:val="auto"/>
                <w:kern w:val="0"/>
                <w:sz w:val="18"/>
                <w:szCs w:val="18"/>
              </w:rPr>
            </w:pPr>
            <w:r>
              <w:rPr>
                <w:rFonts w:hint="eastAsia" w:ascii="宋体" w:hAnsi="宋体" w:cs="宋体"/>
                <w:color w:val="auto"/>
                <w:kern w:val="0"/>
                <w:sz w:val="18"/>
                <w:szCs w:val="18"/>
              </w:rPr>
              <w:t>X≥300</w:t>
            </w:r>
          </w:p>
        </w:tc>
        <w:tc>
          <w:tcPr>
            <w:tcW w:w="1701" w:type="dxa"/>
            <w:tcBorders>
              <w:top w:val="nil"/>
              <w:left w:val="nil"/>
              <w:bottom w:val="nil"/>
              <w:right w:val="single" w:color="auto" w:sz="4" w:space="0"/>
            </w:tcBorders>
            <w:noWrap w:val="0"/>
            <w:vAlign w:val="center"/>
          </w:tcPr>
          <w:p w14:paraId="53E76237">
            <w:pPr>
              <w:widowControl/>
              <w:jc w:val="center"/>
              <w:rPr>
                <w:rFonts w:ascii="宋体" w:hAnsi="宋体" w:cs="宋体"/>
                <w:color w:val="auto"/>
                <w:kern w:val="0"/>
                <w:sz w:val="18"/>
                <w:szCs w:val="18"/>
              </w:rPr>
            </w:pPr>
            <w:r>
              <w:rPr>
                <w:rFonts w:hint="eastAsia" w:ascii="宋体" w:hAnsi="宋体" w:cs="宋体"/>
                <w:color w:val="auto"/>
                <w:kern w:val="0"/>
                <w:sz w:val="18"/>
                <w:szCs w:val="18"/>
              </w:rPr>
              <w:t>50≤X＜300</w:t>
            </w:r>
          </w:p>
        </w:tc>
        <w:tc>
          <w:tcPr>
            <w:tcW w:w="1426" w:type="dxa"/>
            <w:tcBorders>
              <w:top w:val="nil"/>
              <w:left w:val="nil"/>
              <w:bottom w:val="nil"/>
              <w:right w:val="single" w:color="auto" w:sz="4" w:space="0"/>
            </w:tcBorders>
            <w:noWrap w:val="0"/>
            <w:vAlign w:val="center"/>
          </w:tcPr>
          <w:p w14:paraId="12B56F51">
            <w:pPr>
              <w:widowControl/>
              <w:ind w:left="-1" w:leftChars="-1" w:hanging="1"/>
              <w:jc w:val="center"/>
              <w:rPr>
                <w:rFonts w:ascii="宋体" w:hAnsi="宋体" w:cs="宋体"/>
                <w:color w:val="auto"/>
                <w:kern w:val="0"/>
                <w:sz w:val="18"/>
                <w:szCs w:val="18"/>
              </w:rPr>
            </w:pPr>
            <w:r>
              <w:rPr>
                <w:rFonts w:hint="eastAsia" w:ascii="宋体" w:hAnsi="宋体" w:cs="宋体"/>
                <w:color w:val="auto"/>
                <w:kern w:val="0"/>
                <w:sz w:val="18"/>
                <w:szCs w:val="18"/>
              </w:rPr>
              <w:t xml:space="preserve">10≤X＜50 </w:t>
            </w:r>
          </w:p>
        </w:tc>
        <w:tc>
          <w:tcPr>
            <w:tcW w:w="992" w:type="dxa"/>
            <w:tcBorders>
              <w:top w:val="nil"/>
              <w:left w:val="nil"/>
              <w:bottom w:val="nil"/>
              <w:right w:val="nil"/>
            </w:tcBorders>
            <w:noWrap w:val="0"/>
            <w:vAlign w:val="center"/>
          </w:tcPr>
          <w:p w14:paraId="657DFA79">
            <w:pPr>
              <w:widowControl/>
              <w:jc w:val="center"/>
              <w:rPr>
                <w:rFonts w:ascii="宋体" w:hAnsi="宋体" w:cs="宋体"/>
                <w:color w:val="auto"/>
                <w:kern w:val="0"/>
                <w:sz w:val="18"/>
                <w:szCs w:val="18"/>
              </w:rPr>
            </w:pPr>
            <w:r>
              <w:rPr>
                <w:rFonts w:hint="eastAsia" w:ascii="宋体" w:hAnsi="宋体" w:cs="宋体"/>
                <w:color w:val="auto"/>
                <w:kern w:val="0"/>
                <w:sz w:val="18"/>
                <w:szCs w:val="18"/>
              </w:rPr>
              <w:t>X＜10</w:t>
            </w:r>
          </w:p>
        </w:tc>
      </w:tr>
      <w:tr w14:paraId="19773D79">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noWrap w:val="0"/>
            <w:vAlign w:val="center"/>
          </w:tcPr>
          <w:p w14:paraId="722817C7">
            <w:pPr>
              <w:widowControl/>
              <w:jc w:val="left"/>
              <w:rPr>
                <w:rFonts w:ascii="宋体" w:hAnsi="宋体" w:cs="宋体"/>
                <w:color w:val="auto"/>
                <w:kern w:val="0"/>
                <w:sz w:val="18"/>
                <w:szCs w:val="18"/>
              </w:rPr>
            </w:pPr>
          </w:p>
        </w:tc>
        <w:tc>
          <w:tcPr>
            <w:tcW w:w="1369" w:type="dxa"/>
            <w:tcBorders>
              <w:top w:val="nil"/>
              <w:left w:val="nil"/>
              <w:bottom w:val="single" w:color="auto" w:sz="4" w:space="0"/>
              <w:right w:val="single" w:color="auto" w:sz="4" w:space="0"/>
            </w:tcBorders>
            <w:noWrap w:val="0"/>
            <w:vAlign w:val="center"/>
          </w:tcPr>
          <w:p w14:paraId="1AC5B806">
            <w:pPr>
              <w:widowControl/>
              <w:spacing w:line="240" w:lineRule="exact"/>
              <w:jc w:val="center"/>
              <w:rPr>
                <w:rFonts w:ascii="宋体" w:hAnsi="宋体" w:cs="宋体"/>
                <w:color w:val="auto"/>
                <w:kern w:val="0"/>
                <w:sz w:val="18"/>
                <w:szCs w:val="18"/>
              </w:rPr>
            </w:pPr>
            <w:r>
              <w:rPr>
                <w:rFonts w:hint="eastAsia" w:ascii="宋体" w:hAnsi="宋体" w:cs="宋体"/>
                <w:color w:val="auto"/>
                <w:kern w:val="0"/>
                <w:sz w:val="18"/>
                <w:szCs w:val="18"/>
              </w:rPr>
              <w:t>营业收入(Y)</w:t>
            </w:r>
          </w:p>
        </w:tc>
        <w:tc>
          <w:tcPr>
            <w:tcW w:w="709" w:type="dxa"/>
            <w:tcBorders>
              <w:top w:val="nil"/>
              <w:left w:val="nil"/>
              <w:bottom w:val="single" w:color="auto" w:sz="4" w:space="0"/>
              <w:right w:val="single" w:color="auto" w:sz="4" w:space="0"/>
            </w:tcBorders>
            <w:noWrap w:val="0"/>
            <w:vAlign w:val="center"/>
          </w:tcPr>
          <w:p w14:paraId="5F907082">
            <w:pPr>
              <w:widowControl/>
              <w:jc w:val="center"/>
              <w:rPr>
                <w:rFonts w:ascii="宋体" w:hAnsi="宋体" w:cs="宋体"/>
                <w:color w:val="auto"/>
                <w:kern w:val="0"/>
                <w:sz w:val="18"/>
                <w:szCs w:val="18"/>
              </w:rPr>
            </w:pPr>
            <w:r>
              <w:rPr>
                <w:rFonts w:hint="eastAsia" w:ascii="宋体" w:hAnsi="宋体" w:cs="宋体"/>
                <w:color w:val="auto"/>
                <w:kern w:val="0"/>
                <w:sz w:val="18"/>
                <w:szCs w:val="18"/>
              </w:rPr>
              <w:t>万元</w:t>
            </w:r>
          </w:p>
        </w:tc>
        <w:tc>
          <w:tcPr>
            <w:tcW w:w="1125" w:type="dxa"/>
            <w:tcBorders>
              <w:top w:val="nil"/>
              <w:left w:val="nil"/>
              <w:bottom w:val="single" w:color="auto" w:sz="4" w:space="0"/>
              <w:right w:val="single" w:color="auto" w:sz="4" w:space="0"/>
            </w:tcBorders>
            <w:noWrap w:val="0"/>
            <w:vAlign w:val="center"/>
          </w:tcPr>
          <w:p w14:paraId="5F9C2A9D">
            <w:pPr>
              <w:widowControl/>
              <w:jc w:val="center"/>
              <w:rPr>
                <w:rFonts w:ascii="宋体" w:hAnsi="宋体" w:cs="宋体"/>
                <w:color w:val="auto"/>
                <w:kern w:val="0"/>
                <w:sz w:val="18"/>
                <w:szCs w:val="18"/>
              </w:rPr>
            </w:pPr>
            <w:r>
              <w:rPr>
                <w:rFonts w:hint="eastAsia" w:ascii="宋体" w:hAnsi="宋体" w:cs="宋体"/>
                <w:color w:val="auto"/>
                <w:kern w:val="0"/>
                <w:sz w:val="18"/>
                <w:szCs w:val="18"/>
              </w:rPr>
              <w:t>Y≥20000</w:t>
            </w:r>
          </w:p>
        </w:tc>
        <w:tc>
          <w:tcPr>
            <w:tcW w:w="1701" w:type="dxa"/>
            <w:tcBorders>
              <w:top w:val="nil"/>
              <w:left w:val="nil"/>
              <w:bottom w:val="single" w:color="auto" w:sz="4" w:space="0"/>
              <w:right w:val="single" w:color="auto" w:sz="4" w:space="0"/>
            </w:tcBorders>
            <w:noWrap w:val="0"/>
            <w:vAlign w:val="center"/>
          </w:tcPr>
          <w:p w14:paraId="3756119F">
            <w:pPr>
              <w:widowControl/>
              <w:jc w:val="center"/>
              <w:rPr>
                <w:rFonts w:ascii="宋体" w:hAnsi="宋体" w:cs="宋体"/>
                <w:color w:val="auto"/>
                <w:kern w:val="0"/>
                <w:sz w:val="18"/>
                <w:szCs w:val="18"/>
              </w:rPr>
            </w:pPr>
            <w:r>
              <w:rPr>
                <w:rFonts w:hint="eastAsia" w:ascii="宋体" w:hAnsi="宋体" w:cs="宋体"/>
                <w:color w:val="auto"/>
                <w:kern w:val="0"/>
                <w:sz w:val="18"/>
                <w:szCs w:val="18"/>
              </w:rPr>
              <w:t xml:space="preserve"> 500≤Y＜20000</w:t>
            </w:r>
          </w:p>
        </w:tc>
        <w:tc>
          <w:tcPr>
            <w:tcW w:w="1426" w:type="dxa"/>
            <w:tcBorders>
              <w:top w:val="nil"/>
              <w:left w:val="nil"/>
              <w:bottom w:val="single" w:color="auto" w:sz="4" w:space="0"/>
              <w:right w:val="single" w:color="auto" w:sz="4" w:space="0"/>
            </w:tcBorders>
            <w:noWrap w:val="0"/>
            <w:vAlign w:val="center"/>
          </w:tcPr>
          <w:p w14:paraId="715DAF24">
            <w:pPr>
              <w:widowControl/>
              <w:ind w:left="-1" w:leftChars="-1" w:hanging="1"/>
              <w:jc w:val="center"/>
              <w:rPr>
                <w:rFonts w:ascii="宋体" w:hAnsi="宋体" w:cs="宋体"/>
                <w:color w:val="auto"/>
                <w:kern w:val="0"/>
                <w:sz w:val="18"/>
                <w:szCs w:val="18"/>
              </w:rPr>
            </w:pPr>
            <w:r>
              <w:rPr>
                <w:rFonts w:hint="eastAsia" w:ascii="宋体" w:hAnsi="宋体" w:cs="宋体"/>
                <w:color w:val="auto"/>
                <w:kern w:val="0"/>
                <w:sz w:val="18"/>
                <w:szCs w:val="18"/>
              </w:rPr>
              <w:t xml:space="preserve">100≤Y＜500 </w:t>
            </w:r>
          </w:p>
        </w:tc>
        <w:tc>
          <w:tcPr>
            <w:tcW w:w="992" w:type="dxa"/>
            <w:tcBorders>
              <w:top w:val="nil"/>
              <w:left w:val="nil"/>
              <w:bottom w:val="single" w:color="auto" w:sz="4" w:space="0"/>
              <w:right w:val="nil"/>
            </w:tcBorders>
            <w:noWrap w:val="0"/>
            <w:vAlign w:val="center"/>
          </w:tcPr>
          <w:p w14:paraId="42BC0600">
            <w:pPr>
              <w:widowControl/>
              <w:jc w:val="center"/>
              <w:rPr>
                <w:rFonts w:ascii="宋体" w:hAnsi="宋体" w:cs="宋体"/>
                <w:color w:val="auto"/>
                <w:kern w:val="0"/>
                <w:sz w:val="18"/>
                <w:szCs w:val="18"/>
              </w:rPr>
            </w:pPr>
            <w:r>
              <w:rPr>
                <w:rFonts w:hint="eastAsia" w:ascii="宋体" w:hAnsi="宋体" w:cs="宋体"/>
                <w:color w:val="auto"/>
                <w:kern w:val="0"/>
                <w:sz w:val="18"/>
                <w:szCs w:val="18"/>
              </w:rPr>
              <w:t>Y＜100</w:t>
            </w:r>
          </w:p>
        </w:tc>
      </w:tr>
      <w:tr w14:paraId="247883C3">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noWrap w:val="0"/>
            <w:vAlign w:val="center"/>
          </w:tcPr>
          <w:p w14:paraId="4D05C11F">
            <w:pPr>
              <w:widowControl/>
              <w:spacing w:line="240" w:lineRule="exact"/>
              <w:jc w:val="left"/>
              <w:rPr>
                <w:rFonts w:ascii="宋体" w:hAnsi="宋体" w:cs="宋体"/>
                <w:color w:val="auto"/>
                <w:kern w:val="0"/>
                <w:sz w:val="18"/>
                <w:szCs w:val="18"/>
              </w:rPr>
            </w:pPr>
            <w:r>
              <w:rPr>
                <w:rFonts w:hint="eastAsia" w:ascii="宋体" w:hAnsi="宋体" w:cs="宋体"/>
                <w:color w:val="auto"/>
                <w:kern w:val="0"/>
                <w:sz w:val="18"/>
                <w:szCs w:val="18"/>
              </w:rPr>
              <w:t>交通运输业 *</w:t>
            </w:r>
          </w:p>
        </w:tc>
        <w:tc>
          <w:tcPr>
            <w:tcW w:w="1369" w:type="dxa"/>
            <w:tcBorders>
              <w:top w:val="nil"/>
              <w:left w:val="nil"/>
              <w:bottom w:val="nil"/>
              <w:right w:val="single" w:color="auto" w:sz="4" w:space="0"/>
            </w:tcBorders>
            <w:noWrap w:val="0"/>
            <w:vAlign w:val="center"/>
          </w:tcPr>
          <w:p w14:paraId="07D6C362">
            <w:pPr>
              <w:widowControl/>
              <w:jc w:val="center"/>
              <w:rPr>
                <w:rFonts w:ascii="宋体" w:hAnsi="宋体" w:cs="宋体"/>
                <w:color w:val="auto"/>
                <w:kern w:val="0"/>
                <w:sz w:val="18"/>
                <w:szCs w:val="18"/>
              </w:rPr>
            </w:pPr>
            <w:r>
              <w:rPr>
                <w:rFonts w:hint="eastAsia" w:ascii="宋体" w:hAnsi="宋体" w:cs="宋体"/>
                <w:color w:val="auto"/>
                <w:kern w:val="0"/>
                <w:sz w:val="18"/>
                <w:szCs w:val="18"/>
              </w:rPr>
              <w:t>从业人员(X)</w:t>
            </w:r>
          </w:p>
        </w:tc>
        <w:tc>
          <w:tcPr>
            <w:tcW w:w="709" w:type="dxa"/>
            <w:tcBorders>
              <w:top w:val="nil"/>
              <w:left w:val="nil"/>
              <w:bottom w:val="nil"/>
              <w:right w:val="single" w:color="auto" w:sz="4" w:space="0"/>
            </w:tcBorders>
            <w:noWrap w:val="0"/>
            <w:vAlign w:val="center"/>
          </w:tcPr>
          <w:p w14:paraId="67368279">
            <w:pPr>
              <w:widowControl/>
              <w:jc w:val="center"/>
              <w:rPr>
                <w:rFonts w:ascii="宋体" w:hAnsi="宋体" w:cs="宋体"/>
                <w:color w:val="auto"/>
                <w:kern w:val="0"/>
                <w:sz w:val="18"/>
                <w:szCs w:val="18"/>
              </w:rPr>
            </w:pPr>
            <w:r>
              <w:rPr>
                <w:rFonts w:hint="eastAsia" w:ascii="宋体" w:hAnsi="宋体" w:cs="宋体"/>
                <w:color w:val="auto"/>
                <w:kern w:val="0"/>
                <w:sz w:val="18"/>
                <w:szCs w:val="18"/>
              </w:rPr>
              <w:t>人</w:t>
            </w:r>
          </w:p>
        </w:tc>
        <w:tc>
          <w:tcPr>
            <w:tcW w:w="1125" w:type="dxa"/>
            <w:tcBorders>
              <w:top w:val="nil"/>
              <w:left w:val="nil"/>
              <w:bottom w:val="nil"/>
              <w:right w:val="single" w:color="auto" w:sz="4" w:space="0"/>
            </w:tcBorders>
            <w:noWrap w:val="0"/>
            <w:vAlign w:val="center"/>
          </w:tcPr>
          <w:p w14:paraId="55602B4D">
            <w:pPr>
              <w:widowControl/>
              <w:jc w:val="center"/>
              <w:rPr>
                <w:rFonts w:ascii="宋体" w:hAnsi="宋体" w:cs="宋体"/>
                <w:color w:val="auto"/>
                <w:kern w:val="0"/>
                <w:sz w:val="18"/>
                <w:szCs w:val="18"/>
              </w:rPr>
            </w:pPr>
            <w:r>
              <w:rPr>
                <w:rFonts w:hint="eastAsia" w:ascii="宋体" w:hAnsi="宋体" w:cs="宋体"/>
                <w:color w:val="auto"/>
                <w:kern w:val="0"/>
                <w:sz w:val="18"/>
                <w:szCs w:val="18"/>
              </w:rPr>
              <w:t>X≥1000</w:t>
            </w:r>
          </w:p>
        </w:tc>
        <w:tc>
          <w:tcPr>
            <w:tcW w:w="1701" w:type="dxa"/>
            <w:tcBorders>
              <w:top w:val="nil"/>
              <w:left w:val="nil"/>
              <w:bottom w:val="nil"/>
              <w:right w:val="single" w:color="auto" w:sz="4" w:space="0"/>
            </w:tcBorders>
            <w:noWrap w:val="0"/>
            <w:vAlign w:val="center"/>
          </w:tcPr>
          <w:p w14:paraId="590D2CBA">
            <w:pPr>
              <w:widowControl/>
              <w:jc w:val="center"/>
              <w:rPr>
                <w:rFonts w:ascii="宋体" w:hAnsi="宋体" w:cs="宋体"/>
                <w:color w:val="auto"/>
                <w:kern w:val="0"/>
                <w:sz w:val="18"/>
                <w:szCs w:val="18"/>
              </w:rPr>
            </w:pPr>
            <w:r>
              <w:rPr>
                <w:rFonts w:hint="eastAsia" w:ascii="宋体" w:hAnsi="宋体" w:cs="宋体"/>
                <w:color w:val="auto"/>
                <w:kern w:val="0"/>
                <w:sz w:val="18"/>
                <w:szCs w:val="18"/>
              </w:rPr>
              <w:t>300≤X＜1000</w:t>
            </w:r>
          </w:p>
        </w:tc>
        <w:tc>
          <w:tcPr>
            <w:tcW w:w="1426" w:type="dxa"/>
            <w:tcBorders>
              <w:top w:val="nil"/>
              <w:left w:val="nil"/>
              <w:bottom w:val="nil"/>
              <w:right w:val="single" w:color="auto" w:sz="4" w:space="0"/>
            </w:tcBorders>
            <w:noWrap w:val="0"/>
            <w:vAlign w:val="center"/>
          </w:tcPr>
          <w:p w14:paraId="0063A5E1">
            <w:pPr>
              <w:widowControl/>
              <w:jc w:val="center"/>
              <w:rPr>
                <w:rFonts w:ascii="宋体" w:hAnsi="宋体" w:cs="宋体"/>
                <w:color w:val="auto"/>
                <w:kern w:val="0"/>
                <w:sz w:val="18"/>
                <w:szCs w:val="18"/>
              </w:rPr>
            </w:pPr>
            <w:r>
              <w:rPr>
                <w:rFonts w:hint="eastAsia" w:ascii="宋体" w:hAnsi="宋体" w:cs="宋体"/>
                <w:color w:val="auto"/>
                <w:kern w:val="0"/>
                <w:sz w:val="18"/>
                <w:szCs w:val="18"/>
              </w:rPr>
              <w:t xml:space="preserve"> 20≤X＜300</w:t>
            </w:r>
          </w:p>
        </w:tc>
        <w:tc>
          <w:tcPr>
            <w:tcW w:w="992" w:type="dxa"/>
            <w:tcBorders>
              <w:top w:val="nil"/>
              <w:left w:val="nil"/>
              <w:bottom w:val="nil"/>
              <w:right w:val="nil"/>
            </w:tcBorders>
            <w:noWrap w:val="0"/>
            <w:vAlign w:val="center"/>
          </w:tcPr>
          <w:p w14:paraId="2743471E">
            <w:pPr>
              <w:widowControl/>
              <w:jc w:val="center"/>
              <w:rPr>
                <w:rFonts w:ascii="宋体" w:hAnsi="宋体" w:cs="宋体"/>
                <w:color w:val="auto"/>
                <w:kern w:val="0"/>
                <w:sz w:val="18"/>
                <w:szCs w:val="18"/>
              </w:rPr>
            </w:pPr>
            <w:r>
              <w:rPr>
                <w:rFonts w:hint="eastAsia" w:ascii="宋体" w:hAnsi="宋体" w:cs="宋体"/>
                <w:color w:val="auto"/>
                <w:kern w:val="0"/>
                <w:sz w:val="18"/>
                <w:szCs w:val="18"/>
              </w:rPr>
              <w:t>X＜20</w:t>
            </w:r>
          </w:p>
        </w:tc>
      </w:tr>
      <w:tr w14:paraId="0D95B889">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noWrap w:val="0"/>
            <w:vAlign w:val="center"/>
          </w:tcPr>
          <w:p w14:paraId="390B81DC">
            <w:pPr>
              <w:widowControl/>
              <w:jc w:val="left"/>
              <w:rPr>
                <w:rFonts w:ascii="宋体" w:hAnsi="宋体" w:cs="宋体"/>
                <w:color w:val="auto"/>
                <w:kern w:val="0"/>
                <w:sz w:val="18"/>
                <w:szCs w:val="18"/>
              </w:rPr>
            </w:pPr>
          </w:p>
        </w:tc>
        <w:tc>
          <w:tcPr>
            <w:tcW w:w="1369" w:type="dxa"/>
            <w:tcBorders>
              <w:top w:val="nil"/>
              <w:left w:val="nil"/>
              <w:bottom w:val="single" w:color="auto" w:sz="4" w:space="0"/>
              <w:right w:val="single" w:color="auto" w:sz="4" w:space="0"/>
            </w:tcBorders>
            <w:noWrap w:val="0"/>
            <w:vAlign w:val="center"/>
          </w:tcPr>
          <w:p w14:paraId="557662A0">
            <w:pPr>
              <w:widowControl/>
              <w:spacing w:line="240" w:lineRule="exact"/>
              <w:jc w:val="center"/>
              <w:rPr>
                <w:rFonts w:ascii="宋体" w:hAnsi="宋体" w:cs="宋体"/>
                <w:color w:val="auto"/>
                <w:kern w:val="0"/>
                <w:sz w:val="18"/>
                <w:szCs w:val="18"/>
              </w:rPr>
            </w:pPr>
            <w:r>
              <w:rPr>
                <w:rFonts w:hint="eastAsia" w:ascii="宋体" w:hAnsi="宋体" w:cs="宋体"/>
                <w:color w:val="auto"/>
                <w:kern w:val="0"/>
                <w:sz w:val="18"/>
                <w:szCs w:val="18"/>
              </w:rPr>
              <w:t>营业收入(Y)</w:t>
            </w:r>
          </w:p>
        </w:tc>
        <w:tc>
          <w:tcPr>
            <w:tcW w:w="709" w:type="dxa"/>
            <w:tcBorders>
              <w:top w:val="nil"/>
              <w:left w:val="nil"/>
              <w:bottom w:val="single" w:color="auto" w:sz="4" w:space="0"/>
              <w:right w:val="single" w:color="auto" w:sz="4" w:space="0"/>
            </w:tcBorders>
            <w:noWrap w:val="0"/>
            <w:vAlign w:val="center"/>
          </w:tcPr>
          <w:p w14:paraId="11E42AF0">
            <w:pPr>
              <w:widowControl/>
              <w:jc w:val="center"/>
              <w:rPr>
                <w:rFonts w:ascii="宋体" w:hAnsi="宋体" w:cs="宋体"/>
                <w:color w:val="auto"/>
                <w:kern w:val="0"/>
                <w:sz w:val="18"/>
                <w:szCs w:val="18"/>
              </w:rPr>
            </w:pPr>
            <w:r>
              <w:rPr>
                <w:rFonts w:hint="eastAsia" w:ascii="宋体" w:hAnsi="宋体" w:cs="宋体"/>
                <w:color w:val="auto"/>
                <w:kern w:val="0"/>
                <w:sz w:val="18"/>
                <w:szCs w:val="18"/>
              </w:rPr>
              <w:t>万元</w:t>
            </w:r>
          </w:p>
        </w:tc>
        <w:tc>
          <w:tcPr>
            <w:tcW w:w="1125" w:type="dxa"/>
            <w:tcBorders>
              <w:top w:val="nil"/>
              <w:left w:val="nil"/>
              <w:bottom w:val="single" w:color="auto" w:sz="4" w:space="0"/>
              <w:right w:val="single" w:color="auto" w:sz="4" w:space="0"/>
            </w:tcBorders>
            <w:noWrap w:val="0"/>
            <w:vAlign w:val="center"/>
          </w:tcPr>
          <w:p w14:paraId="3BF2A1DC">
            <w:pPr>
              <w:widowControl/>
              <w:jc w:val="center"/>
              <w:rPr>
                <w:rFonts w:ascii="宋体" w:hAnsi="宋体" w:cs="宋体"/>
                <w:color w:val="auto"/>
                <w:kern w:val="0"/>
                <w:sz w:val="18"/>
                <w:szCs w:val="18"/>
              </w:rPr>
            </w:pPr>
            <w:r>
              <w:rPr>
                <w:rFonts w:hint="eastAsia" w:ascii="宋体" w:hAnsi="宋体" w:cs="宋体"/>
                <w:color w:val="auto"/>
                <w:kern w:val="0"/>
                <w:sz w:val="18"/>
                <w:szCs w:val="18"/>
              </w:rPr>
              <w:t>Y≥30000</w:t>
            </w:r>
          </w:p>
        </w:tc>
        <w:tc>
          <w:tcPr>
            <w:tcW w:w="1701" w:type="dxa"/>
            <w:tcBorders>
              <w:top w:val="nil"/>
              <w:left w:val="nil"/>
              <w:bottom w:val="single" w:color="auto" w:sz="4" w:space="0"/>
              <w:right w:val="single" w:color="auto" w:sz="4" w:space="0"/>
            </w:tcBorders>
            <w:noWrap w:val="0"/>
            <w:vAlign w:val="center"/>
          </w:tcPr>
          <w:p w14:paraId="6D961677">
            <w:pPr>
              <w:widowControl/>
              <w:jc w:val="center"/>
              <w:rPr>
                <w:rFonts w:ascii="宋体" w:hAnsi="宋体" w:cs="宋体"/>
                <w:color w:val="auto"/>
                <w:kern w:val="0"/>
                <w:sz w:val="18"/>
                <w:szCs w:val="18"/>
              </w:rPr>
            </w:pPr>
            <w:r>
              <w:rPr>
                <w:rFonts w:hint="eastAsia" w:ascii="宋体" w:hAnsi="宋体" w:cs="宋体"/>
                <w:color w:val="auto"/>
                <w:kern w:val="0"/>
                <w:sz w:val="18"/>
                <w:szCs w:val="18"/>
              </w:rPr>
              <w:t>3000≤Y＜30000</w:t>
            </w:r>
          </w:p>
        </w:tc>
        <w:tc>
          <w:tcPr>
            <w:tcW w:w="1426" w:type="dxa"/>
            <w:tcBorders>
              <w:top w:val="nil"/>
              <w:left w:val="nil"/>
              <w:bottom w:val="single" w:color="auto" w:sz="4" w:space="0"/>
              <w:right w:val="single" w:color="auto" w:sz="4" w:space="0"/>
            </w:tcBorders>
            <w:noWrap w:val="0"/>
            <w:vAlign w:val="center"/>
          </w:tcPr>
          <w:p w14:paraId="44692A56">
            <w:pPr>
              <w:widowControl/>
              <w:jc w:val="center"/>
              <w:rPr>
                <w:rFonts w:ascii="宋体" w:hAnsi="宋体" w:cs="宋体"/>
                <w:color w:val="auto"/>
                <w:kern w:val="0"/>
                <w:sz w:val="18"/>
                <w:szCs w:val="18"/>
              </w:rPr>
            </w:pPr>
            <w:r>
              <w:rPr>
                <w:rFonts w:hint="eastAsia" w:ascii="宋体" w:hAnsi="宋体" w:cs="宋体"/>
                <w:color w:val="auto"/>
                <w:kern w:val="0"/>
                <w:sz w:val="18"/>
                <w:szCs w:val="18"/>
              </w:rPr>
              <w:t xml:space="preserve"> 200≤Y＜3000</w:t>
            </w:r>
          </w:p>
        </w:tc>
        <w:tc>
          <w:tcPr>
            <w:tcW w:w="992" w:type="dxa"/>
            <w:tcBorders>
              <w:top w:val="nil"/>
              <w:left w:val="nil"/>
              <w:bottom w:val="single" w:color="auto" w:sz="4" w:space="0"/>
              <w:right w:val="nil"/>
            </w:tcBorders>
            <w:noWrap w:val="0"/>
            <w:vAlign w:val="center"/>
          </w:tcPr>
          <w:p w14:paraId="56FFA512">
            <w:pPr>
              <w:widowControl/>
              <w:jc w:val="center"/>
              <w:rPr>
                <w:rFonts w:ascii="宋体" w:hAnsi="宋体" w:cs="宋体"/>
                <w:color w:val="auto"/>
                <w:kern w:val="0"/>
                <w:sz w:val="18"/>
                <w:szCs w:val="18"/>
              </w:rPr>
            </w:pPr>
            <w:r>
              <w:rPr>
                <w:rFonts w:hint="eastAsia" w:ascii="宋体" w:hAnsi="宋体" w:cs="宋体"/>
                <w:color w:val="auto"/>
                <w:kern w:val="0"/>
                <w:sz w:val="18"/>
                <w:szCs w:val="18"/>
              </w:rPr>
              <w:t>Y＜200</w:t>
            </w:r>
          </w:p>
        </w:tc>
      </w:tr>
      <w:tr w14:paraId="19626430">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noWrap w:val="0"/>
            <w:vAlign w:val="center"/>
          </w:tcPr>
          <w:p w14:paraId="2E9AE8D6">
            <w:pPr>
              <w:widowControl/>
              <w:spacing w:line="240" w:lineRule="exact"/>
              <w:jc w:val="left"/>
              <w:rPr>
                <w:rFonts w:ascii="宋体" w:hAnsi="宋体" w:cs="宋体"/>
                <w:color w:val="auto"/>
                <w:kern w:val="0"/>
                <w:sz w:val="18"/>
                <w:szCs w:val="18"/>
              </w:rPr>
            </w:pPr>
            <w:r>
              <w:rPr>
                <w:rFonts w:hint="eastAsia" w:ascii="宋体" w:hAnsi="宋体" w:cs="宋体"/>
                <w:color w:val="auto"/>
                <w:kern w:val="0"/>
                <w:sz w:val="18"/>
                <w:szCs w:val="18"/>
              </w:rPr>
              <w:t>仓储业*</w:t>
            </w:r>
          </w:p>
        </w:tc>
        <w:tc>
          <w:tcPr>
            <w:tcW w:w="1369" w:type="dxa"/>
            <w:tcBorders>
              <w:top w:val="nil"/>
              <w:left w:val="nil"/>
              <w:bottom w:val="nil"/>
              <w:right w:val="single" w:color="auto" w:sz="4" w:space="0"/>
            </w:tcBorders>
            <w:noWrap w:val="0"/>
            <w:vAlign w:val="center"/>
          </w:tcPr>
          <w:p w14:paraId="4CAF7B4A">
            <w:pPr>
              <w:widowControl/>
              <w:jc w:val="center"/>
              <w:rPr>
                <w:rFonts w:ascii="宋体" w:hAnsi="宋体" w:cs="宋体"/>
                <w:color w:val="auto"/>
                <w:kern w:val="0"/>
                <w:sz w:val="18"/>
                <w:szCs w:val="18"/>
              </w:rPr>
            </w:pPr>
            <w:r>
              <w:rPr>
                <w:rFonts w:hint="eastAsia" w:ascii="宋体" w:hAnsi="宋体" w:cs="宋体"/>
                <w:color w:val="auto"/>
                <w:kern w:val="0"/>
                <w:sz w:val="18"/>
                <w:szCs w:val="18"/>
              </w:rPr>
              <w:t>从业人员(X)</w:t>
            </w:r>
          </w:p>
        </w:tc>
        <w:tc>
          <w:tcPr>
            <w:tcW w:w="709" w:type="dxa"/>
            <w:tcBorders>
              <w:top w:val="nil"/>
              <w:left w:val="nil"/>
              <w:bottom w:val="nil"/>
              <w:right w:val="single" w:color="auto" w:sz="4" w:space="0"/>
            </w:tcBorders>
            <w:noWrap w:val="0"/>
            <w:vAlign w:val="center"/>
          </w:tcPr>
          <w:p w14:paraId="6BDEA8B6">
            <w:pPr>
              <w:widowControl/>
              <w:jc w:val="center"/>
              <w:rPr>
                <w:rFonts w:ascii="宋体" w:hAnsi="宋体" w:cs="宋体"/>
                <w:color w:val="auto"/>
                <w:kern w:val="0"/>
                <w:sz w:val="18"/>
                <w:szCs w:val="18"/>
              </w:rPr>
            </w:pPr>
            <w:r>
              <w:rPr>
                <w:rFonts w:hint="eastAsia" w:ascii="宋体" w:hAnsi="宋体" w:cs="宋体"/>
                <w:color w:val="auto"/>
                <w:kern w:val="0"/>
                <w:sz w:val="18"/>
                <w:szCs w:val="18"/>
              </w:rPr>
              <w:t>人</w:t>
            </w:r>
          </w:p>
        </w:tc>
        <w:tc>
          <w:tcPr>
            <w:tcW w:w="1125" w:type="dxa"/>
            <w:tcBorders>
              <w:top w:val="nil"/>
              <w:left w:val="nil"/>
              <w:bottom w:val="nil"/>
              <w:right w:val="single" w:color="auto" w:sz="4" w:space="0"/>
            </w:tcBorders>
            <w:noWrap w:val="0"/>
            <w:vAlign w:val="center"/>
          </w:tcPr>
          <w:p w14:paraId="4751EB22">
            <w:pPr>
              <w:widowControl/>
              <w:jc w:val="center"/>
              <w:rPr>
                <w:rFonts w:ascii="宋体" w:hAnsi="宋体" w:cs="宋体"/>
                <w:color w:val="auto"/>
                <w:kern w:val="0"/>
                <w:sz w:val="18"/>
                <w:szCs w:val="18"/>
              </w:rPr>
            </w:pPr>
            <w:r>
              <w:rPr>
                <w:rFonts w:hint="eastAsia" w:ascii="宋体" w:hAnsi="宋体" w:cs="宋体"/>
                <w:color w:val="auto"/>
                <w:kern w:val="0"/>
                <w:sz w:val="18"/>
                <w:szCs w:val="18"/>
              </w:rPr>
              <w:t>X≥200</w:t>
            </w:r>
          </w:p>
        </w:tc>
        <w:tc>
          <w:tcPr>
            <w:tcW w:w="1701" w:type="dxa"/>
            <w:tcBorders>
              <w:top w:val="nil"/>
              <w:left w:val="nil"/>
              <w:bottom w:val="nil"/>
              <w:right w:val="single" w:color="auto" w:sz="4" w:space="0"/>
            </w:tcBorders>
            <w:noWrap w:val="0"/>
            <w:vAlign w:val="center"/>
          </w:tcPr>
          <w:p w14:paraId="52017D15">
            <w:pPr>
              <w:widowControl/>
              <w:ind w:left="1" w:leftChars="-51" w:hanging="108" w:hangingChars="60"/>
              <w:jc w:val="center"/>
              <w:rPr>
                <w:rFonts w:ascii="宋体" w:hAnsi="宋体" w:cs="宋体"/>
                <w:color w:val="auto"/>
                <w:kern w:val="0"/>
                <w:sz w:val="18"/>
                <w:szCs w:val="18"/>
              </w:rPr>
            </w:pPr>
            <w:r>
              <w:rPr>
                <w:rFonts w:hint="eastAsia" w:ascii="宋体" w:hAnsi="宋体" w:cs="宋体"/>
                <w:color w:val="auto"/>
                <w:kern w:val="0"/>
                <w:sz w:val="18"/>
                <w:szCs w:val="18"/>
              </w:rPr>
              <w:t>100≤X＜200</w:t>
            </w:r>
          </w:p>
        </w:tc>
        <w:tc>
          <w:tcPr>
            <w:tcW w:w="1426" w:type="dxa"/>
            <w:tcBorders>
              <w:top w:val="nil"/>
              <w:left w:val="nil"/>
              <w:bottom w:val="nil"/>
              <w:right w:val="single" w:color="auto" w:sz="4" w:space="0"/>
            </w:tcBorders>
            <w:noWrap w:val="0"/>
            <w:vAlign w:val="center"/>
          </w:tcPr>
          <w:p w14:paraId="49B7C9C6">
            <w:pPr>
              <w:widowControl/>
              <w:jc w:val="center"/>
              <w:rPr>
                <w:rFonts w:ascii="宋体" w:hAnsi="宋体" w:cs="宋体"/>
                <w:color w:val="auto"/>
                <w:kern w:val="0"/>
                <w:sz w:val="18"/>
                <w:szCs w:val="18"/>
              </w:rPr>
            </w:pPr>
            <w:r>
              <w:rPr>
                <w:rFonts w:hint="eastAsia" w:ascii="宋体" w:hAnsi="宋体" w:cs="宋体"/>
                <w:color w:val="auto"/>
                <w:kern w:val="0"/>
                <w:sz w:val="18"/>
                <w:szCs w:val="18"/>
              </w:rPr>
              <w:t xml:space="preserve"> 20≤X＜100</w:t>
            </w:r>
          </w:p>
        </w:tc>
        <w:tc>
          <w:tcPr>
            <w:tcW w:w="992" w:type="dxa"/>
            <w:tcBorders>
              <w:top w:val="nil"/>
              <w:left w:val="nil"/>
              <w:bottom w:val="nil"/>
              <w:right w:val="nil"/>
            </w:tcBorders>
            <w:noWrap w:val="0"/>
            <w:vAlign w:val="center"/>
          </w:tcPr>
          <w:p w14:paraId="4A1D24D0">
            <w:pPr>
              <w:widowControl/>
              <w:jc w:val="center"/>
              <w:rPr>
                <w:rFonts w:ascii="宋体" w:hAnsi="宋体" w:cs="宋体"/>
                <w:color w:val="auto"/>
                <w:kern w:val="0"/>
                <w:sz w:val="18"/>
                <w:szCs w:val="18"/>
              </w:rPr>
            </w:pPr>
            <w:r>
              <w:rPr>
                <w:rFonts w:hint="eastAsia" w:ascii="宋体" w:hAnsi="宋体" w:cs="宋体"/>
                <w:color w:val="auto"/>
                <w:kern w:val="0"/>
                <w:sz w:val="18"/>
                <w:szCs w:val="18"/>
              </w:rPr>
              <w:t>X＜20</w:t>
            </w:r>
          </w:p>
        </w:tc>
      </w:tr>
      <w:tr w14:paraId="1A7CA50C">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noWrap w:val="0"/>
            <w:vAlign w:val="center"/>
          </w:tcPr>
          <w:p w14:paraId="2E8A4827">
            <w:pPr>
              <w:widowControl/>
              <w:jc w:val="left"/>
              <w:rPr>
                <w:rFonts w:ascii="宋体" w:hAnsi="宋体" w:cs="宋体"/>
                <w:color w:val="auto"/>
                <w:kern w:val="0"/>
                <w:sz w:val="18"/>
                <w:szCs w:val="18"/>
              </w:rPr>
            </w:pPr>
          </w:p>
        </w:tc>
        <w:tc>
          <w:tcPr>
            <w:tcW w:w="1369" w:type="dxa"/>
            <w:tcBorders>
              <w:top w:val="nil"/>
              <w:left w:val="nil"/>
              <w:bottom w:val="single" w:color="auto" w:sz="4" w:space="0"/>
              <w:right w:val="single" w:color="auto" w:sz="4" w:space="0"/>
            </w:tcBorders>
            <w:noWrap w:val="0"/>
            <w:vAlign w:val="center"/>
          </w:tcPr>
          <w:p w14:paraId="24CABB85">
            <w:pPr>
              <w:widowControl/>
              <w:spacing w:line="240" w:lineRule="exact"/>
              <w:jc w:val="center"/>
              <w:rPr>
                <w:rFonts w:ascii="宋体" w:hAnsi="宋体" w:cs="宋体"/>
                <w:color w:val="auto"/>
                <w:kern w:val="0"/>
                <w:sz w:val="18"/>
                <w:szCs w:val="18"/>
              </w:rPr>
            </w:pPr>
            <w:r>
              <w:rPr>
                <w:rFonts w:hint="eastAsia" w:ascii="宋体" w:hAnsi="宋体" w:cs="宋体"/>
                <w:color w:val="auto"/>
                <w:kern w:val="0"/>
                <w:sz w:val="18"/>
                <w:szCs w:val="18"/>
              </w:rPr>
              <w:t>营业收入(Y)</w:t>
            </w:r>
          </w:p>
        </w:tc>
        <w:tc>
          <w:tcPr>
            <w:tcW w:w="709" w:type="dxa"/>
            <w:tcBorders>
              <w:top w:val="nil"/>
              <w:left w:val="nil"/>
              <w:bottom w:val="single" w:color="auto" w:sz="4" w:space="0"/>
              <w:right w:val="single" w:color="auto" w:sz="4" w:space="0"/>
            </w:tcBorders>
            <w:noWrap w:val="0"/>
            <w:vAlign w:val="center"/>
          </w:tcPr>
          <w:p w14:paraId="07479C7B">
            <w:pPr>
              <w:widowControl/>
              <w:jc w:val="center"/>
              <w:rPr>
                <w:rFonts w:ascii="宋体" w:hAnsi="宋体" w:cs="宋体"/>
                <w:color w:val="auto"/>
                <w:kern w:val="0"/>
                <w:sz w:val="18"/>
                <w:szCs w:val="18"/>
              </w:rPr>
            </w:pPr>
            <w:r>
              <w:rPr>
                <w:rFonts w:hint="eastAsia" w:ascii="宋体" w:hAnsi="宋体" w:cs="宋体"/>
                <w:color w:val="auto"/>
                <w:kern w:val="0"/>
                <w:sz w:val="18"/>
                <w:szCs w:val="18"/>
              </w:rPr>
              <w:t>万元</w:t>
            </w:r>
          </w:p>
        </w:tc>
        <w:tc>
          <w:tcPr>
            <w:tcW w:w="1125" w:type="dxa"/>
            <w:tcBorders>
              <w:top w:val="nil"/>
              <w:left w:val="nil"/>
              <w:bottom w:val="single" w:color="auto" w:sz="4" w:space="0"/>
              <w:right w:val="single" w:color="auto" w:sz="4" w:space="0"/>
            </w:tcBorders>
            <w:noWrap w:val="0"/>
            <w:vAlign w:val="center"/>
          </w:tcPr>
          <w:p w14:paraId="60379F78">
            <w:pPr>
              <w:widowControl/>
              <w:jc w:val="center"/>
              <w:rPr>
                <w:rFonts w:ascii="宋体" w:hAnsi="宋体" w:cs="宋体"/>
                <w:color w:val="auto"/>
                <w:kern w:val="0"/>
                <w:sz w:val="18"/>
                <w:szCs w:val="18"/>
              </w:rPr>
            </w:pPr>
            <w:r>
              <w:rPr>
                <w:rFonts w:hint="eastAsia" w:ascii="宋体" w:hAnsi="宋体" w:cs="宋体"/>
                <w:color w:val="auto"/>
                <w:kern w:val="0"/>
                <w:sz w:val="18"/>
                <w:szCs w:val="18"/>
              </w:rPr>
              <w:t>Y≥30000</w:t>
            </w:r>
          </w:p>
        </w:tc>
        <w:tc>
          <w:tcPr>
            <w:tcW w:w="1701" w:type="dxa"/>
            <w:tcBorders>
              <w:top w:val="nil"/>
              <w:left w:val="nil"/>
              <w:bottom w:val="single" w:color="auto" w:sz="4" w:space="0"/>
              <w:right w:val="single" w:color="auto" w:sz="4" w:space="0"/>
            </w:tcBorders>
            <w:noWrap w:val="0"/>
            <w:vAlign w:val="center"/>
          </w:tcPr>
          <w:p w14:paraId="686B427F">
            <w:pPr>
              <w:widowControl/>
              <w:jc w:val="center"/>
              <w:rPr>
                <w:rFonts w:ascii="宋体" w:hAnsi="宋体" w:cs="宋体"/>
                <w:color w:val="auto"/>
                <w:kern w:val="0"/>
                <w:sz w:val="18"/>
                <w:szCs w:val="18"/>
              </w:rPr>
            </w:pPr>
            <w:r>
              <w:rPr>
                <w:rFonts w:hint="eastAsia" w:ascii="宋体" w:hAnsi="宋体" w:cs="宋体"/>
                <w:color w:val="auto"/>
                <w:kern w:val="0"/>
                <w:sz w:val="18"/>
                <w:szCs w:val="18"/>
              </w:rPr>
              <w:t>1000≤Y＜30000</w:t>
            </w:r>
          </w:p>
        </w:tc>
        <w:tc>
          <w:tcPr>
            <w:tcW w:w="1426" w:type="dxa"/>
            <w:tcBorders>
              <w:top w:val="nil"/>
              <w:left w:val="nil"/>
              <w:bottom w:val="single" w:color="auto" w:sz="4" w:space="0"/>
              <w:right w:val="single" w:color="auto" w:sz="4" w:space="0"/>
            </w:tcBorders>
            <w:noWrap w:val="0"/>
            <w:vAlign w:val="center"/>
          </w:tcPr>
          <w:p w14:paraId="6C67DA2E">
            <w:pPr>
              <w:widowControl/>
              <w:jc w:val="center"/>
              <w:rPr>
                <w:rFonts w:ascii="宋体" w:hAnsi="宋体" w:cs="宋体"/>
                <w:color w:val="auto"/>
                <w:kern w:val="0"/>
                <w:sz w:val="18"/>
                <w:szCs w:val="18"/>
              </w:rPr>
            </w:pPr>
            <w:r>
              <w:rPr>
                <w:rFonts w:hint="eastAsia" w:ascii="宋体" w:hAnsi="宋体" w:cs="宋体"/>
                <w:color w:val="auto"/>
                <w:kern w:val="0"/>
                <w:sz w:val="18"/>
                <w:szCs w:val="18"/>
              </w:rPr>
              <w:t xml:space="preserve"> 100≤Y＜1000</w:t>
            </w:r>
          </w:p>
        </w:tc>
        <w:tc>
          <w:tcPr>
            <w:tcW w:w="992" w:type="dxa"/>
            <w:tcBorders>
              <w:top w:val="nil"/>
              <w:left w:val="nil"/>
              <w:bottom w:val="single" w:color="auto" w:sz="4" w:space="0"/>
              <w:right w:val="nil"/>
            </w:tcBorders>
            <w:noWrap w:val="0"/>
            <w:vAlign w:val="center"/>
          </w:tcPr>
          <w:p w14:paraId="0CAE89CA">
            <w:pPr>
              <w:widowControl/>
              <w:jc w:val="center"/>
              <w:rPr>
                <w:rFonts w:ascii="宋体" w:hAnsi="宋体" w:cs="宋体"/>
                <w:color w:val="auto"/>
                <w:kern w:val="0"/>
                <w:sz w:val="18"/>
                <w:szCs w:val="18"/>
              </w:rPr>
            </w:pPr>
            <w:r>
              <w:rPr>
                <w:rFonts w:hint="eastAsia" w:ascii="宋体" w:hAnsi="宋体" w:cs="宋体"/>
                <w:color w:val="auto"/>
                <w:kern w:val="0"/>
                <w:sz w:val="18"/>
                <w:szCs w:val="18"/>
              </w:rPr>
              <w:t>Y＜100</w:t>
            </w:r>
          </w:p>
        </w:tc>
      </w:tr>
      <w:tr w14:paraId="72783359">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noWrap w:val="0"/>
            <w:vAlign w:val="center"/>
          </w:tcPr>
          <w:p w14:paraId="5FF571B6">
            <w:pPr>
              <w:widowControl/>
              <w:spacing w:line="240" w:lineRule="exact"/>
              <w:jc w:val="left"/>
              <w:rPr>
                <w:rFonts w:ascii="宋体" w:hAnsi="宋体" w:cs="宋体"/>
                <w:color w:val="auto"/>
                <w:kern w:val="0"/>
                <w:sz w:val="18"/>
                <w:szCs w:val="18"/>
              </w:rPr>
            </w:pPr>
            <w:r>
              <w:rPr>
                <w:rFonts w:hint="eastAsia" w:ascii="宋体" w:hAnsi="宋体" w:cs="宋体"/>
                <w:color w:val="auto"/>
                <w:kern w:val="0"/>
                <w:sz w:val="18"/>
                <w:szCs w:val="18"/>
              </w:rPr>
              <w:t>邮政业</w:t>
            </w:r>
          </w:p>
        </w:tc>
        <w:tc>
          <w:tcPr>
            <w:tcW w:w="1369" w:type="dxa"/>
            <w:tcBorders>
              <w:top w:val="nil"/>
              <w:left w:val="nil"/>
              <w:bottom w:val="nil"/>
              <w:right w:val="single" w:color="auto" w:sz="4" w:space="0"/>
            </w:tcBorders>
            <w:noWrap w:val="0"/>
            <w:vAlign w:val="center"/>
          </w:tcPr>
          <w:p w14:paraId="6311C6D9">
            <w:pPr>
              <w:widowControl/>
              <w:jc w:val="center"/>
              <w:rPr>
                <w:rFonts w:ascii="宋体" w:hAnsi="宋体" w:cs="宋体"/>
                <w:color w:val="auto"/>
                <w:kern w:val="0"/>
                <w:sz w:val="18"/>
                <w:szCs w:val="18"/>
              </w:rPr>
            </w:pPr>
            <w:r>
              <w:rPr>
                <w:rFonts w:hint="eastAsia" w:ascii="宋体" w:hAnsi="宋体" w:cs="宋体"/>
                <w:color w:val="auto"/>
                <w:kern w:val="0"/>
                <w:sz w:val="18"/>
                <w:szCs w:val="18"/>
              </w:rPr>
              <w:t>从业人员(X)</w:t>
            </w:r>
          </w:p>
        </w:tc>
        <w:tc>
          <w:tcPr>
            <w:tcW w:w="709" w:type="dxa"/>
            <w:tcBorders>
              <w:top w:val="nil"/>
              <w:left w:val="nil"/>
              <w:bottom w:val="nil"/>
              <w:right w:val="single" w:color="auto" w:sz="4" w:space="0"/>
            </w:tcBorders>
            <w:noWrap w:val="0"/>
            <w:vAlign w:val="center"/>
          </w:tcPr>
          <w:p w14:paraId="016D8160">
            <w:pPr>
              <w:widowControl/>
              <w:jc w:val="center"/>
              <w:rPr>
                <w:rFonts w:ascii="宋体" w:hAnsi="宋体" w:cs="宋体"/>
                <w:color w:val="auto"/>
                <w:kern w:val="0"/>
                <w:sz w:val="18"/>
                <w:szCs w:val="18"/>
              </w:rPr>
            </w:pPr>
            <w:r>
              <w:rPr>
                <w:rFonts w:hint="eastAsia" w:ascii="宋体" w:hAnsi="宋体" w:cs="宋体"/>
                <w:color w:val="auto"/>
                <w:kern w:val="0"/>
                <w:sz w:val="18"/>
                <w:szCs w:val="18"/>
              </w:rPr>
              <w:t>人</w:t>
            </w:r>
          </w:p>
        </w:tc>
        <w:tc>
          <w:tcPr>
            <w:tcW w:w="1125" w:type="dxa"/>
            <w:tcBorders>
              <w:top w:val="nil"/>
              <w:left w:val="nil"/>
              <w:bottom w:val="nil"/>
              <w:right w:val="single" w:color="auto" w:sz="4" w:space="0"/>
            </w:tcBorders>
            <w:noWrap w:val="0"/>
            <w:vAlign w:val="center"/>
          </w:tcPr>
          <w:p w14:paraId="344D73C6">
            <w:pPr>
              <w:widowControl/>
              <w:jc w:val="center"/>
              <w:rPr>
                <w:rFonts w:ascii="宋体" w:hAnsi="宋体" w:cs="宋体"/>
                <w:color w:val="auto"/>
                <w:kern w:val="0"/>
                <w:sz w:val="18"/>
                <w:szCs w:val="18"/>
              </w:rPr>
            </w:pPr>
            <w:r>
              <w:rPr>
                <w:rFonts w:hint="eastAsia" w:ascii="宋体" w:hAnsi="宋体" w:cs="宋体"/>
                <w:color w:val="auto"/>
                <w:kern w:val="0"/>
                <w:sz w:val="18"/>
                <w:szCs w:val="18"/>
              </w:rPr>
              <w:t>X≥1000</w:t>
            </w:r>
          </w:p>
        </w:tc>
        <w:tc>
          <w:tcPr>
            <w:tcW w:w="1701" w:type="dxa"/>
            <w:tcBorders>
              <w:top w:val="nil"/>
              <w:left w:val="nil"/>
              <w:bottom w:val="nil"/>
              <w:right w:val="single" w:color="auto" w:sz="4" w:space="0"/>
            </w:tcBorders>
            <w:noWrap w:val="0"/>
            <w:vAlign w:val="center"/>
          </w:tcPr>
          <w:p w14:paraId="0C67E276">
            <w:pPr>
              <w:widowControl/>
              <w:jc w:val="center"/>
              <w:rPr>
                <w:rFonts w:ascii="宋体" w:hAnsi="宋体" w:cs="宋体"/>
                <w:color w:val="auto"/>
                <w:kern w:val="0"/>
                <w:sz w:val="18"/>
                <w:szCs w:val="18"/>
              </w:rPr>
            </w:pPr>
            <w:r>
              <w:rPr>
                <w:rFonts w:hint="eastAsia" w:ascii="宋体" w:hAnsi="宋体" w:cs="宋体"/>
                <w:color w:val="auto"/>
                <w:kern w:val="0"/>
                <w:sz w:val="18"/>
                <w:szCs w:val="18"/>
              </w:rPr>
              <w:t>300≤X＜1000</w:t>
            </w:r>
          </w:p>
        </w:tc>
        <w:tc>
          <w:tcPr>
            <w:tcW w:w="1426" w:type="dxa"/>
            <w:tcBorders>
              <w:top w:val="nil"/>
              <w:left w:val="nil"/>
              <w:bottom w:val="nil"/>
              <w:right w:val="single" w:color="auto" w:sz="4" w:space="0"/>
            </w:tcBorders>
            <w:noWrap w:val="0"/>
            <w:vAlign w:val="center"/>
          </w:tcPr>
          <w:p w14:paraId="085983D6">
            <w:pPr>
              <w:widowControl/>
              <w:jc w:val="center"/>
              <w:rPr>
                <w:rFonts w:ascii="宋体" w:hAnsi="宋体" w:cs="宋体"/>
                <w:color w:val="auto"/>
                <w:kern w:val="0"/>
                <w:sz w:val="18"/>
                <w:szCs w:val="18"/>
              </w:rPr>
            </w:pPr>
            <w:r>
              <w:rPr>
                <w:rFonts w:hint="eastAsia" w:ascii="宋体" w:hAnsi="宋体" w:cs="宋体"/>
                <w:color w:val="auto"/>
                <w:kern w:val="0"/>
                <w:sz w:val="18"/>
                <w:szCs w:val="18"/>
              </w:rPr>
              <w:t xml:space="preserve"> 20≤X＜300</w:t>
            </w:r>
          </w:p>
        </w:tc>
        <w:tc>
          <w:tcPr>
            <w:tcW w:w="992" w:type="dxa"/>
            <w:tcBorders>
              <w:top w:val="nil"/>
              <w:left w:val="nil"/>
              <w:bottom w:val="nil"/>
              <w:right w:val="nil"/>
            </w:tcBorders>
            <w:noWrap w:val="0"/>
            <w:vAlign w:val="center"/>
          </w:tcPr>
          <w:p w14:paraId="3E80351D">
            <w:pPr>
              <w:widowControl/>
              <w:jc w:val="center"/>
              <w:rPr>
                <w:rFonts w:ascii="宋体" w:hAnsi="宋体" w:cs="宋体"/>
                <w:color w:val="auto"/>
                <w:kern w:val="0"/>
                <w:sz w:val="18"/>
                <w:szCs w:val="18"/>
              </w:rPr>
            </w:pPr>
            <w:r>
              <w:rPr>
                <w:rFonts w:hint="eastAsia" w:ascii="宋体" w:hAnsi="宋体" w:cs="宋体"/>
                <w:color w:val="auto"/>
                <w:kern w:val="0"/>
                <w:sz w:val="18"/>
                <w:szCs w:val="18"/>
              </w:rPr>
              <w:t>X＜20</w:t>
            </w:r>
          </w:p>
        </w:tc>
      </w:tr>
      <w:tr w14:paraId="1F952DA4">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noWrap w:val="0"/>
            <w:vAlign w:val="center"/>
          </w:tcPr>
          <w:p w14:paraId="6DC3C620">
            <w:pPr>
              <w:widowControl/>
              <w:jc w:val="left"/>
              <w:rPr>
                <w:rFonts w:ascii="宋体" w:hAnsi="宋体" w:cs="宋体"/>
                <w:color w:val="auto"/>
                <w:kern w:val="0"/>
                <w:sz w:val="18"/>
                <w:szCs w:val="18"/>
              </w:rPr>
            </w:pPr>
          </w:p>
        </w:tc>
        <w:tc>
          <w:tcPr>
            <w:tcW w:w="1369" w:type="dxa"/>
            <w:tcBorders>
              <w:top w:val="nil"/>
              <w:left w:val="nil"/>
              <w:bottom w:val="single" w:color="auto" w:sz="4" w:space="0"/>
              <w:right w:val="single" w:color="auto" w:sz="4" w:space="0"/>
            </w:tcBorders>
            <w:noWrap w:val="0"/>
            <w:vAlign w:val="center"/>
          </w:tcPr>
          <w:p w14:paraId="0842E4D4">
            <w:pPr>
              <w:widowControl/>
              <w:spacing w:line="240" w:lineRule="exact"/>
              <w:jc w:val="center"/>
              <w:rPr>
                <w:rFonts w:ascii="宋体" w:hAnsi="宋体" w:cs="宋体"/>
                <w:color w:val="auto"/>
                <w:kern w:val="0"/>
                <w:sz w:val="18"/>
                <w:szCs w:val="18"/>
              </w:rPr>
            </w:pPr>
            <w:r>
              <w:rPr>
                <w:rFonts w:hint="eastAsia" w:ascii="宋体" w:hAnsi="宋体" w:cs="宋体"/>
                <w:color w:val="auto"/>
                <w:kern w:val="0"/>
                <w:sz w:val="18"/>
                <w:szCs w:val="18"/>
              </w:rPr>
              <w:t>营业收入(Y)</w:t>
            </w:r>
          </w:p>
        </w:tc>
        <w:tc>
          <w:tcPr>
            <w:tcW w:w="709" w:type="dxa"/>
            <w:tcBorders>
              <w:top w:val="nil"/>
              <w:left w:val="nil"/>
              <w:bottom w:val="single" w:color="auto" w:sz="4" w:space="0"/>
              <w:right w:val="single" w:color="auto" w:sz="4" w:space="0"/>
            </w:tcBorders>
            <w:noWrap w:val="0"/>
            <w:vAlign w:val="center"/>
          </w:tcPr>
          <w:p w14:paraId="79B41C34">
            <w:pPr>
              <w:widowControl/>
              <w:jc w:val="center"/>
              <w:rPr>
                <w:rFonts w:ascii="宋体" w:hAnsi="宋体" w:cs="宋体"/>
                <w:color w:val="auto"/>
                <w:kern w:val="0"/>
                <w:sz w:val="18"/>
                <w:szCs w:val="18"/>
              </w:rPr>
            </w:pPr>
            <w:r>
              <w:rPr>
                <w:rFonts w:hint="eastAsia" w:ascii="宋体" w:hAnsi="宋体" w:cs="宋体"/>
                <w:color w:val="auto"/>
                <w:kern w:val="0"/>
                <w:sz w:val="18"/>
                <w:szCs w:val="18"/>
              </w:rPr>
              <w:t>万元</w:t>
            </w:r>
          </w:p>
        </w:tc>
        <w:tc>
          <w:tcPr>
            <w:tcW w:w="1125" w:type="dxa"/>
            <w:tcBorders>
              <w:top w:val="nil"/>
              <w:left w:val="nil"/>
              <w:bottom w:val="single" w:color="auto" w:sz="4" w:space="0"/>
              <w:right w:val="single" w:color="auto" w:sz="4" w:space="0"/>
            </w:tcBorders>
            <w:noWrap w:val="0"/>
            <w:vAlign w:val="center"/>
          </w:tcPr>
          <w:p w14:paraId="43080A37">
            <w:pPr>
              <w:widowControl/>
              <w:jc w:val="center"/>
              <w:rPr>
                <w:rFonts w:ascii="宋体" w:hAnsi="宋体" w:cs="宋体"/>
                <w:color w:val="auto"/>
                <w:kern w:val="0"/>
                <w:sz w:val="18"/>
                <w:szCs w:val="18"/>
              </w:rPr>
            </w:pPr>
            <w:r>
              <w:rPr>
                <w:rFonts w:hint="eastAsia" w:ascii="宋体" w:hAnsi="宋体" w:cs="宋体"/>
                <w:color w:val="auto"/>
                <w:kern w:val="0"/>
                <w:sz w:val="18"/>
                <w:szCs w:val="18"/>
              </w:rPr>
              <w:t>Y≥30000</w:t>
            </w:r>
          </w:p>
        </w:tc>
        <w:tc>
          <w:tcPr>
            <w:tcW w:w="1701" w:type="dxa"/>
            <w:tcBorders>
              <w:top w:val="nil"/>
              <w:left w:val="nil"/>
              <w:bottom w:val="single" w:color="auto" w:sz="4" w:space="0"/>
              <w:right w:val="single" w:color="auto" w:sz="4" w:space="0"/>
            </w:tcBorders>
            <w:noWrap w:val="0"/>
            <w:vAlign w:val="center"/>
          </w:tcPr>
          <w:p w14:paraId="2E30BDB4">
            <w:pPr>
              <w:widowControl/>
              <w:jc w:val="center"/>
              <w:rPr>
                <w:rFonts w:ascii="宋体" w:hAnsi="宋体" w:cs="宋体"/>
                <w:color w:val="auto"/>
                <w:kern w:val="0"/>
                <w:sz w:val="18"/>
                <w:szCs w:val="18"/>
              </w:rPr>
            </w:pPr>
            <w:r>
              <w:rPr>
                <w:rFonts w:hint="eastAsia" w:ascii="宋体" w:hAnsi="宋体" w:cs="宋体"/>
                <w:color w:val="auto"/>
                <w:kern w:val="0"/>
                <w:sz w:val="18"/>
                <w:szCs w:val="18"/>
              </w:rPr>
              <w:t>2000≤Y＜30000</w:t>
            </w:r>
          </w:p>
        </w:tc>
        <w:tc>
          <w:tcPr>
            <w:tcW w:w="1426" w:type="dxa"/>
            <w:tcBorders>
              <w:top w:val="nil"/>
              <w:left w:val="nil"/>
              <w:bottom w:val="single" w:color="auto" w:sz="4" w:space="0"/>
              <w:right w:val="single" w:color="auto" w:sz="4" w:space="0"/>
            </w:tcBorders>
            <w:noWrap w:val="0"/>
            <w:vAlign w:val="center"/>
          </w:tcPr>
          <w:p w14:paraId="4E62C9C9">
            <w:pPr>
              <w:widowControl/>
              <w:jc w:val="center"/>
              <w:rPr>
                <w:rFonts w:ascii="宋体" w:hAnsi="宋体" w:cs="宋体"/>
                <w:color w:val="auto"/>
                <w:kern w:val="0"/>
                <w:sz w:val="18"/>
                <w:szCs w:val="18"/>
              </w:rPr>
            </w:pPr>
            <w:r>
              <w:rPr>
                <w:rFonts w:hint="eastAsia" w:ascii="宋体" w:hAnsi="宋体" w:cs="宋体"/>
                <w:color w:val="auto"/>
                <w:kern w:val="0"/>
                <w:sz w:val="18"/>
                <w:szCs w:val="18"/>
              </w:rPr>
              <w:t xml:space="preserve"> 100≤Y＜2000</w:t>
            </w:r>
          </w:p>
        </w:tc>
        <w:tc>
          <w:tcPr>
            <w:tcW w:w="992" w:type="dxa"/>
            <w:tcBorders>
              <w:top w:val="nil"/>
              <w:left w:val="nil"/>
              <w:bottom w:val="single" w:color="auto" w:sz="4" w:space="0"/>
              <w:right w:val="nil"/>
            </w:tcBorders>
            <w:noWrap w:val="0"/>
            <w:vAlign w:val="center"/>
          </w:tcPr>
          <w:p w14:paraId="1DE86C3A">
            <w:pPr>
              <w:widowControl/>
              <w:jc w:val="center"/>
              <w:rPr>
                <w:rFonts w:ascii="宋体" w:hAnsi="宋体" w:cs="宋体"/>
                <w:color w:val="auto"/>
                <w:kern w:val="0"/>
                <w:sz w:val="18"/>
                <w:szCs w:val="18"/>
              </w:rPr>
            </w:pPr>
            <w:r>
              <w:rPr>
                <w:rFonts w:hint="eastAsia" w:ascii="宋体" w:hAnsi="宋体" w:cs="宋体"/>
                <w:color w:val="auto"/>
                <w:kern w:val="0"/>
                <w:sz w:val="18"/>
                <w:szCs w:val="18"/>
              </w:rPr>
              <w:t>Y＜100</w:t>
            </w:r>
          </w:p>
        </w:tc>
      </w:tr>
      <w:tr w14:paraId="319B06EA">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noWrap w:val="0"/>
            <w:vAlign w:val="center"/>
          </w:tcPr>
          <w:p w14:paraId="4694F059">
            <w:pPr>
              <w:widowControl/>
              <w:spacing w:line="240" w:lineRule="exact"/>
              <w:jc w:val="left"/>
              <w:rPr>
                <w:rFonts w:ascii="宋体" w:hAnsi="宋体" w:cs="宋体"/>
                <w:color w:val="auto"/>
                <w:kern w:val="0"/>
                <w:sz w:val="18"/>
                <w:szCs w:val="18"/>
              </w:rPr>
            </w:pPr>
            <w:r>
              <w:rPr>
                <w:rFonts w:hint="eastAsia" w:ascii="宋体" w:hAnsi="宋体" w:cs="宋体"/>
                <w:color w:val="auto"/>
                <w:kern w:val="0"/>
                <w:sz w:val="18"/>
                <w:szCs w:val="18"/>
              </w:rPr>
              <w:t>住宿业</w:t>
            </w:r>
          </w:p>
        </w:tc>
        <w:tc>
          <w:tcPr>
            <w:tcW w:w="1369" w:type="dxa"/>
            <w:tcBorders>
              <w:top w:val="nil"/>
              <w:left w:val="nil"/>
              <w:bottom w:val="nil"/>
              <w:right w:val="single" w:color="auto" w:sz="4" w:space="0"/>
            </w:tcBorders>
            <w:noWrap w:val="0"/>
            <w:vAlign w:val="center"/>
          </w:tcPr>
          <w:p w14:paraId="17A38274">
            <w:pPr>
              <w:widowControl/>
              <w:jc w:val="center"/>
              <w:rPr>
                <w:rFonts w:ascii="宋体" w:hAnsi="宋体" w:cs="宋体"/>
                <w:color w:val="auto"/>
                <w:kern w:val="0"/>
                <w:sz w:val="18"/>
                <w:szCs w:val="18"/>
              </w:rPr>
            </w:pPr>
            <w:r>
              <w:rPr>
                <w:rFonts w:hint="eastAsia" w:ascii="宋体" w:hAnsi="宋体" w:cs="宋体"/>
                <w:color w:val="auto"/>
                <w:kern w:val="0"/>
                <w:sz w:val="18"/>
                <w:szCs w:val="18"/>
              </w:rPr>
              <w:t>从业人员(X)</w:t>
            </w:r>
          </w:p>
        </w:tc>
        <w:tc>
          <w:tcPr>
            <w:tcW w:w="709" w:type="dxa"/>
            <w:tcBorders>
              <w:top w:val="nil"/>
              <w:left w:val="nil"/>
              <w:bottom w:val="nil"/>
              <w:right w:val="single" w:color="auto" w:sz="4" w:space="0"/>
            </w:tcBorders>
            <w:noWrap w:val="0"/>
            <w:vAlign w:val="center"/>
          </w:tcPr>
          <w:p w14:paraId="5605B478">
            <w:pPr>
              <w:widowControl/>
              <w:jc w:val="center"/>
              <w:rPr>
                <w:rFonts w:ascii="宋体" w:hAnsi="宋体" w:cs="宋体"/>
                <w:color w:val="auto"/>
                <w:kern w:val="0"/>
                <w:sz w:val="18"/>
                <w:szCs w:val="18"/>
              </w:rPr>
            </w:pPr>
            <w:r>
              <w:rPr>
                <w:rFonts w:hint="eastAsia" w:ascii="宋体" w:hAnsi="宋体" w:cs="宋体"/>
                <w:color w:val="auto"/>
                <w:kern w:val="0"/>
                <w:sz w:val="18"/>
                <w:szCs w:val="18"/>
              </w:rPr>
              <w:t>人</w:t>
            </w:r>
          </w:p>
        </w:tc>
        <w:tc>
          <w:tcPr>
            <w:tcW w:w="1125" w:type="dxa"/>
            <w:tcBorders>
              <w:top w:val="nil"/>
              <w:left w:val="nil"/>
              <w:bottom w:val="nil"/>
              <w:right w:val="single" w:color="auto" w:sz="4" w:space="0"/>
            </w:tcBorders>
            <w:noWrap w:val="0"/>
            <w:vAlign w:val="center"/>
          </w:tcPr>
          <w:p w14:paraId="6BF627F6">
            <w:pPr>
              <w:widowControl/>
              <w:jc w:val="center"/>
              <w:rPr>
                <w:rFonts w:ascii="宋体" w:hAnsi="宋体" w:cs="宋体"/>
                <w:color w:val="auto"/>
                <w:kern w:val="0"/>
                <w:sz w:val="18"/>
                <w:szCs w:val="18"/>
              </w:rPr>
            </w:pPr>
            <w:r>
              <w:rPr>
                <w:rFonts w:hint="eastAsia" w:ascii="宋体" w:hAnsi="宋体" w:cs="宋体"/>
                <w:color w:val="auto"/>
                <w:kern w:val="0"/>
                <w:sz w:val="18"/>
                <w:szCs w:val="18"/>
              </w:rPr>
              <w:t>X≥300</w:t>
            </w:r>
          </w:p>
        </w:tc>
        <w:tc>
          <w:tcPr>
            <w:tcW w:w="1701" w:type="dxa"/>
            <w:tcBorders>
              <w:top w:val="nil"/>
              <w:left w:val="nil"/>
              <w:bottom w:val="nil"/>
              <w:right w:val="single" w:color="auto" w:sz="4" w:space="0"/>
            </w:tcBorders>
            <w:noWrap w:val="0"/>
            <w:vAlign w:val="center"/>
          </w:tcPr>
          <w:p w14:paraId="538044CF">
            <w:pPr>
              <w:widowControl/>
              <w:ind w:left="1" w:leftChars="-51" w:hanging="108" w:hangingChars="60"/>
              <w:jc w:val="center"/>
              <w:rPr>
                <w:rFonts w:ascii="宋体" w:hAnsi="宋体" w:cs="宋体"/>
                <w:color w:val="auto"/>
                <w:kern w:val="0"/>
                <w:sz w:val="18"/>
                <w:szCs w:val="18"/>
              </w:rPr>
            </w:pPr>
            <w:r>
              <w:rPr>
                <w:rFonts w:hint="eastAsia" w:ascii="宋体" w:hAnsi="宋体" w:cs="宋体"/>
                <w:color w:val="auto"/>
                <w:kern w:val="0"/>
                <w:sz w:val="18"/>
                <w:szCs w:val="18"/>
              </w:rPr>
              <w:t xml:space="preserve">100≤X＜300 </w:t>
            </w:r>
          </w:p>
        </w:tc>
        <w:tc>
          <w:tcPr>
            <w:tcW w:w="1426" w:type="dxa"/>
            <w:tcBorders>
              <w:top w:val="nil"/>
              <w:left w:val="nil"/>
              <w:bottom w:val="nil"/>
              <w:right w:val="single" w:color="auto" w:sz="4" w:space="0"/>
            </w:tcBorders>
            <w:noWrap w:val="0"/>
            <w:vAlign w:val="center"/>
          </w:tcPr>
          <w:p w14:paraId="378EA174">
            <w:pPr>
              <w:widowControl/>
              <w:jc w:val="center"/>
              <w:rPr>
                <w:rFonts w:ascii="宋体" w:hAnsi="宋体" w:cs="宋体"/>
                <w:color w:val="auto"/>
                <w:kern w:val="0"/>
                <w:sz w:val="18"/>
                <w:szCs w:val="18"/>
              </w:rPr>
            </w:pPr>
            <w:r>
              <w:rPr>
                <w:rFonts w:hint="eastAsia" w:ascii="宋体" w:hAnsi="宋体" w:cs="宋体"/>
                <w:color w:val="auto"/>
                <w:kern w:val="0"/>
                <w:sz w:val="18"/>
                <w:szCs w:val="18"/>
              </w:rPr>
              <w:t xml:space="preserve"> 10≤X＜100</w:t>
            </w:r>
          </w:p>
        </w:tc>
        <w:tc>
          <w:tcPr>
            <w:tcW w:w="992" w:type="dxa"/>
            <w:tcBorders>
              <w:top w:val="nil"/>
              <w:left w:val="nil"/>
              <w:bottom w:val="nil"/>
              <w:right w:val="nil"/>
            </w:tcBorders>
            <w:noWrap w:val="0"/>
            <w:vAlign w:val="center"/>
          </w:tcPr>
          <w:p w14:paraId="1810AEFE">
            <w:pPr>
              <w:widowControl/>
              <w:jc w:val="center"/>
              <w:rPr>
                <w:rFonts w:ascii="宋体" w:hAnsi="宋体" w:cs="宋体"/>
                <w:color w:val="auto"/>
                <w:kern w:val="0"/>
                <w:sz w:val="18"/>
                <w:szCs w:val="18"/>
              </w:rPr>
            </w:pPr>
            <w:r>
              <w:rPr>
                <w:rFonts w:hint="eastAsia" w:ascii="宋体" w:hAnsi="宋体" w:cs="宋体"/>
                <w:color w:val="auto"/>
                <w:kern w:val="0"/>
                <w:sz w:val="18"/>
                <w:szCs w:val="18"/>
              </w:rPr>
              <w:t>X＜10</w:t>
            </w:r>
          </w:p>
        </w:tc>
      </w:tr>
      <w:tr w14:paraId="091F10DC">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noWrap w:val="0"/>
            <w:vAlign w:val="center"/>
          </w:tcPr>
          <w:p w14:paraId="331451D2">
            <w:pPr>
              <w:widowControl/>
              <w:jc w:val="left"/>
              <w:rPr>
                <w:rFonts w:ascii="宋体" w:hAnsi="宋体" w:cs="宋体"/>
                <w:color w:val="auto"/>
                <w:kern w:val="0"/>
                <w:sz w:val="18"/>
                <w:szCs w:val="18"/>
              </w:rPr>
            </w:pPr>
          </w:p>
        </w:tc>
        <w:tc>
          <w:tcPr>
            <w:tcW w:w="1369" w:type="dxa"/>
            <w:tcBorders>
              <w:top w:val="nil"/>
              <w:left w:val="nil"/>
              <w:bottom w:val="single" w:color="auto" w:sz="4" w:space="0"/>
              <w:right w:val="single" w:color="auto" w:sz="4" w:space="0"/>
            </w:tcBorders>
            <w:noWrap w:val="0"/>
            <w:vAlign w:val="center"/>
          </w:tcPr>
          <w:p w14:paraId="7AD9DDCA">
            <w:pPr>
              <w:widowControl/>
              <w:spacing w:line="240" w:lineRule="exact"/>
              <w:jc w:val="center"/>
              <w:rPr>
                <w:rFonts w:ascii="宋体" w:hAnsi="宋体" w:cs="宋体"/>
                <w:color w:val="auto"/>
                <w:kern w:val="0"/>
                <w:sz w:val="18"/>
                <w:szCs w:val="18"/>
              </w:rPr>
            </w:pPr>
            <w:r>
              <w:rPr>
                <w:rFonts w:hint="eastAsia" w:ascii="宋体" w:hAnsi="宋体" w:cs="宋体"/>
                <w:color w:val="auto"/>
                <w:kern w:val="0"/>
                <w:sz w:val="18"/>
                <w:szCs w:val="18"/>
              </w:rPr>
              <w:t>营业收入(Y)</w:t>
            </w:r>
          </w:p>
        </w:tc>
        <w:tc>
          <w:tcPr>
            <w:tcW w:w="709" w:type="dxa"/>
            <w:tcBorders>
              <w:top w:val="nil"/>
              <w:left w:val="nil"/>
              <w:bottom w:val="single" w:color="auto" w:sz="4" w:space="0"/>
              <w:right w:val="single" w:color="auto" w:sz="4" w:space="0"/>
            </w:tcBorders>
            <w:noWrap w:val="0"/>
            <w:vAlign w:val="center"/>
          </w:tcPr>
          <w:p w14:paraId="4D067F7E">
            <w:pPr>
              <w:widowControl/>
              <w:jc w:val="center"/>
              <w:rPr>
                <w:rFonts w:ascii="宋体" w:hAnsi="宋体" w:cs="宋体"/>
                <w:color w:val="auto"/>
                <w:kern w:val="0"/>
                <w:sz w:val="18"/>
                <w:szCs w:val="18"/>
              </w:rPr>
            </w:pPr>
            <w:r>
              <w:rPr>
                <w:rFonts w:hint="eastAsia" w:ascii="宋体" w:hAnsi="宋体" w:cs="宋体"/>
                <w:color w:val="auto"/>
                <w:kern w:val="0"/>
                <w:sz w:val="18"/>
                <w:szCs w:val="18"/>
              </w:rPr>
              <w:t>万元</w:t>
            </w:r>
          </w:p>
        </w:tc>
        <w:tc>
          <w:tcPr>
            <w:tcW w:w="1125" w:type="dxa"/>
            <w:tcBorders>
              <w:top w:val="nil"/>
              <w:left w:val="nil"/>
              <w:bottom w:val="single" w:color="auto" w:sz="4" w:space="0"/>
              <w:right w:val="single" w:color="auto" w:sz="4" w:space="0"/>
            </w:tcBorders>
            <w:noWrap w:val="0"/>
            <w:vAlign w:val="center"/>
          </w:tcPr>
          <w:p w14:paraId="30F1BB16">
            <w:pPr>
              <w:widowControl/>
              <w:jc w:val="center"/>
              <w:rPr>
                <w:rFonts w:ascii="宋体" w:hAnsi="宋体" w:cs="宋体"/>
                <w:color w:val="auto"/>
                <w:kern w:val="0"/>
                <w:sz w:val="18"/>
                <w:szCs w:val="18"/>
              </w:rPr>
            </w:pPr>
            <w:r>
              <w:rPr>
                <w:rFonts w:hint="eastAsia" w:ascii="宋体" w:hAnsi="宋体" w:cs="宋体"/>
                <w:color w:val="auto"/>
                <w:kern w:val="0"/>
                <w:sz w:val="18"/>
                <w:szCs w:val="18"/>
              </w:rPr>
              <w:t>Y≥10000</w:t>
            </w:r>
          </w:p>
        </w:tc>
        <w:tc>
          <w:tcPr>
            <w:tcW w:w="1701" w:type="dxa"/>
            <w:tcBorders>
              <w:top w:val="nil"/>
              <w:left w:val="nil"/>
              <w:bottom w:val="single" w:color="auto" w:sz="4" w:space="0"/>
              <w:right w:val="single" w:color="auto" w:sz="4" w:space="0"/>
            </w:tcBorders>
            <w:noWrap w:val="0"/>
            <w:vAlign w:val="center"/>
          </w:tcPr>
          <w:p w14:paraId="1A78EEB2">
            <w:pPr>
              <w:widowControl/>
              <w:jc w:val="center"/>
              <w:rPr>
                <w:rFonts w:ascii="宋体" w:hAnsi="宋体" w:cs="宋体"/>
                <w:color w:val="auto"/>
                <w:kern w:val="0"/>
                <w:sz w:val="18"/>
                <w:szCs w:val="18"/>
              </w:rPr>
            </w:pPr>
            <w:r>
              <w:rPr>
                <w:rFonts w:hint="eastAsia" w:ascii="宋体" w:hAnsi="宋体" w:cs="宋体"/>
                <w:color w:val="auto"/>
                <w:kern w:val="0"/>
                <w:sz w:val="18"/>
                <w:szCs w:val="18"/>
              </w:rPr>
              <w:t>2000≤Y＜10000</w:t>
            </w:r>
          </w:p>
        </w:tc>
        <w:tc>
          <w:tcPr>
            <w:tcW w:w="1426" w:type="dxa"/>
            <w:tcBorders>
              <w:top w:val="nil"/>
              <w:left w:val="nil"/>
              <w:bottom w:val="single" w:color="auto" w:sz="4" w:space="0"/>
              <w:right w:val="single" w:color="auto" w:sz="4" w:space="0"/>
            </w:tcBorders>
            <w:noWrap w:val="0"/>
            <w:vAlign w:val="center"/>
          </w:tcPr>
          <w:p w14:paraId="72E0581E">
            <w:pPr>
              <w:widowControl/>
              <w:jc w:val="center"/>
              <w:rPr>
                <w:rFonts w:ascii="宋体" w:hAnsi="宋体" w:cs="宋体"/>
                <w:color w:val="auto"/>
                <w:kern w:val="0"/>
                <w:sz w:val="18"/>
                <w:szCs w:val="18"/>
              </w:rPr>
            </w:pPr>
            <w:r>
              <w:rPr>
                <w:rFonts w:hint="eastAsia" w:ascii="宋体" w:hAnsi="宋体" w:cs="宋体"/>
                <w:color w:val="auto"/>
                <w:kern w:val="0"/>
                <w:sz w:val="18"/>
                <w:szCs w:val="18"/>
              </w:rPr>
              <w:t xml:space="preserve"> 100≤Y＜2000</w:t>
            </w:r>
          </w:p>
        </w:tc>
        <w:tc>
          <w:tcPr>
            <w:tcW w:w="992" w:type="dxa"/>
            <w:tcBorders>
              <w:top w:val="nil"/>
              <w:left w:val="nil"/>
              <w:bottom w:val="single" w:color="auto" w:sz="4" w:space="0"/>
              <w:right w:val="nil"/>
            </w:tcBorders>
            <w:noWrap w:val="0"/>
            <w:vAlign w:val="center"/>
          </w:tcPr>
          <w:p w14:paraId="2CBF0849">
            <w:pPr>
              <w:widowControl/>
              <w:jc w:val="center"/>
              <w:rPr>
                <w:rFonts w:ascii="宋体" w:hAnsi="宋体" w:cs="宋体"/>
                <w:color w:val="auto"/>
                <w:kern w:val="0"/>
                <w:sz w:val="18"/>
                <w:szCs w:val="18"/>
              </w:rPr>
            </w:pPr>
            <w:r>
              <w:rPr>
                <w:rFonts w:hint="eastAsia" w:ascii="宋体" w:hAnsi="宋体" w:cs="宋体"/>
                <w:color w:val="auto"/>
                <w:kern w:val="0"/>
                <w:sz w:val="18"/>
                <w:szCs w:val="18"/>
              </w:rPr>
              <w:t>Y＜100</w:t>
            </w:r>
          </w:p>
        </w:tc>
      </w:tr>
      <w:tr w14:paraId="4FDC22D5">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noWrap w:val="0"/>
            <w:vAlign w:val="center"/>
          </w:tcPr>
          <w:p w14:paraId="03F5312F">
            <w:pPr>
              <w:widowControl/>
              <w:spacing w:line="240" w:lineRule="exact"/>
              <w:jc w:val="left"/>
              <w:rPr>
                <w:rFonts w:ascii="宋体" w:hAnsi="宋体" w:cs="宋体"/>
                <w:color w:val="auto"/>
                <w:kern w:val="0"/>
                <w:sz w:val="18"/>
                <w:szCs w:val="18"/>
              </w:rPr>
            </w:pPr>
            <w:r>
              <w:rPr>
                <w:rFonts w:hint="eastAsia" w:ascii="宋体" w:hAnsi="宋体" w:cs="宋体"/>
                <w:color w:val="auto"/>
                <w:kern w:val="0"/>
                <w:sz w:val="18"/>
                <w:szCs w:val="18"/>
              </w:rPr>
              <w:t>餐饮业</w:t>
            </w:r>
          </w:p>
        </w:tc>
        <w:tc>
          <w:tcPr>
            <w:tcW w:w="1369" w:type="dxa"/>
            <w:tcBorders>
              <w:top w:val="nil"/>
              <w:left w:val="nil"/>
              <w:bottom w:val="nil"/>
              <w:right w:val="single" w:color="auto" w:sz="4" w:space="0"/>
            </w:tcBorders>
            <w:noWrap w:val="0"/>
            <w:vAlign w:val="center"/>
          </w:tcPr>
          <w:p w14:paraId="483A7B4A">
            <w:pPr>
              <w:widowControl/>
              <w:jc w:val="center"/>
              <w:rPr>
                <w:rFonts w:ascii="宋体" w:hAnsi="宋体" w:cs="宋体"/>
                <w:color w:val="auto"/>
                <w:kern w:val="0"/>
                <w:sz w:val="18"/>
                <w:szCs w:val="18"/>
              </w:rPr>
            </w:pPr>
            <w:r>
              <w:rPr>
                <w:rFonts w:hint="eastAsia" w:ascii="宋体" w:hAnsi="宋体" w:cs="宋体"/>
                <w:color w:val="auto"/>
                <w:kern w:val="0"/>
                <w:sz w:val="18"/>
                <w:szCs w:val="18"/>
              </w:rPr>
              <w:t>从业人员(X)</w:t>
            </w:r>
          </w:p>
        </w:tc>
        <w:tc>
          <w:tcPr>
            <w:tcW w:w="709" w:type="dxa"/>
            <w:tcBorders>
              <w:top w:val="nil"/>
              <w:left w:val="nil"/>
              <w:bottom w:val="nil"/>
              <w:right w:val="single" w:color="auto" w:sz="4" w:space="0"/>
            </w:tcBorders>
            <w:noWrap w:val="0"/>
            <w:vAlign w:val="center"/>
          </w:tcPr>
          <w:p w14:paraId="5E709535">
            <w:pPr>
              <w:widowControl/>
              <w:jc w:val="center"/>
              <w:rPr>
                <w:rFonts w:ascii="宋体" w:hAnsi="宋体" w:cs="宋体"/>
                <w:color w:val="auto"/>
                <w:kern w:val="0"/>
                <w:sz w:val="18"/>
                <w:szCs w:val="18"/>
              </w:rPr>
            </w:pPr>
            <w:r>
              <w:rPr>
                <w:rFonts w:hint="eastAsia" w:ascii="宋体" w:hAnsi="宋体" w:cs="宋体"/>
                <w:color w:val="auto"/>
                <w:kern w:val="0"/>
                <w:sz w:val="18"/>
                <w:szCs w:val="18"/>
              </w:rPr>
              <w:t>人</w:t>
            </w:r>
          </w:p>
        </w:tc>
        <w:tc>
          <w:tcPr>
            <w:tcW w:w="1125" w:type="dxa"/>
            <w:tcBorders>
              <w:top w:val="nil"/>
              <w:left w:val="nil"/>
              <w:bottom w:val="nil"/>
              <w:right w:val="single" w:color="auto" w:sz="4" w:space="0"/>
            </w:tcBorders>
            <w:noWrap w:val="0"/>
            <w:vAlign w:val="center"/>
          </w:tcPr>
          <w:p w14:paraId="2F05EB87">
            <w:pPr>
              <w:widowControl/>
              <w:jc w:val="center"/>
              <w:rPr>
                <w:rFonts w:ascii="宋体" w:hAnsi="宋体" w:cs="宋体"/>
                <w:color w:val="auto"/>
                <w:kern w:val="0"/>
                <w:sz w:val="18"/>
                <w:szCs w:val="18"/>
              </w:rPr>
            </w:pPr>
            <w:r>
              <w:rPr>
                <w:rFonts w:hint="eastAsia" w:ascii="宋体" w:hAnsi="宋体" w:cs="宋体"/>
                <w:color w:val="auto"/>
                <w:kern w:val="0"/>
                <w:sz w:val="18"/>
                <w:szCs w:val="18"/>
              </w:rPr>
              <w:t>X≥300</w:t>
            </w:r>
          </w:p>
        </w:tc>
        <w:tc>
          <w:tcPr>
            <w:tcW w:w="1701" w:type="dxa"/>
            <w:tcBorders>
              <w:top w:val="nil"/>
              <w:left w:val="nil"/>
              <w:bottom w:val="nil"/>
              <w:right w:val="single" w:color="auto" w:sz="4" w:space="0"/>
            </w:tcBorders>
            <w:noWrap w:val="0"/>
            <w:vAlign w:val="center"/>
          </w:tcPr>
          <w:p w14:paraId="1C168B9C">
            <w:pPr>
              <w:widowControl/>
              <w:ind w:left="1" w:leftChars="-51" w:hanging="108" w:hangingChars="60"/>
              <w:jc w:val="center"/>
              <w:rPr>
                <w:rFonts w:ascii="宋体" w:hAnsi="宋体" w:cs="宋体"/>
                <w:color w:val="auto"/>
                <w:kern w:val="0"/>
                <w:sz w:val="18"/>
                <w:szCs w:val="18"/>
              </w:rPr>
            </w:pPr>
            <w:r>
              <w:rPr>
                <w:rFonts w:hint="eastAsia" w:ascii="宋体" w:hAnsi="宋体" w:cs="宋体"/>
                <w:color w:val="auto"/>
                <w:kern w:val="0"/>
                <w:sz w:val="18"/>
                <w:szCs w:val="18"/>
              </w:rPr>
              <w:t xml:space="preserve">100≤X＜300 </w:t>
            </w:r>
          </w:p>
        </w:tc>
        <w:tc>
          <w:tcPr>
            <w:tcW w:w="1426" w:type="dxa"/>
            <w:tcBorders>
              <w:top w:val="nil"/>
              <w:left w:val="nil"/>
              <w:bottom w:val="nil"/>
              <w:right w:val="single" w:color="auto" w:sz="4" w:space="0"/>
            </w:tcBorders>
            <w:noWrap w:val="0"/>
            <w:vAlign w:val="center"/>
          </w:tcPr>
          <w:p w14:paraId="73EDAB64">
            <w:pPr>
              <w:widowControl/>
              <w:jc w:val="center"/>
              <w:rPr>
                <w:rFonts w:ascii="宋体" w:hAnsi="宋体" w:cs="宋体"/>
                <w:color w:val="auto"/>
                <w:kern w:val="0"/>
                <w:sz w:val="18"/>
                <w:szCs w:val="18"/>
              </w:rPr>
            </w:pPr>
            <w:r>
              <w:rPr>
                <w:rFonts w:hint="eastAsia" w:ascii="宋体" w:hAnsi="宋体" w:cs="宋体"/>
                <w:color w:val="auto"/>
                <w:kern w:val="0"/>
                <w:sz w:val="18"/>
                <w:szCs w:val="18"/>
              </w:rPr>
              <w:t xml:space="preserve"> 10≤X＜100</w:t>
            </w:r>
          </w:p>
        </w:tc>
        <w:tc>
          <w:tcPr>
            <w:tcW w:w="992" w:type="dxa"/>
            <w:tcBorders>
              <w:top w:val="nil"/>
              <w:left w:val="nil"/>
              <w:bottom w:val="nil"/>
              <w:right w:val="nil"/>
            </w:tcBorders>
            <w:noWrap w:val="0"/>
            <w:vAlign w:val="center"/>
          </w:tcPr>
          <w:p w14:paraId="3A4A7EFE">
            <w:pPr>
              <w:widowControl/>
              <w:jc w:val="center"/>
              <w:rPr>
                <w:rFonts w:ascii="宋体" w:hAnsi="宋体" w:cs="宋体"/>
                <w:color w:val="auto"/>
                <w:kern w:val="0"/>
                <w:sz w:val="18"/>
                <w:szCs w:val="18"/>
              </w:rPr>
            </w:pPr>
            <w:r>
              <w:rPr>
                <w:rFonts w:hint="eastAsia" w:ascii="宋体" w:hAnsi="宋体" w:cs="宋体"/>
                <w:color w:val="auto"/>
                <w:kern w:val="0"/>
                <w:sz w:val="18"/>
                <w:szCs w:val="18"/>
              </w:rPr>
              <w:t>X＜10</w:t>
            </w:r>
          </w:p>
        </w:tc>
      </w:tr>
      <w:tr w14:paraId="237AE48A">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noWrap w:val="0"/>
            <w:vAlign w:val="center"/>
          </w:tcPr>
          <w:p w14:paraId="27E7EC49">
            <w:pPr>
              <w:widowControl/>
              <w:jc w:val="left"/>
              <w:rPr>
                <w:rFonts w:ascii="宋体" w:hAnsi="宋体" w:cs="宋体"/>
                <w:color w:val="auto"/>
                <w:kern w:val="0"/>
                <w:sz w:val="18"/>
                <w:szCs w:val="18"/>
              </w:rPr>
            </w:pPr>
          </w:p>
        </w:tc>
        <w:tc>
          <w:tcPr>
            <w:tcW w:w="1369" w:type="dxa"/>
            <w:tcBorders>
              <w:top w:val="nil"/>
              <w:left w:val="nil"/>
              <w:bottom w:val="single" w:color="auto" w:sz="4" w:space="0"/>
              <w:right w:val="single" w:color="auto" w:sz="4" w:space="0"/>
            </w:tcBorders>
            <w:noWrap w:val="0"/>
            <w:vAlign w:val="center"/>
          </w:tcPr>
          <w:p w14:paraId="0CB61A7A">
            <w:pPr>
              <w:widowControl/>
              <w:spacing w:line="240" w:lineRule="exact"/>
              <w:jc w:val="center"/>
              <w:rPr>
                <w:rFonts w:ascii="宋体" w:hAnsi="宋体" w:cs="宋体"/>
                <w:color w:val="auto"/>
                <w:kern w:val="0"/>
                <w:sz w:val="18"/>
                <w:szCs w:val="18"/>
              </w:rPr>
            </w:pPr>
            <w:r>
              <w:rPr>
                <w:rFonts w:hint="eastAsia" w:ascii="宋体" w:hAnsi="宋体" w:cs="宋体"/>
                <w:color w:val="auto"/>
                <w:kern w:val="0"/>
                <w:sz w:val="18"/>
                <w:szCs w:val="18"/>
              </w:rPr>
              <w:t>营业收入(Y)</w:t>
            </w:r>
          </w:p>
        </w:tc>
        <w:tc>
          <w:tcPr>
            <w:tcW w:w="709" w:type="dxa"/>
            <w:tcBorders>
              <w:top w:val="nil"/>
              <w:left w:val="nil"/>
              <w:bottom w:val="single" w:color="auto" w:sz="4" w:space="0"/>
              <w:right w:val="single" w:color="auto" w:sz="4" w:space="0"/>
            </w:tcBorders>
            <w:noWrap w:val="0"/>
            <w:vAlign w:val="center"/>
          </w:tcPr>
          <w:p w14:paraId="3E9EF7DE">
            <w:pPr>
              <w:widowControl/>
              <w:jc w:val="center"/>
              <w:rPr>
                <w:rFonts w:ascii="宋体" w:hAnsi="宋体" w:cs="宋体"/>
                <w:color w:val="auto"/>
                <w:kern w:val="0"/>
                <w:sz w:val="18"/>
                <w:szCs w:val="18"/>
              </w:rPr>
            </w:pPr>
            <w:r>
              <w:rPr>
                <w:rFonts w:hint="eastAsia" w:ascii="宋体" w:hAnsi="宋体" w:cs="宋体"/>
                <w:color w:val="auto"/>
                <w:kern w:val="0"/>
                <w:sz w:val="18"/>
                <w:szCs w:val="18"/>
              </w:rPr>
              <w:t>万元</w:t>
            </w:r>
          </w:p>
        </w:tc>
        <w:tc>
          <w:tcPr>
            <w:tcW w:w="1125" w:type="dxa"/>
            <w:tcBorders>
              <w:top w:val="nil"/>
              <w:left w:val="nil"/>
              <w:bottom w:val="single" w:color="auto" w:sz="4" w:space="0"/>
              <w:right w:val="single" w:color="auto" w:sz="4" w:space="0"/>
            </w:tcBorders>
            <w:noWrap w:val="0"/>
            <w:vAlign w:val="center"/>
          </w:tcPr>
          <w:p w14:paraId="1DA48E8F">
            <w:pPr>
              <w:widowControl/>
              <w:jc w:val="center"/>
              <w:rPr>
                <w:rFonts w:ascii="宋体" w:hAnsi="宋体" w:cs="宋体"/>
                <w:color w:val="auto"/>
                <w:kern w:val="0"/>
                <w:sz w:val="18"/>
                <w:szCs w:val="18"/>
              </w:rPr>
            </w:pPr>
            <w:r>
              <w:rPr>
                <w:rFonts w:hint="eastAsia" w:ascii="宋体" w:hAnsi="宋体" w:cs="宋体"/>
                <w:color w:val="auto"/>
                <w:kern w:val="0"/>
                <w:sz w:val="18"/>
                <w:szCs w:val="18"/>
              </w:rPr>
              <w:t>Y≥10000</w:t>
            </w:r>
          </w:p>
        </w:tc>
        <w:tc>
          <w:tcPr>
            <w:tcW w:w="1701" w:type="dxa"/>
            <w:tcBorders>
              <w:top w:val="nil"/>
              <w:left w:val="nil"/>
              <w:bottom w:val="single" w:color="auto" w:sz="4" w:space="0"/>
              <w:right w:val="single" w:color="auto" w:sz="4" w:space="0"/>
            </w:tcBorders>
            <w:noWrap w:val="0"/>
            <w:vAlign w:val="center"/>
          </w:tcPr>
          <w:p w14:paraId="29A11FAA">
            <w:pPr>
              <w:widowControl/>
              <w:jc w:val="center"/>
              <w:rPr>
                <w:rFonts w:ascii="宋体" w:hAnsi="宋体" w:cs="宋体"/>
                <w:color w:val="auto"/>
                <w:kern w:val="0"/>
                <w:sz w:val="18"/>
                <w:szCs w:val="18"/>
              </w:rPr>
            </w:pPr>
            <w:r>
              <w:rPr>
                <w:rFonts w:hint="eastAsia" w:ascii="宋体" w:hAnsi="宋体" w:cs="宋体"/>
                <w:color w:val="auto"/>
                <w:kern w:val="0"/>
                <w:sz w:val="18"/>
                <w:szCs w:val="18"/>
              </w:rPr>
              <w:t>2000≤Y＜10000</w:t>
            </w:r>
          </w:p>
        </w:tc>
        <w:tc>
          <w:tcPr>
            <w:tcW w:w="1426" w:type="dxa"/>
            <w:tcBorders>
              <w:top w:val="nil"/>
              <w:left w:val="nil"/>
              <w:bottom w:val="single" w:color="auto" w:sz="4" w:space="0"/>
              <w:right w:val="single" w:color="auto" w:sz="4" w:space="0"/>
            </w:tcBorders>
            <w:noWrap w:val="0"/>
            <w:vAlign w:val="center"/>
          </w:tcPr>
          <w:p w14:paraId="5A4F0201">
            <w:pPr>
              <w:widowControl/>
              <w:jc w:val="center"/>
              <w:rPr>
                <w:rFonts w:ascii="宋体" w:hAnsi="宋体" w:cs="宋体"/>
                <w:color w:val="auto"/>
                <w:kern w:val="0"/>
                <w:sz w:val="18"/>
                <w:szCs w:val="18"/>
              </w:rPr>
            </w:pPr>
            <w:r>
              <w:rPr>
                <w:rFonts w:hint="eastAsia" w:ascii="宋体" w:hAnsi="宋体" w:cs="宋体"/>
                <w:color w:val="auto"/>
                <w:kern w:val="0"/>
                <w:sz w:val="18"/>
                <w:szCs w:val="18"/>
              </w:rPr>
              <w:t xml:space="preserve"> 100≤Y＜2000</w:t>
            </w:r>
          </w:p>
        </w:tc>
        <w:tc>
          <w:tcPr>
            <w:tcW w:w="992" w:type="dxa"/>
            <w:tcBorders>
              <w:top w:val="nil"/>
              <w:left w:val="nil"/>
              <w:bottom w:val="single" w:color="auto" w:sz="4" w:space="0"/>
              <w:right w:val="nil"/>
            </w:tcBorders>
            <w:noWrap w:val="0"/>
            <w:vAlign w:val="center"/>
          </w:tcPr>
          <w:p w14:paraId="6DAE0B62">
            <w:pPr>
              <w:widowControl/>
              <w:jc w:val="center"/>
              <w:rPr>
                <w:rFonts w:ascii="宋体" w:hAnsi="宋体" w:cs="宋体"/>
                <w:color w:val="auto"/>
                <w:kern w:val="0"/>
                <w:sz w:val="18"/>
                <w:szCs w:val="18"/>
              </w:rPr>
            </w:pPr>
            <w:r>
              <w:rPr>
                <w:rFonts w:hint="eastAsia" w:ascii="宋体" w:hAnsi="宋体" w:cs="宋体"/>
                <w:color w:val="auto"/>
                <w:kern w:val="0"/>
                <w:sz w:val="18"/>
                <w:szCs w:val="18"/>
              </w:rPr>
              <w:t>Y＜100</w:t>
            </w:r>
          </w:p>
        </w:tc>
      </w:tr>
      <w:tr w14:paraId="2D5EB4BB">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noWrap w:val="0"/>
            <w:vAlign w:val="center"/>
          </w:tcPr>
          <w:p w14:paraId="3403E542">
            <w:pPr>
              <w:widowControl/>
              <w:spacing w:line="240" w:lineRule="exact"/>
              <w:jc w:val="left"/>
              <w:rPr>
                <w:rFonts w:ascii="宋体" w:hAnsi="宋体" w:cs="宋体"/>
                <w:color w:val="auto"/>
                <w:kern w:val="0"/>
                <w:sz w:val="18"/>
                <w:szCs w:val="18"/>
              </w:rPr>
            </w:pPr>
            <w:r>
              <w:rPr>
                <w:rFonts w:hint="eastAsia" w:ascii="宋体" w:hAnsi="宋体" w:cs="宋体"/>
                <w:color w:val="auto"/>
                <w:kern w:val="0"/>
                <w:sz w:val="18"/>
                <w:szCs w:val="18"/>
              </w:rPr>
              <w:t>信息传输业 *</w:t>
            </w:r>
          </w:p>
        </w:tc>
        <w:tc>
          <w:tcPr>
            <w:tcW w:w="1369" w:type="dxa"/>
            <w:tcBorders>
              <w:top w:val="nil"/>
              <w:left w:val="nil"/>
              <w:bottom w:val="nil"/>
              <w:right w:val="single" w:color="auto" w:sz="4" w:space="0"/>
            </w:tcBorders>
            <w:noWrap w:val="0"/>
            <w:vAlign w:val="center"/>
          </w:tcPr>
          <w:p w14:paraId="3D8D5D42">
            <w:pPr>
              <w:widowControl/>
              <w:jc w:val="center"/>
              <w:rPr>
                <w:rFonts w:ascii="宋体" w:hAnsi="宋体" w:cs="宋体"/>
                <w:color w:val="auto"/>
                <w:kern w:val="0"/>
                <w:sz w:val="18"/>
                <w:szCs w:val="18"/>
              </w:rPr>
            </w:pPr>
            <w:r>
              <w:rPr>
                <w:rFonts w:hint="eastAsia" w:ascii="宋体" w:hAnsi="宋体" w:cs="宋体"/>
                <w:color w:val="auto"/>
                <w:kern w:val="0"/>
                <w:sz w:val="18"/>
                <w:szCs w:val="18"/>
              </w:rPr>
              <w:t>从业人员(X)</w:t>
            </w:r>
          </w:p>
        </w:tc>
        <w:tc>
          <w:tcPr>
            <w:tcW w:w="709" w:type="dxa"/>
            <w:tcBorders>
              <w:top w:val="nil"/>
              <w:left w:val="nil"/>
              <w:bottom w:val="nil"/>
              <w:right w:val="single" w:color="auto" w:sz="4" w:space="0"/>
            </w:tcBorders>
            <w:noWrap w:val="0"/>
            <w:vAlign w:val="center"/>
          </w:tcPr>
          <w:p w14:paraId="4D9864F3">
            <w:pPr>
              <w:widowControl/>
              <w:jc w:val="center"/>
              <w:rPr>
                <w:rFonts w:ascii="宋体" w:hAnsi="宋体" w:cs="宋体"/>
                <w:color w:val="auto"/>
                <w:kern w:val="0"/>
                <w:sz w:val="18"/>
                <w:szCs w:val="18"/>
              </w:rPr>
            </w:pPr>
            <w:r>
              <w:rPr>
                <w:rFonts w:hint="eastAsia" w:ascii="宋体" w:hAnsi="宋体" w:cs="宋体"/>
                <w:color w:val="auto"/>
                <w:kern w:val="0"/>
                <w:sz w:val="18"/>
                <w:szCs w:val="18"/>
              </w:rPr>
              <w:t>人</w:t>
            </w:r>
          </w:p>
        </w:tc>
        <w:tc>
          <w:tcPr>
            <w:tcW w:w="1125" w:type="dxa"/>
            <w:tcBorders>
              <w:top w:val="nil"/>
              <w:left w:val="nil"/>
              <w:bottom w:val="nil"/>
              <w:right w:val="single" w:color="auto" w:sz="4" w:space="0"/>
            </w:tcBorders>
            <w:noWrap w:val="0"/>
            <w:vAlign w:val="center"/>
          </w:tcPr>
          <w:p w14:paraId="49CA4EDB">
            <w:pPr>
              <w:widowControl/>
              <w:jc w:val="center"/>
              <w:rPr>
                <w:rFonts w:ascii="宋体" w:hAnsi="宋体" w:cs="宋体"/>
                <w:color w:val="auto"/>
                <w:kern w:val="0"/>
                <w:sz w:val="18"/>
                <w:szCs w:val="18"/>
              </w:rPr>
            </w:pPr>
            <w:r>
              <w:rPr>
                <w:rFonts w:hint="eastAsia" w:ascii="宋体" w:hAnsi="宋体" w:cs="宋体"/>
                <w:color w:val="auto"/>
                <w:kern w:val="0"/>
                <w:sz w:val="18"/>
                <w:szCs w:val="18"/>
              </w:rPr>
              <w:t>X≥2000</w:t>
            </w:r>
          </w:p>
        </w:tc>
        <w:tc>
          <w:tcPr>
            <w:tcW w:w="1701" w:type="dxa"/>
            <w:tcBorders>
              <w:top w:val="nil"/>
              <w:left w:val="nil"/>
              <w:bottom w:val="nil"/>
              <w:right w:val="single" w:color="auto" w:sz="4" w:space="0"/>
            </w:tcBorders>
            <w:noWrap w:val="0"/>
            <w:vAlign w:val="center"/>
          </w:tcPr>
          <w:p w14:paraId="045369FC">
            <w:pPr>
              <w:widowControl/>
              <w:jc w:val="center"/>
              <w:rPr>
                <w:rFonts w:ascii="宋体" w:hAnsi="宋体" w:cs="宋体"/>
                <w:color w:val="auto"/>
                <w:kern w:val="0"/>
                <w:sz w:val="18"/>
                <w:szCs w:val="18"/>
              </w:rPr>
            </w:pPr>
            <w:r>
              <w:rPr>
                <w:rFonts w:hint="eastAsia" w:ascii="宋体" w:hAnsi="宋体" w:cs="宋体"/>
                <w:color w:val="auto"/>
                <w:kern w:val="0"/>
                <w:sz w:val="18"/>
                <w:szCs w:val="18"/>
              </w:rPr>
              <w:t>100≤X＜2000</w:t>
            </w:r>
          </w:p>
        </w:tc>
        <w:tc>
          <w:tcPr>
            <w:tcW w:w="1426" w:type="dxa"/>
            <w:tcBorders>
              <w:top w:val="nil"/>
              <w:left w:val="nil"/>
              <w:bottom w:val="nil"/>
              <w:right w:val="single" w:color="auto" w:sz="4" w:space="0"/>
            </w:tcBorders>
            <w:noWrap w:val="0"/>
            <w:vAlign w:val="center"/>
          </w:tcPr>
          <w:p w14:paraId="560D3106">
            <w:pPr>
              <w:widowControl/>
              <w:jc w:val="center"/>
              <w:rPr>
                <w:rFonts w:ascii="宋体" w:hAnsi="宋体" w:cs="宋体"/>
                <w:color w:val="auto"/>
                <w:kern w:val="0"/>
                <w:sz w:val="18"/>
                <w:szCs w:val="18"/>
              </w:rPr>
            </w:pPr>
            <w:r>
              <w:rPr>
                <w:rFonts w:hint="eastAsia" w:ascii="宋体" w:hAnsi="宋体" w:cs="宋体"/>
                <w:color w:val="auto"/>
                <w:kern w:val="0"/>
                <w:sz w:val="18"/>
                <w:szCs w:val="18"/>
              </w:rPr>
              <w:t xml:space="preserve"> 10≤X＜100</w:t>
            </w:r>
          </w:p>
        </w:tc>
        <w:tc>
          <w:tcPr>
            <w:tcW w:w="992" w:type="dxa"/>
            <w:tcBorders>
              <w:top w:val="nil"/>
              <w:left w:val="nil"/>
              <w:bottom w:val="nil"/>
              <w:right w:val="nil"/>
            </w:tcBorders>
            <w:noWrap w:val="0"/>
            <w:vAlign w:val="center"/>
          </w:tcPr>
          <w:p w14:paraId="6D5FE5C4">
            <w:pPr>
              <w:widowControl/>
              <w:jc w:val="center"/>
              <w:rPr>
                <w:rFonts w:ascii="宋体" w:hAnsi="宋体" w:cs="宋体"/>
                <w:color w:val="auto"/>
                <w:kern w:val="0"/>
                <w:sz w:val="18"/>
                <w:szCs w:val="18"/>
              </w:rPr>
            </w:pPr>
            <w:r>
              <w:rPr>
                <w:rFonts w:hint="eastAsia" w:ascii="宋体" w:hAnsi="宋体" w:cs="宋体"/>
                <w:color w:val="auto"/>
                <w:kern w:val="0"/>
                <w:sz w:val="18"/>
                <w:szCs w:val="18"/>
              </w:rPr>
              <w:t>X＜10</w:t>
            </w:r>
          </w:p>
        </w:tc>
      </w:tr>
      <w:tr w14:paraId="3643621A">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noWrap w:val="0"/>
            <w:vAlign w:val="center"/>
          </w:tcPr>
          <w:p w14:paraId="3B1CB65D">
            <w:pPr>
              <w:widowControl/>
              <w:jc w:val="left"/>
              <w:rPr>
                <w:rFonts w:ascii="宋体" w:hAnsi="宋体" w:cs="宋体"/>
                <w:color w:val="auto"/>
                <w:kern w:val="0"/>
                <w:sz w:val="18"/>
                <w:szCs w:val="18"/>
              </w:rPr>
            </w:pPr>
          </w:p>
        </w:tc>
        <w:tc>
          <w:tcPr>
            <w:tcW w:w="1369" w:type="dxa"/>
            <w:tcBorders>
              <w:top w:val="nil"/>
              <w:left w:val="nil"/>
              <w:bottom w:val="single" w:color="auto" w:sz="4" w:space="0"/>
              <w:right w:val="single" w:color="auto" w:sz="4" w:space="0"/>
            </w:tcBorders>
            <w:noWrap w:val="0"/>
            <w:vAlign w:val="center"/>
          </w:tcPr>
          <w:p w14:paraId="7B1D863F">
            <w:pPr>
              <w:widowControl/>
              <w:spacing w:line="240" w:lineRule="exact"/>
              <w:jc w:val="center"/>
              <w:rPr>
                <w:rFonts w:ascii="宋体" w:hAnsi="宋体" w:cs="宋体"/>
                <w:color w:val="auto"/>
                <w:kern w:val="0"/>
                <w:sz w:val="18"/>
                <w:szCs w:val="18"/>
              </w:rPr>
            </w:pPr>
            <w:r>
              <w:rPr>
                <w:rFonts w:hint="eastAsia" w:ascii="宋体" w:hAnsi="宋体" w:cs="宋体"/>
                <w:color w:val="auto"/>
                <w:kern w:val="0"/>
                <w:sz w:val="18"/>
                <w:szCs w:val="18"/>
              </w:rPr>
              <w:t>营业收入(Y)</w:t>
            </w:r>
          </w:p>
        </w:tc>
        <w:tc>
          <w:tcPr>
            <w:tcW w:w="709" w:type="dxa"/>
            <w:tcBorders>
              <w:top w:val="nil"/>
              <w:left w:val="nil"/>
              <w:bottom w:val="single" w:color="auto" w:sz="4" w:space="0"/>
              <w:right w:val="single" w:color="auto" w:sz="4" w:space="0"/>
            </w:tcBorders>
            <w:noWrap w:val="0"/>
            <w:vAlign w:val="center"/>
          </w:tcPr>
          <w:p w14:paraId="7F79B458">
            <w:pPr>
              <w:widowControl/>
              <w:jc w:val="center"/>
              <w:rPr>
                <w:rFonts w:ascii="宋体" w:hAnsi="宋体" w:cs="宋体"/>
                <w:color w:val="auto"/>
                <w:kern w:val="0"/>
                <w:sz w:val="18"/>
                <w:szCs w:val="18"/>
              </w:rPr>
            </w:pPr>
            <w:r>
              <w:rPr>
                <w:rFonts w:hint="eastAsia" w:ascii="宋体" w:hAnsi="宋体" w:cs="宋体"/>
                <w:color w:val="auto"/>
                <w:kern w:val="0"/>
                <w:sz w:val="18"/>
                <w:szCs w:val="18"/>
              </w:rPr>
              <w:t>万元</w:t>
            </w:r>
          </w:p>
        </w:tc>
        <w:tc>
          <w:tcPr>
            <w:tcW w:w="1125" w:type="dxa"/>
            <w:tcBorders>
              <w:top w:val="nil"/>
              <w:left w:val="nil"/>
              <w:bottom w:val="single" w:color="auto" w:sz="4" w:space="0"/>
              <w:right w:val="single" w:color="auto" w:sz="4" w:space="0"/>
            </w:tcBorders>
            <w:noWrap w:val="0"/>
            <w:vAlign w:val="center"/>
          </w:tcPr>
          <w:p w14:paraId="26C4A5FF">
            <w:pPr>
              <w:widowControl/>
              <w:jc w:val="center"/>
              <w:rPr>
                <w:rFonts w:ascii="宋体" w:hAnsi="宋体" w:cs="宋体"/>
                <w:color w:val="auto"/>
                <w:kern w:val="0"/>
                <w:sz w:val="18"/>
                <w:szCs w:val="18"/>
              </w:rPr>
            </w:pPr>
            <w:r>
              <w:rPr>
                <w:rFonts w:hint="eastAsia" w:ascii="宋体" w:hAnsi="宋体" w:cs="宋体"/>
                <w:color w:val="auto"/>
                <w:kern w:val="0"/>
                <w:sz w:val="18"/>
                <w:szCs w:val="18"/>
              </w:rPr>
              <w:t>Y≥100000</w:t>
            </w:r>
          </w:p>
        </w:tc>
        <w:tc>
          <w:tcPr>
            <w:tcW w:w="1701" w:type="dxa"/>
            <w:tcBorders>
              <w:top w:val="nil"/>
              <w:left w:val="nil"/>
              <w:bottom w:val="single" w:color="auto" w:sz="4" w:space="0"/>
              <w:right w:val="single" w:color="auto" w:sz="4" w:space="0"/>
            </w:tcBorders>
            <w:noWrap w:val="0"/>
            <w:vAlign w:val="center"/>
          </w:tcPr>
          <w:p w14:paraId="6BAAF2D8">
            <w:pPr>
              <w:widowControl/>
              <w:jc w:val="center"/>
              <w:rPr>
                <w:rFonts w:ascii="宋体" w:hAnsi="宋体" w:cs="宋体"/>
                <w:color w:val="auto"/>
                <w:kern w:val="0"/>
                <w:sz w:val="18"/>
                <w:szCs w:val="18"/>
              </w:rPr>
            </w:pPr>
            <w:r>
              <w:rPr>
                <w:rFonts w:hint="eastAsia" w:ascii="宋体" w:hAnsi="宋体" w:cs="宋体"/>
                <w:color w:val="auto"/>
                <w:kern w:val="0"/>
                <w:sz w:val="18"/>
                <w:szCs w:val="18"/>
              </w:rPr>
              <w:t xml:space="preserve"> 1000≤Y＜100000</w:t>
            </w:r>
          </w:p>
        </w:tc>
        <w:tc>
          <w:tcPr>
            <w:tcW w:w="1426" w:type="dxa"/>
            <w:tcBorders>
              <w:top w:val="nil"/>
              <w:left w:val="nil"/>
              <w:bottom w:val="single" w:color="auto" w:sz="4" w:space="0"/>
              <w:right w:val="single" w:color="auto" w:sz="4" w:space="0"/>
            </w:tcBorders>
            <w:noWrap w:val="0"/>
            <w:vAlign w:val="center"/>
          </w:tcPr>
          <w:p w14:paraId="25F02EA8">
            <w:pPr>
              <w:widowControl/>
              <w:jc w:val="center"/>
              <w:rPr>
                <w:rFonts w:ascii="宋体" w:hAnsi="宋体" w:cs="宋体"/>
                <w:color w:val="auto"/>
                <w:kern w:val="0"/>
                <w:sz w:val="18"/>
                <w:szCs w:val="18"/>
              </w:rPr>
            </w:pPr>
            <w:r>
              <w:rPr>
                <w:rFonts w:hint="eastAsia" w:ascii="宋体" w:hAnsi="宋体" w:cs="宋体"/>
                <w:color w:val="auto"/>
                <w:kern w:val="0"/>
                <w:sz w:val="18"/>
                <w:szCs w:val="18"/>
              </w:rPr>
              <w:t xml:space="preserve"> 100≤Y＜1000</w:t>
            </w:r>
          </w:p>
        </w:tc>
        <w:tc>
          <w:tcPr>
            <w:tcW w:w="992" w:type="dxa"/>
            <w:tcBorders>
              <w:top w:val="nil"/>
              <w:left w:val="nil"/>
              <w:bottom w:val="single" w:color="auto" w:sz="4" w:space="0"/>
              <w:right w:val="nil"/>
            </w:tcBorders>
            <w:noWrap w:val="0"/>
            <w:vAlign w:val="center"/>
          </w:tcPr>
          <w:p w14:paraId="6213A2D7">
            <w:pPr>
              <w:widowControl/>
              <w:jc w:val="center"/>
              <w:rPr>
                <w:rFonts w:ascii="宋体" w:hAnsi="宋体" w:cs="宋体"/>
                <w:color w:val="auto"/>
                <w:kern w:val="0"/>
                <w:sz w:val="18"/>
                <w:szCs w:val="18"/>
              </w:rPr>
            </w:pPr>
            <w:r>
              <w:rPr>
                <w:rFonts w:hint="eastAsia" w:ascii="宋体" w:hAnsi="宋体" w:cs="宋体"/>
                <w:color w:val="auto"/>
                <w:kern w:val="0"/>
                <w:sz w:val="18"/>
                <w:szCs w:val="18"/>
              </w:rPr>
              <w:t>Y＜100</w:t>
            </w:r>
          </w:p>
        </w:tc>
      </w:tr>
      <w:tr w14:paraId="1BB13607">
        <w:tblPrEx>
          <w:tblCellMar>
            <w:top w:w="0" w:type="dxa"/>
            <w:left w:w="108" w:type="dxa"/>
            <w:bottom w:w="0" w:type="dxa"/>
            <w:right w:w="108" w:type="dxa"/>
          </w:tblCellMar>
        </w:tblPrEx>
        <w:trPr>
          <w:trHeight w:val="340" w:hRule="exact"/>
          <w:jc w:val="center"/>
        </w:trPr>
        <w:tc>
          <w:tcPr>
            <w:tcW w:w="2113" w:type="dxa"/>
            <w:vMerge w:val="restart"/>
            <w:tcBorders>
              <w:top w:val="single" w:color="auto" w:sz="4" w:space="0"/>
              <w:left w:val="nil"/>
              <w:bottom w:val="single" w:color="auto" w:sz="4" w:space="0"/>
              <w:right w:val="single" w:color="auto" w:sz="4" w:space="0"/>
            </w:tcBorders>
            <w:noWrap w:val="0"/>
            <w:vAlign w:val="center"/>
          </w:tcPr>
          <w:p w14:paraId="5A8D67EA">
            <w:pPr>
              <w:widowControl/>
              <w:spacing w:line="240" w:lineRule="exact"/>
              <w:jc w:val="left"/>
              <w:rPr>
                <w:rFonts w:ascii="宋体" w:hAnsi="宋体" w:cs="宋体"/>
                <w:color w:val="auto"/>
                <w:spacing w:val="-12"/>
                <w:kern w:val="0"/>
                <w:sz w:val="18"/>
                <w:szCs w:val="18"/>
              </w:rPr>
            </w:pPr>
            <w:r>
              <w:rPr>
                <w:rFonts w:hint="eastAsia" w:ascii="宋体" w:hAnsi="宋体" w:cs="宋体"/>
                <w:color w:val="auto"/>
                <w:spacing w:val="-12"/>
                <w:kern w:val="0"/>
                <w:sz w:val="18"/>
                <w:szCs w:val="18"/>
              </w:rPr>
              <w:t>软件和信息技术服</w:t>
            </w:r>
            <w:r>
              <w:rPr>
                <w:rFonts w:hint="eastAsia" w:ascii="宋体" w:hAnsi="宋体" w:cs="宋体"/>
                <w:color w:val="auto"/>
                <w:kern w:val="0"/>
                <w:sz w:val="18"/>
                <w:szCs w:val="18"/>
              </w:rPr>
              <w:t>务业</w:t>
            </w:r>
          </w:p>
        </w:tc>
        <w:tc>
          <w:tcPr>
            <w:tcW w:w="1369" w:type="dxa"/>
            <w:tcBorders>
              <w:top w:val="nil"/>
              <w:left w:val="nil"/>
              <w:bottom w:val="nil"/>
              <w:right w:val="single" w:color="auto" w:sz="4" w:space="0"/>
            </w:tcBorders>
            <w:noWrap w:val="0"/>
            <w:vAlign w:val="center"/>
          </w:tcPr>
          <w:p w14:paraId="6B7DFCB1">
            <w:pPr>
              <w:widowControl/>
              <w:jc w:val="center"/>
              <w:rPr>
                <w:rFonts w:ascii="宋体" w:hAnsi="宋体" w:cs="宋体"/>
                <w:color w:val="auto"/>
                <w:kern w:val="0"/>
                <w:sz w:val="18"/>
                <w:szCs w:val="18"/>
              </w:rPr>
            </w:pPr>
            <w:r>
              <w:rPr>
                <w:rFonts w:hint="eastAsia" w:ascii="宋体" w:hAnsi="宋体" w:cs="宋体"/>
                <w:color w:val="auto"/>
                <w:kern w:val="0"/>
                <w:sz w:val="18"/>
                <w:szCs w:val="18"/>
              </w:rPr>
              <w:t>从业人员(X)</w:t>
            </w:r>
          </w:p>
        </w:tc>
        <w:tc>
          <w:tcPr>
            <w:tcW w:w="709" w:type="dxa"/>
            <w:tcBorders>
              <w:top w:val="nil"/>
              <w:left w:val="nil"/>
              <w:bottom w:val="nil"/>
              <w:right w:val="single" w:color="auto" w:sz="4" w:space="0"/>
            </w:tcBorders>
            <w:noWrap w:val="0"/>
            <w:vAlign w:val="center"/>
          </w:tcPr>
          <w:p w14:paraId="7DD48F6F">
            <w:pPr>
              <w:widowControl/>
              <w:jc w:val="center"/>
              <w:rPr>
                <w:rFonts w:ascii="宋体" w:hAnsi="宋体" w:cs="宋体"/>
                <w:color w:val="auto"/>
                <w:kern w:val="0"/>
                <w:sz w:val="18"/>
                <w:szCs w:val="18"/>
              </w:rPr>
            </w:pPr>
            <w:r>
              <w:rPr>
                <w:rFonts w:hint="eastAsia" w:ascii="宋体" w:hAnsi="宋体" w:cs="宋体"/>
                <w:color w:val="auto"/>
                <w:kern w:val="0"/>
                <w:sz w:val="18"/>
                <w:szCs w:val="18"/>
              </w:rPr>
              <w:t>人</w:t>
            </w:r>
          </w:p>
        </w:tc>
        <w:tc>
          <w:tcPr>
            <w:tcW w:w="1125" w:type="dxa"/>
            <w:tcBorders>
              <w:top w:val="nil"/>
              <w:left w:val="nil"/>
              <w:bottom w:val="nil"/>
              <w:right w:val="single" w:color="auto" w:sz="4" w:space="0"/>
            </w:tcBorders>
            <w:noWrap w:val="0"/>
            <w:vAlign w:val="center"/>
          </w:tcPr>
          <w:p w14:paraId="5C2146A1">
            <w:pPr>
              <w:widowControl/>
              <w:jc w:val="center"/>
              <w:rPr>
                <w:rFonts w:ascii="宋体" w:hAnsi="宋体" w:cs="宋体"/>
                <w:color w:val="auto"/>
                <w:kern w:val="0"/>
                <w:sz w:val="18"/>
                <w:szCs w:val="18"/>
              </w:rPr>
            </w:pPr>
            <w:r>
              <w:rPr>
                <w:rFonts w:hint="eastAsia" w:ascii="宋体" w:hAnsi="宋体" w:cs="宋体"/>
                <w:color w:val="auto"/>
                <w:kern w:val="0"/>
                <w:sz w:val="18"/>
                <w:szCs w:val="18"/>
              </w:rPr>
              <w:t>X≥300</w:t>
            </w:r>
          </w:p>
        </w:tc>
        <w:tc>
          <w:tcPr>
            <w:tcW w:w="1701" w:type="dxa"/>
            <w:tcBorders>
              <w:top w:val="nil"/>
              <w:left w:val="nil"/>
              <w:bottom w:val="nil"/>
              <w:right w:val="single" w:color="auto" w:sz="4" w:space="0"/>
            </w:tcBorders>
            <w:noWrap w:val="0"/>
            <w:vAlign w:val="center"/>
          </w:tcPr>
          <w:p w14:paraId="6A25F727">
            <w:pPr>
              <w:widowControl/>
              <w:ind w:left="1" w:leftChars="-51" w:hanging="108" w:hangingChars="60"/>
              <w:jc w:val="center"/>
              <w:rPr>
                <w:rFonts w:ascii="宋体" w:hAnsi="宋体" w:cs="宋体"/>
                <w:color w:val="auto"/>
                <w:kern w:val="0"/>
                <w:sz w:val="18"/>
                <w:szCs w:val="18"/>
              </w:rPr>
            </w:pPr>
            <w:r>
              <w:rPr>
                <w:rFonts w:hint="eastAsia" w:ascii="宋体" w:hAnsi="宋体" w:cs="宋体"/>
                <w:color w:val="auto"/>
                <w:kern w:val="0"/>
                <w:sz w:val="18"/>
                <w:szCs w:val="18"/>
              </w:rPr>
              <w:t xml:space="preserve">100≤X＜300 </w:t>
            </w:r>
          </w:p>
        </w:tc>
        <w:tc>
          <w:tcPr>
            <w:tcW w:w="1426" w:type="dxa"/>
            <w:tcBorders>
              <w:top w:val="nil"/>
              <w:left w:val="nil"/>
              <w:bottom w:val="nil"/>
              <w:right w:val="single" w:color="auto" w:sz="4" w:space="0"/>
            </w:tcBorders>
            <w:noWrap w:val="0"/>
            <w:vAlign w:val="center"/>
          </w:tcPr>
          <w:p w14:paraId="5964FBBB">
            <w:pPr>
              <w:widowControl/>
              <w:jc w:val="center"/>
              <w:rPr>
                <w:rFonts w:ascii="宋体" w:hAnsi="宋体" w:cs="宋体"/>
                <w:color w:val="auto"/>
                <w:kern w:val="0"/>
                <w:sz w:val="18"/>
                <w:szCs w:val="18"/>
              </w:rPr>
            </w:pPr>
            <w:r>
              <w:rPr>
                <w:rFonts w:hint="eastAsia" w:ascii="宋体" w:hAnsi="宋体" w:cs="宋体"/>
                <w:color w:val="auto"/>
                <w:kern w:val="0"/>
                <w:sz w:val="18"/>
                <w:szCs w:val="18"/>
              </w:rPr>
              <w:t xml:space="preserve"> 10≤X＜100</w:t>
            </w:r>
          </w:p>
        </w:tc>
        <w:tc>
          <w:tcPr>
            <w:tcW w:w="992" w:type="dxa"/>
            <w:tcBorders>
              <w:top w:val="nil"/>
              <w:left w:val="nil"/>
              <w:bottom w:val="nil"/>
              <w:right w:val="nil"/>
            </w:tcBorders>
            <w:noWrap w:val="0"/>
            <w:vAlign w:val="center"/>
          </w:tcPr>
          <w:p w14:paraId="4A763605">
            <w:pPr>
              <w:widowControl/>
              <w:jc w:val="center"/>
              <w:rPr>
                <w:rFonts w:ascii="宋体" w:hAnsi="宋体" w:cs="宋体"/>
                <w:color w:val="auto"/>
                <w:kern w:val="0"/>
                <w:sz w:val="18"/>
                <w:szCs w:val="18"/>
              </w:rPr>
            </w:pPr>
            <w:r>
              <w:rPr>
                <w:rFonts w:hint="eastAsia" w:ascii="宋体" w:hAnsi="宋体" w:cs="宋体"/>
                <w:color w:val="auto"/>
                <w:kern w:val="0"/>
                <w:sz w:val="18"/>
                <w:szCs w:val="18"/>
              </w:rPr>
              <w:t>X＜10</w:t>
            </w:r>
          </w:p>
        </w:tc>
      </w:tr>
      <w:tr w14:paraId="10EFCD42">
        <w:tblPrEx>
          <w:tblCellMar>
            <w:top w:w="0" w:type="dxa"/>
            <w:left w:w="108" w:type="dxa"/>
            <w:bottom w:w="0" w:type="dxa"/>
            <w:right w:w="108" w:type="dxa"/>
          </w:tblCellMar>
        </w:tblPrEx>
        <w:trPr>
          <w:trHeight w:val="340" w:hRule="exact"/>
          <w:jc w:val="center"/>
        </w:trPr>
        <w:tc>
          <w:tcPr>
            <w:tcW w:w="2113" w:type="dxa"/>
            <w:vMerge w:val="continue"/>
            <w:tcBorders>
              <w:top w:val="single" w:color="auto" w:sz="4" w:space="0"/>
              <w:left w:val="nil"/>
              <w:bottom w:val="single" w:color="auto" w:sz="4" w:space="0"/>
              <w:right w:val="single" w:color="auto" w:sz="4" w:space="0"/>
            </w:tcBorders>
            <w:noWrap w:val="0"/>
            <w:vAlign w:val="center"/>
          </w:tcPr>
          <w:p w14:paraId="0F306A78">
            <w:pPr>
              <w:widowControl/>
              <w:jc w:val="left"/>
              <w:rPr>
                <w:rFonts w:ascii="宋体" w:hAnsi="宋体" w:cs="宋体"/>
                <w:color w:val="auto"/>
                <w:spacing w:val="-12"/>
                <w:kern w:val="0"/>
                <w:sz w:val="18"/>
                <w:szCs w:val="18"/>
              </w:rPr>
            </w:pPr>
          </w:p>
        </w:tc>
        <w:tc>
          <w:tcPr>
            <w:tcW w:w="1369" w:type="dxa"/>
            <w:tcBorders>
              <w:top w:val="nil"/>
              <w:left w:val="nil"/>
              <w:bottom w:val="single" w:color="auto" w:sz="4" w:space="0"/>
              <w:right w:val="single" w:color="auto" w:sz="4" w:space="0"/>
            </w:tcBorders>
            <w:noWrap w:val="0"/>
            <w:vAlign w:val="center"/>
          </w:tcPr>
          <w:p w14:paraId="48DEE932">
            <w:pPr>
              <w:widowControl/>
              <w:jc w:val="center"/>
              <w:rPr>
                <w:rFonts w:ascii="宋体" w:hAnsi="宋体" w:cs="宋体"/>
                <w:color w:val="auto"/>
                <w:kern w:val="0"/>
                <w:sz w:val="18"/>
                <w:szCs w:val="18"/>
              </w:rPr>
            </w:pPr>
            <w:r>
              <w:rPr>
                <w:rFonts w:hint="eastAsia" w:ascii="宋体" w:hAnsi="宋体" w:cs="宋体"/>
                <w:color w:val="auto"/>
                <w:kern w:val="0"/>
                <w:sz w:val="18"/>
                <w:szCs w:val="18"/>
              </w:rPr>
              <w:t>营业收入(Y)</w:t>
            </w:r>
          </w:p>
        </w:tc>
        <w:tc>
          <w:tcPr>
            <w:tcW w:w="709" w:type="dxa"/>
            <w:tcBorders>
              <w:top w:val="nil"/>
              <w:left w:val="nil"/>
              <w:bottom w:val="single" w:color="auto" w:sz="4" w:space="0"/>
              <w:right w:val="single" w:color="auto" w:sz="4" w:space="0"/>
            </w:tcBorders>
            <w:noWrap w:val="0"/>
            <w:vAlign w:val="center"/>
          </w:tcPr>
          <w:p w14:paraId="13F76CA6">
            <w:pPr>
              <w:widowControl/>
              <w:jc w:val="center"/>
              <w:rPr>
                <w:rFonts w:ascii="宋体" w:hAnsi="宋体" w:cs="宋体"/>
                <w:color w:val="auto"/>
                <w:kern w:val="0"/>
                <w:sz w:val="18"/>
                <w:szCs w:val="18"/>
              </w:rPr>
            </w:pPr>
            <w:r>
              <w:rPr>
                <w:rFonts w:hint="eastAsia" w:ascii="宋体" w:hAnsi="宋体" w:cs="宋体"/>
                <w:color w:val="auto"/>
                <w:kern w:val="0"/>
                <w:sz w:val="18"/>
                <w:szCs w:val="18"/>
              </w:rPr>
              <w:t>万元</w:t>
            </w:r>
          </w:p>
        </w:tc>
        <w:tc>
          <w:tcPr>
            <w:tcW w:w="1125" w:type="dxa"/>
            <w:tcBorders>
              <w:top w:val="nil"/>
              <w:left w:val="nil"/>
              <w:bottom w:val="single" w:color="auto" w:sz="4" w:space="0"/>
              <w:right w:val="single" w:color="auto" w:sz="4" w:space="0"/>
            </w:tcBorders>
            <w:noWrap w:val="0"/>
            <w:vAlign w:val="center"/>
          </w:tcPr>
          <w:p w14:paraId="0719C139">
            <w:pPr>
              <w:widowControl/>
              <w:jc w:val="center"/>
              <w:rPr>
                <w:rFonts w:ascii="宋体" w:hAnsi="宋体" w:cs="宋体"/>
                <w:color w:val="auto"/>
                <w:kern w:val="0"/>
                <w:sz w:val="18"/>
                <w:szCs w:val="18"/>
              </w:rPr>
            </w:pPr>
            <w:r>
              <w:rPr>
                <w:rFonts w:hint="eastAsia" w:ascii="宋体" w:hAnsi="宋体" w:cs="宋体"/>
                <w:color w:val="auto"/>
                <w:kern w:val="0"/>
                <w:sz w:val="18"/>
                <w:szCs w:val="18"/>
              </w:rPr>
              <w:t>Y≥10000</w:t>
            </w:r>
          </w:p>
        </w:tc>
        <w:tc>
          <w:tcPr>
            <w:tcW w:w="1701" w:type="dxa"/>
            <w:tcBorders>
              <w:top w:val="nil"/>
              <w:left w:val="nil"/>
              <w:bottom w:val="single" w:color="auto" w:sz="4" w:space="0"/>
              <w:right w:val="single" w:color="auto" w:sz="4" w:space="0"/>
            </w:tcBorders>
            <w:noWrap w:val="0"/>
            <w:vAlign w:val="center"/>
          </w:tcPr>
          <w:p w14:paraId="7B8C566B">
            <w:pPr>
              <w:widowControl/>
              <w:jc w:val="center"/>
              <w:rPr>
                <w:rFonts w:ascii="宋体" w:hAnsi="宋体" w:cs="宋体"/>
                <w:color w:val="auto"/>
                <w:kern w:val="0"/>
                <w:sz w:val="18"/>
                <w:szCs w:val="18"/>
              </w:rPr>
            </w:pPr>
            <w:r>
              <w:rPr>
                <w:rFonts w:hint="eastAsia" w:ascii="宋体" w:hAnsi="宋体" w:cs="宋体"/>
                <w:color w:val="auto"/>
                <w:kern w:val="0"/>
                <w:sz w:val="18"/>
                <w:szCs w:val="18"/>
              </w:rPr>
              <w:t>1000≤Y＜10000</w:t>
            </w:r>
          </w:p>
        </w:tc>
        <w:tc>
          <w:tcPr>
            <w:tcW w:w="1426" w:type="dxa"/>
            <w:tcBorders>
              <w:top w:val="nil"/>
              <w:left w:val="nil"/>
              <w:bottom w:val="single" w:color="auto" w:sz="4" w:space="0"/>
              <w:right w:val="single" w:color="auto" w:sz="4" w:space="0"/>
            </w:tcBorders>
            <w:noWrap w:val="0"/>
            <w:vAlign w:val="center"/>
          </w:tcPr>
          <w:p w14:paraId="1D3CBB00">
            <w:pPr>
              <w:widowControl/>
              <w:jc w:val="center"/>
              <w:rPr>
                <w:rFonts w:ascii="宋体" w:hAnsi="宋体" w:cs="宋体"/>
                <w:color w:val="auto"/>
                <w:kern w:val="0"/>
                <w:sz w:val="18"/>
                <w:szCs w:val="18"/>
              </w:rPr>
            </w:pPr>
            <w:r>
              <w:rPr>
                <w:rFonts w:hint="eastAsia" w:ascii="宋体" w:hAnsi="宋体" w:cs="宋体"/>
                <w:color w:val="auto"/>
                <w:kern w:val="0"/>
                <w:sz w:val="18"/>
                <w:szCs w:val="18"/>
              </w:rPr>
              <w:t xml:space="preserve">  50≤Y＜1000</w:t>
            </w:r>
          </w:p>
        </w:tc>
        <w:tc>
          <w:tcPr>
            <w:tcW w:w="992" w:type="dxa"/>
            <w:tcBorders>
              <w:top w:val="nil"/>
              <w:left w:val="nil"/>
              <w:bottom w:val="single" w:color="auto" w:sz="4" w:space="0"/>
              <w:right w:val="nil"/>
            </w:tcBorders>
            <w:noWrap w:val="0"/>
            <w:vAlign w:val="center"/>
          </w:tcPr>
          <w:p w14:paraId="300FFF4A">
            <w:pPr>
              <w:widowControl/>
              <w:jc w:val="center"/>
              <w:rPr>
                <w:rFonts w:ascii="宋体" w:hAnsi="宋体" w:cs="宋体"/>
                <w:color w:val="auto"/>
                <w:kern w:val="0"/>
                <w:sz w:val="18"/>
                <w:szCs w:val="18"/>
              </w:rPr>
            </w:pPr>
            <w:r>
              <w:rPr>
                <w:rFonts w:hint="eastAsia" w:ascii="宋体" w:hAnsi="宋体" w:cs="宋体"/>
                <w:color w:val="auto"/>
                <w:kern w:val="0"/>
                <w:sz w:val="18"/>
                <w:szCs w:val="18"/>
              </w:rPr>
              <w:t>Y＜50</w:t>
            </w:r>
          </w:p>
        </w:tc>
      </w:tr>
      <w:tr w14:paraId="684975D6">
        <w:tblPrEx>
          <w:tblCellMar>
            <w:top w:w="0" w:type="dxa"/>
            <w:left w:w="108" w:type="dxa"/>
            <w:bottom w:w="0" w:type="dxa"/>
            <w:right w:w="108" w:type="dxa"/>
          </w:tblCellMar>
        </w:tblPrEx>
        <w:trPr>
          <w:trHeight w:val="340" w:hRule="exact"/>
          <w:jc w:val="center"/>
        </w:trPr>
        <w:tc>
          <w:tcPr>
            <w:tcW w:w="2113" w:type="dxa"/>
            <w:vMerge w:val="restart"/>
            <w:tcBorders>
              <w:top w:val="nil"/>
              <w:left w:val="nil"/>
              <w:bottom w:val="single" w:color="auto" w:sz="4" w:space="0"/>
              <w:right w:val="single" w:color="auto" w:sz="4" w:space="0"/>
            </w:tcBorders>
            <w:noWrap w:val="0"/>
            <w:vAlign w:val="center"/>
          </w:tcPr>
          <w:p w14:paraId="3B0C4714">
            <w:pPr>
              <w:widowControl/>
              <w:spacing w:line="240" w:lineRule="exact"/>
              <w:jc w:val="left"/>
              <w:rPr>
                <w:rFonts w:ascii="宋体" w:hAnsi="宋体" w:cs="宋体"/>
                <w:color w:val="auto"/>
                <w:kern w:val="0"/>
                <w:sz w:val="18"/>
                <w:szCs w:val="18"/>
              </w:rPr>
            </w:pPr>
            <w:r>
              <w:rPr>
                <w:rFonts w:hint="eastAsia" w:ascii="宋体" w:hAnsi="宋体" w:cs="宋体"/>
                <w:color w:val="auto"/>
                <w:kern w:val="0"/>
                <w:sz w:val="18"/>
                <w:szCs w:val="18"/>
              </w:rPr>
              <w:t>房地产开发经营</w:t>
            </w:r>
          </w:p>
        </w:tc>
        <w:tc>
          <w:tcPr>
            <w:tcW w:w="1369" w:type="dxa"/>
            <w:tcBorders>
              <w:top w:val="nil"/>
              <w:left w:val="nil"/>
              <w:bottom w:val="nil"/>
              <w:right w:val="single" w:color="auto" w:sz="4" w:space="0"/>
            </w:tcBorders>
            <w:noWrap w:val="0"/>
            <w:vAlign w:val="center"/>
          </w:tcPr>
          <w:p w14:paraId="3E2F9B37">
            <w:pPr>
              <w:widowControl/>
              <w:jc w:val="center"/>
              <w:rPr>
                <w:rFonts w:ascii="宋体" w:hAnsi="宋体" w:cs="宋体"/>
                <w:color w:val="auto"/>
                <w:kern w:val="0"/>
                <w:sz w:val="18"/>
                <w:szCs w:val="18"/>
              </w:rPr>
            </w:pPr>
            <w:r>
              <w:rPr>
                <w:rFonts w:hint="eastAsia" w:ascii="宋体" w:hAnsi="宋体" w:cs="宋体"/>
                <w:color w:val="auto"/>
                <w:kern w:val="0"/>
                <w:sz w:val="18"/>
                <w:szCs w:val="18"/>
              </w:rPr>
              <w:t>营业收入(Y)</w:t>
            </w:r>
          </w:p>
        </w:tc>
        <w:tc>
          <w:tcPr>
            <w:tcW w:w="709" w:type="dxa"/>
            <w:tcBorders>
              <w:top w:val="nil"/>
              <w:left w:val="nil"/>
              <w:bottom w:val="nil"/>
              <w:right w:val="single" w:color="auto" w:sz="4" w:space="0"/>
            </w:tcBorders>
            <w:noWrap w:val="0"/>
            <w:vAlign w:val="center"/>
          </w:tcPr>
          <w:p w14:paraId="6A92E00B">
            <w:pPr>
              <w:widowControl/>
              <w:jc w:val="center"/>
              <w:rPr>
                <w:rFonts w:ascii="宋体" w:hAnsi="宋体" w:cs="宋体"/>
                <w:color w:val="auto"/>
                <w:kern w:val="0"/>
                <w:sz w:val="18"/>
                <w:szCs w:val="18"/>
              </w:rPr>
            </w:pPr>
            <w:r>
              <w:rPr>
                <w:rFonts w:hint="eastAsia" w:ascii="宋体" w:hAnsi="宋体" w:cs="宋体"/>
                <w:color w:val="auto"/>
                <w:kern w:val="0"/>
                <w:sz w:val="18"/>
                <w:szCs w:val="18"/>
              </w:rPr>
              <w:t>万元</w:t>
            </w:r>
          </w:p>
        </w:tc>
        <w:tc>
          <w:tcPr>
            <w:tcW w:w="1125" w:type="dxa"/>
            <w:tcBorders>
              <w:top w:val="nil"/>
              <w:left w:val="nil"/>
              <w:bottom w:val="nil"/>
              <w:right w:val="single" w:color="auto" w:sz="4" w:space="0"/>
            </w:tcBorders>
            <w:noWrap w:val="0"/>
            <w:vAlign w:val="center"/>
          </w:tcPr>
          <w:p w14:paraId="395C3338">
            <w:pPr>
              <w:widowControl/>
              <w:jc w:val="center"/>
              <w:rPr>
                <w:rFonts w:ascii="宋体" w:hAnsi="宋体" w:cs="宋体"/>
                <w:color w:val="auto"/>
                <w:kern w:val="0"/>
                <w:sz w:val="18"/>
                <w:szCs w:val="18"/>
              </w:rPr>
            </w:pPr>
            <w:r>
              <w:rPr>
                <w:rFonts w:hint="eastAsia" w:ascii="宋体" w:hAnsi="宋体" w:cs="宋体"/>
                <w:color w:val="auto"/>
                <w:kern w:val="0"/>
                <w:sz w:val="18"/>
                <w:szCs w:val="18"/>
              </w:rPr>
              <w:t>Y≥200000</w:t>
            </w:r>
          </w:p>
        </w:tc>
        <w:tc>
          <w:tcPr>
            <w:tcW w:w="1701" w:type="dxa"/>
            <w:tcBorders>
              <w:top w:val="nil"/>
              <w:left w:val="nil"/>
              <w:bottom w:val="nil"/>
              <w:right w:val="single" w:color="auto" w:sz="4" w:space="0"/>
            </w:tcBorders>
            <w:noWrap w:val="0"/>
            <w:vAlign w:val="center"/>
          </w:tcPr>
          <w:p w14:paraId="507F7B7C">
            <w:pPr>
              <w:widowControl/>
              <w:jc w:val="center"/>
              <w:rPr>
                <w:rFonts w:ascii="宋体" w:hAnsi="宋体" w:cs="宋体"/>
                <w:color w:val="auto"/>
                <w:kern w:val="0"/>
                <w:sz w:val="18"/>
                <w:szCs w:val="18"/>
              </w:rPr>
            </w:pPr>
            <w:r>
              <w:rPr>
                <w:rFonts w:hint="eastAsia" w:ascii="宋体" w:hAnsi="宋体" w:cs="宋体"/>
                <w:color w:val="auto"/>
                <w:kern w:val="0"/>
                <w:sz w:val="18"/>
                <w:szCs w:val="18"/>
              </w:rPr>
              <w:t xml:space="preserve"> 1000≤Y＜200000</w:t>
            </w:r>
          </w:p>
        </w:tc>
        <w:tc>
          <w:tcPr>
            <w:tcW w:w="1426" w:type="dxa"/>
            <w:tcBorders>
              <w:top w:val="nil"/>
              <w:left w:val="nil"/>
              <w:bottom w:val="nil"/>
              <w:right w:val="single" w:color="auto" w:sz="4" w:space="0"/>
            </w:tcBorders>
            <w:noWrap w:val="0"/>
            <w:vAlign w:val="center"/>
          </w:tcPr>
          <w:p w14:paraId="7E632959">
            <w:pPr>
              <w:widowControl/>
              <w:jc w:val="center"/>
              <w:rPr>
                <w:rFonts w:ascii="宋体" w:hAnsi="宋体" w:cs="宋体"/>
                <w:color w:val="auto"/>
                <w:kern w:val="0"/>
                <w:sz w:val="18"/>
                <w:szCs w:val="18"/>
              </w:rPr>
            </w:pPr>
            <w:r>
              <w:rPr>
                <w:rFonts w:hint="eastAsia" w:ascii="宋体" w:hAnsi="宋体" w:cs="宋体"/>
                <w:color w:val="auto"/>
                <w:kern w:val="0"/>
                <w:sz w:val="18"/>
                <w:szCs w:val="18"/>
              </w:rPr>
              <w:t xml:space="preserve"> 100≤Y＜1000</w:t>
            </w:r>
          </w:p>
        </w:tc>
        <w:tc>
          <w:tcPr>
            <w:tcW w:w="992" w:type="dxa"/>
            <w:tcBorders>
              <w:top w:val="nil"/>
              <w:left w:val="nil"/>
              <w:bottom w:val="nil"/>
              <w:right w:val="nil"/>
            </w:tcBorders>
            <w:noWrap w:val="0"/>
            <w:vAlign w:val="center"/>
          </w:tcPr>
          <w:p w14:paraId="3C1E1180">
            <w:pPr>
              <w:widowControl/>
              <w:jc w:val="center"/>
              <w:rPr>
                <w:rFonts w:ascii="宋体" w:hAnsi="宋体" w:cs="宋体"/>
                <w:color w:val="auto"/>
                <w:kern w:val="0"/>
                <w:sz w:val="18"/>
                <w:szCs w:val="18"/>
              </w:rPr>
            </w:pPr>
            <w:r>
              <w:rPr>
                <w:rFonts w:hint="eastAsia" w:ascii="宋体" w:hAnsi="宋体" w:cs="宋体"/>
                <w:color w:val="auto"/>
                <w:kern w:val="0"/>
                <w:sz w:val="18"/>
                <w:szCs w:val="18"/>
              </w:rPr>
              <w:t>Y＜100</w:t>
            </w:r>
          </w:p>
        </w:tc>
      </w:tr>
      <w:tr w14:paraId="61C17D6D">
        <w:tblPrEx>
          <w:tblCellMar>
            <w:top w:w="0" w:type="dxa"/>
            <w:left w:w="108" w:type="dxa"/>
            <w:bottom w:w="0" w:type="dxa"/>
            <w:right w:w="108" w:type="dxa"/>
          </w:tblCellMar>
        </w:tblPrEx>
        <w:trPr>
          <w:trHeight w:val="340" w:hRule="exact"/>
          <w:jc w:val="center"/>
        </w:trPr>
        <w:tc>
          <w:tcPr>
            <w:tcW w:w="2113" w:type="dxa"/>
            <w:vMerge w:val="continue"/>
            <w:tcBorders>
              <w:top w:val="nil"/>
              <w:left w:val="nil"/>
              <w:bottom w:val="single" w:color="auto" w:sz="4" w:space="0"/>
              <w:right w:val="single" w:color="auto" w:sz="4" w:space="0"/>
            </w:tcBorders>
            <w:noWrap w:val="0"/>
            <w:vAlign w:val="center"/>
          </w:tcPr>
          <w:p w14:paraId="1545B940">
            <w:pPr>
              <w:widowControl/>
              <w:jc w:val="left"/>
              <w:rPr>
                <w:rFonts w:ascii="宋体" w:hAnsi="宋体" w:cs="宋体"/>
                <w:color w:val="auto"/>
                <w:kern w:val="0"/>
                <w:sz w:val="18"/>
                <w:szCs w:val="18"/>
              </w:rPr>
            </w:pPr>
          </w:p>
        </w:tc>
        <w:tc>
          <w:tcPr>
            <w:tcW w:w="1369" w:type="dxa"/>
            <w:tcBorders>
              <w:top w:val="nil"/>
              <w:left w:val="nil"/>
              <w:bottom w:val="single" w:color="auto" w:sz="4" w:space="0"/>
              <w:right w:val="single" w:color="auto" w:sz="4" w:space="0"/>
            </w:tcBorders>
            <w:noWrap w:val="0"/>
            <w:vAlign w:val="center"/>
          </w:tcPr>
          <w:p w14:paraId="610AA46F">
            <w:pPr>
              <w:widowControl/>
              <w:spacing w:line="240" w:lineRule="exact"/>
              <w:jc w:val="center"/>
              <w:rPr>
                <w:rFonts w:ascii="宋体" w:hAnsi="宋体" w:cs="宋体"/>
                <w:color w:val="auto"/>
                <w:kern w:val="0"/>
                <w:sz w:val="18"/>
                <w:szCs w:val="18"/>
              </w:rPr>
            </w:pPr>
            <w:r>
              <w:rPr>
                <w:rFonts w:hint="eastAsia" w:ascii="宋体" w:hAnsi="宋体" w:cs="宋体"/>
                <w:color w:val="auto"/>
                <w:kern w:val="0"/>
                <w:sz w:val="18"/>
                <w:szCs w:val="18"/>
              </w:rPr>
              <w:t>资产总额(Z)</w:t>
            </w:r>
          </w:p>
        </w:tc>
        <w:tc>
          <w:tcPr>
            <w:tcW w:w="709" w:type="dxa"/>
            <w:tcBorders>
              <w:top w:val="nil"/>
              <w:left w:val="nil"/>
              <w:bottom w:val="single" w:color="auto" w:sz="4" w:space="0"/>
              <w:right w:val="single" w:color="auto" w:sz="4" w:space="0"/>
            </w:tcBorders>
            <w:noWrap w:val="0"/>
            <w:vAlign w:val="center"/>
          </w:tcPr>
          <w:p w14:paraId="6AA40B5D">
            <w:pPr>
              <w:widowControl/>
              <w:jc w:val="center"/>
              <w:rPr>
                <w:rFonts w:ascii="宋体" w:hAnsi="宋体" w:cs="宋体"/>
                <w:color w:val="auto"/>
                <w:kern w:val="0"/>
                <w:sz w:val="18"/>
                <w:szCs w:val="18"/>
              </w:rPr>
            </w:pPr>
            <w:r>
              <w:rPr>
                <w:rFonts w:hint="eastAsia" w:ascii="宋体" w:hAnsi="宋体" w:cs="宋体"/>
                <w:color w:val="auto"/>
                <w:kern w:val="0"/>
                <w:sz w:val="18"/>
                <w:szCs w:val="18"/>
              </w:rPr>
              <w:t>万元</w:t>
            </w:r>
          </w:p>
        </w:tc>
        <w:tc>
          <w:tcPr>
            <w:tcW w:w="1125" w:type="dxa"/>
            <w:tcBorders>
              <w:top w:val="nil"/>
              <w:left w:val="nil"/>
              <w:bottom w:val="single" w:color="auto" w:sz="4" w:space="0"/>
              <w:right w:val="single" w:color="auto" w:sz="4" w:space="0"/>
            </w:tcBorders>
            <w:noWrap w:val="0"/>
            <w:vAlign w:val="center"/>
          </w:tcPr>
          <w:p w14:paraId="2F95DEAC">
            <w:pPr>
              <w:widowControl/>
              <w:jc w:val="center"/>
              <w:rPr>
                <w:rFonts w:ascii="宋体" w:hAnsi="宋体" w:cs="宋体"/>
                <w:color w:val="auto"/>
                <w:kern w:val="0"/>
                <w:sz w:val="18"/>
                <w:szCs w:val="18"/>
              </w:rPr>
            </w:pPr>
            <w:r>
              <w:rPr>
                <w:rFonts w:hint="eastAsia" w:ascii="宋体" w:hAnsi="宋体" w:cs="宋体"/>
                <w:color w:val="auto"/>
                <w:kern w:val="0"/>
                <w:sz w:val="18"/>
                <w:szCs w:val="18"/>
              </w:rPr>
              <w:t>Z≥10000</w:t>
            </w:r>
          </w:p>
        </w:tc>
        <w:tc>
          <w:tcPr>
            <w:tcW w:w="1701" w:type="dxa"/>
            <w:tcBorders>
              <w:top w:val="nil"/>
              <w:left w:val="nil"/>
              <w:bottom w:val="single" w:color="auto" w:sz="4" w:space="0"/>
              <w:right w:val="single" w:color="auto" w:sz="4" w:space="0"/>
            </w:tcBorders>
            <w:noWrap w:val="0"/>
            <w:vAlign w:val="center"/>
          </w:tcPr>
          <w:p w14:paraId="01D2C9A1">
            <w:pPr>
              <w:widowControl/>
              <w:jc w:val="center"/>
              <w:rPr>
                <w:rFonts w:ascii="宋体" w:hAnsi="宋体" w:cs="宋体"/>
                <w:color w:val="auto"/>
                <w:kern w:val="0"/>
                <w:sz w:val="18"/>
                <w:szCs w:val="18"/>
              </w:rPr>
            </w:pPr>
            <w:r>
              <w:rPr>
                <w:rFonts w:hint="eastAsia" w:ascii="宋体" w:hAnsi="宋体" w:cs="宋体"/>
                <w:color w:val="auto"/>
                <w:kern w:val="0"/>
                <w:sz w:val="18"/>
                <w:szCs w:val="18"/>
              </w:rPr>
              <w:t>5000≤Z＜10000</w:t>
            </w:r>
          </w:p>
        </w:tc>
        <w:tc>
          <w:tcPr>
            <w:tcW w:w="1426" w:type="dxa"/>
            <w:tcBorders>
              <w:top w:val="nil"/>
              <w:left w:val="nil"/>
              <w:bottom w:val="single" w:color="auto" w:sz="4" w:space="0"/>
              <w:right w:val="single" w:color="auto" w:sz="4" w:space="0"/>
            </w:tcBorders>
            <w:noWrap w:val="0"/>
            <w:vAlign w:val="center"/>
          </w:tcPr>
          <w:p w14:paraId="558BBC5B">
            <w:pPr>
              <w:widowControl/>
              <w:jc w:val="center"/>
              <w:rPr>
                <w:rFonts w:ascii="宋体" w:hAnsi="宋体" w:cs="宋体"/>
                <w:color w:val="auto"/>
                <w:kern w:val="0"/>
                <w:sz w:val="18"/>
                <w:szCs w:val="18"/>
              </w:rPr>
            </w:pPr>
            <w:r>
              <w:rPr>
                <w:rFonts w:hint="eastAsia" w:ascii="宋体" w:hAnsi="宋体" w:cs="宋体"/>
                <w:color w:val="auto"/>
                <w:kern w:val="0"/>
                <w:sz w:val="18"/>
                <w:szCs w:val="18"/>
              </w:rPr>
              <w:t xml:space="preserve">2000≤Z＜5000   </w:t>
            </w:r>
          </w:p>
        </w:tc>
        <w:tc>
          <w:tcPr>
            <w:tcW w:w="992" w:type="dxa"/>
            <w:tcBorders>
              <w:top w:val="nil"/>
              <w:left w:val="nil"/>
              <w:bottom w:val="single" w:color="auto" w:sz="4" w:space="0"/>
              <w:right w:val="nil"/>
            </w:tcBorders>
            <w:noWrap w:val="0"/>
            <w:vAlign w:val="center"/>
          </w:tcPr>
          <w:p w14:paraId="3D2E9F7E">
            <w:pPr>
              <w:widowControl/>
              <w:jc w:val="center"/>
              <w:rPr>
                <w:rFonts w:ascii="宋体" w:hAnsi="宋体" w:cs="宋体"/>
                <w:color w:val="auto"/>
                <w:kern w:val="0"/>
                <w:sz w:val="18"/>
                <w:szCs w:val="18"/>
              </w:rPr>
            </w:pPr>
            <w:r>
              <w:rPr>
                <w:rFonts w:hint="eastAsia" w:ascii="宋体" w:hAnsi="宋体" w:cs="宋体"/>
                <w:color w:val="auto"/>
                <w:kern w:val="0"/>
                <w:sz w:val="18"/>
                <w:szCs w:val="18"/>
              </w:rPr>
              <w:t>Z＜2000</w:t>
            </w:r>
          </w:p>
        </w:tc>
      </w:tr>
      <w:tr w14:paraId="082839BF">
        <w:tblPrEx>
          <w:tblCellMar>
            <w:top w:w="0" w:type="dxa"/>
            <w:left w:w="108" w:type="dxa"/>
            <w:bottom w:w="0" w:type="dxa"/>
            <w:right w:w="108" w:type="dxa"/>
          </w:tblCellMar>
        </w:tblPrEx>
        <w:trPr>
          <w:trHeight w:val="340" w:hRule="exact"/>
          <w:jc w:val="center"/>
        </w:trPr>
        <w:tc>
          <w:tcPr>
            <w:tcW w:w="2113" w:type="dxa"/>
            <w:vMerge w:val="restart"/>
            <w:tcBorders>
              <w:top w:val="nil"/>
              <w:left w:val="nil"/>
              <w:bottom w:val="single" w:color="auto" w:sz="4" w:space="0"/>
              <w:right w:val="single" w:color="auto" w:sz="4" w:space="0"/>
            </w:tcBorders>
            <w:noWrap w:val="0"/>
            <w:vAlign w:val="center"/>
          </w:tcPr>
          <w:p w14:paraId="7D241C25">
            <w:pPr>
              <w:widowControl/>
              <w:spacing w:line="240" w:lineRule="exact"/>
              <w:jc w:val="left"/>
              <w:rPr>
                <w:rFonts w:ascii="宋体" w:hAnsi="宋体" w:cs="宋体"/>
                <w:color w:val="auto"/>
                <w:kern w:val="0"/>
                <w:sz w:val="18"/>
                <w:szCs w:val="18"/>
              </w:rPr>
            </w:pPr>
            <w:r>
              <w:rPr>
                <w:rFonts w:hint="eastAsia" w:ascii="宋体" w:hAnsi="宋体" w:cs="宋体"/>
                <w:color w:val="auto"/>
                <w:kern w:val="0"/>
                <w:sz w:val="18"/>
                <w:szCs w:val="18"/>
              </w:rPr>
              <w:t>物业管理</w:t>
            </w:r>
          </w:p>
        </w:tc>
        <w:tc>
          <w:tcPr>
            <w:tcW w:w="1369" w:type="dxa"/>
            <w:tcBorders>
              <w:top w:val="nil"/>
              <w:left w:val="nil"/>
              <w:bottom w:val="nil"/>
              <w:right w:val="single" w:color="auto" w:sz="4" w:space="0"/>
            </w:tcBorders>
            <w:noWrap w:val="0"/>
            <w:vAlign w:val="center"/>
          </w:tcPr>
          <w:p w14:paraId="7DA3EA73">
            <w:pPr>
              <w:widowControl/>
              <w:jc w:val="center"/>
              <w:rPr>
                <w:rFonts w:ascii="宋体" w:hAnsi="宋体" w:cs="宋体"/>
                <w:color w:val="auto"/>
                <w:kern w:val="0"/>
                <w:sz w:val="18"/>
                <w:szCs w:val="18"/>
              </w:rPr>
            </w:pPr>
            <w:r>
              <w:rPr>
                <w:rFonts w:hint="eastAsia" w:ascii="宋体" w:hAnsi="宋体" w:cs="宋体"/>
                <w:color w:val="auto"/>
                <w:kern w:val="0"/>
                <w:sz w:val="18"/>
                <w:szCs w:val="18"/>
              </w:rPr>
              <w:t>从业人员(X)</w:t>
            </w:r>
          </w:p>
        </w:tc>
        <w:tc>
          <w:tcPr>
            <w:tcW w:w="709" w:type="dxa"/>
            <w:tcBorders>
              <w:top w:val="nil"/>
              <w:left w:val="nil"/>
              <w:bottom w:val="nil"/>
              <w:right w:val="single" w:color="auto" w:sz="4" w:space="0"/>
            </w:tcBorders>
            <w:noWrap w:val="0"/>
            <w:vAlign w:val="center"/>
          </w:tcPr>
          <w:p w14:paraId="4C1267C0">
            <w:pPr>
              <w:widowControl/>
              <w:jc w:val="center"/>
              <w:rPr>
                <w:rFonts w:ascii="宋体" w:hAnsi="宋体" w:cs="宋体"/>
                <w:color w:val="auto"/>
                <w:kern w:val="0"/>
                <w:sz w:val="18"/>
                <w:szCs w:val="18"/>
              </w:rPr>
            </w:pPr>
            <w:r>
              <w:rPr>
                <w:rFonts w:hint="eastAsia" w:ascii="宋体" w:hAnsi="宋体" w:cs="宋体"/>
                <w:color w:val="auto"/>
                <w:kern w:val="0"/>
                <w:sz w:val="18"/>
                <w:szCs w:val="18"/>
              </w:rPr>
              <w:t>人</w:t>
            </w:r>
          </w:p>
        </w:tc>
        <w:tc>
          <w:tcPr>
            <w:tcW w:w="1125" w:type="dxa"/>
            <w:tcBorders>
              <w:top w:val="nil"/>
              <w:left w:val="nil"/>
              <w:bottom w:val="nil"/>
              <w:right w:val="single" w:color="auto" w:sz="4" w:space="0"/>
            </w:tcBorders>
            <w:noWrap w:val="0"/>
            <w:vAlign w:val="center"/>
          </w:tcPr>
          <w:p w14:paraId="77D75F45">
            <w:pPr>
              <w:widowControl/>
              <w:jc w:val="center"/>
              <w:rPr>
                <w:rFonts w:ascii="宋体" w:hAnsi="宋体" w:cs="宋体"/>
                <w:color w:val="auto"/>
                <w:kern w:val="0"/>
                <w:sz w:val="18"/>
                <w:szCs w:val="18"/>
              </w:rPr>
            </w:pPr>
            <w:r>
              <w:rPr>
                <w:rFonts w:hint="eastAsia" w:ascii="宋体" w:hAnsi="宋体" w:cs="宋体"/>
                <w:color w:val="auto"/>
                <w:kern w:val="0"/>
                <w:sz w:val="18"/>
                <w:szCs w:val="18"/>
              </w:rPr>
              <w:t>X≥1000</w:t>
            </w:r>
          </w:p>
        </w:tc>
        <w:tc>
          <w:tcPr>
            <w:tcW w:w="1701" w:type="dxa"/>
            <w:tcBorders>
              <w:top w:val="nil"/>
              <w:left w:val="nil"/>
              <w:bottom w:val="nil"/>
              <w:right w:val="single" w:color="auto" w:sz="4" w:space="0"/>
            </w:tcBorders>
            <w:noWrap w:val="0"/>
            <w:vAlign w:val="center"/>
          </w:tcPr>
          <w:p w14:paraId="66669EC1">
            <w:pPr>
              <w:widowControl/>
              <w:jc w:val="center"/>
              <w:rPr>
                <w:rFonts w:ascii="宋体" w:hAnsi="宋体" w:cs="宋体"/>
                <w:color w:val="auto"/>
                <w:kern w:val="0"/>
                <w:sz w:val="18"/>
                <w:szCs w:val="18"/>
              </w:rPr>
            </w:pPr>
            <w:r>
              <w:rPr>
                <w:rFonts w:hint="eastAsia" w:ascii="宋体" w:hAnsi="宋体" w:cs="宋体"/>
                <w:color w:val="auto"/>
                <w:kern w:val="0"/>
                <w:sz w:val="18"/>
                <w:szCs w:val="18"/>
              </w:rPr>
              <w:t>300≤X＜1000</w:t>
            </w:r>
          </w:p>
        </w:tc>
        <w:tc>
          <w:tcPr>
            <w:tcW w:w="1426" w:type="dxa"/>
            <w:tcBorders>
              <w:top w:val="nil"/>
              <w:left w:val="nil"/>
              <w:bottom w:val="nil"/>
              <w:right w:val="single" w:color="auto" w:sz="4" w:space="0"/>
            </w:tcBorders>
            <w:noWrap w:val="0"/>
            <w:vAlign w:val="center"/>
          </w:tcPr>
          <w:p w14:paraId="1089DC15">
            <w:pPr>
              <w:widowControl/>
              <w:jc w:val="center"/>
              <w:rPr>
                <w:rFonts w:ascii="宋体" w:hAnsi="宋体" w:cs="宋体"/>
                <w:color w:val="auto"/>
                <w:kern w:val="0"/>
                <w:sz w:val="18"/>
                <w:szCs w:val="18"/>
              </w:rPr>
            </w:pPr>
            <w:r>
              <w:rPr>
                <w:rFonts w:hint="eastAsia" w:ascii="宋体" w:hAnsi="宋体" w:cs="宋体"/>
                <w:color w:val="auto"/>
                <w:kern w:val="0"/>
                <w:sz w:val="18"/>
                <w:szCs w:val="18"/>
              </w:rPr>
              <w:t xml:space="preserve">100≤X＜300 </w:t>
            </w:r>
          </w:p>
        </w:tc>
        <w:tc>
          <w:tcPr>
            <w:tcW w:w="992" w:type="dxa"/>
            <w:tcBorders>
              <w:top w:val="nil"/>
              <w:left w:val="nil"/>
              <w:bottom w:val="nil"/>
              <w:right w:val="nil"/>
            </w:tcBorders>
            <w:noWrap w:val="0"/>
            <w:vAlign w:val="center"/>
          </w:tcPr>
          <w:p w14:paraId="64C7B80F">
            <w:pPr>
              <w:widowControl/>
              <w:jc w:val="center"/>
              <w:rPr>
                <w:rFonts w:ascii="宋体" w:hAnsi="宋体" w:cs="宋体"/>
                <w:color w:val="auto"/>
                <w:kern w:val="0"/>
                <w:sz w:val="18"/>
                <w:szCs w:val="18"/>
              </w:rPr>
            </w:pPr>
            <w:r>
              <w:rPr>
                <w:rFonts w:hint="eastAsia" w:ascii="宋体" w:hAnsi="宋体" w:cs="宋体"/>
                <w:color w:val="auto"/>
                <w:kern w:val="0"/>
                <w:sz w:val="18"/>
                <w:szCs w:val="18"/>
              </w:rPr>
              <w:t>X＜100</w:t>
            </w:r>
          </w:p>
        </w:tc>
      </w:tr>
      <w:tr w14:paraId="03221B2B">
        <w:tblPrEx>
          <w:tblCellMar>
            <w:top w:w="0" w:type="dxa"/>
            <w:left w:w="108" w:type="dxa"/>
            <w:bottom w:w="0" w:type="dxa"/>
            <w:right w:w="108" w:type="dxa"/>
          </w:tblCellMar>
        </w:tblPrEx>
        <w:trPr>
          <w:trHeight w:val="340" w:hRule="exact"/>
          <w:jc w:val="center"/>
        </w:trPr>
        <w:tc>
          <w:tcPr>
            <w:tcW w:w="2113" w:type="dxa"/>
            <w:vMerge w:val="continue"/>
            <w:tcBorders>
              <w:top w:val="nil"/>
              <w:left w:val="nil"/>
              <w:bottom w:val="single" w:color="auto" w:sz="4" w:space="0"/>
              <w:right w:val="single" w:color="auto" w:sz="4" w:space="0"/>
            </w:tcBorders>
            <w:noWrap w:val="0"/>
            <w:vAlign w:val="center"/>
          </w:tcPr>
          <w:p w14:paraId="1EA9BB30">
            <w:pPr>
              <w:widowControl/>
              <w:jc w:val="left"/>
              <w:rPr>
                <w:rFonts w:ascii="宋体" w:hAnsi="宋体" w:cs="宋体"/>
                <w:color w:val="auto"/>
                <w:kern w:val="0"/>
                <w:sz w:val="18"/>
                <w:szCs w:val="18"/>
              </w:rPr>
            </w:pPr>
          </w:p>
        </w:tc>
        <w:tc>
          <w:tcPr>
            <w:tcW w:w="1369" w:type="dxa"/>
            <w:tcBorders>
              <w:top w:val="nil"/>
              <w:left w:val="nil"/>
              <w:bottom w:val="single" w:color="auto" w:sz="4" w:space="0"/>
              <w:right w:val="single" w:color="auto" w:sz="4" w:space="0"/>
            </w:tcBorders>
            <w:noWrap w:val="0"/>
            <w:vAlign w:val="center"/>
          </w:tcPr>
          <w:p w14:paraId="39F1659B">
            <w:pPr>
              <w:widowControl/>
              <w:spacing w:line="240" w:lineRule="exact"/>
              <w:jc w:val="center"/>
              <w:rPr>
                <w:rFonts w:ascii="宋体" w:hAnsi="宋体" w:cs="宋体"/>
                <w:color w:val="auto"/>
                <w:kern w:val="0"/>
                <w:sz w:val="18"/>
                <w:szCs w:val="18"/>
              </w:rPr>
            </w:pPr>
            <w:r>
              <w:rPr>
                <w:rFonts w:hint="eastAsia" w:ascii="宋体" w:hAnsi="宋体" w:cs="宋体"/>
                <w:color w:val="auto"/>
                <w:kern w:val="0"/>
                <w:sz w:val="18"/>
                <w:szCs w:val="18"/>
              </w:rPr>
              <w:t>营业收入(Y)</w:t>
            </w:r>
          </w:p>
        </w:tc>
        <w:tc>
          <w:tcPr>
            <w:tcW w:w="709" w:type="dxa"/>
            <w:tcBorders>
              <w:top w:val="nil"/>
              <w:left w:val="nil"/>
              <w:bottom w:val="single" w:color="auto" w:sz="4" w:space="0"/>
              <w:right w:val="single" w:color="auto" w:sz="4" w:space="0"/>
            </w:tcBorders>
            <w:noWrap w:val="0"/>
            <w:vAlign w:val="center"/>
          </w:tcPr>
          <w:p w14:paraId="6A957D92">
            <w:pPr>
              <w:widowControl/>
              <w:jc w:val="center"/>
              <w:rPr>
                <w:rFonts w:ascii="宋体" w:hAnsi="宋体" w:cs="宋体"/>
                <w:color w:val="auto"/>
                <w:kern w:val="0"/>
                <w:sz w:val="18"/>
                <w:szCs w:val="18"/>
              </w:rPr>
            </w:pPr>
            <w:r>
              <w:rPr>
                <w:rFonts w:hint="eastAsia" w:ascii="宋体" w:hAnsi="宋体" w:cs="宋体"/>
                <w:color w:val="auto"/>
                <w:kern w:val="0"/>
                <w:sz w:val="18"/>
                <w:szCs w:val="18"/>
              </w:rPr>
              <w:t>万元</w:t>
            </w:r>
          </w:p>
        </w:tc>
        <w:tc>
          <w:tcPr>
            <w:tcW w:w="1125" w:type="dxa"/>
            <w:tcBorders>
              <w:top w:val="nil"/>
              <w:left w:val="nil"/>
              <w:bottom w:val="single" w:color="auto" w:sz="4" w:space="0"/>
              <w:right w:val="single" w:color="auto" w:sz="4" w:space="0"/>
            </w:tcBorders>
            <w:noWrap w:val="0"/>
            <w:vAlign w:val="center"/>
          </w:tcPr>
          <w:p w14:paraId="45EAD03C">
            <w:pPr>
              <w:widowControl/>
              <w:jc w:val="center"/>
              <w:rPr>
                <w:rFonts w:ascii="宋体" w:hAnsi="宋体" w:cs="宋体"/>
                <w:color w:val="auto"/>
                <w:kern w:val="0"/>
                <w:sz w:val="18"/>
                <w:szCs w:val="18"/>
              </w:rPr>
            </w:pPr>
            <w:r>
              <w:rPr>
                <w:rFonts w:hint="eastAsia" w:ascii="宋体" w:hAnsi="宋体" w:cs="宋体"/>
                <w:color w:val="auto"/>
                <w:kern w:val="0"/>
                <w:sz w:val="18"/>
                <w:szCs w:val="18"/>
              </w:rPr>
              <w:t>Y≥5000</w:t>
            </w:r>
          </w:p>
        </w:tc>
        <w:tc>
          <w:tcPr>
            <w:tcW w:w="1701" w:type="dxa"/>
            <w:tcBorders>
              <w:top w:val="nil"/>
              <w:left w:val="nil"/>
              <w:bottom w:val="single" w:color="auto" w:sz="4" w:space="0"/>
              <w:right w:val="single" w:color="auto" w:sz="4" w:space="0"/>
            </w:tcBorders>
            <w:noWrap w:val="0"/>
            <w:vAlign w:val="center"/>
          </w:tcPr>
          <w:p w14:paraId="77DB0C6D">
            <w:pPr>
              <w:widowControl/>
              <w:ind w:left="1" w:leftChars="-51" w:hanging="108" w:hangingChars="60"/>
              <w:jc w:val="center"/>
              <w:rPr>
                <w:rFonts w:ascii="宋体" w:hAnsi="宋体" w:cs="宋体"/>
                <w:color w:val="auto"/>
                <w:kern w:val="0"/>
                <w:sz w:val="18"/>
                <w:szCs w:val="18"/>
              </w:rPr>
            </w:pPr>
            <w:r>
              <w:rPr>
                <w:rFonts w:hint="eastAsia" w:ascii="宋体" w:hAnsi="宋体" w:cs="宋体"/>
                <w:color w:val="auto"/>
                <w:kern w:val="0"/>
                <w:sz w:val="18"/>
                <w:szCs w:val="18"/>
              </w:rPr>
              <w:t xml:space="preserve">1000≤Y＜5000 </w:t>
            </w:r>
          </w:p>
        </w:tc>
        <w:tc>
          <w:tcPr>
            <w:tcW w:w="1426" w:type="dxa"/>
            <w:tcBorders>
              <w:top w:val="nil"/>
              <w:left w:val="nil"/>
              <w:bottom w:val="single" w:color="auto" w:sz="4" w:space="0"/>
              <w:right w:val="single" w:color="auto" w:sz="4" w:space="0"/>
            </w:tcBorders>
            <w:noWrap w:val="0"/>
            <w:vAlign w:val="center"/>
          </w:tcPr>
          <w:p w14:paraId="26B3B5B6">
            <w:pPr>
              <w:widowControl/>
              <w:jc w:val="center"/>
              <w:rPr>
                <w:rFonts w:ascii="宋体" w:hAnsi="宋体" w:cs="宋体"/>
                <w:color w:val="auto"/>
                <w:kern w:val="0"/>
                <w:sz w:val="18"/>
                <w:szCs w:val="18"/>
              </w:rPr>
            </w:pPr>
            <w:r>
              <w:rPr>
                <w:rFonts w:hint="eastAsia" w:ascii="宋体" w:hAnsi="宋体" w:cs="宋体"/>
                <w:color w:val="auto"/>
                <w:kern w:val="0"/>
                <w:sz w:val="18"/>
                <w:szCs w:val="18"/>
              </w:rPr>
              <w:t xml:space="preserve"> 500≤Y＜1000</w:t>
            </w:r>
          </w:p>
        </w:tc>
        <w:tc>
          <w:tcPr>
            <w:tcW w:w="992" w:type="dxa"/>
            <w:tcBorders>
              <w:top w:val="nil"/>
              <w:left w:val="nil"/>
              <w:bottom w:val="single" w:color="auto" w:sz="4" w:space="0"/>
              <w:right w:val="nil"/>
            </w:tcBorders>
            <w:noWrap w:val="0"/>
            <w:vAlign w:val="center"/>
          </w:tcPr>
          <w:p w14:paraId="2E94A0CA">
            <w:pPr>
              <w:widowControl/>
              <w:jc w:val="center"/>
              <w:rPr>
                <w:rFonts w:ascii="宋体" w:hAnsi="宋体" w:cs="宋体"/>
                <w:color w:val="auto"/>
                <w:kern w:val="0"/>
                <w:sz w:val="18"/>
                <w:szCs w:val="18"/>
              </w:rPr>
            </w:pPr>
            <w:r>
              <w:rPr>
                <w:rFonts w:hint="eastAsia" w:ascii="宋体" w:hAnsi="宋体" w:cs="宋体"/>
                <w:color w:val="auto"/>
                <w:kern w:val="0"/>
                <w:sz w:val="18"/>
                <w:szCs w:val="18"/>
              </w:rPr>
              <w:t>Y＜500</w:t>
            </w:r>
          </w:p>
        </w:tc>
      </w:tr>
      <w:tr w14:paraId="5AE58846">
        <w:tblPrEx>
          <w:tblCellMar>
            <w:top w:w="0" w:type="dxa"/>
            <w:left w:w="108" w:type="dxa"/>
            <w:bottom w:w="0" w:type="dxa"/>
            <w:right w:w="108" w:type="dxa"/>
          </w:tblCellMar>
        </w:tblPrEx>
        <w:trPr>
          <w:trHeight w:val="340" w:hRule="exact"/>
          <w:jc w:val="center"/>
        </w:trPr>
        <w:tc>
          <w:tcPr>
            <w:tcW w:w="2113" w:type="dxa"/>
            <w:vMerge w:val="restart"/>
            <w:tcBorders>
              <w:top w:val="nil"/>
              <w:left w:val="nil"/>
              <w:bottom w:val="single" w:color="auto" w:sz="4" w:space="0"/>
              <w:right w:val="single" w:color="auto" w:sz="4" w:space="0"/>
            </w:tcBorders>
            <w:noWrap w:val="0"/>
            <w:vAlign w:val="center"/>
          </w:tcPr>
          <w:p w14:paraId="4772E750">
            <w:pPr>
              <w:widowControl/>
              <w:spacing w:line="240" w:lineRule="exact"/>
              <w:jc w:val="left"/>
              <w:rPr>
                <w:rFonts w:ascii="宋体" w:hAnsi="宋体" w:cs="宋体"/>
                <w:color w:val="auto"/>
                <w:kern w:val="0"/>
                <w:sz w:val="18"/>
                <w:szCs w:val="18"/>
              </w:rPr>
            </w:pPr>
            <w:r>
              <w:rPr>
                <w:rFonts w:hint="eastAsia" w:ascii="宋体" w:hAnsi="宋体" w:cs="宋体"/>
                <w:color w:val="auto"/>
                <w:kern w:val="0"/>
                <w:sz w:val="18"/>
                <w:szCs w:val="18"/>
              </w:rPr>
              <w:t>租赁和商务服务业</w:t>
            </w:r>
          </w:p>
        </w:tc>
        <w:tc>
          <w:tcPr>
            <w:tcW w:w="1369" w:type="dxa"/>
            <w:tcBorders>
              <w:top w:val="nil"/>
              <w:left w:val="nil"/>
              <w:bottom w:val="nil"/>
              <w:right w:val="single" w:color="auto" w:sz="4" w:space="0"/>
            </w:tcBorders>
            <w:noWrap w:val="0"/>
            <w:vAlign w:val="center"/>
          </w:tcPr>
          <w:p w14:paraId="35070EA6">
            <w:pPr>
              <w:widowControl/>
              <w:jc w:val="center"/>
              <w:rPr>
                <w:rFonts w:ascii="宋体" w:hAnsi="宋体" w:cs="宋体"/>
                <w:color w:val="auto"/>
                <w:kern w:val="0"/>
                <w:sz w:val="18"/>
                <w:szCs w:val="18"/>
              </w:rPr>
            </w:pPr>
            <w:r>
              <w:rPr>
                <w:rFonts w:hint="eastAsia" w:ascii="宋体" w:hAnsi="宋体" w:cs="宋体"/>
                <w:color w:val="auto"/>
                <w:kern w:val="0"/>
                <w:sz w:val="18"/>
                <w:szCs w:val="18"/>
              </w:rPr>
              <w:t>从业人员(X)</w:t>
            </w:r>
          </w:p>
        </w:tc>
        <w:tc>
          <w:tcPr>
            <w:tcW w:w="709" w:type="dxa"/>
            <w:tcBorders>
              <w:top w:val="nil"/>
              <w:left w:val="nil"/>
              <w:bottom w:val="nil"/>
              <w:right w:val="single" w:color="auto" w:sz="4" w:space="0"/>
            </w:tcBorders>
            <w:noWrap w:val="0"/>
            <w:vAlign w:val="center"/>
          </w:tcPr>
          <w:p w14:paraId="63D3723B">
            <w:pPr>
              <w:widowControl/>
              <w:jc w:val="center"/>
              <w:rPr>
                <w:rFonts w:ascii="宋体" w:hAnsi="宋体" w:cs="宋体"/>
                <w:color w:val="auto"/>
                <w:kern w:val="0"/>
                <w:sz w:val="18"/>
                <w:szCs w:val="18"/>
              </w:rPr>
            </w:pPr>
            <w:r>
              <w:rPr>
                <w:rFonts w:hint="eastAsia" w:ascii="宋体" w:hAnsi="宋体" w:cs="宋体"/>
                <w:color w:val="auto"/>
                <w:kern w:val="0"/>
                <w:sz w:val="18"/>
                <w:szCs w:val="18"/>
              </w:rPr>
              <w:t>人</w:t>
            </w:r>
          </w:p>
        </w:tc>
        <w:tc>
          <w:tcPr>
            <w:tcW w:w="1125" w:type="dxa"/>
            <w:tcBorders>
              <w:top w:val="nil"/>
              <w:left w:val="nil"/>
              <w:bottom w:val="nil"/>
              <w:right w:val="single" w:color="auto" w:sz="4" w:space="0"/>
            </w:tcBorders>
            <w:noWrap w:val="0"/>
            <w:vAlign w:val="center"/>
          </w:tcPr>
          <w:p w14:paraId="3B2C3F48">
            <w:pPr>
              <w:widowControl/>
              <w:jc w:val="center"/>
              <w:rPr>
                <w:rFonts w:ascii="宋体" w:hAnsi="宋体" w:cs="宋体"/>
                <w:color w:val="auto"/>
                <w:kern w:val="0"/>
                <w:sz w:val="18"/>
                <w:szCs w:val="18"/>
              </w:rPr>
            </w:pPr>
            <w:r>
              <w:rPr>
                <w:rFonts w:hint="eastAsia" w:ascii="宋体" w:hAnsi="宋体" w:cs="宋体"/>
                <w:color w:val="auto"/>
                <w:kern w:val="0"/>
                <w:sz w:val="18"/>
                <w:szCs w:val="18"/>
              </w:rPr>
              <w:t>X≥300</w:t>
            </w:r>
          </w:p>
        </w:tc>
        <w:tc>
          <w:tcPr>
            <w:tcW w:w="1701" w:type="dxa"/>
            <w:tcBorders>
              <w:top w:val="nil"/>
              <w:left w:val="nil"/>
              <w:bottom w:val="nil"/>
              <w:right w:val="single" w:color="auto" w:sz="4" w:space="0"/>
            </w:tcBorders>
            <w:noWrap w:val="0"/>
            <w:vAlign w:val="center"/>
          </w:tcPr>
          <w:p w14:paraId="72ABA567">
            <w:pPr>
              <w:widowControl/>
              <w:ind w:left="1" w:leftChars="-51" w:hanging="108" w:hangingChars="60"/>
              <w:jc w:val="center"/>
              <w:rPr>
                <w:rFonts w:ascii="宋体" w:hAnsi="宋体" w:cs="宋体"/>
                <w:color w:val="auto"/>
                <w:kern w:val="0"/>
                <w:sz w:val="18"/>
                <w:szCs w:val="18"/>
              </w:rPr>
            </w:pPr>
            <w:r>
              <w:rPr>
                <w:rFonts w:hint="eastAsia" w:ascii="宋体" w:hAnsi="宋体" w:cs="宋体"/>
                <w:color w:val="auto"/>
                <w:kern w:val="0"/>
                <w:sz w:val="18"/>
                <w:szCs w:val="18"/>
              </w:rPr>
              <w:t xml:space="preserve">100≤X＜300 </w:t>
            </w:r>
          </w:p>
        </w:tc>
        <w:tc>
          <w:tcPr>
            <w:tcW w:w="1426" w:type="dxa"/>
            <w:tcBorders>
              <w:top w:val="nil"/>
              <w:left w:val="nil"/>
              <w:bottom w:val="nil"/>
              <w:right w:val="single" w:color="auto" w:sz="4" w:space="0"/>
            </w:tcBorders>
            <w:noWrap w:val="0"/>
            <w:vAlign w:val="center"/>
          </w:tcPr>
          <w:p w14:paraId="5A19C016">
            <w:pPr>
              <w:widowControl/>
              <w:jc w:val="center"/>
              <w:rPr>
                <w:rFonts w:ascii="宋体" w:hAnsi="宋体" w:cs="宋体"/>
                <w:color w:val="auto"/>
                <w:kern w:val="0"/>
                <w:sz w:val="18"/>
                <w:szCs w:val="18"/>
              </w:rPr>
            </w:pPr>
            <w:r>
              <w:rPr>
                <w:rFonts w:hint="eastAsia" w:ascii="宋体" w:hAnsi="宋体" w:cs="宋体"/>
                <w:color w:val="auto"/>
                <w:kern w:val="0"/>
                <w:sz w:val="18"/>
                <w:szCs w:val="18"/>
              </w:rPr>
              <w:t xml:space="preserve"> 10≤X＜100</w:t>
            </w:r>
          </w:p>
        </w:tc>
        <w:tc>
          <w:tcPr>
            <w:tcW w:w="992" w:type="dxa"/>
            <w:tcBorders>
              <w:top w:val="nil"/>
              <w:left w:val="nil"/>
              <w:bottom w:val="nil"/>
              <w:right w:val="nil"/>
            </w:tcBorders>
            <w:noWrap w:val="0"/>
            <w:vAlign w:val="center"/>
          </w:tcPr>
          <w:p w14:paraId="2F2FDBD3">
            <w:pPr>
              <w:widowControl/>
              <w:jc w:val="center"/>
              <w:rPr>
                <w:rFonts w:ascii="宋体" w:hAnsi="宋体" w:cs="宋体"/>
                <w:color w:val="auto"/>
                <w:kern w:val="0"/>
                <w:sz w:val="18"/>
                <w:szCs w:val="18"/>
              </w:rPr>
            </w:pPr>
            <w:r>
              <w:rPr>
                <w:rFonts w:hint="eastAsia" w:ascii="宋体" w:hAnsi="宋体" w:cs="宋体"/>
                <w:color w:val="auto"/>
                <w:kern w:val="0"/>
                <w:sz w:val="18"/>
                <w:szCs w:val="18"/>
              </w:rPr>
              <w:t>X＜10</w:t>
            </w:r>
          </w:p>
        </w:tc>
      </w:tr>
      <w:tr w14:paraId="0419F3DC">
        <w:tblPrEx>
          <w:tblCellMar>
            <w:top w:w="0" w:type="dxa"/>
            <w:left w:w="108" w:type="dxa"/>
            <w:bottom w:w="0" w:type="dxa"/>
            <w:right w:w="108" w:type="dxa"/>
          </w:tblCellMar>
        </w:tblPrEx>
        <w:trPr>
          <w:trHeight w:val="340" w:hRule="exact"/>
          <w:jc w:val="center"/>
        </w:trPr>
        <w:tc>
          <w:tcPr>
            <w:tcW w:w="2113" w:type="dxa"/>
            <w:vMerge w:val="continue"/>
            <w:tcBorders>
              <w:top w:val="nil"/>
              <w:left w:val="nil"/>
              <w:bottom w:val="single" w:color="auto" w:sz="4" w:space="0"/>
              <w:right w:val="single" w:color="auto" w:sz="4" w:space="0"/>
            </w:tcBorders>
            <w:noWrap w:val="0"/>
            <w:vAlign w:val="center"/>
          </w:tcPr>
          <w:p w14:paraId="415AC3E4">
            <w:pPr>
              <w:widowControl/>
              <w:jc w:val="left"/>
              <w:rPr>
                <w:rFonts w:ascii="宋体" w:hAnsi="宋体" w:cs="宋体"/>
                <w:color w:val="auto"/>
                <w:kern w:val="0"/>
                <w:sz w:val="18"/>
                <w:szCs w:val="18"/>
              </w:rPr>
            </w:pPr>
          </w:p>
        </w:tc>
        <w:tc>
          <w:tcPr>
            <w:tcW w:w="1369" w:type="dxa"/>
            <w:tcBorders>
              <w:top w:val="nil"/>
              <w:left w:val="nil"/>
              <w:bottom w:val="single" w:color="auto" w:sz="4" w:space="0"/>
              <w:right w:val="single" w:color="auto" w:sz="4" w:space="0"/>
            </w:tcBorders>
            <w:noWrap w:val="0"/>
            <w:vAlign w:val="center"/>
          </w:tcPr>
          <w:p w14:paraId="12361897">
            <w:pPr>
              <w:widowControl/>
              <w:spacing w:line="240" w:lineRule="exact"/>
              <w:jc w:val="center"/>
              <w:rPr>
                <w:rFonts w:ascii="宋体" w:hAnsi="宋体" w:cs="宋体"/>
                <w:color w:val="auto"/>
                <w:kern w:val="0"/>
                <w:sz w:val="18"/>
                <w:szCs w:val="18"/>
              </w:rPr>
            </w:pPr>
            <w:r>
              <w:rPr>
                <w:rFonts w:hint="eastAsia" w:ascii="宋体" w:hAnsi="宋体" w:cs="宋体"/>
                <w:color w:val="auto"/>
                <w:kern w:val="0"/>
                <w:sz w:val="18"/>
                <w:szCs w:val="18"/>
              </w:rPr>
              <w:t>资产总额(Z)</w:t>
            </w:r>
          </w:p>
        </w:tc>
        <w:tc>
          <w:tcPr>
            <w:tcW w:w="709" w:type="dxa"/>
            <w:tcBorders>
              <w:top w:val="nil"/>
              <w:left w:val="nil"/>
              <w:bottom w:val="single" w:color="auto" w:sz="4" w:space="0"/>
              <w:right w:val="single" w:color="auto" w:sz="4" w:space="0"/>
            </w:tcBorders>
            <w:noWrap w:val="0"/>
            <w:vAlign w:val="center"/>
          </w:tcPr>
          <w:p w14:paraId="2AFCCC9A">
            <w:pPr>
              <w:widowControl/>
              <w:jc w:val="center"/>
              <w:rPr>
                <w:rFonts w:ascii="宋体" w:hAnsi="宋体" w:cs="宋体"/>
                <w:color w:val="auto"/>
                <w:kern w:val="0"/>
                <w:sz w:val="18"/>
                <w:szCs w:val="18"/>
              </w:rPr>
            </w:pPr>
            <w:r>
              <w:rPr>
                <w:rFonts w:hint="eastAsia" w:ascii="宋体" w:hAnsi="宋体" w:cs="宋体"/>
                <w:color w:val="auto"/>
                <w:kern w:val="0"/>
                <w:sz w:val="18"/>
                <w:szCs w:val="18"/>
              </w:rPr>
              <w:t>万元</w:t>
            </w:r>
          </w:p>
        </w:tc>
        <w:tc>
          <w:tcPr>
            <w:tcW w:w="1125" w:type="dxa"/>
            <w:tcBorders>
              <w:top w:val="nil"/>
              <w:left w:val="nil"/>
              <w:bottom w:val="single" w:color="auto" w:sz="4" w:space="0"/>
              <w:right w:val="single" w:color="auto" w:sz="4" w:space="0"/>
            </w:tcBorders>
            <w:noWrap w:val="0"/>
            <w:vAlign w:val="center"/>
          </w:tcPr>
          <w:p w14:paraId="4B8FF577">
            <w:pPr>
              <w:widowControl/>
              <w:jc w:val="center"/>
              <w:rPr>
                <w:rFonts w:ascii="宋体" w:hAnsi="宋体" w:cs="宋体"/>
                <w:color w:val="auto"/>
                <w:kern w:val="0"/>
                <w:sz w:val="18"/>
                <w:szCs w:val="18"/>
              </w:rPr>
            </w:pPr>
            <w:r>
              <w:rPr>
                <w:rFonts w:hint="eastAsia" w:ascii="宋体" w:hAnsi="宋体" w:cs="宋体"/>
                <w:color w:val="auto"/>
                <w:kern w:val="0"/>
                <w:sz w:val="18"/>
                <w:szCs w:val="18"/>
              </w:rPr>
              <w:t>Z≥120000</w:t>
            </w:r>
          </w:p>
        </w:tc>
        <w:tc>
          <w:tcPr>
            <w:tcW w:w="1701" w:type="dxa"/>
            <w:tcBorders>
              <w:top w:val="nil"/>
              <w:left w:val="nil"/>
              <w:bottom w:val="single" w:color="auto" w:sz="4" w:space="0"/>
              <w:right w:val="single" w:color="auto" w:sz="4" w:space="0"/>
            </w:tcBorders>
            <w:noWrap w:val="0"/>
            <w:vAlign w:val="center"/>
          </w:tcPr>
          <w:p w14:paraId="2466690B">
            <w:pPr>
              <w:widowControl/>
              <w:jc w:val="center"/>
              <w:rPr>
                <w:rFonts w:ascii="宋体" w:hAnsi="宋体" w:cs="宋体"/>
                <w:color w:val="auto"/>
                <w:kern w:val="0"/>
                <w:sz w:val="18"/>
                <w:szCs w:val="18"/>
              </w:rPr>
            </w:pPr>
            <w:r>
              <w:rPr>
                <w:rFonts w:hint="eastAsia" w:ascii="宋体" w:hAnsi="宋体" w:cs="宋体"/>
                <w:color w:val="auto"/>
                <w:kern w:val="0"/>
                <w:sz w:val="18"/>
                <w:szCs w:val="18"/>
              </w:rPr>
              <w:t xml:space="preserve"> 8000≤Z＜120000</w:t>
            </w:r>
          </w:p>
        </w:tc>
        <w:tc>
          <w:tcPr>
            <w:tcW w:w="1426" w:type="dxa"/>
            <w:tcBorders>
              <w:top w:val="nil"/>
              <w:left w:val="nil"/>
              <w:bottom w:val="single" w:color="auto" w:sz="4" w:space="0"/>
              <w:right w:val="single" w:color="auto" w:sz="4" w:space="0"/>
            </w:tcBorders>
            <w:noWrap w:val="0"/>
            <w:vAlign w:val="center"/>
          </w:tcPr>
          <w:p w14:paraId="2EED1CE1">
            <w:pPr>
              <w:widowControl/>
              <w:jc w:val="center"/>
              <w:rPr>
                <w:rFonts w:ascii="宋体" w:hAnsi="宋体" w:cs="宋体"/>
                <w:color w:val="auto"/>
                <w:kern w:val="0"/>
                <w:sz w:val="18"/>
                <w:szCs w:val="18"/>
              </w:rPr>
            </w:pPr>
            <w:r>
              <w:rPr>
                <w:rFonts w:hint="eastAsia" w:ascii="宋体" w:hAnsi="宋体" w:cs="宋体"/>
                <w:color w:val="auto"/>
                <w:kern w:val="0"/>
                <w:sz w:val="18"/>
                <w:szCs w:val="18"/>
              </w:rPr>
              <w:t xml:space="preserve"> 100≤Z＜8000</w:t>
            </w:r>
          </w:p>
        </w:tc>
        <w:tc>
          <w:tcPr>
            <w:tcW w:w="992" w:type="dxa"/>
            <w:tcBorders>
              <w:top w:val="nil"/>
              <w:left w:val="nil"/>
              <w:bottom w:val="single" w:color="auto" w:sz="4" w:space="0"/>
              <w:right w:val="nil"/>
            </w:tcBorders>
            <w:noWrap w:val="0"/>
            <w:vAlign w:val="center"/>
          </w:tcPr>
          <w:p w14:paraId="5D0E5BB5">
            <w:pPr>
              <w:widowControl/>
              <w:jc w:val="center"/>
              <w:rPr>
                <w:rFonts w:ascii="宋体" w:hAnsi="宋体" w:cs="宋体"/>
                <w:color w:val="auto"/>
                <w:kern w:val="0"/>
                <w:sz w:val="18"/>
                <w:szCs w:val="18"/>
              </w:rPr>
            </w:pPr>
            <w:r>
              <w:rPr>
                <w:rFonts w:hint="eastAsia" w:ascii="宋体" w:hAnsi="宋体" w:cs="宋体"/>
                <w:color w:val="auto"/>
                <w:kern w:val="0"/>
                <w:sz w:val="18"/>
                <w:szCs w:val="18"/>
              </w:rPr>
              <w:t>Z＜100</w:t>
            </w:r>
          </w:p>
        </w:tc>
      </w:tr>
      <w:tr w14:paraId="7BC38235">
        <w:tblPrEx>
          <w:tblCellMar>
            <w:top w:w="0" w:type="dxa"/>
            <w:left w:w="108" w:type="dxa"/>
            <w:bottom w:w="0" w:type="dxa"/>
            <w:right w:w="108" w:type="dxa"/>
          </w:tblCellMar>
        </w:tblPrEx>
        <w:trPr>
          <w:trHeight w:val="397" w:hRule="exact"/>
          <w:jc w:val="center"/>
        </w:trPr>
        <w:tc>
          <w:tcPr>
            <w:tcW w:w="2113" w:type="dxa"/>
            <w:tcBorders>
              <w:top w:val="nil"/>
              <w:left w:val="nil"/>
              <w:bottom w:val="single" w:color="auto" w:sz="4" w:space="0"/>
              <w:right w:val="single" w:color="auto" w:sz="4" w:space="0"/>
            </w:tcBorders>
            <w:noWrap w:val="0"/>
            <w:vAlign w:val="center"/>
          </w:tcPr>
          <w:p w14:paraId="00D941CD">
            <w:pPr>
              <w:widowControl/>
              <w:spacing w:line="240" w:lineRule="exact"/>
              <w:jc w:val="left"/>
              <w:rPr>
                <w:rFonts w:ascii="宋体" w:hAnsi="宋体" w:cs="宋体"/>
                <w:color w:val="auto"/>
                <w:kern w:val="0"/>
                <w:sz w:val="18"/>
                <w:szCs w:val="18"/>
              </w:rPr>
            </w:pPr>
            <w:r>
              <w:rPr>
                <w:rFonts w:hint="eastAsia" w:ascii="宋体" w:hAnsi="宋体" w:cs="宋体"/>
                <w:color w:val="auto"/>
                <w:kern w:val="0"/>
                <w:sz w:val="18"/>
                <w:szCs w:val="18"/>
              </w:rPr>
              <w:t>其他未列明行业 *</w:t>
            </w:r>
          </w:p>
        </w:tc>
        <w:tc>
          <w:tcPr>
            <w:tcW w:w="1369" w:type="dxa"/>
            <w:tcBorders>
              <w:top w:val="nil"/>
              <w:left w:val="nil"/>
              <w:bottom w:val="single" w:color="auto" w:sz="4" w:space="0"/>
              <w:right w:val="single" w:color="auto" w:sz="4" w:space="0"/>
            </w:tcBorders>
            <w:noWrap w:val="0"/>
            <w:vAlign w:val="center"/>
          </w:tcPr>
          <w:p w14:paraId="6078D58E">
            <w:pPr>
              <w:widowControl/>
              <w:jc w:val="center"/>
              <w:rPr>
                <w:rFonts w:ascii="宋体" w:hAnsi="宋体" w:cs="宋体"/>
                <w:color w:val="auto"/>
                <w:kern w:val="0"/>
                <w:sz w:val="18"/>
                <w:szCs w:val="18"/>
              </w:rPr>
            </w:pPr>
            <w:r>
              <w:rPr>
                <w:rFonts w:hint="eastAsia" w:ascii="宋体" w:hAnsi="宋体" w:cs="宋体"/>
                <w:color w:val="auto"/>
                <w:kern w:val="0"/>
                <w:sz w:val="18"/>
                <w:szCs w:val="18"/>
              </w:rPr>
              <w:t>从业人员(X)</w:t>
            </w:r>
          </w:p>
        </w:tc>
        <w:tc>
          <w:tcPr>
            <w:tcW w:w="709" w:type="dxa"/>
            <w:tcBorders>
              <w:top w:val="nil"/>
              <w:left w:val="nil"/>
              <w:bottom w:val="single" w:color="auto" w:sz="4" w:space="0"/>
              <w:right w:val="single" w:color="auto" w:sz="4" w:space="0"/>
            </w:tcBorders>
            <w:noWrap w:val="0"/>
            <w:vAlign w:val="center"/>
          </w:tcPr>
          <w:p w14:paraId="4E30D9FA">
            <w:pPr>
              <w:widowControl/>
              <w:jc w:val="center"/>
              <w:rPr>
                <w:rFonts w:ascii="宋体" w:hAnsi="宋体" w:cs="宋体"/>
                <w:color w:val="auto"/>
                <w:kern w:val="0"/>
                <w:sz w:val="18"/>
                <w:szCs w:val="18"/>
              </w:rPr>
            </w:pPr>
            <w:r>
              <w:rPr>
                <w:rFonts w:hint="eastAsia" w:ascii="宋体" w:hAnsi="宋体" w:cs="宋体"/>
                <w:color w:val="auto"/>
                <w:kern w:val="0"/>
                <w:sz w:val="18"/>
                <w:szCs w:val="18"/>
              </w:rPr>
              <w:t>人</w:t>
            </w:r>
          </w:p>
        </w:tc>
        <w:tc>
          <w:tcPr>
            <w:tcW w:w="1125" w:type="dxa"/>
            <w:tcBorders>
              <w:top w:val="nil"/>
              <w:left w:val="nil"/>
              <w:bottom w:val="single" w:color="auto" w:sz="4" w:space="0"/>
              <w:right w:val="single" w:color="auto" w:sz="4" w:space="0"/>
            </w:tcBorders>
            <w:noWrap w:val="0"/>
            <w:vAlign w:val="center"/>
          </w:tcPr>
          <w:p w14:paraId="3BA770C2">
            <w:pPr>
              <w:widowControl/>
              <w:jc w:val="center"/>
              <w:rPr>
                <w:rFonts w:ascii="宋体" w:hAnsi="宋体" w:cs="宋体"/>
                <w:color w:val="auto"/>
                <w:kern w:val="0"/>
                <w:sz w:val="18"/>
                <w:szCs w:val="18"/>
              </w:rPr>
            </w:pPr>
            <w:r>
              <w:rPr>
                <w:rFonts w:hint="eastAsia" w:ascii="宋体" w:hAnsi="宋体" w:cs="宋体"/>
                <w:color w:val="auto"/>
                <w:kern w:val="0"/>
                <w:sz w:val="18"/>
                <w:szCs w:val="18"/>
              </w:rPr>
              <w:t>X≥300</w:t>
            </w:r>
          </w:p>
        </w:tc>
        <w:tc>
          <w:tcPr>
            <w:tcW w:w="1701" w:type="dxa"/>
            <w:tcBorders>
              <w:top w:val="nil"/>
              <w:left w:val="nil"/>
              <w:bottom w:val="single" w:color="auto" w:sz="4" w:space="0"/>
              <w:right w:val="single" w:color="auto" w:sz="4" w:space="0"/>
            </w:tcBorders>
            <w:noWrap w:val="0"/>
            <w:vAlign w:val="center"/>
          </w:tcPr>
          <w:p w14:paraId="38095343">
            <w:pPr>
              <w:widowControl/>
              <w:ind w:left="1" w:leftChars="-51" w:hanging="108" w:hangingChars="60"/>
              <w:jc w:val="center"/>
              <w:rPr>
                <w:rFonts w:ascii="宋体" w:hAnsi="宋体" w:cs="宋体"/>
                <w:color w:val="auto"/>
                <w:kern w:val="0"/>
                <w:sz w:val="18"/>
                <w:szCs w:val="18"/>
              </w:rPr>
            </w:pPr>
            <w:r>
              <w:rPr>
                <w:rFonts w:hint="eastAsia" w:ascii="宋体" w:hAnsi="宋体" w:cs="宋体"/>
                <w:color w:val="auto"/>
                <w:kern w:val="0"/>
                <w:sz w:val="18"/>
                <w:szCs w:val="18"/>
              </w:rPr>
              <w:t xml:space="preserve">100≤X＜300 </w:t>
            </w:r>
          </w:p>
        </w:tc>
        <w:tc>
          <w:tcPr>
            <w:tcW w:w="1426" w:type="dxa"/>
            <w:tcBorders>
              <w:top w:val="nil"/>
              <w:left w:val="nil"/>
              <w:bottom w:val="single" w:color="auto" w:sz="4" w:space="0"/>
              <w:right w:val="single" w:color="auto" w:sz="4" w:space="0"/>
            </w:tcBorders>
            <w:noWrap w:val="0"/>
            <w:vAlign w:val="center"/>
          </w:tcPr>
          <w:p w14:paraId="6FB6F4CF">
            <w:pPr>
              <w:widowControl/>
              <w:jc w:val="center"/>
              <w:rPr>
                <w:rFonts w:ascii="宋体" w:hAnsi="宋体" w:cs="宋体"/>
                <w:color w:val="auto"/>
                <w:kern w:val="0"/>
                <w:sz w:val="18"/>
                <w:szCs w:val="18"/>
              </w:rPr>
            </w:pPr>
            <w:r>
              <w:rPr>
                <w:rFonts w:hint="eastAsia" w:ascii="宋体" w:hAnsi="宋体" w:cs="宋体"/>
                <w:color w:val="auto"/>
                <w:kern w:val="0"/>
                <w:sz w:val="18"/>
                <w:szCs w:val="18"/>
              </w:rPr>
              <w:t xml:space="preserve"> 10≤X＜100</w:t>
            </w:r>
          </w:p>
        </w:tc>
        <w:tc>
          <w:tcPr>
            <w:tcW w:w="992" w:type="dxa"/>
            <w:tcBorders>
              <w:top w:val="nil"/>
              <w:left w:val="nil"/>
              <w:bottom w:val="single" w:color="auto" w:sz="4" w:space="0"/>
              <w:right w:val="nil"/>
            </w:tcBorders>
            <w:noWrap w:val="0"/>
            <w:vAlign w:val="center"/>
          </w:tcPr>
          <w:p w14:paraId="32C1D38C">
            <w:pPr>
              <w:widowControl/>
              <w:jc w:val="center"/>
              <w:rPr>
                <w:rFonts w:ascii="宋体" w:hAnsi="宋体" w:cs="宋体"/>
                <w:color w:val="auto"/>
                <w:kern w:val="0"/>
                <w:sz w:val="18"/>
                <w:szCs w:val="18"/>
              </w:rPr>
            </w:pPr>
            <w:r>
              <w:rPr>
                <w:rFonts w:hint="eastAsia" w:ascii="宋体" w:hAnsi="宋体" w:cs="宋体"/>
                <w:color w:val="auto"/>
                <w:kern w:val="0"/>
                <w:sz w:val="18"/>
                <w:szCs w:val="18"/>
              </w:rPr>
              <w:t>X＜10</w:t>
            </w:r>
          </w:p>
        </w:tc>
      </w:tr>
    </w:tbl>
    <w:p w14:paraId="18A62A26">
      <w:pPr>
        <w:widowControl/>
        <w:spacing w:line="360" w:lineRule="auto"/>
        <w:rPr>
          <w:rFonts w:ascii="仿宋_GB2312" w:hAnsi="宋体" w:eastAsia="仿宋_GB2312" w:cs="宋体"/>
          <w:color w:val="auto"/>
          <w:spacing w:val="8"/>
          <w:kern w:val="0"/>
          <w:szCs w:val="21"/>
        </w:rPr>
      </w:pPr>
      <w:r>
        <w:rPr>
          <w:rFonts w:hint="eastAsia" w:ascii="仿宋_GB2312" w:eastAsia="仿宋_GB2312" w:cs="宋体"/>
          <w:color w:val="auto"/>
          <w:spacing w:val="8"/>
          <w:kern w:val="0"/>
          <w:szCs w:val="21"/>
        </w:rPr>
        <w:t>说明：</w:t>
      </w:r>
    </w:p>
    <w:p w14:paraId="0D7FF7FD">
      <w:pPr>
        <w:spacing w:line="360" w:lineRule="auto"/>
        <w:rPr>
          <w:rFonts w:ascii="仿宋_GB2312" w:hAnsi="宋体" w:eastAsia="仿宋_GB2312" w:cs="宋体"/>
          <w:color w:val="auto"/>
          <w:spacing w:val="8"/>
          <w:kern w:val="0"/>
          <w:szCs w:val="21"/>
        </w:rPr>
      </w:pPr>
      <w:r>
        <w:rPr>
          <w:rFonts w:hint="eastAsia" w:ascii="仿宋_GB2312" w:eastAsia="仿宋_GB2312" w:cs="宋体"/>
          <w:color w:val="auto"/>
          <w:spacing w:val="8"/>
          <w:kern w:val="0"/>
          <w:szCs w:val="21"/>
        </w:rPr>
        <w:t>　　</w:t>
      </w:r>
      <w:r>
        <w:rPr>
          <w:rFonts w:hint="eastAsia" w:ascii="仿宋_GB2312" w:eastAsia="仿宋_GB2312"/>
          <w:color w:val="auto"/>
          <w:spacing w:val="8"/>
          <w:kern w:val="0"/>
          <w:szCs w:val="21"/>
        </w:rPr>
        <w:t>1.</w:t>
      </w:r>
      <w:r>
        <w:rPr>
          <w:rFonts w:hint="eastAsia" w:ascii="仿宋_GB2312" w:eastAsia="仿宋_GB2312" w:cs="宋体"/>
          <w:color w:val="auto"/>
          <w:spacing w:val="8"/>
          <w:kern w:val="0"/>
          <w:szCs w:val="21"/>
        </w:rPr>
        <w:t>大型、中型和小型企业须同时满足所列指标的下限，否则下划一档；微型企业只须满足所列指标中的一项即可。</w:t>
      </w:r>
    </w:p>
    <w:p w14:paraId="1F17C6AD">
      <w:pPr>
        <w:spacing w:line="360" w:lineRule="auto"/>
        <w:rPr>
          <w:rFonts w:ascii="仿宋_GB2312" w:hAnsi="宋体" w:eastAsia="仿宋_GB2312" w:cs="宋体"/>
          <w:color w:val="auto"/>
          <w:spacing w:val="8"/>
          <w:kern w:val="0"/>
          <w:szCs w:val="21"/>
        </w:rPr>
      </w:pPr>
      <w:r>
        <w:rPr>
          <w:rFonts w:hint="eastAsia" w:ascii="仿宋_GB2312" w:eastAsia="仿宋_GB2312" w:cs="宋体"/>
          <w:color w:val="auto"/>
          <w:spacing w:val="8"/>
          <w:kern w:val="0"/>
          <w:szCs w:val="21"/>
        </w:rPr>
        <w:t>　　</w:t>
      </w:r>
      <w:r>
        <w:rPr>
          <w:rFonts w:hint="eastAsia" w:ascii="仿宋_GB2312" w:eastAsia="仿宋_GB2312"/>
          <w:color w:val="auto"/>
          <w:spacing w:val="8"/>
          <w:kern w:val="0"/>
          <w:szCs w:val="21"/>
        </w:rPr>
        <w:t>2.</w:t>
      </w:r>
      <w:r>
        <w:rPr>
          <w:rFonts w:hint="eastAsia" w:ascii="仿宋_GB2312" w:eastAsia="仿宋_GB2312" w:cs="宋体"/>
          <w:color w:val="auto"/>
          <w:spacing w:val="8"/>
          <w:kern w:val="0"/>
          <w:szCs w:val="21"/>
        </w:rPr>
        <w:t>附表中各行业的范围以《国民经济行业分类》（</w:t>
      </w:r>
      <w:r>
        <w:rPr>
          <w:rFonts w:hint="eastAsia" w:ascii="仿宋_GB2312" w:eastAsia="仿宋_GB2312"/>
          <w:color w:val="auto"/>
          <w:spacing w:val="8"/>
          <w:kern w:val="0"/>
          <w:szCs w:val="21"/>
        </w:rPr>
        <w:t>GB/T4754-2017</w:t>
      </w:r>
      <w:r>
        <w:rPr>
          <w:rFonts w:hint="eastAsia" w:ascii="仿宋_GB2312" w:eastAsia="仿宋_GB2312" w:cs="宋体"/>
          <w:color w:val="auto"/>
          <w:spacing w:val="8"/>
          <w:kern w:val="0"/>
          <w:szCs w:val="21"/>
        </w:rPr>
        <w:t>）为准。带</w:t>
      </w:r>
      <w:r>
        <w:rPr>
          <w:rFonts w:hint="eastAsia" w:ascii="仿宋_GB2312" w:eastAsia="仿宋_GB2312"/>
          <w:color w:val="auto"/>
          <w:spacing w:val="8"/>
          <w:kern w:val="0"/>
          <w:szCs w:val="21"/>
        </w:rPr>
        <w:t>*</w:t>
      </w:r>
      <w:r>
        <w:rPr>
          <w:rFonts w:hint="eastAsia" w:ascii="仿宋_GB2312" w:eastAsia="仿宋_GB2312" w:cs="宋体"/>
          <w:color w:val="auto"/>
          <w:spacing w:val="8"/>
          <w:kern w:val="0"/>
          <w:szCs w:val="21"/>
        </w:rPr>
        <w:t>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44E97A03">
      <w:pPr>
        <w:spacing w:line="360" w:lineRule="auto"/>
        <w:rPr>
          <w:rFonts w:ascii="仿宋_GB2312" w:eastAsia="仿宋_GB2312"/>
          <w:color w:val="auto"/>
          <w:szCs w:val="21"/>
        </w:rPr>
      </w:pPr>
      <w:r>
        <w:rPr>
          <w:rFonts w:hint="eastAsia" w:ascii="仿宋_GB2312" w:eastAsia="仿宋_GB2312" w:cs="宋体"/>
          <w:color w:val="auto"/>
          <w:spacing w:val="8"/>
          <w:kern w:val="0"/>
          <w:szCs w:val="21"/>
        </w:rPr>
        <w:t>　　</w:t>
      </w:r>
      <w:r>
        <w:rPr>
          <w:rFonts w:hint="eastAsia" w:ascii="仿宋_GB2312" w:eastAsia="仿宋_GB2312"/>
          <w:color w:val="auto"/>
          <w:spacing w:val="8"/>
          <w:kern w:val="0"/>
          <w:szCs w:val="21"/>
        </w:rPr>
        <w:t>3.</w:t>
      </w:r>
      <w:r>
        <w:rPr>
          <w:rFonts w:hint="eastAsia" w:ascii="仿宋_GB2312" w:eastAsia="仿宋_GB2312" w:cs="宋体"/>
          <w:color w:val="auto"/>
          <w:spacing w:val="8"/>
          <w:kern w:val="0"/>
          <w:szCs w:val="21"/>
        </w:rPr>
        <w:t>企业划分指标以现行统计制度为准。（</w:t>
      </w:r>
      <w:r>
        <w:rPr>
          <w:rFonts w:hint="eastAsia" w:ascii="仿宋_GB2312" w:eastAsia="仿宋_GB2312"/>
          <w:color w:val="auto"/>
          <w:spacing w:val="8"/>
          <w:kern w:val="0"/>
          <w:szCs w:val="21"/>
        </w:rPr>
        <w:t>1</w:t>
      </w:r>
      <w:r>
        <w:rPr>
          <w:rFonts w:hint="eastAsia" w:ascii="仿宋_GB2312" w:eastAsia="仿宋_GB2312" w:cs="宋体"/>
          <w:color w:val="auto"/>
          <w:spacing w:val="8"/>
          <w:kern w:val="0"/>
          <w:szCs w:val="21"/>
        </w:rPr>
        <w:t>）从业人员，是指期末从业人员数，没有期末从业人员数的，采用全年平均人员数代替。（</w:t>
      </w:r>
      <w:r>
        <w:rPr>
          <w:rFonts w:hint="eastAsia" w:ascii="仿宋_GB2312" w:eastAsia="仿宋_GB2312"/>
          <w:color w:val="auto"/>
          <w:spacing w:val="8"/>
          <w:kern w:val="0"/>
          <w:szCs w:val="21"/>
        </w:rPr>
        <w:t>2</w:t>
      </w:r>
      <w:r>
        <w:rPr>
          <w:rFonts w:hint="eastAsia" w:ascii="仿宋_GB2312" w:eastAsia="仿宋_GB2312" w:cs="宋体"/>
          <w:color w:val="auto"/>
          <w:spacing w:val="8"/>
          <w:kern w:val="0"/>
          <w:szCs w:val="21"/>
        </w:rPr>
        <w:t>）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w:t>
      </w:r>
      <w:r>
        <w:rPr>
          <w:rFonts w:hint="eastAsia" w:ascii="仿宋_GB2312" w:eastAsia="仿宋_GB2312"/>
          <w:color w:val="auto"/>
          <w:spacing w:val="8"/>
          <w:kern w:val="0"/>
          <w:szCs w:val="21"/>
        </w:rPr>
        <w:t>3</w:t>
      </w:r>
      <w:r>
        <w:rPr>
          <w:rFonts w:hint="eastAsia" w:ascii="仿宋_GB2312" w:eastAsia="仿宋_GB2312" w:cs="宋体"/>
          <w:color w:val="auto"/>
          <w:spacing w:val="8"/>
          <w:kern w:val="0"/>
          <w:szCs w:val="21"/>
        </w:rPr>
        <w:t>）资产总额，采用资产总计代替。</w:t>
      </w:r>
    </w:p>
    <w:p w14:paraId="750058B4">
      <w:pPr>
        <w:pStyle w:val="288"/>
        <w:spacing w:line="360" w:lineRule="auto"/>
        <w:rPr>
          <w:rFonts w:ascii="宋体" w:hAnsi="宋体" w:cs="宋体"/>
          <w:b/>
          <w:color w:val="auto"/>
          <w:spacing w:val="20"/>
          <w:sz w:val="21"/>
          <w:szCs w:val="21"/>
        </w:rPr>
      </w:pPr>
    </w:p>
    <w:p w14:paraId="46257BF0">
      <w:pPr>
        <w:pStyle w:val="288"/>
        <w:spacing w:line="360" w:lineRule="auto"/>
        <w:rPr>
          <w:rFonts w:ascii="宋体" w:hAnsi="宋体" w:cs="宋体"/>
          <w:b/>
          <w:color w:val="auto"/>
          <w:spacing w:val="20"/>
          <w:szCs w:val="21"/>
        </w:rPr>
      </w:pPr>
    </w:p>
    <w:p w14:paraId="1C35EA62">
      <w:pPr>
        <w:pStyle w:val="288"/>
        <w:spacing w:line="360" w:lineRule="auto"/>
        <w:rPr>
          <w:rFonts w:ascii="宋体" w:hAnsi="宋体" w:cs="宋体"/>
          <w:b/>
          <w:color w:val="auto"/>
          <w:spacing w:val="20"/>
          <w:szCs w:val="21"/>
        </w:rPr>
      </w:pPr>
    </w:p>
    <w:p w14:paraId="633B7029">
      <w:pPr>
        <w:pStyle w:val="288"/>
        <w:spacing w:line="360" w:lineRule="auto"/>
        <w:rPr>
          <w:rFonts w:ascii="宋体" w:hAnsi="宋体" w:cs="宋体"/>
          <w:b/>
          <w:color w:val="auto"/>
          <w:spacing w:val="20"/>
          <w:szCs w:val="21"/>
        </w:rPr>
      </w:pPr>
    </w:p>
    <w:p w14:paraId="1F740922">
      <w:pPr>
        <w:pStyle w:val="175"/>
        <w:spacing w:line="360" w:lineRule="auto"/>
        <w:ind w:firstLine="2940" w:firstLineChars="1400"/>
        <w:rPr>
          <w:rFonts w:hAnsi="宋体" w:cs="宋体"/>
          <w:color w:val="auto"/>
          <w:sz w:val="21"/>
          <w:szCs w:val="21"/>
        </w:rPr>
      </w:pPr>
    </w:p>
    <w:p w14:paraId="0625452F">
      <w:pPr>
        <w:pStyle w:val="12"/>
        <w:spacing w:line="360" w:lineRule="auto"/>
        <w:rPr>
          <w:rFonts w:ascii="宋体" w:hAnsi="宋体" w:cs="宋体"/>
          <w:color w:val="auto"/>
          <w:szCs w:val="21"/>
        </w:rPr>
      </w:pPr>
    </w:p>
    <w:p w14:paraId="0F99874C">
      <w:pPr>
        <w:pStyle w:val="12"/>
        <w:spacing w:line="360" w:lineRule="auto"/>
        <w:rPr>
          <w:rFonts w:ascii="宋体" w:hAnsi="宋体" w:cs="宋体"/>
          <w:color w:val="auto"/>
          <w:szCs w:val="21"/>
        </w:rPr>
      </w:pPr>
    </w:p>
    <w:p w14:paraId="4A075375">
      <w:pPr>
        <w:pStyle w:val="12"/>
        <w:spacing w:line="360" w:lineRule="auto"/>
        <w:rPr>
          <w:rFonts w:ascii="宋体" w:hAnsi="宋体" w:cs="宋体"/>
          <w:color w:val="auto"/>
          <w:szCs w:val="21"/>
        </w:rPr>
      </w:pPr>
    </w:p>
    <w:p w14:paraId="02108665">
      <w:pPr>
        <w:pStyle w:val="12"/>
        <w:spacing w:line="360" w:lineRule="auto"/>
        <w:rPr>
          <w:rFonts w:ascii="宋体" w:hAnsi="宋体" w:cs="宋体"/>
          <w:color w:val="auto"/>
          <w:szCs w:val="21"/>
        </w:rPr>
      </w:pPr>
    </w:p>
    <w:p w14:paraId="0E2D0A9F">
      <w:pPr>
        <w:pStyle w:val="12"/>
        <w:spacing w:line="360" w:lineRule="auto"/>
        <w:rPr>
          <w:rFonts w:ascii="宋体" w:hAnsi="宋体" w:cs="宋体"/>
          <w:color w:val="auto"/>
          <w:szCs w:val="21"/>
        </w:rPr>
      </w:pPr>
    </w:p>
    <w:p w14:paraId="77E93FB8">
      <w:pPr>
        <w:spacing w:line="360" w:lineRule="auto"/>
        <w:jc w:val="center"/>
        <w:rPr>
          <w:rFonts w:hint="eastAsia" w:ascii="宋体" w:hAnsi="宋体" w:cs="宋体"/>
          <w:b/>
          <w:color w:val="auto"/>
          <w:szCs w:val="21"/>
        </w:rPr>
      </w:pPr>
      <w:bookmarkStart w:id="348" w:name="_Toc525210052"/>
    </w:p>
    <w:p w14:paraId="576775F3">
      <w:pPr>
        <w:spacing w:line="360" w:lineRule="auto"/>
        <w:jc w:val="center"/>
        <w:rPr>
          <w:rFonts w:hint="eastAsia" w:ascii="宋体" w:hAnsi="宋体" w:cs="宋体"/>
          <w:b/>
          <w:color w:val="auto"/>
          <w:szCs w:val="21"/>
        </w:rPr>
      </w:pPr>
    </w:p>
    <w:p w14:paraId="0E3FB2F6">
      <w:pPr>
        <w:spacing w:line="360" w:lineRule="auto"/>
        <w:jc w:val="center"/>
        <w:rPr>
          <w:rFonts w:hint="eastAsia" w:ascii="宋体" w:hAnsi="宋体" w:cs="宋体"/>
          <w:b/>
          <w:color w:val="auto"/>
          <w:szCs w:val="21"/>
        </w:rPr>
      </w:pPr>
    </w:p>
    <w:p w14:paraId="620E3B03">
      <w:pPr>
        <w:spacing w:line="360" w:lineRule="auto"/>
        <w:jc w:val="center"/>
        <w:rPr>
          <w:rFonts w:hint="eastAsia" w:ascii="宋体" w:hAnsi="宋体" w:cs="宋体"/>
          <w:b/>
          <w:color w:val="auto"/>
          <w:szCs w:val="21"/>
        </w:rPr>
      </w:pPr>
    </w:p>
    <w:p w14:paraId="5A761B96">
      <w:pPr>
        <w:spacing w:line="360" w:lineRule="auto"/>
        <w:jc w:val="center"/>
        <w:rPr>
          <w:rFonts w:hint="eastAsia" w:ascii="宋体" w:hAnsi="宋体" w:cs="宋体"/>
          <w:b/>
          <w:color w:val="auto"/>
          <w:szCs w:val="21"/>
        </w:rPr>
      </w:pPr>
    </w:p>
    <w:p w14:paraId="38505947">
      <w:pPr>
        <w:spacing w:line="360" w:lineRule="auto"/>
        <w:jc w:val="center"/>
        <w:rPr>
          <w:rFonts w:hint="eastAsia" w:ascii="宋体" w:hAnsi="宋体" w:cs="宋体"/>
          <w:b/>
          <w:color w:val="auto"/>
          <w:szCs w:val="21"/>
        </w:rPr>
      </w:pPr>
    </w:p>
    <w:p w14:paraId="2CB4517D">
      <w:pPr>
        <w:spacing w:line="360" w:lineRule="auto"/>
        <w:jc w:val="center"/>
        <w:rPr>
          <w:rFonts w:hint="eastAsia" w:ascii="宋体" w:hAnsi="宋体" w:cs="宋体"/>
          <w:b/>
          <w:color w:val="auto"/>
          <w:szCs w:val="21"/>
        </w:rPr>
      </w:pPr>
    </w:p>
    <w:p w14:paraId="75E6D80B">
      <w:pPr>
        <w:spacing w:line="360" w:lineRule="auto"/>
        <w:jc w:val="center"/>
        <w:rPr>
          <w:rFonts w:hint="eastAsia" w:ascii="宋体" w:hAnsi="宋体" w:cs="宋体"/>
          <w:b/>
          <w:color w:val="auto"/>
          <w:szCs w:val="21"/>
        </w:rPr>
      </w:pPr>
    </w:p>
    <w:p w14:paraId="62B9BCD7">
      <w:pPr>
        <w:spacing w:line="360" w:lineRule="auto"/>
        <w:jc w:val="center"/>
        <w:rPr>
          <w:rFonts w:hint="eastAsia" w:ascii="宋体" w:hAnsi="宋体" w:cs="宋体"/>
          <w:b/>
          <w:color w:val="auto"/>
          <w:szCs w:val="21"/>
        </w:rPr>
      </w:pPr>
    </w:p>
    <w:p w14:paraId="3FA1668A">
      <w:pPr>
        <w:spacing w:line="360" w:lineRule="auto"/>
        <w:jc w:val="center"/>
        <w:rPr>
          <w:rFonts w:hint="eastAsia" w:ascii="宋体" w:hAnsi="宋体" w:cs="宋体"/>
          <w:b/>
          <w:color w:val="auto"/>
          <w:szCs w:val="21"/>
        </w:rPr>
      </w:pPr>
    </w:p>
    <w:p w14:paraId="05D5676D">
      <w:pPr>
        <w:spacing w:line="360" w:lineRule="auto"/>
        <w:jc w:val="center"/>
        <w:outlineLvl w:val="2"/>
        <w:rPr>
          <w:rFonts w:ascii="宋体" w:hAnsi="宋体" w:cs="宋体"/>
          <w:color w:val="auto"/>
          <w:kern w:val="0"/>
          <w:szCs w:val="21"/>
        </w:rPr>
      </w:pPr>
      <w:r>
        <w:rPr>
          <w:rFonts w:hint="eastAsia" w:ascii="宋体" w:hAnsi="宋体" w:cs="宋体"/>
          <w:b/>
          <w:color w:val="auto"/>
          <w:szCs w:val="21"/>
        </w:rPr>
        <w:t>2、残疾人福利性单位声明函</w:t>
      </w:r>
      <w:bookmarkEnd w:id="348"/>
    </w:p>
    <w:p w14:paraId="5F4DFCA2">
      <w:pPr>
        <w:spacing w:line="360" w:lineRule="auto"/>
        <w:ind w:firstLine="420" w:firstLineChars="200"/>
        <w:jc w:val="center"/>
        <w:rPr>
          <w:rFonts w:ascii="宋体" w:hAnsi="宋体" w:cs="宋体"/>
          <w:color w:val="auto"/>
          <w:szCs w:val="21"/>
        </w:rPr>
      </w:pPr>
      <w:r>
        <w:rPr>
          <w:rFonts w:hint="eastAsia" w:ascii="宋体" w:hAnsi="宋体" w:cs="宋体"/>
          <w:color w:val="auto"/>
          <w:szCs w:val="21"/>
        </w:rPr>
        <w:t>（属于残疾人福利企业的填写，不属于的无需填写此项内容）</w:t>
      </w:r>
    </w:p>
    <w:p w14:paraId="1CA9997B">
      <w:pPr>
        <w:pStyle w:val="288"/>
        <w:rPr>
          <w:rFonts w:ascii="宋体" w:hAnsi="宋体" w:cs="宋体"/>
          <w:color w:val="auto"/>
          <w:sz w:val="21"/>
          <w:szCs w:val="21"/>
        </w:rPr>
      </w:pPr>
    </w:p>
    <w:p w14:paraId="774E2567">
      <w:pPr>
        <w:spacing w:line="360" w:lineRule="auto"/>
        <w:ind w:firstLine="420" w:firstLineChars="200"/>
        <w:rPr>
          <w:rFonts w:ascii="宋体" w:hAnsi="宋体" w:cs="宋体"/>
          <w:color w:val="auto"/>
          <w:szCs w:val="21"/>
        </w:rPr>
      </w:pPr>
      <w:r>
        <w:rPr>
          <w:rFonts w:hint="eastAsia" w:ascii="宋体" w:hAnsi="宋体" w:cs="宋体"/>
          <w:color w:val="auto"/>
          <w:szCs w:val="21"/>
        </w:rPr>
        <w:t>本单位郑重声明，根据《财政部民政部中国残疾人联合会关于促进残疾人就业政府采购政策的通知》（财库（2017〔141〕号）的规定，本单位为符合该文件之规定条件的残疾人福利性单位，参加本次政府采购活动提供本单位制造的货物，或者提供（其他残疾人福利性单位名称）制造的货物（不包括使用非残疾人福利性单位注册商标的货物）。货物的名称品牌型号是</w:t>
      </w:r>
      <w:r>
        <w:rPr>
          <w:rFonts w:hint="eastAsia" w:ascii="宋体" w:hAnsi="宋体" w:cs="宋体"/>
          <w:color w:val="auto"/>
          <w:szCs w:val="21"/>
          <w:u w:val="single"/>
        </w:rPr>
        <w:t xml:space="preserve">            </w:t>
      </w:r>
      <w:r>
        <w:rPr>
          <w:rFonts w:hint="eastAsia" w:ascii="宋体" w:hAnsi="宋体" w:cs="宋体"/>
          <w:color w:val="auto"/>
          <w:szCs w:val="21"/>
        </w:rPr>
        <w:t>。</w:t>
      </w:r>
    </w:p>
    <w:p w14:paraId="74E69F88">
      <w:pPr>
        <w:spacing w:line="360" w:lineRule="auto"/>
        <w:ind w:firstLine="420" w:firstLineChars="200"/>
        <w:rPr>
          <w:rFonts w:ascii="宋体" w:hAnsi="宋体" w:cs="宋体"/>
          <w:color w:val="auto"/>
          <w:szCs w:val="21"/>
        </w:rPr>
      </w:pPr>
      <w:r>
        <w:rPr>
          <w:rFonts w:hint="eastAsia" w:ascii="宋体" w:hAnsi="宋体" w:cs="宋体"/>
          <w:color w:val="auto"/>
          <w:szCs w:val="21"/>
        </w:rPr>
        <w:t>本单位对上述声明的真实性负责。如有虚假，将承担相应的法律责任。</w:t>
      </w:r>
    </w:p>
    <w:p w14:paraId="0084AF56">
      <w:pPr>
        <w:spacing w:line="360" w:lineRule="auto"/>
        <w:ind w:firstLine="420" w:firstLineChars="200"/>
        <w:rPr>
          <w:rFonts w:ascii="宋体" w:hAnsi="宋体" w:cs="宋体"/>
          <w:color w:val="auto"/>
          <w:szCs w:val="21"/>
        </w:rPr>
      </w:pPr>
    </w:p>
    <w:p w14:paraId="6C404A91">
      <w:pPr>
        <w:spacing w:line="360" w:lineRule="auto"/>
        <w:ind w:firstLine="420" w:firstLineChars="200"/>
        <w:rPr>
          <w:rFonts w:ascii="宋体" w:hAnsi="宋体" w:cs="宋体"/>
          <w:color w:val="auto"/>
          <w:szCs w:val="21"/>
        </w:rPr>
      </w:pPr>
    </w:p>
    <w:p w14:paraId="0906C1B1">
      <w:pPr>
        <w:spacing w:line="360" w:lineRule="auto"/>
        <w:ind w:firstLine="420" w:firstLineChars="200"/>
        <w:rPr>
          <w:rFonts w:ascii="宋体" w:hAnsi="宋体" w:cs="宋体"/>
          <w:color w:val="auto"/>
          <w:szCs w:val="21"/>
        </w:rPr>
      </w:pPr>
      <w:r>
        <w:rPr>
          <w:rFonts w:hint="eastAsia" w:ascii="宋体" w:hAnsi="宋体" w:cs="宋体"/>
          <w:color w:val="auto"/>
          <w:szCs w:val="21"/>
        </w:rPr>
        <w:t>投标人名称（单位电子签章）：</w:t>
      </w:r>
    </w:p>
    <w:p w14:paraId="5BC1E05F">
      <w:pPr>
        <w:spacing w:line="360" w:lineRule="auto"/>
        <w:ind w:firstLine="420" w:firstLineChars="200"/>
        <w:rPr>
          <w:rFonts w:ascii="宋体" w:hAnsi="宋体" w:cs="宋体"/>
          <w:color w:val="auto"/>
          <w:szCs w:val="21"/>
        </w:rPr>
      </w:pPr>
      <w:r>
        <w:rPr>
          <w:rFonts w:hint="eastAsia" w:ascii="宋体" w:hAnsi="宋体" w:cs="宋体"/>
          <w:color w:val="auto"/>
          <w:szCs w:val="21"/>
        </w:rPr>
        <w:t>日期：</w:t>
      </w:r>
    </w:p>
    <w:p w14:paraId="0849537B">
      <w:pPr>
        <w:ind w:left="425"/>
        <w:jc w:val="center"/>
        <w:rPr>
          <w:rFonts w:ascii="宋体" w:hAnsi="宋体" w:cs="宋体"/>
          <w:b/>
          <w:color w:val="auto"/>
          <w:szCs w:val="21"/>
        </w:rPr>
      </w:pPr>
    </w:p>
    <w:p w14:paraId="680D1F5E">
      <w:pPr>
        <w:rPr>
          <w:rFonts w:ascii="宋体" w:hAnsi="宋体" w:cs="宋体"/>
          <w:b/>
          <w:color w:val="auto"/>
          <w:szCs w:val="21"/>
        </w:rPr>
      </w:pPr>
    </w:p>
    <w:p w14:paraId="60CADB9E">
      <w:pPr>
        <w:pStyle w:val="288"/>
        <w:rPr>
          <w:rFonts w:ascii="宋体" w:hAnsi="宋体" w:cs="宋体"/>
          <w:b/>
          <w:color w:val="auto"/>
          <w:sz w:val="21"/>
          <w:szCs w:val="21"/>
        </w:rPr>
      </w:pPr>
    </w:p>
    <w:p w14:paraId="0252A351">
      <w:pPr>
        <w:pStyle w:val="288"/>
        <w:rPr>
          <w:rFonts w:ascii="宋体" w:hAnsi="宋体" w:cs="宋体"/>
          <w:b/>
          <w:color w:val="auto"/>
          <w:sz w:val="21"/>
          <w:szCs w:val="21"/>
        </w:rPr>
      </w:pPr>
    </w:p>
    <w:p w14:paraId="36FBF291">
      <w:pPr>
        <w:pStyle w:val="288"/>
        <w:rPr>
          <w:rFonts w:ascii="宋体" w:hAnsi="宋体" w:cs="宋体"/>
          <w:b/>
          <w:color w:val="auto"/>
          <w:sz w:val="21"/>
          <w:szCs w:val="21"/>
        </w:rPr>
      </w:pPr>
    </w:p>
    <w:p w14:paraId="5D90EAF4">
      <w:pPr>
        <w:pStyle w:val="288"/>
        <w:rPr>
          <w:rFonts w:ascii="宋体" w:hAnsi="宋体" w:cs="宋体"/>
          <w:b/>
          <w:color w:val="auto"/>
          <w:sz w:val="21"/>
          <w:szCs w:val="21"/>
        </w:rPr>
      </w:pPr>
    </w:p>
    <w:p w14:paraId="704E0223">
      <w:pPr>
        <w:pStyle w:val="288"/>
        <w:rPr>
          <w:rFonts w:ascii="宋体" w:hAnsi="宋体" w:cs="宋体"/>
          <w:b/>
          <w:color w:val="auto"/>
          <w:sz w:val="21"/>
          <w:szCs w:val="21"/>
        </w:rPr>
      </w:pPr>
    </w:p>
    <w:p w14:paraId="1D9EC8D7">
      <w:pPr>
        <w:pStyle w:val="288"/>
        <w:rPr>
          <w:rFonts w:ascii="宋体" w:hAnsi="宋体" w:cs="宋体"/>
          <w:b/>
          <w:color w:val="auto"/>
          <w:sz w:val="21"/>
          <w:szCs w:val="21"/>
        </w:rPr>
      </w:pPr>
    </w:p>
    <w:p w14:paraId="3605FB18">
      <w:pPr>
        <w:pStyle w:val="288"/>
        <w:rPr>
          <w:rFonts w:ascii="宋体" w:hAnsi="宋体" w:cs="宋体"/>
          <w:b/>
          <w:color w:val="auto"/>
          <w:sz w:val="21"/>
          <w:szCs w:val="21"/>
        </w:rPr>
      </w:pPr>
    </w:p>
    <w:p w14:paraId="03BD77B5">
      <w:pPr>
        <w:pStyle w:val="288"/>
        <w:rPr>
          <w:rFonts w:ascii="宋体" w:hAnsi="宋体" w:cs="宋体"/>
          <w:b/>
          <w:color w:val="auto"/>
          <w:sz w:val="21"/>
          <w:szCs w:val="21"/>
        </w:rPr>
      </w:pPr>
    </w:p>
    <w:p w14:paraId="5B6E712D">
      <w:pPr>
        <w:pStyle w:val="288"/>
        <w:rPr>
          <w:rFonts w:ascii="宋体" w:hAnsi="宋体" w:cs="宋体"/>
          <w:b/>
          <w:color w:val="auto"/>
          <w:sz w:val="21"/>
          <w:szCs w:val="21"/>
        </w:rPr>
      </w:pPr>
    </w:p>
    <w:p w14:paraId="209B0D3F">
      <w:pPr>
        <w:pStyle w:val="288"/>
        <w:rPr>
          <w:rFonts w:ascii="宋体" w:hAnsi="宋体" w:cs="宋体"/>
          <w:b/>
          <w:color w:val="auto"/>
          <w:sz w:val="21"/>
          <w:szCs w:val="21"/>
        </w:rPr>
      </w:pPr>
    </w:p>
    <w:p w14:paraId="240F7E93">
      <w:pPr>
        <w:pStyle w:val="288"/>
        <w:rPr>
          <w:rFonts w:ascii="宋体" w:hAnsi="宋体" w:cs="宋体"/>
          <w:b/>
          <w:color w:val="auto"/>
          <w:sz w:val="21"/>
          <w:szCs w:val="21"/>
        </w:rPr>
      </w:pPr>
    </w:p>
    <w:p w14:paraId="06273FD6">
      <w:pPr>
        <w:pStyle w:val="288"/>
        <w:rPr>
          <w:rFonts w:ascii="宋体" w:hAnsi="宋体" w:cs="宋体"/>
          <w:b/>
          <w:color w:val="auto"/>
          <w:sz w:val="21"/>
          <w:szCs w:val="21"/>
        </w:rPr>
      </w:pPr>
    </w:p>
    <w:p w14:paraId="6993E5D7">
      <w:pPr>
        <w:pStyle w:val="288"/>
        <w:rPr>
          <w:rFonts w:ascii="宋体" w:hAnsi="宋体" w:cs="宋体"/>
          <w:b/>
          <w:color w:val="auto"/>
          <w:sz w:val="21"/>
          <w:szCs w:val="21"/>
        </w:rPr>
      </w:pPr>
    </w:p>
    <w:p w14:paraId="41658006">
      <w:pPr>
        <w:pStyle w:val="288"/>
        <w:rPr>
          <w:rFonts w:ascii="宋体" w:hAnsi="宋体" w:cs="宋体"/>
          <w:b/>
          <w:color w:val="auto"/>
          <w:sz w:val="21"/>
          <w:szCs w:val="21"/>
        </w:rPr>
      </w:pPr>
    </w:p>
    <w:p w14:paraId="4FE8335E">
      <w:pPr>
        <w:ind w:left="425"/>
        <w:jc w:val="center"/>
        <w:rPr>
          <w:rFonts w:ascii="宋体" w:hAnsi="宋体" w:cs="宋体"/>
          <w:b/>
          <w:color w:val="auto"/>
          <w:szCs w:val="21"/>
        </w:rPr>
      </w:pPr>
    </w:p>
    <w:p w14:paraId="75479726">
      <w:pPr>
        <w:rPr>
          <w:color w:val="auto"/>
        </w:rPr>
      </w:pPr>
    </w:p>
    <w:p w14:paraId="47B9C3E5">
      <w:pPr>
        <w:ind w:left="425"/>
        <w:jc w:val="center"/>
        <w:outlineLvl w:val="2"/>
        <w:rPr>
          <w:rFonts w:ascii="宋体" w:hAnsi="宋体" w:cs="宋体"/>
          <w:b/>
          <w:color w:val="auto"/>
          <w:szCs w:val="21"/>
        </w:rPr>
      </w:pPr>
      <w:r>
        <w:rPr>
          <w:rFonts w:hint="eastAsia" w:ascii="宋体" w:hAnsi="宋体" w:cs="宋体"/>
          <w:b/>
          <w:color w:val="auto"/>
          <w:szCs w:val="21"/>
        </w:rPr>
        <w:br w:type="page"/>
      </w:r>
      <w:r>
        <w:rPr>
          <w:rFonts w:hint="eastAsia" w:ascii="宋体" w:hAnsi="宋体" w:cs="宋体"/>
          <w:b/>
          <w:color w:val="auto"/>
          <w:szCs w:val="21"/>
        </w:rPr>
        <w:t>3、监狱企业证明文件（如有）</w:t>
      </w:r>
    </w:p>
    <w:p w14:paraId="67E6CE24">
      <w:pPr>
        <w:spacing w:line="360" w:lineRule="auto"/>
        <w:ind w:firstLine="420" w:firstLineChars="200"/>
        <w:rPr>
          <w:rFonts w:ascii="宋体" w:hAnsi="宋体" w:cs="宋体"/>
          <w:color w:val="auto"/>
          <w:szCs w:val="21"/>
        </w:rPr>
      </w:pPr>
      <w:r>
        <w:rPr>
          <w:rFonts w:hint="eastAsia" w:ascii="宋体" w:hAnsi="宋体" w:cs="宋体"/>
          <w:color w:val="auto"/>
          <w:szCs w:val="21"/>
        </w:rPr>
        <w:t>根据财政部、司法部联合印发《关于政府采购支持监狱企业发展有关问题的通知》（财库【2014】68号）文件规定，凡监狱企业参加政府采购活动视同小型、微型企业，享受评审价格扣除的政府采购优惠政策。此次若有监狱企业参加投标的其报价享受</w:t>
      </w:r>
      <w:r>
        <w:rPr>
          <w:rFonts w:hint="eastAsia" w:ascii="宋体" w:hAnsi="宋体" w:cs="宋体"/>
          <w:color w:val="auto"/>
          <w:szCs w:val="21"/>
          <w:lang w:val="en-US" w:eastAsia="zh-CN"/>
        </w:rPr>
        <w:t>2</w:t>
      </w:r>
      <w:r>
        <w:rPr>
          <w:rFonts w:hint="eastAsia" w:ascii="宋体" w:hAnsi="宋体" w:cs="宋体"/>
          <w:color w:val="auto"/>
          <w:szCs w:val="21"/>
        </w:rPr>
        <w:t>0%的价格扣除，但必须提供由省级以上监狱管理局、戒毒管理局（含新疆生产建设兵团）出具的属于监狱企业的证明文件，否则评审时不予价格扣除优惠。</w:t>
      </w:r>
    </w:p>
    <w:p w14:paraId="755707C7">
      <w:pPr>
        <w:spacing w:line="360" w:lineRule="auto"/>
        <w:jc w:val="center"/>
        <w:rPr>
          <w:rFonts w:ascii="宋体" w:hAnsi="宋体" w:cs="宋体"/>
          <w:color w:val="auto"/>
          <w:szCs w:val="21"/>
        </w:rPr>
      </w:pPr>
    </w:p>
    <w:p w14:paraId="18A35457">
      <w:pPr>
        <w:spacing w:line="360" w:lineRule="auto"/>
        <w:jc w:val="center"/>
        <w:rPr>
          <w:rFonts w:ascii="宋体" w:hAnsi="宋体" w:cs="宋体"/>
          <w:color w:val="auto"/>
          <w:szCs w:val="21"/>
        </w:rPr>
      </w:pPr>
    </w:p>
    <w:p w14:paraId="11B78E7B">
      <w:pPr>
        <w:spacing w:line="360" w:lineRule="auto"/>
        <w:ind w:firstLine="420" w:firstLineChars="200"/>
        <w:rPr>
          <w:rFonts w:ascii="宋体" w:hAnsi="宋体" w:cs="宋体"/>
          <w:color w:val="auto"/>
          <w:szCs w:val="21"/>
        </w:rPr>
      </w:pPr>
      <w:r>
        <w:rPr>
          <w:rFonts w:hint="eastAsia" w:ascii="宋体" w:hAnsi="宋体" w:cs="宋体"/>
          <w:color w:val="auto"/>
          <w:szCs w:val="21"/>
        </w:rPr>
        <w:t>注：在投标文件中附扫描件。</w:t>
      </w:r>
    </w:p>
    <w:p w14:paraId="5E01818F">
      <w:pPr>
        <w:numPr>
          <w:ilvl w:val="1"/>
          <w:numId w:val="0"/>
        </w:numPr>
        <w:tabs>
          <w:tab w:val="left" w:pos="840"/>
        </w:tabs>
        <w:ind w:left="556"/>
        <w:rPr>
          <w:rFonts w:ascii="宋体" w:hAnsi="宋体" w:cs="宋体"/>
          <w:color w:val="auto"/>
        </w:rPr>
      </w:pPr>
    </w:p>
    <w:p w14:paraId="68332580">
      <w:pPr>
        <w:jc w:val="center"/>
        <w:rPr>
          <w:rFonts w:ascii="宋体" w:hAnsi="宋体" w:cs="宋体"/>
          <w:color w:val="auto"/>
          <w:szCs w:val="21"/>
        </w:rPr>
      </w:pPr>
    </w:p>
    <w:p w14:paraId="177E0F96">
      <w:pPr>
        <w:pStyle w:val="288"/>
        <w:rPr>
          <w:rFonts w:ascii="宋体" w:hAnsi="宋体" w:cs="宋体"/>
          <w:color w:val="auto"/>
          <w:szCs w:val="21"/>
        </w:rPr>
      </w:pPr>
    </w:p>
    <w:p w14:paraId="7D0DF51A">
      <w:pPr>
        <w:pStyle w:val="288"/>
        <w:rPr>
          <w:rFonts w:ascii="宋体" w:hAnsi="宋体" w:cs="宋体"/>
          <w:color w:val="auto"/>
          <w:szCs w:val="21"/>
        </w:rPr>
      </w:pPr>
    </w:p>
    <w:p w14:paraId="38B47E14">
      <w:pPr>
        <w:pStyle w:val="288"/>
        <w:rPr>
          <w:rFonts w:ascii="宋体" w:hAnsi="宋体" w:cs="宋体"/>
          <w:color w:val="auto"/>
          <w:szCs w:val="21"/>
        </w:rPr>
      </w:pPr>
    </w:p>
    <w:p w14:paraId="6914F548">
      <w:pPr>
        <w:pStyle w:val="288"/>
        <w:rPr>
          <w:rFonts w:ascii="宋体" w:hAnsi="宋体" w:cs="宋体"/>
          <w:color w:val="auto"/>
          <w:szCs w:val="21"/>
        </w:rPr>
      </w:pPr>
    </w:p>
    <w:p w14:paraId="279EA2EF">
      <w:pPr>
        <w:pStyle w:val="288"/>
        <w:rPr>
          <w:rFonts w:ascii="宋体" w:hAnsi="宋体" w:cs="宋体"/>
          <w:color w:val="auto"/>
          <w:szCs w:val="21"/>
        </w:rPr>
      </w:pPr>
    </w:p>
    <w:p w14:paraId="796D917D">
      <w:pPr>
        <w:pStyle w:val="288"/>
        <w:rPr>
          <w:rFonts w:ascii="宋体" w:hAnsi="宋体" w:cs="宋体"/>
          <w:color w:val="auto"/>
          <w:szCs w:val="21"/>
        </w:rPr>
      </w:pPr>
    </w:p>
    <w:p w14:paraId="7709AE13">
      <w:pPr>
        <w:pStyle w:val="288"/>
        <w:rPr>
          <w:rFonts w:ascii="宋体" w:hAnsi="宋体" w:cs="宋体"/>
          <w:color w:val="auto"/>
          <w:szCs w:val="21"/>
        </w:rPr>
      </w:pPr>
    </w:p>
    <w:p w14:paraId="3B0796C8">
      <w:pPr>
        <w:pStyle w:val="288"/>
        <w:rPr>
          <w:rFonts w:ascii="宋体" w:hAnsi="宋体" w:cs="宋体"/>
          <w:color w:val="auto"/>
          <w:szCs w:val="21"/>
        </w:rPr>
      </w:pPr>
    </w:p>
    <w:p w14:paraId="683F6555">
      <w:pPr>
        <w:pStyle w:val="288"/>
        <w:rPr>
          <w:rFonts w:ascii="宋体" w:hAnsi="宋体" w:cs="宋体"/>
          <w:color w:val="auto"/>
          <w:szCs w:val="21"/>
        </w:rPr>
      </w:pPr>
    </w:p>
    <w:p w14:paraId="30C1B6BF">
      <w:pPr>
        <w:pStyle w:val="288"/>
        <w:rPr>
          <w:rFonts w:ascii="宋体" w:hAnsi="宋体" w:cs="宋体"/>
          <w:color w:val="auto"/>
          <w:szCs w:val="21"/>
        </w:rPr>
      </w:pPr>
    </w:p>
    <w:p w14:paraId="366C4243">
      <w:pPr>
        <w:pStyle w:val="288"/>
        <w:rPr>
          <w:rFonts w:ascii="宋体" w:hAnsi="宋体" w:cs="宋体"/>
          <w:color w:val="auto"/>
          <w:szCs w:val="21"/>
        </w:rPr>
      </w:pPr>
    </w:p>
    <w:p w14:paraId="179D28B8">
      <w:pPr>
        <w:pStyle w:val="288"/>
        <w:rPr>
          <w:rFonts w:ascii="宋体" w:hAnsi="宋体" w:cs="宋体"/>
          <w:color w:val="auto"/>
          <w:szCs w:val="21"/>
        </w:rPr>
      </w:pPr>
    </w:p>
    <w:p w14:paraId="2EA93DC4">
      <w:pPr>
        <w:pStyle w:val="288"/>
        <w:rPr>
          <w:rFonts w:ascii="宋体" w:hAnsi="宋体" w:cs="宋体"/>
          <w:color w:val="auto"/>
          <w:szCs w:val="21"/>
        </w:rPr>
      </w:pPr>
    </w:p>
    <w:p w14:paraId="713D113E">
      <w:pPr>
        <w:pStyle w:val="288"/>
        <w:rPr>
          <w:rFonts w:ascii="宋体" w:hAnsi="宋体" w:cs="宋体"/>
          <w:color w:val="auto"/>
          <w:szCs w:val="21"/>
        </w:rPr>
      </w:pPr>
    </w:p>
    <w:p w14:paraId="7A85C2EE">
      <w:pPr>
        <w:pStyle w:val="288"/>
        <w:rPr>
          <w:rFonts w:ascii="宋体" w:hAnsi="宋体" w:cs="宋体"/>
          <w:color w:val="auto"/>
          <w:szCs w:val="21"/>
        </w:rPr>
      </w:pPr>
    </w:p>
    <w:p w14:paraId="2BB81DB2">
      <w:pPr>
        <w:pStyle w:val="288"/>
        <w:rPr>
          <w:rFonts w:ascii="宋体" w:hAnsi="宋体" w:cs="宋体"/>
          <w:color w:val="auto"/>
          <w:szCs w:val="21"/>
        </w:rPr>
      </w:pPr>
    </w:p>
    <w:p w14:paraId="699A86D4">
      <w:pPr>
        <w:pStyle w:val="288"/>
        <w:rPr>
          <w:rFonts w:ascii="宋体" w:hAnsi="宋体" w:cs="宋体"/>
          <w:color w:val="auto"/>
          <w:szCs w:val="21"/>
        </w:rPr>
      </w:pPr>
    </w:p>
    <w:p w14:paraId="170F749A">
      <w:pPr>
        <w:pStyle w:val="288"/>
        <w:rPr>
          <w:rFonts w:ascii="宋体" w:hAnsi="宋体" w:cs="宋体"/>
          <w:color w:val="auto"/>
          <w:szCs w:val="21"/>
        </w:rPr>
      </w:pPr>
    </w:p>
    <w:p w14:paraId="54B04495">
      <w:pPr>
        <w:pStyle w:val="288"/>
        <w:rPr>
          <w:rFonts w:ascii="宋体" w:hAnsi="宋体" w:cs="宋体"/>
          <w:color w:val="auto"/>
          <w:szCs w:val="21"/>
        </w:rPr>
      </w:pPr>
    </w:p>
    <w:p w14:paraId="11D2C8A2">
      <w:pPr>
        <w:pStyle w:val="288"/>
        <w:rPr>
          <w:rFonts w:ascii="宋体" w:hAnsi="宋体" w:cs="宋体"/>
          <w:color w:val="auto"/>
          <w:szCs w:val="21"/>
        </w:rPr>
      </w:pPr>
    </w:p>
    <w:p w14:paraId="591D38E6">
      <w:pPr>
        <w:ind w:left="425"/>
        <w:jc w:val="center"/>
        <w:outlineLvl w:val="2"/>
        <w:rPr>
          <w:rFonts w:hint="eastAsia" w:ascii="宋体" w:hAnsi="宋体" w:eastAsia="宋体" w:cs="宋体"/>
          <w:b/>
          <w:bCs/>
          <w:color w:val="auto"/>
          <w:sz w:val="28"/>
          <w:szCs w:val="28"/>
          <w:highlight w:val="none"/>
          <w:lang w:eastAsia="zh-CN"/>
        </w:rPr>
      </w:pPr>
      <w:r>
        <w:rPr>
          <w:rFonts w:hint="eastAsia" w:ascii="宋体" w:hAnsi="宋体" w:eastAsia="宋体" w:cs="宋体"/>
          <w:b/>
          <w:color w:val="auto"/>
          <w:kern w:val="2"/>
          <w:sz w:val="21"/>
          <w:szCs w:val="21"/>
        </w:rPr>
        <w:br w:type="page"/>
      </w:r>
      <w:r>
        <w:rPr>
          <w:rFonts w:hint="eastAsia" w:ascii="宋体" w:hAnsi="宋体" w:cs="宋体"/>
          <w:b/>
          <w:color w:val="auto"/>
          <w:kern w:val="2"/>
          <w:sz w:val="21"/>
          <w:szCs w:val="21"/>
          <w:lang w:val="en-US" w:eastAsia="zh-CN"/>
        </w:rPr>
        <w:t>4、</w:t>
      </w:r>
      <w:r>
        <w:rPr>
          <w:rFonts w:hint="eastAsia" w:ascii="宋体" w:hAnsi="宋体" w:eastAsia="宋体" w:cs="宋体"/>
          <w:b/>
          <w:color w:val="auto"/>
          <w:szCs w:val="21"/>
        </w:rPr>
        <w:t>关于符合本国产品标准的声明函</w:t>
      </w:r>
      <w:r>
        <w:rPr>
          <w:rFonts w:hint="eastAsia" w:ascii="宋体" w:hAnsi="宋体" w:eastAsia="宋体" w:cs="宋体"/>
          <w:b/>
          <w:color w:val="auto"/>
          <w:szCs w:val="21"/>
          <w:lang w:eastAsia="zh-CN"/>
        </w:rPr>
        <w:t>（</w:t>
      </w:r>
      <w:r>
        <w:rPr>
          <w:rFonts w:hint="eastAsia" w:ascii="宋体" w:hAnsi="宋体" w:eastAsia="宋体" w:cs="宋体"/>
          <w:b/>
          <w:color w:val="auto"/>
          <w:szCs w:val="21"/>
          <w:lang w:val="en-US" w:eastAsia="zh-CN"/>
        </w:rPr>
        <w:t>如是</w:t>
      </w:r>
      <w:r>
        <w:rPr>
          <w:rFonts w:hint="eastAsia" w:ascii="宋体" w:hAnsi="宋体" w:eastAsia="宋体" w:cs="宋体"/>
          <w:b/>
          <w:color w:val="auto"/>
          <w:szCs w:val="21"/>
          <w:lang w:eastAsia="zh-CN"/>
        </w:rPr>
        <w:t>）</w:t>
      </w:r>
    </w:p>
    <w:p w14:paraId="2B31408C">
      <w:pPr>
        <w:spacing w:line="360" w:lineRule="auto"/>
        <w:rPr>
          <w:rFonts w:hint="eastAsia" w:ascii="宋体" w:hAnsi="宋体" w:eastAsia="宋体" w:cs="宋体"/>
          <w:sz w:val="21"/>
          <w:szCs w:val="21"/>
        </w:rPr>
      </w:pPr>
    </w:p>
    <w:p w14:paraId="0A13792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本公司(单位)郑重声明，根据《国务院办公厅关于在政府采购中实施本国产品标准及相关政策的通知》(国办发〔2025〕34号)的规定，本公司(单位)提供的以下产品属于本国产品。具体情况如下：</w:t>
      </w:r>
    </w:p>
    <w:p w14:paraId="7A45DA2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u w:val="single"/>
        </w:rPr>
        <w:t xml:space="preserve">   (产品名称1)</w:t>
      </w:r>
      <w:r>
        <w:rPr>
          <w:rFonts w:hint="eastAsia" w:ascii="宋体" w:hAnsi="宋体" w:eastAsia="宋体" w:cs="宋体"/>
          <w:sz w:val="21"/>
          <w:szCs w:val="21"/>
        </w:rPr>
        <w:t>¹ ,生产厂为</w:t>
      </w:r>
      <w:r>
        <w:rPr>
          <w:rFonts w:hint="eastAsia" w:ascii="宋体" w:hAnsi="宋体" w:eastAsia="宋体" w:cs="宋体"/>
          <w:sz w:val="21"/>
          <w:szCs w:val="21"/>
          <w:u w:val="single"/>
        </w:rPr>
        <w:t xml:space="preserve">  (厂名)</w:t>
      </w:r>
      <w:r>
        <w:rPr>
          <w:rFonts w:hint="eastAsia" w:ascii="宋体" w:hAnsi="宋体" w:eastAsia="宋体" w:cs="宋体"/>
          <w:sz w:val="21"/>
          <w:szCs w:val="21"/>
          <w:u w:val="none"/>
        </w:rPr>
        <w:t>²</w:t>
      </w:r>
      <w:r>
        <w:rPr>
          <w:rFonts w:hint="eastAsia" w:ascii="宋体" w:hAnsi="宋体" w:eastAsia="宋体" w:cs="宋体"/>
          <w:sz w:val="21"/>
          <w:szCs w:val="21"/>
        </w:rPr>
        <w:t xml:space="preserve"> , 厂址为</w:t>
      </w:r>
      <w:r>
        <w:rPr>
          <w:rFonts w:hint="eastAsia" w:ascii="宋体" w:hAnsi="宋体" w:eastAsia="宋体" w:cs="宋体"/>
          <w:sz w:val="21"/>
          <w:szCs w:val="21"/>
          <w:u w:val="single"/>
        </w:rPr>
        <w:t xml:space="preserve">  (生产厂址 )</w:t>
      </w:r>
      <w:r>
        <w:rPr>
          <w:rFonts w:hint="eastAsia" w:ascii="宋体" w:hAnsi="宋体" w:eastAsia="宋体" w:cs="宋体"/>
          <w:sz w:val="21"/>
          <w:szCs w:val="21"/>
        </w:rPr>
        <w:t xml:space="preserve"> 。</w:t>
      </w:r>
      <w:r>
        <w:rPr>
          <w:rFonts w:hint="eastAsia" w:ascii="宋体" w:hAnsi="宋体" w:eastAsia="宋体" w:cs="宋体"/>
          <w:sz w:val="21"/>
          <w:szCs w:val="21"/>
          <w:u w:val="single"/>
        </w:rPr>
        <w:t xml:space="preserve">(产品名称 1) </w:t>
      </w:r>
      <w:r>
        <w:rPr>
          <w:rFonts w:hint="eastAsia" w:ascii="宋体" w:hAnsi="宋体" w:eastAsia="宋体" w:cs="宋体"/>
          <w:sz w:val="21"/>
          <w:szCs w:val="21"/>
        </w:rPr>
        <w:t>的中国境内生产的组件成本占比≥</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(规定比例)</w:t>
      </w:r>
      <w:r>
        <w:rPr>
          <w:rFonts w:hint="eastAsia" w:ascii="宋体" w:hAnsi="宋体" w:eastAsia="宋体" w:cs="宋体"/>
          <w:sz w:val="21"/>
          <w:szCs w:val="21"/>
          <w:u w:val="none"/>
        </w:rPr>
        <w:t>³</w:t>
      </w:r>
      <w:r>
        <w:rPr>
          <w:rFonts w:hint="eastAsia" w:ascii="宋体" w:hAnsi="宋体" w:eastAsia="宋体" w:cs="宋体"/>
          <w:sz w:val="21"/>
          <w:szCs w:val="21"/>
        </w:rPr>
        <w:t>。</w:t>
      </w:r>
      <w:r>
        <w:rPr>
          <w:rFonts w:hint="eastAsia" w:ascii="宋体" w:hAnsi="宋体" w:eastAsia="宋体" w:cs="宋体"/>
          <w:sz w:val="21"/>
          <w:szCs w:val="21"/>
          <w:u w:val="single"/>
        </w:rPr>
        <w:t>(产品名称1 )</w:t>
      </w:r>
      <w:r>
        <w:rPr>
          <w:rFonts w:hint="eastAsia" w:ascii="宋体" w:hAnsi="宋体" w:eastAsia="宋体" w:cs="宋体"/>
          <w:sz w:val="21"/>
          <w:szCs w:val="21"/>
        </w:rPr>
        <w:t>的</w:t>
      </w:r>
      <w:r>
        <w:rPr>
          <w:rFonts w:hint="eastAsia" w:ascii="宋体" w:hAnsi="宋体" w:eastAsia="宋体" w:cs="宋体"/>
          <w:sz w:val="21"/>
          <w:szCs w:val="21"/>
          <w:u w:val="single"/>
        </w:rPr>
        <w:t>(关键组件)</w:t>
      </w:r>
      <w:r>
        <w:rPr>
          <w:rFonts w:hint="eastAsia" w:ascii="宋体" w:hAnsi="宋体" w:eastAsia="宋体" w:cs="宋体"/>
          <w:sz w:val="21"/>
          <w:szCs w:val="21"/>
        </w:rPr>
        <w:t>⁴在中国境内生产。</w:t>
      </w:r>
      <w:r>
        <w:rPr>
          <w:rFonts w:hint="eastAsia" w:ascii="宋体" w:hAnsi="宋体" w:eastAsia="宋体" w:cs="宋体"/>
          <w:sz w:val="21"/>
          <w:szCs w:val="21"/>
          <w:u w:val="single"/>
        </w:rPr>
        <w:t>(产品名称1)</w:t>
      </w:r>
      <w:r>
        <w:rPr>
          <w:rFonts w:hint="eastAsia" w:ascii="宋体" w:hAnsi="宋体" w:eastAsia="宋体" w:cs="宋体"/>
          <w:sz w:val="21"/>
          <w:szCs w:val="21"/>
        </w:rPr>
        <w:t xml:space="preserve">的  </w:t>
      </w:r>
      <w:r>
        <w:rPr>
          <w:rFonts w:hint="eastAsia" w:ascii="宋体" w:hAnsi="宋体" w:eastAsia="宋体" w:cs="宋体"/>
          <w:sz w:val="21"/>
          <w:szCs w:val="21"/>
          <w:u w:val="single"/>
        </w:rPr>
        <w:t>(关键工序)</w:t>
      </w:r>
      <w:r>
        <w:rPr>
          <w:rFonts w:hint="eastAsia" w:ascii="宋体" w:hAnsi="宋体" w:eastAsia="宋体" w:cs="宋体"/>
          <w:sz w:val="21"/>
          <w:szCs w:val="21"/>
        </w:rPr>
        <w:t>⁵在中国境内完成。</w:t>
      </w:r>
    </w:p>
    <w:p w14:paraId="5AFD27C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u w:val="single"/>
        </w:rPr>
        <w:t xml:space="preserve">   (产品名称2)</w:t>
      </w:r>
      <w:r>
        <w:rPr>
          <w:rFonts w:hint="eastAsia" w:ascii="宋体" w:hAnsi="宋体" w:eastAsia="宋体" w:cs="宋体"/>
          <w:sz w:val="21"/>
          <w:szCs w:val="21"/>
        </w:rPr>
        <w:t xml:space="preserve"> ,生产厂为</w:t>
      </w:r>
      <w:r>
        <w:rPr>
          <w:rFonts w:hint="eastAsia" w:ascii="宋体" w:hAnsi="宋体" w:eastAsia="宋体" w:cs="宋体"/>
          <w:sz w:val="21"/>
          <w:szCs w:val="21"/>
          <w:u w:val="single"/>
        </w:rPr>
        <w:t xml:space="preserve">  (厂名) </w:t>
      </w:r>
      <w:r>
        <w:rPr>
          <w:rFonts w:hint="eastAsia" w:ascii="宋体" w:hAnsi="宋体" w:eastAsia="宋体" w:cs="宋体"/>
          <w:sz w:val="21"/>
          <w:szCs w:val="21"/>
        </w:rPr>
        <w:t>, 厂址为</w:t>
      </w:r>
      <w:r>
        <w:rPr>
          <w:rFonts w:hint="eastAsia" w:ascii="宋体" w:hAnsi="宋体" w:eastAsia="宋体" w:cs="宋体"/>
          <w:sz w:val="21"/>
          <w:szCs w:val="21"/>
          <w:u w:val="single"/>
        </w:rPr>
        <w:t xml:space="preserve">  (生产厂址 )</w:t>
      </w:r>
      <w:r>
        <w:rPr>
          <w:rFonts w:hint="eastAsia" w:ascii="宋体" w:hAnsi="宋体" w:eastAsia="宋体" w:cs="宋体"/>
          <w:sz w:val="21"/>
          <w:szCs w:val="21"/>
        </w:rPr>
        <w:t>。</w:t>
      </w:r>
      <w:r>
        <w:rPr>
          <w:rFonts w:hint="eastAsia" w:ascii="宋体" w:hAnsi="宋体" w:eastAsia="宋体" w:cs="宋体"/>
          <w:sz w:val="21"/>
          <w:szCs w:val="21"/>
          <w:u w:val="single"/>
        </w:rPr>
        <w:t xml:space="preserve"> (产品名称2)</w:t>
      </w:r>
      <w:r>
        <w:rPr>
          <w:rFonts w:hint="eastAsia" w:ascii="宋体" w:hAnsi="宋体" w:eastAsia="宋体" w:cs="宋体"/>
          <w:sz w:val="21"/>
          <w:szCs w:val="21"/>
        </w:rPr>
        <w:t>的中国境内生产的组件成本占比≥</w:t>
      </w:r>
      <w:r>
        <w:rPr>
          <w:rFonts w:hint="eastAsia" w:ascii="宋体" w:hAnsi="宋体" w:eastAsia="宋体" w:cs="宋体"/>
          <w:sz w:val="21"/>
          <w:szCs w:val="21"/>
          <w:u w:val="single"/>
        </w:rPr>
        <w:t xml:space="preserve">  (规定比例)</w:t>
      </w:r>
      <w:r>
        <w:rPr>
          <w:rFonts w:hint="eastAsia" w:ascii="宋体" w:hAnsi="宋体" w:eastAsia="宋体" w:cs="宋体"/>
          <w:sz w:val="21"/>
          <w:szCs w:val="21"/>
        </w:rPr>
        <w:t>。</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(产品名称2)</w:t>
      </w:r>
      <w:r>
        <w:rPr>
          <w:rFonts w:hint="eastAsia" w:ascii="宋体" w:hAnsi="宋体" w:eastAsia="宋体" w:cs="宋体"/>
          <w:sz w:val="21"/>
          <w:szCs w:val="21"/>
        </w:rPr>
        <w:t>的</w:t>
      </w:r>
      <w:r>
        <w:rPr>
          <w:rFonts w:hint="eastAsia" w:ascii="宋体" w:hAnsi="宋体" w:eastAsia="宋体" w:cs="宋体"/>
          <w:sz w:val="21"/>
          <w:szCs w:val="21"/>
          <w:u w:val="single"/>
        </w:rPr>
        <w:t xml:space="preserve">  (关键组件)</w:t>
      </w:r>
      <w:r>
        <w:rPr>
          <w:rFonts w:hint="eastAsia" w:ascii="宋体" w:hAnsi="宋体" w:eastAsia="宋体" w:cs="宋体"/>
          <w:sz w:val="21"/>
          <w:szCs w:val="21"/>
        </w:rPr>
        <w:t>在中国境内生产。</w:t>
      </w:r>
      <w:r>
        <w:rPr>
          <w:rFonts w:hint="eastAsia" w:ascii="宋体" w:hAnsi="宋体" w:eastAsia="宋体" w:cs="宋体"/>
          <w:sz w:val="21"/>
          <w:szCs w:val="21"/>
          <w:u w:val="single"/>
        </w:rPr>
        <w:t xml:space="preserve">  ( 产品名称2)</w:t>
      </w:r>
      <w:r>
        <w:rPr>
          <w:rFonts w:hint="eastAsia" w:ascii="宋体" w:hAnsi="宋体" w:eastAsia="宋体" w:cs="宋体"/>
          <w:sz w:val="21"/>
          <w:szCs w:val="21"/>
        </w:rPr>
        <w:t>的</w:t>
      </w:r>
      <w:r>
        <w:rPr>
          <w:rFonts w:hint="eastAsia" w:ascii="宋体" w:hAnsi="宋体" w:eastAsia="宋体" w:cs="宋体"/>
          <w:sz w:val="21"/>
          <w:szCs w:val="21"/>
          <w:u w:val="single"/>
        </w:rPr>
        <w:t xml:space="preserve">  (关键工序) </w:t>
      </w:r>
      <w:r>
        <w:rPr>
          <w:rFonts w:hint="eastAsia" w:ascii="宋体" w:hAnsi="宋体" w:eastAsia="宋体" w:cs="宋体"/>
          <w:sz w:val="21"/>
          <w:szCs w:val="21"/>
        </w:rPr>
        <w:t>在中国境内完成。</w:t>
      </w:r>
    </w:p>
    <w:p w14:paraId="2C7E6A58">
      <w:pPr>
        <w:pStyle w:val="20"/>
        <w:keepNext w:val="0"/>
        <w:keepLines w:val="0"/>
        <w:pageBreakBefore w:val="0"/>
        <w:widowControl w:val="0"/>
        <w:kinsoku/>
        <w:wordWrap/>
        <w:overflowPunct/>
        <w:topLinePunct w:val="0"/>
        <w:autoSpaceDE/>
        <w:autoSpaceDN/>
        <w:bidi w:val="0"/>
        <w:adjustRightInd/>
        <w:snapToGrid/>
        <w:spacing w:before="162" w:line="360" w:lineRule="auto"/>
        <w:ind w:firstLine="452" w:firstLineChars="200"/>
        <w:jc w:val="both"/>
        <w:textAlignment w:val="auto"/>
        <w:rPr>
          <w:rFonts w:hint="eastAsia" w:ascii="宋体" w:hAnsi="宋体" w:eastAsia="宋体" w:cs="宋体"/>
          <w:sz w:val="21"/>
          <w:szCs w:val="21"/>
          <w:lang w:val="en-US" w:eastAsia="zh-CN"/>
        </w:rPr>
      </w:pPr>
      <w:r>
        <w:rPr>
          <w:rFonts w:hint="eastAsia" w:ascii="宋体" w:hAnsi="宋体" w:eastAsia="宋体" w:cs="宋体"/>
          <w:color w:val="auto"/>
          <w:spacing w:val="8"/>
          <w:kern w:val="0"/>
          <w:sz w:val="21"/>
          <w:szCs w:val="21"/>
          <w:lang w:val="en-US" w:eastAsia="zh-CN" w:bidi="ar-SA"/>
        </w:rPr>
        <w:t>......</w:t>
      </w:r>
    </w:p>
    <w:p w14:paraId="6A4D873A">
      <w:pPr>
        <w:bidi w:val="0"/>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本公司(单位)对上述声明内容的真实性负责。如有虚假，愿承担相应法律责任。</w:t>
      </w:r>
    </w:p>
    <w:p w14:paraId="6194DF54">
      <w:pPr>
        <w:bidi w:val="0"/>
        <w:spacing w:line="360" w:lineRule="auto"/>
        <w:ind w:firstLine="6510" w:firstLineChars="3100"/>
        <w:rPr>
          <w:rFonts w:hint="default" w:ascii="宋体" w:hAnsi="宋体" w:eastAsia="宋体" w:cs="宋体"/>
          <w:sz w:val="21"/>
          <w:szCs w:val="21"/>
          <w:u w:val="single"/>
          <w:lang w:val="en-US" w:eastAsia="zh-CN"/>
        </w:rPr>
      </w:pPr>
      <w:r>
        <w:rPr>
          <w:rFonts w:hint="eastAsia" w:ascii="宋体" w:hAnsi="宋体" w:eastAsia="宋体" w:cs="宋体"/>
          <w:sz w:val="21"/>
          <w:szCs w:val="21"/>
          <w:lang w:val="en-US" w:eastAsia="zh-CN"/>
        </w:rPr>
        <w:t>公司(单位)名称(盖章):</w:t>
      </w:r>
      <w:r>
        <w:rPr>
          <w:rFonts w:hint="eastAsia" w:ascii="宋体" w:hAnsi="宋体" w:eastAsia="宋体" w:cs="宋体"/>
          <w:sz w:val="21"/>
          <w:szCs w:val="21"/>
          <w:u w:val="single"/>
          <w:lang w:val="en-US" w:eastAsia="zh-CN"/>
        </w:rPr>
        <w:t xml:space="preserve">              </w:t>
      </w:r>
    </w:p>
    <w:p w14:paraId="6A63999B">
      <w:pPr>
        <w:bidi w:val="0"/>
        <w:spacing w:line="360" w:lineRule="auto"/>
        <w:ind w:firstLine="6510" w:firstLineChars="31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日期:</w:t>
      </w:r>
      <w:r>
        <w:rPr>
          <w:rFonts w:hint="eastAsia" w:ascii="宋体" w:hAnsi="宋体" w:eastAsia="宋体" w:cs="宋体"/>
          <w:sz w:val="21"/>
          <w:szCs w:val="21"/>
          <w:u w:val="single"/>
          <w:lang w:val="en-US" w:eastAsia="zh-CN"/>
        </w:rPr>
        <w:t xml:space="preserve">              </w:t>
      </w:r>
    </w:p>
    <w:p w14:paraId="1FA087D5">
      <w:pPr>
        <w:pStyle w:val="20"/>
        <w:keepNext w:val="0"/>
        <w:keepLines w:val="0"/>
        <w:pageBreakBefore w:val="0"/>
        <w:widowControl w:val="0"/>
        <w:kinsoku/>
        <w:wordWrap/>
        <w:overflowPunct/>
        <w:topLinePunct w:val="0"/>
        <w:autoSpaceDE/>
        <w:autoSpaceDN/>
        <w:bidi w:val="0"/>
        <w:adjustRightInd/>
        <w:snapToGrid/>
        <w:spacing w:before="162" w:line="360" w:lineRule="auto"/>
        <w:ind w:firstLine="452" w:firstLineChars="200"/>
        <w:jc w:val="both"/>
        <w:textAlignment w:val="auto"/>
        <w:rPr>
          <w:rFonts w:hint="default" w:ascii="宋体" w:hAnsi="宋体" w:eastAsia="宋体" w:cs="宋体"/>
          <w:color w:val="auto"/>
          <w:spacing w:val="8"/>
          <w:kern w:val="0"/>
          <w:sz w:val="21"/>
          <w:szCs w:val="21"/>
          <w:lang w:val="en-US" w:eastAsia="zh-CN" w:bidi="ar-SA"/>
        </w:rPr>
      </w:pPr>
    </w:p>
    <w:p w14:paraId="7B0F5BC2">
      <w:pPr>
        <w:keepNext w:val="0"/>
        <w:keepLines w:val="0"/>
        <w:pageBreakBefore w:val="0"/>
        <w:widowControl w:val="0"/>
        <w:kinsoku/>
        <w:wordWrap/>
        <w:overflowPunct/>
        <w:topLinePunct w:val="0"/>
        <w:autoSpaceDE/>
        <w:autoSpaceDN/>
        <w:bidi w:val="0"/>
        <w:adjustRightInd/>
        <w:snapToGrid/>
        <w:spacing w:line="360" w:lineRule="auto"/>
        <w:ind w:firstLine="452" w:firstLineChars="200"/>
        <w:textAlignment w:val="auto"/>
        <w:rPr>
          <w:rFonts w:hint="eastAsia" w:ascii="宋体" w:hAnsi="宋体" w:eastAsia="宋体" w:cs="宋体"/>
          <w:color w:val="auto"/>
          <w:spacing w:val="8"/>
          <w:kern w:val="0"/>
          <w:sz w:val="21"/>
          <w:szCs w:val="21"/>
          <w:lang w:val="en-US" w:eastAsia="zh-CN" w:bidi="ar-SA"/>
        </w:rPr>
      </w:pPr>
    </w:p>
    <w:p w14:paraId="188E77C1">
      <w:pPr>
        <w:keepNext w:val="0"/>
        <w:keepLines w:val="0"/>
        <w:pageBreakBefore w:val="0"/>
        <w:widowControl w:val="0"/>
        <w:kinsoku/>
        <w:wordWrap/>
        <w:overflowPunct/>
        <w:topLinePunct w:val="0"/>
        <w:autoSpaceDE/>
        <w:autoSpaceDN/>
        <w:bidi w:val="0"/>
        <w:adjustRightInd/>
        <w:snapToGrid/>
        <w:spacing w:line="360" w:lineRule="auto"/>
        <w:ind w:firstLine="452" w:firstLineChars="200"/>
        <w:textAlignment w:val="auto"/>
        <w:rPr>
          <w:rFonts w:hint="eastAsia" w:ascii="宋体" w:hAnsi="宋体" w:eastAsia="宋体" w:cs="宋体"/>
          <w:color w:val="auto"/>
          <w:spacing w:val="8"/>
          <w:kern w:val="0"/>
          <w:sz w:val="21"/>
          <w:szCs w:val="21"/>
          <w:lang w:val="en-US" w:eastAsia="zh-CN" w:bidi="ar-SA"/>
        </w:rPr>
      </w:pPr>
    </w:p>
    <w:p w14:paraId="1243A33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 产品如有型号，请在“产品名称”栏一并填写。</w:t>
      </w:r>
    </w:p>
    <w:p w14:paraId="35DAF69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 生产厂名与厂址应与生产厂营业执照载明的相关信息保持一致。</w:t>
      </w:r>
    </w:p>
    <w:p w14:paraId="0056924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 该产品的中国境内生产的组件成本占比相关要求实施前，“规定比例”栏可不填，下同。</w:t>
      </w:r>
    </w:p>
    <w:p w14:paraId="3A6E74F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 该产品的关键组件要求实施前，“关键组件”栏可不填，下同。</w:t>
      </w:r>
    </w:p>
    <w:p w14:paraId="6F609E4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 该产品的关键工序要求实施前，“关键工序”栏可不填，下同。</w:t>
      </w:r>
    </w:p>
    <w:p w14:paraId="2BCF43D1">
      <w:pPr>
        <w:pStyle w:val="4"/>
        <w:numPr>
          <w:ilvl w:val="0"/>
          <w:numId w:val="0"/>
        </w:numPr>
        <w:ind w:left="425"/>
        <w:jc w:val="center"/>
        <w:rPr>
          <w:rFonts w:ascii="宋体" w:hAnsi="宋体" w:eastAsia="宋体" w:cs="宋体"/>
          <w:b/>
          <w:color w:val="auto"/>
          <w:kern w:val="2"/>
          <w:sz w:val="21"/>
          <w:szCs w:val="21"/>
        </w:rPr>
      </w:pPr>
      <w:r>
        <w:rPr>
          <w:rFonts w:hint="eastAsia" w:ascii="宋体" w:hAnsi="宋体" w:eastAsia="宋体" w:cs="宋体"/>
          <w:b/>
          <w:bCs/>
          <w:color w:val="auto"/>
          <w:sz w:val="28"/>
          <w:szCs w:val="28"/>
          <w:highlight w:val="none"/>
        </w:rPr>
        <w:br w:type="page"/>
      </w:r>
      <w:r>
        <w:rPr>
          <w:rFonts w:hint="eastAsia" w:ascii="宋体" w:hAnsi="宋体" w:eastAsia="宋体" w:cs="宋体"/>
          <w:b/>
          <w:color w:val="auto"/>
          <w:kern w:val="2"/>
          <w:sz w:val="21"/>
          <w:szCs w:val="21"/>
          <w:lang w:val="en-US" w:eastAsia="zh-CN"/>
        </w:rPr>
        <w:t>5</w:t>
      </w:r>
      <w:r>
        <w:rPr>
          <w:rFonts w:hint="eastAsia" w:ascii="宋体" w:hAnsi="宋体" w:eastAsia="宋体" w:cs="宋体"/>
          <w:b/>
          <w:color w:val="auto"/>
          <w:kern w:val="2"/>
          <w:sz w:val="21"/>
          <w:szCs w:val="21"/>
        </w:rPr>
        <w:t>、投标承诺函</w:t>
      </w:r>
    </w:p>
    <w:p w14:paraId="56758139">
      <w:pPr>
        <w:pStyle w:val="41"/>
        <w:spacing w:before="0" w:beforeAutospacing="0" w:after="0" w:afterAutospacing="0" w:line="360" w:lineRule="auto"/>
        <w:jc w:val="both"/>
        <w:rPr>
          <w:rFonts w:cs="宋体"/>
          <w:color w:val="auto"/>
          <w:spacing w:val="8"/>
          <w:sz w:val="21"/>
          <w:szCs w:val="21"/>
        </w:rPr>
      </w:pPr>
      <w:r>
        <w:rPr>
          <w:rFonts w:hint="eastAsia" w:cs="宋体"/>
          <w:color w:val="auto"/>
          <w:sz w:val="21"/>
          <w:szCs w:val="21"/>
        </w:rPr>
        <w:t>致</w:t>
      </w:r>
      <w:r>
        <w:rPr>
          <w:rFonts w:hint="eastAsia" w:cs="宋体"/>
          <w:color w:val="auto"/>
          <w:sz w:val="21"/>
          <w:szCs w:val="21"/>
          <w:u w:val="single"/>
        </w:rPr>
        <w:t>（招标人及招标代理机构）</w:t>
      </w:r>
      <w:r>
        <w:rPr>
          <w:rFonts w:hint="eastAsia" w:cs="宋体"/>
          <w:color w:val="auto"/>
          <w:spacing w:val="8"/>
          <w:sz w:val="21"/>
          <w:szCs w:val="21"/>
        </w:rPr>
        <w:t>：</w:t>
      </w:r>
    </w:p>
    <w:p w14:paraId="1DBC2829">
      <w:pPr>
        <w:pStyle w:val="41"/>
        <w:spacing w:before="0" w:beforeAutospacing="0" w:after="0" w:afterAutospacing="0" w:line="360" w:lineRule="auto"/>
        <w:ind w:firstLine="480"/>
        <w:rPr>
          <w:rFonts w:cs="宋体"/>
          <w:color w:val="auto"/>
          <w:spacing w:val="8"/>
          <w:sz w:val="21"/>
          <w:szCs w:val="21"/>
        </w:rPr>
      </w:pPr>
      <w:r>
        <w:rPr>
          <w:rFonts w:hint="eastAsia" w:cs="宋体"/>
          <w:color w:val="auto"/>
          <w:spacing w:val="8"/>
          <w:sz w:val="21"/>
          <w:szCs w:val="21"/>
        </w:rPr>
        <w:t>我公司作为本次采购项目的投标人，根据招标文件要求，现郑重承诺如下：</w:t>
      </w:r>
    </w:p>
    <w:p w14:paraId="461F07AC">
      <w:pPr>
        <w:pStyle w:val="41"/>
        <w:spacing w:before="0" w:beforeAutospacing="0" w:after="0" w:afterAutospacing="0" w:line="360" w:lineRule="auto"/>
        <w:ind w:firstLine="480"/>
        <w:rPr>
          <w:rFonts w:cs="宋体"/>
          <w:color w:val="auto"/>
          <w:spacing w:val="8"/>
          <w:sz w:val="21"/>
          <w:szCs w:val="21"/>
        </w:rPr>
      </w:pPr>
      <w:r>
        <w:rPr>
          <w:rFonts w:hint="eastAsia" w:cs="宋体"/>
          <w:color w:val="auto"/>
          <w:spacing w:val="8"/>
          <w:sz w:val="21"/>
          <w:szCs w:val="21"/>
        </w:rPr>
        <w:t>一、具备《中华人民共和国政府采购法》第二十二条第一款和本项目规定的条件：</w:t>
      </w:r>
    </w:p>
    <w:p w14:paraId="4503218A">
      <w:pPr>
        <w:pStyle w:val="41"/>
        <w:spacing w:before="0" w:beforeAutospacing="0" w:after="0" w:afterAutospacing="0" w:line="360" w:lineRule="auto"/>
        <w:ind w:firstLine="480"/>
        <w:rPr>
          <w:rFonts w:cs="宋体"/>
          <w:color w:val="auto"/>
          <w:spacing w:val="8"/>
          <w:sz w:val="21"/>
          <w:szCs w:val="21"/>
        </w:rPr>
      </w:pPr>
      <w:r>
        <w:rPr>
          <w:rFonts w:hint="eastAsia" w:cs="宋体"/>
          <w:color w:val="auto"/>
          <w:spacing w:val="8"/>
          <w:sz w:val="21"/>
          <w:szCs w:val="21"/>
        </w:rPr>
        <w:t>（一）具有独立承担民事责任的能力； 　　</w:t>
      </w:r>
    </w:p>
    <w:p w14:paraId="5114A8B7">
      <w:pPr>
        <w:pStyle w:val="41"/>
        <w:spacing w:before="0" w:beforeAutospacing="0" w:after="0" w:afterAutospacing="0" w:line="360" w:lineRule="auto"/>
        <w:ind w:firstLine="480"/>
        <w:rPr>
          <w:rFonts w:cs="宋体"/>
          <w:color w:val="auto"/>
          <w:spacing w:val="8"/>
          <w:sz w:val="21"/>
          <w:szCs w:val="21"/>
        </w:rPr>
      </w:pPr>
      <w:r>
        <w:rPr>
          <w:rFonts w:hint="eastAsia" w:cs="宋体"/>
          <w:color w:val="auto"/>
          <w:spacing w:val="8"/>
          <w:sz w:val="21"/>
          <w:szCs w:val="21"/>
        </w:rPr>
        <w:t>（二）具有良好的商业信誉和健全的财务会计制度； 　</w:t>
      </w:r>
    </w:p>
    <w:p w14:paraId="0492FEA9">
      <w:pPr>
        <w:pStyle w:val="41"/>
        <w:spacing w:before="0" w:beforeAutospacing="0" w:after="0" w:afterAutospacing="0" w:line="360" w:lineRule="auto"/>
        <w:ind w:firstLine="480"/>
        <w:rPr>
          <w:rFonts w:cs="宋体"/>
          <w:color w:val="auto"/>
          <w:spacing w:val="8"/>
          <w:sz w:val="21"/>
          <w:szCs w:val="21"/>
        </w:rPr>
      </w:pPr>
      <w:r>
        <w:rPr>
          <w:rFonts w:hint="eastAsia" w:cs="宋体"/>
          <w:color w:val="auto"/>
          <w:spacing w:val="8"/>
          <w:sz w:val="21"/>
          <w:szCs w:val="21"/>
        </w:rPr>
        <w:t>（三）具有履行合同所必需的设备和专业技术能力； 　　</w:t>
      </w:r>
    </w:p>
    <w:p w14:paraId="6F73ABDB">
      <w:pPr>
        <w:pStyle w:val="41"/>
        <w:spacing w:before="0" w:beforeAutospacing="0" w:after="0" w:afterAutospacing="0" w:line="360" w:lineRule="auto"/>
        <w:ind w:firstLine="480"/>
        <w:rPr>
          <w:rFonts w:cs="宋体"/>
          <w:color w:val="auto"/>
          <w:spacing w:val="8"/>
          <w:sz w:val="21"/>
          <w:szCs w:val="21"/>
        </w:rPr>
      </w:pPr>
      <w:r>
        <w:rPr>
          <w:rFonts w:hint="eastAsia" w:cs="宋体"/>
          <w:color w:val="auto"/>
          <w:spacing w:val="8"/>
          <w:sz w:val="21"/>
          <w:szCs w:val="21"/>
        </w:rPr>
        <w:t>（四）有依法缴纳税收和社会保障资金的良好记录； 　　</w:t>
      </w:r>
    </w:p>
    <w:p w14:paraId="7BE14BB8">
      <w:pPr>
        <w:pStyle w:val="41"/>
        <w:spacing w:before="0" w:beforeAutospacing="0" w:after="0" w:afterAutospacing="0" w:line="360" w:lineRule="auto"/>
        <w:ind w:firstLine="480"/>
        <w:rPr>
          <w:rFonts w:cs="宋体"/>
          <w:color w:val="auto"/>
          <w:spacing w:val="8"/>
          <w:sz w:val="21"/>
          <w:szCs w:val="21"/>
        </w:rPr>
      </w:pPr>
      <w:r>
        <w:rPr>
          <w:rFonts w:hint="eastAsia" w:cs="宋体"/>
          <w:color w:val="auto"/>
          <w:spacing w:val="8"/>
          <w:sz w:val="21"/>
          <w:szCs w:val="21"/>
        </w:rPr>
        <w:t>（五）参加政府采购活动前三年内，在经营活动中没有重大违法记录；</w:t>
      </w:r>
    </w:p>
    <w:p w14:paraId="256B12D3">
      <w:pPr>
        <w:pStyle w:val="41"/>
        <w:spacing w:before="0" w:beforeAutospacing="0" w:after="0" w:afterAutospacing="0" w:line="360" w:lineRule="auto"/>
        <w:ind w:firstLine="480"/>
        <w:rPr>
          <w:rFonts w:cs="宋体"/>
          <w:color w:val="auto"/>
          <w:spacing w:val="8"/>
          <w:sz w:val="21"/>
          <w:szCs w:val="21"/>
        </w:rPr>
      </w:pPr>
      <w:r>
        <w:rPr>
          <w:rFonts w:hint="eastAsia" w:cs="宋体"/>
          <w:color w:val="auto"/>
          <w:spacing w:val="8"/>
          <w:sz w:val="21"/>
          <w:szCs w:val="21"/>
        </w:rPr>
        <w:t>（六）法律、行政法规规定的其他条件；</w:t>
      </w:r>
    </w:p>
    <w:p w14:paraId="53E8D2B9">
      <w:pPr>
        <w:pStyle w:val="41"/>
        <w:spacing w:before="0" w:beforeAutospacing="0" w:after="0" w:afterAutospacing="0" w:line="360" w:lineRule="auto"/>
        <w:ind w:firstLine="480"/>
        <w:rPr>
          <w:rFonts w:cs="宋体"/>
          <w:color w:val="auto"/>
          <w:spacing w:val="8"/>
          <w:sz w:val="21"/>
          <w:szCs w:val="21"/>
        </w:rPr>
      </w:pPr>
      <w:r>
        <w:rPr>
          <w:rFonts w:hint="eastAsia" w:cs="宋体"/>
          <w:color w:val="auto"/>
          <w:spacing w:val="8"/>
          <w:sz w:val="21"/>
          <w:szCs w:val="21"/>
        </w:rPr>
        <w:t>（七）根据采购项目提出的特殊条件。</w:t>
      </w:r>
    </w:p>
    <w:p w14:paraId="0CC818FE">
      <w:pPr>
        <w:pStyle w:val="41"/>
        <w:spacing w:before="0" w:beforeAutospacing="0" w:after="0" w:afterAutospacing="0" w:line="360" w:lineRule="auto"/>
        <w:ind w:firstLine="480"/>
        <w:rPr>
          <w:rFonts w:cs="宋体"/>
          <w:color w:val="auto"/>
          <w:spacing w:val="8"/>
          <w:sz w:val="21"/>
          <w:szCs w:val="21"/>
        </w:rPr>
      </w:pPr>
      <w:r>
        <w:rPr>
          <w:rFonts w:hint="eastAsia" w:cs="宋体"/>
          <w:color w:val="auto"/>
          <w:spacing w:val="8"/>
          <w:sz w:val="21"/>
          <w:szCs w:val="21"/>
        </w:rPr>
        <w:t>二、完全接受和满足本项目招标文件中规定的实质性要求，如对招标文件有异议，已经在投标截止时间届满前依法进行维权救济，不存在对招标文件有异议的同时又参加投标以求侥幸中标或者为实现其他非法目的的行为。</w:t>
      </w:r>
    </w:p>
    <w:p w14:paraId="484EC727">
      <w:pPr>
        <w:pStyle w:val="41"/>
        <w:spacing w:before="0" w:beforeAutospacing="0" w:after="0" w:afterAutospacing="0" w:line="360" w:lineRule="auto"/>
        <w:ind w:firstLine="480"/>
        <w:rPr>
          <w:rFonts w:cs="宋体"/>
          <w:color w:val="auto"/>
          <w:spacing w:val="8"/>
          <w:sz w:val="21"/>
          <w:szCs w:val="21"/>
        </w:rPr>
      </w:pPr>
      <w:r>
        <w:rPr>
          <w:rFonts w:hint="eastAsia" w:cs="宋体"/>
          <w:color w:val="auto"/>
          <w:spacing w:val="8"/>
          <w:sz w:val="21"/>
          <w:szCs w:val="21"/>
        </w:rPr>
        <w:t>三、参加本次招标采购活动，不存在与单位负责人为同一人或者存在直接控股、管理关系的其他投标人参与同一合同项下的政府采购活动的行为。    </w:t>
      </w:r>
    </w:p>
    <w:p w14:paraId="3EC9AEA8">
      <w:pPr>
        <w:pStyle w:val="41"/>
        <w:spacing w:before="0" w:beforeAutospacing="0" w:after="0" w:afterAutospacing="0" w:line="360" w:lineRule="auto"/>
        <w:ind w:firstLine="480"/>
        <w:rPr>
          <w:rFonts w:cs="宋体"/>
          <w:color w:val="auto"/>
          <w:spacing w:val="8"/>
          <w:sz w:val="21"/>
          <w:szCs w:val="21"/>
        </w:rPr>
      </w:pPr>
      <w:r>
        <w:rPr>
          <w:rFonts w:hint="eastAsia" w:cs="宋体"/>
          <w:color w:val="auto"/>
          <w:spacing w:val="8"/>
          <w:sz w:val="21"/>
          <w:szCs w:val="21"/>
        </w:rPr>
        <w:t>四、参加本次招标采购活动，不存在为采购项目提供整体设计、规范编制或者项目管理、监理、检测等服务的行为。</w:t>
      </w:r>
    </w:p>
    <w:p w14:paraId="3D00AE42">
      <w:pPr>
        <w:pStyle w:val="41"/>
        <w:spacing w:before="0" w:beforeAutospacing="0" w:after="0" w:afterAutospacing="0" w:line="360" w:lineRule="auto"/>
        <w:ind w:firstLine="480"/>
        <w:rPr>
          <w:rFonts w:cs="宋体"/>
          <w:color w:val="auto"/>
          <w:spacing w:val="8"/>
          <w:sz w:val="21"/>
          <w:szCs w:val="21"/>
        </w:rPr>
      </w:pPr>
      <w:r>
        <w:rPr>
          <w:rFonts w:hint="eastAsia" w:cs="宋体"/>
          <w:color w:val="auto"/>
          <w:spacing w:val="8"/>
          <w:sz w:val="21"/>
          <w:szCs w:val="21"/>
        </w:rPr>
        <w:t>五、参加本次招标采购活动，不存在和其他投标人在同一合同项下的采购项目中，同时委托同一个自然人、同一家庭的人员、同一单位的人员作为代理人的行为。</w:t>
      </w:r>
    </w:p>
    <w:p w14:paraId="39641D64">
      <w:pPr>
        <w:pStyle w:val="41"/>
        <w:spacing w:before="0" w:beforeAutospacing="0" w:after="0" w:afterAutospacing="0" w:line="360" w:lineRule="auto"/>
        <w:ind w:firstLine="480"/>
        <w:rPr>
          <w:rFonts w:cs="宋体"/>
          <w:color w:val="auto"/>
          <w:spacing w:val="8"/>
          <w:sz w:val="21"/>
          <w:szCs w:val="21"/>
        </w:rPr>
      </w:pPr>
      <w:r>
        <w:rPr>
          <w:rFonts w:hint="eastAsia" w:cs="宋体"/>
          <w:color w:val="auto"/>
          <w:spacing w:val="8"/>
          <w:sz w:val="21"/>
          <w:szCs w:val="21"/>
        </w:rPr>
        <w:t>六、投标人参加本次政府采购活动要求在近三年内投标人和其法定代表人没有行贿犯罪行为。</w:t>
      </w:r>
    </w:p>
    <w:p w14:paraId="55D3E32C">
      <w:pPr>
        <w:pStyle w:val="41"/>
        <w:spacing w:before="0" w:beforeAutospacing="0" w:after="0" w:afterAutospacing="0" w:line="360" w:lineRule="auto"/>
        <w:ind w:firstLine="480"/>
        <w:outlineLvl w:val="9"/>
        <w:rPr>
          <w:rFonts w:cs="宋体"/>
          <w:color w:val="auto"/>
          <w:spacing w:val="8"/>
          <w:sz w:val="21"/>
          <w:szCs w:val="21"/>
        </w:rPr>
      </w:pPr>
      <w:r>
        <w:rPr>
          <w:rFonts w:hint="eastAsia" w:cs="宋体"/>
          <w:color w:val="auto"/>
          <w:spacing w:val="8"/>
          <w:sz w:val="21"/>
          <w:szCs w:val="21"/>
        </w:rPr>
        <w:t>七、投标文件中提供的能够给予采购人带来优惠的任何材料资料和技术、服务、商务等响应承诺情况都是真实的、有效的、合法的。</w:t>
      </w:r>
    </w:p>
    <w:p w14:paraId="7DA12A46">
      <w:pPr>
        <w:pStyle w:val="41"/>
        <w:spacing w:before="0" w:beforeAutospacing="0" w:after="0" w:afterAutospacing="0" w:line="360" w:lineRule="auto"/>
        <w:jc w:val="both"/>
        <w:outlineLvl w:val="9"/>
        <w:rPr>
          <w:rFonts w:cs="宋体"/>
          <w:color w:val="auto"/>
          <w:spacing w:val="8"/>
          <w:sz w:val="21"/>
          <w:szCs w:val="21"/>
        </w:rPr>
      </w:pPr>
      <w:r>
        <w:rPr>
          <w:rFonts w:hint="eastAsia" w:cs="宋体"/>
          <w:color w:val="auto"/>
          <w:spacing w:val="8"/>
          <w:sz w:val="21"/>
          <w:szCs w:val="21"/>
        </w:rPr>
        <w:t>   八、如本项目评标过程中需要提供样品，则我公司提供的样品即为中标后将要提供的中标产品，我公司对提供样品的性能和质量负责，因样品存在缺陷或者不符合招标文件要求导致未能中标的，我公司愿意承担相应不利后果。（如提供样品）    </w:t>
      </w:r>
    </w:p>
    <w:p w14:paraId="04D6A66C">
      <w:pPr>
        <w:pStyle w:val="41"/>
        <w:spacing w:before="0" w:beforeAutospacing="0" w:after="0" w:afterAutospacing="0" w:line="360" w:lineRule="auto"/>
        <w:jc w:val="both"/>
        <w:outlineLvl w:val="9"/>
        <w:rPr>
          <w:rFonts w:cs="宋体"/>
          <w:color w:val="auto"/>
          <w:spacing w:val="8"/>
          <w:sz w:val="21"/>
          <w:szCs w:val="21"/>
        </w:rPr>
      </w:pPr>
      <w:bookmarkStart w:id="349" w:name="_Toc3406"/>
      <w:r>
        <w:rPr>
          <w:rFonts w:hint="eastAsia" w:cs="宋体"/>
          <w:color w:val="auto"/>
          <w:spacing w:val="8"/>
          <w:sz w:val="21"/>
          <w:szCs w:val="21"/>
        </w:rPr>
        <w:t>   九、存在以下行为之一的愿意接受相关部门的处理：</w:t>
      </w:r>
      <w:bookmarkEnd w:id="349"/>
    </w:p>
    <w:p w14:paraId="0DA04A58">
      <w:pPr>
        <w:pStyle w:val="41"/>
        <w:spacing w:before="0" w:beforeAutospacing="0" w:after="0" w:afterAutospacing="0" w:line="360" w:lineRule="auto"/>
        <w:jc w:val="both"/>
        <w:outlineLvl w:val="9"/>
        <w:rPr>
          <w:rFonts w:cs="宋体"/>
          <w:color w:val="auto"/>
          <w:spacing w:val="8"/>
          <w:sz w:val="21"/>
          <w:szCs w:val="21"/>
        </w:rPr>
      </w:pPr>
      <w:r>
        <w:rPr>
          <w:rFonts w:hint="eastAsia" w:cs="宋体"/>
          <w:color w:val="auto"/>
          <w:spacing w:val="8"/>
          <w:sz w:val="21"/>
          <w:szCs w:val="21"/>
        </w:rPr>
        <w:t>   （一）投标有效期内撤销投标文件的；</w:t>
      </w:r>
    </w:p>
    <w:p w14:paraId="192FD876">
      <w:pPr>
        <w:pStyle w:val="41"/>
        <w:spacing w:before="0" w:beforeAutospacing="0" w:after="0" w:afterAutospacing="0" w:line="360" w:lineRule="auto"/>
        <w:jc w:val="both"/>
        <w:rPr>
          <w:rFonts w:cs="宋体"/>
          <w:color w:val="auto"/>
          <w:spacing w:val="8"/>
          <w:sz w:val="21"/>
          <w:szCs w:val="21"/>
        </w:rPr>
      </w:pPr>
      <w:r>
        <w:rPr>
          <w:rFonts w:hint="eastAsia" w:cs="宋体"/>
          <w:color w:val="auto"/>
          <w:spacing w:val="8"/>
          <w:sz w:val="21"/>
          <w:szCs w:val="21"/>
        </w:rPr>
        <w:t>   （二）在采购人确定中标人以前放弃中标候选资格的；</w:t>
      </w:r>
    </w:p>
    <w:p w14:paraId="613CA543">
      <w:pPr>
        <w:pStyle w:val="41"/>
        <w:spacing w:before="0" w:beforeAutospacing="0" w:after="0" w:afterAutospacing="0" w:line="360" w:lineRule="auto"/>
        <w:jc w:val="both"/>
        <w:rPr>
          <w:rFonts w:cs="宋体"/>
          <w:color w:val="auto"/>
          <w:spacing w:val="8"/>
          <w:sz w:val="21"/>
          <w:szCs w:val="21"/>
        </w:rPr>
      </w:pPr>
      <w:r>
        <w:rPr>
          <w:rFonts w:hint="eastAsia" w:cs="宋体"/>
          <w:color w:val="auto"/>
          <w:spacing w:val="8"/>
          <w:sz w:val="21"/>
          <w:szCs w:val="21"/>
        </w:rPr>
        <w:t>   （三）由于中标人的原因未能按照招标文件的规定与采购人签订合同；</w:t>
      </w:r>
    </w:p>
    <w:p w14:paraId="304B7A05">
      <w:pPr>
        <w:pStyle w:val="41"/>
        <w:spacing w:before="0" w:beforeAutospacing="0" w:after="0" w:afterAutospacing="0" w:line="360" w:lineRule="auto"/>
        <w:jc w:val="both"/>
        <w:rPr>
          <w:rFonts w:cs="宋体"/>
          <w:color w:val="auto"/>
          <w:spacing w:val="8"/>
          <w:sz w:val="21"/>
          <w:szCs w:val="21"/>
        </w:rPr>
      </w:pPr>
      <w:r>
        <w:rPr>
          <w:rFonts w:hint="eastAsia" w:cs="宋体"/>
          <w:color w:val="auto"/>
          <w:spacing w:val="8"/>
          <w:sz w:val="21"/>
          <w:szCs w:val="21"/>
        </w:rPr>
        <w:t>   （四）由于中标人的原因未能按照招标文件的规定交纳履约保证金；</w:t>
      </w:r>
    </w:p>
    <w:p w14:paraId="04FA21D4">
      <w:pPr>
        <w:pStyle w:val="41"/>
        <w:spacing w:before="0" w:beforeAutospacing="0" w:after="0" w:afterAutospacing="0" w:line="360" w:lineRule="auto"/>
        <w:jc w:val="both"/>
        <w:rPr>
          <w:rFonts w:cs="宋体"/>
          <w:color w:val="auto"/>
          <w:spacing w:val="8"/>
          <w:sz w:val="21"/>
          <w:szCs w:val="21"/>
        </w:rPr>
      </w:pPr>
      <w:r>
        <w:rPr>
          <w:rFonts w:hint="eastAsia" w:cs="宋体"/>
          <w:color w:val="auto"/>
          <w:spacing w:val="8"/>
          <w:sz w:val="21"/>
          <w:szCs w:val="21"/>
        </w:rPr>
        <w:t>   （五）在投标文件中提供虚假材料谋取中标；</w:t>
      </w:r>
    </w:p>
    <w:p w14:paraId="5C4FF5E2">
      <w:pPr>
        <w:pStyle w:val="41"/>
        <w:spacing w:before="0" w:beforeAutospacing="0" w:after="0" w:afterAutospacing="0" w:line="360" w:lineRule="auto"/>
        <w:jc w:val="both"/>
        <w:rPr>
          <w:rFonts w:cs="宋体"/>
          <w:color w:val="auto"/>
          <w:spacing w:val="8"/>
          <w:sz w:val="21"/>
          <w:szCs w:val="21"/>
        </w:rPr>
      </w:pPr>
      <w:r>
        <w:rPr>
          <w:rFonts w:hint="eastAsia" w:cs="宋体"/>
          <w:color w:val="auto"/>
          <w:spacing w:val="8"/>
          <w:sz w:val="21"/>
          <w:szCs w:val="21"/>
        </w:rPr>
        <w:t>   （六）与采购人、其他投标人或者采购代理机构恶意串通的；</w:t>
      </w:r>
    </w:p>
    <w:p w14:paraId="1955EE5B">
      <w:pPr>
        <w:pStyle w:val="41"/>
        <w:spacing w:before="0" w:beforeAutospacing="0" w:after="0" w:afterAutospacing="0" w:line="360" w:lineRule="auto"/>
        <w:jc w:val="both"/>
        <w:rPr>
          <w:rFonts w:cs="宋体"/>
          <w:color w:val="auto"/>
          <w:spacing w:val="8"/>
          <w:sz w:val="21"/>
          <w:szCs w:val="21"/>
        </w:rPr>
      </w:pPr>
      <w:r>
        <w:rPr>
          <w:rFonts w:hint="eastAsia" w:cs="宋体"/>
          <w:color w:val="auto"/>
          <w:spacing w:val="8"/>
          <w:sz w:val="21"/>
          <w:szCs w:val="21"/>
        </w:rPr>
        <w:t>   （七）投标有效期内，投标人在政府采购活动中有违法、违规、违纪行为。</w:t>
      </w:r>
    </w:p>
    <w:p w14:paraId="1215A21C">
      <w:pPr>
        <w:pStyle w:val="41"/>
        <w:spacing w:before="0" w:beforeAutospacing="0" w:after="0" w:afterAutospacing="0" w:line="360" w:lineRule="auto"/>
        <w:jc w:val="both"/>
        <w:rPr>
          <w:rFonts w:cs="宋体"/>
          <w:color w:val="auto"/>
          <w:spacing w:val="8"/>
          <w:sz w:val="21"/>
          <w:szCs w:val="21"/>
        </w:rPr>
      </w:pPr>
      <w:r>
        <w:rPr>
          <w:rFonts w:hint="eastAsia" w:cs="宋体"/>
          <w:color w:val="auto"/>
          <w:spacing w:val="8"/>
          <w:sz w:val="21"/>
          <w:szCs w:val="21"/>
        </w:rPr>
        <w:t> 由此产生的一切法律后果和责任由我公司承担。我公司声明放弃对此提出任何异议和追索的权利。</w:t>
      </w:r>
    </w:p>
    <w:p w14:paraId="2D0E3DC0">
      <w:pPr>
        <w:pStyle w:val="41"/>
        <w:spacing w:before="0" w:beforeAutospacing="0" w:after="0" w:afterAutospacing="0" w:line="360" w:lineRule="auto"/>
        <w:ind w:firstLine="690"/>
        <w:jc w:val="both"/>
        <w:rPr>
          <w:rFonts w:cs="宋体"/>
          <w:color w:val="auto"/>
          <w:spacing w:val="8"/>
          <w:sz w:val="21"/>
          <w:szCs w:val="21"/>
        </w:rPr>
      </w:pPr>
      <w:r>
        <w:rPr>
          <w:rFonts w:hint="eastAsia" w:cs="宋体"/>
          <w:color w:val="auto"/>
          <w:spacing w:val="8"/>
          <w:sz w:val="21"/>
          <w:szCs w:val="21"/>
        </w:rPr>
        <w:t>本公司对上述承诺的内容事项真实性负责。如经查实上述承诺的内容事项存在虚假，我公司愿意接受以提供虚假材料谋取中标追究法律责任。</w:t>
      </w:r>
    </w:p>
    <w:p w14:paraId="449440F1">
      <w:pPr>
        <w:pStyle w:val="41"/>
        <w:spacing w:before="0" w:beforeAutospacing="0" w:after="0" w:afterAutospacing="0" w:line="360" w:lineRule="auto"/>
        <w:rPr>
          <w:rFonts w:cs="宋体"/>
          <w:color w:val="auto"/>
          <w:spacing w:val="8"/>
          <w:sz w:val="21"/>
          <w:szCs w:val="21"/>
        </w:rPr>
      </w:pPr>
      <w:r>
        <w:rPr>
          <w:rFonts w:hint="eastAsia" w:cs="宋体"/>
          <w:color w:val="auto"/>
          <w:spacing w:val="8"/>
          <w:sz w:val="21"/>
          <w:szCs w:val="21"/>
        </w:rPr>
        <w:t>       </w:t>
      </w:r>
    </w:p>
    <w:p w14:paraId="582E248A">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投标人名称：</w:t>
      </w:r>
      <w:r>
        <w:rPr>
          <w:rFonts w:hint="eastAsia" w:ascii="宋体" w:hAnsi="宋体" w:cs="宋体"/>
          <w:color w:val="auto"/>
          <w:szCs w:val="21"/>
          <w:u w:val="single"/>
        </w:rPr>
        <w:t>                  </w:t>
      </w:r>
      <w:r>
        <w:rPr>
          <w:rFonts w:hint="eastAsia" w:ascii="宋体" w:hAnsi="宋体" w:cs="宋体"/>
          <w:color w:val="auto"/>
          <w:szCs w:val="21"/>
        </w:rPr>
        <w:t>（单位电子签章）</w:t>
      </w:r>
    </w:p>
    <w:p w14:paraId="166F7CA9">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法定代表人或授权代表：</w:t>
      </w:r>
      <w:r>
        <w:rPr>
          <w:rFonts w:hint="eastAsia" w:ascii="宋体" w:hAnsi="宋体" w:cs="宋体"/>
          <w:color w:val="auto"/>
          <w:szCs w:val="21"/>
          <w:u w:val="single"/>
        </w:rPr>
        <w:t>                </w:t>
      </w:r>
      <w:r>
        <w:rPr>
          <w:rFonts w:hint="eastAsia" w:ascii="宋体" w:hAnsi="宋体" w:cs="宋体"/>
          <w:color w:val="auto"/>
          <w:szCs w:val="21"/>
        </w:rPr>
        <w:t>（电子签名或盖章）</w:t>
      </w:r>
    </w:p>
    <w:p w14:paraId="40E0FD40">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日期：</w:t>
      </w:r>
      <w:r>
        <w:rPr>
          <w:rFonts w:hint="eastAsia" w:ascii="宋体" w:hAnsi="宋体" w:cs="宋体"/>
          <w:color w:val="auto"/>
          <w:szCs w:val="21"/>
          <w:u w:val="single"/>
        </w:rPr>
        <w:t>              </w:t>
      </w:r>
    </w:p>
    <w:p w14:paraId="7A39C420">
      <w:pPr>
        <w:pStyle w:val="41"/>
        <w:spacing w:before="0" w:beforeAutospacing="0" w:after="0" w:afterAutospacing="0" w:line="360" w:lineRule="auto"/>
        <w:ind w:firstLine="495"/>
        <w:jc w:val="both"/>
        <w:rPr>
          <w:rFonts w:cs="宋体"/>
          <w:color w:val="auto"/>
          <w:spacing w:val="8"/>
          <w:sz w:val="21"/>
          <w:szCs w:val="21"/>
        </w:rPr>
      </w:pPr>
      <w:r>
        <w:rPr>
          <w:rFonts w:hint="eastAsia" w:cs="宋体"/>
          <w:color w:val="auto"/>
          <w:sz w:val="21"/>
          <w:szCs w:val="21"/>
        </w:rPr>
        <w:t> </w:t>
      </w:r>
    </w:p>
    <w:p w14:paraId="6C4DDD7B">
      <w:pPr>
        <w:pStyle w:val="41"/>
        <w:spacing w:before="0" w:beforeAutospacing="0" w:after="0" w:afterAutospacing="0" w:line="360" w:lineRule="auto"/>
        <w:jc w:val="both"/>
        <w:rPr>
          <w:rFonts w:cs="宋体"/>
          <w:color w:val="auto"/>
          <w:spacing w:val="8"/>
          <w:sz w:val="21"/>
          <w:szCs w:val="21"/>
        </w:rPr>
      </w:pPr>
      <w:r>
        <w:rPr>
          <w:rFonts w:hint="eastAsia" w:cs="宋体"/>
          <w:color w:val="auto"/>
          <w:spacing w:val="8"/>
          <w:sz w:val="21"/>
          <w:szCs w:val="21"/>
        </w:rPr>
        <w:t> </w:t>
      </w:r>
    </w:p>
    <w:p w14:paraId="1CEE0342">
      <w:pPr>
        <w:pStyle w:val="41"/>
        <w:spacing w:before="0" w:beforeAutospacing="0" w:after="0" w:afterAutospacing="0" w:line="360" w:lineRule="auto"/>
        <w:jc w:val="both"/>
        <w:rPr>
          <w:rFonts w:cs="宋体"/>
          <w:color w:val="auto"/>
          <w:spacing w:val="8"/>
          <w:sz w:val="21"/>
          <w:szCs w:val="21"/>
        </w:rPr>
      </w:pPr>
    </w:p>
    <w:p w14:paraId="5C6C4573">
      <w:pPr>
        <w:pStyle w:val="41"/>
        <w:spacing w:before="0" w:beforeAutospacing="0" w:after="0" w:afterAutospacing="0" w:line="360" w:lineRule="auto"/>
        <w:jc w:val="both"/>
        <w:rPr>
          <w:rFonts w:cs="宋体"/>
          <w:color w:val="auto"/>
          <w:spacing w:val="8"/>
          <w:sz w:val="21"/>
          <w:szCs w:val="21"/>
        </w:rPr>
      </w:pPr>
    </w:p>
    <w:p w14:paraId="238DE7A4">
      <w:pPr>
        <w:pStyle w:val="41"/>
        <w:spacing w:before="0" w:beforeAutospacing="0" w:after="0" w:afterAutospacing="0" w:line="360" w:lineRule="auto"/>
        <w:jc w:val="both"/>
        <w:rPr>
          <w:rFonts w:cs="宋体"/>
          <w:color w:val="auto"/>
          <w:spacing w:val="8"/>
          <w:sz w:val="21"/>
          <w:szCs w:val="21"/>
        </w:rPr>
      </w:pPr>
    </w:p>
    <w:p w14:paraId="4D09EA71">
      <w:pPr>
        <w:pStyle w:val="41"/>
        <w:spacing w:before="0" w:beforeAutospacing="0" w:after="0" w:afterAutospacing="0" w:line="360" w:lineRule="auto"/>
        <w:jc w:val="both"/>
        <w:rPr>
          <w:rFonts w:cs="宋体"/>
          <w:color w:val="auto"/>
          <w:spacing w:val="8"/>
          <w:sz w:val="21"/>
          <w:szCs w:val="21"/>
        </w:rPr>
      </w:pPr>
    </w:p>
    <w:p w14:paraId="44B78B17">
      <w:pPr>
        <w:pStyle w:val="41"/>
        <w:spacing w:before="0" w:beforeAutospacing="0" w:after="0" w:afterAutospacing="0" w:line="360" w:lineRule="auto"/>
        <w:jc w:val="both"/>
        <w:rPr>
          <w:rFonts w:cs="宋体"/>
          <w:color w:val="auto"/>
          <w:spacing w:val="8"/>
          <w:sz w:val="21"/>
          <w:szCs w:val="21"/>
        </w:rPr>
      </w:pPr>
    </w:p>
    <w:p w14:paraId="13AAD900">
      <w:pPr>
        <w:pStyle w:val="41"/>
        <w:spacing w:before="0" w:beforeAutospacing="0" w:after="0" w:afterAutospacing="0" w:line="360" w:lineRule="auto"/>
        <w:jc w:val="both"/>
        <w:rPr>
          <w:rFonts w:cs="宋体"/>
          <w:color w:val="auto"/>
          <w:spacing w:val="8"/>
          <w:sz w:val="21"/>
          <w:szCs w:val="21"/>
        </w:rPr>
      </w:pPr>
    </w:p>
    <w:p w14:paraId="220FB550">
      <w:pPr>
        <w:pStyle w:val="41"/>
        <w:spacing w:before="0" w:beforeAutospacing="0" w:after="0" w:afterAutospacing="0" w:line="360" w:lineRule="auto"/>
        <w:jc w:val="both"/>
        <w:rPr>
          <w:rFonts w:cs="宋体"/>
          <w:color w:val="auto"/>
          <w:spacing w:val="8"/>
          <w:sz w:val="21"/>
          <w:szCs w:val="21"/>
        </w:rPr>
      </w:pPr>
    </w:p>
    <w:p w14:paraId="49F77AE5">
      <w:pPr>
        <w:pStyle w:val="41"/>
        <w:spacing w:before="0" w:beforeAutospacing="0" w:after="0" w:afterAutospacing="0" w:line="360" w:lineRule="auto"/>
        <w:jc w:val="both"/>
        <w:rPr>
          <w:rFonts w:cs="宋体"/>
          <w:color w:val="auto"/>
          <w:spacing w:val="8"/>
          <w:sz w:val="21"/>
          <w:szCs w:val="21"/>
        </w:rPr>
      </w:pPr>
    </w:p>
    <w:p w14:paraId="76DAFBF1">
      <w:pPr>
        <w:pStyle w:val="41"/>
        <w:spacing w:before="0" w:beforeAutospacing="0" w:after="0" w:afterAutospacing="0" w:line="360" w:lineRule="auto"/>
        <w:jc w:val="both"/>
        <w:rPr>
          <w:rFonts w:cs="宋体"/>
          <w:color w:val="auto"/>
          <w:spacing w:val="8"/>
          <w:sz w:val="21"/>
          <w:szCs w:val="21"/>
        </w:rPr>
      </w:pPr>
    </w:p>
    <w:p w14:paraId="26E6A272">
      <w:pPr>
        <w:pStyle w:val="41"/>
        <w:spacing w:before="0" w:beforeAutospacing="0" w:after="0" w:afterAutospacing="0" w:line="360" w:lineRule="auto"/>
        <w:jc w:val="both"/>
        <w:rPr>
          <w:rFonts w:cs="宋体"/>
          <w:color w:val="auto"/>
          <w:spacing w:val="8"/>
          <w:sz w:val="21"/>
          <w:szCs w:val="21"/>
        </w:rPr>
      </w:pPr>
    </w:p>
    <w:p w14:paraId="7AD24D46">
      <w:pPr>
        <w:pStyle w:val="41"/>
        <w:spacing w:before="0" w:beforeAutospacing="0" w:after="0" w:afterAutospacing="0" w:line="360" w:lineRule="auto"/>
        <w:jc w:val="both"/>
        <w:rPr>
          <w:rFonts w:cs="宋体"/>
          <w:color w:val="auto"/>
          <w:spacing w:val="8"/>
          <w:sz w:val="21"/>
          <w:szCs w:val="21"/>
        </w:rPr>
      </w:pPr>
    </w:p>
    <w:p w14:paraId="3BAA5DFD">
      <w:pPr>
        <w:pStyle w:val="41"/>
        <w:spacing w:before="0" w:beforeAutospacing="0" w:after="0" w:afterAutospacing="0" w:line="360" w:lineRule="auto"/>
        <w:jc w:val="both"/>
        <w:rPr>
          <w:rFonts w:cs="宋体"/>
          <w:color w:val="auto"/>
          <w:spacing w:val="8"/>
          <w:sz w:val="21"/>
          <w:szCs w:val="21"/>
        </w:rPr>
      </w:pPr>
    </w:p>
    <w:p w14:paraId="569B8364">
      <w:pPr>
        <w:pStyle w:val="41"/>
        <w:spacing w:before="0" w:beforeAutospacing="0" w:after="0" w:afterAutospacing="0" w:line="360" w:lineRule="auto"/>
        <w:jc w:val="both"/>
        <w:rPr>
          <w:rFonts w:cs="宋体"/>
          <w:color w:val="auto"/>
          <w:spacing w:val="8"/>
          <w:sz w:val="21"/>
          <w:szCs w:val="21"/>
        </w:rPr>
      </w:pPr>
    </w:p>
    <w:p w14:paraId="1E1FA6A6">
      <w:pPr>
        <w:pStyle w:val="41"/>
        <w:spacing w:before="0" w:beforeAutospacing="0" w:after="0" w:afterAutospacing="0" w:line="360" w:lineRule="auto"/>
        <w:jc w:val="both"/>
        <w:rPr>
          <w:rFonts w:cs="宋体"/>
          <w:color w:val="auto"/>
          <w:spacing w:val="8"/>
          <w:sz w:val="21"/>
          <w:szCs w:val="21"/>
        </w:rPr>
      </w:pPr>
    </w:p>
    <w:p w14:paraId="366FF7FF">
      <w:pPr>
        <w:pStyle w:val="41"/>
        <w:spacing w:before="0" w:beforeAutospacing="0" w:after="0" w:afterAutospacing="0" w:line="360" w:lineRule="auto"/>
        <w:jc w:val="both"/>
        <w:rPr>
          <w:rFonts w:cs="宋体"/>
          <w:color w:val="auto"/>
          <w:spacing w:val="8"/>
          <w:sz w:val="21"/>
          <w:szCs w:val="21"/>
        </w:rPr>
      </w:pPr>
    </w:p>
    <w:p w14:paraId="306FFFD1">
      <w:pPr>
        <w:pStyle w:val="41"/>
        <w:spacing w:before="0" w:beforeAutospacing="0" w:after="0" w:afterAutospacing="0" w:line="360" w:lineRule="auto"/>
        <w:jc w:val="both"/>
        <w:rPr>
          <w:rFonts w:cs="宋体"/>
          <w:color w:val="auto"/>
          <w:spacing w:val="8"/>
          <w:sz w:val="21"/>
          <w:szCs w:val="21"/>
        </w:rPr>
      </w:pPr>
    </w:p>
    <w:p w14:paraId="4B0BF09D">
      <w:pPr>
        <w:pStyle w:val="41"/>
        <w:spacing w:before="0" w:beforeAutospacing="0" w:after="0" w:afterAutospacing="0" w:line="360" w:lineRule="auto"/>
        <w:jc w:val="both"/>
        <w:rPr>
          <w:rFonts w:cs="宋体"/>
          <w:color w:val="auto"/>
          <w:spacing w:val="8"/>
          <w:sz w:val="21"/>
          <w:szCs w:val="21"/>
        </w:rPr>
      </w:pPr>
    </w:p>
    <w:p w14:paraId="1DDDD1EF">
      <w:pPr>
        <w:pStyle w:val="41"/>
        <w:spacing w:before="0" w:beforeAutospacing="0" w:after="0" w:afterAutospacing="0" w:line="360" w:lineRule="auto"/>
        <w:jc w:val="both"/>
        <w:rPr>
          <w:rFonts w:cs="宋体"/>
          <w:color w:val="auto"/>
          <w:spacing w:val="8"/>
          <w:sz w:val="21"/>
          <w:szCs w:val="21"/>
        </w:rPr>
      </w:pPr>
    </w:p>
    <w:p w14:paraId="1C19D995">
      <w:pPr>
        <w:pStyle w:val="41"/>
        <w:spacing w:before="0" w:beforeAutospacing="0" w:after="0" w:afterAutospacing="0" w:line="360" w:lineRule="auto"/>
        <w:jc w:val="both"/>
        <w:rPr>
          <w:rFonts w:cs="宋体"/>
          <w:color w:val="auto"/>
          <w:spacing w:val="8"/>
          <w:sz w:val="21"/>
          <w:szCs w:val="21"/>
        </w:rPr>
      </w:pPr>
    </w:p>
    <w:p w14:paraId="0C2580E4">
      <w:pPr>
        <w:pStyle w:val="41"/>
        <w:spacing w:before="0" w:beforeAutospacing="0" w:after="0" w:afterAutospacing="0" w:line="360" w:lineRule="auto"/>
        <w:jc w:val="both"/>
        <w:rPr>
          <w:rFonts w:cs="宋体"/>
          <w:color w:val="auto"/>
          <w:spacing w:val="8"/>
          <w:sz w:val="21"/>
          <w:szCs w:val="21"/>
        </w:rPr>
      </w:pPr>
    </w:p>
    <w:p w14:paraId="78694FA1">
      <w:pPr>
        <w:pStyle w:val="4"/>
        <w:numPr>
          <w:ilvl w:val="0"/>
          <w:numId w:val="0"/>
        </w:numPr>
        <w:ind w:left="425"/>
        <w:jc w:val="center"/>
        <w:rPr>
          <w:rFonts w:ascii="宋体" w:hAnsi="宋体" w:eastAsia="宋体" w:cs="宋体"/>
          <w:b/>
          <w:color w:val="auto"/>
          <w:kern w:val="2"/>
          <w:sz w:val="21"/>
          <w:szCs w:val="21"/>
        </w:rPr>
      </w:pPr>
      <w:r>
        <w:rPr>
          <w:rFonts w:hint="eastAsia" w:ascii="宋体" w:hAnsi="宋体" w:eastAsia="宋体" w:cs="宋体"/>
          <w:b/>
          <w:color w:val="auto"/>
          <w:kern w:val="2"/>
          <w:sz w:val="21"/>
          <w:szCs w:val="21"/>
          <w:lang w:val="en-US" w:eastAsia="zh-CN"/>
        </w:rPr>
        <w:t>6</w:t>
      </w:r>
      <w:r>
        <w:rPr>
          <w:rFonts w:hint="eastAsia" w:ascii="宋体" w:hAnsi="宋体" w:eastAsia="宋体" w:cs="宋体"/>
          <w:b/>
          <w:color w:val="auto"/>
          <w:kern w:val="2"/>
          <w:sz w:val="21"/>
          <w:szCs w:val="21"/>
        </w:rPr>
        <w:t>、招标代理服务费承诺函</w:t>
      </w:r>
    </w:p>
    <w:p w14:paraId="38F55C90">
      <w:pPr>
        <w:pStyle w:val="41"/>
        <w:spacing w:before="0" w:beforeAutospacing="0" w:after="0" w:afterAutospacing="0" w:line="360" w:lineRule="auto"/>
        <w:jc w:val="both"/>
        <w:rPr>
          <w:rFonts w:cs="宋体"/>
          <w:color w:val="auto"/>
          <w:spacing w:val="8"/>
          <w:sz w:val="25"/>
          <w:szCs w:val="25"/>
        </w:rPr>
      </w:pPr>
      <w:r>
        <w:rPr>
          <w:rFonts w:hint="eastAsia" w:cs="宋体"/>
          <w:color w:val="auto"/>
          <w:spacing w:val="8"/>
        </w:rPr>
        <w:t> </w:t>
      </w:r>
    </w:p>
    <w:p w14:paraId="6162B689">
      <w:pPr>
        <w:pStyle w:val="41"/>
        <w:spacing w:before="0" w:beforeAutospacing="0" w:after="0" w:afterAutospacing="0" w:line="360" w:lineRule="auto"/>
        <w:jc w:val="both"/>
        <w:rPr>
          <w:rFonts w:cs="宋体"/>
          <w:color w:val="auto"/>
          <w:spacing w:val="8"/>
          <w:sz w:val="21"/>
          <w:szCs w:val="21"/>
        </w:rPr>
      </w:pPr>
      <w:r>
        <w:rPr>
          <w:rFonts w:hint="eastAsia" w:cs="宋体"/>
          <w:color w:val="auto"/>
          <w:spacing w:val="8"/>
          <w:sz w:val="21"/>
          <w:szCs w:val="21"/>
        </w:rPr>
        <w:t>致</w:t>
      </w:r>
      <w:r>
        <w:rPr>
          <w:rFonts w:hint="eastAsia" w:cs="宋体"/>
          <w:color w:val="auto"/>
          <w:spacing w:val="8"/>
          <w:sz w:val="21"/>
          <w:szCs w:val="21"/>
          <w:u w:val="single"/>
        </w:rPr>
        <w:t>（招标人及招标代理机构）</w:t>
      </w:r>
      <w:r>
        <w:rPr>
          <w:rFonts w:hint="eastAsia" w:cs="宋体"/>
          <w:color w:val="auto"/>
          <w:spacing w:val="8"/>
          <w:sz w:val="21"/>
          <w:szCs w:val="21"/>
        </w:rPr>
        <w:t> ：</w:t>
      </w:r>
    </w:p>
    <w:p w14:paraId="7A5BEAC8">
      <w:pPr>
        <w:pStyle w:val="41"/>
        <w:spacing w:before="0" w:beforeAutospacing="0" w:after="0" w:afterAutospacing="0" w:line="360" w:lineRule="auto"/>
        <w:ind w:firstLine="480"/>
        <w:jc w:val="both"/>
        <w:rPr>
          <w:rFonts w:cs="宋体"/>
          <w:color w:val="auto"/>
          <w:spacing w:val="8"/>
          <w:sz w:val="21"/>
          <w:szCs w:val="21"/>
        </w:rPr>
      </w:pPr>
      <w:r>
        <w:rPr>
          <w:rFonts w:hint="eastAsia" w:cs="宋体"/>
          <w:color w:val="auto"/>
          <w:spacing w:val="8"/>
          <w:sz w:val="21"/>
          <w:szCs w:val="21"/>
        </w:rPr>
        <w:t>我们在贵公司组织的（项目名称：</w:t>
      </w:r>
      <w:r>
        <w:rPr>
          <w:rFonts w:hint="eastAsia" w:cs="宋体"/>
          <w:color w:val="auto"/>
          <w:spacing w:val="8"/>
          <w:sz w:val="21"/>
          <w:szCs w:val="21"/>
          <w:u w:val="single"/>
        </w:rPr>
        <w:t xml:space="preserve">         </w:t>
      </w:r>
      <w:r>
        <w:rPr>
          <w:rFonts w:hint="eastAsia" w:cs="宋体"/>
          <w:color w:val="auto"/>
          <w:spacing w:val="8"/>
          <w:sz w:val="21"/>
          <w:szCs w:val="21"/>
        </w:rPr>
        <w:t>）招标中若获中标，我们保证在中标公告发布后2个工作日内，按招标文件的规定，以支票、银行转账、汇票或现金，向贵公司一次性支付招标代理服务费用。否则，由此产生的一切法律后果和责任由我公司承担。我公司声明放弃对此提出任何异议和追索的权利。</w:t>
      </w:r>
    </w:p>
    <w:p w14:paraId="56D41345">
      <w:pPr>
        <w:pStyle w:val="41"/>
        <w:spacing w:before="0" w:beforeAutospacing="0" w:after="0" w:afterAutospacing="0" w:line="360" w:lineRule="auto"/>
        <w:jc w:val="both"/>
        <w:rPr>
          <w:rFonts w:cs="宋体"/>
          <w:color w:val="auto"/>
          <w:spacing w:val="8"/>
          <w:sz w:val="21"/>
          <w:szCs w:val="21"/>
        </w:rPr>
      </w:pPr>
      <w:r>
        <w:rPr>
          <w:rFonts w:hint="eastAsia" w:cs="宋体"/>
          <w:color w:val="auto"/>
          <w:spacing w:val="8"/>
          <w:sz w:val="21"/>
          <w:szCs w:val="21"/>
        </w:rPr>
        <w:t>特此承诺。</w:t>
      </w:r>
    </w:p>
    <w:p w14:paraId="500F9BE1">
      <w:pPr>
        <w:pStyle w:val="41"/>
        <w:spacing w:before="0" w:beforeAutospacing="0" w:after="0" w:afterAutospacing="0" w:line="360" w:lineRule="auto"/>
        <w:jc w:val="both"/>
        <w:rPr>
          <w:rFonts w:cs="宋体"/>
          <w:color w:val="auto"/>
          <w:spacing w:val="8"/>
          <w:sz w:val="21"/>
          <w:szCs w:val="21"/>
        </w:rPr>
      </w:pPr>
      <w:r>
        <w:rPr>
          <w:rFonts w:hint="eastAsia" w:cs="宋体"/>
          <w:color w:val="auto"/>
          <w:spacing w:val="8"/>
          <w:sz w:val="21"/>
          <w:szCs w:val="21"/>
        </w:rPr>
        <w:t> </w:t>
      </w:r>
    </w:p>
    <w:p w14:paraId="280586EC">
      <w:pPr>
        <w:pStyle w:val="41"/>
        <w:spacing w:before="0" w:beforeAutospacing="0" w:after="0" w:afterAutospacing="0" w:line="360" w:lineRule="auto"/>
        <w:jc w:val="both"/>
        <w:rPr>
          <w:rFonts w:cs="宋体"/>
          <w:color w:val="auto"/>
          <w:spacing w:val="8"/>
          <w:sz w:val="21"/>
          <w:szCs w:val="21"/>
        </w:rPr>
      </w:pPr>
      <w:r>
        <w:rPr>
          <w:rFonts w:hint="eastAsia" w:cs="宋体"/>
          <w:color w:val="auto"/>
          <w:spacing w:val="8"/>
          <w:sz w:val="21"/>
          <w:szCs w:val="21"/>
        </w:rPr>
        <w:t> </w:t>
      </w:r>
    </w:p>
    <w:p w14:paraId="119105F5">
      <w:pPr>
        <w:pStyle w:val="41"/>
        <w:spacing w:before="0" w:beforeAutospacing="0" w:after="0" w:afterAutospacing="0" w:line="360" w:lineRule="auto"/>
        <w:ind w:firstLine="465"/>
        <w:rPr>
          <w:rFonts w:cs="宋体"/>
          <w:color w:val="auto"/>
          <w:spacing w:val="8"/>
          <w:sz w:val="21"/>
          <w:szCs w:val="21"/>
        </w:rPr>
      </w:pPr>
      <w:r>
        <w:rPr>
          <w:rFonts w:hint="eastAsia" w:cs="宋体"/>
          <w:color w:val="auto"/>
          <w:spacing w:val="8"/>
          <w:sz w:val="21"/>
          <w:szCs w:val="21"/>
        </w:rPr>
        <w:t>投标人名称：</w:t>
      </w:r>
      <w:r>
        <w:rPr>
          <w:rFonts w:hint="eastAsia" w:cs="宋体"/>
          <w:color w:val="auto"/>
          <w:spacing w:val="8"/>
          <w:sz w:val="21"/>
          <w:szCs w:val="21"/>
          <w:u w:val="single"/>
        </w:rPr>
        <w:t>                  </w:t>
      </w:r>
      <w:r>
        <w:rPr>
          <w:rFonts w:hint="eastAsia" w:cs="宋体"/>
          <w:color w:val="auto"/>
          <w:spacing w:val="8"/>
          <w:sz w:val="21"/>
          <w:szCs w:val="21"/>
        </w:rPr>
        <w:t>（单位电子签章）</w:t>
      </w:r>
    </w:p>
    <w:p w14:paraId="4DA39C8B">
      <w:pPr>
        <w:pStyle w:val="41"/>
        <w:spacing w:before="0" w:beforeAutospacing="0" w:after="0" w:afterAutospacing="0" w:line="360" w:lineRule="auto"/>
        <w:ind w:firstLine="465"/>
        <w:rPr>
          <w:rFonts w:cs="宋体"/>
          <w:color w:val="auto"/>
          <w:spacing w:val="8"/>
          <w:sz w:val="21"/>
          <w:szCs w:val="21"/>
        </w:rPr>
      </w:pPr>
      <w:r>
        <w:rPr>
          <w:rFonts w:hint="eastAsia" w:cs="宋体"/>
          <w:color w:val="auto"/>
          <w:spacing w:val="8"/>
          <w:sz w:val="21"/>
          <w:szCs w:val="21"/>
        </w:rPr>
        <w:t>法定代表人或授权代表：</w:t>
      </w:r>
      <w:r>
        <w:rPr>
          <w:rFonts w:hint="eastAsia" w:cs="宋体"/>
          <w:color w:val="auto"/>
          <w:spacing w:val="8"/>
          <w:sz w:val="21"/>
          <w:szCs w:val="21"/>
          <w:u w:val="single"/>
        </w:rPr>
        <w:t>             </w:t>
      </w:r>
      <w:r>
        <w:rPr>
          <w:rFonts w:hint="eastAsia" w:cs="宋体"/>
          <w:color w:val="auto"/>
          <w:spacing w:val="8"/>
          <w:sz w:val="21"/>
          <w:szCs w:val="21"/>
        </w:rPr>
        <w:t>（电子签名或盖章）</w:t>
      </w:r>
    </w:p>
    <w:p w14:paraId="0E4DDAF4">
      <w:pPr>
        <w:pStyle w:val="41"/>
        <w:spacing w:before="0" w:beforeAutospacing="0" w:after="0" w:afterAutospacing="0" w:line="360" w:lineRule="auto"/>
        <w:ind w:firstLine="480"/>
        <w:jc w:val="both"/>
        <w:rPr>
          <w:rFonts w:cs="宋体"/>
          <w:color w:val="auto"/>
          <w:spacing w:val="8"/>
          <w:sz w:val="21"/>
          <w:szCs w:val="21"/>
        </w:rPr>
      </w:pPr>
      <w:r>
        <w:rPr>
          <w:rFonts w:hint="eastAsia" w:cs="宋体"/>
          <w:color w:val="auto"/>
          <w:spacing w:val="8"/>
          <w:sz w:val="21"/>
          <w:szCs w:val="21"/>
        </w:rPr>
        <w:t>日期：</w:t>
      </w:r>
      <w:r>
        <w:rPr>
          <w:rFonts w:hint="eastAsia" w:cs="宋体"/>
          <w:color w:val="auto"/>
          <w:spacing w:val="8"/>
          <w:sz w:val="21"/>
          <w:szCs w:val="21"/>
          <w:u w:val="single"/>
        </w:rPr>
        <w:t>              </w:t>
      </w:r>
    </w:p>
    <w:p w14:paraId="761D538A">
      <w:pPr>
        <w:numPr>
          <w:ilvl w:val="1"/>
          <w:numId w:val="0"/>
        </w:numPr>
        <w:tabs>
          <w:tab w:val="left" w:pos="840"/>
        </w:tabs>
        <w:rPr>
          <w:rFonts w:ascii="宋体" w:hAnsi="宋体" w:cs="宋体"/>
          <w:color w:val="auto"/>
        </w:rPr>
      </w:pPr>
    </w:p>
    <w:p w14:paraId="2C9776B2">
      <w:pPr>
        <w:rPr>
          <w:rFonts w:ascii="宋体" w:hAnsi="宋体" w:cs="宋体"/>
          <w:color w:val="auto"/>
          <w:sz w:val="28"/>
        </w:rPr>
      </w:pPr>
    </w:p>
    <w:p w14:paraId="02651D64">
      <w:pPr>
        <w:rPr>
          <w:rFonts w:ascii="宋体" w:hAnsi="宋体" w:cs="宋体"/>
          <w:color w:val="auto"/>
          <w:sz w:val="28"/>
        </w:rPr>
      </w:pPr>
    </w:p>
    <w:p w14:paraId="162BB5E2">
      <w:pPr>
        <w:rPr>
          <w:rFonts w:ascii="宋体" w:hAnsi="宋体" w:cs="宋体"/>
          <w:color w:val="auto"/>
          <w:sz w:val="28"/>
        </w:rPr>
      </w:pPr>
    </w:p>
    <w:p w14:paraId="164B168D">
      <w:pPr>
        <w:rPr>
          <w:rFonts w:ascii="宋体" w:hAnsi="宋体" w:cs="宋体"/>
          <w:color w:val="auto"/>
          <w:sz w:val="28"/>
        </w:rPr>
      </w:pPr>
    </w:p>
    <w:p w14:paraId="3F580F29">
      <w:pPr>
        <w:rPr>
          <w:rFonts w:ascii="宋体" w:hAnsi="宋体" w:cs="宋体"/>
          <w:color w:val="auto"/>
          <w:sz w:val="28"/>
        </w:rPr>
      </w:pPr>
    </w:p>
    <w:p w14:paraId="0C933FBD">
      <w:pPr>
        <w:pStyle w:val="45"/>
        <w:ind w:firstLine="280"/>
        <w:rPr>
          <w:rFonts w:ascii="宋体" w:hAnsi="宋体" w:cs="宋体"/>
          <w:color w:val="auto"/>
          <w:sz w:val="28"/>
        </w:rPr>
      </w:pPr>
    </w:p>
    <w:p w14:paraId="67EEB21C">
      <w:pPr>
        <w:pStyle w:val="45"/>
        <w:ind w:firstLine="280"/>
        <w:rPr>
          <w:rFonts w:ascii="宋体" w:hAnsi="宋体" w:cs="宋体"/>
          <w:color w:val="auto"/>
          <w:sz w:val="28"/>
        </w:rPr>
      </w:pPr>
    </w:p>
    <w:p w14:paraId="518EA77F">
      <w:pPr>
        <w:pStyle w:val="45"/>
        <w:ind w:firstLine="280"/>
        <w:rPr>
          <w:rFonts w:ascii="宋体" w:hAnsi="宋体" w:cs="宋体"/>
          <w:color w:val="auto"/>
          <w:sz w:val="28"/>
        </w:rPr>
      </w:pPr>
    </w:p>
    <w:p w14:paraId="683943CB">
      <w:pPr>
        <w:pStyle w:val="45"/>
        <w:ind w:firstLine="280"/>
        <w:rPr>
          <w:rFonts w:ascii="宋体" w:hAnsi="宋体" w:cs="宋体"/>
          <w:color w:val="auto"/>
          <w:sz w:val="28"/>
        </w:rPr>
      </w:pPr>
    </w:p>
    <w:p w14:paraId="6ABA0E94">
      <w:pPr>
        <w:jc w:val="center"/>
        <w:rPr>
          <w:rFonts w:hint="eastAsia" w:ascii="宋体" w:hAnsi="宋体" w:cs="宋体"/>
          <w:b/>
          <w:color w:val="auto"/>
          <w:szCs w:val="21"/>
        </w:rPr>
      </w:pPr>
      <w:r>
        <w:rPr>
          <w:rFonts w:hint="eastAsia" w:ascii="宋体" w:hAnsi="宋体" w:cs="宋体"/>
          <w:b/>
          <w:color w:val="auto"/>
          <w:szCs w:val="21"/>
        </w:rPr>
        <w:br w:type="page"/>
      </w:r>
      <w:r>
        <w:rPr>
          <w:rFonts w:hint="eastAsia" w:ascii="宋体" w:hAnsi="宋体" w:cs="宋体"/>
          <w:b/>
          <w:color w:val="auto"/>
          <w:szCs w:val="21"/>
          <w:lang w:val="en-US" w:eastAsia="zh-CN"/>
        </w:rPr>
        <w:t>7</w:t>
      </w:r>
      <w:r>
        <w:rPr>
          <w:rFonts w:hint="eastAsia" w:ascii="宋体" w:hAnsi="宋体" w:cs="宋体"/>
          <w:b/>
          <w:color w:val="auto"/>
          <w:szCs w:val="21"/>
        </w:rPr>
        <w:t>、其他资料</w:t>
      </w:r>
    </w:p>
    <w:p w14:paraId="69EE1F79">
      <w:pPr>
        <w:pStyle w:val="41"/>
        <w:spacing w:before="0" w:beforeAutospacing="0" w:after="0" w:afterAutospacing="0" w:line="360" w:lineRule="auto"/>
        <w:ind w:firstLine="480"/>
        <w:jc w:val="center"/>
        <w:rPr>
          <w:rFonts w:cs="宋体"/>
          <w:color w:val="auto"/>
          <w:spacing w:val="8"/>
          <w:sz w:val="21"/>
          <w:szCs w:val="21"/>
        </w:rPr>
      </w:pPr>
      <w:r>
        <w:rPr>
          <w:rFonts w:hint="eastAsia" w:cs="宋体"/>
          <w:color w:val="auto"/>
          <w:spacing w:val="8"/>
          <w:sz w:val="21"/>
          <w:szCs w:val="21"/>
        </w:rPr>
        <w:t>（投标人认为有必要附入的其他资料）</w:t>
      </w:r>
    </w:p>
    <w:p w14:paraId="538CEA0A">
      <w:pPr>
        <w:pStyle w:val="45"/>
        <w:ind w:firstLine="280"/>
        <w:rPr>
          <w:rFonts w:ascii="宋体" w:hAnsi="宋体" w:cs="宋体"/>
          <w:color w:val="auto"/>
          <w:sz w:val="28"/>
        </w:rPr>
      </w:pPr>
    </w:p>
    <w:p w14:paraId="43A6CC93">
      <w:pPr>
        <w:pStyle w:val="45"/>
        <w:ind w:firstLine="280"/>
        <w:rPr>
          <w:rFonts w:ascii="宋体" w:hAnsi="宋体" w:cs="宋体"/>
          <w:color w:val="auto"/>
          <w:sz w:val="28"/>
        </w:rPr>
      </w:pPr>
    </w:p>
    <w:p w14:paraId="6BA8EEA5">
      <w:pPr>
        <w:spacing w:line="400" w:lineRule="exact"/>
        <w:rPr>
          <w:rFonts w:ascii="宋体" w:hAnsi="宋体" w:cs="宋体"/>
          <w:b/>
          <w:color w:val="auto"/>
          <w:sz w:val="28"/>
          <w:szCs w:val="28"/>
        </w:rPr>
      </w:pPr>
    </w:p>
    <w:p w14:paraId="2CE2F76D">
      <w:pPr>
        <w:pStyle w:val="3"/>
        <w:widowControl/>
        <w:jc w:val="center"/>
        <w:rPr>
          <w:rFonts w:hint="eastAsia" w:asciiTheme="minorEastAsia" w:hAnsiTheme="minorEastAsia" w:eastAsiaTheme="minorEastAsia" w:cstheme="minorEastAsia"/>
          <w:b/>
          <w:bCs/>
          <w:color w:val="auto"/>
          <w:kern w:val="0"/>
          <w:sz w:val="28"/>
          <w:szCs w:val="28"/>
          <w:highlight w:val="none"/>
          <w:lang w:val="en-US" w:eastAsia="zh-CN"/>
        </w:rPr>
      </w:pPr>
    </w:p>
    <w:p w14:paraId="549CE7BF">
      <w:pPr>
        <w:pStyle w:val="3"/>
        <w:widowControl/>
        <w:jc w:val="center"/>
        <w:rPr>
          <w:rFonts w:hint="eastAsia" w:asciiTheme="minorEastAsia" w:hAnsiTheme="minorEastAsia" w:eastAsiaTheme="minorEastAsia" w:cstheme="minorEastAsia"/>
          <w:b/>
          <w:bCs/>
          <w:color w:val="auto"/>
          <w:kern w:val="0"/>
          <w:sz w:val="28"/>
          <w:szCs w:val="28"/>
          <w:highlight w:val="none"/>
          <w:lang w:val="en-US" w:eastAsia="zh-CN"/>
        </w:rPr>
      </w:pPr>
    </w:p>
    <w:p w14:paraId="53A534E9">
      <w:pPr>
        <w:pStyle w:val="3"/>
        <w:widowControl/>
        <w:jc w:val="center"/>
        <w:rPr>
          <w:rFonts w:hint="eastAsia" w:asciiTheme="minorEastAsia" w:hAnsiTheme="minorEastAsia" w:eastAsiaTheme="minorEastAsia" w:cstheme="minorEastAsia"/>
          <w:b/>
          <w:bCs/>
          <w:color w:val="auto"/>
          <w:kern w:val="0"/>
          <w:sz w:val="28"/>
          <w:szCs w:val="28"/>
          <w:highlight w:val="none"/>
          <w:lang w:val="en-US" w:eastAsia="zh-CN"/>
        </w:rPr>
      </w:pPr>
    </w:p>
    <w:p w14:paraId="4F347F9D">
      <w:pPr>
        <w:pStyle w:val="3"/>
        <w:widowControl/>
        <w:jc w:val="center"/>
        <w:rPr>
          <w:rFonts w:hint="eastAsia" w:asciiTheme="minorEastAsia" w:hAnsiTheme="minorEastAsia" w:eastAsiaTheme="minorEastAsia" w:cstheme="minorEastAsia"/>
          <w:b/>
          <w:bCs/>
          <w:color w:val="auto"/>
          <w:kern w:val="0"/>
          <w:sz w:val="28"/>
          <w:szCs w:val="28"/>
          <w:highlight w:val="none"/>
          <w:lang w:val="en-US" w:eastAsia="zh-CN"/>
        </w:rPr>
      </w:pPr>
    </w:p>
    <w:p w14:paraId="0F9C00B4">
      <w:pPr>
        <w:pStyle w:val="3"/>
        <w:widowControl/>
        <w:jc w:val="center"/>
        <w:rPr>
          <w:rFonts w:hint="eastAsia" w:asciiTheme="minorEastAsia" w:hAnsiTheme="minorEastAsia" w:eastAsiaTheme="minorEastAsia" w:cstheme="minorEastAsia"/>
          <w:b/>
          <w:bCs/>
          <w:color w:val="auto"/>
          <w:kern w:val="0"/>
          <w:sz w:val="28"/>
          <w:szCs w:val="28"/>
          <w:highlight w:val="none"/>
          <w:lang w:val="en-US" w:eastAsia="zh-CN"/>
        </w:rPr>
      </w:pPr>
    </w:p>
    <w:p w14:paraId="14AC4022">
      <w:pPr>
        <w:pStyle w:val="3"/>
        <w:widowControl/>
        <w:jc w:val="center"/>
        <w:rPr>
          <w:rFonts w:hint="eastAsia" w:asciiTheme="minorEastAsia" w:hAnsiTheme="minorEastAsia" w:eastAsiaTheme="minorEastAsia" w:cstheme="minorEastAsia"/>
          <w:b/>
          <w:bCs/>
          <w:color w:val="auto"/>
          <w:kern w:val="0"/>
          <w:sz w:val="28"/>
          <w:szCs w:val="28"/>
          <w:highlight w:val="none"/>
          <w:lang w:val="en-US" w:eastAsia="zh-CN"/>
        </w:rPr>
      </w:pPr>
    </w:p>
    <w:p w14:paraId="32BFD778">
      <w:pPr>
        <w:pStyle w:val="3"/>
        <w:widowControl/>
        <w:jc w:val="center"/>
        <w:rPr>
          <w:rFonts w:hint="eastAsia" w:asciiTheme="minorEastAsia" w:hAnsiTheme="minorEastAsia" w:eastAsiaTheme="minorEastAsia" w:cstheme="minorEastAsia"/>
          <w:b/>
          <w:bCs/>
          <w:color w:val="auto"/>
          <w:kern w:val="0"/>
          <w:sz w:val="28"/>
          <w:szCs w:val="28"/>
          <w:highlight w:val="none"/>
          <w:lang w:val="en-US" w:eastAsia="zh-CN"/>
        </w:rPr>
      </w:pPr>
    </w:p>
    <w:p w14:paraId="20D00111">
      <w:pPr>
        <w:pStyle w:val="3"/>
        <w:widowControl/>
        <w:jc w:val="center"/>
        <w:rPr>
          <w:rFonts w:hint="eastAsia" w:asciiTheme="minorEastAsia" w:hAnsiTheme="minorEastAsia" w:eastAsiaTheme="minorEastAsia" w:cstheme="minorEastAsia"/>
          <w:b/>
          <w:bCs/>
          <w:color w:val="auto"/>
          <w:kern w:val="0"/>
          <w:sz w:val="28"/>
          <w:szCs w:val="28"/>
          <w:highlight w:val="none"/>
          <w:lang w:val="en-US" w:eastAsia="zh-CN"/>
        </w:rPr>
      </w:pPr>
    </w:p>
    <w:p w14:paraId="7AE7A5FE">
      <w:pPr>
        <w:pStyle w:val="3"/>
        <w:widowControl/>
        <w:jc w:val="center"/>
        <w:rPr>
          <w:rFonts w:hint="eastAsia" w:asciiTheme="minorEastAsia" w:hAnsiTheme="minorEastAsia" w:eastAsiaTheme="minorEastAsia" w:cstheme="minorEastAsia"/>
          <w:b/>
          <w:bCs/>
          <w:color w:val="auto"/>
          <w:kern w:val="0"/>
          <w:sz w:val="28"/>
          <w:szCs w:val="28"/>
          <w:highlight w:val="none"/>
          <w:lang w:val="en-US" w:eastAsia="zh-CN"/>
        </w:rPr>
      </w:pPr>
    </w:p>
    <w:p w14:paraId="75281EA7">
      <w:pPr>
        <w:pStyle w:val="3"/>
        <w:widowControl/>
        <w:jc w:val="center"/>
        <w:rPr>
          <w:rFonts w:hint="eastAsia" w:asciiTheme="minorEastAsia" w:hAnsiTheme="minorEastAsia" w:eastAsiaTheme="minorEastAsia" w:cstheme="minorEastAsia"/>
          <w:b/>
          <w:bCs/>
          <w:color w:val="auto"/>
          <w:kern w:val="0"/>
          <w:sz w:val="28"/>
          <w:szCs w:val="28"/>
          <w:highlight w:val="none"/>
          <w:lang w:val="en-US" w:eastAsia="zh-CN"/>
        </w:rPr>
      </w:pPr>
    </w:p>
    <w:p w14:paraId="5EE69A47">
      <w:pPr>
        <w:pStyle w:val="3"/>
        <w:widowControl/>
        <w:jc w:val="center"/>
        <w:rPr>
          <w:rFonts w:hint="eastAsia" w:asciiTheme="minorEastAsia" w:hAnsiTheme="minorEastAsia" w:eastAsiaTheme="minorEastAsia" w:cstheme="minorEastAsia"/>
          <w:b/>
          <w:bCs/>
          <w:color w:val="auto"/>
          <w:kern w:val="0"/>
          <w:sz w:val="28"/>
          <w:szCs w:val="28"/>
          <w:highlight w:val="none"/>
          <w:lang w:val="en-US" w:eastAsia="zh-CN"/>
        </w:rPr>
      </w:pPr>
    </w:p>
    <w:p w14:paraId="166EA43A">
      <w:pPr>
        <w:pStyle w:val="3"/>
        <w:widowControl/>
        <w:jc w:val="center"/>
        <w:rPr>
          <w:rFonts w:hint="eastAsia" w:asciiTheme="minorEastAsia" w:hAnsiTheme="minorEastAsia" w:eastAsiaTheme="minorEastAsia" w:cstheme="minorEastAsia"/>
          <w:b/>
          <w:bCs/>
          <w:color w:val="auto"/>
          <w:kern w:val="0"/>
          <w:sz w:val="28"/>
          <w:szCs w:val="28"/>
          <w:highlight w:val="none"/>
          <w:lang w:val="en-US" w:eastAsia="zh-CN"/>
        </w:rPr>
      </w:pPr>
    </w:p>
    <w:bookmarkEnd w:id="324"/>
    <w:bookmarkEnd w:id="325"/>
    <w:bookmarkEnd w:id="326"/>
    <w:bookmarkEnd w:id="327"/>
    <w:bookmarkEnd w:id="328"/>
    <w:bookmarkEnd w:id="329"/>
    <w:bookmarkEnd w:id="330"/>
    <w:p w14:paraId="6AF29F15">
      <w:pPr>
        <w:rPr>
          <w:rFonts w:hint="eastAsia" w:ascii="宋体" w:hAnsi="宋体"/>
          <w:sz w:val="24"/>
        </w:rPr>
      </w:pPr>
    </w:p>
    <w:p w14:paraId="7BCF38C3">
      <w:pPr>
        <w:rPr>
          <w:rFonts w:hint="eastAsia" w:ascii="宋体" w:hAnsi="宋体"/>
        </w:rPr>
      </w:pPr>
    </w:p>
    <w:p w14:paraId="4577953C">
      <w:pPr>
        <w:rPr>
          <w:rFonts w:hint="eastAsia" w:ascii="宋体" w:hAnsi="宋体"/>
          <w:lang w:eastAsia="zh-CN"/>
        </w:rPr>
      </w:pPr>
    </w:p>
    <w:sectPr>
      <w:footerReference r:id="rId5" w:type="even"/>
      <w:pgSz w:w="11907" w:h="16840"/>
      <w:pgMar w:top="1418" w:right="1418" w:bottom="1304" w:left="1531" w:header="1077" w:footer="964" w:gutter="0"/>
      <w:pgNumType w:start="0"/>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monospace">
    <w:altName w:val="Segoe Print"/>
    <w:panose1 w:val="00000000000000000000"/>
    <w:charset w:val="00"/>
    <w:family w:val="auto"/>
    <w:pitch w:val="default"/>
    <w:sig w:usb0="00000000" w:usb1="00000000" w:usb2="00000000" w:usb3="00000000" w:csb0="00000000" w:csb1="00000000"/>
  </w:font>
  <w:font w:name="FFont-Family">
    <w:altName w:val="MV Boli"/>
    <w:panose1 w:val="02000509000000000000"/>
    <w:charset w:val="00"/>
    <w:family w:val="auto"/>
    <w:pitch w:val="default"/>
    <w:sig w:usb0="00000000" w:usb1="00000000" w:usb2="00000000" w:usb3="00000000" w:csb0="00000001" w:csb1="00000000"/>
  </w:font>
  <w:font w:name="幼圆">
    <w:altName w:val="宋体"/>
    <w:panose1 w:val="02010509060101010101"/>
    <w:charset w:val="86"/>
    <w:family w:val="modern"/>
    <w:pitch w:val="default"/>
    <w:sig w:usb0="00000000" w:usb1="00000000" w:usb2="00000000" w:usb3="00000000" w:csb0="00040000"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ˎ̥">
    <w:altName w:val="yyb"/>
    <w:panose1 w:val="00000000000000000000"/>
    <w:charset w:val="00"/>
    <w:family w:val="roman"/>
    <w:pitch w:val="default"/>
    <w:sig w:usb0="00000000" w:usb1="00000000" w:usb2="00000000" w:usb3="00000000" w:csb0="00040001" w:csb1="00000000"/>
  </w:font>
  <w:font w:name="yyb">
    <w:panose1 w:val="020B0200000000000000"/>
    <w:charset w:val="86"/>
    <w:family w:val="auto"/>
    <w:pitch w:val="default"/>
    <w:sig w:usb0="20000083" w:usb1="10000000" w:usb2="00000016" w:usb3="00000000" w:csb0="60060107" w:csb1="00000000"/>
  </w:font>
  <w:font w:name="Verdana">
    <w:panose1 w:val="020B0604030504040204"/>
    <w:charset w:val="00"/>
    <w:family w:val="swiss"/>
    <w:pitch w:val="default"/>
    <w:sig w:usb0="A00006FF" w:usb1="4000205B" w:usb2="00000010" w:usb3="00000000" w:csb0="2000019F" w:csb1="00000000"/>
  </w:font>
  <w:font w:name="华文细黑">
    <w:altName w:val="微软雅黑"/>
    <w:panose1 w:val="02010600040101010101"/>
    <w:charset w:val="86"/>
    <w:family w:val="auto"/>
    <w:pitch w:val="default"/>
    <w:sig w:usb0="00000000" w:usb1="0000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华文楷体">
    <w:altName w:val="宋体"/>
    <w:panose1 w:val="02010600040101010101"/>
    <w:charset w:val="86"/>
    <w:family w:val="auto"/>
    <w:pitch w:val="default"/>
    <w:sig w:usb0="00000000" w:usb1="00000000" w:usb2="00000000" w:usb3="00000000" w:csb0="0004009F" w:csb1="DFD70000"/>
  </w:font>
  <w:font w:name="SourceHanSansCN-Regular">
    <w:altName w:val="Segoe Print"/>
    <w:panose1 w:val="00000000000000000000"/>
    <w:charset w:val="00"/>
    <w:family w:val="auto"/>
    <w:pitch w:val="default"/>
    <w:sig w:usb0="00000000" w:usb1="00000000" w:usb2="00000000" w:usb3="00000000" w:csb0="00000000" w:csb1="00000000"/>
  </w:font>
  <w:font w:name="Wingdings 2">
    <w:altName w:val="Wingdings"/>
    <w:panose1 w:val="05020102010507070707"/>
    <w:charset w:val="02"/>
    <w:family w:val="roman"/>
    <w:pitch w:val="default"/>
    <w:sig w:usb0="00000000" w:usb1="00000000" w:usb2="00000000" w:usb3="00000000" w:csb0="80000000" w:csb1="00000000"/>
  </w:font>
  <w:font w:name="方正小标宋_GBK">
    <w:altName w:val="微软雅黑"/>
    <w:panose1 w:val="02000000000000000000"/>
    <w:charset w:val="7A"/>
    <w:family w:val="script"/>
    <w:pitch w:val="default"/>
    <w:sig w:usb0="00000000" w:usb1="00000000" w:usb2="00082016" w:usb3="00000000" w:csb0="00040001" w:csb1="00000000"/>
  </w:font>
  <w:font w:name="Segoe Print">
    <w:panose1 w:val="02000600000000000000"/>
    <w:charset w:val="00"/>
    <w:family w:val="auto"/>
    <w:pitch w:val="default"/>
    <w:sig w:usb0="0000028F" w:usb1="00000000" w:usb2="00000000" w:usb3="00000000" w:csb0="2000009F" w:csb1="47010000"/>
  </w:font>
  <w:font w:name="Kingsoft UE">
    <w:panose1 w:val="02000100010000000000"/>
    <w:charset w:val="00"/>
    <w:family w:val="auto"/>
    <w:pitch w:val="default"/>
    <w:sig w:usb0="00000001" w:usb1="00004000" w:usb2="00000000" w:usb3="00000000" w:csb0="0000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C3C03C">
    <w:pPr>
      <w:pStyle w:val="3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FD90EF">
    <w:pPr>
      <w:pStyle w:val="30"/>
      <w:framePr w:wrap="around" w:vAnchor="text" w:hAnchor="margin" w:xAlign="center" w:y="1"/>
      <w:rPr>
        <w:rStyle w:val="52"/>
      </w:rPr>
    </w:pPr>
    <w:r>
      <w:rPr>
        <w:rStyle w:val="52"/>
      </w:rPr>
      <w:fldChar w:fldCharType="begin"/>
    </w:r>
    <w:r>
      <w:rPr>
        <w:rStyle w:val="52"/>
      </w:rPr>
      <w:instrText xml:space="preserve">PAGE  </w:instrText>
    </w:r>
    <w:r>
      <w:rPr>
        <w:rStyle w:val="52"/>
      </w:rPr>
      <w:fldChar w:fldCharType="separate"/>
    </w:r>
    <w:r>
      <w:rPr>
        <w:rStyle w:val="52"/>
      </w:rPr>
      <w:t>122</w:t>
    </w:r>
    <w:r>
      <w:rPr>
        <w:rStyle w:val="52"/>
      </w:rPr>
      <w:fldChar w:fldCharType="end"/>
    </w:r>
  </w:p>
  <w:p w14:paraId="3D8F0F8B">
    <w:pPr>
      <w:pStyle w:val="3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1EFBED">
    <w:pPr>
      <w:pStyle w:val="32"/>
      <w:pBdr>
        <w:bottom w:val="none" w:color="auto" w:sz="0" w:space="1"/>
      </w:pBdr>
      <w:jc w:val="left"/>
      <w:rPr>
        <w:rFonts w:hint="eastAsia" w:eastAsia="宋体"/>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E7C3F8"/>
    <w:multiLevelType w:val="singleLevel"/>
    <w:tmpl w:val="CFE7C3F8"/>
    <w:lvl w:ilvl="0" w:tentative="0">
      <w:start w:val="1"/>
      <w:numFmt w:val="decimal"/>
      <w:suff w:val="nothing"/>
      <w:lvlText w:val="（%1）"/>
      <w:lvlJc w:val="left"/>
    </w:lvl>
  </w:abstractNum>
  <w:abstractNum w:abstractNumId="1">
    <w:nsid w:val="FFEFC674"/>
    <w:multiLevelType w:val="singleLevel"/>
    <w:tmpl w:val="FFEFC674"/>
    <w:lvl w:ilvl="0" w:tentative="0">
      <w:start w:val="1"/>
      <w:numFmt w:val="decimal"/>
      <w:suff w:val="nothing"/>
      <w:lvlText w:val="（%1）"/>
      <w:lvlJc w:val="left"/>
    </w:lvl>
  </w:abstractNum>
  <w:abstractNum w:abstractNumId="2">
    <w:nsid w:val="00000002"/>
    <w:multiLevelType w:val="singleLevel"/>
    <w:tmpl w:val="00000002"/>
    <w:lvl w:ilvl="0" w:tentative="0">
      <w:start w:val="1"/>
      <w:numFmt w:val="decimal"/>
      <w:suff w:val="nothing"/>
      <w:lvlText w:val="%1、"/>
      <w:lvlJc w:val="left"/>
    </w:lvl>
  </w:abstractNum>
  <w:abstractNum w:abstractNumId="3">
    <w:nsid w:val="00000003"/>
    <w:multiLevelType w:val="singleLevel"/>
    <w:tmpl w:val="00000003"/>
    <w:lvl w:ilvl="0" w:tentative="0">
      <w:start w:val="1"/>
      <w:numFmt w:val="chineseCounting"/>
      <w:suff w:val="nothing"/>
      <w:lvlText w:val="%1、"/>
      <w:lvlJc w:val="left"/>
      <w:rPr>
        <w:rFonts w:hint="eastAsia"/>
      </w:rPr>
    </w:lvl>
  </w:abstractNum>
  <w:abstractNum w:abstractNumId="4">
    <w:nsid w:val="00000007"/>
    <w:multiLevelType w:val="singleLevel"/>
    <w:tmpl w:val="00000007"/>
    <w:lvl w:ilvl="0" w:tentative="0">
      <w:start w:val="1"/>
      <w:numFmt w:val="chineseCounting"/>
      <w:suff w:val="nothing"/>
      <w:lvlText w:val="（%1）"/>
      <w:lvlJc w:val="left"/>
      <w:pPr>
        <w:ind w:left="315" w:firstLine="0"/>
      </w:pPr>
      <w:rPr>
        <w:rFonts w:hint="eastAsia"/>
      </w:rPr>
    </w:lvl>
  </w:abstractNum>
  <w:abstractNum w:abstractNumId="5">
    <w:nsid w:val="00000008"/>
    <w:multiLevelType w:val="singleLevel"/>
    <w:tmpl w:val="00000008"/>
    <w:lvl w:ilvl="0" w:tentative="0">
      <w:start w:val="2"/>
      <w:numFmt w:val="decimal"/>
      <w:suff w:val="nothing"/>
      <w:lvlText w:val="%1、"/>
      <w:lvlJc w:val="left"/>
    </w:lvl>
  </w:abstractNum>
  <w:abstractNum w:abstractNumId="6">
    <w:nsid w:val="063F9CF3"/>
    <w:multiLevelType w:val="singleLevel"/>
    <w:tmpl w:val="063F9CF3"/>
    <w:lvl w:ilvl="0" w:tentative="0">
      <w:start w:val="3"/>
      <w:numFmt w:val="chineseCounting"/>
      <w:suff w:val="nothing"/>
      <w:lvlText w:val="%1、"/>
      <w:lvlJc w:val="left"/>
      <w:rPr>
        <w:rFonts w:hint="eastAsia"/>
      </w:rPr>
    </w:lvl>
  </w:abstractNum>
  <w:abstractNum w:abstractNumId="7">
    <w:nsid w:val="7A0F6431"/>
    <w:multiLevelType w:val="singleLevel"/>
    <w:tmpl w:val="7A0F6431"/>
    <w:lvl w:ilvl="0" w:tentative="0">
      <w:start w:val="1"/>
      <w:numFmt w:val="decimal"/>
      <w:suff w:val="space"/>
      <w:lvlText w:val="%1."/>
      <w:lvlJc w:val="left"/>
    </w:lvl>
  </w:abstractNum>
  <w:abstractNum w:abstractNumId="8">
    <w:nsid w:val="7D722CBD"/>
    <w:multiLevelType w:val="singleLevel"/>
    <w:tmpl w:val="7D722CBD"/>
    <w:lvl w:ilvl="0" w:tentative="0">
      <w:start w:val="2"/>
      <w:numFmt w:val="decimal"/>
      <w:suff w:val="nothing"/>
      <w:lvlText w:val="（%1）"/>
      <w:lvlJc w:val="left"/>
    </w:lvl>
  </w:abstractNum>
  <w:num w:numId="1">
    <w:abstractNumId w:val="6"/>
  </w:num>
  <w:num w:numId="2">
    <w:abstractNumId w:val="8"/>
  </w:num>
  <w:num w:numId="3">
    <w:abstractNumId w:val="7"/>
  </w:num>
  <w:num w:numId="4">
    <w:abstractNumId w:val="0"/>
  </w:num>
  <w:num w:numId="5">
    <w:abstractNumId w:val="1"/>
  </w:num>
  <w:num w:numId="6">
    <w:abstractNumId w:val="3"/>
  </w:num>
  <w:num w:numId="7">
    <w:abstractNumId w:val="4"/>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087F"/>
    <w:rsid w:val="000003FA"/>
    <w:rsid w:val="00000936"/>
    <w:rsid w:val="00000C34"/>
    <w:rsid w:val="000035A0"/>
    <w:rsid w:val="00003EDA"/>
    <w:rsid w:val="00004936"/>
    <w:rsid w:val="000062B7"/>
    <w:rsid w:val="000063DC"/>
    <w:rsid w:val="000069A1"/>
    <w:rsid w:val="00006EEB"/>
    <w:rsid w:val="00006FE0"/>
    <w:rsid w:val="0000739A"/>
    <w:rsid w:val="00010C5A"/>
    <w:rsid w:val="00010E22"/>
    <w:rsid w:val="000115D5"/>
    <w:rsid w:val="00012376"/>
    <w:rsid w:val="000154A6"/>
    <w:rsid w:val="00016146"/>
    <w:rsid w:val="00017027"/>
    <w:rsid w:val="0001707A"/>
    <w:rsid w:val="000179A7"/>
    <w:rsid w:val="000201A3"/>
    <w:rsid w:val="00020CB7"/>
    <w:rsid w:val="00020E0A"/>
    <w:rsid w:val="0002398A"/>
    <w:rsid w:val="00024B65"/>
    <w:rsid w:val="00026A7C"/>
    <w:rsid w:val="00026B21"/>
    <w:rsid w:val="00026DA1"/>
    <w:rsid w:val="00026DE7"/>
    <w:rsid w:val="00030380"/>
    <w:rsid w:val="000305EE"/>
    <w:rsid w:val="00030656"/>
    <w:rsid w:val="00030C65"/>
    <w:rsid w:val="00030CFD"/>
    <w:rsid w:val="0003236F"/>
    <w:rsid w:val="000327F0"/>
    <w:rsid w:val="00032ACE"/>
    <w:rsid w:val="0003435A"/>
    <w:rsid w:val="000349C7"/>
    <w:rsid w:val="00034DCB"/>
    <w:rsid w:val="000353CB"/>
    <w:rsid w:val="0003551A"/>
    <w:rsid w:val="00035685"/>
    <w:rsid w:val="00035C65"/>
    <w:rsid w:val="00035D13"/>
    <w:rsid w:val="00036275"/>
    <w:rsid w:val="0003637F"/>
    <w:rsid w:val="0003715A"/>
    <w:rsid w:val="00037C9E"/>
    <w:rsid w:val="00037EB7"/>
    <w:rsid w:val="00040674"/>
    <w:rsid w:val="00040C13"/>
    <w:rsid w:val="00040DDB"/>
    <w:rsid w:val="000415F1"/>
    <w:rsid w:val="0004338D"/>
    <w:rsid w:val="00044CCA"/>
    <w:rsid w:val="00045769"/>
    <w:rsid w:val="00045CD5"/>
    <w:rsid w:val="00045E5A"/>
    <w:rsid w:val="000461E1"/>
    <w:rsid w:val="00046E88"/>
    <w:rsid w:val="000533EB"/>
    <w:rsid w:val="00054092"/>
    <w:rsid w:val="000549BB"/>
    <w:rsid w:val="0005588D"/>
    <w:rsid w:val="00055D8F"/>
    <w:rsid w:val="000560B7"/>
    <w:rsid w:val="000567E6"/>
    <w:rsid w:val="00056993"/>
    <w:rsid w:val="000615C8"/>
    <w:rsid w:val="000615E4"/>
    <w:rsid w:val="00062A4A"/>
    <w:rsid w:val="000646E4"/>
    <w:rsid w:val="0006509F"/>
    <w:rsid w:val="00067BB2"/>
    <w:rsid w:val="00070070"/>
    <w:rsid w:val="000724AC"/>
    <w:rsid w:val="0007284C"/>
    <w:rsid w:val="000735B2"/>
    <w:rsid w:val="000739BA"/>
    <w:rsid w:val="00074182"/>
    <w:rsid w:val="00074522"/>
    <w:rsid w:val="0007466D"/>
    <w:rsid w:val="000748E9"/>
    <w:rsid w:val="0007586A"/>
    <w:rsid w:val="00075BC4"/>
    <w:rsid w:val="00076967"/>
    <w:rsid w:val="00080D59"/>
    <w:rsid w:val="00080DDB"/>
    <w:rsid w:val="000815DE"/>
    <w:rsid w:val="000818DC"/>
    <w:rsid w:val="0008209F"/>
    <w:rsid w:val="0008224F"/>
    <w:rsid w:val="00082970"/>
    <w:rsid w:val="0008556C"/>
    <w:rsid w:val="000857CF"/>
    <w:rsid w:val="00085F50"/>
    <w:rsid w:val="00086B2E"/>
    <w:rsid w:val="00086D72"/>
    <w:rsid w:val="00087D5C"/>
    <w:rsid w:val="00090853"/>
    <w:rsid w:val="00090C01"/>
    <w:rsid w:val="00090D8F"/>
    <w:rsid w:val="000911B6"/>
    <w:rsid w:val="0009121A"/>
    <w:rsid w:val="000925A3"/>
    <w:rsid w:val="00092623"/>
    <w:rsid w:val="00093252"/>
    <w:rsid w:val="00095756"/>
    <w:rsid w:val="00095C79"/>
    <w:rsid w:val="000975BA"/>
    <w:rsid w:val="00097E09"/>
    <w:rsid w:val="000A0535"/>
    <w:rsid w:val="000A1FC6"/>
    <w:rsid w:val="000A208D"/>
    <w:rsid w:val="000A382D"/>
    <w:rsid w:val="000A41F1"/>
    <w:rsid w:val="000A52B2"/>
    <w:rsid w:val="000A5AA4"/>
    <w:rsid w:val="000B034F"/>
    <w:rsid w:val="000B04DE"/>
    <w:rsid w:val="000B0733"/>
    <w:rsid w:val="000B138E"/>
    <w:rsid w:val="000B148C"/>
    <w:rsid w:val="000B1872"/>
    <w:rsid w:val="000B251B"/>
    <w:rsid w:val="000B4734"/>
    <w:rsid w:val="000B5022"/>
    <w:rsid w:val="000B5AF3"/>
    <w:rsid w:val="000B604C"/>
    <w:rsid w:val="000B7B1B"/>
    <w:rsid w:val="000B7E0E"/>
    <w:rsid w:val="000C02F8"/>
    <w:rsid w:val="000C058E"/>
    <w:rsid w:val="000C0A86"/>
    <w:rsid w:val="000C0FBB"/>
    <w:rsid w:val="000C2785"/>
    <w:rsid w:val="000C2C25"/>
    <w:rsid w:val="000C3183"/>
    <w:rsid w:val="000C3455"/>
    <w:rsid w:val="000C366C"/>
    <w:rsid w:val="000C4F32"/>
    <w:rsid w:val="000C5FF4"/>
    <w:rsid w:val="000C6CFE"/>
    <w:rsid w:val="000C77E7"/>
    <w:rsid w:val="000D07C9"/>
    <w:rsid w:val="000D143E"/>
    <w:rsid w:val="000D19FD"/>
    <w:rsid w:val="000D1BDB"/>
    <w:rsid w:val="000D372D"/>
    <w:rsid w:val="000D4687"/>
    <w:rsid w:val="000D4837"/>
    <w:rsid w:val="000D585F"/>
    <w:rsid w:val="000E0B57"/>
    <w:rsid w:val="000E243C"/>
    <w:rsid w:val="000E2AD2"/>
    <w:rsid w:val="000E314F"/>
    <w:rsid w:val="000E4091"/>
    <w:rsid w:val="000E411B"/>
    <w:rsid w:val="000E5E4F"/>
    <w:rsid w:val="000E79A3"/>
    <w:rsid w:val="000F11D1"/>
    <w:rsid w:val="000F14B9"/>
    <w:rsid w:val="000F296F"/>
    <w:rsid w:val="000F2C5C"/>
    <w:rsid w:val="000F3DEC"/>
    <w:rsid w:val="000F442C"/>
    <w:rsid w:val="000F5D1D"/>
    <w:rsid w:val="000F5EA2"/>
    <w:rsid w:val="000F6692"/>
    <w:rsid w:val="000F68D5"/>
    <w:rsid w:val="000F6C81"/>
    <w:rsid w:val="000F6CCD"/>
    <w:rsid w:val="000F7714"/>
    <w:rsid w:val="0010100C"/>
    <w:rsid w:val="001011C6"/>
    <w:rsid w:val="00101A71"/>
    <w:rsid w:val="00101B86"/>
    <w:rsid w:val="00101E49"/>
    <w:rsid w:val="0010272F"/>
    <w:rsid w:val="00102F1E"/>
    <w:rsid w:val="0010429F"/>
    <w:rsid w:val="00104ED3"/>
    <w:rsid w:val="00105317"/>
    <w:rsid w:val="001058AC"/>
    <w:rsid w:val="00105AA3"/>
    <w:rsid w:val="001063C0"/>
    <w:rsid w:val="00106797"/>
    <w:rsid w:val="001072CB"/>
    <w:rsid w:val="0010799C"/>
    <w:rsid w:val="00110B74"/>
    <w:rsid w:val="00111129"/>
    <w:rsid w:val="00112175"/>
    <w:rsid w:val="00115B12"/>
    <w:rsid w:val="001206BF"/>
    <w:rsid w:val="0012246F"/>
    <w:rsid w:val="00123518"/>
    <w:rsid w:val="00123ECB"/>
    <w:rsid w:val="00124EB9"/>
    <w:rsid w:val="00125060"/>
    <w:rsid w:val="00126304"/>
    <w:rsid w:val="00127721"/>
    <w:rsid w:val="00127869"/>
    <w:rsid w:val="00127C2F"/>
    <w:rsid w:val="00130248"/>
    <w:rsid w:val="00130D74"/>
    <w:rsid w:val="00132131"/>
    <w:rsid w:val="00136261"/>
    <w:rsid w:val="00136832"/>
    <w:rsid w:val="001372D0"/>
    <w:rsid w:val="001375E1"/>
    <w:rsid w:val="00137EC2"/>
    <w:rsid w:val="00137FDB"/>
    <w:rsid w:val="00142277"/>
    <w:rsid w:val="001436A2"/>
    <w:rsid w:val="0014455A"/>
    <w:rsid w:val="00144E00"/>
    <w:rsid w:val="001477B1"/>
    <w:rsid w:val="001479D4"/>
    <w:rsid w:val="0015110B"/>
    <w:rsid w:val="001520D1"/>
    <w:rsid w:val="00152C63"/>
    <w:rsid w:val="00152EC8"/>
    <w:rsid w:val="001538F1"/>
    <w:rsid w:val="001546A2"/>
    <w:rsid w:val="0015498E"/>
    <w:rsid w:val="00156D74"/>
    <w:rsid w:val="00157A3D"/>
    <w:rsid w:val="00157D1A"/>
    <w:rsid w:val="001631E0"/>
    <w:rsid w:val="00163216"/>
    <w:rsid w:val="00164AE1"/>
    <w:rsid w:val="00171DE0"/>
    <w:rsid w:val="0017340E"/>
    <w:rsid w:val="00173C6F"/>
    <w:rsid w:val="001746D1"/>
    <w:rsid w:val="001750F1"/>
    <w:rsid w:val="0017536C"/>
    <w:rsid w:val="00176B13"/>
    <w:rsid w:val="00177171"/>
    <w:rsid w:val="00177B5B"/>
    <w:rsid w:val="001805ED"/>
    <w:rsid w:val="001821A1"/>
    <w:rsid w:val="00182332"/>
    <w:rsid w:val="0018320C"/>
    <w:rsid w:val="001853BC"/>
    <w:rsid w:val="00185780"/>
    <w:rsid w:val="0018758E"/>
    <w:rsid w:val="00190F61"/>
    <w:rsid w:val="001915DB"/>
    <w:rsid w:val="00191F1C"/>
    <w:rsid w:val="00192364"/>
    <w:rsid w:val="001931F1"/>
    <w:rsid w:val="0019441F"/>
    <w:rsid w:val="00194CF1"/>
    <w:rsid w:val="001956FC"/>
    <w:rsid w:val="001957C8"/>
    <w:rsid w:val="0019591F"/>
    <w:rsid w:val="00196875"/>
    <w:rsid w:val="00196FE5"/>
    <w:rsid w:val="00197011"/>
    <w:rsid w:val="00197340"/>
    <w:rsid w:val="00197EF5"/>
    <w:rsid w:val="001A01B7"/>
    <w:rsid w:val="001A060A"/>
    <w:rsid w:val="001A1275"/>
    <w:rsid w:val="001A209F"/>
    <w:rsid w:val="001A3EC4"/>
    <w:rsid w:val="001A67B3"/>
    <w:rsid w:val="001B00A3"/>
    <w:rsid w:val="001B0473"/>
    <w:rsid w:val="001B0762"/>
    <w:rsid w:val="001B114A"/>
    <w:rsid w:val="001B1477"/>
    <w:rsid w:val="001B1D05"/>
    <w:rsid w:val="001B4A1D"/>
    <w:rsid w:val="001B548C"/>
    <w:rsid w:val="001B59C4"/>
    <w:rsid w:val="001B5DC7"/>
    <w:rsid w:val="001B626F"/>
    <w:rsid w:val="001B7290"/>
    <w:rsid w:val="001B77C2"/>
    <w:rsid w:val="001C0037"/>
    <w:rsid w:val="001C01F1"/>
    <w:rsid w:val="001C065D"/>
    <w:rsid w:val="001C2A3D"/>
    <w:rsid w:val="001C2AD8"/>
    <w:rsid w:val="001C2D90"/>
    <w:rsid w:val="001C3896"/>
    <w:rsid w:val="001C3A85"/>
    <w:rsid w:val="001C4184"/>
    <w:rsid w:val="001C4A67"/>
    <w:rsid w:val="001C4A82"/>
    <w:rsid w:val="001C65B0"/>
    <w:rsid w:val="001D097D"/>
    <w:rsid w:val="001D0E26"/>
    <w:rsid w:val="001D114E"/>
    <w:rsid w:val="001D2A79"/>
    <w:rsid w:val="001D30C3"/>
    <w:rsid w:val="001D3DC2"/>
    <w:rsid w:val="001D4C86"/>
    <w:rsid w:val="001D4F31"/>
    <w:rsid w:val="001D50B6"/>
    <w:rsid w:val="001D6004"/>
    <w:rsid w:val="001D61AB"/>
    <w:rsid w:val="001D7389"/>
    <w:rsid w:val="001E03B2"/>
    <w:rsid w:val="001E14FD"/>
    <w:rsid w:val="001E1BEB"/>
    <w:rsid w:val="001E260C"/>
    <w:rsid w:val="001E2C8D"/>
    <w:rsid w:val="001E3122"/>
    <w:rsid w:val="001E368A"/>
    <w:rsid w:val="001E4C1B"/>
    <w:rsid w:val="001E600A"/>
    <w:rsid w:val="001E6267"/>
    <w:rsid w:val="001E679B"/>
    <w:rsid w:val="001E7321"/>
    <w:rsid w:val="001F0C52"/>
    <w:rsid w:val="001F0C73"/>
    <w:rsid w:val="001F13C0"/>
    <w:rsid w:val="001F1791"/>
    <w:rsid w:val="001F342C"/>
    <w:rsid w:val="001F3AAE"/>
    <w:rsid w:val="001F48F0"/>
    <w:rsid w:val="001F4F3A"/>
    <w:rsid w:val="001F55AE"/>
    <w:rsid w:val="001F5B19"/>
    <w:rsid w:val="001F62A5"/>
    <w:rsid w:val="002007D7"/>
    <w:rsid w:val="0020087F"/>
    <w:rsid w:val="00200F18"/>
    <w:rsid w:val="002010E0"/>
    <w:rsid w:val="0020110B"/>
    <w:rsid w:val="00201338"/>
    <w:rsid w:val="00202D9A"/>
    <w:rsid w:val="00203232"/>
    <w:rsid w:val="00204101"/>
    <w:rsid w:val="00206A13"/>
    <w:rsid w:val="00206AC3"/>
    <w:rsid w:val="002100D9"/>
    <w:rsid w:val="00210B6B"/>
    <w:rsid w:val="00212C7E"/>
    <w:rsid w:val="00214626"/>
    <w:rsid w:val="002147B2"/>
    <w:rsid w:val="00214B00"/>
    <w:rsid w:val="00214E6B"/>
    <w:rsid w:val="00216353"/>
    <w:rsid w:val="00216B33"/>
    <w:rsid w:val="00216CB6"/>
    <w:rsid w:val="00216D5A"/>
    <w:rsid w:val="0022042C"/>
    <w:rsid w:val="00220D3F"/>
    <w:rsid w:val="00221547"/>
    <w:rsid w:val="002218C9"/>
    <w:rsid w:val="00221BFF"/>
    <w:rsid w:val="002225F2"/>
    <w:rsid w:val="00222F3C"/>
    <w:rsid w:val="002238DB"/>
    <w:rsid w:val="00226721"/>
    <w:rsid w:val="00226A33"/>
    <w:rsid w:val="00226F42"/>
    <w:rsid w:val="00230D16"/>
    <w:rsid w:val="002314AD"/>
    <w:rsid w:val="0023184A"/>
    <w:rsid w:val="00231A8C"/>
    <w:rsid w:val="0023321F"/>
    <w:rsid w:val="00234588"/>
    <w:rsid w:val="00234EEE"/>
    <w:rsid w:val="00235930"/>
    <w:rsid w:val="002369D4"/>
    <w:rsid w:val="00242B95"/>
    <w:rsid w:val="0024324E"/>
    <w:rsid w:val="0024344D"/>
    <w:rsid w:val="0024360E"/>
    <w:rsid w:val="002438C3"/>
    <w:rsid w:val="0024416E"/>
    <w:rsid w:val="00244352"/>
    <w:rsid w:val="002454B9"/>
    <w:rsid w:val="00245D18"/>
    <w:rsid w:val="00246C33"/>
    <w:rsid w:val="00247647"/>
    <w:rsid w:val="00247A12"/>
    <w:rsid w:val="00254475"/>
    <w:rsid w:val="00254A82"/>
    <w:rsid w:val="00254CCC"/>
    <w:rsid w:val="00254F5C"/>
    <w:rsid w:val="0025563C"/>
    <w:rsid w:val="00255FBD"/>
    <w:rsid w:val="0025756F"/>
    <w:rsid w:val="002606B0"/>
    <w:rsid w:val="002617E8"/>
    <w:rsid w:val="00261864"/>
    <w:rsid w:val="002619F6"/>
    <w:rsid w:val="00261D0D"/>
    <w:rsid w:val="00262BEC"/>
    <w:rsid w:val="002640CE"/>
    <w:rsid w:val="00264225"/>
    <w:rsid w:val="002649E3"/>
    <w:rsid w:val="00264D02"/>
    <w:rsid w:val="00264E69"/>
    <w:rsid w:val="00266945"/>
    <w:rsid w:val="002712F8"/>
    <w:rsid w:val="00271593"/>
    <w:rsid w:val="00271DD4"/>
    <w:rsid w:val="0027242D"/>
    <w:rsid w:val="002724EB"/>
    <w:rsid w:val="00272BA9"/>
    <w:rsid w:val="002730EF"/>
    <w:rsid w:val="0027400C"/>
    <w:rsid w:val="00274143"/>
    <w:rsid w:val="00275400"/>
    <w:rsid w:val="00275423"/>
    <w:rsid w:val="002770FB"/>
    <w:rsid w:val="0027787E"/>
    <w:rsid w:val="00277FDC"/>
    <w:rsid w:val="002806A7"/>
    <w:rsid w:val="002810A8"/>
    <w:rsid w:val="00281214"/>
    <w:rsid w:val="002818AF"/>
    <w:rsid w:val="00282443"/>
    <w:rsid w:val="00283943"/>
    <w:rsid w:val="00283A1B"/>
    <w:rsid w:val="00283D5D"/>
    <w:rsid w:val="002842F8"/>
    <w:rsid w:val="00284C0A"/>
    <w:rsid w:val="002853BC"/>
    <w:rsid w:val="00285F2D"/>
    <w:rsid w:val="002863C9"/>
    <w:rsid w:val="00286ABD"/>
    <w:rsid w:val="00287605"/>
    <w:rsid w:val="002900D1"/>
    <w:rsid w:val="002918EA"/>
    <w:rsid w:val="0029272C"/>
    <w:rsid w:val="00292DCC"/>
    <w:rsid w:val="00294CE4"/>
    <w:rsid w:val="002953E9"/>
    <w:rsid w:val="00295ABA"/>
    <w:rsid w:val="00295D4E"/>
    <w:rsid w:val="0029627B"/>
    <w:rsid w:val="0029641B"/>
    <w:rsid w:val="00296788"/>
    <w:rsid w:val="00297BFD"/>
    <w:rsid w:val="002A132A"/>
    <w:rsid w:val="002A2461"/>
    <w:rsid w:val="002A2660"/>
    <w:rsid w:val="002A28C7"/>
    <w:rsid w:val="002A3C37"/>
    <w:rsid w:val="002A4353"/>
    <w:rsid w:val="002A4E27"/>
    <w:rsid w:val="002A6F4F"/>
    <w:rsid w:val="002A7149"/>
    <w:rsid w:val="002A7F57"/>
    <w:rsid w:val="002B072D"/>
    <w:rsid w:val="002B0C7C"/>
    <w:rsid w:val="002B0F19"/>
    <w:rsid w:val="002B10CA"/>
    <w:rsid w:val="002B15EE"/>
    <w:rsid w:val="002B17A7"/>
    <w:rsid w:val="002B1FB9"/>
    <w:rsid w:val="002B4557"/>
    <w:rsid w:val="002B4832"/>
    <w:rsid w:val="002B4F8C"/>
    <w:rsid w:val="002B5498"/>
    <w:rsid w:val="002B5503"/>
    <w:rsid w:val="002B618C"/>
    <w:rsid w:val="002B620C"/>
    <w:rsid w:val="002B6C79"/>
    <w:rsid w:val="002B6F98"/>
    <w:rsid w:val="002B7A77"/>
    <w:rsid w:val="002C03D1"/>
    <w:rsid w:val="002C069C"/>
    <w:rsid w:val="002C0915"/>
    <w:rsid w:val="002C0A53"/>
    <w:rsid w:val="002C0D93"/>
    <w:rsid w:val="002C0F68"/>
    <w:rsid w:val="002C1C5D"/>
    <w:rsid w:val="002C3306"/>
    <w:rsid w:val="002C6B42"/>
    <w:rsid w:val="002C6FCF"/>
    <w:rsid w:val="002C70EB"/>
    <w:rsid w:val="002C7A91"/>
    <w:rsid w:val="002C7E7F"/>
    <w:rsid w:val="002C7F05"/>
    <w:rsid w:val="002D01DF"/>
    <w:rsid w:val="002D09DD"/>
    <w:rsid w:val="002D0F16"/>
    <w:rsid w:val="002D2457"/>
    <w:rsid w:val="002D2D19"/>
    <w:rsid w:val="002D3999"/>
    <w:rsid w:val="002D3AF3"/>
    <w:rsid w:val="002D419F"/>
    <w:rsid w:val="002D69D0"/>
    <w:rsid w:val="002D6AC5"/>
    <w:rsid w:val="002D743A"/>
    <w:rsid w:val="002D76B2"/>
    <w:rsid w:val="002D787C"/>
    <w:rsid w:val="002E09B5"/>
    <w:rsid w:val="002E121C"/>
    <w:rsid w:val="002E1875"/>
    <w:rsid w:val="002E2A41"/>
    <w:rsid w:val="002E465F"/>
    <w:rsid w:val="002E4C0A"/>
    <w:rsid w:val="002E4FCA"/>
    <w:rsid w:val="002E5A89"/>
    <w:rsid w:val="002E6954"/>
    <w:rsid w:val="002E70B9"/>
    <w:rsid w:val="002E7393"/>
    <w:rsid w:val="002F0046"/>
    <w:rsid w:val="002F03A4"/>
    <w:rsid w:val="002F04C1"/>
    <w:rsid w:val="002F22B1"/>
    <w:rsid w:val="002F2A9C"/>
    <w:rsid w:val="002F47FA"/>
    <w:rsid w:val="002F4ECE"/>
    <w:rsid w:val="002F5471"/>
    <w:rsid w:val="002F560D"/>
    <w:rsid w:val="002F56B1"/>
    <w:rsid w:val="002F589D"/>
    <w:rsid w:val="002F5B17"/>
    <w:rsid w:val="002F5F07"/>
    <w:rsid w:val="002F63ED"/>
    <w:rsid w:val="002F6FFD"/>
    <w:rsid w:val="002F7B0B"/>
    <w:rsid w:val="00300F5E"/>
    <w:rsid w:val="00303491"/>
    <w:rsid w:val="003058E6"/>
    <w:rsid w:val="00305F95"/>
    <w:rsid w:val="00305FDE"/>
    <w:rsid w:val="00306EB0"/>
    <w:rsid w:val="00306EC4"/>
    <w:rsid w:val="00306F0F"/>
    <w:rsid w:val="00307742"/>
    <w:rsid w:val="003101AD"/>
    <w:rsid w:val="00310F77"/>
    <w:rsid w:val="00312032"/>
    <w:rsid w:val="00313203"/>
    <w:rsid w:val="0031332F"/>
    <w:rsid w:val="0031588C"/>
    <w:rsid w:val="00315DE2"/>
    <w:rsid w:val="0031630F"/>
    <w:rsid w:val="00317574"/>
    <w:rsid w:val="0032260F"/>
    <w:rsid w:val="0032467E"/>
    <w:rsid w:val="00324FB3"/>
    <w:rsid w:val="003251E0"/>
    <w:rsid w:val="0032546E"/>
    <w:rsid w:val="00327F69"/>
    <w:rsid w:val="00330E0A"/>
    <w:rsid w:val="00331601"/>
    <w:rsid w:val="00331B6B"/>
    <w:rsid w:val="00331F4F"/>
    <w:rsid w:val="0033286B"/>
    <w:rsid w:val="00334652"/>
    <w:rsid w:val="00334912"/>
    <w:rsid w:val="00334E57"/>
    <w:rsid w:val="00334EA8"/>
    <w:rsid w:val="00336FB7"/>
    <w:rsid w:val="00337843"/>
    <w:rsid w:val="00340BAC"/>
    <w:rsid w:val="00340FC2"/>
    <w:rsid w:val="003418E9"/>
    <w:rsid w:val="00341EBE"/>
    <w:rsid w:val="003426C2"/>
    <w:rsid w:val="00342B44"/>
    <w:rsid w:val="00342CE1"/>
    <w:rsid w:val="00342D0D"/>
    <w:rsid w:val="00343FE4"/>
    <w:rsid w:val="00343FF3"/>
    <w:rsid w:val="00345340"/>
    <w:rsid w:val="00347C5C"/>
    <w:rsid w:val="0035075D"/>
    <w:rsid w:val="003507E8"/>
    <w:rsid w:val="0035129F"/>
    <w:rsid w:val="00351D4E"/>
    <w:rsid w:val="003531B3"/>
    <w:rsid w:val="00355EDC"/>
    <w:rsid w:val="003563C3"/>
    <w:rsid w:val="00357630"/>
    <w:rsid w:val="00357641"/>
    <w:rsid w:val="00357F56"/>
    <w:rsid w:val="00360553"/>
    <w:rsid w:val="00360EAF"/>
    <w:rsid w:val="00361D0D"/>
    <w:rsid w:val="00362DE1"/>
    <w:rsid w:val="00363186"/>
    <w:rsid w:val="00363E52"/>
    <w:rsid w:val="0036488E"/>
    <w:rsid w:val="00364C08"/>
    <w:rsid w:val="003653E2"/>
    <w:rsid w:val="003657AD"/>
    <w:rsid w:val="00365C1B"/>
    <w:rsid w:val="0036779B"/>
    <w:rsid w:val="00371BFD"/>
    <w:rsid w:val="003727C8"/>
    <w:rsid w:val="00372CA7"/>
    <w:rsid w:val="00372D79"/>
    <w:rsid w:val="00373315"/>
    <w:rsid w:val="00373DB5"/>
    <w:rsid w:val="00374610"/>
    <w:rsid w:val="00374A86"/>
    <w:rsid w:val="00374C21"/>
    <w:rsid w:val="00374CBA"/>
    <w:rsid w:val="0037525C"/>
    <w:rsid w:val="00376479"/>
    <w:rsid w:val="00377544"/>
    <w:rsid w:val="00380253"/>
    <w:rsid w:val="003805C9"/>
    <w:rsid w:val="00380ACF"/>
    <w:rsid w:val="0038179C"/>
    <w:rsid w:val="00381CC4"/>
    <w:rsid w:val="003855FC"/>
    <w:rsid w:val="003859FE"/>
    <w:rsid w:val="0038621F"/>
    <w:rsid w:val="00387096"/>
    <w:rsid w:val="00387A0B"/>
    <w:rsid w:val="00390707"/>
    <w:rsid w:val="0039168B"/>
    <w:rsid w:val="0039218D"/>
    <w:rsid w:val="00392D38"/>
    <w:rsid w:val="003938C4"/>
    <w:rsid w:val="0039394C"/>
    <w:rsid w:val="003942B2"/>
    <w:rsid w:val="00394DC0"/>
    <w:rsid w:val="003950A6"/>
    <w:rsid w:val="00395968"/>
    <w:rsid w:val="003959BC"/>
    <w:rsid w:val="00396421"/>
    <w:rsid w:val="00397D2B"/>
    <w:rsid w:val="003A1E6F"/>
    <w:rsid w:val="003A39BC"/>
    <w:rsid w:val="003A415D"/>
    <w:rsid w:val="003A45BB"/>
    <w:rsid w:val="003A4839"/>
    <w:rsid w:val="003A5210"/>
    <w:rsid w:val="003A5712"/>
    <w:rsid w:val="003A596F"/>
    <w:rsid w:val="003A5C4F"/>
    <w:rsid w:val="003A680E"/>
    <w:rsid w:val="003A6C7C"/>
    <w:rsid w:val="003B0333"/>
    <w:rsid w:val="003B0BFE"/>
    <w:rsid w:val="003B28FB"/>
    <w:rsid w:val="003B295A"/>
    <w:rsid w:val="003B2D37"/>
    <w:rsid w:val="003B3B88"/>
    <w:rsid w:val="003B3F99"/>
    <w:rsid w:val="003B5B7A"/>
    <w:rsid w:val="003B5F45"/>
    <w:rsid w:val="003B6D70"/>
    <w:rsid w:val="003B6E71"/>
    <w:rsid w:val="003B6F06"/>
    <w:rsid w:val="003B7B25"/>
    <w:rsid w:val="003C0066"/>
    <w:rsid w:val="003C0891"/>
    <w:rsid w:val="003C24DA"/>
    <w:rsid w:val="003C29FB"/>
    <w:rsid w:val="003C2DA8"/>
    <w:rsid w:val="003C3D8E"/>
    <w:rsid w:val="003C42D1"/>
    <w:rsid w:val="003C4EA6"/>
    <w:rsid w:val="003C5805"/>
    <w:rsid w:val="003C601B"/>
    <w:rsid w:val="003C6118"/>
    <w:rsid w:val="003C6B3A"/>
    <w:rsid w:val="003D0338"/>
    <w:rsid w:val="003D094E"/>
    <w:rsid w:val="003D26A6"/>
    <w:rsid w:val="003D27B0"/>
    <w:rsid w:val="003D2A0F"/>
    <w:rsid w:val="003D2AA3"/>
    <w:rsid w:val="003D44D8"/>
    <w:rsid w:val="003D6901"/>
    <w:rsid w:val="003D7181"/>
    <w:rsid w:val="003D725E"/>
    <w:rsid w:val="003D7BA2"/>
    <w:rsid w:val="003D7EB9"/>
    <w:rsid w:val="003E01F0"/>
    <w:rsid w:val="003E03FA"/>
    <w:rsid w:val="003E156A"/>
    <w:rsid w:val="003E1AD0"/>
    <w:rsid w:val="003E2438"/>
    <w:rsid w:val="003E2A33"/>
    <w:rsid w:val="003E4A18"/>
    <w:rsid w:val="003E4B21"/>
    <w:rsid w:val="003E5F0E"/>
    <w:rsid w:val="003E677D"/>
    <w:rsid w:val="003F0691"/>
    <w:rsid w:val="003F0FB8"/>
    <w:rsid w:val="003F24E1"/>
    <w:rsid w:val="003F354F"/>
    <w:rsid w:val="003F4135"/>
    <w:rsid w:val="003F6049"/>
    <w:rsid w:val="003F781F"/>
    <w:rsid w:val="003F7C44"/>
    <w:rsid w:val="003F7FC3"/>
    <w:rsid w:val="00400DE9"/>
    <w:rsid w:val="00401B09"/>
    <w:rsid w:val="00401FD2"/>
    <w:rsid w:val="00402C1F"/>
    <w:rsid w:val="00404283"/>
    <w:rsid w:val="0040446E"/>
    <w:rsid w:val="00404C2F"/>
    <w:rsid w:val="004062BB"/>
    <w:rsid w:val="0040741B"/>
    <w:rsid w:val="00407B50"/>
    <w:rsid w:val="004104E7"/>
    <w:rsid w:val="00411391"/>
    <w:rsid w:val="00411415"/>
    <w:rsid w:val="00411E1A"/>
    <w:rsid w:val="00413E16"/>
    <w:rsid w:val="00414E5F"/>
    <w:rsid w:val="004156BA"/>
    <w:rsid w:val="00415C83"/>
    <w:rsid w:val="00417DD5"/>
    <w:rsid w:val="0042071C"/>
    <w:rsid w:val="0042175A"/>
    <w:rsid w:val="00421D9B"/>
    <w:rsid w:val="00421E5A"/>
    <w:rsid w:val="00422146"/>
    <w:rsid w:val="00422C9E"/>
    <w:rsid w:val="004245AD"/>
    <w:rsid w:val="00425481"/>
    <w:rsid w:val="0042643B"/>
    <w:rsid w:val="00427AD2"/>
    <w:rsid w:val="004300B5"/>
    <w:rsid w:val="00430244"/>
    <w:rsid w:val="00430924"/>
    <w:rsid w:val="00430969"/>
    <w:rsid w:val="00431691"/>
    <w:rsid w:val="004317DD"/>
    <w:rsid w:val="00431E00"/>
    <w:rsid w:val="00432E96"/>
    <w:rsid w:val="00433D42"/>
    <w:rsid w:val="00434597"/>
    <w:rsid w:val="0043498C"/>
    <w:rsid w:val="00434DEF"/>
    <w:rsid w:val="004355D5"/>
    <w:rsid w:val="004364FF"/>
    <w:rsid w:val="004366FC"/>
    <w:rsid w:val="00436B1B"/>
    <w:rsid w:val="00436B9C"/>
    <w:rsid w:val="004379FF"/>
    <w:rsid w:val="00437C02"/>
    <w:rsid w:val="00437C70"/>
    <w:rsid w:val="00440D22"/>
    <w:rsid w:val="00440D4C"/>
    <w:rsid w:val="004422DD"/>
    <w:rsid w:val="00444637"/>
    <w:rsid w:val="00445879"/>
    <w:rsid w:val="00445D7F"/>
    <w:rsid w:val="00445F68"/>
    <w:rsid w:val="00446D34"/>
    <w:rsid w:val="004470E3"/>
    <w:rsid w:val="00447E47"/>
    <w:rsid w:val="004512F2"/>
    <w:rsid w:val="00451A06"/>
    <w:rsid w:val="00452204"/>
    <w:rsid w:val="00452DE8"/>
    <w:rsid w:val="00452F4F"/>
    <w:rsid w:val="004533FB"/>
    <w:rsid w:val="0045413A"/>
    <w:rsid w:val="00454857"/>
    <w:rsid w:val="004548A8"/>
    <w:rsid w:val="00454A57"/>
    <w:rsid w:val="00454CA5"/>
    <w:rsid w:val="0045504E"/>
    <w:rsid w:val="0045525F"/>
    <w:rsid w:val="004554AC"/>
    <w:rsid w:val="00455D9D"/>
    <w:rsid w:val="0045717F"/>
    <w:rsid w:val="004574CF"/>
    <w:rsid w:val="00460F69"/>
    <w:rsid w:val="00461160"/>
    <w:rsid w:val="004615A4"/>
    <w:rsid w:val="00461BFD"/>
    <w:rsid w:val="00461E70"/>
    <w:rsid w:val="0046271D"/>
    <w:rsid w:val="00464E52"/>
    <w:rsid w:val="00466756"/>
    <w:rsid w:val="004700C2"/>
    <w:rsid w:val="00470474"/>
    <w:rsid w:val="00470CF5"/>
    <w:rsid w:val="004717F1"/>
    <w:rsid w:val="0047470B"/>
    <w:rsid w:val="00474720"/>
    <w:rsid w:val="00475A58"/>
    <w:rsid w:val="00475E1C"/>
    <w:rsid w:val="004773DF"/>
    <w:rsid w:val="00477ABE"/>
    <w:rsid w:val="0048001B"/>
    <w:rsid w:val="004801BB"/>
    <w:rsid w:val="00480237"/>
    <w:rsid w:val="0048146E"/>
    <w:rsid w:val="00481972"/>
    <w:rsid w:val="00481DFC"/>
    <w:rsid w:val="00481E5F"/>
    <w:rsid w:val="00482099"/>
    <w:rsid w:val="0048346C"/>
    <w:rsid w:val="0048363E"/>
    <w:rsid w:val="00483E7C"/>
    <w:rsid w:val="004840DC"/>
    <w:rsid w:val="004840F0"/>
    <w:rsid w:val="004847FB"/>
    <w:rsid w:val="00484829"/>
    <w:rsid w:val="00484C78"/>
    <w:rsid w:val="00485021"/>
    <w:rsid w:val="0048533B"/>
    <w:rsid w:val="00485D74"/>
    <w:rsid w:val="0048726C"/>
    <w:rsid w:val="00490FFD"/>
    <w:rsid w:val="0049122A"/>
    <w:rsid w:val="00491A5D"/>
    <w:rsid w:val="00491FAC"/>
    <w:rsid w:val="004922B2"/>
    <w:rsid w:val="00492C28"/>
    <w:rsid w:val="00493137"/>
    <w:rsid w:val="00493A5E"/>
    <w:rsid w:val="00493A63"/>
    <w:rsid w:val="0049410D"/>
    <w:rsid w:val="00494EFE"/>
    <w:rsid w:val="004952F8"/>
    <w:rsid w:val="00496478"/>
    <w:rsid w:val="004972DF"/>
    <w:rsid w:val="00497654"/>
    <w:rsid w:val="004A28CD"/>
    <w:rsid w:val="004A3E78"/>
    <w:rsid w:val="004A4AA2"/>
    <w:rsid w:val="004A72B5"/>
    <w:rsid w:val="004A7EDF"/>
    <w:rsid w:val="004B065D"/>
    <w:rsid w:val="004B0CC4"/>
    <w:rsid w:val="004B16F4"/>
    <w:rsid w:val="004B1ABD"/>
    <w:rsid w:val="004B1C00"/>
    <w:rsid w:val="004B1D16"/>
    <w:rsid w:val="004B1FA7"/>
    <w:rsid w:val="004B1FD4"/>
    <w:rsid w:val="004B37D6"/>
    <w:rsid w:val="004B4FE0"/>
    <w:rsid w:val="004B6E9E"/>
    <w:rsid w:val="004C00B6"/>
    <w:rsid w:val="004C0815"/>
    <w:rsid w:val="004C1D9F"/>
    <w:rsid w:val="004C1F06"/>
    <w:rsid w:val="004C330A"/>
    <w:rsid w:val="004C3658"/>
    <w:rsid w:val="004C441B"/>
    <w:rsid w:val="004C52BD"/>
    <w:rsid w:val="004C575F"/>
    <w:rsid w:val="004C63F2"/>
    <w:rsid w:val="004C6B18"/>
    <w:rsid w:val="004D11E6"/>
    <w:rsid w:val="004D220B"/>
    <w:rsid w:val="004D56FD"/>
    <w:rsid w:val="004D66F9"/>
    <w:rsid w:val="004D6F15"/>
    <w:rsid w:val="004E0041"/>
    <w:rsid w:val="004E0169"/>
    <w:rsid w:val="004E07BD"/>
    <w:rsid w:val="004E14E8"/>
    <w:rsid w:val="004E179C"/>
    <w:rsid w:val="004E2A50"/>
    <w:rsid w:val="004E322B"/>
    <w:rsid w:val="004E46EB"/>
    <w:rsid w:val="004E4A38"/>
    <w:rsid w:val="004E4B20"/>
    <w:rsid w:val="004E4BD4"/>
    <w:rsid w:val="004E4CD7"/>
    <w:rsid w:val="004E5293"/>
    <w:rsid w:val="004E5EF2"/>
    <w:rsid w:val="004E65BD"/>
    <w:rsid w:val="004E66D7"/>
    <w:rsid w:val="004E6A3D"/>
    <w:rsid w:val="004E6C65"/>
    <w:rsid w:val="004F08FD"/>
    <w:rsid w:val="004F15B7"/>
    <w:rsid w:val="004F1A01"/>
    <w:rsid w:val="004F3809"/>
    <w:rsid w:val="004F3CC5"/>
    <w:rsid w:val="004F3F7B"/>
    <w:rsid w:val="004F47D4"/>
    <w:rsid w:val="004F4DD4"/>
    <w:rsid w:val="004F564C"/>
    <w:rsid w:val="004F5D35"/>
    <w:rsid w:val="004F6FE8"/>
    <w:rsid w:val="004F74D1"/>
    <w:rsid w:val="004F75F8"/>
    <w:rsid w:val="004F7B29"/>
    <w:rsid w:val="00500068"/>
    <w:rsid w:val="0050048D"/>
    <w:rsid w:val="00500564"/>
    <w:rsid w:val="005009B1"/>
    <w:rsid w:val="00500A31"/>
    <w:rsid w:val="005013BB"/>
    <w:rsid w:val="005028B0"/>
    <w:rsid w:val="00502BB4"/>
    <w:rsid w:val="005037DA"/>
    <w:rsid w:val="00506D4E"/>
    <w:rsid w:val="00506E79"/>
    <w:rsid w:val="005076B4"/>
    <w:rsid w:val="00507EB3"/>
    <w:rsid w:val="0051029F"/>
    <w:rsid w:val="00511B7A"/>
    <w:rsid w:val="00511E37"/>
    <w:rsid w:val="00512087"/>
    <w:rsid w:val="00512A27"/>
    <w:rsid w:val="00512AA3"/>
    <w:rsid w:val="0051367B"/>
    <w:rsid w:val="0051543C"/>
    <w:rsid w:val="00515E28"/>
    <w:rsid w:val="00516293"/>
    <w:rsid w:val="005176A2"/>
    <w:rsid w:val="00517A86"/>
    <w:rsid w:val="0052182D"/>
    <w:rsid w:val="00521940"/>
    <w:rsid w:val="005230E7"/>
    <w:rsid w:val="0052522F"/>
    <w:rsid w:val="0052564F"/>
    <w:rsid w:val="0052608D"/>
    <w:rsid w:val="00527202"/>
    <w:rsid w:val="005306BD"/>
    <w:rsid w:val="00530CF0"/>
    <w:rsid w:val="00531225"/>
    <w:rsid w:val="00532546"/>
    <w:rsid w:val="00532E0F"/>
    <w:rsid w:val="005337BF"/>
    <w:rsid w:val="00533F89"/>
    <w:rsid w:val="00534923"/>
    <w:rsid w:val="00534939"/>
    <w:rsid w:val="0053530E"/>
    <w:rsid w:val="00535DF2"/>
    <w:rsid w:val="00536BB1"/>
    <w:rsid w:val="00537431"/>
    <w:rsid w:val="005379A9"/>
    <w:rsid w:val="00542224"/>
    <w:rsid w:val="00542C80"/>
    <w:rsid w:val="00543416"/>
    <w:rsid w:val="005443AE"/>
    <w:rsid w:val="005456B2"/>
    <w:rsid w:val="00546A29"/>
    <w:rsid w:val="00546B88"/>
    <w:rsid w:val="00547D5B"/>
    <w:rsid w:val="0055057D"/>
    <w:rsid w:val="005518D8"/>
    <w:rsid w:val="00551EEB"/>
    <w:rsid w:val="00552E3B"/>
    <w:rsid w:val="00554D5C"/>
    <w:rsid w:val="0055594C"/>
    <w:rsid w:val="005565E9"/>
    <w:rsid w:val="005568E8"/>
    <w:rsid w:val="00557226"/>
    <w:rsid w:val="0055782C"/>
    <w:rsid w:val="005603D9"/>
    <w:rsid w:val="0056070A"/>
    <w:rsid w:val="005612AB"/>
    <w:rsid w:val="00563B8C"/>
    <w:rsid w:val="00564896"/>
    <w:rsid w:val="0056531C"/>
    <w:rsid w:val="0056556A"/>
    <w:rsid w:val="00566401"/>
    <w:rsid w:val="00566877"/>
    <w:rsid w:val="005671B3"/>
    <w:rsid w:val="00567BAE"/>
    <w:rsid w:val="00567E0F"/>
    <w:rsid w:val="00570616"/>
    <w:rsid w:val="00570819"/>
    <w:rsid w:val="0057172E"/>
    <w:rsid w:val="0057245A"/>
    <w:rsid w:val="00573053"/>
    <w:rsid w:val="005732F3"/>
    <w:rsid w:val="00574116"/>
    <w:rsid w:val="00576F4C"/>
    <w:rsid w:val="00577DE3"/>
    <w:rsid w:val="00577E6E"/>
    <w:rsid w:val="00580387"/>
    <w:rsid w:val="0058046B"/>
    <w:rsid w:val="005804AE"/>
    <w:rsid w:val="005818E9"/>
    <w:rsid w:val="00581ECB"/>
    <w:rsid w:val="00582363"/>
    <w:rsid w:val="0058283B"/>
    <w:rsid w:val="00583F36"/>
    <w:rsid w:val="005860B9"/>
    <w:rsid w:val="00586752"/>
    <w:rsid w:val="005869E5"/>
    <w:rsid w:val="00586A58"/>
    <w:rsid w:val="00590E4F"/>
    <w:rsid w:val="00591426"/>
    <w:rsid w:val="00592DD5"/>
    <w:rsid w:val="00593017"/>
    <w:rsid w:val="00593789"/>
    <w:rsid w:val="005939CC"/>
    <w:rsid w:val="00593B81"/>
    <w:rsid w:val="005948BA"/>
    <w:rsid w:val="005952E5"/>
    <w:rsid w:val="005966C8"/>
    <w:rsid w:val="00596E3B"/>
    <w:rsid w:val="005A085A"/>
    <w:rsid w:val="005A127B"/>
    <w:rsid w:val="005A25C8"/>
    <w:rsid w:val="005A2F3A"/>
    <w:rsid w:val="005A3160"/>
    <w:rsid w:val="005A43D0"/>
    <w:rsid w:val="005A5626"/>
    <w:rsid w:val="005A612D"/>
    <w:rsid w:val="005A61B3"/>
    <w:rsid w:val="005A62CB"/>
    <w:rsid w:val="005A69E1"/>
    <w:rsid w:val="005A6EA4"/>
    <w:rsid w:val="005A6F6D"/>
    <w:rsid w:val="005B0AD1"/>
    <w:rsid w:val="005B1947"/>
    <w:rsid w:val="005B26FE"/>
    <w:rsid w:val="005B2B79"/>
    <w:rsid w:val="005B35E5"/>
    <w:rsid w:val="005B373B"/>
    <w:rsid w:val="005B4D61"/>
    <w:rsid w:val="005B5BEE"/>
    <w:rsid w:val="005B698D"/>
    <w:rsid w:val="005B6F92"/>
    <w:rsid w:val="005B7023"/>
    <w:rsid w:val="005B73A0"/>
    <w:rsid w:val="005B7535"/>
    <w:rsid w:val="005C1A40"/>
    <w:rsid w:val="005C2025"/>
    <w:rsid w:val="005C264A"/>
    <w:rsid w:val="005C3401"/>
    <w:rsid w:val="005C5048"/>
    <w:rsid w:val="005C6B22"/>
    <w:rsid w:val="005C7C5B"/>
    <w:rsid w:val="005D0505"/>
    <w:rsid w:val="005D177A"/>
    <w:rsid w:val="005D1E40"/>
    <w:rsid w:val="005D357A"/>
    <w:rsid w:val="005D40A6"/>
    <w:rsid w:val="005D5091"/>
    <w:rsid w:val="005D59AB"/>
    <w:rsid w:val="005D5ADE"/>
    <w:rsid w:val="005D6149"/>
    <w:rsid w:val="005E1A0B"/>
    <w:rsid w:val="005E26C1"/>
    <w:rsid w:val="005E2A50"/>
    <w:rsid w:val="005E2C04"/>
    <w:rsid w:val="005E2E60"/>
    <w:rsid w:val="005E30BF"/>
    <w:rsid w:val="005E30DC"/>
    <w:rsid w:val="005E3274"/>
    <w:rsid w:val="005E48B6"/>
    <w:rsid w:val="005E6C42"/>
    <w:rsid w:val="005E720D"/>
    <w:rsid w:val="005E7B2B"/>
    <w:rsid w:val="005F2610"/>
    <w:rsid w:val="005F3002"/>
    <w:rsid w:val="005F3710"/>
    <w:rsid w:val="005F532D"/>
    <w:rsid w:val="005F5560"/>
    <w:rsid w:val="005F68FB"/>
    <w:rsid w:val="005F76F8"/>
    <w:rsid w:val="005F781D"/>
    <w:rsid w:val="005F7ED4"/>
    <w:rsid w:val="006005D1"/>
    <w:rsid w:val="00601467"/>
    <w:rsid w:val="00602904"/>
    <w:rsid w:val="0060352F"/>
    <w:rsid w:val="00603F53"/>
    <w:rsid w:val="00605713"/>
    <w:rsid w:val="00605946"/>
    <w:rsid w:val="00605C82"/>
    <w:rsid w:val="00605C85"/>
    <w:rsid w:val="00606FB0"/>
    <w:rsid w:val="006126D6"/>
    <w:rsid w:val="00612792"/>
    <w:rsid w:val="00613410"/>
    <w:rsid w:val="00614E77"/>
    <w:rsid w:val="00615151"/>
    <w:rsid w:val="00615716"/>
    <w:rsid w:val="00615DFE"/>
    <w:rsid w:val="0061608D"/>
    <w:rsid w:val="0061680D"/>
    <w:rsid w:val="006173D9"/>
    <w:rsid w:val="00620005"/>
    <w:rsid w:val="006230DB"/>
    <w:rsid w:val="00623E0C"/>
    <w:rsid w:val="006240C3"/>
    <w:rsid w:val="006247C3"/>
    <w:rsid w:val="00624E3B"/>
    <w:rsid w:val="0062522D"/>
    <w:rsid w:val="00626167"/>
    <w:rsid w:val="006267D4"/>
    <w:rsid w:val="00627154"/>
    <w:rsid w:val="0062796F"/>
    <w:rsid w:val="00630000"/>
    <w:rsid w:val="00630913"/>
    <w:rsid w:val="0063217B"/>
    <w:rsid w:val="00632530"/>
    <w:rsid w:val="006339F2"/>
    <w:rsid w:val="00634AFA"/>
    <w:rsid w:val="00634C4D"/>
    <w:rsid w:val="00635D29"/>
    <w:rsid w:val="0063619F"/>
    <w:rsid w:val="0063756A"/>
    <w:rsid w:val="00640050"/>
    <w:rsid w:val="00640AD7"/>
    <w:rsid w:val="00641F63"/>
    <w:rsid w:val="006429D0"/>
    <w:rsid w:val="006434CD"/>
    <w:rsid w:val="00644B03"/>
    <w:rsid w:val="00644B6C"/>
    <w:rsid w:val="0064608E"/>
    <w:rsid w:val="00646ACC"/>
    <w:rsid w:val="00651183"/>
    <w:rsid w:val="006515C8"/>
    <w:rsid w:val="006522CD"/>
    <w:rsid w:val="006523C6"/>
    <w:rsid w:val="00652F3C"/>
    <w:rsid w:val="00653374"/>
    <w:rsid w:val="0065376B"/>
    <w:rsid w:val="00653EE3"/>
    <w:rsid w:val="00653EFE"/>
    <w:rsid w:val="00654255"/>
    <w:rsid w:val="00654BBD"/>
    <w:rsid w:val="00654FF1"/>
    <w:rsid w:val="0065599C"/>
    <w:rsid w:val="00655F6F"/>
    <w:rsid w:val="006569F9"/>
    <w:rsid w:val="006602FD"/>
    <w:rsid w:val="006605CB"/>
    <w:rsid w:val="00660BE8"/>
    <w:rsid w:val="006617D7"/>
    <w:rsid w:val="00661E23"/>
    <w:rsid w:val="006626A4"/>
    <w:rsid w:val="006631A3"/>
    <w:rsid w:val="00663462"/>
    <w:rsid w:val="006636A5"/>
    <w:rsid w:val="006638D8"/>
    <w:rsid w:val="0066426C"/>
    <w:rsid w:val="00664280"/>
    <w:rsid w:val="0066449F"/>
    <w:rsid w:val="0066465B"/>
    <w:rsid w:val="00664F25"/>
    <w:rsid w:val="006652FA"/>
    <w:rsid w:val="00665E35"/>
    <w:rsid w:val="00666F07"/>
    <w:rsid w:val="00670A5E"/>
    <w:rsid w:val="00671819"/>
    <w:rsid w:val="006729B8"/>
    <w:rsid w:val="00672BDD"/>
    <w:rsid w:val="00673D57"/>
    <w:rsid w:val="00674188"/>
    <w:rsid w:val="006742C1"/>
    <w:rsid w:val="0067432A"/>
    <w:rsid w:val="0067518E"/>
    <w:rsid w:val="00675C7E"/>
    <w:rsid w:val="00677016"/>
    <w:rsid w:val="00681A54"/>
    <w:rsid w:val="006820FA"/>
    <w:rsid w:val="00684536"/>
    <w:rsid w:val="00684A96"/>
    <w:rsid w:val="00686038"/>
    <w:rsid w:val="006871D5"/>
    <w:rsid w:val="0069041E"/>
    <w:rsid w:val="00691845"/>
    <w:rsid w:val="00692005"/>
    <w:rsid w:val="006930CE"/>
    <w:rsid w:val="006933CA"/>
    <w:rsid w:val="00693E9F"/>
    <w:rsid w:val="00694316"/>
    <w:rsid w:val="006945F6"/>
    <w:rsid w:val="0069464F"/>
    <w:rsid w:val="006960B5"/>
    <w:rsid w:val="006961E4"/>
    <w:rsid w:val="006964DE"/>
    <w:rsid w:val="00696E92"/>
    <w:rsid w:val="00696F07"/>
    <w:rsid w:val="00697364"/>
    <w:rsid w:val="006975B1"/>
    <w:rsid w:val="006A05FD"/>
    <w:rsid w:val="006A0FE0"/>
    <w:rsid w:val="006A217F"/>
    <w:rsid w:val="006A2A45"/>
    <w:rsid w:val="006A3D32"/>
    <w:rsid w:val="006A4F44"/>
    <w:rsid w:val="006A6D4D"/>
    <w:rsid w:val="006B0417"/>
    <w:rsid w:val="006B0B77"/>
    <w:rsid w:val="006B1140"/>
    <w:rsid w:val="006B141F"/>
    <w:rsid w:val="006B143A"/>
    <w:rsid w:val="006B1501"/>
    <w:rsid w:val="006B1DCA"/>
    <w:rsid w:val="006B42A5"/>
    <w:rsid w:val="006B5DE9"/>
    <w:rsid w:val="006B653E"/>
    <w:rsid w:val="006C11F9"/>
    <w:rsid w:val="006C197C"/>
    <w:rsid w:val="006C1B35"/>
    <w:rsid w:val="006C3455"/>
    <w:rsid w:val="006C34C7"/>
    <w:rsid w:val="006C36E2"/>
    <w:rsid w:val="006C42B2"/>
    <w:rsid w:val="006C6783"/>
    <w:rsid w:val="006C692B"/>
    <w:rsid w:val="006C7D62"/>
    <w:rsid w:val="006D0082"/>
    <w:rsid w:val="006D0C20"/>
    <w:rsid w:val="006D14FF"/>
    <w:rsid w:val="006D1924"/>
    <w:rsid w:val="006D2153"/>
    <w:rsid w:val="006D2766"/>
    <w:rsid w:val="006D46F0"/>
    <w:rsid w:val="006D4BF3"/>
    <w:rsid w:val="006D4CB8"/>
    <w:rsid w:val="006D56DF"/>
    <w:rsid w:val="006D6498"/>
    <w:rsid w:val="006D670D"/>
    <w:rsid w:val="006D6D45"/>
    <w:rsid w:val="006E152F"/>
    <w:rsid w:val="006E25DA"/>
    <w:rsid w:val="006E272E"/>
    <w:rsid w:val="006E3A6B"/>
    <w:rsid w:val="006E3E41"/>
    <w:rsid w:val="006E4E88"/>
    <w:rsid w:val="006E5825"/>
    <w:rsid w:val="006E7798"/>
    <w:rsid w:val="006E7D2E"/>
    <w:rsid w:val="006F00B5"/>
    <w:rsid w:val="006F021A"/>
    <w:rsid w:val="006F07BA"/>
    <w:rsid w:val="006F10CB"/>
    <w:rsid w:val="006F1C82"/>
    <w:rsid w:val="006F2CF4"/>
    <w:rsid w:val="006F3221"/>
    <w:rsid w:val="006F3694"/>
    <w:rsid w:val="006F3F9A"/>
    <w:rsid w:val="006F48BA"/>
    <w:rsid w:val="006F4E7C"/>
    <w:rsid w:val="006F5089"/>
    <w:rsid w:val="006F59DB"/>
    <w:rsid w:val="00700350"/>
    <w:rsid w:val="00700555"/>
    <w:rsid w:val="00700B62"/>
    <w:rsid w:val="00700E5B"/>
    <w:rsid w:val="00701430"/>
    <w:rsid w:val="00701E16"/>
    <w:rsid w:val="00704650"/>
    <w:rsid w:val="007078C1"/>
    <w:rsid w:val="00710DDF"/>
    <w:rsid w:val="007113C5"/>
    <w:rsid w:val="00712501"/>
    <w:rsid w:val="00712C15"/>
    <w:rsid w:val="00713113"/>
    <w:rsid w:val="007132DF"/>
    <w:rsid w:val="00713CA8"/>
    <w:rsid w:val="00714693"/>
    <w:rsid w:val="007174B3"/>
    <w:rsid w:val="00717CE8"/>
    <w:rsid w:val="0072058A"/>
    <w:rsid w:val="00720953"/>
    <w:rsid w:val="00721176"/>
    <w:rsid w:val="0072207B"/>
    <w:rsid w:val="007221D0"/>
    <w:rsid w:val="007223FA"/>
    <w:rsid w:val="00722A54"/>
    <w:rsid w:val="00723A42"/>
    <w:rsid w:val="00723B2F"/>
    <w:rsid w:val="007242C7"/>
    <w:rsid w:val="00725274"/>
    <w:rsid w:val="0072569C"/>
    <w:rsid w:val="007257BA"/>
    <w:rsid w:val="00727C81"/>
    <w:rsid w:val="00730DE9"/>
    <w:rsid w:val="00731B92"/>
    <w:rsid w:val="007322AE"/>
    <w:rsid w:val="00733386"/>
    <w:rsid w:val="0073487C"/>
    <w:rsid w:val="00734B07"/>
    <w:rsid w:val="00736827"/>
    <w:rsid w:val="00736CBC"/>
    <w:rsid w:val="0074221E"/>
    <w:rsid w:val="00742342"/>
    <w:rsid w:val="00742733"/>
    <w:rsid w:val="0074319F"/>
    <w:rsid w:val="0074452E"/>
    <w:rsid w:val="007451DF"/>
    <w:rsid w:val="007452E0"/>
    <w:rsid w:val="00745904"/>
    <w:rsid w:val="00745AD3"/>
    <w:rsid w:val="00745C40"/>
    <w:rsid w:val="00746C5A"/>
    <w:rsid w:val="007479A1"/>
    <w:rsid w:val="00751590"/>
    <w:rsid w:val="007518B4"/>
    <w:rsid w:val="00752417"/>
    <w:rsid w:val="0075390D"/>
    <w:rsid w:val="00754549"/>
    <w:rsid w:val="00754C0D"/>
    <w:rsid w:val="007558D4"/>
    <w:rsid w:val="00756AEB"/>
    <w:rsid w:val="00757670"/>
    <w:rsid w:val="0076021E"/>
    <w:rsid w:val="007602F5"/>
    <w:rsid w:val="0076182C"/>
    <w:rsid w:val="00761932"/>
    <w:rsid w:val="0076239F"/>
    <w:rsid w:val="0076264E"/>
    <w:rsid w:val="00762828"/>
    <w:rsid w:val="007634B8"/>
    <w:rsid w:val="007638F4"/>
    <w:rsid w:val="00764430"/>
    <w:rsid w:val="00765CF2"/>
    <w:rsid w:val="00766609"/>
    <w:rsid w:val="00766A53"/>
    <w:rsid w:val="00766D53"/>
    <w:rsid w:val="00766EB3"/>
    <w:rsid w:val="00767342"/>
    <w:rsid w:val="007704A2"/>
    <w:rsid w:val="0077107B"/>
    <w:rsid w:val="00771546"/>
    <w:rsid w:val="00771E35"/>
    <w:rsid w:val="00771EA9"/>
    <w:rsid w:val="00771EC4"/>
    <w:rsid w:val="0077200A"/>
    <w:rsid w:val="0077234D"/>
    <w:rsid w:val="007725B4"/>
    <w:rsid w:val="00772637"/>
    <w:rsid w:val="00772767"/>
    <w:rsid w:val="00772A2C"/>
    <w:rsid w:val="007740D6"/>
    <w:rsid w:val="007749AD"/>
    <w:rsid w:val="00774ADE"/>
    <w:rsid w:val="00775F27"/>
    <w:rsid w:val="0077610A"/>
    <w:rsid w:val="0077740D"/>
    <w:rsid w:val="00777BB8"/>
    <w:rsid w:val="00780334"/>
    <w:rsid w:val="00780943"/>
    <w:rsid w:val="007818A3"/>
    <w:rsid w:val="007821F7"/>
    <w:rsid w:val="00782A7A"/>
    <w:rsid w:val="00782B17"/>
    <w:rsid w:val="00782D69"/>
    <w:rsid w:val="00783D5A"/>
    <w:rsid w:val="00783DD3"/>
    <w:rsid w:val="00783FDB"/>
    <w:rsid w:val="0078464C"/>
    <w:rsid w:val="00784FCB"/>
    <w:rsid w:val="007851F5"/>
    <w:rsid w:val="007868C5"/>
    <w:rsid w:val="007901AB"/>
    <w:rsid w:val="00791A64"/>
    <w:rsid w:val="007933B8"/>
    <w:rsid w:val="007940AD"/>
    <w:rsid w:val="0079410B"/>
    <w:rsid w:val="00794347"/>
    <w:rsid w:val="0079461D"/>
    <w:rsid w:val="0079499D"/>
    <w:rsid w:val="00795740"/>
    <w:rsid w:val="00795E73"/>
    <w:rsid w:val="00796296"/>
    <w:rsid w:val="007967E3"/>
    <w:rsid w:val="00796F6D"/>
    <w:rsid w:val="007972F9"/>
    <w:rsid w:val="007974E5"/>
    <w:rsid w:val="007A0F15"/>
    <w:rsid w:val="007A1A9E"/>
    <w:rsid w:val="007A27DA"/>
    <w:rsid w:val="007A2C58"/>
    <w:rsid w:val="007A2F51"/>
    <w:rsid w:val="007A35FE"/>
    <w:rsid w:val="007A3A82"/>
    <w:rsid w:val="007A3E9A"/>
    <w:rsid w:val="007A43A5"/>
    <w:rsid w:val="007A5627"/>
    <w:rsid w:val="007A5EFA"/>
    <w:rsid w:val="007A5F64"/>
    <w:rsid w:val="007A628F"/>
    <w:rsid w:val="007A720C"/>
    <w:rsid w:val="007B0352"/>
    <w:rsid w:val="007B11E7"/>
    <w:rsid w:val="007B192D"/>
    <w:rsid w:val="007B27E8"/>
    <w:rsid w:val="007B3C83"/>
    <w:rsid w:val="007B4A2F"/>
    <w:rsid w:val="007B6151"/>
    <w:rsid w:val="007B6C50"/>
    <w:rsid w:val="007B7E27"/>
    <w:rsid w:val="007C065E"/>
    <w:rsid w:val="007C0E69"/>
    <w:rsid w:val="007C1293"/>
    <w:rsid w:val="007C27F1"/>
    <w:rsid w:val="007C2D50"/>
    <w:rsid w:val="007C4009"/>
    <w:rsid w:val="007C5626"/>
    <w:rsid w:val="007D1028"/>
    <w:rsid w:val="007D23EA"/>
    <w:rsid w:val="007D2D00"/>
    <w:rsid w:val="007D3EC5"/>
    <w:rsid w:val="007D4C76"/>
    <w:rsid w:val="007D67D3"/>
    <w:rsid w:val="007D7A32"/>
    <w:rsid w:val="007E0D6F"/>
    <w:rsid w:val="007E2A03"/>
    <w:rsid w:val="007E2E59"/>
    <w:rsid w:val="007E4046"/>
    <w:rsid w:val="007E7194"/>
    <w:rsid w:val="007E7380"/>
    <w:rsid w:val="007F0BB8"/>
    <w:rsid w:val="007F0E9A"/>
    <w:rsid w:val="007F19DB"/>
    <w:rsid w:val="007F207B"/>
    <w:rsid w:val="007F2082"/>
    <w:rsid w:val="007F238B"/>
    <w:rsid w:val="007F2500"/>
    <w:rsid w:val="007F2ADA"/>
    <w:rsid w:val="007F4316"/>
    <w:rsid w:val="007F4BBF"/>
    <w:rsid w:val="007F4BDB"/>
    <w:rsid w:val="007F5527"/>
    <w:rsid w:val="007F576B"/>
    <w:rsid w:val="007F6824"/>
    <w:rsid w:val="007F6826"/>
    <w:rsid w:val="007F6B98"/>
    <w:rsid w:val="007F6DA4"/>
    <w:rsid w:val="007F7074"/>
    <w:rsid w:val="007F7779"/>
    <w:rsid w:val="007F79DB"/>
    <w:rsid w:val="00800BF2"/>
    <w:rsid w:val="0080176C"/>
    <w:rsid w:val="00802121"/>
    <w:rsid w:val="00802375"/>
    <w:rsid w:val="0080314E"/>
    <w:rsid w:val="008035A2"/>
    <w:rsid w:val="00803AC3"/>
    <w:rsid w:val="008049A0"/>
    <w:rsid w:val="00804EF8"/>
    <w:rsid w:val="0080601C"/>
    <w:rsid w:val="00806076"/>
    <w:rsid w:val="00806274"/>
    <w:rsid w:val="00806B2C"/>
    <w:rsid w:val="00806C8D"/>
    <w:rsid w:val="00806E9A"/>
    <w:rsid w:val="00810997"/>
    <w:rsid w:val="00811217"/>
    <w:rsid w:val="0081161B"/>
    <w:rsid w:val="00811824"/>
    <w:rsid w:val="00811F3B"/>
    <w:rsid w:val="008145FB"/>
    <w:rsid w:val="0081605A"/>
    <w:rsid w:val="0081735A"/>
    <w:rsid w:val="00817698"/>
    <w:rsid w:val="0082011D"/>
    <w:rsid w:val="00820DB0"/>
    <w:rsid w:val="008211FD"/>
    <w:rsid w:val="00821261"/>
    <w:rsid w:val="00822A59"/>
    <w:rsid w:val="00823AC6"/>
    <w:rsid w:val="0082442B"/>
    <w:rsid w:val="0082589B"/>
    <w:rsid w:val="0082621C"/>
    <w:rsid w:val="00826960"/>
    <w:rsid w:val="0082742F"/>
    <w:rsid w:val="00827435"/>
    <w:rsid w:val="0082777B"/>
    <w:rsid w:val="00827B87"/>
    <w:rsid w:val="00830E48"/>
    <w:rsid w:val="00831267"/>
    <w:rsid w:val="008313B1"/>
    <w:rsid w:val="00832269"/>
    <w:rsid w:val="0083270B"/>
    <w:rsid w:val="008327F2"/>
    <w:rsid w:val="00834EC2"/>
    <w:rsid w:val="00834ED1"/>
    <w:rsid w:val="00834F4F"/>
    <w:rsid w:val="008360B4"/>
    <w:rsid w:val="00836B62"/>
    <w:rsid w:val="0083731E"/>
    <w:rsid w:val="00837328"/>
    <w:rsid w:val="0083750A"/>
    <w:rsid w:val="00837EEB"/>
    <w:rsid w:val="00841106"/>
    <w:rsid w:val="00841DCC"/>
    <w:rsid w:val="00841EA8"/>
    <w:rsid w:val="00842477"/>
    <w:rsid w:val="00842AC1"/>
    <w:rsid w:val="00842F7C"/>
    <w:rsid w:val="008433F4"/>
    <w:rsid w:val="00844298"/>
    <w:rsid w:val="00844820"/>
    <w:rsid w:val="00844BE2"/>
    <w:rsid w:val="00845787"/>
    <w:rsid w:val="008461B6"/>
    <w:rsid w:val="00846517"/>
    <w:rsid w:val="00847291"/>
    <w:rsid w:val="00847EB6"/>
    <w:rsid w:val="008508DD"/>
    <w:rsid w:val="00850978"/>
    <w:rsid w:val="00853140"/>
    <w:rsid w:val="0085331D"/>
    <w:rsid w:val="00853329"/>
    <w:rsid w:val="00853D50"/>
    <w:rsid w:val="008550E9"/>
    <w:rsid w:val="008557D5"/>
    <w:rsid w:val="008564C2"/>
    <w:rsid w:val="00856692"/>
    <w:rsid w:val="00856916"/>
    <w:rsid w:val="0085696B"/>
    <w:rsid w:val="00857FEE"/>
    <w:rsid w:val="0086254C"/>
    <w:rsid w:val="00863518"/>
    <w:rsid w:val="00864668"/>
    <w:rsid w:val="00864B93"/>
    <w:rsid w:val="00864FCB"/>
    <w:rsid w:val="0086570B"/>
    <w:rsid w:val="008658B2"/>
    <w:rsid w:val="00865EC2"/>
    <w:rsid w:val="008675FB"/>
    <w:rsid w:val="0087006E"/>
    <w:rsid w:val="0087013C"/>
    <w:rsid w:val="008701E1"/>
    <w:rsid w:val="008703FA"/>
    <w:rsid w:val="00870DBE"/>
    <w:rsid w:val="00872209"/>
    <w:rsid w:val="0087312A"/>
    <w:rsid w:val="008731CF"/>
    <w:rsid w:val="0087347A"/>
    <w:rsid w:val="008744CB"/>
    <w:rsid w:val="00874BA3"/>
    <w:rsid w:val="008750D6"/>
    <w:rsid w:val="0087666B"/>
    <w:rsid w:val="00876979"/>
    <w:rsid w:val="0087778F"/>
    <w:rsid w:val="00880C54"/>
    <w:rsid w:val="00882CAE"/>
    <w:rsid w:val="00882E96"/>
    <w:rsid w:val="00883F76"/>
    <w:rsid w:val="00885127"/>
    <w:rsid w:val="00885293"/>
    <w:rsid w:val="00885497"/>
    <w:rsid w:val="0089044F"/>
    <w:rsid w:val="00890475"/>
    <w:rsid w:val="008921EC"/>
    <w:rsid w:val="00892DED"/>
    <w:rsid w:val="00893151"/>
    <w:rsid w:val="008935C8"/>
    <w:rsid w:val="008936B9"/>
    <w:rsid w:val="008939F7"/>
    <w:rsid w:val="0089518A"/>
    <w:rsid w:val="0089693E"/>
    <w:rsid w:val="00896FAF"/>
    <w:rsid w:val="0089783B"/>
    <w:rsid w:val="008A093E"/>
    <w:rsid w:val="008A15D0"/>
    <w:rsid w:val="008A24BC"/>
    <w:rsid w:val="008A3288"/>
    <w:rsid w:val="008A336C"/>
    <w:rsid w:val="008A6411"/>
    <w:rsid w:val="008A6EDD"/>
    <w:rsid w:val="008A73EB"/>
    <w:rsid w:val="008B1150"/>
    <w:rsid w:val="008B2BB1"/>
    <w:rsid w:val="008B362E"/>
    <w:rsid w:val="008B3E97"/>
    <w:rsid w:val="008B497C"/>
    <w:rsid w:val="008B5ABA"/>
    <w:rsid w:val="008B5D40"/>
    <w:rsid w:val="008B6002"/>
    <w:rsid w:val="008B6BF0"/>
    <w:rsid w:val="008B6E44"/>
    <w:rsid w:val="008B6F3D"/>
    <w:rsid w:val="008B781E"/>
    <w:rsid w:val="008C040A"/>
    <w:rsid w:val="008C0B6D"/>
    <w:rsid w:val="008C21E7"/>
    <w:rsid w:val="008C3249"/>
    <w:rsid w:val="008C43B8"/>
    <w:rsid w:val="008C466B"/>
    <w:rsid w:val="008C497D"/>
    <w:rsid w:val="008C4A04"/>
    <w:rsid w:val="008C4A77"/>
    <w:rsid w:val="008C5203"/>
    <w:rsid w:val="008C7533"/>
    <w:rsid w:val="008D00A2"/>
    <w:rsid w:val="008D0873"/>
    <w:rsid w:val="008D1C34"/>
    <w:rsid w:val="008D3059"/>
    <w:rsid w:val="008D37EA"/>
    <w:rsid w:val="008D3819"/>
    <w:rsid w:val="008D44C3"/>
    <w:rsid w:val="008D465C"/>
    <w:rsid w:val="008D4DB1"/>
    <w:rsid w:val="008D4E34"/>
    <w:rsid w:val="008D5322"/>
    <w:rsid w:val="008D7476"/>
    <w:rsid w:val="008D7536"/>
    <w:rsid w:val="008D7764"/>
    <w:rsid w:val="008E1DAD"/>
    <w:rsid w:val="008E1EC8"/>
    <w:rsid w:val="008E25A6"/>
    <w:rsid w:val="008E347E"/>
    <w:rsid w:val="008E414A"/>
    <w:rsid w:val="008E488A"/>
    <w:rsid w:val="008E4E54"/>
    <w:rsid w:val="008E670E"/>
    <w:rsid w:val="008E6969"/>
    <w:rsid w:val="008E7AEC"/>
    <w:rsid w:val="008F0EE0"/>
    <w:rsid w:val="008F1153"/>
    <w:rsid w:val="008F1581"/>
    <w:rsid w:val="008F232A"/>
    <w:rsid w:val="008F2746"/>
    <w:rsid w:val="008F2BCA"/>
    <w:rsid w:val="008F48A2"/>
    <w:rsid w:val="008F51FA"/>
    <w:rsid w:val="008F5277"/>
    <w:rsid w:val="008F6E35"/>
    <w:rsid w:val="008F6E4B"/>
    <w:rsid w:val="008F79CA"/>
    <w:rsid w:val="008F7B2B"/>
    <w:rsid w:val="00900735"/>
    <w:rsid w:val="00900F75"/>
    <w:rsid w:val="00901AE2"/>
    <w:rsid w:val="00901B50"/>
    <w:rsid w:val="009034FB"/>
    <w:rsid w:val="0090370A"/>
    <w:rsid w:val="0090370F"/>
    <w:rsid w:val="00903C0D"/>
    <w:rsid w:val="00903E2C"/>
    <w:rsid w:val="00904482"/>
    <w:rsid w:val="00904B49"/>
    <w:rsid w:val="00904D70"/>
    <w:rsid w:val="009051C2"/>
    <w:rsid w:val="0090573E"/>
    <w:rsid w:val="00907C16"/>
    <w:rsid w:val="00907FBE"/>
    <w:rsid w:val="00910917"/>
    <w:rsid w:val="00911954"/>
    <w:rsid w:val="0091352F"/>
    <w:rsid w:val="009144AA"/>
    <w:rsid w:val="009147C8"/>
    <w:rsid w:val="00916220"/>
    <w:rsid w:val="0091747E"/>
    <w:rsid w:val="0092066D"/>
    <w:rsid w:val="009209CF"/>
    <w:rsid w:val="00920A7B"/>
    <w:rsid w:val="00920EB9"/>
    <w:rsid w:val="009218F3"/>
    <w:rsid w:val="0092372D"/>
    <w:rsid w:val="00923B34"/>
    <w:rsid w:val="00923B73"/>
    <w:rsid w:val="00925391"/>
    <w:rsid w:val="009260EE"/>
    <w:rsid w:val="009267EF"/>
    <w:rsid w:val="00926ADA"/>
    <w:rsid w:val="009277D5"/>
    <w:rsid w:val="009305AF"/>
    <w:rsid w:val="009307C7"/>
    <w:rsid w:val="009317A6"/>
    <w:rsid w:val="00932618"/>
    <w:rsid w:val="009327C1"/>
    <w:rsid w:val="00932EC2"/>
    <w:rsid w:val="009334B1"/>
    <w:rsid w:val="009340C2"/>
    <w:rsid w:val="00935568"/>
    <w:rsid w:val="00935691"/>
    <w:rsid w:val="0093798D"/>
    <w:rsid w:val="009412AE"/>
    <w:rsid w:val="009424CC"/>
    <w:rsid w:val="00942911"/>
    <w:rsid w:val="00942EEC"/>
    <w:rsid w:val="009439AD"/>
    <w:rsid w:val="0094558D"/>
    <w:rsid w:val="009459E4"/>
    <w:rsid w:val="009475F1"/>
    <w:rsid w:val="00947633"/>
    <w:rsid w:val="0094794A"/>
    <w:rsid w:val="00947CC0"/>
    <w:rsid w:val="00951542"/>
    <w:rsid w:val="0095183E"/>
    <w:rsid w:val="00952A7B"/>
    <w:rsid w:val="009539AB"/>
    <w:rsid w:val="00954F69"/>
    <w:rsid w:val="0095553A"/>
    <w:rsid w:val="0095754A"/>
    <w:rsid w:val="00957BC6"/>
    <w:rsid w:val="009629A4"/>
    <w:rsid w:val="00962DB9"/>
    <w:rsid w:val="00962E9D"/>
    <w:rsid w:val="00964BC2"/>
    <w:rsid w:val="0096590B"/>
    <w:rsid w:val="0096593A"/>
    <w:rsid w:val="009667C9"/>
    <w:rsid w:val="009669A6"/>
    <w:rsid w:val="00966A9B"/>
    <w:rsid w:val="00970395"/>
    <w:rsid w:val="0097357A"/>
    <w:rsid w:val="0097369A"/>
    <w:rsid w:val="00973870"/>
    <w:rsid w:val="00973DB9"/>
    <w:rsid w:val="009743D7"/>
    <w:rsid w:val="009744EE"/>
    <w:rsid w:val="00974A49"/>
    <w:rsid w:val="00975B82"/>
    <w:rsid w:val="0097676C"/>
    <w:rsid w:val="009771DB"/>
    <w:rsid w:val="0098172C"/>
    <w:rsid w:val="00981836"/>
    <w:rsid w:val="00981E01"/>
    <w:rsid w:val="00985133"/>
    <w:rsid w:val="00985615"/>
    <w:rsid w:val="00985EDD"/>
    <w:rsid w:val="00986062"/>
    <w:rsid w:val="00986D95"/>
    <w:rsid w:val="00986EA1"/>
    <w:rsid w:val="00986F3D"/>
    <w:rsid w:val="0099187B"/>
    <w:rsid w:val="00991EC0"/>
    <w:rsid w:val="00992B01"/>
    <w:rsid w:val="00992DCC"/>
    <w:rsid w:val="009934FC"/>
    <w:rsid w:val="00993C73"/>
    <w:rsid w:val="00994FDE"/>
    <w:rsid w:val="009953F0"/>
    <w:rsid w:val="00995E7A"/>
    <w:rsid w:val="009A025E"/>
    <w:rsid w:val="009A0E25"/>
    <w:rsid w:val="009A166E"/>
    <w:rsid w:val="009A195F"/>
    <w:rsid w:val="009A28F2"/>
    <w:rsid w:val="009A351A"/>
    <w:rsid w:val="009A3667"/>
    <w:rsid w:val="009A4974"/>
    <w:rsid w:val="009A4B36"/>
    <w:rsid w:val="009A6B5F"/>
    <w:rsid w:val="009B02FD"/>
    <w:rsid w:val="009B06B7"/>
    <w:rsid w:val="009B120D"/>
    <w:rsid w:val="009B1AD7"/>
    <w:rsid w:val="009B1EB4"/>
    <w:rsid w:val="009B2BEA"/>
    <w:rsid w:val="009B347E"/>
    <w:rsid w:val="009B4824"/>
    <w:rsid w:val="009B573C"/>
    <w:rsid w:val="009B77E3"/>
    <w:rsid w:val="009B7E4A"/>
    <w:rsid w:val="009C0323"/>
    <w:rsid w:val="009C073A"/>
    <w:rsid w:val="009C108B"/>
    <w:rsid w:val="009C33B1"/>
    <w:rsid w:val="009C46BE"/>
    <w:rsid w:val="009C4B0B"/>
    <w:rsid w:val="009D0F25"/>
    <w:rsid w:val="009D1D20"/>
    <w:rsid w:val="009D2536"/>
    <w:rsid w:val="009D4248"/>
    <w:rsid w:val="009D45D0"/>
    <w:rsid w:val="009D5DDB"/>
    <w:rsid w:val="009D740F"/>
    <w:rsid w:val="009D764D"/>
    <w:rsid w:val="009D7FB7"/>
    <w:rsid w:val="009E07AF"/>
    <w:rsid w:val="009E09A9"/>
    <w:rsid w:val="009E2183"/>
    <w:rsid w:val="009E3208"/>
    <w:rsid w:val="009E3581"/>
    <w:rsid w:val="009E6B60"/>
    <w:rsid w:val="009E75BE"/>
    <w:rsid w:val="009E7E25"/>
    <w:rsid w:val="009F018E"/>
    <w:rsid w:val="009F161F"/>
    <w:rsid w:val="009F1685"/>
    <w:rsid w:val="009F16A3"/>
    <w:rsid w:val="009F18C7"/>
    <w:rsid w:val="009F23F9"/>
    <w:rsid w:val="009F4B74"/>
    <w:rsid w:val="009F4F70"/>
    <w:rsid w:val="009F679C"/>
    <w:rsid w:val="009F6989"/>
    <w:rsid w:val="009F6A64"/>
    <w:rsid w:val="00A000AF"/>
    <w:rsid w:val="00A008CD"/>
    <w:rsid w:val="00A020B1"/>
    <w:rsid w:val="00A0225D"/>
    <w:rsid w:val="00A027E7"/>
    <w:rsid w:val="00A02AF0"/>
    <w:rsid w:val="00A03427"/>
    <w:rsid w:val="00A0573C"/>
    <w:rsid w:val="00A05BFF"/>
    <w:rsid w:val="00A060BE"/>
    <w:rsid w:val="00A06B0E"/>
    <w:rsid w:val="00A06BA6"/>
    <w:rsid w:val="00A10830"/>
    <w:rsid w:val="00A12413"/>
    <w:rsid w:val="00A1329F"/>
    <w:rsid w:val="00A165B8"/>
    <w:rsid w:val="00A21967"/>
    <w:rsid w:val="00A21B62"/>
    <w:rsid w:val="00A21ECF"/>
    <w:rsid w:val="00A24119"/>
    <w:rsid w:val="00A2479E"/>
    <w:rsid w:val="00A24D37"/>
    <w:rsid w:val="00A263B2"/>
    <w:rsid w:val="00A26B4E"/>
    <w:rsid w:val="00A26CDA"/>
    <w:rsid w:val="00A27DBD"/>
    <w:rsid w:val="00A31227"/>
    <w:rsid w:val="00A31E6A"/>
    <w:rsid w:val="00A33389"/>
    <w:rsid w:val="00A334B5"/>
    <w:rsid w:val="00A33B61"/>
    <w:rsid w:val="00A3409D"/>
    <w:rsid w:val="00A34736"/>
    <w:rsid w:val="00A3525A"/>
    <w:rsid w:val="00A35B61"/>
    <w:rsid w:val="00A3674D"/>
    <w:rsid w:val="00A36CF1"/>
    <w:rsid w:val="00A370F2"/>
    <w:rsid w:val="00A4064A"/>
    <w:rsid w:val="00A418FE"/>
    <w:rsid w:val="00A431F3"/>
    <w:rsid w:val="00A43542"/>
    <w:rsid w:val="00A43B35"/>
    <w:rsid w:val="00A43BAE"/>
    <w:rsid w:val="00A44444"/>
    <w:rsid w:val="00A45928"/>
    <w:rsid w:val="00A45A0B"/>
    <w:rsid w:val="00A462CD"/>
    <w:rsid w:val="00A46571"/>
    <w:rsid w:val="00A47F97"/>
    <w:rsid w:val="00A5012D"/>
    <w:rsid w:val="00A50A5F"/>
    <w:rsid w:val="00A50D64"/>
    <w:rsid w:val="00A50DC9"/>
    <w:rsid w:val="00A51DD8"/>
    <w:rsid w:val="00A51F01"/>
    <w:rsid w:val="00A532F3"/>
    <w:rsid w:val="00A545C1"/>
    <w:rsid w:val="00A548F7"/>
    <w:rsid w:val="00A54A8F"/>
    <w:rsid w:val="00A551A9"/>
    <w:rsid w:val="00A55A17"/>
    <w:rsid w:val="00A56F86"/>
    <w:rsid w:val="00A5735F"/>
    <w:rsid w:val="00A57632"/>
    <w:rsid w:val="00A60029"/>
    <w:rsid w:val="00A6082E"/>
    <w:rsid w:val="00A61087"/>
    <w:rsid w:val="00A612E9"/>
    <w:rsid w:val="00A6207A"/>
    <w:rsid w:val="00A6337F"/>
    <w:rsid w:val="00A63DCD"/>
    <w:rsid w:val="00A6502C"/>
    <w:rsid w:val="00A651C0"/>
    <w:rsid w:val="00A65A91"/>
    <w:rsid w:val="00A668A6"/>
    <w:rsid w:val="00A670A6"/>
    <w:rsid w:val="00A67B1A"/>
    <w:rsid w:val="00A67C29"/>
    <w:rsid w:val="00A70CC7"/>
    <w:rsid w:val="00A7100A"/>
    <w:rsid w:val="00A71105"/>
    <w:rsid w:val="00A71255"/>
    <w:rsid w:val="00A71660"/>
    <w:rsid w:val="00A72B9E"/>
    <w:rsid w:val="00A735E8"/>
    <w:rsid w:val="00A75646"/>
    <w:rsid w:val="00A77007"/>
    <w:rsid w:val="00A77A3F"/>
    <w:rsid w:val="00A8041B"/>
    <w:rsid w:val="00A80A27"/>
    <w:rsid w:val="00A80A91"/>
    <w:rsid w:val="00A81D1C"/>
    <w:rsid w:val="00A8333E"/>
    <w:rsid w:val="00A838C6"/>
    <w:rsid w:val="00A83B47"/>
    <w:rsid w:val="00A86EC8"/>
    <w:rsid w:val="00A90A53"/>
    <w:rsid w:val="00A9109D"/>
    <w:rsid w:val="00A9136E"/>
    <w:rsid w:val="00A91CDC"/>
    <w:rsid w:val="00A9451E"/>
    <w:rsid w:val="00A961F5"/>
    <w:rsid w:val="00AA2ECF"/>
    <w:rsid w:val="00AA31F3"/>
    <w:rsid w:val="00AA3645"/>
    <w:rsid w:val="00AA385C"/>
    <w:rsid w:val="00AA413A"/>
    <w:rsid w:val="00AA49D7"/>
    <w:rsid w:val="00AA4A9C"/>
    <w:rsid w:val="00AA4C74"/>
    <w:rsid w:val="00AA52BC"/>
    <w:rsid w:val="00AA5336"/>
    <w:rsid w:val="00AA58EC"/>
    <w:rsid w:val="00AA60EC"/>
    <w:rsid w:val="00AA663C"/>
    <w:rsid w:val="00AA70E7"/>
    <w:rsid w:val="00AA7A1E"/>
    <w:rsid w:val="00AA7BE5"/>
    <w:rsid w:val="00AA7D72"/>
    <w:rsid w:val="00AB03F8"/>
    <w:rsid w:val="00AB0427"/>
    <w:rsid w:val="00AB1607"/>
    <w:rsid w:val="00AB25E9"/>
    <w:rsid w:val="00AB27AF"/>
    <w:rsid w:val="00AB36E6"/>
    <w:rsid w:val="00AB42BB"/>
    <w:rsid w:val="00AB4436"/>
    <w:rsid w:val="00AB566E"/>
    <w:rsid w:val="00AB5955"/>
    <w:rsid w:val="00AB620C"/>
    <w:rsid w:val="00AB63D8"/>
    <w:rsid w:val="00AB71FF"/>
    <w:rsid w:val="00AB7235"/>
    <w:rsid w:val="00AB7992"/>
    <w:rsid w:val="00AC0D81"/>
    <w:rsid w:val="00AC0EBE"/>
    <w:rsid w:val="00AC2BC9"/>
    <w:rsid w:val="00AC4CFC"/>
    <w:rsid w:val="00AC64C6"/>
    <w:rsid w:val="00AC7111"/>
    <w:rsid w:val="00AC7C83"/>
    <w:rsid w:val="00AD0242"/>
    <w:rsid w:val="00AD11B0"/>
    <w:rsid w:val="00AD1D60"/>
    <w:rsid w:val="00AD244D"/>
    <w:rsid w:val="00AD24CD"/>
    <w:rsid w:val="00AD3627"/>
    <w:rsid w:val="00AD36F9"/>
    <w:rsid w:val="00AD4FFE"/>
    <w:rsid w:val="00AD5135"/>
    <w:rsid w:val="00AD5FAA"/>
    <w:rsid w:val="00AD7091"/>
    <w:rsid w:val="00AD7905"/>
    <w:rsid w:val="00AD7D61"/>
    <w:rsid w:val="00AD7F56"/>
    <w:rsid w:val="00AE01E6"/>
    <w:rsid w:val="00AE0782"/>
    <w:rsid w:val="00AE0F44"/>
    <w:rsid w:val="00AE13AB"/>
    <w:rsid w:val="00AE13AC"/>
    <w:rsid w:val="00AE25A3"/>
    <w:rsid w:val="00AE3970"/>
    <w:rsid w:val="00AE411F"/>
    <w:rsid w:val="00AE449C"/>
    <w:rsid w:val="00AE52E1"/>
    <w:rsid w:val="00AE61A1"/>
    <w:rsid w:val="00AE63F3"/>
    <w:rsid w:val="00AE68A9"/>
    <w:rsid w:val="00AE6CE6"/>
    <w:rsid w:val="00AE79A2"/>
    <w:rsid w:val="00AE7E7D"/>
    <w:rsid w:val="00AF0DE9"/>
    <w:rsid w:val="00AF15DC"/>
    <w:rsid w:val="00AF212E"/>
    <w:rsid w:val="00AF243E"/>
    <w:rsid w:val="00AF37EA"/>
    <w:rsid w:val="00AF4858"/>
    <w:rsid w:val="00AF5EA4"/>
    <w:rsid w:val="00AF7E4B"/>
    <w:rsid w:val="00B0061C"/>
    <w:rsid w:val="00B01D37"/>
    <w:rsid w:val="00B02B6C"/>
    <w:rsid w:val="00B030AE"/>
    <w:rsid w:val="00B04A96"/>
    <w:rsid w:val="00B0693C"/>
    <w:rsid w:val="00B075E0"/>
    <w:rsid w:val="00B07D76"/>
    <w:rsid w:val="00B101A5"/>
    <w:rsid w:val="00B1075F"/>
    <w:rsid w:val="00B1086E"/>
    <w:rsid w:val="00B10D06"/>
    <w:rsid w:val="00B10E35"/>
    <w:rsid w:val="00B11FC2"/>
    <w:rsid w:val="00B12755"/>
    <w:rsid w:val="00B12BF6"/>
    <w:rsid w:val="00B13381"/>
    <w:rsid w:val="00B13A97"/>
    <w:rsid w:val="00B147E5"/>
    <w:rsid w:val="00B14998"/>
    <w:rsid w:val="00B14DC4"/>
    <w:rsid w:val="00B15535"/>
    <w:rsid w:val="00B161DB"/>
    <w:rsid w:val="00B165E0"/>
    <w:rsid w:val="00B16E42"/>
    <w:rsid w:val="00B16F9E"/>
    <w:rsid w:val="00B17968"/>
    <w:rsid w:val="00B211E4"/>
    <w:rsid w:val="00B22711"/>
    <w:rsid w:val="00B24FA9"/>
    <w:rsid w:val="00B2514D"/>
    <w:rsid w:val="00B25433"/>
    <w:rsid w:val="00B25B1F"/>
    <w:rsid w:val="00B26461"/>
    <w:rsid w:val="00B279A6"/>
    <w:rsid w:val="00B312B1"/>
    <w:rsid w:val="00B3280F"/>
    <w:rsid w:val="00B3283E"/>
    <w:rsid w:val="00B36479"/>
    <w:rsid w:val="00B36A29"/>
    <w:rsid w:val="00B37E9C"/>
    <w:rsid w:val="00B406ED"/>
    <w:rsid w:val="00B430B6"/>
    <w:rsid w:val="00B431F8"/>
    <w:rsid w:val="00B44BE2"/>
    <w:rsid w:val="00B45072"/>
    <w:rsid w:val="00B4672C"/>
    <w:rsid w:val="00B46FFC"/>
    <w:rsid w:val="00B47466"/>
    <w:rsid w:val="00B50078"/>
    <w:rsid w:val="00B5031C"/>
    <w:rsid w:val="00B50393"/>
    <w:rsid w:val="00B51326"/>
    <w:rsid w:val="00B5188A"/>
    <w:rsid w:val="00B528BD"/>
    <w:rsid w:val="00B52CBD"/>
    <w:rsid w:val="00B53BD0"/>
    <w:rsid w:val="00B5553F"/>
    <w:rsid w:val="00B567CE"/>
    <w:rsid w:val="00B56C51"/>
    <w:rsid w:val="00B57470"/>
    <w:rsid w:val="00B5758B"/>
    <w:rsid w:val="00B579C3"/>
    <w:rsid w:val="00B60383"/>
    <w:rsid w:val="00B60ACA"/>
    <w:rsid w:val="00B61F69"/>
    <w:rsid w:val="00B627AA"/>
    <w:rsid w:val="00B62CCE"/>
    <w:rsid w:val="00B63883"/>
    <w:rsid w:val="00B6444A"/>
    <w:rsid w:val="00B646DA"/>
    <w:rsid w:val="00B64F5F"/>
    <w:rsid w:val="00B65155"/>
    <w:rsid w:val="00B65735"/>
    <w:rsid w:val="00B65CF1"/>
    <w:rsid w:val="00B661DB"/>
    <w:rsid w:val="00B66844"/>
    <w:rsid w:val="00B66DE7"/>
    <w:rsid w:val="00B67771"/>
    <w:rsid w:val="00B677F3"/>
    <w:rsid w:val="00B67A42"/>
    <w:rsid w:val="00B67AB4"/>
    <w:rsid w:val="00B67C09"/>
    <w:rsid w:val="00B714EE"/>
    <w:rsid w:val="00B71686"/>
    <w:rsid w:val="00B71BE8"/>
    <w:rsid w:val="00B7276D"/>
    <w:rsid w:val="00B7282E"/>
    <w:rsid w:val="00B729E4"/>
    <w:rsid w:val="00B72F09"/>
    <w:rsid w:val="00B731A4"/>
    <w:rsid w:val="00B73AA3"/>
    <w:rsid w:val="00B73CF4"/>
    <w:rsid w:val="00B74F09"/>
    <w:rsid w:val="00B75C1C"/>
    <w:rsid w:val="00B76A1B"/>
    <w:rsid w:val="00B77493"/>
    <w:rsid w:val="00B779D3"/>
    <w:rsid w:val="00B8159B"/>
    <w:rsid w:val="00B8221A"/>
    <w:rsid w:val="00B82AD2"/>
    <w:rsid w:val="00B83111"/>
    <w:rsid w:val="00B84618"/>
    <w:rsid w:val="00B84F6B"/>
    <w:rsid w:val="00B85C52"/>
    <w:rsid w:val="00B86088"/>
    <w:rsid w:val="00B877CF"/>
    <w:rsid w:val="00B879E5"/>
    <w:rsid w:val="00B90E17"/>
    <w:rsid w:val="00B912CE"/>
    <w:rsid w:val="00B9228E"/>
    <w:rsid w:val="00B9313F"/>
    <w:rsid w:val="00B93D44"/>
    <w:rsid w:val="00B93F6B"/>
    <w:rsid w:val="00B9460A"/>
    <w:rsid w:val="00B94C66"/>
    <w:rsid w:val="00B94C76"/>
    <w:rsid w:val="00B95342"/>
    <w:rsid w:val="00B95CEC"/>
    <w:rsid w:val="00B961BC"/>
    <w:rsid w:val="00B9644E"/>
    <w:rsid w:val="00B965C2"/>
    <w:rsid w:val="00B9688B"/>
    <w:rsid w:val="00B96ADD"/>
    <w:rsid w:val="00BA1072"/>
    <w:rsid w:val="00BA3239"/>
    <w:rsid w:val="00BA32CD"/>
    <w:rsid w:val="00BA3FBF"/>
    <w:rsid w:val="00BA4351"/>
    <w:rsid w:val="00BA4431"/>
    <w:rsid w:val="00BA4491"/>
    <w:rsid w:val="00BA56A8"/>
    <w:rsid w:val="00BA5730"/>
    <w:rsid w:val="00BA5915"/>
    <w:rsid w:val="00BA7BB8"/>
    <w:rsid w:val="00BB0CC7"/>
    <w:rsid w:val="00BB0F64"/>
    <w:rsid w:val="00BB115A"/>
    <w:rsid w:val="00BB141B"/>
    <w:rsid w:val="00BB1D29"/>
    <w:rsid w:val="00BB2891"/>
    <w:rsid w:val="00BB66F1"/>
    <w:rsid w:val="00BB69D7"/>
    <w:rsid w:val="00BB759B"/>
    <w:rsid w:val="00BC16C7"/>
    <w:rsid w:val="00BC1C26"/>
    <w:rsid w:val="00BC2E1F"/>
    <w:rsid w:val="00BC3402"/>
    <w:rsid w:val="00BC3BE0"/>
    <w:rsid w:val="00BC53B4"/>
    <w:rsid w:val="00BC582B"/>
    <w:rsid w:val="00BC6770"/>
    <w:rsid w:val="00BC6C2B"/>
    <w:rsid w:val="00BC7520"/>
    <w:rsid w:val="00BD0F74"/>
    <w:rsid w:val="00BD14A7"/>
    <w:rsid w:val="00BD1960"/>
    <w:rsid w:val="00BD22BB"/>
    <w:rsid w:val="00BD2657"/>
    <w:rsid w:val="00BD4231"/>
    <w:rsid w:val="00BD522C"/>
    <w:rsid w:val="00BD67E6"/>
    <w:rsid w:val="00BD6A2D"/>
    <w:rsid w:val="00BD7331"/>
    <w:rsid w:val="00BD79E5"/>
    <w:rsid w:val="00BD7A7A"/>
    <w:rsid w:val="00BE0815"/>
    <w:rsid w:val="00BE0855"/>
    <w:rsid w:val="00BE0D68"/>
    <w:rsid w:val="00BE17C5"/>
    <w:rsid w:val="00BE18EC"/>
    <w:rsid w:val="00BE1B05"/>
    <w:rsid w:val="00BE1D86"/>
    <w:rsid w:val="00BE256D"/>
    <w:rsid w:val="00BE2885"/>
    <w:rsid w:val="00BE3456"/>
    <w:rsid w:val="00BE3F86"/>
    <w:rsid w:val="00BE5A52"/>
    <w:rsid w:val="00BE777F"/>
    <w:rsid w:val="00BF0A6E"/>
    <w:rsid w:val="00BF27EF"/>
    <w:rsid w:val="00BF2ABF"/>
    <w:rsid w:val="00BF2C0F"/>
    <w:rsid w:val="00BF3133"/>
    <w:rsid w:val="00BF3558"/>
    <w:rsid w:val="00BF3972"/>
    <w:rsid w:val="00BF495B"/>
    <w:rsid w:val="00BF4DC6"/>
    <w:rsid w:val="00BF4DD3"/>
    <w:rsid w:val="00BF6608"/>
    <w:rsid w:val="00BF7956"/>
    <w:rsid w:val="00C0122D"/>
    <w:rsid w:val="00C01B3B"/>
    <w:rsid w:val="00C021F9"/>
    <w:rsid w:val="00C051BB"/>
    <w:rsid w:val="00C051CA"/>
    <w:rsid w:val="00C052A0"/>
    <w:rsid w:val="00C0720E"/>
    <w:rsid w:val="00C078AE"/>
    <w:rsid w:val="00C10A73"/>
    <w:rsid w:val="00C10BF4"/>
    <w:rsid w:val="00C12647"/>
    <w:rsid w:val="00C1287E"/>
    <w:rsid w:val="00C149C1"/>
    <w:rsid w:val="00C1517E"/>
    <w:rsid w:val="00C152B0"/>
    <w:rsid w:val="00C16694"/>
    <w:rsid w:val="00C16D7B"/>
    <w:rsid w:val="00C17587"/>
    <w:rsid w:val="00C17FF4"/>
    <w:rsid w:val="00C2066F"/>
    <w:rsid w:val="00C20A8B"/>
    <w:rsid w:val="00C22BF5"/>
    <w:rsid w:val="00C22CC7"/>
    <w:rsid w:val="00C245AF"/>
    <w:rsid w:val="00C253C6"/>
    <w:rsid w:val="00C26B9B"/>
    <w:rsid w:val="00C2753C"/>
    <w:rsid w:val="00C30AF3"/>
    <w:rsid w:val="00C30D54"/>
    <w:rsid w:val="00C31C42"/>
    <w:rsid w:val="00C3297D"/>
    <w:rsid w:val="00C32D10"/>
    <w:rsid w:val="00C330E0"/>
    <w:rsid w:val="00C34C3E"/>
    <w:rsid w:val="00C35215"/>
    <w:rsid w:val="00C3672F"/>
    <w:rsid w:val="00C41520"/>
    <w:rsid w:val="00C417B4"/>
    <w:rsid w:val="00C42636"/>
    <w:rsid w:val="00C42F9A"/>
    <w:rsid w:val="00C43418"/>
    <w:rsid w:val="00C45C93"/>
    <w:rsid w:val="00C46342"/>
    <w:rsid w:val="00C47667"/>
    <w:rsid w:val="00C5102E"/>
    <w:rsid w:val="00C51BE0"/>
    <w:rsid w:val="00C51E7E"/>
    <w:rsid w:val="00C51FD1"/>
    <w:rsid w:val="00C522A6"/>
    <w:rsid w:val="00C52965"/>
    <w:rsid w:val="00C52D41"/>
    <w:rsid w:val="00C53FB2"/>
    <w:rsid w:val="00C56971"/>
    <w:rsid w:val="00C57740"/>
    <w:rsid w:val="00C604BF"/>
    <w:rsid w:val="00C60677"/>
    <w:rsid w:val="00C6147E"/>
    <w:rsid w:val="00C620CC"/>
    <w:rsid w:val="00C660A9"/>
    <w:rsid w:val="00C664F6"/>
    <w:rsid w:val="00C665DA"/>
    <w:rsid w:val="00C66644"/>
    <w:rsid w:val="00C672D5"/>
    <w:rsid w:val="00C67364"/>
    <w:rsid w:val="00C67B70"/>
    <w:rsid w:val="00C67D3D"/>
    <w:rsid w:val="00C702C3"/>
    <w:rsid w:val="00C71620"/>
    <w:rsid w:val="00C71FF6"/>
    <w:rsid w:val="00C72E81"/>
    <w:rsid w:val="00C73F74"/>
    <w:rsid w:val="00C751B3"/>
    <w:rsid w:val="00C751F5"/>
    <w:rsid w:val="00C75B4E"/>
    <w:rsid w:val="00C75BAC"/>
    <w:rsid w:val="00C808FE"/>
    <w:rsid w:val="00C80E8F"/>
    <w:rsid w:val="00C81296"/>
    <w:rsid w:val="00C81A95"/>
    <w:rsid w:val="00C82743"/>
    <w:rsid w:val="00C827BA"/>
    <w:rsid w:val="00C82AA8"/>
    <w:rsid w:val="00C835A6"/>
    <w:rsid w:val="00C83DFE"/>
    <w:rsid w:val="00C84235"/>
    <w:rsid w:val="00C85B9F"/>
    <w:rsid w:val="00C85C8A"/>
    <w:rsid w:val="00C87402"/>
    <w:rsid w:val="00C8756C"/>
    <w:rsid w:val="00C8768E"/>
    <w:rsid w:val="00C87718"/>
    <w:rsid w:val="00C87D8A"/>
    <w:rsid w:val="00C919E3"/>
    <w:rsid w:val="00C9246B"/>
    <w:rsid w:val="00C9260D"/>
    <w:rsid w:val="00C92D6C"/>
    <w:rsid w:val="00C931EA"/>
    <w:rsid w:val="00C93446"/>
    <w:rsid w:val="00C936AD"/>
    <w:rsid w:val="00C944D4"/>
    <w:rsid w:val="00C9462B"/>
    <w:rsid w:val="00C94A85"/>
    <w:rsid w:val="00C97979"/>
    <w:rsid w:val="00C97ED7"/>
    <w:rsid w:val="00CA05D9"/>
    <w:rsid w:val="00CA0B8E"/>
    <w:rsid w:val="00CA250A"/>
    <w:rsid w:val="00CA3874"/>
    <w:rsid w:val="00CA4052"/>
    <w:rsid w:val="00CA461B"/>
    <w:rsid w:val="00CA48FA"/>
    <w:rsid w:val="00CA5210"/>
    <w:rsid w:val="00CA541B"/>
    <w:rsid w:val="00CA7161"/>
    <w:rsid w:val="00CA7407"/>
    <w:rsid w:val="00CA76E1"/>
    <w:rsid w:val="00CB07D1"/>
    <w:rsid w:val="00CB0A1F"/>
    <w:rsid w:val="00CB0E06"/>
    <w:rsid w:val="00CB2DD7"/>
    <w:rsid w:val="00CB5230"/>
    <w:rsid w:val="00CB53A6"/>
    <w:rsid w:val="00CB5ACA"/>
    <w:rsid w:val="00CB5C89"/>
    <w:rsid w:val="00CB6283"/>
    <w:rsid w:val="00CB7D35"/>
    <w:rsid w:val="00CC116A"/>
    <w:rsid w:val="00CC1D5D"/>
    <w:rsid w:val="00CC1E86"/>
    <w:rsid w:val="00CC3A60"/>
    <w:rsid w:val="00CC3DF1"/>
    <w:rsid w:val="00CC437C"/>
    <w:rsid w:val="00CC43CB"/>
    <w:rsid w:val="00CC4AB3"/>
    <w:rsid w:val="00CC4B82"/>
    <w:rsid w:val="00CC50DB"/>
    <w:rsid w:val="00CD025E"/>
    <w:rsid w:val="00CD0A93"/>
    <w:rsid w:val="00CD0C56"/>
    <w:rsid w:val="00CD28B1"/>
    <w:rsid w:val="00CD34D3"/>
    <w:rsid w:val="00CD3B5C"/>
    <w:rsid w:val="00CD437C"/>
    <w:rsid w:val="00CD5DBF"/>
    <w:rsid w:val="00CD7764"/>
    <w:rsid w:val="00CD7BD3"/>
    <w:rsid w:val="00CE0DD7"/>
    <w:rsid w:val="00CE278C"/>
    <w:rsid w:val="00CE2C29"/>
    <w:rsid w:val="00CE3B59"/>
    <w:rsid w:val="00CE4149"/>
    <w:rsid w:val="00CE5ED9"/>
    <w:rsid w:val="00CE68E5"/>
    <w:rsid w:val="00CE6D5E"/>
    <w:rsid w:val="00CE7731"/>
    <w:rsid w:val="00CF2FE4"/>
    <w:rsid w:val="00CF32ED"/>
    <w:rsid w:val="00CF3BAB"/>
    <w:rsid w:val="00CF3EED"/>
    <w:rsid w:val="00CF5492"/>
    <w:rsid w:val="00CF7E41"/>
    <w:rsid w:val="00CF7EF1"/>
    <w:rsid w:val="00D00B1D"/>
    <w:rsid w:val="00D00EFB"/>
    <w:rsid w:val="00D00F1D"/>
    <w:rsid w:val="00D00F91"/>
    <w:rsid w:val="00D0113D"/>
    <w:rsid w:val="00D01440"/>
    <w:rsid w:val="00D02129"/>
    <w:rsid w:val="00D02C10"/>
    <w:rsid w:val="00D04861"/>
    <w:rsid w:val="00D05F61"/>
    <w:rsid w:val="00D06044"/>
    <w:rsid w:val="00D06454"/>
    <w:rsid w:val="00D067BE"/>
    <w:rsid w:val="00D0720B"/>
    <w:rsid w:val="00D075A5"/>
    <w:rsid w:val="00D076D8"/>
    <w:rsid w:val="00D07900"/>
    <w:rsid w:val="00D0792B"/>
    <w:rsid w:val="00D07AA8"/>
    <w:rsid w:val="00D11230"/>
    <w:rsid w:val="00D1261B"/>
    <w:rsid w:val="00D12E03"/>
    <w:rsid w:val="00D17D58"/>
    <w:rsid w:val="00D20472"/>
    <w:rsid w:val="00D2116E"/>
    <w:rsid w:val="00D22DD8"/>
    <w:rsid w:val="00D234D1"/>
    <w:rsid w:val="00D2370B"/>
    <w:rsid w:val="00D246E9"/>
    <w:rsid w:val="00D251D1"/>
    <w:rsid w:val="00D266D4"/>
    <w:rsid w:val="00D273AF"/>
    <w:rsid w:val="00D273D5"/>
    <w:rsid w:val="00D27BF5"/>
    <w:rsid w:val="00D27F2A"/>
    <w:rsid w:val="00D32F14"/>
    <w:rsid w:val="00D346AD"/>
    <w:rsid w:val="00D353BF"/>
    <w:rsid w:val="00D3598F"/>
    <w:rsid w:val="00D35C3D"/>
    <w:rsid w:val="00D35C44"/>
    <w:rsid w:val="00D36B8A"/>
    <w:rsid w:val="00D375D2"/>
    <w:rsid w:val="00D3771B"/>
    <w:rsid w:val="00D37CF0"/>
    <w:rsid w:val="00D404C7"/>
    <w:rsid w:val="00D40CB1"/>
    <w:rsid w:val="00D41B15"/>
    <w:rsid w:val="00D42538"/>
    <w:rsid w:val="00D43559"/>
    <w:rsid w:val="00D445FA"/>
    <w:rsid w:val="00D44C86"/>
    <w:rsid w:val="00D4550B"/>
    <w:rsid w:val="00D459D4"/>
    <w:rsid w:val="00D45B8F"/>
    <w:rsid w:val="00D4749B"/>
    <w:rsid w:val="00D47591"/>
    <w:rsid w:val="00D504F2"/>
    <w:rsid w:val="00D5081A"/>
    <w:rsid w:val="00D534BC"/>
    <w:rsid w:val="00D53606"/>
    <w:rsid w:val="00D536D2"/>
    <w:rsid w:val="00D6073D"/>
    <w:rsid w:val="00D61EF9"/>
    <w:rsid w:val="00D6374E"/>
    <w:rsid w:val="00D63C4E"/>
    <w:rsid w:val="00D64133"/>
    <w:rsid w:val="00D648AF"/>
    <w:rsid w:val="00D65850"/>
    <w:rsid w:val="00D658B6"/>
    <w:rsid w:val="00D67012"/>
    <w:rsid w:val="00D67DC5"/>
    <w:rsid w:val="00D67ED4"/>
    <w:rsid w:val="00D700AF"/>
    <w:rsid w:val="00D70328"/>
    <w:rsid w:val="00D703DC"/>
    <w:rsid w:val="00D70FA4"/>
    <w:rsid w:val="00D71949"/>
    <w:rsid w:val="00D72743"/>
    <w:rsid w:val="00D733F3"/>
    <w:rsid w:val="00D7411A"/>
    <w:rsid w:val="00D7418F"/>
    <w:rsid w:val="00D747B0"/>
    <w:rsid w:val="00D74C39"/>
    <w:rsid w:val="00D74D66"/>
    <w:rsid w:val="00D75A7C"/>
    <w:rsid w:val="00D763FF"/>
    <w:rsid w:val="00D770B7"/>
    <w:rsid w:val="00D77A36"/>
    <w:rsid w:val="00D8108E"/>
    <w:rsid w:val="00D814CC"/>
    <w:rsid w:val="00D815AA"/>
    <w:rsid w:val="00D81768"/>
    <w:rsid w:val="00D8210B"/>
    <w:rsid w:val="00D82BB0"/>
    <w:rsid w:val="00D833A6"/>
    <w:rsid w:val="00D840C5"/>
    <w:rsid w:val="00D843E8"/>
    <w:rsid w:val="00D84BF1"/>
    <w:rsid w:val="00D85348"/>
    <w:rsid w:val="00D85C1D"/>
    <w:rsid w:val="00D86463"/>
    <w:rsid w:val="00D869BA"/>
    <w:rsid w:val="00D86B6E"/>
    <w:rsid w:val="00D86FF0"/>
    <w:rsid w:val="00D90395"/>
    <w:rsid w:val="00D90B0B"/>
    <w:rsid w:val="00D9287E"/>
    <w:rsid w:val="00D94F31"/>
    <w:rsid w:val="00D96069"/>
    <w:rsid w:val="00D96E12"/>
    <w:rsid w:val="00D9765B"/>
    <w:rsid w:val="00DA0213"/>
    <w:rsid w:val="00DA031B"/>
    <w:rsid w:val="00DA0D2C"/>
    <w:rsid w:val="00DA0E02"/>
    <w:rsid w:val="00DA23B5"/>
    <w:rsid w:val="00DA2E19"/>
    <w:rsid w:val="00DA31B0"/>
    <w:rsid w:val="00DA3739"/>
    <w:rsid w:val="00DA3805"/>
    <w:rsid w:val="00DA4207"/>
    <w:rsid w:val="00DA4699"/>
    <w:rsid w:val="00DA4ED2"/>
    <w:rsid w:val="00DA6412"/>
    <w:rsid w:val="00DA7761"/>
    <w:rsid w:val="00DA7D57"/>
    <w:rsid w:val="00DB0E3A"/>
    <w:rsid w:val="00DB0E40"/>
    <w:rsid w:val="00DB19DC"/>
    <w:rsid w:val="00DB20D2"/>
    <w:rsid w:val="00DB2D2C"/>
    <w:rsid w:val="00DB334E"/>
    <w:rsid w:val="00DB35AE"/>
    <w:rsid w:val="00DB4CB5"/>
    <w:rsid w:val="00DB5098"/>
    <w:rsid w:val="00DB6718"/>
    <w:rsid w:val="00DC0F02"/>
    <w:rsid w:val="00DC16D6"/>
    <w:rsid w:val="00DC1712"/>
    <w:rsid w:val="00DC1B2A"/>
    <w:rsid w:val="00DC2AAF"/>
    <w:rsid w:val="00DC34A4"/>
    <w:rsid w:val="00DC380E"/>
    <w:rsid w:val="00DC48A9"/>
    <w:rsid w:val="00DC4DDA"/>
    <w:rsid w:val="00DC618A"/>
    <w:rsid w:val="00DC6F06"/>
    <w:rsid w:val="00DC7870"/>
    <w:rsid w:val="00DD0EE4"/>
    <w:rsid w:val="00DD0F6A"/>
    <w:rsid w:val="00DD1549"/>
    <w:rsid w:val="00DD1FF2"/>
    <w:rsid w:val="00DD2F2A"/>
    <w:rsid w:val="00DD3A41"/>
    <w:rsid w:val="00DD3E6A"/>
    <w:rsid w:val="00DD606E"/>
    <w:rsid w:val="00DD652D"/>
    <w:rsid w:val="00DD73B7"/>
    <w:rsid w:val="00DD7572"/>
    <w:rsid w:val="00DD77E5"/>
    <w:rsid w:val="00DE06BC"/>
    <w:rsid w:val="00DE3B87"/>
    <w:rsid w:val="00DE4B91"/>
    <w:rsid w:val="00DE547E"/>
    <w:rsid w:val="00DE65D7"/>
    <w:rsid w:val="00DE7693"/>
    <w:rsid w:val="00DF1332"/>
    <w:rsid w:val="00DF1487"/>
    <w:rsid w:val="00DF2E79"/>
    <w:rsid w:val="00DF2FAF"/>
    <w:rsid w:val="00DF37C9"/>
    <w:rsid w:val="00DF3835"/>
    <w:rsid w:val="00DF3F0B"/>
    <w:rsid w:val="00DF5AF4"/>
    <w:rsid w:val="00DF6584"/>
    <w:rsid w:val="00DF65AB"/>
    <w:rsid w:val="00DF6CE9"/>
    <w:rsid w:val="00E014D7"/>
    <w:rsid w:val="00E01853"/>
    <w:rsid w:val="00E01A55"/>
    <w:rsid w:val="00E02881"/>
    <w:rsid w:val="00E02954"/>
    <w:rsid w:val="00E03D6F"/>
    <w:rsid w:val="00E04628"/>
    <w:rsid w:val="00E04E09"/>
    <w:rsid w:val="00E05717"/>
    <w:rsid w:val="00E05770"/>
    <w:rsid w:val="00E06A6F"/>
    <w:rsid w:val="00E06B1A"/>
    <w:rsid w:val="00E06E96"/>
    <w:rsid w:val="00E07044"/>
    <w:rsid w:val="00E076E0"/>
    <w:rsid w:val="00E0776A"/>
    <w:rsid w:val="00E10295"/>
    <w:rsid w:val="00E106A5"/>
    <w:rsid w:val="00E115CB"/>
    <w:rsid w:val="00E117D0"/>
    <w:rsid w:val="00E12537"/>
    <w:rsid w:val="00E13E08"/>
    <w:rsid w:val="00E1518A"/>
    <w:rsid w:val="00E15945"/>
    <w:rsid w:val="00E1594C"/>
    <w:rsid w:val="00E17764"/>
    <w:rsid w:val="00E207E2"/>
    <w:rsid w:val="00E210BC"/>
    <w:rsid w:val="00E2146E"/>
    <w:rsid w:val="00E21816"/>
    <w:rsid w:val="00E218C5"/>
    <w:rsid w:val="00E21EC8"/>
    <w:rsid w:val="00E22EE4"/>
    <w:rsid w:val="00E24500"/>
    <w:rsid w:val="00E252E6"/>
    <w:rsid w:val="00E256BD"/>
    <w:rsid w:val="00E26347"/>
    <w:rsid w:val="00E2751E"/>
    <w:rsid w:val="00E27653"/>
    <w:rsid w:val="00E276CB"/>
    <w:rsid w:val="00E27BEE"/>
    <w:rsid w:val="00E3072A"/>
    <w:rsid w:val="00E30EF3"/>
    <w:rsid w:val="00E31349"/>
    <w:rsid w:val="00E31485"/>
    <w:rsid w:val="00E32A24"/>
    <w:rsid w:val="00E32C1A"/>
    <w:rsid w:val="00E3451B"/>
    <w:rsid w:val="00E34F9C"/>
    <w:rsid w:val="00E3534A"/>
    <w:rsid w:val="00E36F7C"/>
    <w:rsid w:val="00E37238"/>
    <w:rsid w:val="00E3725A"/>
    <w:rsid w:val="00E404D2"/>
    <w:rsid w:val="00E4063D"/>
    <w:rsid w:val="00E40D0C"/>
    <w:rsid w:val="00E41170"/>
    <w:rsid w:val="00E41B4D"/>
    <w:rsid w:val="00E422B3"/>
    <w:rsid w:val="00E424E3"/>
    <w:rsid w:val="00E44802"/>
    <w:rsid w:val="00E44A95"/>
    <w:rsid w:val="00E45477"/>
    <w:rsid w:val="00E4597D"/>
    <w:rsid w:val="00E4636A"/>
    <w:rsid w:val="00E47073"/>
    <w:rsid w:val="00E47D0F"/>
    <w:rsid w:val="00E5168E"/>
    <w:rsid w:val="00E529C7"/>
    <w:rsid w:val="00E5355B"/>
    <w:rsid w:val="00E55C19"/>
    <w:rsid w:val="00E56253"/>
    <w:rsid w:val="00E56973"/>
    <w:rsid w:val="00E6025E"/>
    <w:rsid w:val="00E615B7"/>
    <w:rsid w:val="00E6175B"/>
    <w:rsid w:val="00E61B1E"/>
    <w:rsid w:val="00E61D39"/>
    <w:rsid w:val="00E61E0D"/>
    <w:rsid w:val="00E63514"/>
    <w:rsid w:val="00E64643"/>
    <w:rsid w:val="00E64BCC"/>
    <w:rsid w:val="00E650C5"/>
    <w:rsid w:val="00E6516F"/>
    <w:rsid w:val="00E657CC"/>
    <w:rsid w:val="00E65CB3"/>
    <w:rsid w:val="00E66B2D"/>
    <w:rsid w:val="00E675D4"/>
    <w:rsid w:val="00E70563"/>
    <w:rsid w:val="00E70A89"/>
    <w:rsid w:val="00E70E8E"/>
    <w:rsid w:val="00E7132F"/>
    <w:rsid w:val="00E72BE5"/>
    <w:rsid w:val="00E7377F"/>
    <w:rsid w:val="00E74364"/>
    <w:rsid w:val="00E7441E"/>
    <w:rsid w:val="00E75A9A"/>
    <w:rsid w:val="00E77780"/>
    <w:rsid w:val="00E77EF2"/>
    <w:rsid w:val="00E8007B"/>
    <w:rsid w:val="00E807A7"/>
    <w:rsid w:val="00E80CEA"/>
    <w:rsid w:val="00E8177A"/>
    <w:rsid w:val="00E83223"/>
    <w:rsid w:val="00E8342A"/>
    <w:rsid w:val="00E83F86"/>
    <w:rsid w:val="00E843F2"/>
    <w:rsid w:val="00E84E33"/>
    <w:rsid w:val="00E84F38"/>
    <w:rsid w:val="00E854DC"/>
    <w:rsid w:val="00E85667"/>
    <w:rsid w:val="00E856DB"/>
    <w:rsid w:val="00E87176"/>
    <w:rsid w:val="00E904FB"/>
    <w:rsid w:val="00E90C12"/>
    <w:rsid w:val="00E927E2"/>
    <w:rsid w:val="00E92B60"/>
    <w:rsid w:val="00E94E0B"/>
    <w:rsid w:val="00E959C0"/>
    <w:rsid w:val="00E97193"/>
    <w:rsid w:val="00E975A5"/>
    <w:rsid w:val="00E9790E"/>
    <w:rsid w:val="00EA101F"/>
    <w:rsid w:val="00EA108A"/>
    <w:rsid w:val="00EA1397"/>
    <w:rsid w:val="00EA15F4"/>
    <w:rsid w:val="00EA1B0F"/>
    <w:rsid w:val="00EA2284"/>
    <w:rsid w:val="00EA2CF7"/>
    <w:rsid w:val="00EA33E3"/>
    <w:rsid w:val="00EA3BB6"/>
    <w:rsid w:val="00EA46B8"/>
    <w:rsid w:val="00EA5666"/>
    <w:rsid w:val="00EA5A47"/>
    <w:rsid w:val="00EA5B00"/>
    <w:rsid w:val="00EA6089"/>
    <w:rsid w:val="00EA63D0"/>
    <w:rsid w:val="00EA699F"/>
    <w:rsid w:val="00EA719B"/>
    <w:rsid w:val="00EA7D96"/>
    <w:rsid w:val="00EB02F5"/>
    <w:rsid w:val="00EB29C8"/>
    <w:rsid w:val="00EB2C68"/>
    <w:rsid w:val="00EB4E1E"/>
    <w:rsid w:val="00EB5194"/>
    <w:rsid w:val="00EB5212"/>
    <w:rsid w:val="00EB5C50"/>
    <w:rsid w:val="00EB5CF9"/>
    <w:rsid w:val="00EB6215"/>
    <w:rsid w:val="00EB6A1D"/>
    <w:rsid w:val="00EB6A3C"/>
    <w:rsid w:val="00EB6D26"/>
    <w:rsid w:val="00EB6D29"/>
    <w:rsid w:val="00EB6FA8"/>
    <w:rsid w:val="00EC0134"/>
    <w:rsid w:val="00EC0818"/>
    <w:rsid w:val="00EC1141"/>
    <w:rsid w:val="00EC269E"/>
    <w:rsid w:val="00EC3484"/>
    <w:rsid w:val="00EC377B"/>
    <w:rsid w:val="00EC6BAA"/>
    <w:rsid w:val="00EC6CE3"/>
    <w:rsid w:val="00EC6D35"/>
    <w:rsid w:val="00EC73EF"/>
    <w:rsid w:val="00ED11DC"/>
    <w:rsid w:val="00ED2AB5"/>
    <w:rsid w:val="00ED3F43"/>
    <w:rsid w:val="00ED4278"/>
    <w:rsid w:val="00ED4EF2"/>
    <w:rsid w:val="00ED5BF7"/>
    <w:rsid w:val="00EE01C6"/>
    <w:rsid w:val="00EE06F9"/>
    <w:rsid w:val="00EE2DD4"/>
    <w:rsid w:val="00EE3264"/>
    <w:rsid w:val="00EE32A8"/>
    <w:rsid w:val="00EE3B95"/>
    <w:rsid w:val="00EE40A2"/>
    <w:rsid w:val="00EE4C33"/>
    <w:rsid w:val="00EE53F3"/>
    <w:rsid w:val="00EF06FA"/>
    <w:rsid w:val="00EF086F"/>
    <w:rsid w:val="00EF0E61"/>
    <w:rsid w:val="00EF11D5"/>
    <w:rsid w:val="00EF1224"/>
    <w:rsid w:val="00EF186F"/>
    <w:rsid w:val="00EF1E00"/>
    <w:rsid w:val="00EF2599"/>
    <w:rsid w:val="00EF33C5"/>
    <w:rsid w:val="00EF4EFE"/>
    <w:rsid w:val="00EF5A18"/>
    <w:rsid w:val="00EF6433"/>
    <w:rsid w:val="00F00154"/>
    <w:rsid w:val="00F00AEF"/>
    <w:rsid w:val="00F01414"/>
    <w:rsid w:val="00F01F54"/>
    <w:rsid w:val="00F02E68"/>
    <w:rsid w:val="00F03528"/>
    <w:rsid w:val="00F03B9F"/>
    <w:rsid w:val="00F04487"/>
    <w:rsid w:val="00F05C04"/>
    <w:rsid w:val="00F05C0C"/>
    <w:rsid w:val="00F07ACB"/>
    <w:rsid w:val="00F07D3F"/>
    <w:rsid w:val="00F07F46"/>
    <w:rsid w:val="00F110DC"/>
    <w:rsid w:val="00F11D03"/>
    <w:rsid w:val="00F11FAB"/>
    <w:rsid w:val="00F130B6"/>
    <w:rsid w:val="00F138B3"/>
    <w:rsid w:val="00F14098"/>
    <w:rsid w:val="00F14A77"/>
    <w:rsid w:val="00F1553C"/>
    <w:rsid w:val="00F15AD2"/>
    <w:rsid w:val="00F15BB8"/>
    <w:rsid w:val="00F1717E"/>
    <w:rsid w:val="00F17EA5"/>
    <w:rsid w:val="00F21222"/>
    <w:rsid w:val="00F21CBD"/>
    <w:rsid w:val="00F22EA7"/>
    <w:rsid w:val="00F24D94"/>
    <w:rsid w:val="00F259C4"/>
    <w:rsid w:val="00F25AC2"/>
    <w:rsid w:val="00F26A1D"/>
    <w:rsid w:val="00F26B6A"/>
    <w:rsid w:val="00F30279"/>
    <w:rsid w:val="00F32700"/>
    <w:rsid w:val="00F33687"/>
    <w:rsid w:val="00F33E13"/>
    <w:rsid w:val="00F34AB8"/>
    <w:rsid w:val="00F35EC6"/>
    <w:rsid w:val="00F41680"/>
    <w:rsid w:val="00F41A01"/>
    <w:rsid w:val="00F42ACF"/>
    <w:rsid w:val="00F4308E"/>
    <w:rsid w:val="00F44959"/>
    <w:rsid w:val="00F44A70"/>
    <w:rsid w:val="00F4513C"/>
    <w:rsid w:val="00F461A4"/>
    <w:rsid w:val="00F46915"/>
    <w:rsid w:val="00F46C8A"/>
    <w:rsid w:val="00F47218"/>
    <w:rsid w:val="00F47FF6"/>
    <w:rsid w:val="00F501E9"/>
    <w:rsid w:val="00F5028C"/>
    <w:rsid w:val="00F50E92"/>
    <w:rsid w:val="00F51B66"/>
    <w:rsid w:val="00F523F6"/>
    <w:rsid w:val="00F5246F"/>
    <w:rsid w:val="00F53710"/>
    <w:rsid w:val="00F537E8"/>
    <w:rsid w:val="00F556A0"/>
    <w:rsid w:val="00F567C1"/>
    <w:rsid w:val="00F5773C"/>
    <w:rsid w:val="00F578D5"/>
    <w:rsid w:val="00F57BFA"/>
    <w:rsid w:val="00F57D22"/>
    <w:rsid w:val="00F57D5D"/>
    <w:rsid w:val="00F60890"/>
    <w:rsid w:val="00F60D2E"/>
    <w:rsid w:val="00F629A7"/>
    <w:rsid w:val="00F62E98"/>
    <w:rsid w:val="00F63AFF"/>
    <w:rsid w:val="00F65D5A"/>
    <w:rsid w:val="00F6642F"/>
    <w:rsid w:val="00F66D61"/>
    <w:rsid w:val="00F67281"/>
    <w:rsid w:val="00F70957"/>
    <w:rsid w:val="00F71396"/>
    <w:rsid w:val="00F7279C"/>
    <w:rsid w:val="00F727BE"/>
    <w:rsid w:val="00F7288D"/>
    <w:rsid w:val="00F735E7"/>
    <w:rsid w:val="00F73E32"/>
    <w:rsid w:val="00F7401C"/>
    <w:rsid w:val="00F745F2"/>
    <w:rsid w:val="00F754F1"/>
    <w:rsid w:val="00F75883"/>
    <w:rsid w:val="00F75E4E"/>
    <w:rsid w:val="00F7720A"/>
    <w:rsid w:val="00F7769C"/>
    <w:rsid w:val="00F779E3"/>
    <w:rsid w:val="00F77DA5"/>
    <w:rsid w:val="00F80250"/>
    <w:rsid w:val="00F816EF"/>
    <w:rsid w:val="00F81C57"/>
    <w:rsid w:val="00F81D5D"/>
    <w:rsid w:val="00F82B6E"/>
    <w:rsid w:val="00F82D1F"/>
    <w:rsid w:val="00F84DCE"/>
    <w:rsid w:val="00F85599"/>
    <w:rsid w:val="00F8580F"/>
    <w:rsid w:val="00F869ED"/>
    <w:rsid w:val="00F86A7A"/>
    <w:rsid w:val="00F86D40"/>
    <w:rsid w:val="00F90AEF"/>
    <w:rsid w:val="00F90DE8"/>
    <w:rsid w:val="00F915FB"/>
    <w:rsid w:val="00F91BE6"/>
    <w:rsid w:val="00F92F68"/>
    <w:rsid w:val="00F92FE7"/>
    <w:rsid w:val="00F946C9"/>
    <w:rsid w:val="00F95A40"/>
    <w:rsid w:val="00F95B76"/>
    <w:rsid w:val="00F96D5E"/>
    <w:rsid w:val="00F96D69"/>
    <w:rsid w:val="00F976B0"/>
    <w:rsid w:val="00F97742"/>
    <w:rsid w:val="00F97EA7"/>
    <w:rsid w:val="00FA061D"/>
    <w:rsid w:val="00FA30A1"/>
    <w:rsid w:val="00FA43E0"/>
    <w:rsid w:val="00FA629F"/>
    <w:rsid w:val="00FA62CA"/>
    <w:rsid w:val="00FA6E1E"/>
    <w:rsid w:val="00FA717B"/>
    <w:rsid w:val="00FA7CD4"/>
    <w:rsid w:val="00FB0373"/>
    <w:rsid w:val="00FB05D1"/>
    <w:rsid w:val="00FB0D8F"/>
    <w:rsid w:val="00FB46F1"/>
    <w:rsid w:val="00FB4FEA"/>
    <w:rsid w:val="00FB5E6F"/>
    <w:rsid w:val="00FB6F1F"/>
    <w:rsid w:val="00FB7234"/>
    <w:rsid w:val="00FB7CD2"/>
    <w:rsid w:val="00FC012D"/>
    <w:rsid w:val="00FC0D02"/>
    <w:rsid w:val="00FC2139"/>
    <w:rsid w:val="00FC28FE"/>
    <w:rsid w:val="00FC29C7"/>
    <w:rsid w:val="00FC4BEB"/>
    <w:rsid w:val="00FC5EA4"/>
    <w:rsid w:val="00FC7458"/>
    <w:rsid w:val="00FC754C"/>
    <w:rsid w:val="00FD0244"/>
    <w:rsid w:val="00FD12B7"/>
    <w:rsid w:val="00FD1416"/>
    <w:rsid w:val="00FD35D4"/>
    <w:rsid w:val="00FD4492"/>
    <w:rsid w:val="00FD4EE6"/>
    <w:rsid w:val="00FD4FB7"/>
    <w:rsid w:val="00FD5650"/>
    <w:rsid w:val="00FD56F6"/>
    <w:rsid w:val="00FD6A82"/>
    <w:rsid w:val="00FD7160"/>
    <w:rsid w:val="00FD7B6E"/>
    <w:rsid w:val="00FE0861"/>
    <w:rsid w:val="00FE1219"/>
    <w:rsid w:val="00FE3BEB"/>
    <w:rsid w:val="00FE48BD"/>
    <w:rsid w:val="00FE5EFB"/>
    <w:rsid w:val="00FE68E4"/>
    <w:rsid w:val="00FE6DA0"/>
    <w:rsid w:val="00FE73BD"/>
    <w:rsid w:val="00FE7EE2"/>
    <w:rsid w:val="00FF0AB5"/>
    <w:rsid w:val="00FF21E1"/>
    <w:rsid w:val="00FF285D"/>
    <w:rsid w:val="00FF3116"/>
    <w:rsid w:val="00FF3536"/>
    <w:rsid w:val="00FF4E37"/>
    <w:rsid w:val="00FF5D20"/>
    <w:rsid w:val="00FF641D"/>
    <w:rsid w:val="00FF6672"/>
    <w:rsid w:val="00FF6F7F"/>
    <w:rsid w:val="00FF7682"/>
    <w:rsid w:val="00FF784A"/>
    <w:rsid w:val="01157604"/>
    <w:rsid w:val="01521C8D"/>
    <w:rsid w:val="019B53E2"/>
    <w:rsid w:val="01B756A5"/>
    <w:rsid w:val="01C7150B"/>
    <w:rsid w:val="022655F4"/>
    <w:rsid w:val="03035935"/>
    <w:rsid w:val="034B2E38"/>
    <w:rsid w:val="03561F09"/>
    <w:rsid w:val="036A1510"/>
    <w:rsid w:val="037B196F"/>
    <w:rsid w:val="037D56E7"/>
    <w:rsid w:val="03891527"/>
    <w:rsid w:val="03B612D7"/>
    <w:rsid w:val="03B8520B"/>
    <w:rsid w:val="03F51722"/>
    <w:rsid w:val="04615E57"/>
    <w:rsid w:val="04BD38C2"/>
    <w:rsid w:val="053E6A1B"/>
    <w:rsid w:val="05417F47"/>
    <w:rsid w:val="058D598A"/>
    <w:rsid w:val="05AD1B88"/>
    <w:rsid w:val="062A4F87"/>
    <w:rsid w:val="06540256"/>
    <w:rsid w:val="06587C94"/>
    <w:rsid w:val="06B37672"/>
    <w:rsid w:val="06C67145"/>
    <w:rsid w:val="06DA075B"/>
    <w:rsid w:val="06FA7E63"/>
    <w:rsid w:val="0736321A"/>
    <w:rsid w:val="0754369F"/>
    <w:rsid w:val="07843CDE"/>
    <w:rsid w:val="07857AF4"/>
    <w:rsid w:val="07B13BB2"/>
    <w:rsid w:val="07C16458"/>
    <w:rsid w:val="07F67816"/>
    <w:rsid w:val="07FE7D6E"/>
    <w:rsid w:val="08534C69"/>
    <w:rsid w:val="0854278F"/>
    <w:rsid w:val="08757E1C"/>
    <w:rsid w:val="08CC0577"/>
    <w:rsid w:val="08E81855"/>
    <w:rsid w:val="08F94209"/>
    <w:rsid w:val="095A15DC"/>
    <w:rsid w:val="097E3F67"/>
    <w:rsid w:val="09A11A04"/>
    <w:rsid w:val="09C120A6"/>
    <w:rsid w:val="09D21BBD"/>
    <w:rsid w:val="0A217411"/>
    <w:rsid w:val="0A89759E"/>
    <w:rsid w:val="0ABB6AF5"/>
    <w:rsid w:val="0ACB4F8A"/>
    <w:rsid w:val="0B154FC2"/>
    <w:rsid w:val="0B922E73"/>
    <w:rsid w:val="0BD04822"/>
    <w:rsid w:val="0BE27BDD"/>
    <w:rsid w:val="0BFD70A2"/>
    <w:rsid w:val="0C1E36CD"/>
    <w:rsid w:val="0C2506CA"/>
    <w:rsid w:val="0C452B1A"/>
    <w:rsid w:val="0C47501F"/>
    <w:rsid w:val="0C776A4C"/>
    <w:rsid w:val="0CB07925"/>
    <w:rsid w:val="0CD41BFD"/>
    <w:rsid w:val="0D241B28"/>
    <w:rsid w:val="0D581F73"/>
    <w:rsid w:val="0DBC0BBA"/>
    <w:rsid w:val="0E7771D7"/>
    <w:rsid w:val="0EBA0CEE"/>
    <w:rsid w:val="0EC8358F"/>
    <w:rsid w:val="0EDB7766"/>
    <w:rsid w:val="0EDE6C86"/>
    <w:rsid w:val="0EE06B2A"/>
    <w:rsid w:val="0FA61B22"/>
    <w:rsid w:val="10490830"/>
    <w:rsid w:val="10710382"/>
    <w:rsid w:val="10991687"/>
    <w:rsid w:val="109C0705"/>
    <w:rsid w:val="10B011A1"/>
    <w:rsid w:val="11046F09"/>
    <w:rsid w:val="11621A79"/>
    <w:rsid w:val="11AE307D"/>
    <w:rsid w:val="11B61DC5"/>
    <w:rsid w:val="11C3630E"/>
    <w:rsid w:val="11F272A1"/>
    <w:rsid w:val="122B332B"/>
    <w:rsid w:val="122D652B"/>
    <w:rsid w:val="1239627B"/>
    <w:rsid w:val="12475AAC"/>
    <w:rsid w:val="124C27F0"/>
    <w:rsid w:val="1255782F"/>
    <w:rsid w:val="12635AA8"/>
    <w:rsid w:val="12930E87"/>
    <w:rsid w:val="12A83E03"/>
    <w:rsid w:val="12E1254D"/>
    <w:rsid w:val="13763F01"/>
    <w:rsid w:val="137D703E"/>
    <w:rsid w:val="138A52B7"/>
    <w:rsid w:val="139133AC"/>
    <w:rsid w:val="13916645"/>
    <w:rsid w:val="13B7710E"/>
    <w:rsid w:val="13BC5DB8"/>
    <w:rsid w:val="13E235C6"/>
    <w:rsid w:val="14065DFF"/>
    <w:rsid w:val="14103A0E"/>
    <w:rsid w:val="142259AD"/>
    <w:rsid w:val="143429E0"/>
    <w:rsid w:val="144E4885"/>
    <w:rsid w:val="146E4BD8"/>
    <w:rsid w:val="14D42C8D"/>
    <w:rsid w:val="14EB7FD7"/>
    <w:rsid w:val="15022426"/>
    <w:rsid w:val="15393AF4"/>
    <w:rsid w:val="156009C5"/>
    <w:rsid w:val="15724254"/>
    <w:rsid w:val="1581250E"/>
    <w:rsid w:val="15B036FB"/>
    <w:rsid w:val="15B64A89"/>
    <w:rsid w:val="15EA028F"/>
    <w:rsid w:val="15F76D01"/>
    <w:rsid w:val="160457F4"/>
    <w:rsid w:val="165E2529"/>
    <w:rsid w:val="168129A1"/>
    <w:rsid w:val="16B93C84"/>
    <w:rsid w:val="16D01B7A"/>
    <w:rsid w:val="1707565A"/>
    <w:rsid w:val="17090456"/>
    <w:rsid w:val="17486E4C"/>
    <w:rsid w:val="17516817"/>
    <w:rsid w:val="17AA5F28"/>
    <w:rsid w:val="17AB1EA3"/>
    <w:rsid w:val="17C35302"/>
    <w:rsid w:val="17F378CF"/>
    <w:rsid w:val="18075128"/>
    <w:rsid w:val="180B1483"/>
    <w:rsid w:val="180B1B5A"/>
    <w:rsid w:val="18335F1D"/>
    <w:rsid w:val="184E0FA9"/>
    <w:rsid w:val="18B828C6"/>
    <w:rsid w:val="18C63235"/>
    <w:rsid w:val="18E90CD1"/>
    <w:rsid w:val="18F9599B"/>
    <w:rsid w:val="191F64A1"/>
    <w:rsid w:val="19715B39"/>
    <w:rsid w:val="19940C3D"/>
    <w:rsid w:val="19DB686C"/>
    <w:rsid w:val="1A400DC5"/>
    <w:rsid w:val="1A4153CD"/>
    <w:rsid w:val="1A562397"/>
    <w:rsid w:val="1A793B79"/>
    <w:rsid w:val="1A911621"/>
    <w:rsid w:val="1AA17AB6"/>
    <w:rsid w:val="1ABC3C21"/>
    <w:rsid w:val="1B132036"/>
    <w:rsid w:val="1B487F31"/>
    <w:rsid w:val="1B4950A4"/>
    <w:rsid w:val="1B6F4BDB"/>
    <w:rsid w:val="1B852F33"/>
    <w:rsid w:val="1B9211AC"/>
    <w:rsid w:val="1BB76E65"/>
    <w:rsid w:val="1BBB4BA7"/>
    <w:rsid w:val="1BCC3F85"/>
    <w:rsid w:val="1C60574F"/>
    <w:rsid w:val="1C715266"/>
    <w:rsid w:val="1CD43FC7"/>
    <w:rsid w:val="1D2959F4"/>
    <w:rsid w:val="1D570900"/>
    <w:rsid w:val="1D623D91"/>
    <w:rsid w:val="1D8F11D2"/>
    <w:rsid w:val="1DD957B9"/>
    <w:rsid w:val="1E4F2C3F"/>
    <w:rsid w:val="1E990AA4"/>
    <w:rsid w:val="1F08738A"/>
    <w:rsid w:val="1F093E7B"/>
    <w:rsid w:val="1F177A4C"/>
    <w:rsid w:val="1F323A4E"/>
    <w:rsid w:val="1F394761"/>
    <w:rsid w:val="1F5A0233"/>
    <w:rsid w:val="1F7237CF"/>
    <w:rsid w:val="1FAF67D1"/>
    <w:rsid w:val="1FC102B2"/>
    <w:rsid w:val="1FD224BF"/>
    <w:rsid w:val="2027280B"/>
    <w:rsid w:val="203767C6"/>
    <w:rsid w:val="20881655"/>
    <w:rsid w:val="20B9542D"/>
    <w:rsid w:val="20CE2C87"/>
    <w:rsid w:val="211A3C53"/>
    <w:rsid w:val="21BD78E1"/>
    <w:rsid w:val="21CF0131"/>
    <w:rsid w:val="21F0441B"/>
    <w:rsid w:val="21F726B1"/>
    <w:rsid w:val="21FD465D"/>
    <w:rsid w:val="222F400A"/>
    <w:rsid w:val="224C0835"/>
    <w:rsid w:val="2268710B"/>
    <w:rsid w:val="227C4964"/>
    <w:rsid w:val="228E4CF6"/>
    <w:rsid w:val="2297354C"/>
    <w:rsid w:val="22993768"/>
    <w:rsid w:val="229C60EC"/>
    <w:rsid w:val="22C24A6D"/>
    <w:rsid w:val="22CE51C0"/>
    <w:rsid w:val="2322375E"/>
    <w:rsid w:val="233F7E6C"/>
    <w:rsid w:val="23451001"/>
    <w:rsid w:val="23CE0398"/>
    <w:rsid w:val="23E069A6"/>
    <w:rsid w:val="242B4894"/>
    <w:rsid w:val="24360CC4"/>
    <w:rsid w:val="24416BA2"/>
    <w:rsid w:val="244F6231"/>
    <w:rsid w:val="246F6F73"/>
    <w:rsid w:val="248C4F0D"/>
    <w:rsid w:val="24A67096"/>
    <w:rsid w:val="24CD76F9"/>
    <w:rsid w:val="24E707BB"/>
    <w:rsid w:val="25630DB5"/>
    <w:rsid w:val="25757B75"/>
    <w:rsid w:val="258E6E89"/>
    <w:rsid w:val="2593624D"/>
    <w:rsid w:val="25DB502E"/>
    <w:rsid w:val="26321F0A"/>
    <w:rsid w:val="266B0F78"/>
    <w:rsid w:val="26914E82"/>
    <w:rsid w:val="269C7383"/>
    <w:rsid w:val="26A60202"/>
    <w:rsid w:val="26CA2142"/>
    <w:rsid w:val="26DF7DC9"/>
    <w:rsid w:val="26EC20B9"/>
    <w:rsid w:val="270A5C5E"/>
    <w:rsid w:val="271B7282"/>
    <w:rsid w:val="271E5FEA"/>
    <w:rsid w:val="272B1F61"/>
    <w:rsid w:val="273D2914"/>
    <w:rsid w:val="27455B12"/>
    <w:rsid w:val="27B8643F"/>
    <w:rsid w:val="27CB251C"/>
    <w:rsid w:val="28211030"/>
    <w:rsid w:val="286541A3"/>
    <w:rsid w:val="29194841"/>
    <w:rsid w:val="292C0E92"/>
    <w:rsid w:val="29325D7D"/>
    <w:rsid w:val="29634188"/>
    <w:rsid w:val="2976210D"/>
    <w:rsid w:val="29D60DFE"/>
    <w:rsid w:val="29F35970"/>
    <w:rsid w:val="2A613C95"/>
    <w:rsid w:val="2A6401B8"/>
    <w:rsid w:val="2A8B1BE9"/>
    <w:rsid w:val="2ABE5B1A"/>
    <w:rsid w:val="2AE16896"/>
    <w:rsid w:val="2B82123D"/>
    <w:rsid w:val="2B8F5708"/>
    <w:rsid w:val="2B965F8F"/>
    <w:rsid w:val="2BD2208D"/>
    <w:rsid w:val="2BE9306B"/>
    <w:rsid w:val="2BEC0BF4"/>
    <w:rsid w:val="2BED770C"/>
    <w:rsid w:val="2C1A51F6"/>
    <w:rsid w:val="2C2033CC"/>
    <w:rsid w:val="2C650063"/>
    <w:rsid w:val="2CF047C1"/>
    <w:rsid w:val="2CF7307A"/>
    <w:rsid w:val="2D0A773C"/>
    <w:rsid w:val="2D566E09"/>
    <w:rsid w:val="2D654973"/>
    <w:rsid w:val="2D8848C1"/>
    <w:rsid w:val="2DD45655"/>
    <w:rsid w:val="2DF21467"/>
    <w:rsid w:val="2E100D83"/>
    <w:rsid w:val="2E310CF9"/>
    <w:rsid w:val="2E537AA9"/>
    <w:rsid w:val="2E5D564A"/>
    <w:rsid w:val="2E685C32"/>
    <w:rsid w:val="2E7F3812"/>
    <w:rsid w:val="2EC91DDB"/>
    <w:rsid w:val="2ECE6548"/>
    <w:rsid w:val="2ED578D6"/>
    <w:rsid w:val="2F212B1B"/>
    <w:rsid w:val="2F37233F"/>
    <w:rsid w:val="2F6D5D61"/>
    <w:rsid w:val="2F7056E3"/>
    <w:rsid w:val="2F7077C6"/>
    <w:rsid w:val="2F8D1F5F"/>
    <w:rsid w:val="2F9C21A2"/>
    <w:rsid w:val="2FAC4ADB"/>
    <w:rsid w:val="2FCD436A"/>
    <w:rsid w:val="2FD771A2"/>
    <w:rsid w:val="2FED4107"/>
    <w:rsid w:val="30492223"/>
    <w:rsid w:val="3058422F"/>
    <w:rsid w:val="3110480F"/>
    <w:rsid w:val="314B20D2"/>
    <w:rsid w:val="3188014D"/>
    <w:rsid w:val="31E51A96"/>
    <w:rsid w:val="31F60575"/>
    <w:rsid w:val="321C75CB"/>
    <w:rsid w:val="32221084"/>
    <w:rsid w:val="324F7747"/>
    <w:rsid w:val="32E00C87"/>
    <w:rsid w:val="32EB591A"/>
    <w:rsid w:val="32F43CBC"/>
    <w:rsid w:val="3350577D"/>
    <w:rsid w:val="338D077F"/>
    <w:rsid w:val="33F151B2"/>
    <w:rsid w:val="3413682E"/>
    <w:rsid w:val="343D21A6"/>
    <w:rsid w:val="34496BA5"/>
    <w:rsid w:val="346C7CD4"/>
    <w:rsid w:val="34AB056D"/>
    <w:rsid w:val="34C277A8"/>
    <w:rsid w:val="34CC52D7"/>
    <w:rsid w:val="350C1FE0"/>
    <w:rsid w:val="350D71E8"/>
    <w:rsid w:val="35396A06"/>
    <w:rsid w:val="35872885"/>
    <w:rsid w:val="35B355F7"/>
    <w:rsid w:val="35BE10C4"/>
    <w:rsid w:val="35C506A4"/>
    <w:rsid w:val="35CF1523"/>
    <w:rsid w:val="35FC1BEC"/>
    <w:rsid w:val="361231BE"/>
    <w:rsid w:val="363D2C8F"/>
    <w:rsid w:val="36513CE6"/>
    <w:rsid w:val="365E2C2A"/>
    <w:rsid w:val="366C4FC4"/>
    <w:rsid w:val="36935DFC"/>
    <w:rsid w:val="36A1724C"/>
    <w:rsid w:val="36B11718"/>
    <w:rsid w:val="36E42DAC"/>
    <w:rsid w:val="36E508D2"/>
    <w:rsid w:val="3747215A"/>
    <w:rsid w:val="37557806"/>
    <w:rsid w:val="379A790F"/>
    <w:rsid w:val="37A00C0B"/>
    <w:rsid w:val="37A97B52"/>
    <w:rsid w:val="37F41CB8"/>
    <w:rsid w:val="387119AC"/>
    <w:rsid w:val="38767A34"/>
    <w:rsid w:val="388303A3"/>
    <w:rsid w:val="389E6F8B"/>
    <w:rsid w:val="38AB7EEC"/>
    <w:rsid w:val="38C20ECB"/>
    <w:rsid w:val="393E26BF"/>
    <w:rsid w:val="39561D2C"/>
    <w:rsid w:val="3963760F"/>
    <w:rsid w:val="39683599"/>
    <w:rsid w:val="399F120C"/>
    <w:rsid w:val="39A20CFD"/>
    <w:rsid w:val="39AC19DF"/>
    <w:rsid w:val="39BE5B37"/>
    <w:rsid w:val="39C80E81"/>
    <w:rsid w:val="39F74BA5"/>
    <w:rsid w:val="3A2C5F20"/>
    <w:rsid w:val="3A2C7F77"/>
    <w:rsid w:val="3AAF722D"/>
    <w:rsid w:val="3AFB6916"/>
    <w:rsid w:val="3B345AAB"/>
    <w:rsid w:val="3B445063"/>
    <w:rsid w:val="3B725AAD"/>
    <w:rsid w:val="3B7B1805"/>
    <w:rsid w:val="3BB014AF"/>
    <w:rsid w:val="3BB32D4D"/>
    <w:rsid w:val="3BBA40DC"/>
    <w:rsid w:val="3C017196"/>
    <w:rsid w:val="3C3025F0"/>
    <w:rsid w:val="3C410359"/>
    <w:rsid w:val="3C6D114E"/>
    <w:rsid w:val="3D0221DE"/>
    <w:rsid w:val="3D1B6DFC"/>
    <w:rsid w:val="3D3D6D72"/>
    <w:rsid w:val="3D536596"/>
    <w:rsid w:val="3D813024"/>
    <w:rsid w:val="3D8C7CFA"/>
    <w:rsid w:val="3DC96858"/>
    <w:rsid w:val="3DF8538F"/>
    <w:rsid w:val="3E510229"/>
    <w:rsid w:val="3E556C1E"/>
    <w:rsid w:val="3E781CE0"/>
    <w:rsid w:val="3E895FE7"/>
    <w:rsid w:val="3EC040FF"/>
    <w:rsid w:val="3ED03C16"/>
    <w:rsid w:val="3EDB192E"/>
    <w:rsid w:val="3EE52158"/>
    <w:rsid w:val="3F217805"/>
    <w:rsid w:val="3F633AC2"/>
    <w:rsid w:val="3F670307"/>
    <w:rsid w:val="3F724CCD"/>
    <w:rsid w:val="3F7E1D12"/>
    <w:rsid w:val="3FA05CDE"/>
    <w:rsid w:val="3FC75019"/>
    <w:rsid w:val="3FF27267"/>
    <w:rsid w:val="40095632"/>
    <w:rsid w:val="4085718A"/>
    <w:rsid w:val="409B2109"/>
    <w:rsid w:val="409F7D44"/>
    <w:rsid w:val="40BA6517"/>
    <w:rsid w:val="40D7128C"/>
    <w:rsid w:val="40E8793D"/>
    <w:rsid w:val="40EA3BA5"/>
    <w:rsid w:val="41210759"/>
    <w:rsid w:val="413F78DB"/>
    <w:rsid w:val="418E5ABF"/>
    <w:rsid w:val="41967399"/>
    <w:rsid w:val="41B70282"/>
    <w:rsid w:val="42010CB6"/>
    <w:rsid w:val="421C53C9"/>
    <w:rsid w:val="42734FE4"/>
    <w:rsid w:val="42957651"/>
    <w:rsid w:val="42AD499A"/>
    <w:rsid w:val="42BA1514"/>
    <w:rsid w:val="42DC0DDB"/>
    <w:rsid w:val="42EF4FB3"/>
    <w:rsid w:val="433760FF"/>
    <w:rsid w:val="437870FF"/>
    <w:rsid w:val="4392527B"/>
    <w:rsid w:val="43996CCD"/>
    <w:rsid w:val="43BE4985"/>
    <w:rsid w:val="440C719A"/>
    <w:rsid w:val="443E439C"/>
    <w:rsid w:val="443F7874"/>
    <w:rsid w:val="445552E9"/>
    <w:rsid w:val="445E5B23"/>
    <w:rsid w:val="449B0822"/>
    <w:rsid w:val="44A776D1"/>
    <w:rsid w:val="44E81CBA"/>
    <w:rsid w:val="45091C30"/>
    <w:rsid w:val="45097E82"/>
    <w:rsid w:val="451E56DB"/>
    <w:rsid w:val="45AE2F7F"/>
    <w:rsid w:val="45DE4E6B"/>
    <w:rsid w:val="45E306D3"/>
    <w:rsid w:val="4629258A"/>
    <w:rsid w:val="46AD6480"/>
    <w:rsid w:val="47176886"/>
    <w:rsid w:val="47190850"/>
    <w:rsid w:val="47482EE3"/>
    <w:rsid w:val="47743502"/>
    <w:rsid w:val="47801DF7"/>
    <w:rsid w:val="47970A81"/>
    <w:rsid w:val="47A9702F"/>
    <w:rsid w:val="47C5711C"/>
    <w:rsid w:val="480212E4"/>
    <w:rsid w:val="481C61EC"/>
    <w:rsid w:val="483D231C"/>
    <w:rsid w:val="485B27A2"/>
    <w:rsid w:val="48933A1E"/>
    <w:rsid w:val="48B16866"/>
    <w:rsid w:val="48C540C0"/>
    <w:rsid w:val="49374EDA"/>
    <w:rsid w:val="49883A6B"/>
    <w:rsid w:val="49961E1D"/>
    <w:rsid w:val="49AF4DDF"/>
    <w:rsid w:val="49F92273"/>
    <w:rsid w:val="4A8F4985"/>
    <w:rsid w:val="4AA91EEB"/>
    <w:rsid w:val="4ACC7988"/>
    <w:rsid w:val="4AE20F8C"/>
    <w:rsid w:val="4B0233A9"/>
    <w:rsid w:val="4B090BDC"/>
    <w:rsid w:val="4B125CE2"/>
    <w:rsid w:val="4B196620"/>
    <w:rsid w:val="4B2D6676"/>
    <w:rsid w:val="4B7B7C81"/>
    <w:rsid w:val="4B9C366E"/>
    <w:rsid w:val="4BC114B6"/>
    <w:rsid w:val="4BD316DE"/>
    <w:rsid w:val="4BE551A5"/>
    <w:rsid w:val="4C251E11"/>
    <w:rsid w:val="4C4A325A"/>
    <w:rsid w:val="4C6E1FFB"/>
    <w:rsid w:val="4CA76FCA"/>
    <w:rsid w:val="4CC926EB"/>
    <w:rsid w:val="4CF80F08"/>
    <w:rsid w:val="4D1F0243"/>
    <w:rsid w:val="4D3637DE"/>
    <w:rsid w:val="4D847E25"/>
    <w:rsid w:val="4D8F60E6"/>
    <w:rsid w:val="4DDC453C"/>
    <w:rsid w:val="4E04568A"/>
    <w:rsid w:val="4E2F6BAB"/>
    <w:rsid w:val="4E551F91"/>
    <w:rsid w:val="4E6D3230"/>
    <w:rsid w:val="4E7F79AD"/>
    <w:rsid w:val="4E963B6D"/>
    <w:rsid w:val="4E9A5B02"/>
    <w:rsid w:val="4EA67106"/>
    <w:rsid w:val="4EB3158A"/>
    <w:rsid w:val="4EE650FB"/>
    <w:rsid w:val="4EE94FAC"/>
    <w:rsid w:val="4EED71C9"/>
    <w:rsid w:val="4EF35AF2"/>
    <w:rsid w:val="4F2C4E99"/>
    <w:rsid w:val="4F9631B8"/>
    <w:rsid w:val="4FC76F0D"/>
    <w:rsid w:val="50182D14"/>
    <w:rsid w:val="50265D8C"/>
    <w:rsid w:val="50461F8A"/>
    <w:rsid w:val="504E09F4"/>
    <w:rsid w:val="50734DB2"/>
    <w:rsid w:val="508A00C9"/>
    <w:rsid w:val="50946380"/>
    <w:rsid w:val="50AD05F4"/>
    <w:rsid w:val="50C3345D"/>
    <w:rsid w:val="50F96FFC"/>
    <w:rsid w:val="5109067C"/>
    <w:rsid w:val="513431F2"/>
    <w:rsid w:val="51383FC9"/>
    <w:rsid w:val="51735001"/>
    <w:rsid w:val="51841EA6"/>
    <w:rsid w:val="518B75B1"/>
    <w:rsid w:val="518E5997"/>
    <w:rsid w:val="51E23F34"/>
    <w:rsid w:val="52374492"/>
    <w:rsid w:val="524424F9"/>
    <w:rsid w:val="53061C45"/>
    <w:rsid w:val="53422EDD"/>
    <w:rsid w:val="536F17F8"/>
    <w:rsid w:val="53755060"/>
    <w:rsid w:val="5378347D"/>
    <w:rsid w:val="53870D84"/>
    <w:rsid w:val="538E6B22"/>
    <w:rsid w:val="53BC2B2A"/>
    <w:rsid w:val="53C27B7A"/>
    <w:rsid w:val="53D8114B"/>
    <w:rsid w:val="53EB5322"/>
    <w:rsid w:val="53ED0E1F"/>
    <w:rsid w:val="549C3935"/>
    <w:rsid w:val="54AB389B"/>
    <w:rsid w:val="54E87AB4"/>
    <w:rsid w:val="554C1DF1"/>
    <w:rsid w:val="555B5384"/>
    <w:rsid w:val="56080160"/>
    <w:rsid w:val="561A5FF7"/>
    <w:rsid w:val="56674A08"/>
    <w:rsid w:val="56705FB3"/>
    <w:rsid w:val="56AF176B"/>
    <w:rsid w:val="56CB31E9"/>
    <w:rsid w:val="576356D2"/>
    <w:rsid w:val="576A1F26"/>
    <w:rsid w:val="57B41ECF"/>
    <w:rsid w:val="57FC4415"/>
    <w:rsid w:val="58150BC0"/>
    <w:rsid w:val="58360200"/>
    <w:rsid w:val="592D3CE7"/>
    <w:rsid w:val="594C6863"/>
    <w:rsid w:val="598D68D5"/>
    <w:rsid w:val="59A321FB"/>
    <w:rsid w:val="59CB40BF"/>
    <w:rsid w:val="59FE7432"/>
    <w:rsid w:val="5A105AE3"/>
    <w:rsid w:val="5A2A3236"/>
    <w:rsid w:val="5A2E6F78"/>
    <w:rsid w:val="5A356312"/>
    <w:rsid w:val="5A5F25C6"/>
    <w:rsid w:val="5A706581"/>
    <w:rsid w:val="5AAD1584"/>
    <w:rsid w:val="5ABF6D03"/>
    <w:rsid w:val="5AC60A34"/>
    <w:rsid w:val="5AD50B3F"/>
    <w:rsid w:val="5AD52888"/>
    <w:rsid w:val="5ADA39FB"/>
    <w:rsid w:val="5AF173F8"/>
    <w:rsid w:val="5AF97D1A"/>
    <w:rsid w:val="5B0D3DD0"/>
    <w:rsid w:val="5B303F63"/>
    <w:rsid w:val="5BF96D81"/>
    <w:rsid w:val="5C2018E1"/>
    <w:rsid w:val="5C2C1E26"/>
    <w:rsid w:val="5CB53FD1"/>
    <w:rsid w:val="5CC44962"/>
    <w:rsid w:val="5CCE65C8"/>
    <w:rsid w:val="5CF1327E"/>
    <w:rsid w:val="5DB03593"/>
    <w:rsid w:val="5DB76275"/>
    <w:rsid w:val="5DD07337"/>
    <w:rsid w:val="5E451AD3"/>
    <w:rsid w:val="5E657BB5"/>
    <w:rsid w:val="5E927771"/>
    <w:rsid w:val="5EC21376"/>
    <w:rsid w:val="5EC55BA3"/>
    <w:rsid w:val="5EFC384C"/>
    <w:rsid w:val="5F315C21"/>
    <w:rsid w:val="5F8B3755"/>
    <w:rsid w:val="5FA32F55"/>
    <w:rsid w:val="601064E7"/>
    <w:rsid w:val="60557590"/>
    <w:rsid w:val="606B77E0"/>
    <w:rsid w:val="606C7EF8"/>
    <w:rsid w:val="609F1B51"/>
    <w:rsid w:val="60A73F46"/>
    <w:rsid w:val="60B8315D"/>
    <w:rsid w:val="60BD0A70"/>
    <w:rsid w:val="60C40681"/>
    <w:rsid w:val="60D61108"/>
    <w:rsid w:val="60E7602F"/>
    <w:rsid w:val="60EC4488"/>
    <w:rsid w:val="61493688"/>
    <w:rsid w:val="616831E1"/>
    <w:rsid w:val="61720E31"/>
    <w:rsid w:val="6175447D"/>
    <w:rsid w:val="61823001"/>
    <w:rsid w:val="61AC001F"/>
    <w:rsid w:val="61CB6793"/>
    <w:rsid w:val="61F5214B"/>
    <w:rsid w:val="62037CDB"/>
    <w:rsid w:val="6220088D"/>
    <w:rsid w:val="622540F5"/>
    <w:rsid w:val="62334AC8"/>
    <w:rsid w:val="6311467A"/>
    <w:rsid w:val="632717A7"/>
    <w:rsid w:val="6381535B"/>
    <w:rsid w:val="63872EA1"/>
    <w:rsid w:val="638C5AAE"/>
    <w:rsid w:val="63C74940"/>
    <w:rsid w:val="63E4567B"/>
    <w:rsid w:val="640B2E77"/>
    <w:rsid w:val="640F0BB9"/>
    <w:rsid w:val="646D58E0"/>
    <w:rsid w:val="64772017"/>
    <w:rsid w:val="64AB4708"/>
    <w:rsid w:val="64CC6AAA"/>
    <w:rsid w:val="65250551"/>
    <w:rsid w:val="652A4A1F"/>
    <w:rsid w:val="654E74BF"/>
    <w:rsid w:val="656404CE"/>
    <w:rsid w:val="65AE5F08"/>
    <w:rsid w:val="65E87914"/>
    <w:rsid w:val="6603137A"/>
    <w:rsid w:val="660F61D9"/>
    <w:rsid w:val="6621372E"/>
    <w:rsid w:val="66256220"/>
    <w:rsid w:val="66393CC2"/>
    <w:rsid w:val="667258CB"/>
    <w:rsid w:val="668F4233"/>
    <w:rsid w:val="66B028AC"/>
    <w:rsid w:val="66C35C8B"/>
    <w:rsid w:val="66F607A6"/>
    <w:rsid w:val="672F3320"/>
    <w:rsid w:val="67806310"/>
    <w:rsid w:val="6784366C"/>
    <w:rsid w:val="67C47F0C"/>
    <w:rsid w:val="67CC0B6F"/>
    <w:rsid w:val="67DF6AF4"/>
    <w:rsid w:val="67FB3967"/>
    <w:rsid w:val="680358AA"/>
    <w:rsid w:val="68267156"/>
    <w:rsid w:val="68352BB8"/>
    <w:rsid w:val="6850354E"/>
    <w:rsid w:val="68595EE4"/>
    <w:rsid w:val="686F7BAE"/>
    <w:rsid w:val="68910E92"/>
    <w:rsid w:val="68D45B02"/>
    <w:rsid w:val="68EE3DB7"/>
    <w:rsid w:val="68F16ADF"/>
    <w:rsid w:val="69180D28"/>
    <w:rsid w:val="693569DB"/>
    <w:rsid w:val="69670BC7"/>
    <w:rsid w:val="697119CE"/>
    <w:rsid w:val="69874162"/>
    <w:rsid w:val="6A43641B"/>
    <w:rsid w:val="6A95793E"/>
    <w:rsid w:val="6AC83870"/>
    <w:rsid w:val="6AF936D5"/>
    <w:rsid w:val="6B19056F"/>
    <w:rsid w:val="6B39476E"/>
    <w:rsid w:val="6B3D425E"/>
    <w:rsid w:val="6B5E5F82"/>
    <w:rsid w:val="6BBF72F4"/>
    <w:rsid w:val="6BC743D4"/>
    <w:rsid w:val="6C1A634D"/>
    <w:rsid w:val="6C2C42D2"/>
    <w:rsid w:val="6C6F3CF9"/>
    <w:rsid w:val="6CDA1A49"/>
    <w:rsid w:val="6CE35385"/>
    <w:rsid w:val="6CEB1A97"/>
    <w:rsid w:val="6CF334F4"/>
    <w:rsid w:val="6CF63331"/>
    <w:rsid w:val="6CF7043C"/>
    <w:rsid w:val="6CFE40D9"/>
    <w:rsid w:val="6DA00AD4"/>
    <w:rsid w:val="6DD95D94"/>
    <w:rsid w:val="6E250FD9"/>
    <w:rsid w:val="6E3A4A8F"/>
    <w:rsid w:val="6E5C3240"/>
    <w:rsid w:val="6E602011"/>
    <w:rsid w:val="6E7764B9"/>
    <w:rsid w:val="6EA268A0"/>
    <w:rsid w:val="6ECD21EF"/>
    <w:rsid w:val="6ED53EAF"/>
    <w:rsid w:val="6EDD378E"/>
    <w:rsid w:val="6F297995"/>
    <w:rsid w:val="6F4B26FF"/>
    <w:rsid w:val="6F4F4AAA"/>
    <w:rsid w:val="6F9208F0"/>
    <w:rsid w:val="6FB24AEE"/>
    <w:rsid w:val="6FEF189F"/>
    <w:rsid w:val="6FFD045F"/>
    <w:rsid w:val="6FFE3B30"/>
    <w:rsid w:val="70284696"/>
    <w:rsid w:val="706202C3"/>
    <w:rsid w:val="70D50015"/>
    <w:rsid w:val="70EB650A"/>
    <w:rsid w:val="71947ED4"/>
    <w:rsid w:val="71A87F57"/>
    <w:rsid w:val="72477770"/>
    <w:rsid w:val="727F515C"/>
    <w:rsid w:val="72905065"/>
    <w:rsid w:val="72B277CC"/>
    <w:rsid w:val="72EC6569"/>
    <w:rsid w:val="72ED0D76"/>
    <w:rsid w:val="72F67A49"/>
    <w:rsid w:val="735854D3"/>
    <w:rsid w:val="73926835"/>
    <w:rsid w:val="73B16901"/>
    <w:rsid w:val="73BD70D6"/>
    <w:rsid w:val="73E536E4"/>
    <w:rsid w:val="73F2195D"/>
    <w:rsid w:val="73F76C73"/>
    <w:rsid w:val="74087741"/>
    <w:rsid w:val="743B1556"/>
    <w:rsid w:val="7443665D"/>
    <w:rsid w:val="74733422"/>
    <w:rsid w:val="74A964C0"/>
    <w:rsid w:val="74C00D6D"/>
    <w:rsid w:val="74CD6F79"/>
    <w:rsid w:val="74D70558"/>
    <w:rsid w:val="74FA62F4"/>
    <w:rsid w:val="7507768A"/>
    <w:rsid w:val="75330480"/>
    <w:rsid w:val="7544443B"/>
    <w:rsid w:val="75480368"/>
    <w:rsid w:val="75535318"/>
    <w:rsid w:val="757437A8"/>
    <w:rsid w:val="759929D8"/>
    <w:rsid w:val="759C014B"/>
    <w:rsid w:val="75BC2223"/>
    <w:rsid w:val="76287263"/>
    <w:rsid w:val="77042F7A"/>
    <w:rsid w:val="7715608F"/>
    <w:rsid w:val="775C1580"/>
    <w:rsid w:val="77672662"/>
    <w:rsid w:val="7773768E"/>
    <w:rsid w:val="77B07B65"/>
    <w:rsid w:val="77D14C78"/>
    <w:rsid w:val="78191BAF"/>
    <w:rsid w:val="78832867"/>
    <w:rsid w:val="78A832F6"/>
    <w:rsid w:val="78C7785D"/>
    <w:rsid w:val="78FB7506"/>
    <w:rsid w:val="790C34C1"/>
    <w:rsid w:val="79534C4C"/>
    <w:rsid w:val="795409C4"/>
    <w:rsid w:val="79AE6C45"/>
    <w:rsid w:val="79E263BE"/>
    <w:rsid w:val="7A001276"/>
    <w:rsid w:val="7A10018B"/>
    <w:rsid w:val="7A3266C3"/>
    <w:rsid w:val="7A807CC3"/>
    <w:rsid w:val="7AA72251"/>
    <w:rsid w:val="7ADE2C3C"/>
    <w:rsid w:val="7AE04C06"/>
    <w:rsid w:val="7AE5221C"/>
    <w:rsid w:val="7AF3F83A"/>
    <w:rsid w:val="7B766A54"/>
    <w:rsid w:val="7B8259F4"/>
    <w:rsid w:val="7B8C6B7E"/>
    <w:rsid w:val="7B8D6476"/>
    <w:rsid w:val="7B9A05A5"/>
    <w:rsid w:val="7BB33FFD"/>
    <w:rsid w:val="7BC260B9"/>
    <w:rsid w:val="7C4D62CB"/>
    <w:rsid w:val="7C66113B"/>
    <w:rsid w:val="7C7A629C"/>
    <w:rsid w:val="7CBA1769"/>
    <w:rsid w:val="7CC1243F"/>
    <w:rsid w:val="7D14035D"/>
    <w:rsid w:val="7D9046C1"/>
    <w:rsid w:val="7D9F4904"/>
    <w:rsid w:val="7DDD71DA"/>
    <w:rsid w:val="7DDE356A"/>
    <w:rsid w:val="7DEF74BD"/>
    <w:rsid w:val="7DF115D5"/>
    <w:rsid w:val="7E1536A4"/>
    <w:rsid w:val="7E226D6A"/>
    <w:rsid w:val="7E2412AD"/>
    <w:rsid w:val="7E484F9C"/>
    <w:rsid w:val="7E941FD6"/>
    <w:rsid w:val="7EA877E8"/>
    <w:rsid w:val="7F5B0CFF"/>
    <w:rsid w:val="7F8A5140"/>
    <w:rsid w:val="7FD4460D"/>
    <w:rsid w:val="B7EB238B"/>
    <w:rsid w:val="EFBB5A0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8"/>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69"/>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70"/>
    <w:qFormat/>
    <w:uiPriority w:val="0"/>
    <w:pPr>
      <w:keepNext/>
      <w:keepLines/>
      <w:spacing w:before="260" w:after="260" w:line="416" w:lineRule="auto"/>
      <w:outlineLvl w:val="2"/>
    </w:pPr>
    <w:rPr>
      <w:b/>
      <w:bCs/>
      <w:sz w:val="32"/>
      <w:szCs w:val="32"/>
    </w:rPr>
  </w:style>
  <w:style w:type="paragraph" w:styleId="5">
    <w:name w:val="heading 4"/>
    <w:basedOn w:val="1"/>
    <w:next w:val="1"/>
    <w:link w:val="71"/>
    <w:qFormat/>
    <w:uiPriority w:val="0"/>
    <w:pPr>
      <w:keepNext/>
      <w:keepLines/>
      <w:spacing w:before="280" w:after="290" w:line="374" w:lineRule="auto"/>
      <w:outlineLvl w:val="3"/>
    </w:pPr>
    <w:rPr>
      <w:rFonts w:ascii="Arial" w:hAnsi="Arial" w:eastAsia="黑体"/>
      <w:b/>
      <w:sz w:val="28"/>
      <w:szCs w:val="20"/>
    </w:rPr>
  </w:style>
  <w:style w:type="paragraph" w:styleId="6">
    <w:name w:val="heading 5"/>
    <w:basedOn w:val="1"/>
    <w:next w:val="1"/>
    <w:link w:val="72"/>
    <w:qFormat/>
    <w:uiPriority w:val="0"/>
    <w:pPr>
      <w:keepNext/>
      <w:keepLines/>
      <w:adjustRightInd w:val="0"/>
      <w:spacing w:before="280" w:after="290" w:line="376" w:lineRule="atLeast"/>
      <w:ind w:left="2125" w:hanging="425"/>
      <w:textAlignment w:val="baseline"/>
      <w:outlineLvl w:val="4"/>
    </w:pPr>
    <w:rPr>
      <w:b/>
      <w:kern w:val="0"/>
      <w:sz w:val="28"/>
      <w:szCs w:val="20"/>
    </w:rPr>
  </w:style>
  <w:style w:type="paragraph" w:styleId="7">
    <w:name w:val="heading 6"/>
    <w:basedOn w:val="1"/>
    <w:next w:val="1"/>
    <w:link w:val="73"/>
    <w:qFormat/>
    <w:uiPriority w:val="0"/>
    <w:pPr>
      <w:keepNext/>
      <w:keepLines/>
      <w:widowControl/>
      <w:tabs>
        <w:tab w:val="left" w:pos="1440"/>
      </w:tabs>
      <w:spacing w:before="240" w:after="64" w:line="319" w:lineRule="auto"/>
      <w:ind w:left="1152" w:hanging="1152"/>
      <w:jc w:val="left"/>
      <w:outlineLvl w:val="5"/>
    </w:pPr>
    <w:rPr>
      <w:rFonts w:ascii="Arial" w:hAnsi="Arial" w:eastAsia="黑体"/>
      <w:b/>
      <w:kern w:val="0"/>
      <w:sz w:val="24"/>
      <w:szCs w:val="20"/>
    </w:rPr>
  </w:style>
  <w:style w:type="paragraph" w:styleId="8">
    <w:name w:val="heading 7"/>
    <w:basedOn w:val="1"/>
    <w:next w:val="1"/>
    <w:link w:val="74"/>
    <w:qFormat/>
    <w:uiPriority w:val="0"/>
    <w:pPr>
      <w:keepNext/>
      <w:keepLines/>
      <w:widowControl/>
      <w:tabs>
        <w:tab w:val="left" w:pos="2520"/>
      </w:tabs>
      <w:spacing w:before="240" w:after="64" w:line="319" w:lineRule="auto"/>
      <w:ind w:left="1296" w:hanging="1296"/>
      <w:jc w:val="left"/>
      <w:outlineLvl w:val="6"/>
    </w:pPr>
    <w:rPr>
      <w:b/>
      <w:kern w:val="0"/>
      <w:sz w:val="24"/>
      <w:szCs w:val="20"/>
    </w:rPr>
  </w:style>
  <w:style w:type="paragraph" w:styleId="9">
    <w:name w:val="heading 8"/>
    <w:basedOn w:val="1"/>
    <w:next w:val="1"/>
    <w:link w:val="75"/>
    <w:qFormat/>
    <w:uiPriority w:val="0"/>
    <w:pPr>
      <w:keepNext/>
      <w:keepLines/>
      <w:widowControl/>
      <w:tabs>
        <w:tab w:val="left" w:pos="1440"/>
      </w:tabs>
      <w:spacing w:before="240" w:after="64" w:line="319" w:lineRule="auto"/>
      <w:ind w:left="1440" w:hanging="1440"/>
      <w:jc w:val="left"/>
      <w:outlineLvl w:val="7"/>
    </w:pPr>
    <w:rPr>
      <w:rFonts w:ascii="Arial" w:hAnsi="Arial" w:eastAsia="黑体"/>
      <w:kern w:val="0"/>
      <w:sz w:val="24"/>
      <w:szCs w:val="20"/>
    </w:rPr>
  </w:style>
  <w:style w:type="paragraph" w:styleId="10">
    <w:name w:val="heading 9"/>
    <w:basedOn w:val="1"/>
    <w:next w:val="1"/>
    <w:link w:val="76"/>
    <w:qFormat/>
    <w:uiPriority w:val="0"/>
    <w:pPr>
      <w:keepNext/>
      <w:keepLines/>
      <w:widowControl/>
      <w:tabs>
        <w:tab w:val="left" w:pos="1584"/>
      </w:tabs>
      <w:spacing w:before="240" w:after="64" w:line="319" w:lineRule="auto"/>
      <w:ind w:left="1584" w:hanging="1584"/>
      <w:jc w:val="left"/>
      <w:outlineLvl w:val="8"/>
    </w:pPr>
    <w:rPr>
      <w:rFonts w:ascii="Arial" w:hAnsi="Arial" w:eastAsia="黑体"/>
      <w:kern w:val="0"/>
      <w:szCs w:val="20"/>
    </w:rPr>
  </w:style>
  <w:style w:type="character" w:default="1" w:styleId="49">
    <w:name w:val="Default Paragraph Font"/>
    <w:link w:val="50"/>
    <w:semiHidden/>
    <w:qFormat/>
    <w:uiPriority w:val="0"/>
  </w:style>
  <w:style w:type="table" w:default="1" w:styleId="47">
    <w:name w:val="Normal Table"/>
    <w:semiHidden/>
    <w:qFormat/>
    <w:uiPriority w:val="0"/>
    <w:tblPr>
      <w:tblCellMar>
        <w:top w:w="0" w:type="dxa"/>
        <w:left w:w="108" w:type="dxa"/>
        <w:bottom w:w="0" w:type="dxa"/>
        <w:right w:w="108" w:type="dxa"/>
      </w:tblCellMar>
    </w:tblPr>
  </w:style>
  <w:style w:type="paragraph" w:styleId="11">
    <w:name w:val="toc 7"/>
    <w:basedOn w:val="1"/>
    <w:next w:val="1"/>
    <w:qFormat/>
    <w:uiPriority w:val="39"/>
    <w:pPr>
      <w:ind w:left="2520" w:leftChars="1200"/>
    </w:pPr>
  </w:style>
  <w:style w:type="paragraph" w:styleId="12">
    <w:name w:val="Normal Indent"/>
    <w:basedOn w:val="1"/>
    <w:next w:val="13"/>
    <w:qFormat/>
    <w:uiPriority w:val="0"/>
    <w:pPr>
      <w:ind w:firstLine="420" w:firstLineChars="200"/>
    </w:pPr>
  </w:style>
  <w:style w:type="paragraph" w:styleId="13">
    <w:name w:val="Body Text 2"/>
    <w:basedOn w:val="1"/>
    <w:next w:val="1"/>
    <w:link w:val="87"/>
    <w:qFormat/>
    <w:uiPriority w:val="0"/>
    <w:pPr>
      <w:spacing w:after="120" w:line="480" w:lineRule="auto"/>
    </w:pPr>
    <w:rPr>
      <w:szCs w:val="20"/>
    </w:rPr>
  </w:style>
  <w:style w:type="paragraph" w:styleId="14">
    <w:name w:val="caption"/>
    <w:basedOn w:val="1"/>
    <w:next w:val="1"/>
    <w:qFormat/>
    <w:uiPriority w:val="0"/>
    <w:rPr>
      <w:rFonts w:ascii="Cambria" w:hAnsi="Cambria" w:eastAsia="黑体"/>
      <w:sz w:val="20"/>
      <w:szCs w:val="20"/>
    </w:rPr>
  </w:style>
  <w:style w:type="paragraph" w:styleId="15">
    <w:name w:val="List Bullet"/>
    <w:basedOn w:val="1"/>
    <w:qFormat/>
    <w:uiPriority w:val="0"/>
    <w:pPr>
      <w:ind w:left="384" w:hanging="384" w:hangingChars="160"/>
    </w:pPr>
    <w:rPr>
      <w:sz w:val="24"/>
    </w:rPr>
  </w:style>
  <w:style w:type="paragraph" w:styleId="16">
    <w:name w:val="Document Map"/>
    <w:basedOn w:val="1"/>
    <w:link w:val="77"/>
    <w:qFormat/>
    <w:uiPriority w:val="0"/>
    <w:pPr>
      <w:shd w:val="clear" w:color="auto" w:fill="000080"/>
    </w:pPr>
    <w:rPr>
      <w:szCs w:val="20"/>
      <w:shd w:val="clear" w:color="auto" w:fill="000080"/>
    </w:rPr>
  </w:style>
  <w:style w:type="paragraph" w:styleId="17">
    <w:name w:val="toa heading"/>
    <w:basedOn w:val="1"/>
    <w:next w:val="1"/>
    <w:qFormat/>
    <w:uiPriority w:val="0"/>
    <w:pPr>
      <w:spacing w:before="120"/>
    </w:pPr>
    <w:rPr>
      <w:rFonts w:ascii="Arial" w:hAnsi="Arial" w:cs="Arial"/>
      <w:sz w:val="24"/>
    </w:rPr>
  </w:style>
  <w:style w:type="paragraph" w:styleId="18">
    <w:name w:val="annotation text"/>
    <w:basedOn w:val="1"/>
    <w:link w:val="78"/>
    <w:qFormat/>
    <w:uiPriority w:val="0"/>
    <w:pPr>
      <w:jc w:val="left"/>
    </w:pPr>
  </w:style>
  <w:style w:type="paragraph" w:styleId="19">
    <w:name w:val="Body Text 3"/>
    <w:basedOn w:val="1"/>
    <w:qFormat/>
    <w:uiPriority w:val="0"/>
    <w:rPr>
      <w:rFonts w:ascii="宋体"/>
      <w:sz w:val="24"/>
      <w:szCs w:val="20"/>
    </w:rPr>
  </w:style>
  <w:style w:type="paragraph" w:styleId="20">
    <w:name w:val="Body Text"/>
    <w:basedOn w:val="1"/>
    <w:link w:val="67"/>
    <w:qFormat/>
    <w:uiPriority w:val="0"/>
    <w:pPr>
      <w:spacing w:after="120"/>
    </w:pPr>
    <w:rPr>
      <w:szCs w:val="20"/>
    </w:rPr>
  </w:style>
  <w:style w:type="paragraph" w:styleId="21">
    <w:name w:val="Body Text Indent"/>
    <w:basedOn w:val="1"/>
    <w:link w:val="79"/>
    <w:qFormat/>
    <w:uiPriority w:val="0"/>
    <w:pPr>
      <w:spacing w:after="120"/>
      <w:ind w:left="420" w:leftChars="200"/>
    </w:pPr>
    <w:rPr>
      <w:szCs w:val="20"/>
    </w:rPr>
  </w:style>
  <w:style w:type="paragraph" w:styleId="22">
    <w:name w:val="index 4"/>
    <w:basedOn w:val="1"/>
    <w:next w:val="1"/>
    <w:qFormat/>
    <w:uiPriority w:val="0"/>
    <w:pPr>
      <w:ind w:left="600" w:leftChars="600"/>
    </w:pPr>
  </w:style>
  <w:style w:type="paragraph" w:styleId="23">
    <w:name w:val="toc 5"/>
    <w:basedOn w:val="1"/>
    <w:next w:val="1"/>
    <w:qFormat/>
    <w:uiPriority w:val="39"/>
    <w:pPr>
      <w:ind w:left="1680" w:leftChars="800"/>
    </w:pPr>
  </w:style>
  <w:style w:type="paragraph" w:styleId="24">
    <w:name w:val="toc 3"/>
    <w:basedOn w:val="1"/>
    <w:next w:val="1"/>
    <w:qFormat/>
    <w:uiPriority w:val="39"/>
    <w:pPr>
      <w:tabs>
        <w:tab w:val="right" w:leader="dot" w:pos="8315"/>
      </w:tabs>
      <w:spacing w:line="360" w:lineRule="auto"/>
      <w:ind w:left="840" w:leftChars="400"/>
    </w:pPr>
    <w:rPr>
      <w:sz w:val="24"/>
    </w:rPr>
  </w:style>
  <w:style w:type="paragraph" w:styleId="25">
    <w:name w:val="Plain Text"/>
    <w:basedOn w:val="1"/>
    <w:link w:val="80"/>
    <w:qFormat/>
    <w:uiPriority w:val="0"/>
    <w:rPr>
      <w:rFonts w:ascii="宋体" w:hAnsi="Courier New"/>
      <w:szCs w:val="20"/>
    </w:rPr>
  </w:style>
  <w:style w:type="paragraph" w:styleId="26">
    <w:name w:val="toc 8"/>
    <w:basedOn w:val="1"/>
    <w:next w:val="1"/>
    <w:qFormat/>
    <w:uiPriority w:val="39"/>
    <w:pPr>
      <w:ind w:left="2940" w:leftChars="1400"/>
    </w:pPr>
  </w:style>
  <w:style w:type="paragraph" w:styleId="27">
    <w:name w:val="Date"/>
    <w:basedOn w:val="1"/>
    <w:next w:val="1"/>
    <w:link w:val="81"/>
    <w:qFormat/>
    <w:uiPriority w:val="0"/>
    <w:rPr>
      <w:sz w:val="24"/>
      <w:szCs w:val="20"/>
    </w:rPr>
  </w:style>
  <w:style w:type="paragraph" w:styleId="28">
    <w:name w:val="Body Text Indent 2"/>
    <w:basedOn w:val="1"/>
    <w:link w:val="82"/>
    <w:qFormat/>
    <w:uiPriority w:val="0"/>
    <w:pPr>
      <w:adjustRightInd w:val="0"/>
      <w:snapToGrid w:val="0"/>
      <w:spacing w:line="420" w:lineRule="auto"/>
      <w:ind w:firstLine="577"/>
      <w:textAlignment w:val="baseline"/>
    </w:pPr>
    <w:rPr>
      <w:spacing w:val="4"/>
      <w:kern w:val="0"/>
      <w:sz w:val="28"/>
      <w:szCs w:val="20"/>
    </w:rPr>
  </w:style>
  <w:style w:type="paragraph" w:styleId="29">
    <w:name w:val="Balloon Text"/>
    <w:basedOn w:val="1"/>
    <w:link w:val="83"/>
    <w:qFormat/>
    <w:uiPriority w:val="0"/>
    <w:rPr>
      <w:sz w:val="18"/>
      <w:szCs w:val="20"/>
    </w:rPr>
  </w:style>
  <w:style w:type="paragraph" w:styleId="30">
    <w:name w:val="footer"/>
    <w:basedOn w:val="1"/>
    <w:link w:val="84"/>
    <w:qFormat/>
    <w:uiPriority w:val="0"/>
    <w:pPr>
      <w:tabs>
        <w:tab w:val="center" w:pos="4153"/>
        <w:tab w:val="right" w:pos="8306"/>
      </w:tabs>
      <w:snapToGrid w:val="0"/>
      <w:jc w:val="left"/>
    </w:pPr>
    <w:rPr>
      <w:sz w:val="18"/>
      <w:szCs w:val="18"/>
    </w:rPr>
  </w:style>
  <w:style w:type="paragraph" w:styleId="31">
    <w:name w:val="envelope return"/>
    <w:basedOn w:val="1"/>
    <w:unhideWhenUsed/>
    <w:qFormat/>
    <w:uiPriority w:val="99"/>
    <w:pPr>
      <w:snapToGrid w:val="0"/>
    </w:pPr>
    <w:rPr>
      <w:rFonts w:ascii="Arial" w:hAnsi="Arial"/>
    </w:rPr>
  </w:style>
  <w:style w:type="paragraph" w:styleId="32">
    <w:name w:val="header"/>
    <w:basedOn w:val="1"/>
    <w:link w:val="85"/>
    <w:qFormat/>
    <w:uiPriority w:val="0"/>
    <w:pPr>
      <w:pBdr>
        <w:bottom w:val="single" w:color="auto" w:sz="6" w:space="1"/>
      </w:pBdr>
      <w:tabs>
        <w:tab w:val="center" w:pos="4153"/>
        <w:tab w:val="right" w:pos="8306"/>
      </w:tabs>
      <w:snapToGrid w:val="0"/>
      <w:jc w:val="center"/>
    </w:pPr>
    <w:rPr>
      <w:sz w:val="18"/>
      <w:szCs w:val="18"/>
    </w:rPr>
  </w:style>
  <w:style w:type="paragraph" w:styleId="33">
    <w:name w:val="toc 1"/>
    <w:basedOn w:val="1"/>
    <w:next w:val="1"/>
    <w:qFormat/>
    <w:uiPriority w:val="39"/>
    <w:pPr>
      <w:tabs>
        <w:tab w:val="right" w:leader="dot" w:pos="8296"/>
      </w:tabs>
      <w:spacing w:line="360" w:lineRule="auto"/>
      <w:ind w:right="733" w:rightChars="349"/>
      <w:jc w:val="center"/>
    </w:pPr>
    <w:rPr>
      <w:sz w:val="28"/>
    </w:rPr>
  </w:style>
  <w:style w:type="paragraph" w:styleId="34">
    <w:name w:val="toc 4"/>
    <w:basedOn w:val="1"/>
    <w:next w:val="1"/>
    <w:qFormat/>
    <w:uiPriority w:val="39"/>
    <w:pPr>
      <w:ind w:left="1260" w:leftChars="600"/>
    </w:pPr>
  </w:style>
  <w:style w:type="paragraph" w:styleId="35">
    <w:name w:val="Subtitle"/>
    <w:basedOn w:val="1"/>
    <w:next w:val="1"/>
    <w:link w:val="86"/>
    <w:qFormat/>
    <w:uiPriority w:val="0"/>
    <w:pPr>
      <w:spacing w:before="240" w:after="60" w:line="312" w:lineRule="auto"/>
      <w:jc w:val="center"/>
      <w:outlineLvl w:val="1"/>
    </w:pPr>
    <w:rPr>
      <w:rFonts w:ascii="Cambria" w:hAnsi="Cambria"/>
      <w:b/>
      <w:bCs/>
      <w:kern w:val="28"/>
      <w:sz w:val="32"/>
      <w:szCs w:val="32"/>
    </w:rPr>
  </w:style>
  <w:style w:type="paragraph" w:styleId="36">
    <w:name w:val="toc 6"/>
    <w:basedOn w:val="1"/>
    <w:next w:val="1"/>
    <w:qFormat/>
    <w:uiPriority w:val="39"/>
    <w:pPr>
      <w:ind w:left="2100" w:leftChars="1000"/>
    </w:pPr>
  </w:style>
  <w:style w:type="paragraph" w:styleId="37">
    <w:name w:val="Body Text Indent 3"/>
    <w:basedOn w:val="1"/>
    <w:qFormat/>
    <w:uiPriority w:val="0"/>
    <w:pPr>
      <w:spacing w:after="120"/>
      <w:ind w:left="420" w:leftChars="200"/>
    </w:pPr>
    <w:rPr>
      <w:sz w:val="16"/>
      <w:szCs w:val="20"/>
    </w:rPr>
  </w:style>
  <w:style w:type="paragraph" w:styleId="38">
    <w:name w:val="toc 2"/>
    <w:basedOn w:val="1"/>
    <w:next w:val="1"/>
    <w:qFormat/>
    <w:uiPriority w:val="39"/>
    <w:pPr>
      <w:tabs>
        <w:tab w:val="right" w:leader="dot" w:pos="8301"/>
      </w:tabs>
      <w:spacing w:line="360" w:lineRule="auto"/>
      <w:ind w:left="420" w:leftChars="200"/>
    </w:pPr>
    <w:rPr>
      <w:sz w:val="24"/>
    </w:rPr>
  </w:style>
  <w:style w:type="paragraph" w:styleId="39">
    <w:name w:val="toc 9"/>
    <w:basedOn w:val="1"/>
    <w:next w:val="1"/>
    <w:qFormat/>
    <w:uiPriority w:val="39"/>
    <w:pPr>
      <w:ind w:left="3360" w:leftChars="1600"/>
    </w:pPr>
  </w:style>
  <w:style w:type="paragraph" w:styleId="40">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szCs w:val="20"/>
    </w:rPr>
  </w:style>
  <w:style w:type="paragraph" w:styleId="41">
    <w:name w:val="Normal (Web)"/>
    <w:basedOn w:val="1"/>
    <w:qFormat/>
    <w:uiPriority w:val="99"/>
    <w:pPr>
      <w:widowControl/>
      <w:spacing w:before="100" w:beforeAutospacing="1" w:after="100" w:afterAutospacing="1"/>
      <w:jc w:val="left"/>
    </w:pPr>
    <w:rPr>
      <w:rFonts w:ascii="宋体" w:hAnsi="宋体"/>
      <w:kern w:val="0"/>
      <w:sz w:val="24"/>
      <w:szCs w:val="20"/>
    </w:rPr>
  </w:style>
  <w:style w:type="paragraph" w:styleId="42">
    <w:name w:val="index 1"/>
    <w:basedOn w:val="1"/>
    <w:next w:val="1"/>
    <w:qFormat/>
    <w:uiPriority w:val="0"/>
    <w:pPr>
      <w:spacing w:line="220" w:lineRule="exact"/>
      <w:jc w:val="center"/>
    </w:pPr>
    <w:rPr>
      <w:rFonts w:ascii="仿宋_GB2312" w:eastAsia="仿宋_GB2312"/>
      <w:szCs w:val="20"/>
    </w:rPr>
  </w:style>
  <w:style w:type="paragraph" w:styleId="43">
    <w:name w:val="Title"/>
    <w:basedOn w:val="1"/>
    <w:link w:val="88"/>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44">
    <w:name w:val="annotation subject"/>
    <w:basedOn w:val="18"/>
    <w:next w:val="18"/>
    <w:link w:val="89"/>
    <w:qFormat/>
    <w:uiPriority w:val="0"/>
    <w:rPr>
      <w:b/>
      <w:bCs/>
      <w:szCs w:val="20"/>
    </w:rPr>
  </w:style>
  <w:style w:type="paragraph" w:styleId="45">
    <w:name w:val="Body Text First Indent"/>
    <w:basedOn w:val="20"/>
    <w:next w:val="1"/>
    <w:unhideWhenUsed/>
    <w:qFormat/>
    <w:uiPriority w:val="0"/>
    <w:pPr>
      <w:ind w:firstLine="420"/>
    </w:pPr>
    <w:rPr>
      <w:rFonts w:eastAsia="楷体_GB2312"/>
      <w:sz w:val="32"/>
    </w:rPr>
  </w:style>
  <w:style w:type="paragraph" w:styleId="46">
    <w:name w:val="Body Text First Indent 2"/>
    <w:basedOn w:val="21"/>
    <w:qFormat/>
    <w:uiPriority w:val="0"/>
    <w:pPr>
      <w:ind w:firstLine="420" w:firstLineChars="200"/>
    </w:pPr>
    <w:rPr>
      <w:szCs w:val="21"/>
    </w:rPr>
  </w:style>
  <w:style w:type="table" w:styleId="48">
    <w:name w:val="Table Grid"/>
    <w:basedOn w:val="4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0">
    <w:name w:val="_Style 107"/>
    <w:basedOn w:val="1"/>
    <w:link w:val="49"/>
    <w:qFormat/>
    <w:uiPriority w:val="0"/>
    <w:rPr>
      <w:rFonts w:ascii="Tahoma" w:hAnsi="Tahoma"/>
      <w:sz w:val="24"/>
      <w:szCs w:val="20"/>
    </w:rPr>
  </w:style>
  <w:style w:type="character" w:styleId="51">
    <w:name w:val="Strong"/>
    <w:qFormat/>
    <w:uiPriority w:val="22"/>
    <w:rPr>
      <w:b/>
      <w:bCs/>
    </w:rPr>
  </w:style>
  <w:style w:type="character" w:styleId="52">
    <w:name w:val="page number"/>
    <w:basedOn w:val="49"/>
    <w:qFormat/>
    <w:uiPriority w:val="0"/>
  </w:style>
  <w:style w:type="character" w:styleId="53">
    <w:name w:val="FollowedHyperlink"/>
    <w:qFormat/>
    <w:uiPriority w:val="0"/>
    <w:rPr>
      <w:color w:val="800080"/>
      <w:u w:val="single"/>
    </w:rPr>
  </w:style>
  <w:style w:type="character" w:styleId="54">
    <w:name w:val="Emphasis"/>
    <w:qFormat/>
    <w:uiPriority w:val="20"/>
    <w:rPr>
      <w:i/>
      <w:iCs/>
    </w:rPr>
  </w:style>
  <w:style w:type="character" w:styleId="55">
    <w:name w:val="HTML Definition"/>
    <w:basedOn w:val="49"/>
    <w:qFormat/>
    <w:uiPriority w:val="0"/>
  </w:style>
  <w:style w:type="character" w:styleId="56">
    <w:name w:val="HTML Typewriter"/>
    <w:basedOn w:val="49"/>
    <w:qFormat/>
    <w:uiPriority w:val="0"/>
    <w:rPr>
      <w:rFonts w:hint="default" w:ascii="monospace" w:hAnsi="monospace" w:eastAsia="monospace" w:cs="monospace"/>
      <w:sz w:val="20"/>
    </w:rPr>
  </w:style>
  <w:style w:type="character" w:styleId="57">
    <w:name w:val="HTML Acronym"/>
    <w:basedOn w:val="49"/>
    <w:qFormat/>
    <w:uiPriority w:val="0"/>
  </w:style>
  <w:style w:type="character" w:styleId="58">
    <w:name w:val="HTML Variable"/>
    <w:basedOn w:val="49"/>
    <w:qFormat/>
    <w:uiPriority w:val="0"/>
  </w:style>
  <w:style w:type="character" w:styleId="59">
    <w:name w:val="Hyperlink"/>
    <w:qFormat/>
    <w:uiPriority w:val="99"/>
    <w:rPr>
      <w:color w:val="0000FF"/>
      <w:u w:val="single"/>
    </w:rPr>
  </w:style>
  <w:style w:type="character" w:styleId="60">
    <w:name w:val="HTML Code"/>
    <w:basedOn w:val="49"/>
    <w:qFormat/>
    <w:uiPriority w:val="0"/>
    <w:rPr>
      <w:rFonts w:hint="default" w:ascii="monospace" w:hAnsi="monospace" w:eastAsia="monospace" w:cs="monospace"/>
      <w:sz w:val="20"/>
    </w:rPr>
  </w:style>
  <w:style w:type="character" w:styleId="61">
    <w:name w:val="annotation reference"/>
    <w:qFormat/>
    <w:uiPriority w:val="0"/>
    <w:rPr>
      <w:sz w:val="21"/>
    </w:rPr>
  </w:style>
  <w:style w:type="character" w:styleId="62">
    <w:name w:val="HTML Cite"/>
    <w:basedOn w:val="49"/>
    <w:qFormat/>
    <w:uiPriority w:val="0"/>
  </w:style>
  <w:style w:type="character" w:styleId="63">
    <w:name w:val="HTML Keyboard"/>
    <w:basedOn w:val="49"/>
    <w:qFormat/>
    <w:uiPriority w:val="0"/>
    <w:rPr>
      <w:rFonts w:ascii="monospace" w:hAnsi="monospace" w:eastAsia="monospace" w:cs="monospace"/>
      <w:sz w:val="20"/>
    </w:rPr>
  </w:style>
  <w:style w:type="character" w:styleId="64">
    <w:name w:val="HTML Sample"/>
    <w:basedOn w:val="49"/>
    <w:qFormat/>
    <w:uiPriority w:val="0"/>
    <w:rPr>
      <w:rFonts w:hint="default" w:ascii="monospace" w:hAnsi="monospace" w:eastAsia="monospace" w:cs="monospace"/>
    </w:rPr>
  </w:style>
  <w:style w:type="paragraph" w:customStyle="1" w:styleId="65">
    <w:name w:val="样式 正文首行缩进 2 + Arial"/>
    <w:basedOn w:val="1"/>
    <w:next w:val="1"/>
    <w:qFormat/>
    <w:uiPriority w:val="0"/>
    <w:pPr>
      <w:spacing w:after="120" w:line="320" w:lineRule="atLeast"/>
      <w:ind w:firstLine="200" w:firstLineChars="200"/>
    </w:pPr>
    <w:rPr>
      <w:rFonts w:ascii="Arial" w:hAnsi="Arial"/>
      <w:kern w:val="0"/>
    </w:rPr>
  </w:style>
  <w:style w:type="character" w:customStyle="1" w:styleId="66">
    <w:name w:val="标题 3 Char"/>
    <w:qFormat/>
    <w:uiPriority w:val="0"/>
    <w:rPr>
      <w:rFonts w:eastAsia="宋体"/>
      <w:b/>
      <w:kern w:val="2"/>
      <w:sz w:val="24"/>
      <w:lang w:val="en-US" w:eastAsia="zh-CN" w:bidi="ar-SA"/>
    </w:rPr>
  </w:style>
  <w:style w:type="character" w:customStyle="1" w:styleId="67">
    <w:name w:val="正文文本 字符"/>
    <w:link w:val="20"/>
    <w:qFormat/>
    <w:uiPriority w:val="0"/>
    <w:rPr>
      <w:kern w:val="2"/>
      <w:sz w:val="21"/>
      <w:lang w:bidi="ar-SA"/>
    </w:rPr>
  </w:style>
  <w:style w:type="character" w:customStyle="1" w:styleId="68">
    <w:name w:val="标题 1 字符"/>
    <w:link w:val="2"/>
    <w:qFormat/>
    <w:uiPriority w:val="0"/>
    <w:rPr>
      <w:rFonts w:eastAsia="宋体"/>
      <w:b/>
      <w:bCs/>
      <w:kern w:val="44"/>
      <w:sz w:val="44"/>
      <w:szCs w:val="44"/>
      <w:lang w:val="en-US" w:eastAsia="zh-CN" w:bidi="ar-SA"/>
    </w:rPr>
  </w:style>
  <w:style w:type="character" w:customStyle="1" w:styleId="69">
    <w:name w:val="标题 2 字符"/>
    <w:link w:val="3"/>
    <w:qFormat/>
    <w:uiPriority w:val="0"/>
    <w:rPr>
      <w:rFonts w:ascii="Arial" w:hAnsi="Arial" w:eastAsia="黑体"/>
      <w:b/>
      <w:bCs/>
      <w:kern w:val="2"/>
      <w:sz w:val="32"/>
      <w:szCs w:val="32"/>
      <w:lang w:val="en-US" w:eastAsia="zh-CN" w:bidi="ar-SA"/>
    </w:rPr>
  </w:style>
  <w:style w:type="character" w:customStyle="1" w:styleId="70">
    <w:name w:val="标题 3 字符"/>
    <w:link w:val="4"/>
    <w:qFormat/>
    <w:uiPriority w:val="0"/>
    <w:rPr>
      <w:rFonts w:eastAsia="宋体"/>
      <w:b/>
      <w:bCs/>
      <w:kern w:val="2"/>
      <w:sz w:val="32"/>
      <w:szCs w:val="32"/>
      <w:lang w:val="en-US" w:eastAsia="zh-CN" w:bidi="ar-SA"/>
    </w:rPr>
  </w:style>
  <w:style w:type="character" w:customStyle="1" w:styleId="71">
    <w:name w:val="标题 4 字符"/>
    <w:link w:val="5"/>
    <w:qFormat/>
    <w:uiPriority w:val="0"/>
    <w:rPr>
      <w:rFonts w:ascii="Arial" w:hAnsi="Arial" w:eastAsia="黑体"/>
      <w:b/>
      <w:kern w:val="2"/>
      <w:sz w:val="28"/>
      <w:lang w:val="en-US" w:eastAsia="zh-CN" w:bidi="ar-SA"/>
    </w:rPr>
  </w:style>
  <w:style w:type="character" w:customStyle="1" w:styleId="72">
    <w:name w:val="标题 5 字符"/>
    <w:link w:val="6"/>
    <w:qFormat/>
    <w:uiPriority w:val="0"/>
    <w:rPr>
      <w:rFonts w:eastAsia="宋体"/>
      <w:b/>
      <w:sz w:val="28"/>
      <w:lang w:val="en-US" w:eastAsia="zh-CN" w:bidi="ar-SA"/>
    </w:rPr>
  </w:style>
  <w:style w:type="character" w:customStyle="1" w:styleId="73">
    <w:name w:val="标题 6 字符"/>
    <w:link w:val="7"/>
    <w:qFormat/>
    <w:uiPriority w:val="0"/>
    <w:rPr>
      <w:rFonts w:ascii="Arial" w:hAnsi="Arial" w:eastAsia="黑体"/>
      <w:b/>
      <w:sz w:val="24"/>
      <w:lang w:val="en-US" w:eastAsia="zh-CN" w:bidi="ar-SA"/>
    </w:rPr>
  </w:style>
  <w:style w:type="character" w:customStyle="1" w:styleId="74">
    <w:name w:val="标题 7 字符"/>
    <w:link w:val="8"/>
    <w:qFormat/>
    <w:uiPriority w:val="0"/>
    <w:rPr>
      <w:rFonts w:eastAsia="宋体"/>
      <w:b/>
      <w:sz w:val="24"/>
      <w:lang w:val="en-US" w:eastAsia="zh-CN" w:bidi="ar-SA"/>
    </w:rPr>
  </w:style>
  <w:style w:type="character" w:customStyle="1" w:styleId="75">
    <w:name w:val="标题 8 字符"/>
    <w:link w:val="9"/>
    <w:qFormat/>
    <w:uiPriority w:val="0"/>
    <w:rPr>
      <w:rFonts w:ascii="Arial" w:hAnsi="Arial" w:eastAsia="黑体"/>
      <w:sz w:val="24"/>
      <w:lang w:val="en-US" w:eastAsia="zh-CN" w:bidi="ar-SA"/>
    </w:rPr>
  </w:style>
  <w:style w:type="character" w:customStyle="1" w:styleId="76">
    <w:name w:val="标题 9 字符"/>
    <w:link w:val="10"/>
    <w:qFormat/>
    <w:uiPriority w:val="0"/>
    <w:rPr>
      <w:rFonts w:ascii="Arial" w:hAnsi="Arial" w:eastAsia="黑体"/>
      <w:sz w:val="21"/>
      <w:lang w:val="en-US" w:eastAsia="zh-CN" w:bidi="ar-SA"/>
    </w:rPr>
  </w:style>
  <w:style w:type="character" w:customStyle="1" w:styleId="77">
    <w:name w:val="文档结构图 字符"/>
    <w:link w:val="16"/>
    <w:qFormat/>
    <w:uiPriority w:val="0"/>
    <w:rPr>
      <w:kern w:val="2"/>
      <w:sz w:val="21"/>
      <w:shd w:val="clear" w:color="auto" w:fill="000080"/>
      <w:lang w:bidi="ar-SA"/>
    </w:rPr>
  </w:style>
  <w:style w:type="character" w:customStyle="1" w:styleId="78">
    <w:name w:val="批注文字 字符"/>
    <w:link w:val="18"/>
    <w:qFormat/>
    <w:uiPriority w:val="0"/>
    <w:rPr>
      <w:rFonts w:eastAsia="宋体"/>
      <w:kern w:val="2"/>
      <w:sz w:val="21"/>
      <w:szCs w:val="24"/>
      <w:lang w:val="en-US" w:eastAsia="zh-CN" w:bidi="ar-SA"/>
    </w:rPr>
  </w:style>
  <w:style w:type="character" w:customStyle="1" w:styleId="79">
    <w:name w:val="正文文本缩进 字符"/>
    <w:link w:val="21"/>
    <w:qFormat/>
    <w:uiPriority w:val="0"/>
    <w:rPr>
      <w:rFonts w:eastAsia="宋体"/>
      <w:kern w:val="2"/>
      <w:sz w:val="21"/>
      <w:lang w:val="en-US" w:eastAsia="zh-CN" w:bidi="ar-SA"/>
    </w:rPr>
  </w:style>
  <w:style w:type="character" w:customStyle="1" w:styleId="80">
    <w:name w:val="纯文本 字符"/>
    <w:link w:val="25"/>
    <w:qFormat/>
    <w:uiPriority w:val="0"/>
    <w:rPr>
      <w:rFonts w:ascii="宋体" w:hAnsi="Courier New" w:eastAsia="宋体"/>
      <w:kern w:val="2"/>
      <w:sz w:val="21"/>
      <w:lang w:val="en-US" w:eastAsia="zh-CN" w:bidi="ar-SA"/>
    </w:rPr>
  </w:style>
  <w:style w:type="character" w:customStyle="1" w:styleId="81">
    <w:name w:val="日期 字符"/>
    <w:link w:val="27"/>
    <w:qFormat/>
    <w:uiPriority w:val="0"/>
    <w:rPr>
      <w:kern w:val="2"/>
      <w:sz w:val="24"/>
      <w:lang w:bidi="ar-SA"/>
    </w:rPr>
  </w:style>
  <w:style w:type="character" w:customStyle="1" w:styleId="82">
    <w:name w:val="正文文本缩进 2 字符"/>
    <w:link w:val="28"/>
    <w:semiHidden/>
    <w:qFormat/>
    <w:locked/>
    <w:uiPriority w:val="0"/>
    <w:rPr>
      <w:rFonts w:eastAsia="宋体"/>
      <w:spacing w:val="4"/>
      <w:sz w:val="28"/>
      <w:lang w:val="en-US" w:eastAsia="zh-CN" w:bidi="ar-SA"/>
    </w:rPr>
  </w:style>
  <w:style w:type="character" w:customStyle="1" w:styleId="83">
    <w:name w:val="批注框文本 字符"/>
    <w:link w:val="29"/>
    <w:qFormat/>
    <w:uiPriority w:val="0"/>
    <w:rPr>
      <w:kern w:val="2"/>
      <w:sz w:val="18"/>
      <w:lang w:bidi="ar-SA"/>
    </w:rPr>
  </w:style>
  <w:style w:type="character" w:customStyle="1" w:styleId="84">
    <w:name w:val="页脚 字符"/>
    <w:link w:val="30"/>
    <w:qFormat/>
    <w:uiPriority w:val="0"/>
    <w:rPr>
      <w:rFonts w:eastAsia="宋体"/>
      <w:kern w:val="2"/>
      <w:sz w:val="18"/>
      <w:szCs w:val="18"/>
      <w:lang w:val="en-US" w:eastAsia="zh-CN" w:bidi="ar-SA"/>
    </w:rPr>
  </w:style>
  <w:style w:type="character" w:customStyle="1" w:styleId="85">
    <w:name w:val="页眉 字符"/>
    <w:link w:val="32"/>
    <w:qFormat/>
    <w:uiPriority w:val="0"/>
    <w:rPr>
      <w:rFonts w:eastAsia="宋体"/>
      <w:kern w:val="2"/>
      <w:sz w:val="18"/>
      <w:szCs w:val="18"/>
      <w:lang w:val="en-US" w:eastAsia="zh-CN" w:bidi="ar-SA"/>
    </w:rPr>
  </w:style>
  <w:style w:type="character" w:customStyle="1" w:styleId="86">
    <w:name w:val="副标题 字符"/>
    <w:link w:val="35"/>
    <w:qFormat/>
    <w:uiPriority w:val="0"/>
    <w:rPr>
      <w:rFonts w:ascii="Cambria" w:hAnsi="Cambria"/>
      <w:b/>
      <w:bCs/>
      <w:kern w:val="28"/>
      <w:sz w:val="32"/>
      <w:szCs w:val="32"/>
      <w:lang w:bidi="ar-SA"/>
    </w:rPr>
  </w:style>
  <w:style w:type="character" w:customStyle="1" w:styleId="87">
    <w:name w:val="正文文本 2 字符"/>
    <w:link w:val="13"/>
    <w:qFormat/>
    <w:uiPriority w:val="0"/>
    <w:rPr>
      <w:kern w:val="2"/>
      <w:sz w:val="21"/>
      <w:lang w:bidi="ar-SA"/>
    </w:rPr>
  </w:style>
  <w:style w:type="character" w:customStyle="1" w:styleId="88">
    <w:name w:val="标题 字符"/>
    <w:link w:val="43"/>
    <w:qFormat/>
    <w:uiPriority w:val="0"/>
    <w:rPr>
      <w:rFonts w:ascii="Arial" w:hAnsi="Arial"/>
      <w:b/>
      <w:sz w:val="32"/>
      <w:lang w:bidi="ar-SA"/>
    </w:rPr>
  </w:style>
  <w:style w:type="character" w:customStyle="1" w:styleId="89">
    <w:name w:val="批注主题 字符"/>
    <w:link w:val="44"/>
    <w:qFormat/>
    <w:uiPriority w:val="0"/>
    <w:rPr>
      <w:b/>
      <w:bCs/>
      <w:kern w:val="2"/>
      <w:sz w:val="21"/>
      <w:lang w:bidi="ar-SA"/>
    </w:rPr>
  </w:style>
  <w:style w:type="paragraph" w:customStyle="1" w:styleId="90">
    <w:name w:val=" Char1 Char Char Char Char Char Char"/>
    <w:basedOn w:val="1"/>
    <w:qFormat/>
    <w:uiPriority w:val="0"/>
    <w:rPr>
      <w:rFonts w:ascii="Tahoma" w:hAnsi="Tahoma"/>
      <w:sz w:val="24"/>
      <w:szCs w:val="20"/>
    </w:rPr>
  </w:style>
  <w:style w:type="character" w:customStyle="1" w:styleId="91">
    <w:name w:val="文档结构图 Char1"/>
    <w:qFormat/>
    <w:uiPriority w:val="0"/>
    <w:rPr>
      <w:rFonts w:ascii="宋体"/>
      <w:kern w:val="2"/>
      <w:sz w:val="18"/>
      <w:szCs w:val="18"/>
    </w:rPr>
  </w:style>
  <w:style w:type="character" w:customStyle="1" w:styleId="92">
    <w:name w:val="普通文字1 Char1"/>
    <w:qFormat/>
    <w:uiPriority w:val="0"/>
    <w:rPr>
      <w:rFonts w:ascii="宋体" w:hAnsi="Courier New" w:eastAsia="宋体"/>
      <w:kern w:val="11"/>
      <w:sz w:val="21"/>
      <w:lang w:val="en-US" w:eastAsia="zh-CN" w:bidi="ar-SA"/>
    </w:rPr>
  </w:style>
  <w:style w:type="character" w:customStyle="1" w:styleId="93">
    <w:name w:val="font161"/>
    <w:qFormat/>
    <w:uiPriority w:val="0"/>
    <w:rPr>
      <w:b/>
      <w:sz w:val="32"/>
    </w:rPr>
  </w:style>
  <w:style w:type="character" w:customStyle="1" w:styleId="94">
    <w:name w:val="引用 Char3"/>
    <w:qFormat/>
    <w:uiPriority w:val="0"/>
    <w:rPr>
      <w:i/>
      <w:color w:val="000000"/>
      <w:kern w:val="2"/>
      <w:sz w:val="21"/>
      <w:lang w:bidi="ar-SA"/>
    </w:rPr>
  </w:style>
  <w:style w:type="character" w:customStyle="1" w:styleId="95">
    <w:name w:val="引用 字符"/>
    <w:link w:val="96"/>
    <w:qFormat/>
    <w:uiPriority w:val="0"/>
    <w:rPr>
      <w:i/>
      <w:iCs/>
      <w:color w:val="000000"/>
      <w:kern w:val="2"/>
      <w:sz w:val="21"/>
      <w:szCs w:val="22"/>
      <w:lang w:bidi="ar-SA"/>
    </w:rPr>
  </w:style>
  <w:style w:type="paragraph" w:styleId="96">
    <w:name w:val="Quote"/>
    <w:basedOn w:val="1"/>
    <w:next w:val="1"/>
    <w:link w:val="95"/>
    <w:qFormat/>
    <w:uiPriority w:val="0"/>
    <w:rPr>
      <w:i/>
      <w:iCs/>
      <w:color w:val="000000"/>
      <w:szCs w:val="22"/>
    </w:rPr>
  </w:style>
  <w:style w:type="character" w:customStyle="1" w:styleId="97">
    <w:name w:val="纯文本 Char"/>
    <w:qFormat/>
    <w:uiPriority w:val="0"/>
    <w:rPr>
      <w:rFonts w:ascii="宋体" w:hAnsi="Courier New" w:eastAsia="宋体" w:cs="Courier New"/>
      <w:kern w:val="2"/>
      <w:sz w:val="21"/>
      <w:szCs w:val="21"/>
      <w:lang w:val="en-US" w:eastAsia="zh-CN" w:bidi="ar-SA"/>
    </w:rPr>
  </w:style>
  <w:style w:type="character" w:customStyle="1" w:styleId="98">
    <w:name w:val="引用 Char1"/>
    <w:qFormat/>
    <w:uiPriority w:val="0"/>
    <w:rPr>
      <w:i/>
      <w:iCs/>
      <w:color w:val="000000"/>
      <w:kern w:val="2"/>
      <w:sz w:val="21"/>
    </w:rPr>
  </w:style>
  <w:style w:type="character" w:customStyle="1" w:styleId="99">
    <w:name w:val="textcontents"/>
    <w:qFormat/>
    <w:uiPriority w:val="0"/>
    <w:rPr>
      <w:rFonts w:cs="Times New Roman"/>
    </w:rPr>
  </w:style>
  <w:style w:type="character" w:customStyle="1" w:styleId="100">
    <w:name w:val="_Style 89"/>
    <w:qFormat/>
    <w:uiPriority w:val="0"/>
    <w:rPr>
      <w:b/>
      <w:bCs/>
      <w:smallCaps/>
      <w:spacing w:val="5"/>
    </w:rPr>
  </w:style>
  <w:style w:type="character" w:customStyle="1" w:styleId="101">
    <w:name w:val="font01"/>
    <w:qFormat/>
    <w:uiPriority w:val="0"/>
    <w:rPr>
      <w:rFonts w:hint="eastAsia" w:ascii="宋体" w:hAnsi="宋体" w:eastAsia="宋体" w:cs="宋体"/>
      <w:color w:val="000000"/>
      <w:sz w:val="24"/>
      <w:szCs w:val="24"/>
    </w:rPr>
  </w:style>
  <w:style w:type="character" w:customStyle="1" w:styleId="102">
    <w:name w:val=" Char Char32"/>
    <w:qFormat/>
    <w:uiPriority w:val="0"/>
    <w:rPr>
      <w:rFonts w:ascii="Arial" w:hAnsi="Arial" w:eastAsia="黑体"/>
      <w:b/>
      <w:bCs/>
      <w:kern w:val="2"/>
      <w:sz w:val="32"/>
      <w:szCs w:val="32"/>
      <w:lang w:val="en-US" w:eastAsia="zh-CN" w:bidi="ar-SA"/>
    </w:rPr>
  </w:style>
  <w:style w:type="character" w:customStyle="1" w:styleId="103">
    <w:name w:val="标题5 Char Char"/>
    <w:link w:val="104"/>
    <w:qFormat/>
    <w:uiPriority w:val="0"/>
    <w:rPr>
      <w:rFonts w:ascii="Arial" w:hAnsi="Arial"/>
      <w:b/>
      <w:bCs/>
      <w:sz w:val="24"/>
      <w:szCs w:val="32"/>
      <w:lang w:bidi="ar-SA"/>
    </w:rPr>
  </w:style>
  <w:style w:type="paragraph" w:customStyle="1" w:styleId="104">
    <w:name w:val="标题5"/>
    <w:basedOn w:val="4"/>
    <w:link w:val="103"/>
    <w:qFormat/>
    <w:uiPriority w:val="0"/>
    <w:pPr>
      <w:spacing w:line="413" w:lineRule="auto"/>
    </w:pPr>
    <w:rPr>
      <w:rFonts w:ascii="Arial" w:hAnsi="Arial"/>
      <w:kern w:val="0"/>
      <w:sz w:val="24"/>
    </w:rPr>
  </w:style>
  <w:style w:type="character" w:customStyle="1" w:styleId="105">
    <w:name w:val=" Char Char33"/>
    <w:qFormat/>
    <w:uiPriority w:val="0"/>
    <w:rPr>
      <w:rFonts w:eastAsia="宋体"/>
      <w:b/>
      <w:bCs/>
      <w:kern w:val="44"/>
      <w:sz w:val="32"/>
      <w:szCs w:val="44"/>
      <w:lang w:val="en-US" w:eastAsia="zh-CN" w:bidi="ar-SA"/>
    </w:rPr>
  </w:style>
  <w:style w:type="character" w:customStyle="1" w:styleId="106">
    <w:name w:val="Blockquote Char Char"/>
    <w:link w:val="107"/>
    <w:qFormat/>
    <w:uiPriority w:val="0"/>
    <w:rPr>
      <w:rFonts w:eastAsia="宋体"/>
      <w:sz w:val="24"/>
      <w:lang w:val="en-US" w:eastAsia="zh-CN" w:bidi="ar-SA"/>
    </w:rPr>
  </w:style>
  <w:style w:type="paragraph" w:customStyle="1" w:styleId="107">
    <w:name w:val="Blockquote"/>
    <w:basedOn w:val="1"/>
    <w:link w:val="106"/>
    <w:qFormat/>
    <w:uiPriority w:val="0"/>
    <w:pPr>
      <w:autoSpaceDE w:val="0"/>
      <w:autoSpaceDN w:val="0"/>
      <w:adjustRightInd w:val="0"/>
      <w:spacing w:before="100" w:after="100"/>
      <w:ind w:left="360" w:right="360"/>
      <w:jc w:val="left"/>
    </w:pPr>
    <w:rPr>
      <w:kern w:val="0"/>
      <w:sz w:val="24"/>
      <w:szCs w:val="20"/>
    </w:rPr>
  </w:style>
  <w:style w:type="character" w:customStyle="1" w:styleId="108">
    <w:name w:val="标题4 Char Char"/>
    <w:link w:val="109"/>
    <w:qFormat/>
    <w:uiPriority w:val="0"/>
    <w:rPr>
      <w:rFonts w:ascii="Arial" w:hAnsi="Arial"/>
      <w:b/>
      <w:bCs/>
      <w:sz w:val="24"/>
      <w:szCs w:val="32"/>
      <w:lang w:bidi="ar-SA"/>
    </w:rPr>
  </w:style>
  <w:style w:type="paragraph" w:customStyle="1" w:styleId="109">
    <w:name w:val="标题4"/>
    <w:basedOn w:val="3"/>
    <w:next w:val="22"/>
    <w:link w:val="108"/>
    <w:qFormat/>
    <w:uiPriority w:val="0"/>
    <w:pPr>
      <w:spacing w:line="413" w:lineRule="auto"/>
    </w:pPr>
    <w:rPr>
      <w:rFonts w:eastAsia="宋体"/>
      <w:kern w:val="0"/>
      <w:sz w:val="24"/>
    </w:rPr>
  </w:style>
  <w:style w:type="character" w:customStyle="1" w:styleId="110">
    <w:name w:val="_Style 99"/>
    <w:qFormat/>
    <w:uiPriority w:val="0"/>
    <w:rPr>
      <w:i/>
      <w:iCs/>
      <w:color w:val="808080"/>
    </w:rPr>
  </w:style>
  <w:style w:type="character" w:customStyle="1" w:styleId="111">
    <w:name w:val=" Char Char3"/>
    <w:qFormat/>
    <w:uiPriority w:val="0"/>
    <w:rPr>
      <w:rFonts w:ascii="宋体" w:hAnsi="Courier New" w:eastAsia="幼圆"/>
      <w:kern w:val="2"/>
      <w:sz w:val="21"/>
    </w:rPr>
  </w:style>
  <w:style w:type="character" w:customStyle="1" w:styleId="112">
    <w:name w:val="副标题 Char1"/>
    <w:qFormat/>
    <w:uiPriority w:val="0"/>
    <w:rPr>
      <w:rFonts w:ascii="Cambria" w:hAnsi="Cambria" w:cs="Times New Roman"/>
      <w:b/>
      <w:bCs/>
      <w:kern w:val="28"/>
      <w:sz w:val="32"/>
      <w:szCs w:val="32"/>
    </w:rPr>
  </w:style>
  <w:style w:type="character" w:customStyle="1" w:styleId="113">
    <w:name w:val="p21"/>
    <w:qFormat/>
    <w:uiPriority w:val="0"/>
    <w:rPr>
      <w:color w:val="000000"/>
      <w:sz w:val="24"/>
      <w:szCs w:val="24"/>
    </w:rPr>
  </w:style>
  <w:style w:type="character" w:customStyle="1" w:styleId="114">
    <w:name w:val="_Style 103"/>
    <w:qFormat/>
    <w:uiPriority w:val="0"/>
    <w:rPr>
      <w:b/>
      <w:bCs/>
      <w:smallCaps/>
      <w:color w:val="C0504D"/>
      <w:spacing w:val="5"/>
      <w:u w:val="single"/>
    </w:rPr>
  </w:style>
  <w:style w:type="character" w:customStyle="1" w:styleId="115">
    <w:name w:val="普通文字1 Char"/>
    <w:qFormat/>
    <w:uiPriority w:val="0"/>
    <w:rPr>
      <w:rFonts w:ascii="宋体" w:hAnsi="Courier New" w:eastAsia="宋体" w:cs="Courier New"/>
      <w:kern w:val="2"/>
      <w:sz w:val="21"/>
      <w:szCs w:val="21"/>
      <w:lang w:val="en-US" w:eastAsia="zh-CN" w:bidi="ar-SA"/>
    </w:rPr>
  </w:style>
  <w:style w:type="character" w:customStyle="1" w:styleId="116">
    <w:name w:val="apple-converted-space"/>
    <w:basedOn w:val="49"/>
    <w:qFormat/>
    <w:uiPriority w:val="0"/>
  </w:style>
  <w:style w:type="character" w:customStyle="1" w:styleId="117">
    <w:name w:val=" Char Char8"/>
    <w:qFormat/>
    <w:uiPriority w:val="0"/>
    <w:rPr>
      <w:rFonts w:eastAsia="宋体"/>
      <w:kern w:val="2"/>
      <w:sz w:val="21"/>
      <w:lang w:val="en-US" w:eastAsia="zh-CN" w:bidi="ar-SA"/>
    </w:rPr>
  </w:style>
  <w:style w:type="character" w:customStyle="1" w:styleId="118">
    <w:name w:val="明显引用 Char3"/>
    <w:qFormat/>
    <w:uiPriority w:val="0"/>
    <w:rPr>
      <w:b/>
      <w:i/>
      <w:color w:val="4F81BD"/>
      <w:kern w:val="2"/>
      <w:sz w:val="21"/>
      <w:lang w:bidi="ar-SA"/>
    </w:rPr>
  </w:style>
  <w:style w:type="character" w:customStyle="1" w:styleId="119">
    <w:name w:val="_Style 108"/>
    <w:unhideWhenUsed/>
    <w:qFormat/>
    <w:uiPriority w:val="99"/>
    <w:rPr>
      <w:color w:val="605E5C"/>
      <w:shd w:val="clear" w:color="auto" w:fill="E1DFDD"/>
    </w:rPr>
  </w:style>
  <w:style w:type="character" w:customStyle="1" w:styleId="120">
    <w:name w:val="副标题 Char2"/>
    <w:qFormat/>
    <w:uiPriority w:val="0"/>
    <w:rPr>
      <w:rFonts w:ascii="Cambria" w:hAnsi="Cambria" w:cs="Times New Roman"/>
      <w:b/>
      <w:bCs/>
      <w:kern w:val="28"/>
      <w:sz w:val="32"/>
      <w:szCs w:val="32"/>
    </w:rPr>
  </w:style>
  <w:style w:type="character" w:customStyle="1" w:styleId="121">
    <w:name w:val=" Char Char16"/>
    <w:qFormat/>
    <w:uiPriority w:val="0"/>
    <w:rPr>
      <w:rFonts w:ascii="Arial" w:hAnsi="Arial" w:eastAsia="黑体"/>
      <w:b/>
      <w:bCs/>
      <w:kern w:val="2"/>
      <w:sz w:val="32"/>
      <w:szCs w:val="32"/>
      <w:lang w:val="en-US" w:eastAsia="zh-CN" w:bidi="ar-SA"/>
    </w:rPr>
  </w:style>
  <w:style w:type="character" w:customStyle="1" w:styleId="122">
    <w:name w:val="标题 5 Char"/>
    <w:qFormat/>
    <w:uiPriority w:val="0"/>
    <w:rPr>
      <w:rFonts w:ascii="Calibri" w:hAnsi="Calibri" w:eastAsia="宋体"/>
      <w:b/>
      <w:kern w:val="2"/>
      <w:sz w:val="28"/>
      <w:szCs w:val="20"/>
    </w:rPr>
  </w:style>
  <w:style w:type="character" w:customStyle="1" w:styleId="123">
    <w:name w:val="_Style 112"/>
    <w:qFormat/>
    <w:uiPriority w:val="0"/>
    <w:rPr>
      <w:b/>
      <w:bCs/>
      <w:i/>
      <w:iCs/>
      <w:color w:val="4F81BD"/>
    </w:rPr>
  </w:style>
  <w:style w:type="character" w:customStyle="1" w:styleId="124">
    <w:name w:val="正文文本 Char3"/>
    <w:qFormat/>
    <w:uiPriority w:val="0"/>
    <w:rPr>
      <w:kern w:val="2"/>
      <w:sz w:val="21"/>
      <w:szCs w:val="24"/>
    </w:rPr>
  </w:style>
  <w:style w:type="character" w:customStyle="1" w:styleId="125">
    <w:name w:val="z-窗体顶端 字符"/>
    <w:link w:val="126"/>
    <w:qFormat/>
    <w:uiPriority w:val="0"/>
    <w:rPr>
      <w:rFonts w:ascii="Arial" w:hAnsi="Arial"/>
      <w:vanish/>
      <w:sz w:val="16"/>
      <w:szCs w:val="16"/>
      <w:lang w:bidi="ar-SA"/>
    </w:rPr>
  </w:style>
  <w:style w:type="paragraph" w:customStyle="1" w:styleId="126">
    <w:name w:val="_Style 115"/>
    <w:basedOn w:val="1"/>
    <w:next w:val="1"/>
    <w:link w:val="125"/>
    <w:qFormat/>
    <w:uiPriority w:val="0"/>
    <w:pPr>
      <w:widowControl/>
      <w:pBdr>
        <w:bottom w:val="single" w:color="auto" w:sz="6" w:space="1"/>
      </w:pBdr>
      <w:jc w:val="center"/>
    </w:pPr>
    <w:rPr>
      <w:rFonts w:ascii="Arial" w:hAnsi="Arial"/>
      <w:vanish/>
      <w:kern w:val="0"/>
      <w:sz w:val="16"/>
      <w:szCs w:val="16"/>
    </w:rPr>
  </w:style>
  <w:style w:type="character" w:customStyle="1" w:styleId="127">
    <w:name w:val="批注主题 Char3"/>
    <w:qFormat/>
    <w:uiPriority w:val="0"/>
    <w:rPr>
      <w:rFonts w:ascii="Arial" w:hAnsi="Arial" w:eastAsia="宋体"/>
      <w:b/>
      <w:bCs/>
      <w:kern w:val="2"/>
      <w:sz w:val="21"/>
      <w:szCs w:val="24"/>
      <w:lang w:val="en-US" w:eastAsia="zh-CN" w:bidi="ar-SA"/>
    </w:rPr>
  </w:style>
  <w:style w:type="character" w:customStyle="1" w:styleId="128">
    <w:name w:val=" Char Char17"/>
    <w:qFormat/>
    <w:uiPriority w:val="0"/>
    <w:rPr>
      <w:rFonts w:ascii="Arial" w:hAnsi="Arial" w:eastAsia="黑体"/>
      <w:b/>
      <w:bCs/>
      <w:kern w:val="2"/>
      <w:sz w:val="32"/>
      <w:szCs w:val="32"/>
      <w:lang w:val="en-US" w:eastAsia="zh-CN" w:bidi="ar-SA"/>
    </w:rPr>
  </w:style>
  <w:style w:type="character" w:customStyle="1" w:styleId="129">
    <w:name w:val="引用 Char2"/>
    <w:qFormat/>
    <w:uiPriority w:val="0"/>
    <w:rPr>
      <w:i/>
      <w:iCs/>
      <w:color w:val="000000"/>
      <w:kern w:val="2"/>
      <w:sz w:val="21"/>
      <w:szCs w:val="24"/>
    </w:rPr>
  </w:style>
  <w:style w:type="character" w:customStyle="1" w:styleId="130">
    <w:name w:val="批注文字 Char Char"/>
    <w:qFormat/>
    <w:uiPriority w:val="0"/>
    <w:rPr>
      <w:rFonts w:ascii="宋体" w:hAnsi="Times New Roman" w:eastAsia="宋体" w:cs="Times New Roman"/>
      <w:sz w:val="28"/>
      <w:szCs w:val="20"/>
    </w:rPr>
  </w:style>
  <w:style w:type="character" w:customStyle="1" w:styleId="131">
    <w:name w:val="日期 Char1"/>
    <w:qFormat/>
    <w:uiPriority w:val="0"/>
    <w:rPr>
      <w:kern w:val="2"/>
      <w:sz w:val="21"/>
      <w:szCs w:val="22"/>
    </w:rPr>
  </w:style>
  <w:style w:type="character" w:customStyle="1" w:styleId="132">
    <w:name w:val=" Char Char6"/>
    <w:qFormat/>
    <w:uiPriority w:val="0"/>
    <w:rPr>
      <w:kern w:val="2"/>
      <w:sz w:val="18"/>
      <w:szCs w:val="18"/>
    </w:rPr>
  </w:style>
  <w:style w:type="character" w:customStyle="1" w:styleId="133">
    <w:name w:val="批注文字 Char Char Char"/>
    <w:qFormat/>
    <w:uiPriority w:val="0"/>
    <w:rPr>
      <w:kern w:val="2"/>
      <w:sz w:val="21"/>
    </w:rPr>
  </w:style>
  <w:style w:type="character" w:customStyle="1" w:styleId="134">
    <w:name w:val="批注主题 Char1"/>
    <w:qFormat/>
    <w:uiPriority w:val="0"/>
    <w:rPr>
      <w:b/>
      <w:bCs/>
      <w:kern w:val="2"/>
      <w:sz w:val="21"/>
      <w:szCs w:val="22"/>
    </w:rPr>
  </w:style>
  <w:style w:type="character" w:customStyle="1" w:styleId="135">
    <w:name w:val="Char Char1"/>
    <w:qFormat/>
    <w:uiPriority w:val="0"/>
    <w:rPr>
      <w:rFonts w:ascii="宋体" w:hAnsi="Courier New" w:eastAsia="宋体"/>
      <w:kern w:val="2"/>
      <w:sz w:val="21"/>
      <w:lang w:val="en-US" w:eastAsia="zh-CN" w:bidi="ar-SA"/>
    </w:rPr>
  </w:style>
  <w:style w:type="character" w:customStyle="1" w:styleId="136">
    <w:name w:val="font1"/>
    <w:qFormat/>
    <w:uiPriority w:val="0"/>
    <w:rPr>
      <w:sz w:val="18"/>
      <w:szCs w:val="18"/>
    </w:rPr>
  </w:style>
  <w:style w:type="character" w:customStyle="1" w:styleId="137">
    <w:name w:val="标题 4 Char"/>
    <w:qFormat/>
    <w:uiPriority w:val="0"/>
    <w:rPr>
      <w:rFonts w:ascii="Arial" w:hAnsi="Arial" w:eastAsia="宋体"/>
      <w:b/>
      <w:kern w:val="2"/>
      <w:sz w:val="21"/>
      <w:lang w:val="en-US" w:eastAsia="zh-CN" w:bidi="ar-SA"/>
    </w:rPr>
  </w:style>
  <w:style w:type="character" w:customStyle="1" w:styleId="138">
    <w:name w:val="标题 Char2"/>
    <w:qFormat/>
    <w:uiPriority w:val="0"/>
    <w:rPr>
      <w:rFonts w:ascii="Cambria" w:hAnsi="Cambria" w:cs="Times New Roman"/>
      <w:b/>
      <w:bCs/>
      <w:kern w:val="2"/>
      <w:sz w:val="32"/>
      <w:szCs w:val="32"/>
    </w:rPr>
  </w:style>
  <w:style w:type="character" w:customStyle="1" w:styleId="139">
    <w:name w:val="明显引用 Char2"/>
    <w:qFormat/>
    <w:uiPriority w:val="0"/>
    <w:rPr>
      <w:b/>
      <w:bCs/>
      <w:i/>
      <w:iCs/>
      <w:color w:val="4F81BD"/>
      <w:kern w:val="2"/>
      <w:sz w:val="21"/>
      <w:szCs w:val="24"/>
    </w:rPr>
  </w:style>
  <w:style w:type="character" w:customStyle="1" w:styleId="140">
    <w:name w:val="标题 2 Char"/>
    <w:qFormat/>
    <w:uiPriority w:val="0"/>
    <w:rPr>
      <w:rFonts w:ascii="Arial" w:hAnsi="Arial" w:eastAsia="黑体"/>
      <w:b/>
      <w:kern w:val="2"/>
      <w:sz w:val="32"/>
      <w:lang w:val="en-US" w:eastAsia="zh-CN" w:bidi="ar-SA"/>
    </w:rPr>
  </w:style>
  <w:style w:type="character" w:customStyle="1" w:styleId="141">
    <w:name w:val=" Char Char27"/>
    <w:qFormat/>
    <w:uiPriority w:val="0"/>
    <w:rPr>
      <w:rFonts w:ascii="Arial" w:hAnsi="Arial" w:eastAsia="黑体"/>
      <w:b/>
      <w:kern w:val="2"/>
      <w:sz w:val="32"/>
      <w:lang w:val="en-US" w:eastAsia="zh-CN" w:bidi="ar-SA"/>
    </w:rPr>
  </w:style>
  <w:style w:type="character" w:customStyle="1" w:styleId="142">
    <w:name w:val="样式 标书正文 + 下划线 Char"/>
    <w:qFormat/>
    <w:uiPriority w:val="0"/>
    <w:rPr>
      <w:rFonts w:eastAsia="楷体_GB2312"/>
      <w:kern w:val="2"/>
      <w:sz w:val="28"/>
      <w:u w:val="single"/>
      <w:lang w:val="en-US" w:eastAsia="zh-CN"/>
    </w:rPr>
  </w:style>
  <w:style w:type="character" w:customStyle="1" w:styleId="143">
    <w:name w:val=" Char Char30"/>
    <w:qFormat/>
    <w:uiPriority w:val="0"/>
    <w:rPr>
      <w:rFonts w:ascii="Arial" w:hAnsi="Arial" w:eastAsia="宋体"/>
      <w:b/>
      <w:bCs/>
      <w:kern w:val="2"/>
      <w:sz w:val="21"/>
      <w:szCs w:val="28"/>
      <w:lang w:val="en-US" w:eastAsia="zh-CN" w:bidi="ar-SA"/>
    </w:rPr>
  </w:style>
  <w:style w:type="character" w:customStyle="1" w:styleId="144">
    <w:name w:val="明显引用 Char1"/>
    <w:qFormat/>
    <w:uiPriority w:val="0"/>
    <w:rPr>
      <w:b/>
      <w:bCs/>
      <w:i/>
      <w:iCs/>
      <w:color w:val="4F81BD"/>
      <w:kern w:val="2"/>
      <w:sz w:val="21"/>
    </w:rPr>
  </w:style>
  <w:style w:type="character" w:customStyle="1" w:styleId="145">
    <w:name w:val="批注文字 Char1"/>
    <w:qFormat/>
    <w:uiPriority w:val="0"/>
    <w:rPr>
      <w:kern w:val="2"/>
      <w:sz w:val="21"/>
      <w:szCs w:val="24"/>
    </w:rPr>
  </w:style>
  <w:style w:type="character" w:customStyle="1" w:styleId="146">
    <w:name w:val="正文文本 Char1"/>
    <w:qFormat/>
    <w:uiPriority w:val="0"/>
    <w:rPr>
      <w:kern w:val="2"/>
      <w:sz w:val="21"/>
      <w:szCs w:val="22"/>
    </w:rPr>
  </w:style>
  <w:style w:type="character" w:customStyle="1" w:styleId="147">
    <w:name w:val="(F4) Char Char"/>
    <w:qFormat/>
    <w:uiPriority w:val="0"/>
    <w:rPr>
      <w:rFonts w:eastAsia="宋体"/>
      <w:b/>
      <w:bCs/>
      <w:kern w:val="2"/>
      <w:sz w:val="24"/>
      <w:szCs w:val="32"/>
      <w:lang w:val="en-US" w:eastAsia="zh-CN" w:bidi="ar-SA"/>
    </w:rPr>
  </w:style>
  <w:style w:type="character" w:customStyle="1" w:styleId="148">
    <w:name w:val="样式 标题 4 + 四号 Char Char"/>
    <w:link w:val="149"/>
    <w:qFormat/>
    <w:uiPriority w:val="0"/>
    <w:rPr>
      <w:rFonts w:ascii="Arial" w:hAnsi="Arial" w:eastAsia="宋体"/>
      <w:b/>
      <w:bCs/>
      <w:kern w:val="2"/>
      <w:sz w:val="24"/>
      <w:szCs w:val="28"/>
      <w:lang w:val="en-US" w:eastAsia="zh-CN" w:bidi="ar-SA"/>
    </w:rPr>
  </w:style>
  <w:style w:type="paragraph" w:customStyle="1" w:styleId="149">
    <w:name w:val="样式 标题 4 + 四号"/>
    <w:basedOn w:val="5"/>
    <w:link w:val="148"/>
    <w:qFormat/>
    <w:uiPriority w:val="0"/>
    <w:pPr>
      <w:spacing w:before="0" w:after="0" w:line="360" w:lineRule="auto"/>
    </w:pPr>
    <w:rPr>
      <w:rFonts w:eastAsia="宋体"/>
      <w:bCs/>
      <w:sz w:val="24"/>
      <w:szCs w:val="28"/>
    </w:rPr>
  </w:style>
  <w:style w:type="character" w:customStyle="1" w:styleId="150">
    <w:name w:val="批注框文本 Char1"/>
    <w:qFormat/>
    <w:uiPriority w:val="0"/>
    <w:rPr>
      <w:kern w:val="2"/>
      <w:sz w:val="18"/>
      <w:szCs w:val="18"/>
    </w:rPr>
  </w:style>
  <w:style w:type="character" w:customStyle="1" w:styleId="151">
    <w:name w:val=" Char Char29"/>
    <w:qFormat/>
    <w:uiPriority w:val="0"/>
    <w:rPr>
      <w:rFonts w:ascii="Calibri" w:hAnsi="Calibri" w:eastAsia="宋体"/>
      <w:b/>
      <w:kern w:val="2"/>
      <w:sz w:val="28"/>
      <w:szCs w:val="20"/>
      <w:lang w:val="en-US" w:eastAsia="zh-CN" w:bidi="ar-SA"/>
    </w:rPr>
  </w:style>
  <w:style w:type="character" w:customStyle="1" w:styleId="152">
    <w:name w:val=" Char Char31"/>
    <w:qFormat/>
    <w:uiPriority w:val="0"/>
    <w:rPr>
      <w:rFonts w:eastAsia="宋体"/>
      <w:b/>
      <w:bCs/>
      <w:kern w:val="2"/>
      <w:sz w:val="24"/>
      <w:szCs w:val="32"/>
      <w:lang w:val="en-US" w:eastAsia="zh-CN" w:bidi="ar-SA"/>
    </w:rPr>
  </w:style>
  <w:style w:type="character" w:customStyle="1" w:styleId="153">
    <w:name w:val="标题 2 Char Char Char Char"/>
    <w:qFormat/>
    <w:uiPriority w:val="0"/>
    <w:rPr>
      <w:rFonts w:ascii="Arial" w:hAnsi="Arial" w:eastAsia="黑体"/>
      <w:b/>
      <w:bCs/>
      <w:kern w:val="2"/>
      <w:sz w:val="32"/>
      <w:szCs w:val="32"/>
      <w:lang w:val="en-US" w:eastAsia="zh-CN" w:bidi="ar-SA"/>
    </w:rPr>
  </w:style>
  <w:style w:type="character" w:customStyle="1" w:styleId="154">
    <w:name w:val="明显引用 字符"/>
    <w:link w:val="155"/>
    <w:qFormat/>
    <w:uiPriority w:val="0"/>
    <w:rPr>
      <w:b/>
      <w:bCs/>
      <w:i/>
      <w:iCs/>
      <w:color w:val="4F81BD"/>
      <w:kern w:val="2"/>
      <w:sz w:val="21"/>
      <w:szCs w:val="22"/>
      <w:lang w:bidi="ar-SA"/>
    </w:rPr>
  </w:style>
  <w:style w:type="paragraph" w:styleId="155">
    <w:name w:val="Intense Quote"/>
    <w:basedOn w:val="1"/>
    <w:next w:val="1"/>
    <w:link w:val="154"/>
    <w:qFormat/>
    <w:uiPriority w:val="0"/>
    <w:pPr>
      <w:pBdr>
        <w:bottom w:val="single" w:color="4F81BD" w:sz="4" w:space="4"/>
      </w:pBdr>
      <w:spacing w:before="200" w:after="280"/>
      <w:ind w:left="936" w:right="936"/>
    </w:pPr>
    <w:rPr>
      <w:b/>
      <w:bCs/>
      <w:i/>
      <w:iCs/>
      <w:color w:val="4F81BD"/>
      <w:szCs w:val="22"/>
    </w:rPr>
  </w:style>
  <w:style w:type="character" w:customStyle="1" w:styleId="156">
    <w:name w:val="_Style 145"/>
    <w:qFormat/>
    <w:uiPriority w:val="0"/>
    <w:rPr>
      <w:smallCaps/>
      <w:color w:val="C0504D"/>
      <w:u w:val="single"/>
    </w:rPr>
  </w:style>
  <w:style w:type="character" w:customStyle="1" w:styleId="157">
    <w:name w:val="style1"/>
    <w:qFormat/>
    <w:uiPriority w:val="0"/>
    <w:rPr>
      <w:szCs w:val="20"/>
    </w:rPr>
  </w:style>
  <w:style w:type="paragraph" w:customStyle="1" w:styleId="158">
    <w:name w:val="简单回函地址"/>
    <w:basedOn w:val="1"/>
    <w:qFormat/>
    <w:uiPriority w:val="0"/>
  </w:style>
  <w:style w:type="paragraph" w:customStyle="1" w:styleId="159">
    <w:name w:val=" Char"/>
    <w:basedOn w:val="1"/>
    <w:qFormat/>
    <w:uiPriority w:val="0"/>
    <w:pPr>
      <w:adjustRightInd w:val="0"/>
      <w:snapToGrid w:val="0"/>
    </w:pPr>
    <w:rPr>
      <w:rFonts w:ascii="Arial" w:hAnsi="Arial" w:eastAsia="黑体"/>
      <w:b/>
      <w:sz w:val="32"/>
      <w:szCs w:val="20"/>
    </w:rPr>
  </w:style>
  <w:style w:type="paragraph" w:customStyle="1" w:styleId="160">
    <w:name w:val="font6"/>
    <w:basedOn w:val="1"/>
    <w:qFormat/>
    <w:uiPriority w:val="0"/>
    <w:pPr>
      <w:widowControl/>
      <w:spacing w:before="100" w:beforeAutospacing="1" w:after="100" w:afterAutospacing="1"/>
      <w:jc w:val="left"/>
    </w:pPr>
    <w:rPr>
      <w:rFonts w:hint="eastAsia" w:ascii="宋体" w:hAnsi="宋体"/>
      <w:b/>
      <w:bCs/>
      <w:kern w:val="0"/>
      <w:sz w:val="36"/>
      <w:szCs w:val="36"/>
    </w:rPr>
  </w:style>
  <w:style w:type="paragraph" w:customStyle="1" w:styleId="161">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paragraph" w:customStyle="1" w:styleId="162">
    <w:name w:val=" Char Char10 Char"/>
    <w:basedOn w:val="1"/>
    <w:qFormat/>
    <w:uiPriority w:val="0"/>
  </w:style>
  <w:style w:type="paragraph" w:customStyle="1" w:styleId="163">
    <w:name w:val="Table Contents"/>
    <w:basedOn w:val="20"/>
    <w:qFormat/>
    <w:uiPriority w:val="0"/>
    <w:pPr>
      <w:suppressLineNumbers/>
      <w:suppressAutoHyphens/>
      <w:jc w:val="left"/>
    </w:pPr>
    <w:rPr>
      <w:rFonts w:eastAsia="PMingLiU"/>
      <w:kern w:val="0"/>
      <w:sz w:val="24"/>
      <w:szCs w:val="24"/>
    </w:rPr>
  </w:style>
  <w:style w:type="paragraph" w:customStyle="1" w:styleId="164">
    <w:name w:val="Table Heading"/>
    <w:basedOn w:val="163"/>
    <w:qFormat/>
    <w:uiPriority w:val="0"/>
    <w:pPr>
      <w:jc w:val="center"/>
    </w:pPr>
    <w:rPr>
      <w:b/>
      <w:bCs/>
      <w:i/>
      <w:iCs/>
    </w:rPr>
  </w:style>
  <w:style w:type="paragraph" w:customStyle="1" w:styleId="165">
    <w:name w:val="right"/>
    <w:basedOn w:val="1"/>
    <w:qFormat/>
    <w:uiPriority w:val="0"/>
    <w:pPr>
      <w:widowControl/>
      <w:spacing w:before="100" w:beforeAutospacing="1" w:after="100" w:afterAutospacing="1"/>
      <w:jc w:val="left"/>
    </w:pPr>
    <w:rPr>
      <w:rFonts w:ascii="ˎ̥" w:hAnsi="ˎ̥"/>
      <w:color w:val="000099"/>
      <w:kern w:val="0"/>
      <w:sz w:val="18"/>
      <w:szCs w:val="20"/>
    </w:rPr>
  </w:style>
  <w:style w:type="paragraph" w:customStyle="1" w:styleId="166">
    <w:name w:val="默认段落字体 Para Char Char Char Char"/>
    <w:basedOn w:val="1"/>
    <w:qFormat/>
    <w:uiPriority w:val="0"/>
    <w:pPr>
      <w:snapToGrid w:val="0"/>
      <w:spacing w:line="360" w:lineRule="auto"/>
      <w:ind w:firstLine="200" w:firstLineChars="200"/>
    </w:pPr>
    <w:rPr>
      <w:rFonts w:ascii="Calibri" w:hAnsi="Calibri"/>
      <w:szCs w:val="20"/>
    </w:rPr>
  </w:style>
  <w:style w:type="paragraph" w:customStyle="1" w:styleId="167">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paragraph" w:customStyle="1" w:styleId="168">
    <w:name w:val="样式 小四"/>
    <w:basedOn w:val="1"/>
    <w:qFormat/>
    <w:uiPriority w:val="0"/>
    <w:pPr>
      <w:ind w:firstLine="480" w:firstLineChars="200"/>
    </w:pPr>
    <w:rPr>
      <w:sz w:val="24"/>
      <w:szCs w:val="20"/>
    </w:rPr>
  </w:style>
  <w:style w:type="paragraph" w:customStyle="1" w:styleId="169">
    <w:name w:val="black"/>
    <w:basedOn w:val="1"/>
    <w:qFormat/>
    <w:uiPriority w:val="0"/>
    <w:pPr>
      <w:widowControl/>
      <w:spacing w:before="100" w:beforeAutospacing="1" w:after="100" w:afterAutospacing="1"/>
      <w:jc w:val="left"/>
    </w:pPr>
    <w:rPr>
      <w:rFonts w:ascii="ˎ̥" w:hAnsi="ˎ̥"/>
      <w:color w:val="000066"/>
      <w:kern w:val="0"/>
      <w:sz w:val="18"/>
      <w:szCs w:val="20"/>
    </w:rPr>
  </w:style>
  <w:style w:type="paragraph" w:customStyle="1" w:styleId="170">
    <w:name w:val="xl25"/>
    <w:basedOn w:val="1"/>
    <w:qFormat/>
    <w:uiPriority w:val="0"/>
    <w:pPr>
      <w:widowControl/>
      <w:pBdr>
        <w:bottom w:val="single" w:color="auto" w:sz="4" w:space="0"/>
      </w:pBdr>
      <w:spacing w:before="100" w:beforeAutospacing="1" w:after="100" w:afterAutospacing="1"/>
      <w:jc w:val="center"/>
      <w:textAlignment w:val="center"/>
    </w:pPr>
    <w:rPr>
      <w:rFonts w:ascii="宋体" w:hAnsi="宋体"/>
      <w:b/>
      <w:bCs/>
      <w:kern w:val="0"/>
      <w:sz w:val="36"/>
      <w:szCs w:val="36"/>
    </w:rPr>
  </w:style>
  <w:style w:type="paragraph" w:customStyle="1" w:styleId="171">
    <w:name w:val="表格文字"/>
    <w:basedOn w:val="1"/>
    <w:qFormat/>
    <w:uiPriority w:val="0"/>
    <w:pPr>
      <w:adjustRightInd w:val="0"/>
      <w:spacing w:line="420" w:lineRule="atLeast"/>
      <w:jc w:val="left"/>
      <w:textAlignment w:val="baseline"/>
    </w:pPr>
    <w:rPr>
      <w:kern w:val="0"/>
      <w:szCs w:val="20"/>
    </w:rPr>
  </w:style>
  <w:style w:type="paragraph" w:customStyle="1" w:styleId="172">
    <w:name w:val="top"/>
    <w:basedOn w:val="1"/>
    <w:qFormat/>
    <w:uiPriority w:val="0"/>
    <w:pPr>
      <w:widowControl/>
      <w:spacing w:before="100" w:beforeAutospacing="1" w:after="100" w:afterAutospacing="1"/>
      <w:jc w:val="left"/>
    </w:pPr>
    <w:rPr>
      <w:rFonts w:ascii="ˎ̥" w:hAnsi="ˎ̥"/>
      <w:color w:val="FFFFFF"/>
      <w:kern w:val="0"/>
      <w:sz w:val="18"/>
      <w:szCs w:val="20"/>
    </w:rPr>
  </w:style>
  <w:style w:type="paragraph" w:customStyle="1" w:styleId="173">
    <w:name w:val=" Char1 Char Char Char"/>
    <w:basedOn w:val="1"/>
    <w:qFormat/>
    <w:uiPriority w:val="0"/>
    <w:rPr>
      <w:szCs w:val="20"/>
    </w:rPr>
  </w:style>
  <w:style w:type="paragraph" w:customStyle="1" w:styleId="174">
    <w:name w:val="标题3"/>
    <w:basedOn w:val="33"/>
    <w:qFormat/>
    <w:uiPriority w:val="0"/>
    <w:pPr>
      <w:tabs>
        <w:tab w:val="clear" w:pos="8296"/>
      </w:tabs>
      <w:ind w:right="0" w:rightChars="0"/>
      <w:jc w:val="both"/>
    </w:pPr>
    <w:rPr>
      <w:rFonts w:ascii="Tahoma" w:hAnsi="Tahoma" w:eastAsia="黑体"/>
      <w:b/>
      <w:sz w:val="24"/>
    </w:rPr>
  </w:style>
  <w:style w:type="paragraph" w:customStyle="1" w:styleId="175">
    <w:name w:val="Default"/>
    <w:basedOn w:val="25"/>
    <w:next w:val="176"/>
    <w:qFormat/>
    <w:uiPriority w:val="0"/>
    <w:pPr>
      <w:widowControl w:val="0"/>
      <w:autoSpaceDE w:val="0"/>
      <w:autoSpaceDN w:val="0"/>
      <w:adjustRightInd w:val="0"/>
    </w:pPr>
    <w:rPr>
      <w:rFonts w:ascii="宋体"/>
      <w:color w:val="000000"/>
      <w:sz w:val="24"/>
      <w:lang w:val="en-US" w:eastAsia="zh-CN" w:bidi="ar-SA"/>
    </w:rPr>
  </w:style>
  <w:style w:type="paragraph" w:customStyle="1" w:styleId="176">
    <w:name w:val="Char Char10 Char Char Char Char"/>
    <w:basedOn w:val="1"/>
    <w:next w:val="177"/>
    <w:qFormat/>
    <w:uiPriority w:val="99"/>
  </w:style>
  <w:style w:type="paragraph" w:customStyle="1" w:styleId="177">
    <w:name w:val="xl87"/>
    <w:basedOn w:val="1"/>
    <w:next w:val="178"/>
    <w:qFormat/>
    <w:uiPriority w:val="0"/>
    <w:pPr>
      <w:widowControl/>
      <w:shd w:val="clear" w:color="FFFFFF" w:fill="FFFFFF"/>
      <w:spacing w:before="100" w:beforeAutospacing="1" w:after="100" w:afterAutospacing="1"/>
      <w:jc w:val="right"/>
      <w:textAlignment w:val="top"/>
    </w:pPr>
    <w:rPr>
      <w:rFonts w:ascii="宋体" w:hAnsi="宋体" w:cs="宋体"/>
      <w:kern w:val="0"/>
      <w:sz w:val="24"/>
    </w:rPr>
  </w:style>
  <w:style w:type="paragraph" w:customStyle="1" w:styleId="178">
    <w:name w:val="xl72"/>
    <w:basedOn w:val="1"/>
    <w:next w:val="27"/>
    <w:qFormat/>
    <w:uiPriority w:val="0"/>
    <w:pPr>
      <w:widowControl/>
      <w:pBdr>
        <w:top w:val="single" w:color="000000" w:sz="4" w:space="0"/>
        <w:left w:val="single" w:color="000000" w:sz="4" w:space="0"/>
        <w:bottom w:val="single" w:color="000000" w:sz="8" w:space="0"/>
        <w:right w:val="single" w:color="000000" w:sz="8" w:space="0"/>
      </w:pBdr>
      <w:shd w:val="clear" w:color="FFFFFF" w:fill="FFFFFF"/>
      <w:spacing w:before="100" w:beforeAutospacing="1" w:after="100" w:afterAutospacing="1"/>
      <w:jc w:val="right"/>
      <w:textAlignment w:val="center"/>
    </w:pPr>
    <w:rPr>
      <w:rFonts w:ascii="宋体" w:hAnsi="宋体" w:cs="宋体"/>
      <w:kern w:val="0"/>
      <w:sz w:val="24"/>
    </w:rPr>
  </w:style>
  <w:style w:type="paragraph" w:customStyle="1" w:styleId="179">
    <w:name w:val="font7"/>
    <w:basedOn w:val="1"/>
    <w:qFormat/>
    <w:uiPriority w:val="0"/>
    <w:pPr>
      <w:widowControl/>
      <w:spacing w:before="100" w:beforeAutospacing="1" w:after="100" w:afterAutospacing="1"/>
      <w:jc w:val="left"/>
    </w:pPr>
    <w:rPr>
      <w:b/>
      <w:bCs/>
      <w:kern w:val="0"/>
      <w:sz w:val="36"/>
      <w:szCs w:val="36"/>
    </w:rPr>
  </w:style>
  <w:style w:type="paragraph" w:customStyle="1" w:styleId="180">
    <w:name w:val="news"/>
    <w:basedOn w:val="1"/>
    <w:qFormat/>
    <w:uiPriority w:val="0"/>
    <w:pPr>
      <w:widowControl/>
      <w:spacing w:before="100" w:beforeAutospacing="1" w:after="100" w:afterAutospacing="1" w:line="165" w:lineRule="atLeast"/>
      <w:jc w:val="left"/>
    </w:pPr>
    <w:rPr>
      <w:rFonts w:ascii="ˎ̥" w:hAnsi="ˎ̥"/>
      <w:color w:val="000000"/>
      <w:kern w:val="0"/>
      <w:sz w:val="11"/>
      <w:szCs w:val="20"/>
    </w:rPr>
  </w:style>
  <w:style w:type="paragraph" w:customStyle="1" w:styleId="181">
    <w:name w:val="Char1"/>
    <w:basedOn w:val="1"/>
    <w:qFormat/>
    <w:uiPriority w:val="0"/>
    <w:pPr>
      <w:widowControl/>
      <w:spacing w:after="160" w:line="240" w:lineRule="exact"/>
      <w:jc w:val="left"/>
    </w:pPr>
  </w:style>
  <w:style w:type="paragraph" w:customStyle="1" w:styleId="182">
    <w:name w:val="Char Char Char"/>
    <w:basedOn w:val="1"/>
    <w:qFormat/>
    <w:uiPriority w:val="0"/>
    <w:pPr>
      <w:adjustRightInd w:val="0"/>
      <w:spacing w:line="360" w:lineRule="atLeast"/>
    </w:pPr>
  </w:style>
  <w:style w:type="paragraph" w:customStyle="1" w:styleId="183">
    <w:name w:val="noline"/>
    <w:basedOn w:val="1"/>
    <w:qFormat/>
    <w:uiPriority w:val="0"/>
    <w:pPr>
      <w:widowControl/>
      <w:spacing w:before="100" w:beforeAutospacing="1" w:after="100" w:afterAutospacing="1"/>
      <w:jc w:val="left"/>
    </w:pPr>
    <w:rPr>
      <w:rFonts w:ascii="ˎ̥" w:hAnsi="ˎ̥"/>
      <w:color w:val="000000"/>
      <w:kern w:val="0"/>
      <w:sz w:val="18"/>
      <w:szCs w:val="20"/>
    </w:rPr>
  </w:style>
  <w:style w:type="paragraph" w:customStyle="1" w:styleId="184">
    <w:name w:val="标书正文"/>
    <w:basedOn w:val="1"/>
    <w:qFormat/>
    <w:uiPriority w:val="0"/>
    <w:pPr>
      <w:snapToGrid w:val="0"/>
      <w:spacing w:line="360" w:lineRule="auto"/>
      <w:ind w:firstLine="560" w:firstLineChars="200"/>
    </w:pPr>
    <w:rPr>
      <w:rFonts w:ascii="宋体" w:hAnsi="宋体"/>
      <w:color w:val="000000"/>
      <w:sz w:val="24"/>
      <w:szCs w:val="20"/>
    </w:rPr>
  </w:style>
  <w:style w:type="paragraph" w:customStyle="1" w:styleId="185">
    <w:name w:val="列出段落"/>
    <w:basedOn w:val="1"/>
    <w:qFormat/>
    <w:uiPriority w:val="0"/>
    <w:pPr>
      <w:ind w:firstLine="420" w:firstLineChars="200"/>
    </w:pPr>
    <w:rPr>
      <w:rFonts w:ascii="Calibri" w:hAnsi="Calibri"/>
      <w:szCs w:val="22"/>
    </w:rPr>
  </w:style>
  <w:style w:type="paragraph" w:customStyle="1" w:styleId="186">
    <w:name w:val="样式 标题 1 + 黑体 三号 非加粗 居中 段前: 6 磅 段后: 6 磅 行距: 固定值 20 磅"/>
    <w:basedOn w:val="2"/>
    <w:qFormat/>
    <w:uiPriority w:val="0"/>
    <w:pPr>
      <w:spacing w:before="120" w:after="120" w:line="400" w:lineRule="exact"/>
      <w:jc w:val="center"/>
    </w:pPr>
    <w:rPr>
      <w:rFonts w:ascii="黑体" w:hAnsi="黑体" w:eastAsia="黑体"/>
      <w:b w:val="0"/>
      <w:bCs w:val="0"/>
      <w:sz w:val="32"/>
      <w:szCs w:val="20"/>
    </w:rPr>
  </w:style>
  <w:style w:type="paragraph" w:customStyle="1" w:styleId="187">
    <w:name w:val=" Char1"/>
    <w:basedOn w:val="1"/>
    <w:qFormat/>
    <w:uiPriority w:val="0"/>
    <w:rPr>
      <w:szCs w:val="20"/>
    </w:rPr>
  </w:style>
  <w:style w:type="paragraph" w:customStyle="1" w:styleId="188">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189">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190">
    <w:name w:val="文档正文"/>
    <w:basedOn w:val="1"/>
    <w:qFormat/>
    <w:uiPriority w:val="0"/>
    <w:pPr>
      <w:adjustRightInd w:val="0"/>
      <w:spacing w:line="480" w:lineRule="atLeast"/>
      <w:ind w:firstLine="567"/>
      <w:textAlignment w:val="baseline"/>
    </w:pPr>
    <w:rPr>
      <w:rFonts w:ascii="仿宋_GB2312" w:eastAsia="仿宋_GB2312"/>
      <w:kern w:val="0"/>
      <w:sz w:val="28"/>
      <w:szCs w:val="20"/>
    </w:rPr>
  </w:style>
  <w:style w:type="paragraph" w:customStyle="1" w:styleId="191">
    <w:name w:val="_Style 177"/>
    <w:basedOn w:val="2"/>
    <w:next w:val="1"/>
    <w:qFormat/>
    <w:uiPriority w:val="0"/>
    <w:pPr>
      <w:spacing w:line="576" w:lineRule="auto"/>
      <w:outlineLvl w:val="9"/>
    </w:pPr>
    <w:rPr>
      <w:rFonts w:ascii="Calibri" w:hAnsi="Calibri"/>
    </w:rPr>
  </w:style>
  <w:style w:type="paragraph" w:customStyle="1" w:styleId="192">
    <w:name w:val="middle"/>
    <w:basedOn w:val="1"/>
    <w:qFormat/>
    <w:uiPriority w:val="0"/>
    <w:pPr>
      <w:widowControl/>
      <w:spacing w:before="100" w:beforeAutospacing="1" w:after="100" w:afterAutospacing="1"/>
      <w:jc w:val="left"/>
    </w:pPr>
    <w:rPr>
      <w:rFonts w:ascii="ˎ̥" w:hAnsi="ˎ̥"/>
      <w:color w:val="666666"/>
      <w:kern w:val="0"/>
      <w:sz w:val="18"/>
      <w:szCs w:val="20"/>
    </w:rPr>
  </w:style>
  <w:style w:type="paragraph" w:customStyle="1" w:styleId="193">
    <w:name w:val="class"/>
    <w:basedOn w:val="1"/>
    <w:qFormat/>
    <w:uiPriority w:val="0"/>
    <w:pPr>
      <w:widowControl/>
      <w:spacing w:before="100" w:beforeAutospacing="1" w:after="100" w:afterAutospacing="1"/>
      <w:jc w:val="left"/>
    </w:pPr>
    <w:rPr>
      <w:rFonts w:ascii="ˎ̥" w:hAnsi="ˎ̥"/>
      <w:color w:val="000099"/>
      <w:kern w:val="0"/>
      <w:sz w:val="18"/>
      <w:szCs w:val="20"/>
    </w:rPr>
  </w:style>
  <w:style w:type="paragraph" w:customStyle="1" w:styleId="194">
    <w:name w:val="flNote"/>
    <w:basedOn w:val="1"/>
    <w:qFormat/>
    <w:uiPriority w:val="0"/>
    <w:pPr>
      <w:adjustRightInd w:val="0"/>
      <w:spacing w:before="320" w:after="160" w:line="360" w:lineRule="atLeast"/>
      <w:jc w:val="center"/>
      <w:textAlignment w:val="baseline"/>
    </w:pPr>
    <w:rPr>
      <w:rFonts w:ascii="Arial" w:eastAsia="黑体"/>
      <w:kern w:val="0"/>
      <w:sz w:val="30"/>
      <w:szCs w:val="20"/>
    </w:rPr>
  </w:style>
  <w:style w:type="paragraph" w:customStyle="1" w:styleId="195">
    <w:name w:val="1 Char"/>
    <w:basedOn w:val="1"/>
    <w:qFormat/>
    <w:uiPriority w:val="0"/>
    <w:rPr>
      <w:rFonts w:ascii="Tahoma" w:hAnsi="Tahoma"/>
      <w:sz w:val="24"/>
      <w:szCs w:val="20"/>
    </w:rPr>
  </w:style>
  <w:style w:type="paragraph" w:customStyle="1" w:styleId="196">
    <w:name w:val="top1"/>
    <w:basedOn w:val="1"/>
    <w:qFormat/>
    <w:uiPriority w:val="0"/>
    <w:pPr>
      <w:widowControl/>
      <w:spacing w:before="100" w:beforeAutospacing="1" w:after="100" w:afterAutospacing="1"/>
      <w:jc w:val="left"/>
    </w:pPr>
    <w:rPr>
      <w:rFonts w:ascii="ˎ̥" w:hAnsi="ˎ̥"/>
      <w:color w:val="000066"/>
      <w:kern w:val="0"/>
      <w:sz w:val="18"/>
      <w:szCs w:val="20"/>
    </w:rPr>
  </w:style>
  <w:style w:type="paragraph" w:customStyle="1" w:styleId="197">
    <w:name w:val=" Char Char Char Char Char Char Char"/>
    <w:basedOn w:val="1"/>
    <w:qFormat/>
    <w:uiPriority w:val="0"/>
  </w:style>
  <w:style w:type="paragraph" w:customStyle="1" w:styleId="198">
    <w:name w:val="r_title"/>
    <w:basedOn w:val="1"/>
    <w:qFormat/>
    <w:uiPriority w:val="0"/>
    <w:pPr>
      <w:widowControl/>
      <w:spacing w:before="100" w:beforeAutospacing="1" w:after="100" w:afterAutospacing="1"/>
      <w:jc w:val="left"/>
    </w:pPr>
    <w:rPr>
      <w:rFonts w:ascii="ˎ̥" w:hAnsi="ˎ̥"/>
      <w:color w:val="000000"/>
      <w:kern w:val="0"/>
      <w:sz w:val="18"/>
      <w:szCs w:val="20"/>
    </w:rPr>
  </w:style>
  <w:style w:type="paragraph" w:customStyle="1" w:styleId="199">
    <w:name w:val="Char Char1 Char Char Char Char Char Char"/>
    <w:basedOn w:val="1"/>
    <w:qFormat/>
    <w:uiPriority w:val="0"/>
    <w:pPr>
      <w:widowControl/>
      <w:adjustRightInd w:val="0"/>
      <w:snapToGrid w:val="0"/>
      <w:spacing w:line="360" w:lineRule="auto"/>
      <w:ind w:firstLine="601"/>
    </w:pPr>
    <w:rPr>
      <w:rFonts w:ascii="宋体" w:hAnsi="宋体"/>
      <w:color w:val="000000"/>
      <w:kern w:val="0"/>
      <w:sz w:val="24"/>
      <w:szCs w:val="20"/>
    </w:rPr>
  </w:style>
  <w:style w:type="paragraph" w:customStyle="1" w:styleId="200">
    <w:name w:val=" Char Char Char Char Char Char Char Char Char Char"/>
    <w:basedOn w:val="1"/>
    <w:qFormat/>
    <w:uiPriority w:val="0"/>
    <w:pPr>
      <w:widowControl/>
      <w:spacing w:after="160" w:line="240" w:lineRule="exact"/>
      <w:jc w:val="left"/>
    </w:pPr>
    <w:rPr>
      <w:szCs w:val="20"/>
    </w:rPr>
  </w:style>
  <w:style w:type="paragraph" w:customStyle="1" w:styleId="201">
    <w:name w:val="m_title"/>
    <w:basedOn w:val="1"/>
    <w:qFormat/>
    <w:uiPriority w:val="0"/>
    <w:pPr>
      <w:widowControl/>
      <w:spacing w:before="100" w:beforeAutospacing="1" w:after="100" w:afterAutospacing="1"/>
      <w:jc w:val="left"/>
    </w:pPr>
    <w:rPr>
      <w:rFonts w:ascii="ˎ̥" w:hAnsi="ˎ̥"/>
      <w:color w:val="FFFFFF"/>
      <w:kern w:val="0"/>
      <w:sz w:val="18"/>
      <w:szCs w:val="20"/>
    </w:rPr>
  </w:style>
  <w:style w:type="paragraph" w:customStyle="1" w:styleId="202">
    <w:name w:val="样式 Arial 左侧:  2 字符 行距: 固定值 29 磅"/>
    <w:basedOn w:val="1"/>
    <w:qFormat/>
    <w:uiPriority w:val="0"/>
    <w:pPr>
      <w:adjustRightInd w:val="0"/>
      <w:spacing w:line="580" w:lineRule="exact"/>
      <w:textAlignment w:val="baseline"/>
    </w:pPr>
    <w:rPr>
      <w:rFonts w:ascii="Arial" w:hAnsi="Arial"/>
      <w:kern w:val="0"/>
      <w:sz w:val="24"/>
      <w:szCs w:val="20"/>
    </w:rPr>
  </w:style>
  <w:style w:type="paragraph" w:customStyle="1" w:styleId="203">
    <w:name w:val="xl24"/>
    <w:basedOn w:val="1"/>
    <w:qFormat/>
    <w:uiPriority w:val="0"/>
    <w:pPr>
      <w:widowControl/>
      <w:spacing w:before="100" w:beforeAutospacing="1" w:after="100" w:afterAutospacing="1"/>
      <w:jc w:val="left"/>
      <w:textAlignment w:val="center"/>
    </w:pPr>
    <w:rPr>
      <w:kern w:val="0"/>
      <w:sz w:val="24"/>
    </w:rPr>
  </w:style>
  <w:style w:type="paragraph" w:customStyle="1" w:styleId="204">
    <w:name w:val="link"/>
    <w:basedOn w:val="1"/>
    <w:qFormat/>
    <w:uiPriority w:val="0"/>
    <w:pPr>
      <w:widowControl/>
      <w:spacing w:before="100" w:beforeAutospacing="1" w:after="100" w:afterAutospacing="1"/>
      <w:jc w:val="left"/>
    </w:pPr>
    <w:rPr>
      <w:rFonts w:ascii="ˎ̥" w:hAnsi="ˎ̥"/>
      <w:color w:val="336699"/>
      <w:kern w:val="0"/>
      <w:sz w:val="18"/>
      <w:szCs w:val="20"/>
    </w:rPr>
  </w:style>
  <w:style w:type="paragraph" w:customStyle="1" w:styleId="205">
    <w:name w:val="_Style 191"/>
    <w:qFormat/>
    <w:uiPriority w:val="0"/>
    <w:rPr>
      <w:rFonts w:ascii="Times New Roman" w:hAnsi="Times New Roman" w:eastAsia="宋体" w:cs="Times New Roman"/>
      <w:kern w:val="2"/>
      <w:sz w:val="21"/>
      <w:szCs w:val="24"/>
      <w:lang w:val="en-US" w:eastAsia="zh-CN" w:bidi="ar-SA"/>
    </w:rPr>
  </w:style>
  <w:style w:type="paragraph" w:customStyle="1" w:styleId="206">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207">
    <w:name w:val="样式2"/>
    <w:basedOn w:val="1"/>
    <w:qFormat/>
    <w:uiPriority w:val="0"/>
    <w:pPr>
      <w:ind w:firstLine="540" w:firstLineChars="225"/>
    </w:pPr>
    <w:rPr>
      <w:sz w:val="24"/>
      <w:szCs w:val="20"/>
    </w:rPr>
  </w:style>
  <w:style w:type="paragraph" w:customStyle="1" w:styleId="208">
    <w:name w:val=" Char Char Char"/>
    <w:basedOn w:val="1"/>
    <w:qFormat/>
    <w:uiPriority w:val="0"/>
    <w:rPr>
      <w:rFonts w:ascii="Tahoma" w:hAnsi="Tahoma"/>
      <w:sz w:val="24"/>
      <w:szCs w:val="20"/>
    </w:rPr>
  </w:style>
  <w:style w:type="paragraph" w:customStyle="1" w:styleId="209">
    <w:name w:val="空半行"/>
    <w:basedOn w:val="1"/>
    <w:qFormat/>
    <w:uiPriority w:val="0"/>
    <w:pPr>
      <w:adjustRightInd w:val="0"/>
      <w:spacing w:line="120" w:lineRule="exact"/>
      <w:textAlignment w:val="baseline"/>
    </w:pPr>
    <w:rPr>
      <w:rFonts w:eastAsia="仿宋_GB2312"/>
      <w:color w:val="FFFFFF"/>
      <w:kern w:val="0"/>
      <w:sz w:val="30"/>
      <w:szCs w:val="20"/>
    </w:rPr>
  </w:style>
  <w:style w:type="paragraph" w:customStyle="1" w:styleId="210">
    <w:name w:val="lift_top"/>
    <w:basedOn w:val="1"/>
    <w:qFormat/>
    <w:uiPriority w:val="0"/>
    <w:pPr>
      <w:widowControl/>
      <w:spacing w:before="100" w:beforeAutospacing="1" w:after="100" w:afterAutospacing="1"/>
      <w:jc w:val="left"/>
    </w:pPr>
    <w:rPr>
      <w:rFonts w:ascii="ˎ̥" w:hAnsi="ˎ̥"/>
      <w:color w:val="000099"/>
      <w:kern w:val="0"/>
      <w:sz w:val="9"/>
      <w:szCs w:val="20"/>
    </w:rPr>
  </w:style>
  <w:style w:type="paragraph" w:customStyle="1" w:styleId="211">
    <w:name w:val="p0"/>
    <w:basedOn w:val="1"/>
    <w:qFormat/>
    <w:uiPriority w:val="0"/>
    <w:pPr>
      <w:widowControl/>
    </w:pPr>
    <w:rPr>
      <w:kern w:val="0"/>
      <w:szCs w:val="21"/>
    </w:rPr>
  </w:style>
  <w:style w:type="paragraph" w:customStyle="1" w:styleId="212">
    <w:name w:val="bottom"/>
    <w:basedOn w:val="1"/>
    <w:qFormat/>
    <w:uiPriority w:val="0"/>
    <w:pPr>
      <w:widowControl/>
      <w:spacing w:before="100" w:beforeAutospacing="1" w:after="100" w:afterAutospacing="1"/>
      <w:jc w:val="left"/>
    </w:pPr>
    <w:rPr>
      <w:rFonts w:ascii="ˎ̥" w:hAnsi="ˎ̥"/>
      <w:color w:val="333333"/>
      <w:kern w:val="0"/>
      <w:sz w:val="18"/>
      <w:szCs w:val="20"/>
    </w:rPr>
  </w:style>
  <w:style w:type="paragraph" w:customStyle="1" w:styleId="213">
    <w:name w:val="1.1.1"/>
    <w:basedOn w:val="1"/>
    <w:qFormat/>
    <w:uiPriority w:val="0"/>
    <w:pPr>
      <w:tabs>
        <w:tab w:val="left" w:pos="0"/>
        <w:tab w:val="left" w:pos="1134"/>
        <w:tab w:val="left" w:pos="8505"/>
      </w:tabs>
      <w:autoSpaceDE w:val="0"/>
      <w:autoSpaceDN w:val="0"/>
      <w:adjustRightInd w:val="0"/>
      <w:spacing w:before="240" w:after="60" w:line="360" w:lineRule="atLeast"/>
    </w:pPr>
    <w:rPr>
      <w:rFonts w:ascii="宋体"/>
      <w:b/>
      <w:kern w:val="0"/>
      <w:sz w:val="24"/>
      <w:szCs w:val="20"/>
    </w:rPr>
  </w:style>
  <w:style w:type="paragraph" w:customStyle="1" w:styleId="214">
    <w:name w:val=" Char Char Char Char"/>
    <w:basedOn w:val="1"/>
    <w:qFormat/>
    <w:uiPriority w:val="0"/>
    <w:rPr>
      <w:rFonts w:ascii="Tahoma" w:hAnsi="Tahoma"/>
      <w:sz w:val="24"/>
      <w:szCs w:val="20"/>
    </w:rPr>
  </w:style>
  <w:style w:type="paragraph" w:customStyle="1" w:styleId="215">
    <w:name w:val="1"/>
    <w:basedOn w:val="1"/>
    <w:next w:val="1"/>
    <w:qFormat/>
    <w:uiPriority w:val="0"/>
    <w:rPr>
      <w:szCs w:val="20"/>
    </w:rPr>
  </w:style>
  <w:style w:type="paragraph" w:customStyle="1" w:styleId="216">
    <w:name w:val="eng"/>
    <w:basedOn w:val="1"/>
    <w:qFormat/>
    <w:uiPriority w:val="0"/>
    <w:pPr>
      <w:widowControl/>
      <w:spacing w:before="100" w:beforeAutospacing="1" w:after="100" w:afterAutospacing="1"/>
      <w:jc w:val="left"/>
    </w:pPr>
    <w:rPr>
      <w:rFonts w:ascii="Verdana" w:hAnsi="Verdana"/>
      <w:color w:val="FFFFFF"/>
      <w:kern w:val="0"/>
      <w:sz w:val="18"/>
      <w:szCs w:val="20"/>
    </w:rPr>
  </w:style>
  <w:style w:type="paragraph" w:customStyle="1" w:styleId="217">
    <w:name w:val="lift"/>
    <w:basedOn w:val="1"/>
    <w:qFormat/>
    <w:uiPriority w:val="0"/>
    <w:pPr>
      <w:widowControl/>
      <w:spacing w:before="100" w:beforeAutospacing="1" w:after="100" w:afterAutospacing="1"/>
      <w:jc w:val="left"/>
    </w:pPr>
    <w:rPr>
      <w:rFonts w:ascii="ˎ̥" w:hAnsi="ˎ̥"/>
      <w:color w:val="000099"/>
      <w:kern w:val="0"/>
      <w:sz w:val="9"/>
      <w:szCs w:val="20"/>
    </w:rPr>
  </w:style>
  <w:style w:type="paragraph" w:customStyle="1" w:styleId="218">
    <w:name w:val="Char"/>
    <w:basedOn w:val="1"/>
    <w:qFormat/>
    <w:uiPriority w:val="0"/>
    <w:rPr>
      <w:rFonts w:ascii="Tahoma" w:hAnsi="Tahoma"/>
      <w:sz w:val="24"/>
      <w:szCs w:val="20"/>
    </w:rPr>
  </w:style>
  <w:style w:type="paragraph" w:customStyle="1" w:styleId="219">
    <w:name w:val="List Paragraph1"/>
    <w:basedOn w:val="1"/>
    <w:qFormat/>
    <w:uiPriority w:val="0"/>
    <w:pPr>
      <w:ind w:firstLine="420" w:firstLineChars="200"/>
    </w:pPr>
    <w:rPr>
      <w:rFonts w:ascii="Calibri" w:hAnsi="Calibri"/>
      <w:szCs w:val="22"/>
    </w:rPr>
  </w:style>
  <w:style w:type="paragraph" w:customStyle="1" w:styleId="220">
    <w:name w:val="表格"/>
    <w:basedOn w:val="1"/>
    <w:qFormat/>
    <w:uiPriority w:val="0"/>
    <w:pPr>
      <w:jc w:val="center"/>
      <w:textAlignment w:val="center"/>
    </w:pPr>
    <w:rPr>
      <w:rFonts w:ascii="华文细黑" w:hAnsi="华文细黑"/>
      <w:kern w:val="0"/>
      <w:szCs w:val="20"/>
    </w:rPr>
  </w:style>
  <w:style w:type="paragraph" w:customStyle="1" w:styleId="221">
    <w:name w:val="l_title"/>
    <w:basedOn w:val="1"/>
    <w:qFormat/>
    <w:uiPriority w:val="0"/>
    <w:pPr>
      <w:widowControl/>
      <w:spacing w:before="100" w:beforeAutospacing="1" w:after="100" w:afterAutospacing="1"/>
      <w:jc w:val="left"/>
    </w:pPr>
    <w:rPr>
      <w:rFonts w:ascii="ˎ̥" w:hAnsi="ˎ̥"/>
      <w:color w:val="000000"/>
      <w:kern w:val="0"/>
      <w:sz w:val="18"/>
      <w:szCs w:val="20"/>
    </w:rPr>
  </w:style>
  <w:style w:type="paragraph" w:customStyle="1" w:styleId="222">
    <w:name w:val="样式1"/>
    <w:basedOn w:val="1"/>
    <w:qFormat/>
    <w:uiPriority w:val="0"/>
    <w:pPr>
      <w:spacing w:before="120" w:after="120" w:line="300" w:lineRule="auto"/>
    </w:pPr>
    <w:rPr>
      <w:rFonts w:ascii="宋体" w:hAnsi="宋体"/>
      <w:b/>
      <w:sz w:val="24"/>
      <w:szCs w:val="20"/>
    </w:rPr>
  </w:style>
  <w:style w:type="paragraph" w:customStyle="1" w:styleId="223">
    <w:name w:val="reader-word-layer reader-word-s1-13"/>
    <w:basedOn w:val="1"/>
    <w:qFormat/>
    <w:uiPriority w:val="0"/>
    <w:pPr>
      <w:widowControl/>
      <w:spacing w:before="100" w:beforeAutospacing="1" w:after="100" w:afterAutospacing="1"/>
      <w:jc w:val="left"/>
    </w:pPr>
    <w:rPr>
      <w:rFonts w:ascii="宋体" w:hAnsi="宋体" w:cs="宋体"/>
      <w:kern w:val="0"/>
      <w:sz w:val="24"/>
    </w:rPr>
  </w:style>
  <w:style w:type="paragraph" w:styleId="224">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225">
    <w:name w:val="_Style 211"/>
    <w:basedOn w:val="1"/>
    <w:next w:val="1"/>
    <w:qFormat/>
    <w:uiPriority w:val="0"/>
    <w:pPr>
      <w:widowControl/>
      <w:pBdr>
        <w:top w:val="single" w:color="auto" w:sz="6" w:space="1"/>
      </w:pBdr>
      <w:jc w:val="center"/>
    </w:pPr>
    <w:rPr>
      <w:rFonts w:ascii="Arial" w:hAnsi="Arial" w:eastAsia="Times New Roman"/>
      <w:vanish/>
      <w:kern w:val="0"/>
      <w:sz w:val="16"/>
      <w:szCs w:val="16"/>
    </w:rPr>
  </w:style>
  <w:style w:type="paragraph" w:customStyle="1" w:styleId="226">
    <w:name w:val="font0"/>
    <w:basedOn w:val="1"/>
    <w:qFormat/>
    <w:uiPriority w:val="0"/>
    <w:pPr>
      <w:widowControl/>
      <w:spacing w:before="100" w:beforeAutospacing="1" w:after="100" w:afterAutospacing="1"/>
      <w:jc w:val="left"/>
    </w:pPr>
    <w:rPr>
      <w:rFonts w:hint="eastAsia" w:ascii="宋体" w:hAnsi="宋体"/>
      <w:kern w:val="0"/>
      <w:sz w:val="24"/>
    </w:rPr>
  </w:style>
  <w:style w:type="paragraph" w:customStyle="1" w:styleId="227">
    <w:name w:val="p16"/>
    <w:basedOn w:val="1"/>
    <w:qFormat/>
    <w:uiPriority w:val="0"/>
    <w:pPr>
      <w:widowControl/>
      <w:spacing w:before="100" w:line="400" w:lineRule="atLeast"/>
    </w:pPr>
    <w:rPr>
      <w:kern w:val="0"/>
      <w:sz w:val="28"/>
      <w:szCs w:val="20"/>
    </w:rPr>
  </w:style>
  <w:style w:type="paragraph" w:customStyle="1" w:styleId="228">
    <w:name w:val="p17"/>
    <w:basedOn w:val="1"/>
    <w:qFormat/>
    <w:uiPriority w:val="0"/>
    <w:pPr>
      <w:widowControl/>
      <w:snapToGrid w:val="0"/>
      <w:jc w:val="left"/>
    </w:pPr>
    <w:rPr>
      <w:rFonts w:ascii="宋体" w:hAnsi="宋体"/>
      <w:color w:val="000000"/>
      <w:kern w:val="0"/>
      <w:sz w:val="24"/>
      <w:szCs w:val="20"/>
    </w:rPr>
  </w:style>
  <w:style w:type="paragraph" w:customStyle="1" w:styleId="229">
    <w:name w:val="p15"/>
    <w:basedOn w:val="1"/>
    <w:qFormat/>
    <w:uiPriority w:val="0"/>
    <w:pPr>
      <w:widowControl/>
      <w:snapToGrid w:val="0"/>
      <w:jc w:val="left"/>
    </w:pPr>
    <w:rPr>
      <w:rFonts w:hint="eastAsia" w:ascii="宋体" w:hAnsi="宋体"/>
      <w:color w:val="000000"/>
      <w:sz w:val="24"/>
      <w:szCs w:val="20"/>
    </w:rPr>
  </w:style>
  <w:style w:type="character" w:customStyle="1" w:styleId="230">
    <w:name w:val="日期 Char"/>
    <w:qFormat/>
    <w:uiPriority w:val="0"/>
    <w:rPr>
      <w:rFonts w:ascii="仿宋_GB2312" w:hAnsi="宋体" w:eastAsia="仿宋_GB2312"/>
      <w:color w:val="000000"/>
      <w:kern w:val="2"/>
      <w:sz w:val="24"/>
      <w:szCs w:val="24"/>
      <w:lang w:bidi="ar-SA"/>
    </w:rPr>
  </w:style>
  <w:style w:type="character" w:customStyle="1" w:styleId="231">
    <w:name w:val="页眉 Char"/>
    <w:qFormat/>
    <w:uiPriority w:val="0"/>
    <w:rPr>
      <w:rFonts w:eastAsia="宋体"/>
      <w:kern w:val="2"/>
      <w:sz w:val="18"/>
      <w:szCs w:val="18"/>
      <w:lang w:val="en-US" w:eastAsia="zh-CN" w:bidi="ar-SA"/>
    </w:rPr>
  </w:style>
  <w:style w:type="character" w:customStyle="1" w:styleId="232">
    <w:name w:val="批注主题 Char"/>
    <w:qFormat/>
    <w:uiPriority w:val="0"/>
    <w:rPr>
      <w:b/>
      <w:bCs/>
      <w:kern w:val="2"/>
      <w:sz w:val="21"/>
      <w:szCs w:val="24"/>
      <w:lang w:bidi="ar-SA"/>
    </w:rPr>
  </w:style>
  <w:style w:type="character" w:customStyle="1" w:styleId="233">
    <w:name w:val="纯文本 Char1"/>
    <w:link w:val="234"/>
    <w:qFormat/>
    <w:uiPriority w:val="0"/>
    <w:rPr>
      <w:rFonts w:ascii="宋体" w:hAnsi="Courier New"/>
      <w:lang w:bidi="ar-SA"/>
    </w:rPr>
  </w:style>
  <w:style w:type="paragraph" w:customStyle="1" w:styleId="234">
    <w:name w:val="纯文本1"/>
    <w:basedOn w:val="1"/>
    <w:link w:val="233"/>
    <w:qFormat/>
    <w:uiPriority w:val="0"/>
    <w:rPr>
      <w:rFonts w:ascii="宋体" w:hAnsi="Courier New"/>
      <w:kern w:val="0"/>
      <w:sz w:val="20"/>
      <w:szCs w:val="20"/>
    </w:rPr>
  </w:style>
  <w:style w:type="character" w:customStyle="1" w:styleId="235">
    <w:name w:val="标题 1 Char"/>
    <w:qFormat/>
    <w:uiPriority w:val="0"/>
    <w:rPr>
      <w:rFonts w:ascii="宋体" w:eastAsia="宋体"/>
      <w:b/>
      <w:kern w:val="44"/>
      <w:sz w:val="32"/>
      <w:lang w:val="en-US" w:eastAsia="zh-CN" w:bidi="ar-SA"/>
    </w:rPr>
  </w:style>
  <w:style w:type="character" w:customStyle="1" w:styleId="236">
    <w:name w:val="页脚 Char"/>
    <w:qFormat/>
    <w:uiPriority w:val="0"/>
    <w:rPr>
      <w:rFonts w:eastAsia="宋体"/>
      <w:kern w:val="2"/>
      <w:sz w:val="18"/>
      <w:szCs w:val="18"/>
      <w:lang w:val="en-US" w:eastAsia="zh-CN" w:bidi="ar-SA"/>
    </w:rPr>
  </w:style>
  <w:style w:type="character" w:customStyle="1" w:styleId="237">
    <w:name w:val="正文文本 Char"/>
    <w:qFormat/>
    <w:uiPriority w:val="0"/>
    <w:rPr>
      <w:rFonts w:ascii="宋体" w:hAnsi="宋体"/>
      <w:kern w:val="2"/>
      <w:sz w:val="24"/>
      <w:szCs w:val="24"/>
      <w:lang w:bidi="ar-SA"/>
    </w:rPr>
  </w:style>
  <w:style w:type="character" w:customStyle="1" w:styleId="238">
    <w:name w:val="正文缩进 Char1"/>
    <w:link w:val="239"/>
    <w:qFormat/>
    <w:uiPriority w:val="0"/>
    <w:rPr>
      <w:rFonts w:ascii="宋体"/>
      <w:sz w:val="24"/>
      <w:lang w:bidi="ar-SA"/>
    </w:rPr>
  </w:style>
  <w:style w:type="paragraph" w:customStyle="1" w:styleId="239">
    <w:name w:val="正文缩进1"/>
    <w:basedOn w:val="1"/>
    <w:link w:val="238"/>
    <w:qFormat/>
    <w:uiPriority w:val="0"/>
    <w:pPr>
      <w:autoSpaceDE w:val="0"/>
      <w:autoSpaceDN w:val="0"/>
      <w:adjustRightInd w:val="0"/>
      <w:ind w:firstLine="420"/>
      <w:jc w:val="left"/>
    </w:pPr>
    <w:rPr>
      <w:rFonts w:ascii="宋体"/>
      <w:kern w:val="0"/>
      <w:sz w:val="24"/>
      <w:szCs w:val="20"/>
    </w:rPr>
  </w:style>
  <w:style w:type="character" w:customStyle="1" w:styleId="240">
    <w:name w:val="批注文字 Char"/>
    <w:qFormat/>
    <w:uiPriority w:val="0"/>
    <w:rPr>
      <w:kern w:val="2"/>
      <w:sz w:val="21"/>
      <w:szCs w:val="24"/>
      <w:lang w:bidi="ar-SA"/>
    </w:rPr>
  </w:style>
  <w:style w:type="character" w:customStyle="1" w:styleId="241">
    <w:name w:val="批注框文本 Char"/>
    <w:qFormat/>
    <w:uiPriority w:val="0"/>
    <w:rPr>
      <w:kern w:val="2"/>
      <w:sz w:val="18"/>
      <w:szCs w:val="18"/>
      <w:lang w:bidi="ar-SA"/>
    </w:rPr>
  </w:style>
  <w:style w:type="paragraph" w:customStyle="1" w:styleId="242">
    <w:name w:val="索引 11"/>
    <w:basedOn w:val="1"/>
    <w:next w:val="1"/>
    <w:qFormat/>
    <w:uiPriority w:val="0"/>
    <w:pPr>
      <w:spacing w:line="360" w:lineRule="auto"/>
    </w:pPr>
    <w:rPr>
      <w:rFonts w:ascii="仿宋_GB2312" w:eastAsia="仿宋_GB2312"/>
      <w:sz w:val="24"/>
      <w:szCs w:val="20"/>
    </w:rPr>
  </w:style>
  <w:style w:type="character" w:customStyle="1" w:styleId="243">
    <w:name w:val=" Char Char22"/>
    <w:qFormat/>
    <w:uiPriority w:val="0"/>
    <w:rPr>
      <w:rFonts w:eastAsia="宋体"/>
      <w:kern w:val="2"/>
      <w:sz w:val="18"/>
      <w:szCs w:val="18"/>
      <w:lang w:val="en-US" w:eastAsia="zh-CN" w:bidi="ar-SA"/>
    </w:rPr>
  </w:style>
  <w:style w:type="character" w:customStyle="1" w:styleId="244">
    <w:name w:val="Date Char"/>
    <w:qFormat/>
    <w:locked/>
    <w:uiPriority w:val="0"/>
    <w:rPr>
      <w:sz w:val="28"/>
    </w:rPr>
  </w:style>
  <w:style w:type="character" w:customStyle="1" w:styleId="245">
    <w:name w:val="z-窗体顶端 Char1"/>
    <w:link w:val="246"/>
    <w:qFormat/>
    <w:locked/>
    <w:uiPriority w:val="0"/>
    <w:rPr>
      <w:rFonts w:ascii="Arial" w:hAnsi="Arial" w:eastAsia="宋体"/>
      <w:vanish/>
      <w:kern w:val="2"/>
      <w:sz w:val="16"/>
      <w:szCs w:val="16"/>
      <w:lang w:val="en-US" w:eastAsia="zh-CN" w:bidi="ar-SA"/>
    </w:rPr>
  </w:style>
  <w:style w:type="paragraph" w:customStyle="1" w:styleId="246">
    <w:name w:val="z-窗体顶端2"/>
    <w:basedOn w:val="1"/>
    <w:next w:val="1"/>
    <w:link w:val="245"/>
    <w:qFormat/>
    <w:uiPriority w:val="0"/>
    <w:pPr>
      <w:widowControl/>
      <w:pBdr>
        <w:bottom w:val="single" w:color="auto" w:sz="6" w:space="1"/>
      </w:pBdr>
      <w:jc w:val="center"/>
    </w:pPr>
    <w:rPr>
      <w:rFonts w:ascii="Arial" w:hAnsi="Arial"/>
      <w:vanish/>
      <w:sz w:val="16"/>
      <w:szCs w:val="16"/>
    </w:rPr>
  </w:style>
  <w:style w:type="character" w:customStyle="1" w:styleId="247">
    <w:name w:val="设计-二级标题 Char Char"/>
    <w:link w:val="248"/>
    <w:qFormat/>
    <w:uiPriority w:val="0"/>
    <w:rPr>
      <w:rFonts w:eastAsia="黑体"/>
      <w:sz w:val="28"/>
      <w:szCs w:val="24"/>
      <w:lang w:bidi="ar-SA"/>
    </w:rPr>
  </w:style>
  <w:style w:type="paragraph" w:customStyle="1" w:styleId="248">
    <w:name w:val="设计-二级标题"/>
    <w:basedOn w:val="1"/>
    <w:next w:val="1"/>
    <w:link w:val="247"/>
    <w:qFormat/>
    <w:uiPriority w:val="0"/>
    <w:pPr>
      <w:spacing w:line="360" w:lineRule="auto"/>
      <w:outlineLvl w:val="1"/>
    </w:pPr>
    <w:rPr>
      <w:rFonts w:eastAsia="黑体"/>
      <w:kern w:val="0"/>
      <w:sz w:val="28"/>
    </w:rPr>
  </w:style>
  <w:style w:type="character" w:customStyle="1" w:styleId="249">
    <w:name w:val="NormalCharacter"/>
    <w:qFormat/>
    <w:uiPriority w:val="0"/>
  </w:style>
  <w:style w:type="paragraph" w:customStyle="1" w:styleId="250">
    <w:name w:val=" Char Char1 Char Char"/>
    <w:basedOn w:val="1"/>
    <w:qFormat/>
    <w:uiPriority w:val="0"/>
    <w:rPr>
      <w:rFonts w:ascii="Tahoma" w:hAnsi="Tahoma"/>
      <w:sz w:val="24"/>
      <w:szCs w:val="20"/>
    </w:rPr>
  </w:style>
  <w:style w:type="character" w:customStyle="1" w:styleId="251">
    <w:name w:val="gray1"/>
    <w:qFormat/>
    <w:uiPriority w:val="0"/>
    <w:rPr>
      <w:u w:val="none"/>
    </w:rPr>
  </w:style>
  <w:style w:type="character" w:customStyle="1" w:styleId="252">
    <w:name w:val="标题 3 Char1"/>
    <w:qFormat/>
    <w:uiPriority w:val="0"/>
    <w:rPr>
      <w:rFonts w:eastAsia="宋体"/>
      <w:b/>
      <w:bCs/>
      <w:kern w:val="2"/>
      <w:sz w:val="32"/>
      <w:szCs w:val="32"/>
      <w:lang w:val="en-US" w:eastAsia="zh-CN" w:bidi="ar-SA"/>
    </w:rPr>
  </w:style>
  <w:style w:type="character" w:customStyle="1" w:styleId="253">
    <w:name w:val="标题 2 Char1"/>
    <w:qFormat/>
    <w:uiPriority w:val="0"/>
    <w:rPr>
      <w:rFonts w:ascii="Arial" w:hAnsi="Arial" w:eastAsia="黑体"/>
      <w:b/>
      <w:bCs/>
      <w:kern w:val="2"/>
      <w:sz w:val="32"/>
      <w:szCs w:val="32"/>
      <w:lang w:val="en-US" w:eastAsia="zh-CN" w:bidi="ar-SA"/>
    </w:rPr>
  </w:style>
  <w:style w:type="character" w:customStyle="1" w:styleId="254">
    <w:name w:val="标题 1 Char1"/>
    <w:qFormat/>
    <w:uiPriority w:val="0"/>
    <w:rPr>
      <w:rFonts w:eastAsia="宋体"/>
      <w:b/>
      <w:bCs/>
      <w:kern w:val="44"/>
      <w:sz w:val="44"/>
      <w:szCs w:val="44"/>
      <w:lang w:val="en-US" w:eastAsia="zh-CN" w:bidi="ar-SA"/>
    </w:rPr>
  </w:style>
  <w:style w:type="character" w:customStyle="1" w:styleId="255">
    <w:name w:val="标题 4 Char1"/>
    <w:qFormat/>
    <w:uiPriority w:val="0"/>
    <w:rPr>
      <w:rFonts w:ascii="Arial" w:hAnsi="Arial" w:eastAsia="黑体"/>
      <w:b/>
      <w:kern w:val="2"/>
      <w:sz w:val="28"/>
      <w:lang w:val="en-US" w:eastAsia="zh-CN" w:bidi="ar-SA"/>
    </w:rPr>
  </w:style>
  <w:style w:type="character" w:customStyle="1" w:styleId="256">
    <w:name w:val="标题 5 Char1"/>
    <w:qFormat/>
    <w:uiPriority w:val="0"/>
    <w:rPr>
      <w:rFonts w:eastAsia="宋体"/>
      <w:b/>
      <w:sz w:val="28"/>
      <w:lang w:val="en-US" w:eastAsia="zh-CN" w:bidi="ar-SA"/>
    </w:rPr>
  </w:style>
  <w:style w:type="character" w:customStyle="1" w:styleId="257">
    <w:name w:val="标题 6 Char"/>
    <w:qFormat/>
    <w:uiPriority w:val="0"/>
    <w:rPr>
      <w:rFonts w:ascii="Arial" w:hAnsi="Arial" w:eastAsia="黑体"/>
      <w:b/>
      <w:sz w:val="24"/>
      <w:lang w:val="en-US" w:eastAsia="zh-CN" w:bidi="ar-SA"/>
    </w:rPr>
  </w:style>
  <w:style w:type="character" w:customStyle="1" w:styleId="258">
    <w:name w:val="标题 7 Char"/>
    <w:qFormat/>
    <w:uiPriority w:val="0"/>
    <w:rPr>
      <w:rFonts w:eastAsia="宋体"/>
      <w:b/>
      <w:sz w:val="24"/>
      <w:lang w:val="en-US" w:eastAsia="zh-CN" w:bidi="ar-SA"/>
    </w:rPr>
  </w:style>
  <w:style w:type="character" w:customStyle="1" w:styleId="259">
    <w:name w:val="标题 8 Char"/>
    <w:qFormat/>
    <w:uiPriority w:val="0"/>
    <w:rPr>
      <w:rFonts w:ascii="Arial" w:hAnsi="Arial" w:eastAsia="黑体"/>
      <w:sz w:val="24"/>
      <w:lang w:val="en-US" w:eastAsia="zh-CN" w:bidi="ar-SA"/>
    </w:rPr>
  </w:style>
  <w:style w:type="character" w:customStyle="1" w:styleId="260">
    <w:name w:val="标题 9 Char"/>
    <w:qFormat/>
    <w:uiPriority w:val="0"/>
    <w:rPr>
      <w:rFonts w:ascii="Arial" w:hAnsi="Arial" w:eastAsia="黑体"/>
      <w:sz w:val="21"/>
      <w:lang w:val="en-US" w:eastAsia="zh-CN" w:bidi="ar-SA"/>
    </w:rPr>
  </w:style>
  <w:style w:type="character" w:customStyle="1" w:styleId="261">
    <w:name w:val="页脚 Char1"/>
    <w:qFormat/>
    <w:uiPriority w:val="0"/>
    <w:rPr>
      <w:rFonts w:eastAsia="宋体"/>
      <w:kern w:val="2"/>
      <w:sz w:val="18"/>
      <w:szCs w:val="18"/>
      <w:lang w:val="en-US" w:eastAsia="zh-CN" w:bidi="ar-SA"/>
    </w:rPr>
  </w:style>
  <w:style w:type="character" w:customStyle="1" w:styleId="262">
    <w:name w:val="批注框文本 Char2"/>
    <w:qFormat/>
    <w:uiPriority w:val="0"/>
    <w:rPr>
      <w:kern w:val="2"/>
      <w:sz w:val="18"/>
      <w:lang w:bidi="ar-SA"/>
    </w:rPr>
  </w:style>
  <w:style w:type="character" w:customStyle="1" w:styleId="263">
    <w:name w:val="引用 Char"/>
    <w:qFormat/>
    <w:uiPriority w:val="0"/>
    <w:rPr>
      <w:i/>
      <w:iCs/>
      <w:color w:val="000000"/>
      <w:kern w:val="2"/>
      <w:sz w:val="21"/>
      <w:szCs w:val="22"/>
      <w:lang w:bidi="ar-SA"/>
    </w:rPr>
  </w:style>
  <w:style w:type="character" w:customStyle="1" w:styleId="264">
    <w:name w:val="副标题 Char"/>
    <w:qFormat/>
    <w:uiPriority w:val="0"/>
    <w:rPr>
      <w:rFonts w:ascii="Cambria" w:hAnsi="Cambria"/>
      <w:b/>
      <w:bCs/>
      <w:kern w:val="28"/>
      <w:sz w:val="32"/>
      <w:szCs w:val="32"/>
      <w:lang w:bidi="ar-SA"/>
    </w:rPr>
  </w:style>
  <w:style w:type="character" w:customStyle="1" w:styleId="265">
    <w:name w:val="正文文本 2 Char"/>
    <w:qFormat/>
    <w:uiPriority w:val="0"/>
    <w:rPr>
      <w:kern w:val="2"/>
      <w:sz w:val="21"/>
      <w:lang w:bidi="ar-SA"/>
    </w:rPr>
  </w:style>
  <w:style w:type="character" w:customStyle="1" w:styleId="266">
    <w:name w:val="纯文本 Char2"/>
    <w:qFormat/>
    <w:uiPriority w:val="0"/>
    <w:rPr>
      <w:rFonts w:ascii="宋体" w:hAnsi="Courier New" w:eastAsia="宋体"/>
      <w:kern w:val="2"/>
      <w:sz w:val="21"/>
      <w:lang w:val="en-US" w:eastAsia="zh-CN" w:bidi="ar-SA"/>
    </w:rPr>
  </w:style>
  <w:style w:type="character" w:customStyle="1" w:styleId="267">
    <w:name w:val="批注主题 Char2"/>
    <w:qFormat/>
    <w:uiPriority w:val="0"/>
    <w:rPr>
      <w:b/>
      <w:bCs/>
      <w:kern w:val="2"/>
      <w:sz w:val="21"/>
      <w:lang w:bidi="ar-SA"/>
    </w:rPr>
  </w:style>
  <w:style w:type="character" w:customStyle="1" w:styleId="268">
    <w:name w:val="批注文字 Char2"/>
    <w:qFormat/>
    <w:uiPriority w:val="0"/>
    <w:rPr>
      <w:rFonts w:eastAsia="宋体"/>
      <w:kern w:val="2"/>
      <w:sz w:val="21"/>
      <w:szCs w:val="24"/>
      <w:lang w:val="en-US" w:eastAsia="zh-CN" w:bidi="ar-SA"/>
    </w:rPr>
  </w:style>
  <w:style w:type="character" w:customStyle="1" w:styleId="269">
    <w:name w:val="z-窗体顶端 Char"/>
    <w:qFormat/>
    <w:uiPriority w:val="0"/>
    <w:rPr>
      <w:rFonts w:ascii="Arial" w:hAnsi="Arial"/>
      <w:vanish/>
      <w:sz w:val="16"/>
      <w:szCs w:val="16"/>
      <w:lang w:bidi="ar-SA"/>
    </w:rPr>
  </w:style>
  <w:style w:type="character" w:customStyle="1" w:styleId="270">
    <w:name w:val="正文文本缩进 2 Char"/>
    <w:semiHidden/>
    <w:qFormat/>
    <w:locked/>
    <w:uiPriority w:val="0"/>
    <w:rPr>
      <w:rFonts w:eastAsia="宋体"/>
      <w:spacing w:val="4"/>
      <w:sz w:val="28"/>
      <w:lang w:val="en-US" w:eastAsia="zh-CN" w:bidi="ar-SA"/>
    </w:rPr>
  </w:style>
  <w:style w:type="character" w:customStyle="1" w:styleId="271">
    <w:name w:val="正文文本缩进 Char"/>
    <w:qFormat/>
    <w:uiPriority w:val="0"/>
    <w:rPr>
      <w:rFonts w:eastAsia="宋体"/>
      <w:kern w:val="2"/>
      <w:sz w:val="21"/>
      <w:lang w:val="en-US" w:eastAsia="zh-CN" w:bidi="ar-SA"/>
    </w:rPr>
  </w:style>
  <w:style w:type="character" w:customStyle="1" w:styleId="272">
    <w:name w:val="正文文本 Char2"/>
    <w:qFormat/>
    <w:uiPriority w:val="0"/>
    <w:rPr>
      <w:kern w:val="2"/>
      <w:sz w:val="21"/>
      <w:lang w:bidi="ar-SA"/>
    </w:rPr>
  </w:style>
  <w:style w:type="character" w:customStyle="1" w:styleId="273">
    <w:name w:val="页眉 Char1"/>
    <w:qFormat/>
    <w:uiPriority w:val="0"/>
    <w:rPr>
      <w:rFonts w:eastAsia="宋体"/>
      <w:kern w:val="2"/>
      <w:sz w:val="18"/>
      <w:szCs w:val="18"/>
      <w:lang w:val="en-US" w:eastAsia="zh-CN" w:bidi="ar-SA"/>
    </w:rPr>
  </w:style>
  <w:style w:type="character" w:customStyle="1" w:styleId="274">
    <w:name w:val="文档结构图 Char"/>
    <w:qFormat/>
    <w:uiPriority w:val="0"/>
    <w:rPr>
      <w:kern w:val="2"/>
      <w:sz w:val="21"/>
      <w:shd w:val="clear" w:color="auto" w:fill="000080"/>
      <w:lang w:bidi="ar-SA"/>
    </w:rPr>
  </w:style>
  <w:style w:type="character" w:customStyle="1" w:styleId="275">
    <w:name w:val="日期 Char2"/>
    <w:qFormat/>
    <w:uiPriority w:val="0"/>
    <w:rPr>
      <w:kern w:val="2"/>
      <w:sz w:val="24"/>
      <w:lang w:bidi="ar-SA"/>
    </w:rPr>
  </w:style>
  <w:style w:type="character" w:customStyle="1" w:styleId="276">
    <w:name w:val="标题 Char"/>
    <w:qFormat/>
    <w:uiPriority w:val="0"/>
    <w:rPr>
      <w:rFonts w:ascii="Arial" w:hAnsi="Arial"/>
      <w:b/>
      <w:sz w:val="32"/>
      <w:lang w:bidi="ar-SA"/>
    </w:rPr>
  </w:style>
  <w:style w:type="character" w:customStyle="1" w:styleId="277">
    <w:name w:val="明显引用 Char"/>
    <w:qFormat/>
    <w:uiPriority w:val="0"/>
    <w:rPr>
      <w:b/>
      <w:bCs/>
      <w:i/>
      <w:iCs/>
      <w:color w:val="4F81BD"/>
      <w:kern w:val="2"/>
      <w:sz w:val="21"/>
      <w:szCs w:val="22"/>
      <w:lang w:bidi="ar-SA"/>
    </w:rPr>
  </w:style>
  <w:style w:type="paragraph" w:customStyle="1" w:styleId="278">
    <w:name w:val="2"/>
    <w:basedOn w:val="21"/>
    <w:next w:val="46"/>
    <w:qFormat/>
    <w:uiPriority w:val="0"/>
    <w:pPr>
      <w:ind w:firstLine="420" w:firstLineChars="200"/>
    </w:pPr>
    <w:rPr>
      <w:szCs w:val="21"/>
    </w:rPr>
  </w:style>
  <w:style w:type="paragraph" w:customStyle="1" w:styleId="279">
    <w:name w:val=" Char Char19 Char Char"/>
    <w:basedOn w:val="1"/>
    <w:qFormat/>
    <w:uiPriority w:val="0"/>
    <w:rPr>
      <w:rFonts w:ascii="Tahoma" w:hAnsi="Tahoma"/>
      <w:sz w:val="24"/>
      <w:szCs w:val="20"/>
    </w:rPr>
  </w:style>
  <w:style w:type="paragraph" w:customStyle="1" w:styleId="280">
    <w:name w:val="shsj2em1"/>
    <w:basedOn w:val="1"/>
    <w:qFormat/>
    <w:uiPriority w:val="0"/>
    <w:pPr>
      <w:widowControl/>
      <w:spacing w:line="432" w:lineRule="auto"/>
      <w:ind w:firstLine="480"/>
      <w:jc w:val="left"/>
    </w:pPr>
    <w:rPr>
      <w:rFonts w:ascii="微软雅黑" w:hAnsi="微软雅黑" w:eastAsia="微软雅黑" w:cs="宋体"/>
      <w:kern w:val="0"/>
      <w:sz w:val="24"/>
    </w:rPr>
  </w:style>
  <w:style w:type="character" w:customStyle="1" w:styleId="281">
    <w:name w:val="正文文本 字符1"/>
    <w:qFormat/>
    <w:uiPriority w:val="0"/>
    <w:rPr>
      <w:kern w:val="2"/>
      <w:sz w:val="21"/>
      <w:lang w:bidi="ar-SA"/>
    </w:rPr>
  </w:style>
  <w:style w:type="paragraph" w:customStyle="1" w:styleId="282">
    <w:name w:val=" Char Char19 Char Char Char Char Char Char Char Char"/>
    <w:basedOn w:val="1"/>
    <w:qFormat/>
    <w:uiPriority w:val="0"/>
    <w:rPr>
      <w:rFonts w:ascii="Tahoma" w:hAnsi="Tahoma"/>
      <w:sz w:val="24"/>
      <w:szCs w:val="20"/>
    </w:rPr>
  </w:style>
  <w:style w:type="character" w:customStyle="1" w:styleId="283">
    <w:name w:val="标题 2 字符1"/>
    <w:qFormat/>
    <w:uiPriority w:val="0"/>
    <w:rPr>
      <w:rFonts w:ascii="Arial" w:hAnsi="Arial" w:eastAsia="黑体"/>
      <w:b/>
      <w:bCs/>
      <w:kern w:val="2"/>
      <w:sz w:val="32"/>
      <w:szCs w:val="32"/>
      <w:lang w:val="en-US" w:eastAsia="zh-CN" w:bidi="ar-SA"/>
    </w:rPr>
  </w:style>
  <w:style w:type="character" w:customStyle="1" w:styleId="284">
    <w:name w:val="标题 3 字符1"/>
    <w:qFormat/>
    <w:uiPriority w:val="0"/>
    <w:rPr>
      <w:rFonts w:eastAsia="宋体"/>
      <w:b/>
      <w:bCs/>
      <w:kern w:val="2"/>
      <w:sz w:val="32"/>
      <w:szCs w:val="32"/>
      <w:lang w:val="en-US" w:eastAsia="zh-CN" w:bidi="ar-SA"/>
    </w:rPr>
  </w:style>
  <w:style w:type="paragraph" w:styleId="285">
    <w:name w:val="List Paragraph"/>
    <w:basedOn w:val="1"/>
    <w:qFormat/>
    <w:uiPriority w:val="1"/>
    <w:pPr>
      <w:autoSpaceDE w:val="0"/>
      <w:autoSpaceDN w:val="0"/>
      <w:ind w:left="1776" w:hanging="720"/>
      <w:jc w:val="left"/>
    </w:pPr>
    <w:rPr>
      <w:rFonts w:ascii="宋体" w:hAnsi="宋体" w:cs="宋体"/>
      <w:kern w:val="0"/>
      <w:sz w:val="22"/>
      <w:szCs w:val="22"/>
      <w:lang w:eastAsia="en-US"/>
    </w:rPr>
  </w:style>
  <w:style w:type="table" w:customStyle="1" w:styleId="286">
    <w:name w:val="Table Normal"/>
    <w:unhideWhenUsed/>
    <w:qFormat/>
    <w:uiPriority w:val="2"/>
    <w:pPr>
      <w:widowControl w:val="0"/>
      <w:autoSpaceDE w:val="0"/>
      <w:autoSpaceDN w:val="0"/>
    </w:pPr>
    <w:rPr>
      <w:rFonts w:ascii="Calibri" w:hAnsi="Calibri"/>
      <w:sz w:val="22"/>
      <w:szCs w:val="22"/>
      <w:lang w:val="en-US" w:eastAsia="en-US" w:bidi="ar-SA"/>
    </w:rPr>
    <w:tblPr>
      <w:tblCellMar>
        <w:top w:w="0" w:type="dxa"/>
        <w:left w:w="0" w:type="dxa"/>
        <w:bottom w:w="0" w:type="dxa"/>
        <w:right w:w="0" w:type="dxa"/>
      </w:tblCellMar>
    </w:tblPr>
  </w:style>
  <w:style w:type="paragraph" w:customStyle="1" w:styleId="287">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88">
    <w:name w:val="无间隔1"/>
    <w:basedOn w:val="289"/>
    <w:next w:val="14"/>
    <w:qFormat/>
    <w:uiPriority w:val="0"/>
    <w:pPr>
      <w:widowControl w:val="0"/>
      <w:jc w:val="both"/>
    </w:pPr>
    <w:rPr>
      <w:kern w:val="2"/>
      <w:sz w:val="21"/>
      <w:szCs w:val="22"/>
      <w:lang w:val="en-US" w:eastAsia="zh-CN" w:bidi="ar-SA"/>
    </w:rPr>
  </w:style>
  <w:style w:type="paragraph" w:customStyle="1" w:styleId="289">
    <w:name w:val="正文_1"/>
    <w:next w:val="1"/>
    <w:qFormat/>
    <w:uiPriority w:val="0"/>
    <w:pPr>
      <w:widowControl w:val="0"/>
      <w:jc w:val="both"/>
    </w:pPr>
    <w:rPr>
      <w:rFonts w:ascii="Calibri" w:hAnsi="Calibri" w:eastAsia="宋体" w:cs="Times New Roman"/>
      <w:kern w:val="2"/>
      <w:sz w:val="21"/>
      <w:szCs w:val="24"/>
      <w:lang w:val="en-US" w:eastAsia="zh-CN" w:bidi="ar-SA"/>
    </w:rPr>
  </w:style>
  <w:style w:type="paragraph" w:customStyle="1" w:styleId="290">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291">
    <w:name w:val="列出段落1"/>
    <w:basedOn w:val="1"/>
    <w:qFormat/>
    <w:uiPriority w:val="0"/>
    <w:pPr>
      <w:ind w:firstLine="420" w:firstLineChars="200"/>
    </w:pPr>
    <w:rPr>
      <w:szCs w:val="21"/>
    </w:rPr>
  </w:style>
  <w:style w:type="paragraph" w:customStyle="1" w:styleId="292">
    <w:name w:val="段"/>
    <w:next w:val="1"/>
    <w:qFormat/>
    <w:uiPriority w:val="0"/>
    <w:pPr>
      <w:autoSpaceDE w:val="0"/>
      <w:autoSpaceDN w:val="0"/>
      <w:ind w:firstLine="200" w:firstLineChars="200"/>
      <w:jc w:val="both"/>
    </w:pPr>
    <w:rPr>
      <w:rFonts w:ascii="宋体" w:hAnsi="Calibri" w:eastAsia="宋体" w:cs="Times New Roman"/>
      <w:sz w:val="21"/>
      <w:szCs w:val="22"/>
      <w:lang w:val="en-US" w:eastAsia="zh-CN" w:bidi="ar-SA"/>
    </w:rPr>
  </w:style>
  <w:style w:type="paragraph" w:customStyle="1" w:styleId="293">
    <w:name w:val="PlainText"/>
    <w:basedOn w:val="1"/>
    <w:qFormat/>
    <w:uiPriority w:val="0"/>
    <w:pPr>
      <w:jc w:val="both"/>
      <w:textAlignment w:val="baseline"/>
    </w:pPr>
    <w:rPr>
      <w:rFonts w:ascii="宋体" w:hAnsi="Courier New"/>
      <w:kern w:val="2"/>
      <w:sz w:val="21"/>
      <w:szCs w:val="21"/>
      <w:lang w:val="en-US" w:eastAsia="zh-CN" w:bidi="ar-SA"/>
    </w:rPr>
  </w:style>
  <w:style w:type="paragraph" w:customStyle="1" w:styleId="294">
    <w:name w:val="No Spacing1"/>
    <w:basedOn w:val="1"/>
    <w:qFormat/>
    <w:uiPriority w:val="0"/>
    <w:pPr>
      <w:spacing w:line="400" w:lineRule="exact"/>
    </w:pPr>
    <w:rPr>
      <w:rFonts w:ascii="Times New Roman" w:hAnsi="Times New Roman" w:eastAsia="宋体" w:cs="Times New Roman"/>
      <w:sz w:val="24"/>
    </w:rPr>
  </w:style>
  <w:style w:type="paragraph" w:customStyle="1" w:styleId="295">
    <w:name w:val="Normal_51"/>
    <w:qFormat/>
    <w:uiPriority w:val="0"/>
    <w:pPr>
      <w:spacing w:before="120" w:after="240"/>
      <w:jc w:val="both"/>
    </w:pPr>
    <w:rPr>
      <w:rFonts w:ascii="Times New Roman" w:hAnsi="Times New Roman" w:eastAsia="Calibri" w:cs="Times New Roman"/>
      <w:sz w:val="22"/>
      <w:szCs w:val="22"/>
      <w:lang w:val="ru-RU" w:eastAsia="en-US" w:bidi="ar-SA"/>
    </w:rPr>
  </w:style>
  <w:style w:type="paragraph" w:customStyle="1" w:styleId="296">
    <w:name w:val="BodyText1I2"/>
    <w:basedOn w:val="297"/>
    <w:next w:val="298"/>
    <w:qFormat/>
    <w:uiPriority w:val="0"/>
    <w:pPr>
      <w:ind w:firstLine="420" w:firstLineChars="200"/>
    </w:pPr>
    <w:rPr>
      <w:rFonts w:ascii="Calibri" w:hAnsi="Calibri" w:eastAsia="楷体_GB2312" w:cs="Times New Roman"/>
      <w:kern w:val="44"/>
      <w:sz w:val="44"/>
    </w:rPr>
  </w:style>
  <w:style w:type="paragraph" w:customStyle="1" w:styleId="297">
    <w:name w:val="BodyTextIndent"/>
    <w:basedOn w:val="1"/>
    <w:qFormat/>
    <w:uiPriority w:val="0"/>
    <w:pPr>
      <w:spacing w:after="120"/>
      <w:ind w:left="420" w:leftChars="200"/>
    </w:pPr>
    <w:rPr>
      <w:rFonts w:ascii="Times New Roman" w:hAnsi="Times New Roman" w:eastAsia="宋体" w:cs="Times New Roman"/>
      <w:kern w:val="0"/>
      <w:sz w:val="20"/>
    </w:rPr>
  </w:style>
  <w:style w:type="paragraph" w:customStyle="1" w:styleId="298">
    <w:name w:val="UserStyle_136"/>
    <w:basedOn w:val="1"/>
    <w:next w:val="1"/>
    <w:qFormat/>
    <w:uiPriority w:val="0"/>
    <w:pPr>
      <w:spacing w:after="120" w:line="320" w:lineRule="atLeast"/>
      <w:ind w:firstLine="200" w:firstLineChars="200"/>
    </w:pPr>
    <w:rPr>
      <w:rFonts w:ascii="Arial" w:hAnsi="Arial" w:eastAsia="宋体" w:cs="Times New Roman"/>
      <w:kern w:val="0"/>
    </w:rPr>
  </w:style>
  <w:style w:type="paragraph" w:customStyle="1" w:styleId="299">
    <w:name w:val="正文_5_0"/>
    <w:qFormat/>
    <w:uiPriority w:val="0"/>
    <w:pPr>
      <w:widowControl w:val="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3" Type="http://schemas.openxmlformats.org/officeDocument/2006/relationships/fontTable" Target="fontTable.xml"/><Relationship Id="rId42" Type="http://schemas.openxmlformats.org/officeDocument/2006/relationships/numbering" Target="numbering.xml"/><Relationship Id="rId41" Type="http://schemas.openxmlformats.org/officeDocument/2006/relationships/image" Target="media/image35.png"/><Relationship Id="rId40" Type="http://schemas.openxmlformats.org/officeDocument/2006/relationships/image" Target="media/image34.png"/><Relationship Id="rId4" Type="http://schemas.openxmlformats.org/officeDocument/2006/relationships/footer" Target="footer1.xml"/><Relationship Id="rId39" Type="http://schemas.openxmlformats.org/officeDocument/2006/relationships/image" Target="media/image33.png"/><Relationship Id="rId38" Type="http://schemas.openxmlformats.org/officeDocument/2006/relationships/image" Target="media/image32.png"/><Relationship Id="rId37" Type="http://schemas.openxmlformats.org/officeDocument/2006/relationships/image" Target="media/image31.png"/><Relationship Id="rId36" Type="http://schemas.openxmlformats.org/officeDocument/2006/relationships/image" Target="media/image30.png"/><Relationship Id="rId35" Type="http://schemas.openxmlformats.org/officeDocument/2006/relationships/image" Target="media/image29.png"/><Relationship Id="rId34" Type="http://schemas.openxmlformats.org/officeDocument/2006/relationships/image" Target="media/image28.png"/><Relationship Id="rId33" Type="http://schemas.openxmlformats.org/officeDocument/2006/relationships/image" Target="media/image27.png"/><Relationship Id="rId32" Type="http://schemas.openxmlformats.org/officeDocument/2006/relationships/image" Target="media/image26.png"/><Relationship Id="rId31" Type="http://schemas.openxmlformats.org/officeDocument/2006/relationships/image" Target="media/image25.png"/><Relationship Id="rId30" Type="http://schemas.openxmlformats.org/officeDocument/2006/relationships/image" Target="media/image24.png"/><Relationship Id="rId3" Type="http://schemas.openxmlformats.org/officeDocument/2006/relationships/header" Target="header1.xml"/><Relationship Id="rId29" Type="http://schemas.openxmlformats.org/officeDocument/2006/relationships/image" Target="media/image23.png"/><Relationship Id="rId28" Type="http://schemas.openxmlformats.org/officeDocument/2006/relationships/image" Target="media/image22.png"/><Relationship Id="rId27" Type="http://schemas.openxmlformats.org/officeDocument/2006/relationships/image" Target="media/image21.png"/><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Company>
  <Pages>105</Pages>
  <Words>3321</Words>
  <Characters>3560</Characters>
  <Lines>578</Lines>
  <Paragraphs>162</Paragraphs>
  <TotalTime>9</TotalTime>
  <ScaleCrop>false</ScaleCrop>
  <LinksUpToDate>false</LinksUpToDate>
  <CharactersWithSpaces>3649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2026-01-28T00:32:00Z</dcterms:created>
  <dc:creator>刘阳</dc:creator>
  <cp:lastModifiedBy>I'm  燕子</cp:lastModifiedBy>
  <cp:lastPrinted>2026-08-20T18:58:00Z</cp:lastPrinted>
  <dcterms:modified xsi:type="dcterms:W3CDTF">2026-10-12T09:44:09Z</dcterms:modified>
  <dc:title>（填写招标项目名称）</dc:title>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eyJoZGlkIjoiYTdmYzhiMDdmNTM0NjQxNjA5ZTI5MzE3Yzk3ZjhkMWMiLCJ1c2VySWQiOiI0ODc4MzA2MjMifQ==</vt:lpwstr>
  </property>
  <property fmtid="{D5CDD505-2E9C-101B-9397-08002B2CF9AE}" pid="3" name="KSOProductBuildVer">
    <vt:lpwstr>2052-12.1.0.28505</vt:lpwstr>
  </property>
  <property fmtid="{D5CDD505-2E9C-101B-9397-08002B2CF9AE}" pid="4" name="ICV">
    <vt:lpwstr>4A00A64D26CA4E8CB7154F3C47F108DE_13</vt:lpwstr>
  </property>
</Properties>
</file>