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E262B">
      <w:pPr>
        <w:jc w:val="center"/>
        <w:rPr>
          <w:rFonts w:hint="eastAsia" w:ascii="宋体" w:hAnsi="宋体" w:cs="宋体"/>
          <w:b/>
          <w:sz w:val="48"/>
          <w:szCs w:val="48"/>
          <w:lang w:eastAsia="zh-CN"/>
        </w:rPr>
      </w:pPr>
    </w:p>
    <w:p w14:paraId="5A8DB37C">
      <w:pPr>
        <w:jc w:val="center"/>
        <w:rPr>
          <w:rFonts w:hint="eastAsia" w:ascii="宋体" w:hAnsi="宋体" w:eastAsia="宋体" w:cs="宋体"/>
          <w:sz w:val="36"/>
          <w:szCs w:val="28"/>
          <w:lang w:eastAsia="zh-CN"/>
        </w:rPr>
      </w:pPr>
      <w:r>
        <w:rPr>
          <w:rFonts w:hint="eastAsia" w:ascii="宋体" w:hAnsi="宋体" w:cs="宋体"/>
          <w:b/>
          <w:sz w:val="48"/>
          <w:szCs w:val="48"/>
          <w:lang w:eastAsia="zh-CN"/>
        </w:rPr>
        <w:t>信阳市羊山新区规划事务中心北湖春天美好生活广场北侧地块及石子岗安置小区南侧地块膨土质粘土岩勘探工程</w:t>
      </w:r>
    </w:p>
    <w:p w14:paraId="3257CEC3">
      <w:pPr>
        <w:pStyle w:val="31"/>
        <w:ind w:firstLine="0" w:firstLineChars="0"/>
        <w:rPr>
          <w:rFonts w:hint="eastAsia" w:ascii="宋体" w:hAnsi="宋体" w:eastAsia="宋体" w:cs="宋体"/>
          <w:b/>
          <w:bCs/>
          <w:sz w:val="40"/>
          <w:szCs w:val="40"/>
        </w:rPr>
      </w:pPr>
    </w:p>
    <w:p w14:paraId="1342482E">
      <w:pPr>
        <w:rPr>
          <w:rFonts w:hint="eastAsia" w:ascii="宋体" w:hAnsi="宋体" w:eastAsia="宋体" w:cs="宋体"/>
        </w:rPr>
      </w:pPr>
    </w:p>
    <w:p w14:paraId="7FD094AF">
      <w:pPr>
        <w:jc w:val="center"/>
        <w:rPr>
          <w:rFonts w:hint="eastAsia" w:ascii="宋体" w:hAnsi="宋体" w:eastAsia="宋体" w:cs="宋体"/>
          <w:b/>
          <w:sz w:val="72"/>
          <w:szCs w:val="144"/>
        </w:rPr>
      </w:pPr>
      <w:r>
        <w:rPr>
          <w:rFonts w:hint="eastAsia" w:ascii="宋体" w:hAnsi="宋体" w:eastAsia="宋体" w:cs="宋体"/>
          <w:b/>
          <w:sz w:val="72"/>
          <w:szCs w:val="144"/>
        </w:rPr>
        <w:t xml:space="preserve"> 竞争性磋商文件</w:t>
      </w:r>
    </w:p>
    <w:p w14:paraId="06D02C6A">
      <w:pPr>
        <w:pStyle w:val="32"/>
        <w:ind w:left="0" w:leftChars="0" w:firstLine="0" w:firstLineChars="0"/>
        <w:jc w:val="center"/>
        <w:rPr>
          <w:rFonts w:hint="eastAsia" w:ascii="宋体" w:hAnsi="宋体" w:eastAsia="宋体" w:cs="宋体"/>
        </w:rPr>
      </w:pPr>
    </w:p>
    <w:p w14:paraId="4A5B1570">
      <w:pPr>
        <w:pStyle w:val="32"/>
        <w:ind w:left="0" w:leftChars="0" w:firstLine="0" w:firstLineChars="0"/>
        <w:jc w:val="center"/>
        <w:rPr>
          <w:rFonts w:hint="default" w:ascii="宋体" w:hAnsi="宋体" w:eastAsia="宋体" w:cs="宋体"/>
          <w:b/>
          <w:bCs/>
          <w:sz w:val="28"/>
          <w:szCs w:val="21"/>
          <w:lang w:val="en-US" w:eastAsia="zh-CN"/>
        </w:rPr>
      </w:pPr>
      <w:r>
        <w:rPr>
          <w:rFonts w:hint="eastAsia" w:ascii="宋体" w:hAnsi="宋体" w:eastAsia="宋体" w:cs="宋体"/>
          <w:b/>
          <w:bCs/>
          <w:sz w:val="28"/>
          <w:szCs w:val="21"/>
        </w:rPr>
        <w:t>采购编号：</w:t>
      </w:r>
      <w:r>
        <w:rPr>
          <w:rFonts w:hint="eastAsia" w:ascii="宋体" w:hAnsi="宋体" w:cs="宋体"/>
          <w:b/>
          <w:bCs/>
          <w:sz w:val="28"/>
          <w:szCs w:val="21"/>
          <w:lang w:val="en-US" w:eastAsia="zh-CN"/>
        </w:rPr>
        <w:t>羊</w:t>
      </w:r>
      <w:r>
        <w:rPr>
          <w:rFonts w:hint="eastAsia" w:ascii="宋体" w:hAnsi="宋体" w:eastAsia="宋体" w:cs="宋体"/>
          <w:b/>
          <w:bCs/>
          <w:sz w:val="28"/>
          <w:szCs w:val="21"/>
        </w:rPr>
        <w:t>财磋商采购-202</w:t>
      </w:r>
      <w:r>
        <w:rPr>
          <w:rFonts w:hint="eastAsia" w:ascii="宋体" w:hAnsi="宋体" w:cs="宋体"/>
          <w:b/>
          <w:bCs/>
          <w:sz w:val="28"/>
          <w:szCs w:val="21"/>
          <w:lang w:val="en-US" w:eastAsia="zh-CN"/>
        </w:rPr>
        <w:t>6</w:t>
      </w:r>
      <w:r>
        <w:rPr>
          <w:rFonts w:hint="eastAsia" w:ascii="宋体" w:hAnsi="宋体" w:eastAsia="宋体" w:cs="宋体"/>
          <w:b/>
          <w:bCs/>
          <w:sz w:val="28"/>
          <w:szCs w:val="21"/>
        </w:rPr>
        <w:t>-</w:t>
      </w:r>
      <w:r>
        <w:rPr>
          <w:rFonts w:hint="eastAsia" w:ascii="宋体" w:hAnsi="宋体" w:cs="宋体"/>
          <w:b/>
          <w:bCs/>
          <w:sz w:val="28"/>
          <w:szCs w:val="21"/>
          <w:lang w:val="en-US" w:eastAsia="zh-CN"/>
        </w:rPr>
        <w:t>24</w:t>
      </w:r>
    </w:p>
    <w:p w14:paraId="07D3D731">
      <w:pPr>
        <w:pStyle w:val="31"/>
        <w:ind w:firstLine="210"/>
        <w:rPr>
          <w:rFonts w:hint="eastAsia" w:ascii="宋体" w:hAnsi="宋体" w:eastAsia="宋体" w:cs="宋体"/>
        </w:rPr>
      </w:pPr>
    </w:p>
    <w:p w14:paraId="14138233">
      <w:pPr>
        <w:pStyle w:val="31"/>
        <w:ind w:firstLine="321"/>
        <w:jc w:val="center"/>
        <w:rPr>
          <w:rFonts w:hint="eastAsia" w:ascii="宋体" w:hAnsi="宋体" w:eastAsia="宋体" w:cs="宋体"/>
        </w:rPr>
      </w:pPr>
    </w:p>
    <w:p w14:paraId="06B9F924">
      <w:pPr>
        <w:pStyle w:val="31"/>
        <w:ind w:firstLine="321"/>
        <w:jc w:val="center"/>
        <w:rPr>
          <w:rFonts w:hint="eastAsia" w:ascii="宋体" w:hAnsi="宋体" w:eastAsia="宋体" w:cs="宋体"/>
        </w:rPr>
      </w:pPr>
    </w:p>
    <w:p w14:paraId="5177CFD7">
      <w:pPr>
        <w:pStyle w:val="31"/>
        <w:ind w:firstLine="321"/>
        <w:jc w:val="center"/>
        <w:rPr>
          <w:rFonts w:hint="eastAsia" w:ascii="宋体" w:hAnsi="宋体" w:eastAsia="宋体" w:cs="宋体"/>
        </w:rPr>
      </w:pPr>
    </w:p>
    <w:p w14:paraId="0703C32E">
      <w:pPr>
        <w:pStyle w:val="31"/>
        <w:ind w:firstLine="321"/>
        <w:jc w:val="center"/>
        <w:rPr>
          <w:rFonts w:hint="eastAsia" w:ascii="宋体" w:hAnsi="宋体" w:eastAsia="宋体" w:cs="宋体"/>
        </w:rPr>
      </w:pPr>
    </w:p>
    <w:p w14:paraId="3EC0008F">
      <w:pPr>
        <w:pStyle w:val="31"/>
        <w:ind w:firstLine="321"/>
        <w:jc w:val="center"/>
        <w:rPr>
          <w:rFonts w:hint="eastAsia" w:ascii="宋体" w:hAnsi="宋体" w:eastAsia="宋体" w:cs="宋体"/>
        </w:rPr>
      </w:pPr>
    </w:p>
    <w:p w14:paraId="4B43EB8E">
      <w:pPr>
        <w:pStyle w:val="31"/>
        <w:ind w:firstLine="321"/>
        <w:jc w:val="center"/>
        <w:rPr>
          <w:rFonts w:hint="eastAsia" w:ascii="宋体" w:hAnsi="宋体" w:eastAsia="宋体" w:cs="宋体"/>
        </w:rPr>
      </w:pPr>
    </w:p>
    <w:p w14:paraId="357D4847">
      <w:pPr>
        <w:pStyle w:val="31"/>
        <w:ind w:firstLine="321"/>
        <w:jc w:val="center"/>
        <w:rPr>
          <w:rFonts w:hint="eastAsia" w:ascii="宋体" w:hAnsi="宋体" w:eastAsia="宋体" w:cs="宋体"/>
        </w:rPr>
      </w:pPr>
    </w:p>
    <w:p w14:paraId="66992A0F">
      <w:pPr>
        <w:pStyle w:val="31"/>
        <w:ind w:firstLine="321"/>
        <w:jc w:val="center"/>
        <w:rPr>
          <w:rFonts w:hint="eastAsia" w:ascii="宋体" w:hAnsi="宋体" w:eastAsia="宋体" w:cs="宋体"/>
        </w:rPr>
      </w:pPr>
    </w:p>
    <w:p w14:paraId="58297881">
      <w:pPr>
        <w:pStyle w:val="31"/>
        <w:ind w:firstLine="321"/>
        <w:jc w:val="center"/>
        <w:rPr>
          <w:rFonts w:hint="eastAsia" w:ascii="宋体" w:hAnsi="宋体" w:eastAsia="宋体" w:cs="宋体"/>
        </w:rPr>
      </w:pPr>
    </w:p>
    <w:p w14:paraId="0E9B0606">
      <w:pPr>
        <w:pStyle w:val="31"/>
        <w:ind w:firstLine="321"/>
        <w:jc w:val="center"/>
        <w:rPr>
          <w:rFonts w:hint="eastAsia" w:ascii="宋体" w:hAnsi="宋体" w:eastAsia="宋体" w:cs="宋体"/>
        </w:rPr>
      </w:pPr>
    </w:p>
    <w:p w14:paraId="1D2B99FA">
      <w:pPr>
        <w:pStyle w:val="31"/>
        <w:ind w:firstLine="210"/>
        <w:rPr>
          <w:rFonts w:hint="eastAsia" w:ascii="宋体" w:hAnsi="宋体" w:eastAsia="宋体" w:cs="宋体"/>
        </w:rPr>
      </w:pPr>
    </w:p>
    <w:p w14:paraId="7034FE77">
      <w:pPr>
        <w:jc w:val="center"/>
        <w:rPr>
          <w:rFonts w:hint="eastAsia" w:ascii="宋体" w:hAnsi="宋体" w:eastAsia="宋体" w:cs="宋体"/>
          <w:kern w:val="0"/>
          <w:sz w:val="24"/>
        </w:rPr>
      </w:pPr>
    </w:p>
    <w:p w14:paraId="5D40E8B8">
      <w:pPr>
        <w:pStyle w:val="31"/>
        <w:ind w:firstLine="240"/>
        <w:rPr>
          <w:rFonts w:hint="eastAsia" w:ascii="宋体" w:hAnsi="宋体" w:eastAsia="宋体" w:cs="宋体"/>
          <w:kern w:val="0"/>
          <w:sz w:val="24"/>
        </w:rPr>
      </w:pPr>
    </w:p>
    <w:p w14:paraId="7FE71AEF">
      <w:pPr>
        <w:pStyle w:val="31"/>
        <w:ind w:firstLine="240"/>
        <w:rPr>
          <w:rFonts w:hint="eastAsia" w:ascii="宋体" w:hAnsi="宋体" w:eastAsia="宋体" w:cs="宋体"/>
          <w:kern w:val="0"/>
          <w:sz w:val="24"/>
        </w:rPr>
      </w:pPr>
    </w:p>
    <w:p w14:paraId="43067CBB">
      <w:pPr>
        <w:pStyle w:val="31"/>
        <w:ind w:firstLine="240"/>
        <w:rPr>
          <w:rFonts w:hint="eastAsia" w:ascii="宋体" w:hAnsi="宋体" w:eastAsia="宋体" w:cs="宋体"/>
          <w:kern w:val="0"/>
          <w:sz w:val="24"/>
        </w:rPr>
      </w:pPr>
    </w:p>
    <w:p w14:paraId="2C081883">
      <w:pPr>
        <w:pStyle w:val="2"/>
        <w:rPr>
          <w:rFonts w:hint="eastAsia" w:ascii="宋体" w:hAnsi="宋体" w:eastAsia="宋体" w:cs="宋体"/>
        </w:rPr>
      </w:pPr>
    </w:p>
    <w:p w14:paraId="11C9CACB">
      <w:pPr>
        <w:pStyle w:val="31"/>
        <w:ind w:firstLine="0" w:firstLineChars="0"/>
        <w:rPr>
          <w:rFonts w:hint="eastAsia" w:ascii="宋体" w:hAnsi="宋体" w:eastAsia="宋体" w:cs="宋体"/>
          <w:sz w:val="24"/>
          <w:u w:val="single"/>
        </w:rPr>
      </w:pPr>
    </w:p>
    <w:p w14:paraId="3DB5A1CB">
      <w:pPr>
        <w:tabs>
          <w:tab w:val="left" w:pos="7560"/>
        </w:tabs>
        <w:autoSpaceDE w:val="0"/>
        <w:autoSpaceDN w:val="0"/>
        <w:adjustRightInd w:val="0"/>
        <w:spacing w:line="480" w:lineRule="auto"/>
        <w:jc w:val="left"/>
        <w:rPr>
          <w:rFonts w:hint="eastAsia" w:ascii="宋体" w:hAnsi="宋体" w:eastAsia="宋体" w:cs="宋体"/>
          <w:b/>
          <w:color w:val="000000"/>
          <w:spacing w:val="-20"/>
          <w:sz w:val="32"/>
          <w:szCs w:val="32"/>
          <w:lang w:val="zh-CN"/>
        </w:rPr>
      </w:pPr>
    </w:p>
    <w:p w14:paraId="02140E27">
      <w:pPr>
        <w:pStyle w:val="31"/>
        <w:rPr>
          <w:rFonts w:hint="eastAsia" w:ascii="宋体" w:hAnsi="宋体" w:eastAsia="宋体" w:cs="宋体"/>
          <w:lang w:val="zh-CN"/>
        </w:rPr>
      </w:pPr>
    </w:p>
    <w:p w14:paraId="6F73FA10">
      <w:pPr>
        <w:tabs>
          <w:tab w:val="left" w:pos="7560"/>
        </w:tabs>
        <w:autoSpaceDE w:val="0"/>
        <w:autoSpaceDN w:val="0"/>
        <w:adjustRightInd w:val="0"/>
        <w:spacing w:line="480" w:lineRule="auto"/>
        <w:ind w:firstLine="2250" w:firstLineChars="800"/>
        <w:jc w:val="both"/>
        <w:rPr>
          <w:rFonts w:hint="default" w:ascii="宋体" w:hAnsi="宋体" w:eastAsia="宋体" w:cs="宋体"/>
          <w:b/>
          <w:color w:val="000000"/>
          <w:spacing w:val="-20"/>
          <w:sz w:val="32"/>
          <w:szCs w:val="32"/>
          <w:lang w:val="en-US" w:eastAsia="zh-CN"/>
        </w:rPr>
      </w:pPr>
      <w:r>
        <w:rPr>
          <w:rFonts w:hint="eastAsia" w:ascii="宋体" w:hAnsi="宋体" w:eastAsia="宋体" w:cs="宋体"/>
          <w:b/>
          <w:color w:val="000000"/>
          <w:spacing w:val="-20"/>
          <w:sz w:val="32"/>
          <w:szCs w:val="32"/>
          <w:lang w:val="zh-CN"/>
        </w:rPr>
        <w:t>采</w:t>
      </w:r>
      <w:r>
        <w:rPr>
          <w:rFonts w:hint="eastAsia" w:ascii="宋体" w:hAnsi="宋体" w:eastAsia="宋体" w:cs="宋体"/>
          <w:b/>
          <w:color w:val="000000"/>
          <w:spacing w:val="-20"/>
          <w:sz w:val="32"/>
          <w:szCs w:val="32"/>
        </w:rPr>
        <w:t xml:space="preserve">    </w:t>
      </w:r>
      <w:r>
        <w:rPr>
          <w:rFonts w:hint="eastAsia" w:ascii="宋体" w:hAnsi="宋体" w:eastAsia="宋体" w:cs="宋体"/>
          <w:b/>
          <w:color w:val="000000"/>
          <w:spacing w:val="-20"/>
          <w:sz w:val="32"/>
          <w:szCs w:val="32"/>
          <w:lang w:val="zh-CN"/>
        </w:rPr>
        <w:t>购</w:t>
      </w:r>
      <w:r>
        <w:rPr>
          <w:rFonts w:hint="eastAsia" w:ascii="宋体" w:hAnsi="宋体" w:eastAsia="宋体" w:cs="宋体"/>
          <w:b/>
          <w:color w:val="000000"/>
          <w:spacing w:val="-20"/>
          <w:sz w:val="32"/>
          <w:szCs w:val="32"/>
        </w:rPr>
        <w:t xml:space="preserve">   </w:t>
      </w:r>
      <w:r>
        <w:rPr>
          <w:rFonts w:hint="eastAsia" w:ascii="宋体" w:hAnsi="宋体" w:eastAsia="宋体" w:cs="宋体"/>
          <w:b/>
          <w:color w:val="000000"/>
          <w:spacing w:val="-20"/>
          <w:sz w:val="32"/>
          <w:szCs w:val="32"/>
          <w:lang w:val="zh-CN"/>
        </w:rPr>
        <w:t>人：</w:t>
      </w:r>
      <w:r>
        <w:rPr>
          <w:rFonts w:hint="eastAsia" w:ascii="宋体" w:hAnsi="宋体" w:cs="宋体"/>
          <w:b/>
          <w:color w:val="000000"/>
          <w:spacing w:val="-20"/>
          <w:sz w:val="32"/>
          <w:szCs w:val="32"/>
          <w:lang w:val="zh-CN"/>
        </w:rPr>
        <w:t>信阳市羊山新区规划事务中心</w:t>
      </w:r>
    </w:p>
    <w:p w14:paraId="54AC9D23">
      <w:pPr>
        <w:tabs>
          <w:tab w:val="left" w:pos="7560"/>
        </w:tabs>
        <w:autoSpaceDE w:val="0"/>
        <w:autoSpaceDN w:val="0"/>
        <w:adjustRightInd w:val="0"/>
        <w:spacing w:line="480" w:lineRule="auto"/>
        <w:ind w:firstLine="2250" w:firstLineChars="800"/>
        <w:jc w:val="left"/>
        <w:rPr>
          <w:rFonts w:hint="eastAsia" w:ascii="宋体" w:hAnsi="宋体" w:eastAsia="宋体" w:cs="宋体"/>
          <w:b/>
          <w:color w:val="000000"/>
          <w:spacing w:val="-20"/>
          <w:sz w:val="32"/>
          <w:szCs w:val="32"/>
          <w:lang w:val="zh-CN"/>
        </w:rPr>
      </w:pPr>
      <w:r>
        <w:rPr>
          <w:rFonts w:hint="eastAsia" w:ascii="宋体" w:hAnsi="宋体" w:eastAsia="宋体" w:cs="宋体"/>
          <w:b/>
          <w:color w:val="000000"/>
          <w:spacing w:val="-20"/>
          <w:sz w:val="32"/>
          <w:szCs w:val="32"/>
          <w:lang w:val="zh-CN"/>
        </w:rPr>
        <w:t>采购代理机构：</w:t>
      </w:r>
      <w:r>
        <w:rPr>
          <w:rFonts w:hint="eastAsia" w:ascii="宋体" w:hAnsi="宋体" w:cs="宋体"/>
          <w:b/>
          <w:color w:val="000000"/>
          <w:spacing w:val="-20"/>
          <w:sz w:val="32"/>
          <w:szCs w:val="32"/>
          <w:lang w:val="zh-CN"/>
        </w:rPr>
        <w:t>河南众为工程项目管理有限公司</w:t>
      </w:r>
    </w:p>
    <w:p w14:paraId="046CB786">
      <w:pPr>
        <w:tabs>
          <w:tab w:val="left" w:pos="7560"/>
        </w:tabs>
        <w:autoSpaceDE w:val="0"/>
        <w:autoSpaceDN w:val="0"/>
        <w:adjustRightInd w:val="0"/>
        <w:spacing w:line="480" w:lineRule="auto"/>
        <w:ind w:firstLine="2250" w:firstLineChars="800"/>
        <w:jc w:val="left"/>
        <w:rPr>
          <w:rFonts w:hint="eastAsia" w:ascii="宋体" w:hAnsi="宋体" w:eastAsia="宋体" w:cs="宋体"/>
          <w:color w:val="000000"/>
        </w:rPr>
      </w:pPr>
      <w:r>
        <w:rPr>
          <w:rFonts w:hint="eastAsia" w:ascii="宋体" w:hAnsi="宋体" w:eastAsia="宋体" w:cs="宋体"/>
          <w:b/>
          <w:color w:val="000000"/>
          <w:spacing w:val="-20"/>
          <w:sz w:val="32"/>
          <w:szCs w:val="32"/>
        </w:rPr>
        <w:t xml:space="preserve">日         期：二 〇 二 </w:t>
      </w:r>
      <w:r>
        <w:rPr>
          <w:rFonts w:hint="eastAsia" w:ascii="宋体" w:hAnsi="宋体" w:cs="宋体"/>
          <w:b/>
          <w:color w:val="000000"/>
          <w:spacing w:val="-20"/>
          <w:sz w:val="32"/>
          <w:szCs w:val="32"/>
          <w:lang w:val="en-US" w:eastAsia="zh-CN"/>
        </w:rPr>
        <w:t xml:space="preserve">六 </w:t>
      </w:r>
      <w:r>
        <w:rPr>
          <w:rFonts w:hint="eastAsia" w:ascii="宋体" w:hAnsi="宋体" w:eastAsia="宋体" w:cs="宋体"/>
          <w:b/>
          <w:color w:val="000000"/>
          <w:spacing w:val="-20"/>
          <w:sz w:val="32"/>
          <w:szCs w:val="32"/>
        </w:rPr>
        <w:t xml:space="preserve">年 </w:t>
      </w:r>
      <w:r>
        <w:rPr>
          <w:rFonts w:hint="eastAsia" w:ascii="宋体" w:hAnsi="宋体" w:cs="宋体"/>
          <w:b/>
          <w:color w:val="000000"/>
          <w:spacing w:val="-20"/>
          <w:sz w:val="32"/>
          <w:szCs w:val="32"/>
          <w:lang w:val="en-US" w:eastAsia="zh-CN"/>
        </w:rPr>
        <w:t>九</w:t>
      </w:r>
      <w:r>
        <w:rPr>
          <w:rFonts w:hint="eastAsia" w:ascii="宋体" w:hAnsi="宋体" w:eastAsia="宋体" w:cs="宋体"/>
          <w:b/>
          <w:color w:val="000000"/>
          <w:spacing w:val="-20"/>
          <w:sz w:val="32"/>
          <w:szCs w:val="32"/>
        </w:rPr>
        <w:t>月</w:t>
      </w:r>
    </w:p>
    <w:p w14:paraId="4D49009D">
      <w:pPr>
        <w:jc w:val="center"/>
        <w:rPr>
          <w:rFonts w:hint="eastAsia" w:ascii="宋体" w:hAnsi="宋体" w:eastAsia="宋体" w:cs="宋体"/>
          <w:b/>
          <w:sz w:val="32"/>
          <w:szCs w:val="32"/>
        </w:rPr>
        <w:sectPr>
          <w:headerReference r:id="rId3" w:type="first"/>
          <w:pgSz w:w="11906" w:h="16838"/>
          <w:pgMar w:top="1247" w:right="1247" w:bottom="1247" w:left="1247" w:header="680" w:footer="964" w:gutter="0"/>
          <w:pgBorders>
            <w:top w:val="none" w:sz="0" w:space="0"/>
            <w:left w:val="none" w:sz="0" w:space="0"/>
            <w:bottom w:val="none" w:sz="0" w:space="0"/>
            <w:right w:val="none" w:sz="0" w:space="0"/>
          </w:pgBorders>
          <w:cols w:space="720" w:num="1"/>
          <w:docGrid w:linePitch="312" w:charSpace="0"/>
        </w:sectPr>
      </w:pPr>
    </w:p>
    <w:p w14:paraId="6DB713C0">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outlineLvl w:val="9"/>
        <w:rPr>
          <w:rFonts w:hint="eastAsia" w:ascii="宋体" w:hAnsi="宋体" w:eastAsia="宋体" w:cs="宋体"/>
          <w:sz w:val="32"/>
          <w:szCs w:val="32"/>
        </w:rPr>
      </w:pPr>
      <w:bookmarkStart w:id="0" w:name="_Toc14488"/>
      <w:bookmarkStart w:id="1" w:name="_Toc22859"/>
      <w:r>
        <w:rPr>
          <w:rFonts w:hint="eastAsia" w:ascii="宋体" w:hAnsi="宋体" w:eastAsia="宋体" w:cs="宋体"/>
          <w:b/>
          <w:bCs/>
          <w:sz w:val="36"/>
          <w:szCs w:val="36"/>
        </w:rPr>
        <w:t>致政府采购供应商和代理机构的一封信</w:t>
      </w:r>
    </w:p>
    <w:p w14:paraId="3537F223">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尊敬的政府采购供应商、代理机构：</w:t>
      </w:r>
    </w:p>
    <w:p w14:paraId="2FA6A704">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您好！非常感谢您一直以来对信阳市政府采购活动的关心和支持！</w:t>
      </w:r>
    </w:p>
    <w:p w14:paraId="23104EB5">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近年来，信阳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5D8F32F3">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0CF094EF">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尽管做了一些工作，但我们深知，离贵公司的期望还有差距。恳请贵公司对我们的工作提出宝贵意见，并持续给予关注、支持和监督！</w:t>
      </w:r>
    </w:p>
    <w:p w14:paraId="7C74ABE6">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凡涉及信阳市政府采购领域营商环境的任何问题，贵公司均可通过专线电话0376-6699123、电子邮箱czyszb228@163.com，与信阳市财政局优化营商环境办公室随时沟通交流，我们将竭诚为各位供应商服务，全力解决贵公司遇到的困难。</w:t>
      </w:r>
    </w:p>
    <w:p w14:paraId="3D4D3B4D">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r>
        <w:rPr>
          <w:rFonts w:hint="eastAsia" w:ascii="宋体" w:hAnsi="宋体" w:eastAsia="宋体" w:cs="宋体"/>
          <w:sz w:val="21"/>
          <w:szCs w:val="21"/>
        </w:rPr>
        <w:t>再次感谢贵公司对信阳市政府采购工作的关心和支持！</w:t>
      </w:r>
    </w:p>
    <w:p w14:paraId="7B35FFAA">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p>
    <w:p w14:paraId="193AAE56">
      <w:pPr>
        <w:keepNext w:val="0"/>
        <w:keepLines w:val="0"/>
        <w:pageBreakBefore w:val="0"/>
        <w:widowControl w:val="0"/>
        <w:kinsoku/>
        <w:wordWrap/>
        <w:overflowPunct/>
        <w:topLinePunct w:val="0"/>
        <w:autoSpaceDE/>
        <w:autoSpaceDN/>
        <w:bidi w:val="0"/>
        <w:adjustRightInd/>
        <w:snapToGrid/>
        <w:spacing w:line="420" w:lineRule="exact"/>
        <w:ind w:left="0" w:leftChars="0" w:firstLine="420" w:firstLineChars="200"/>
        <w:jc w:val="both"/>
        <w:textAlignment w:val="auto"/>
        <w:outlineLvl w:val="9"/>
        <w:rPr>
          <w:rFonts w:hint="eastAsia" w:ascii="宋体" w:hAnsi="宋体" w:eastAsia="宋体" w:cs="宋体"/>
          <w:sz w:val="21"/>
          <w:szCs w:val="21"/>
        </w:rPr>
      </w:pPr>
    </w:p>
    <w:p w14:paraId="5F17D110">
      <w:pPr>
        <w:pStyle w:val="11"/>
        <w:jc w:val="right"/>
        <w:rPr>
          <w:rFonts w:hint="eastAsia" w:ascii="宋体" w:hAnsi="宋体" w:eastAsia="宋体" w:cs="宋体"/>
          <w:sz w:val="21"/>
          <w:szCs w:val="21"/>
        </w:rPr>
      </w:pPr>
      <w:r>
        <w:rPr>
          <w:rFonts w:hint="eastAsia" w:ascii="宋体" w:hAnsi="宋体" w:eastAsia="宋体" w:cs="宋体"/>
          <w:sz w:val="21"/>
          <w:szCs w:val="21"/>
        </w:rPr>
        <w:t>信阳市财政局</w:t>
      </w:r>
    </w:p>
    <w:p w14:paraId="695C100A">
      <w:pPr>
        <w:pStyle w:val="11"/>
        <w:jc w:val="center"/>
        <w:rPr>
          <w:rFonts w:hint="eastAsia" w:ascii="宋体" w:hAnsi="宋体" w:eastAsia="宋体" w:cs="宋体"/>
          <w:sz w:val="21"/>
          <w:szCs w:val="21"/>
        </w:rPr>
      </w:pPr>
    </w:p>
    <w:p w14:paraId="29BE7435">
      <w:pPr>
        <w:pStyle w:val="11"/>
        <w:jc w:val="center"/>
        <w:rPr>
          <w:rFonts w:hint="eastAsia" w:ascii="宋体" w:hAnsi="宋体" w:eastAsia="宋体" w:cs="宋体"/>
          <w:sz w:val="21"/>
          <w:szCs w:val="21"/>
        </w:rPr>
      </w:pPr>
    </w:p>
    <w:p w14:paraId="56B7D067">
      <w:pPr>
        <w:pStyle w:val="11"/>
        <w:jc w:val="center"/>
        <w:rPr>
          <w:rFonts w:hint="eastAsia" w:ascii="宋体" w:hAnsi="宋体" w:eastAsia="宋体" w:cs="宋体"/>
          <w:sz w:val="21"/>
          <w:szCs w:val="21"/>
        </w:rPr>
      </w:pPr>
    </w:p>
    <w:p w14:paraId="6C820D34">
      <w:pPr>
        <w:pStyle w:val="11"/>
        <w:jc w:val="center"/>
        <w:rPr>
          <w:rFonts w:hint="eastAsia" w:ascii="宋体" w:hAnsi="宋体" w:eastAsia="宋体" w:cs="宋体"/>
          <w:sz w:val="21"/>
          <w:szCs w:val="21"/>
        </w:rPr>
      </w:pPr>
    </w:p>
    <w:p w14:paraId="5272BF9D">
      <w:pPr>
        <w:pStyle w:val="11"/>
        <w:jc w:val="center"/>
        <w:rPr>
          <w:rFonts w:hint="eastAsia" w:ascii="宋体" w:hAnsi="宋体" w:eastAsia="宋体" w:cs="宋体"/>
          <w:sz w:val="21"/>
          <w:szCs w:val="21"/>
        </w:rPr>
      </w:pPr>
    </w:p>
    <w:p w14:paraId="10E107B3">
      <w:pPr>
        <w:pStyle w:val="11"/>
        <w:jc w:val="center"/>
        <w:rPr>
          <w:rFonts w:hint="eastAsia" w:ascii="宋体" w:hAnsi="宋体" w:eastAsia="宋体" w:cs="宋体"/>
          <w:sz w:val="21"/>
          <w:szCs w:val="21"/>
        </w:rPr>
      </w:pPr>
    </w:p>
    <w:p w14:paraId="7A9CC1C5">
      <w:pPr>
        <w:pStyle w:val="11"/>
        <w:jc w:val="center"/>
        <w:rPr>
          <w:rFonts w:hint="eastAsia" w:ascii="宋体" w:hAnsi="宋体" w:eastAsia="宋体" w:cs="宋体"/>
          <w:b/>
          <w:color w:val="000000"/>
          <w:sz w:val="32"/>
        </w:rPr>
      </w:pPr>
      <w:r>
        <w:rPr>
          <w:rFonts w:hint="eastAsia" w:ascii="宋体" w:hAnsi="宋体" w:eastAsia="宋体" w:cs="宋体"/>
          <w:b/>
          <w:color w:val="auto"/>
          <w:sz w:val="32"/>
        </w:rPr>
        <w:t>目     录</w:t>
      </w:r>
    </w:p>
    <w:p w14:paraId="50B60F2B">
      <w:pPr>
        <w:pStyle w:val="81"/>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宋体" w:hAnsi="宋体" w:eastAsia="宋体" w:cs="宋体"/>
          <w:bCs/>
          <w:sz w:val="24"/>
          <w:szCs w:val="24"/>
          <w:lang w:val="en-US" w:eastAsia="zh-CN"/>
        </w:rPr>
      </w:pPr>
      <w:r>
        <w:rPr>
          <w:rFonts w:hint="eastAsia" w:ascii="宋体" w:hAnsi="宋体" w:eastAsia="宋体" w:cs="宋体"/>
          <w:sz w:val="24"/>
          <w:szCs w:val="24"/>
          <w:lang w:val="en-US" w:eastAsia="zh-CN"/>
        </w:rPr>
        <w:t>第</w:t>
      </w:r>
      <w:r>
        <w:rPr>
          <w:rFonts w:hint="eastAsia" w:ascii="宋体" w:hAnsi="宋体" w:eastAsia="宋体" w:cs="宋体"/>
          <w:sz w:val="24"/>
          <w:szCs w:val="24"/>
        </w:rPr>
        <w:t xml:space="preserve">一章 </w:t>
      </w:r>
      <w:r>
        <w:rPr>
          <w:rFonts w:hint="eastAsia" w:ascii="宋体" w:hAnsi="宋体" w:eastAsia="宋体" w:cs="宋体"/>
          <w:sz w:val="24"/>
          <w:szCs w:val="24"/>
          <w:lang w:eastAsia="zh-CN"/>
        </w:rPr>
        <w:t>竞争性</w:t>
      </w:r>
      <w:r>
        <w:rPr>
          <w:rFonts w:hint="eastAsia" w:ascii="宋体" w:hAnsi="宋体" w:eastAsia="宋体" w:cs="宋体"/>
          <w:bCs/>
          <w:sz w:val="24"/>
          <w:szCs w:val="24"/>
        </w:rPr>
        <w:t>磋商公告</w:t>
      </w:r>
      <w:r>
        <w:rPr>
          <w:rFonts w:hint="eastAsia" w:ascii="宋体" w:hAnsi="宋体" w:eastAsia="宋体" w:cs="宋体"/>
          <w:bCs/>
          <w:sz w:val="24"/>
          <w:szCs w:val="24"/>
          <w:lang w:val="en-US" w:eastAsia="zh-CN"/>
        </w:rPr>
        <w:t>........................................................1</w:t>
      </w:r>
    </w:p>
    <w:p w14:paraId="71A54A0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lang w:val="en-US"/>
        </w:rPr>
      </w:pPr>
      <w:r>
        <w:rPr>
          <w:rFonts w:hint="eastAsia" w:ascii="宋体" w:hAnsi="宋体" w:eastAsia="宋体" w:cs="宋体"/>
          <w:bCs/>
          <w:sz w:val="24"/>
          <w:szCs w:val="24"/>
        </w:rPr>
        <w:t>第二章 供应商须知</w:t>
      </w:r>
      <w:r>
        <w:rPr>
          <w:rFonts w:hint="eastAsia" w:ascii="宋体" w:hAnsi="宋体" w:eastAsia="宋体" w:cs="宋体"/>
          <w:bCs/>
          <w:sz w:val="24"/>
          <w:szCs w:val="24"/>
          <w:lang w:val="en-US" w:eastAsia="zh-CN"/>
        </w:rPr>
        <w:t>............................................................</w:t>
      </w:r>
      <w:r>
        <w:rPr>
          <w:rFonts w:hint="eastAsia" w:ascii="宋体" w:hAnsi="宋体" w:cs="宋体"/>
          <w:bCs/>
          <w:sz w:val="24"/>
          <w:szCs w:val="24"/>
          <w:lang w:val="en-US" w:eastAsia="zh-CN"/>
        </w:rPr>
        <w:t>6</w:t>
      </w:r>
    </w:p>
    <w:p w14:paraId="4875EAE3">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kern w:val="44"/>
          <w:sz w:val="24"/>
          <w:szCs w:val="24"/>
          <w:lang w:val="en-US"/>
        </w:rPr>
      </w:pPr>
      <w:r>
        <w:rPr>
          <w:rFonts w:hint="eastAsia" w:ascii="宋体" w:hAnsi="宋体" w:eastAsia="宋体" w:cs="宋体"/>
          <w:kern w:val="44"/>
          <w:sz w:val="24"/>
          <w:szCs w:val="24"/>
        </w:rPr>
        <w:t>第三章 评审办法（综合评分法）</w:t>
      </w:r>
      <w:r>
        <w:rPr>
          <w:rFonts w:hint="eastAsia" w:ascii="宋体" w:hAnsi="宋体" w:eastAsia="宋体" w:cs="宋体"/>
          <w:bCs/>
          <w:sz w:val="24"/>
          <w:szCs w:val="24"/>
          <w:lang w:val="en-US" w:eastAsia="zh-CN"/>
        </w:rPr>
        <w:t>...............................................2</w:t>
      </w:r>
      <w:r>
        <w:rPr>
          <w:rFonts w:hint="eastAsia" w:ascii="宋体" w:hAnsi="宋体" w:cs="宋体"/>
          <w:bCs/>
          <w:sz w:val="24"/>
          <w:szCs w:val="24"/>
          <w:lang w:val="en-US" w:eastAsia="zh-CN"/>
        </w:rPr>
        <w:t>4</w:t>
      </w:r>
    </w:p>
    <w:p w14:paraId="6DBCCB91">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bCs/>
          <w:sz w:val="24"/>
          <w:szCs w:val="24"/>
          <w:lang w:val="en-US"/>
        </w:rPr>
      </w:pPr>
      <w:r>
        <w:rPr>
          <w:rFonts w:hint="eastAsia" w:ascii="宋体" w:hAnsi="宋体" w:eastAsia="宋体" w:cs="宋体"/>
          <w:bCs/>
          <w:sz w:val="24"/>
          <w:szCs w:val="24"/>
        </w:rPr>
        <w:t>第四章 合同主要条款</w:t>
      </w:r>
      <w:r>
        <w:rPr>
          <w:rFonts w:hint="eastAsia" w:ascii="宋体" w:hAnsi="宋体" w:eastAsia="宋体" w:cs="宋体"/>
          <w:bCs/>
          <w:sz w:val="24"/>
          <w:szCs w:val="24"/>
          <w:lang w:eastAsia="zh-CN"/>
        </w:rPr>
        <w:t>及格式</w:t>
      </w:r>
      <w:r>
        <w:rPr>
          <w:rFonts w:hint="eastAsia" w:ascii="宋体" w:hAnsi="宋体" w:eastAsia="宋体" w:cs="宋体"/>
          <w:bCs/>
          <w:sz w:val="24"/>
          <w:szCs w:val="24"/>
          <w:lang w:val="en-US" w:eastAsia="zh-CN"/>
        </w:rPr>
        <w:t>...................................................</w:t>
      </w:r>
      <w:r>
        <w:rPr>
          <w:rFonts w:hint="eastAsia" w:ascii="宋体" w:hAnsi="宋体" w:cs="宋体"/>
          <w:bCs/>
          <w:sz w:val="24"/>
          <w:szCs w:val="24"/>
          <w:lang w:val="en-US" w:eastAsia="zh-CN"/>
        </w:rPr>
        <w:t>31</w:t>
      </w:r>
    </w:p>
    <w:p w14:paraId="2C2C2FBB">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bCs/>
          <w:sz w:val="24"/>
          <w:szCs w:val="24"/>
          <w:lang w:val="en-US"/>
        </w:rPr>
      </w:pPr>
      <w:r>
        <w:rPr>
          <w:rFonts w:hint="eastAsia" w:ascii="宋体" w:hAnsi="宋体" w:eastAsia="宋体" w:cs="宋体"/>
          <w:bCs/>
          <w:sz w:val="24"/>
          <w:szCs w:val="24"/>
        </w:rPr>
        <w:t xml:space="preserve">第五章 </w:t>
      </w:r>
      <w:r>
        <w:rPr>
          <w:rFonts w:hint="eastAsia" w:ascii="宋体" w:hAnsi="宋体" w:eastAsia="宋体" w:cs="宋体"/>
          <w:bCs/>
          <w:sz w:val="24"/>
          <w:szCs w:val="24"/>
          <w:lang w:eastAsia="zh-CN"/>
        </w:rPr>
        <w:t>采购</w:t>
      </w:r>
      <w:r>
        <w:rPr>
          <w:rFonts w:hint="eastAsia" w:ascii="宋体" w:hAnsi="宋体" w:eastAsia="宋体" w:cs="宋体"/>
          <w:bCs/>
          <w:sz w:val="24"/>
          <w:szCs w:val="24"/>
          <w:lang w:val="en-US" w:eastAsia="zh-CN"/>
        </w:rPr>
        <w:t>服务内容及要求...................................................</w:t>
      </w:r>
      <w:r>
        <w:rPr>
          <w:rFonts w:hint="eastAsia" w:ascii="宋体" w:hAnsi="宋体" w:cs="宋体"/>
          <w:bCs/>
          <w:sz w:val="24"/>
          <w:szCs w:val="24"/>
          <w:lang w:val="en-US" w:eastAsia="zh-CN"/>
        </w:rPr>
        <w:t>34</w:t>
      </w:r>
    </w:p>
    <w:p w14:paraId="0EFCCC8A">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宋体" w:hAnsi="宋体" w:eastAsia="宋体" w:cs="宋体"/>
          <w:bCs/>
          <w:sz w:val="24"/>
          <w:szCs w:val="24"/>
          <w:lang w:val="en-US" w:eastAsia="zh-CN"/>
        </w:rPr>
      </w:pPr>
      <w:r>
        <w:rPr>
          <w:rFonts w:hint="eastAsia" w:ascii="宋体" w:hAnsi="宋体" w:eastAsia="宋体" w:cs="宋体"/>
          <w:bCs/>
          <w:sz w:val="24"/>
          <w:szCs w:val="24"/>
        </w:rPr>
        <w:t xml:space="preserve">第六章 </w:t>
      </w:r>
      <w:r>
        <w:rPr>
          <w:rFonts w:hint="eastAsia" w:ascii="宋体" w:hAnsi="宋体" w:eastAsia="宋体" w:cs="宋体"/>
          <w:bCs/>
          <w:sz w:val="24"/>
          <w:szCs w:val="24"/>
          <w:lang w:eastAsia="zh-CN"/>
        </w:rPr>
        <w:t>竞争性磋商响应文件格式</w:t>
      </w:r>
      <w:r>
        <w:rPr>
          <w:rFonts w:hint="eastAsia" w:ascii="宋体" w:hAnsi="宋体" w:eastAsia="宋体" w:cs="宋体"/>
          <w:bCs/>
          <w:sz w:val="24"/>
          <w:szCs w:val="24"/>
          <w:lang w:val="en-US" w:eastAsia="zh-CN"/>
        </w:rPr>
        <w:t>...............................................</w:t>
      </w:r>
      <w:r>
        <w:rPr>
          <w:rFonts w:hint="eastAsia" w:ascii="宋体" w:hAnsi="宋体" w:cs="宋体"/>
          <w:bCs/>
          <w:sz w:val="24"/>
          <w:szCs w:val="24"/>
          <w:lang w:val="en-US" w:eastAsia="zh-CN"/>
        </w:rPr>
        <w:t>35</w:t>
      </w:r>
    </w:p>
    <w:p w14:paraId="3D858FFD">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531E2F6F">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bookmarkStart w:id="779" w:name="_GoBack"/>
      <w:bookmarkEnd w:id="779"/>
    </w:p>
    <w:p w14:paraId="40FB6FB2">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01048003">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7FA6B6F9">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73248A42">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5C3C2E63">
      <w:pPr>
        <w:rPr>
          <w:rFonts w:hint="eastAsia" w:ascii="宋体" w:hAnsi="宋体" w:eastAsia="宋体" w:cs="宋体"/>
          <w:b/>
          <w:bCs/>
          <w:spacing w:val="14"/>
          <w:sz w:val="28"/>
          <w:szCs w:val="28"/>
        </w:rPr>
      </w:pPr>
    </w:p>
    <w:p w14:paraId="6A83D4C1">
      <w:pPr>
        <w:pStyle w:val="31"/>
        <w:rPr>
          <w:rFonts w:hint="eastAsia" w:ascii="宋体" w:hAnsi="宋体" w:eastAsia="宋体" w:cs="宋体"/>
          <w:b/>
          <w:bCs/>
          <w:spacing w:val="14"/>
          <w:sz w:val="28"/>
          <w:szCs w:val="28"/>
        </w:rPr>
      </w:pPr>
    </w:p>
    <w:p w14:paraId="3697C741">
      <w:pPr>
        <w:rPr>
          <w:rFonts w:hint="eastAsia" w:ascii="宋体" w:hAnsi="宋体" w:eastAsia="宋体" w:cs="宋体"/>
          <w:b/>
          <w:bCs/>
          <w:spacing w:val="14"/>
          <w:sz w:val="28"/>
          <w:szCs w:val="28"/>
        </w:rPr>
      </w:pPr>
    </w:p>
    <w:p w14:paraId="5AE67B61">
      <w:pPr>
        <w:pStyle w:val="31"/>
        <w:rPr>
          <w:rFonts w:hint="eastAsia" w:ascii="宋体" w:hAnsi="宋体" w:eastAsia="宋体" w:cs="宋体"/>
          <w:b/>
          <w:bCs/>
          <w:spacing w:val="14"/>
          <w:sz w:val="28"/>
          <w:szCs w:val="28"/>
        </w:rPr>
      </w:pPr>
    </w:p>
    <w:p w14:paraId="53B88E80">
      <w:pPr>
        <w:rPr>
          <w:rFonts w:hint="eastAsia" w:ascii="宋体" w:hAnsi="宋体" w:eastAsia="宋体" w:cs="宋体"/>
          <w:b/>
          <w:bCs/>
          <w:spacing w:val="14"/>
          <w:sz w:val="28"/>
          <w:szCs w:val="28"/>
        </w:rPr>
      </w:pPr>
    </w:p>
    <w:p w14:paraId="72E7D772">
      <w:pPr>
        <w:pStyle w:val="31"/>
        <w:rPr>
          <w:rFonts w:hint="eastAsia" w:ascii="宋体" w:hAnsi="宋体" w:eastAsia="宋体" w:cs="宋体"/>
          <w:b/>
          <w:bCs/>
          <w:spacing w:val="14"/>
          <w:sz w:val="28"/>
          <w:szCs w:val="28"/>
        </w:rPr>
      </w:pPr>
    </w:p>
    <w:p w14:paraId="75388122">
      <w:pPr>
        <w:rPr>
          <w:rFonts w:hint="eastAsia" w:ascii="宋体" w:hAnsi="宋体" w:eastAsia="宋体" w:cs="宋体"/>
          <w:b/>
          <w:bCs/>
          <w:spacing w:val="14"/>
          <w:sz w:val="28"/>
          <w:szCs w:val="28"/>
        </w:rPr>
      </w:pPr>
    </w:p>
    <w:p w14:paraId="6B2FDA1A">
      <w:pPr>
        <w:pStyle w:val="31"/>
        <w:rPr>
          <w:rFonts w:hint="eastAsia" w:ascii="宋体" w:hAnsi="宋体" w:eastAsia="宋体" w:cs="宋体"/>
          <w:b/>
          <w:bCs/>
          <w:spacing w:val="14"/>
          <w:sz w:val="28"/>
          <w:szCs w:val="28"/>
        </w:rPr>
      </w:pPr>
    </w:p>
    <w:p w14:paraId="3392057B">
      <w:pPr>
        <w:rPr>
          <w:rFonts w:hint="eastAsia" w:ascii="宋体" w:hAnsi="宋体" w:eastAsia="宋体" w:cs="宋体"/>
          <w:b/>
          <w:bCs/>
          <w:spacing w:val="14"/>
          <w:sz w:val="28"/>
          <w:szCs w:val="28"/>
        </w:rPr>
      </w:pPr>
    </w:p>
    <w:p w14:paraId="21B60385">
      <w:pPr>
        <w:pStyle w:val="31"/>
        <w:rPr>
          <w:rFonts w:hint="eastAsia" w:ascii="宋体" w:hAnsi="宋体" w:eastAsia="宋体" w:cs="宋体"/>
          <w:b/>
          <w:bCs/>
          <w:spacing w:val="14"/>
          <w:sz w:val="28"/>
          <w:szCs w:val="28"/>
        </w:rPr>
      </w:pPr>
    </w:p>
    <w:p w14:paraId="28CDFB76">
      <w:pPr>
        <w:rPr>
          <w:rFonts w:hint="eastAsia" w:ascii="宋体" w:hAnsi="宋体" w:eastAsia="宋体" w:cs="宋体"/>
          <w:b/>
          <w:bCs/>
          <w:spacing w:val="14"/>
          <w:sz w:val="28"/>
          <w:szCs w:val="28"/>
        </w:rPr>
      </w:pPr>
    </w:p>
    <w:p w14:paraId="1BED14F9">
      <w:pPr>
        <w:pStyle w:val="31"/>
        <w:rPr>
          <w:rFonts w:hint="eastAsia" w:ascii="宋体" w:hAnsi="宋体" w:eastAsia="宋体" w:cs="宋体"/>
          <w:b/>
          <w:bCs/>
          <w:spacing w:val="14"/>
          <w:sz w:val="28"/>
          <w:szCs w:val="28"/>
        </w:rPr>
      </w:pPr>
    </w:p>
    <w:p w14:paraId="78BF428F">
      <w:pPr>
        <w:rPr>
          <w:rFonts w:hint="eastAsia" w:ascii="宋体" w:hAnsi="宋体" w:eastAsia="宋体" w:cs="宋体"/>
          <w:b/>
          <w:bCs/>
          <w:spacing w:val="14"/>
          <w:sz w:val="28"/>
          <w:szCs w:val="28"/>
        </w:rPr>
      </w:pPr>
    </w:p>
    <w:p w14:paraId="2DCF254C">
      <w:pPr>
        <w:pStyle w:val="31"/>
        <w:rPr>
          <w:rFonts w:hint="eastAsia" w:ascii="宋体" w:hAnsi="宋体" w:eastAsia="宋体" w:cs="宋体"/>
          <w:b/>
          <w:bCs/>
          <w:spacing w:val="14"/>
          <w:sz w:val="28"/>
          <w:szCs w:val="28"/>
        </w:rPr>
      </w:pPr>
    </w:p>
    <w:p w14:paraId="38C87D09">
      <w:pPr>
        <w:rPr>
          <w:rFonts w:hint="eastAsia" w:ascii="宋体" w:hAnsi="宋体" w:eastAsia="宋体" w:cs="宋体"/>
          <w:b/>
          <w:bCs/>
          <w:spacing w:val="14"/>
          <w:sz w:val="28"/>
          <w:szCs w:val="28"/>
        </w:rPr>
      </w:pPr>
    </w:p>
    <w:p w14:paraId="3DCB215C">
      <w:pPr>
        <w:pStyle w:val="31"/>
        <w:rPr>
          <w:rFonts w:hint="eastAsia" w:ascii="宋体" w:hAnsi="宋体" w:eastAsia="宋体" w:cs="宋体"/>
          <w:b/>
          <w:bCs/>
          <w:spacing w:val="14"/>
          <w:sz w:val="28"/>
          <w:szCs w:val="28"/>
        </w:rPr>
      </w:pPr>
    </w:p>
    <w:p w14:paraId="7FC1C651">
      <w:pPr>
        <w:rPr>
          <w:rFonts w:hint="eastAsia" w:ascii="宋体" w:hAnsi="宋体" w:eastAsia="宋体" w:cs="宋体"/>
          <w:b/>
          <w:bCs/>
          <w:spacing w:val="14"/>
          <w:sz w:val="28"/>
          <w:szCs w:val="28"/>
        </w:rPr>
      </w:pPr>
    </w:p>
    <w:p w14:paraId="3EF925D6">
      <w:pPr>
        <w:pStyle w:val="31"/>
        <w:rPr>
          <w:rFonts w:hint="eastAsia" w:ascii="宋体" w:hAnsi="宋体" w:eastAsia="宋体" w:cs="宋体"/>
          <w:b/>
          <w:bCs/>
          <w:spacing w:val="14"/>
          <w:sz w:val="28"/>
          <w:szCs w:val="28"/>
        </w:rPr>
      </w:pPr>
    </w:p>
    <w:p w14:paraId="0BE28692">
      <w:pPr>
        <w:rPr>
          <w:rFonts w:hint="eastAsia"/>
        </w:rPr>
      </w:pPr>
    </w:p>
    <w:p w14:paraId="10CEC385">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0D224220">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40D14600">
      <w:pPr>
        <w:pStyle w:val="81"/>
        <w:keepNext w:val="0"/>
        <w:keepLines w:val="0"/>
        <w:pageBreakBefore w:val="0"/>
        <w:kinsoku/>
        <w:wordWrap/>
        <w:overflowPunct/>
        <w:topLinePunct w:val="0"/>
        <w:autoSpaceDE/>
        <w:autoSpaceDN/>
        <w:bidi w:val="0"/>
        <w:spacing w:line="410" w:lineRule="exact"/>
        <w:jc w:val="center"/>
        <w:textAlignment w:val="auto"/>
        <w:rPr>
          <w:rFonts w:hint="eastAsia" w:ascii="宋体" w:hAnsi="宋体" w:eastAsia="宋体" w:cs="宋体"/>
          <w:b/>
          <w:bCs/>
          <w:spacing w:val="14"/>
          <w:sz w:val="28"/>
          <w:szCs w:val="28"/>
        </w:rPr>
      </w:pPr>
    </w:p>
    <w:p w14:paraId="1F9D7742">
      <w:pPr>
        <w:pStyle w:val="81"/>
        <w:keepNext w:val="0"/>
        <w:keepLines w:val="0"/>
        <w:pageBreakBefore w:val="0"/>
        <w:kinsoku/>
        <w:wordWrap/>
        <w:overflowPunct/>
        <w:topLinePunct w:val="0"/>
        <w:autoSpaceDE/>
        <w:autoSpaceDN/>
        <w:bidi w:val="0"/>
        <w:spacing w:line="410" w:lineRule="exact"/>
        <w:jc w:val="both"/>
        <w:textAlignment w:val="auto"/>
        <w:rPr>
          <w:rFonts w:hint="eastAsia" w:ascii="宋体" w:hAnsi="宋体" w:eastAsia="宋体" w:cs="宋体"/>
          <w:b/>
          <w:bCs/>
          <w:spacing w:val="14"/>
          <w:sz w:val="28"/>
          <w:szCs w:val="28"/>
        </w:rPr>
      </w:pPr>
    </w:p>
    <w:p w14:paraId="00171575">
      <w:pPr>
        <w:rPr>
          <w:rFonts w:hint="eastAsia" w:ascii="宋体" w:hAnsi="宋体" w:eastAsia="宋体" w:cs="宋体"/>
        </w:rPr>
      </w:pPr>
    </w:p>
    <w:p w14:paraId="395255B1">
      <w:pPr>
        <w:pStyle w:val="3"/>
        <w:keepLines w:val="0"/>
        <w:pageBreakBefore w:val="0"/>
        <w:widowControl w:val="0"/>
        <w:tabs>
          <w:tab w:val="center" w:pos="4252"/>
          <w:tab w:val="left" w:pos="6240"/>
        </w:tabs>
        <w:kinsoku/>
        <w:wordWrap/>
        <w:overflowPunct/>
        <w:topLinePunct w:val="0"/>
        <w:autoSpaceDE/>
        <w:autoSpaceDN/>
        <w:bidi w:val="0"/>
        <w:adjustRightInd w:val="0"/>
        <w:snapToGrid w:val="0"/>
        <w:spacing w:before="0" w:after="0" w:line="420" w:lineRule="exact"/>
        <w:jc w:val="center"/>
        <w:textAlignment w:val="auto"/>
        <w:rPr>
          <w:rFonts w:hint="eastAsia" w:ascii="宋体" w:hAnsi="宋体" w:eastAsia="宋体" w:cs="宋体"/>
          <w:kern w:val="2"/>
          <w:sz w:val="32"/>
          <w:szCs w:val="32"/>
        </w:rPr>
        <w:sectPr>
          <w:headerReference r:id="rId4" w:type="default"/>
          <w:footerReference r:id="rId5" w:type="default"/>
          <w:pgSz w:w="11906" w:h="16838"/>
          <w:pgMar w:top="1247" w:right="1247" w:bottom="1247" w:left="1247" w:header="680" w:footer="964" w:gutter="0"/>
          <w:pgBorders>
            <w:top w:val="none" w:sz="0" w:space="0"/>
            <w:left w:val="none" w:sz="0" w:space="0"/>
            <w:bottom w:val="none" w:sz="0" w:space="0"/>
            <w:right w:val="none" w:sz="0" w:space="0"/>
          </w:pgBorders>
          <w:pgNumType w:fmt="decimal" w:start="1"/>
          <w:cols w:space="720" w:num="1"/>
          <w:docGrid w:linePitch="312" w:charSpace="0"/>
        </w:sectPr>
      </w:pPr>
    </w:p>
    <w:p w14:paraId="21D43A42">
      <w:pPr>
        <w:pStyle w:val="3"/>
        <w:keepLines w:val="0"/>
        <w:pageBreakBefore w:val="0"/>
        <w:widowControl w:val="0"/>
        <w:tabs>
          <w:tab w:val="center" w:pos="4252"/>
          <w:tab w:val="left" w:pos="6240"/>
        </w:tabs>
        <w:kinsoku/>
        <w:wordWrap/>
        <w:overflowPunct/>
        <w:topLinePunct w:val="0"/>
        <w:autoSpaceDE/>
        <w:autoSpaceDN/>
        <w:bidi w:val="0"/>
        <w:adjustRightInd w:val="0"/>
        <w:snapToGrid w:val="0"/>
        <w:spacing w:before="0" w:after="0" w:line="420" w:lineRule="exact"/>
        <w:jc w:val="center"/>
        <w:textAlignment w:val="auto"/>
        <w:rPr>
          <w:rFonts w:hint="eastAsia" w:ascii="宋体" w:hAnsi="宋体" w:eastAsia="宋体" w:cs="宋体"/>
          <w:kern w:val="2"/>
          <w:sz w:val="32"/>
          <w:szCs w:val="32"/>
        </w:rPr>
      </w:pPr>
      <w:r>
        <w:rPr>
          <w:rFonts w:hint="eastAsia" w:ascii="宋体" w:hAnsi="宋体" w:eastAsia="宋体" w:cs="宋体"/>
          <w:kern w:val="2"/>
          <w:sz w:val="32"/>
          <w:szCs w:val="32"/>
        </w:rPr>
        <w:t>第一章 竞争性磋商公告</w:t>
      </w:r>
      <w:bookmarkEnd w:id="0"/>
    </w:p>
    <w:p w14:paraId="5D8704EE">
      <w:pPr>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宋体" w:hAnsi="宋体" w:eastAsia="宋体" w:cs="宋体"/>
          <w:b/>
          <w:bCs/>
          <w:sz w:val="24"/>
          <w:szCs w:val="32"/>
        </w:rPr>
      </w:pPr>
      <w:r>
        <w:rPr>
          <w:rFonts w:hint="eastAsia" w:ascii="宋体" w:hAnsi="宋体" w:eastAsia="宋体" w:cs="宋体"/>
          <w:b/>
          <w:bCs/>
          <w:sz w:val="24"/>
          <w:szCs w:val="32"/>
        </w:rPr>
        <w:t>项目概况</w:t>
      </w:r>
    </w:p>
    <w:p w14:paraId="2E23774D">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FF0000"/>
          <w:sz w:val="24"/>
          <w:szCs w:val="32"/>
        </w:rPr>
      </w:pPr>
      <w:r>
        <w:rPr>
          <w:rFonts w:hint="eastAsia" w:ascii="宋体" w:hAnsi="宋体" w:cs="宋体"/>
          <w:sz w:val="24"/>
          <w:szCs w:val="32"/>
          <w:u w:val="single"/>
          <w:lang w:eastAsia="zh-CN"/>
        </w:rPr>
        <w:t>信阳市羊山新区规划事务中心北湖春天美好生活广场北侧地块及石子岗安置小区南侧地块膨土质粘土岩勘探工程</w:t>
      </w:r>
      <w:r>
        <w:rPr>
          <w:rFonts w:hint="eastAsia" w:ascii="宋体" w:hAnsi="宋体" w:eastAsia="宋体" w:cs="宋体"/>
          <w:sz w:val="24"/>
          <w:szCs w:val="32"/>
          <w:u w:val="single"/>
          <w:lang w:eastAsia="zh-CN"/>
        </w:rPr>
        <w:t xml:space="preserve"> </w:t>
      </w:r>
      <w:r>
        <w:rPr>
          <w:rFonts w:hint="eastAsia" w:ascii="宋体" w:hAnsi="宋体" w:eastAsia="宋体" w:cs="宋体"/>
          <w:sz w:val="24"/>
          <w:szCs w:val="32"/>
        </w:rPr>
        <w:t>的潜在供应商应</w:t>
      </w:r>
      <w:r>
        <w:rPr>
          <w:rFonts w:hint="eastAsia" w:ascii="宋体" w:hAnsi="宋体" w:eastAsia="宋体" w:cs="宋体"/>
          <w:sz w:val="24"/>
          <w:szCs w:val="32"/>
          <w:u w:val="single"/>
          <w:lang w:eastAsia="zh-CN"/>
        </w:rPr>
        <w:t>登录“全国公共资源交易平台（河南省·信阳市）（https://ggzyjy.xinyang.gov.cn/）”网站，凭办理的企业身份认证锁（CA数字证书）登录会员系统</w:t>
      </w:r>
      <w:r>
        <w:rPr>
          <w:rFonts w:hint="eastAsia" w:ascii="宋体" w:hAnsi="宋体" w:eastAsia="宋体" w:cs="宋体"/>
          <w:sz w:val="24"/>
          <w:szCs w:val="32"/>
        </w:rPr>
        <w:t>获取</w:t>
      </w:r>
      <w:r>
        <w:rPr>
          <w:rFonts w:hint="eastAsia" w:ascii="宋体" w:hAnsi="宋体" w:eastAsia="宋体" w:cs="宋体"/>
          <w:sz w:val="24"/>
          <w:szCs w:val="32"/>
          <w:lang w:eastAsia="zh-CN"/>
        </w:rPr>
        <w:t>竞</w:t>
      </w:r>
      <w:r>
        <w:rPr>
          <w:rFonts w:hint="eastAsia" w:ascii="宋体" w:hAnsi="宋体" w:eastAsia="宋体" w:cs="宋体"/>
          <w:color w:val="auto"/>
          <w:sz w:val="24"/>
          <w:szCs w:val="32"/>
          <w:lang w:eastAsia="zh-CN"/>
        </w:rPr>
        <w:t>争性磋商文件</w:t>
      </w:r>
      <w:r>
        <w:rPr>
          <w:rFonts w:hint="eastAsia" w:ascii="宋体" w:hAnsi="宋体" w:eastAsia="宋体" w:cs="宋体"/>
          <w:color w:val="auto"/>
          <w:sz w:val="24"/>
          <w:szCs w:val="32"/>
        </w:rPr>
        <w:t>，并于</w:t>
      </w:r>
      <w:r>
        <w:rPr>
          <w:rFonts w:hint="eastAsia" w:ascii="宋体" w:hAnsi="宋体" w:eastAsia="宋体" w:cs="宋体"/>
          <w:color w:val="auto"/>
          <w:sz w:val="24"/>
          <w:szCs w:val="32"/>
          <w:u w:val="single"/>
        </w:rPr>
        <w:t>202</w:t>
      </w:r>
      <w:r>
        <w:rPr>
          <w:rFonts w:hint="eastAsia" w:ascii="宋体" w:hAnsi="宋体" w:cs="宋体"/>
          <w:color w:val="auto"/>
          <w:sz w:val="24"/>
          <w:szCs w:val="32"/>
          <w:u w:val="single"/>
          <w:lang w:val="en-US" w:eastAsia="zh-CN"/>
        </w:rPr>
        <w:t>6</w:t>
      </w:r>
      <w:r>
        <w:rPr>
          <w:rFonts w:hint="eastAsia" w:ascii="宋体" w:hAnsi="宋体" w:eastAsia="宋体" w:cs="宋体"/>
          <w:color w:val="auto"/>
          <w:sz w:val="24"/>
          <w:szCs w:val="32"/>
          <w:u w:val="single"/>
        </w:rPr>
        <w:t>年</w:t>
      </w:r>
      <w:r>
        <w:rPr>
          <w:rFonts w:hint="eastAsia" w:ascii="宋体" w:hAnsi="宋体" w:cs="宋体"/>
          <w:color w:val="auto"/>
          <w:sz w:val="24"/>
          <w:szCs w:val="32"/>
          <w:u w:val="single"/>
          <w:lang w:val="en-US" w:eastAsia="zh-CN"/>
        </w:rPr>
        <w:t>10</w:t>
      </w:r>
      <w:r>
        <w:rPr>
          <w:rFonts w:hint="eastAsia" w:ascii="宋体" w:hAnsi="宋体" w:eastAsia="宋体" w:cs="宋体"/>
          <w:color w:val="auto"/>
          <w:sz w:val="24"/>
          <w:szCs w:val="32"/>
          <w:u w:val="single"/>
        </w:rPr>
        <w:t>月</w:t>
      </w:r>
      <w:r>
        <w:rPr>
          <w:rFonts w:hint="eastAsia" w:ascii="宋体" w:hAnsi="宋体" w:cs="宋体"/>
          <w:color w:val="auto"/>
          <w:sz w:val="24"/>
          <w:szCs w:val="32"/>
          <w:u w:val="single"/>
          <w:lang w:val="en-US" w:eastAsia="zh-CN"/>
        </w:rPr>
        <w:t>13</w:t>
      </w:r>
      <w:r>
        <w:rPr>
          <w:rFonts w:hint="eastAsia" w:ascii="宋体" w:hAnsi="宋体" w:eastAsia="宋体" w:cs="宋体"/>
          <w:color w:val="auto"/>
          <w:sz w:val="24"/>
          <w:szCs w:val="32"/>
          <w:u w:val="single"/>
        </w:rPr>
        <w:t>日</w:t>
      </w:r>
      <w:r>
        <w:rPr>
          <w:rFonts w:hint="eastAsia" w:ascii="宋体" w:hAnsi="宋体" w:cs="宋体"/>
          <w:color w:val="auto"/>
          <w:sz w:val="24"/>
          <w:szCs w:val="32"/>
          <w:u w:val="single"/>
          <w:lang w:val="en-US" w:eastAsia="zh-CN"/>
        </w:rPr>
        <w:t>9</w:t>
      </w:r>
      <w:r>
        <w:rPr>
          <w:rFonts w:hint="eastAsia" w:ascii="宋体" w:hAnsi="宋体" w:eastAsia="宋体" w:cs="宋体"/>
          <w:color w:val="auto"/>
          <w:sz w:val="24"/>
          <w:szCs w:val="32"/>
          <w:u w:val="single"/>
          <w:lang w:val="en-US" w:eastAsia="zh-CN"/>
        </w:rPr>
        <w:t>时</w:t>
      </w:r>
      <w:r>
        <w:rPr>
          <w:rFonts w:hint="eastAsia" w:ascii="宋体" w:hAnsi="宋体" w:cs="宋体"/>
          <w:color w:val="auto"/>
          <w:sz w:val="24"/>
          <w:szCs w:val="32"/>
          <w:u w:val="single"/>
          <w:lang w:val="en-US" w:eastAsia="zh-CN"/>
        </w:rPr>
        <w:t>0</w:t>
      </w:r>
      <w:r>
        <w:rPr>
          <w:rFonts w:hint="eastAsia" w:ascii="宋体" w:hAnsi="宋体" w:eastAsia="宋体" w:cs="宋体"/>
          <w:color w:val="auto"/>
          <w:sz w:val="24"/>
          <w:szCs w:val="32"/>
          <w:u w:val="single"/>
        </w:rPr>
        <w:t>0分</w:t>
      </w:r>
      <w:r>
        <w:rPr>
          <w:rFonts w:hint="eastAsia" w:ascii="宋体" w:hAnsi="宋体" w:eastAsia="宋体" w:cs="宋体"/>
          <w:color w:val="auto"/>
          <w:sz w:val="24"/>
          <w:szCs w:val="32"/>
        </w:rPr>
        <w:t>（北京时间）前递交响应文件。</w:t>
      </w:r>
    </w:p>
    <w:p w14:paraId="4F0B4FF2">
      <w:pPr>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4"/>
          <w:szCs w:val="32"/>
        </w:rPr>
      </w:pPr>
      <w:r>
        <w:rPr>
          <w:rFonts w:hint="eastAsia" w:ascii="宋体" w:hAnsi="宋体" w:eastAsia="宋体" w:cs="宋体"/>
          <w:b/>
          <w:bCs/>
          <w:sz w:val="24"/>
          <w:szCs w:val="32"/>
        </w:rPr>
        <w:t>一、项目基本情况</w:t>
      </w:r>
    </w:p>
    <w:p w14:paraId="214AD537">
      <w:pPr>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sz w:val="24"/>
          <w:szCs w:val="32"/>
          <w:highlight w:val="none"/>
          <w:lang w:val="en-US" w:eastAsia="zh-CN"/>
        </w:rPr>
      </w:pPr>
      <w:r>
        <w:rPr>
          <w:rFonts w:hint="eastAsia" w:ascii="宋体" w:hAnsi="宋体" w:eastAsia="宋体" w:cs="宋体"/>
          <w:sz w:val="24"/>
          <w:szCs w:val="32"/>
        </w:rPr>
        <w:t>1</w:t>
      </w:r>
      <w:r>
        <w:rPr>
          <w:rFonts w:hint="eastAsia" w:ascii="宋体" w:hAnsi="宋体" w:eastAsia="宋体" w:cs="宋体"/>
          <w:sz w:val="24"/>
          <w:szCs w:val="32"/>
          <w:lang w:eastAsia="zh-CN"/>
        </w:rPr>
        <w:t>、</w:t>
      </w:r>
      <w:r>
        <w:rPr>
          <w:rFonts w:hint="eastAsia" w:ascii="宋体" w:hAnsi="宋体" w:eastAsia="宋体" w:cs="宋体"/>
          <w:sz w:val="24"/>
          <w:szCs w:val="32"/>
        </w:rPr>
        <w:t>项目编</w:t>
      </w:r>
      <w:r>
        <w:rPr>
          <w:rFonts w:hint="eastAsia" w:ascii="宋体" w:hAnsi="宋体" w:eastAsia="宋体" w:cs="宋体"/>
          <w:sz w:val="24"/>
          <w:szCs w:val="32"/>
          <w:highlight w:val="none"/>
        </w:rPr>
        <w:t>号：</w:t>
      </w:r>
      <w:r>
        <w:rPr>
          <w:rFonts w:hint="eastAsia" w:ascii="宋体" w:hAnsi="宋体" w:cs="宋体"/>
          <w:sz w:val="24"/>
          <w:szCs w:val="32"/>
          <w:highlight w:val="none"/>
          <w:lang w:val="en-US" w:eastAsia="zh-CN"/>
        </w:rPr>
        <w:t>羊</w:t>
      </w:r>
      <w:r>
        <w:rPr>
          <w:rFonts w:hint="eastAsia" w:ascii="宋体" w:hAnsi="宋体" w:cs="宋体"/>
          <w:sz w:val="24"/>
          <w:szCs w:val="32"/>
          <w:highlight w:val="none"/>
          <w:lang w:val="zh-CN"/>
        </w:rPr>
        <w:t>财磋商采购-202</w:t>
      </w:r>
      <w:r>
        <w:rPr>
          <w:rFonts w:hint="eastAsia" w:ascii="宋体" w:hAnsi="宋体" w:cs="宋体"/>
          <w:sz w:val="24"/>
          <w:szCs w:val="32"/>
          <w:highlight w:val="none"/>
          <w:lang w:val="en-US" w:eastAsia="zh-CN"/>
        </w:rPr>
        <w:t>6</w:t>
      </w:r>
      <w:r>
        <w:rPr>
          <w:rFonts w:hint="eastAsia" w:ascii="宋体" w:hAnsi="宋体" w:cs="宋体"/>
          <w:sz w:val="24"/>
          <w:szCs w:val="32"/>
          <w:highlight w:val="none"/>
          <w:lang w:val="zh-CN"/>
        </w:rPr>
        <w:t>-</w:t>
      </w:r>
      <w:r>
        <w:rPr>
          <w:rFonts w:hint="eastAsia" w:ascii="宋体" w:hAnsi="宋体" w:cs="宋体"/>
          <w:sz w:val="24"/>
          <w:szCs w:val="32"/>
          <w:highlight w:val="none"/>
          <w:lang w:val="en-US" w:eastAsia="zh-CN"/>
        </w:rPr>
        <w:t xml:space="preserve">24 </w:t>
      </w:r>
    </w:p>
    <w:p w14:paraId="3F6F3F29">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rPr>
        <w:t>2</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项目名称：</w:t>
      </w:r>
      <w:r>
        <w:rPr>
          <w:rFonts w:hint="eastAsia" w:ascii="宋体" w:hAnsi="宋体" w:cs="宋体"/>
          <w:sz w:val="24"/>
          <w:szCs w:val="32"/>
          <w:highlight w:val="none"/>
          <w:lang w:eastAsia="zh-CN"/>
        </w:rPr>
        <w:t>信阳市羊山新区规划事务中心北湖春天美好生活广场北侧地块及石子岗安置小区南侧地块膨土质粘土岩勘探工程</w:t>
      </w:r>
      <w:r>
        <w:rPr>
          <w:rFonts w:hint="eastAsia" w:ascii="宋体" w:hAnsi="宋体" w:eastAsia="宋体" w:cs="宋体"/>
          <w:sz w:val="24"/>
          <w:szCs w:val="32"/>
          <w:highlight w:val="none"/>
          <w:lang w:eastAsia="zh-CN"/>
        </w:rPr>
        <w:t xml:space="preserve"> </w:t>
      </w:r>
    </w:p>
    <w:p w14:paraId="0BFCE879">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3</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采购方式：竞争性磋商</w:t>
      </w:r>
    </w:p>
    <w:p w14:paraId="129AC537">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4</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预算金额：</w:t>
      </w:r>
      <w:r>
        <w:rPr>
          <w:rFonts w:hint="eastAsia" w:ascii="宋体" w:hAnsi="宋体" w:cs="宋体"/>
          <w:sz w:val="24"/>
          <w:szCs w:val="32"/>
          <w:highlight w:val="none"/>
          <w:lang w:val="en-US" w:eastAsia="zh-CN"/>
        </w:rPr>
        <w:t>907061.57</w:t>
      </w:r>
      <w:r>
        <w:rPr>
          <w:rFonts w:hint="eastAsia" w:ascii="宋体" w:hAnsi="宋体" w:eastAsia="宋体" w:cs="宋体"/>
          <w:sz w:val="24"/>
          <w:szCs w:val="32"/>
          <w:highlight w:val="none"/>
        </w:rPr>
        <w:t>元</w:t>
      </w:r>
    </w:p>
    <w:p w14:paraId="1B1D1293">
      <w:pPr>
        <w:keepLines w:val="0"/>
        <w:pageBreakBefore w:val="0"/>
        <w:widowControl w:val="0"/>
        <w:kinsoku/>
        <w:wordWrap/>
        <w:overflowPunct/>
        <w:topLinePunct w:val="0"/>
        <w:autoSpaceDE/>
        <w:autoSpaceDN/>
        <w:bidi w:val="0"/>
        <w:spacing w:line="360" w:lineRule="auto"/>
        <w:ind w:firstLine="720" w:firstLineChars="300"/>
        <w:textAlignment w:val="auto"/>
        <w:rPr>
          <w:rFonts w:hint="eastAsia" w:ascii="宋体" w:hAnsi="宋体" w:eastAsia="宋体" w:cs="宋体"/>
          <w:sz w:val="24"/>
          <w:szCs w:val="32"/>
        </w:rPr>
      </w:pPr>
      <w:r>
        <w:rPr>
          <w:rFonts w:hint="eastAsia" w:ascii="宋体" w:hAnsi="宋体" w:eastAsia="宋体" w:cs="宋体"/>
          <w:sz w:val="24"/>
          <w:szCs w:val="32"/>
        </w:rPr>
        <w:t>最高限价：</w:t>
      </w:r>
      <w:r>
        <w:rPr>
          <w:rFonts w:hint="eastAsia" w:ascii="宋体" w:hAnsi="宋体" w:cs="宋体"/>
          <w:sz w:val="24"/>
          <w:szCs w:val="32"/>
          <w:lang w:val="en-US" w:eastAsia="zh-CN"/>
        </w:rPr>
        <w:t>907061.57</w:t>
      </w:r>
      <w:r>
        <w:rPr>
          <w:rFonts w:hint="eastAsia" w:ascii="宋体" w:hAnsi="宋体" w:eastAsia="宋体" w:cs="宋体"/>
          <w:sz w:val="24"/>
          <w:szCs w:val="32"/>
        </w:rPr>
        <w:t>元</w:t>
      </w:r>
    </w:p>
    <w:tbl>
      <w:tblPr>
        <w:tblStyle w:val="34"/>
        <w:tblW w:w="95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1760"/>
        <w:gridCol w:w="3870"/>
        <w:gridCol w:w="1530"/>
        <w:gridCol w:w="1915"/>
      </w:tblGrid>
      <w:tr w14:paraId="7B18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9" w:type="dxa"/>
            <w:noWrap w:val="0"/>
            <w:vAlign w:val="center"/>
          </w:tcPr>
          <w:p w14:paraId="21E9B3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32"/>
                <w:vertAlign w:val="baseline"/>
                <w:lang w:val="en-US" w:eastAsia="zh-CN"/>
              </w:rPr>
            </w:pPr>
            <w:r>
              <w:rPr>
                <w:rFonts w:hint="eastAsia" w:ascii="宋体" w:hAnsi="宋体" w:eastAsia="宋体" w:cs="宋体"/>
                <w:b/>
                <w:bCs/>
                <w:sz w:val="24"/>
                <w:szCs w:val="32"/>
                <w:vertAlign w:val="baseline"/>
                <w:lang w:val="en-US" w:eastAsia="zh-CN"/>
              </w:rPr>
              <w:t>序号</w:t>
            </w:r>
          </w:p>
        </w:tc>
        <w:tc>
          <w:tcPr>
            <w:tcW w:w="1760" w:type="dxa"/>
            <w:noWrap w:val="0"/>
            <w:vAlign w:val="center"/>
          </w:tcPr>
          <w:p w14:paraId="0A71A1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32"/>
                <w:vertAlign w:val="baseline"/>
                <w:lang w:val="en-US" w:eastAsia="zh-CN"/>
              </w:rPr>
            </w:pPr>
            <w:r>
              <w:rPr>
                <w:rFonts w:hint="eastAsia" w:ascii="宋体" w:hAnsi="宋体" w:eastAsia="宋体" w:cs="宋体"/>
                <w:b/>
                <w:bCs/>
                <w:sz w:val="24"/>
                <w:szCs w:val="32"/>
                <w:vertAlign w:val="baseline"/>
                <w:lang w:val="en-US" w:eastAsia="zh-CN"/>
              </w:rPr>
              <w:t>包号</w:t>
            </w:r>
          </w:p>
        </w:tc>
        <w:tc>
          <w:tcPr>
            <w:tcW w:w="3870" w:type="dxa"/>
            <w:noWrap w:val="0"/>
            <w:vAlign w:val="center"/>
          </w:tcPr>
          <w:p w14:paraId="3ED51D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32"/>
                <w:vertAlign w:val="baseline"/>
                <w:lang w:val="en-US" w:eastAsia="zh-CN"/>
              </w:rPr>
            </w:pPr>
            <w:r>
              <w:rPr>
                <w:rFonts w:hint="eastAsia" w:ascii="宋体" w:hAnsi="宋体" w:eastAsia="宋体" w:cs="宋体"/>
                <w:b/>
                <w:bCs/>
                <w:sz w:val="24"/>
                <w:szCs w:val="32"/>
                <w:vertAlign w:val="baseline"/>
                <w:lang w:val="en-US" w:eastAsia="zh-CN"/>
              </w:rPr>
              <w:t>包名称</w:t>
            </w:r>
          </w:p>
        </w:tc>
        <w:tc>
          <w:tcPr>
            <w:tcW w:w="1530" w:type="dxa"/>
            <w:noWrap w:val="0"/>
            <w:vAlign w:val="center"/>
          </w:tcPr>
          <w:p w14:paraId="26EA16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32"/>
                <w:vertAlign w:val="baseline"/>
                <w:lang w:val="en-US" w:eastAsia="zh-CN"/>
              </w:rPr>
            </w:pPr>
            <w:r>
              <w:rPr>
                <w:rFonts w:hint="eastAsia" w:ascii="宋体" w:hAnsi="宋体" w:eastAsia="宋体" w:cs="宋体"/>
                <w:b/>
                <w:bCs/>
                <w:color w:val="auto"/>
                <w:sz w:val="24"/>
                <w:szCs w:val="32"/>
                <w:vertAlign w:val="baseline"/>
                <w:lang w:val="en-US" w:eastAsia="zh-CN"/>
              </w:rPr>
              <w:t>包预算（元）</w:t>
            </w:r>
          </w:p>
        </w:tc>
        <w:tc>
          <w:tcPr>
            <w:tcW w:w="1915" w:type="dxa"/>
            <w:noWrap w:val="0"/>
            <w:vAlign w:val="center"/>
          </w:tcPr>
          <w:p w14:paraId="7E62BF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4"/>
                <w:szCs w:val="32"/>
                <w:vertAlign w:val="baseline"/>
                <w:lang w:val="en-US" w:eastAsia="zh-CN"/>
              </w:rPr>
            </w:pPr>
            <w:r>
              <w:rPr>
                <w:rFonts w:hint="eastAsia" w:ascii="宋体" w:hAnsi="宋体" w:eastAsia="宋体" w:cs="宋体"/>
                <w:b/>
                <w:bCs/>
                <w:color w:val="auto"/>
                <w:sz w:val="24"/>
                <w:szCs w:val="32"/>
                <w:vertAlign w:val="baseline"/>
                <w:lang w:val="en-US" w:eastAsia="zh-CN"/>
              </w:rPr>
              <w:t>包最高限价（元）</w:t>
            </w:r>
          </w:p>
        </w:tc>
      </w:tr>
      <w:tr w14:paraId="6C53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519" w:type="dxa"/>
            <w:noWrap w:val="0"/>
            <w:vAlign w:val="center"/>
          </w:tcPr>
          <w:p w14:paraId="7C7313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32"/>
                <w:vertAlign w:val="baseline"/>
                <w:lang w:val="en-US" w:eastAsia="zh-CN"/>
              </w:rPr>
            </w:pPr>
            <w:r>
              <w:rPr>
                <w:rFonts w:hint="eastAsia" w:ascii="宋体" w:hAnsi="宋体" w:eastAsia="宋体" w:cs="宋体"/>
                <w:sz w:val="24"/>
                <w:szCs w:val="32"/>
                <w:vertAlign w:val="baseline"/>
                <w:lang w:val="en-US" w:eastAsia="zh-CN"/>
              </w:rPr>
              <w:t>1</w:t>
            </w:r>
          </w:p>
        </w:tc>
        <w:tc>
          <w:tcPr>
            <w:tcW w:w="1760" w:type="dxa"/>
            <w:noWrap w:val="0"/>
            <w:vAlign w:val="center"/>
          </w:tcPr>
          <w:p w14:paraId="109DD8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32"/>
                <w:vertAlign w:val="baseline"/>
                <w:lang w:val="en-US" w:eastAsia="zh-CN"/>
              </w:rPr>
            </w:pPr>
            <w:r>
              <w:rPr>
                <w:rFonts w:hint="eastAsia" w:ascii="宋体" w:hAnsi="宋体" w:cs="宋体"/>
                <w:sz w:val="24"/>
                <w:szCs w:val="32"/>
                <w:vertAlign w:val="baseline"/>
                <w:lang w:val="en-US" w:eastAsia="zh-CN"/>
              </w:rPr>
              <w:t>羊财磋商采购-2026-24</w:t>
            </w:r>
            <w:r>
              <w:rPr>
                <w:rFonts w:hint="eastAsia" w:ascii="宋体" w:hAnsi="宋体" w:eastAsia="宋体" w:cs="宋体"/>
                <w:sz w:val="24"/>
                <w:szCs w:val="32"/>
                <w:vertAlign w:val="baseline"/>
                <w:lang w:val="en-US" w:eastAsia="zh-CN"/>
              </w:rPr>
              <w:t>-1</w:t>
            </w:r>
          </w:p>
        </w:tc>
        <w:tc>
          <w:tcPr>
            <w:tcW w:w="3870" w:type="dxa"/>
            <w:noWrap w:val="0"/>
            <w:vAlign w:val="center"/>
          </w:tcPr>
          <w:p w14:paraId="5F54DC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32"/>
                <w:vertAlign w:val="baseline"/>
                <w:lang w:val="en-US" w:eastAsia="zh-CN"/>
              </w:rPr>
            </w:pPr>
            <w:r>
              <w:rPr>
                <w:rFonts w:hint="eastAsia" w:ascii="宋体" w:hAnsi="宋体" w:cs="宋体"/>
                <w:sz w:val="24"/>
                <w:szCs w:val="32"/>
                <w:vertAlign w:val="baseline"/>
                <w:lang w:val="en-US" w:eastAsia="zh-CN"/>
              </w:rPr>
              <w:t>信阳市羊山新区规划事务中心北湖春天美好生活广场北侧地块及石子岗安置小区南侧地块膨土质粘土岩勘探工程</w:t>
            </w:r>
          </w:p>
        </w:tc>
        <w:tc>
          <w:tcPr>
            <w:tcW w:w="1530" w:type="dxa"/>
            <w:noWrap w:val="0"/>
            <w:vAlign w:val="center"/>
          </w:tcPr>
          <w:p w14:paraId="211963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32"/>
                <w:highlight w:val="none"/>
                <w:vertAlign w:val="baseline"/>
                <w:lang w:val="en-US" w:eastAsia="zh-CN"/>
              </w:rPr>
            </w:pPr>
            <w:r>
              <w:rPr>
                <w:rFonts w:hint="eastAsia" w:ascii="宋体" w:hAnsi="宋体" w:cs="宋体"/>
                <w:color w:val="auto"/>
                <w:sz w:val="24"/>
                <w:szCs w:val="32"/>
                <w:highlight w:val="none"/>
                <w:vertAlign w:val="baseline"/>
                <w:lang w:val="en-US" w:eastAsia="zh-CN"/>
              </w:rPr>
              <w:t>907061.57</w:t>
            </w:r>
          </w:p>
        </w:tc>
        <w:tc>
          <w:tcPr>
            <w:tcW w:w="1915" w:type="dxa"/>
            <w:noWrap w:val="0"/>
            <w:vAlign w:val="center"/>
          </w:tcPr>
          <w:p w14:paraId="5D5EF5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32"/>
                <w:highlight w:val="none"/>
                <w:vertAlign w:val="baseline"/>
                <w:lang w:val="en-US" w:eastAsia="zh-CN"/>
              </w:rPr>
            </w:pPr>
            <w:r>
              <w:rPr>
                <w:rFonts w:hint="eastAsia" w:ascii="宋体" w:hAnsi="宋体" w:cs="宋体"/>
                <w:color w:val="auto"/>
                <w:sz w:val="24"/>
                <w:szCs w:val="32"/>
                <w:highlight w:val="none"/>
                <w:vertAlign w:val="baseline"/>
                <w:lang w:val="en-US" w:eastAsia="zh-CN"/>
              </w:rPr>
              <w:t>907061.57</w:t>
            </w:r>
          </w:p>
        </w:tc>
      </w:tr>
    </w:tbl>
    <w:p w14:paraId="794387B2">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32"/>
        </w:rPr>
      </w:pPr>
      <w:r>
        <w:rPr>
          <w:rFonts w:hint="eastAsia" w:ascii="宋体" w:hAnsi="宋体" w:eastAsia="宋体" w:cs="宋体"/>
          <w:color w:val="auto"/>
          <w:sz w:val="24"/>
          <w:szCs w:val="32"/>
        </w:rPr>
        <w:t>5</w:t>
      </w:r>
      <w:r>
        <w:rPr>
          <w:rFonts w:hint="eastAsia" w:ascii="宋体" w:hAnsi="宋体" w:eastAsia="宋体" w:cs="宋体"/>
          <w:color w:val="auto"/>
          <w:sz w:val="24"/>
          <w:szCs w:val="32"/>
          <w:lang w:eastAsia="zh-CN"/>
        </w:rPr>
        <w:t>、</w:t>
      </w:r>
      <w:r>
        <w:rPr>
          <w:rFonts w:hint="eastAsia" w:ascii="宋体" w:hAnsi="宋体" w:eastAsia="宋体" w:cs="宋体"/>
          <w:color w:val="auto"/>
          <w:sz w:val="24"/>
          <w:szCs w:val="32"/>
        </w:rPr>
        <w:t>采购需求：（包括但不限于标的的名称、数量、简要技术需求或服务要求等）</w:t>
      </w:r>
    </w:p>
    <w:p w14:paraId="2EC829BF">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5.1.本次采购共分为</w:t>
      </w:r>
      <w:r>
        <w:rPr>
          <w:rFonts w:hint="eastAsia" w:ascii="宋体" w:hAnsi="宋体" w:cs="宋体"/>
          <w:b w:val="0"/>
          <w:bCs w:val="0"/>
          <w:color w:val="auto"/>
          <w:sz w:val="24"/>
          <w:szCs w:val="32"/>
          <w:highlight w:val="none"/>
          <w:lang w:val="en-US" w:eastAsia="zh-CN"/>
        </w:rPr>
        <w:t>1</w:t>
      </w:r>
      <w:r>
        <w:rPr>
          <w:rFonts w:hint="eastAsia" w:ascii="宋体" w:hAnsi="宋体" w:eastAsia="宋体" w:cs="宋体"/>
          <w:b w:val="0"/>
          <w:bCs w:val="0"/>
          <w:color w:val="auto"/>
          <w:sz w:val="24"/>
          <w:szCs w:val="32"/>
          <w:highlight w:val="none"/>
          <w:lang w:val="en-US" w:eastAsia="zh-CN"/>
        </w:rPr>
        <w:t>个包，采购内容：</w:t>
      </w:r>
      <w:r>
        <w:rPr>
          <w:rFonts w:hint="eastAsia" w:ascii="宋体" w:hAnsi="宋体" w:cs="宋体"/>
          <w:b w:val="0"/>
          <w:bCs w:val="0"/>
          <w:color w:val="auto"/>
          <w:sz w:val="24"/>
          <w:szCs w:val="32"/>
          <w:highlight w:val="none"/>
          <w:lang w:val="en-US" w:eastAsia="zh-CN"/>
        </w:rPr>
        <w:t>项目主要工作内容包含地形测绘、GPS控制测量、地质填图、勘查线剖面测量、矿产地质钻探、岩矿鉴定、化学全分析、吸蓝量测定、阳离子交换性能测定、组合分析等各类实验测试，同时包含剖面线测量、工程点测量、钻探编录、采样、报告编制及其他地质工作等。（详见磋商文件第五章采购服务内容及要求）；</w:t>
      </w:r>
    </w:p>
    <w:p w14:paraId="7D03BA04">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5.2.服务期限：</w:t>
      </w:r>
      <w:r>
        <w:rPr>
          <w:rFonts w:hint="eastAsia" w:ascii="宋体" w:hAnsi="宋体" w:cs="宋体"/>
          <w:b w:val="0"/>
          <w:bCs w:val="0"/>
          <w:color w:val="auto"/>
          <w:sz w:val="24"/>
          <w:szCs w:val="32"/>
          <w:highlight w:val="none"/>
          <w:lang w:val="en-US" w:eastAsia="zh-CN"/>
        </w:rPr>
        <w:t>60日历天</w:t>
      </w:r>
      <w:r>
        <w:rPr>
          <w:rFonts w:hint="eastAsia" w:ascii="宋体" w:hAnsi="宋体" w:eastAsia="宋体" w:cs="宋体"/>
          <w:b w:val="0"/>
          <w:bCs w:val="0"/>
          <w:color w:val="auto"/>
          <w:sz w:val="24"/>
          <w:szCs w:val="32"/>
          <w:highlight w:val="none"/>
          <w:lang w:val="en-US" w:eastAsia="zh-CN"/>
        </w:rPr>
        <w:t>；</w:t>
      </w:r>
    </w:p>
    <w:p w14:paraId="0EDDCB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5.3.服务地点：按采购单位指定地点完成相关采购内容；</w:t>
      </w:r>
    </w:p>
    <w:p w14:paraId="0844DA0D">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rPr>
        <w:t>5.</w:t>
      </w:r>
      <w:r>
        <w:rPr>
          <w:rFonts w:hint="eastAsia" w:ascii="宋体" w:hAnsi="宋体" w:eastAsia="宋体" w:cs="宋体"/>
          <w:b w:val="0"/>
          <w:bCs w:val="0"/>
          <w:color w:val="auto"/>
          <w:sz w:val="24"/>
          <w:szCs w:val="32"/>
          <w:highlight w:val="none"/>
          <w:lang w:val="en-US" w:eastAsia="zh-CN"/>
        </w:rPr>
        <w:t>4</w:t>
      </w:r>
      <w:r>
        <w:rPr>
          <w:rFonts w:hint="eastAsia" w:ascii="宋体" w:hAnsi="宋体" w:eastAsia="宋体" w:cs="宋体"/>
          <w:b w:val="0"/>
          <w:bCs w:val="0"/>
          <w:color w:val="auto"/>
          <w:sz w:val="24"/>
          <w:szCs w:val="32"/>
          <w:highlight w:val="none"/>
        </w:rPr>
        <w:t>.质量要求：</w:t>
      </w:r>
      <w:r>
        <w:rPr>
          <w:rFonts w:hint="eastAsia" w:ascii="宋体" w:hAnsi="宋体" w:cs="宋体"/>
          <w:b w:val="0"/>
          <w:bCs w:val="0"/>
          <w:color w:val="auto"/>
          <w:sz w:val="24"/>
          <w:szCs w:val="32"/>
          <w:highlight w:val="none"/>
          <w:lang w:val="en-US" w:eastAsia="zh-CN"/>
        </w:rPr>
        <w:t>符合国家规范、规程和地方性法规及相关技术要求等规定；</w:t>
      </w:r>
    </w:p>
    <w:p w14:paraId="3CFA2855">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5.5.资金来源及落实情况：财政资金，已落实；</w:t>
      </w:r>
    </w:p>
    <w:p w14:paraId="701FBE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5.6.标包划分：本项目共划分</w:t>
      </w:r>
      <w:r>
        <w:rPr>
          <w:rFonts w:hint="eastAsia" w:ascii="宋体" w:hAnsi="宋体" w:cs="宋体"/>
          <w:b w:val="0"/>
          <w:bCs w:val="0"/>
          <w:color w:val="auto"/>
          <w:sz w:val="24"/>
          <w:szCs w:val="32"/>
          <w:highlight w:val="none"/>
          <w:lang w:val="en-US" w:eastAsia="zh-CN"/>
        </w:rPr>
        <w:t>1</w:t>
      </w:r>
      <w:r>
        <w:rPr>
          <w:rFonts w:hint="eastAsia" w:ascii="宋体" w:hAnsi="宋体" w:eastAsia="宋体" w:cs="宋体"/>
          <w:b w:val="0"/>
          <w:bCs w:val="0"/>
          <w:color w:val="auto"/>
          <w:sz w:val="24"/>
          <w:szCs w:val="32"/>
          <w:highlight w:val="none"/>
          <w:lang w:val="en-US" w:eastAsia="zh-CN"/>
        </w:rPr>
        <w:t>个标包。</w:t>
      </w:r>
    </w:p>
    <w:p w14:paraId="43F152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6、合同履行期限：同服务期限</w:t>
      </w:r>
    </w:p>
    <w:p w14:paraId="53BE3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7、本项目是否接受联合体投标：</w:t>
      </w:r>
      <w:r>
        <w:rPr>
          <w:rFonts w:hint="eastAsia" w:ascii="宋体" w:hAnsi="宋体" w:cs="宋体"/>
          <w:b w:val="0"/>
          <w:bCs w:val="0"/>
          <w:color w:val="auto"/>
          <w:sz w:val="24"/>
          <w:szCs w:val="32"/>
          <w:highlight w:val="none"/>
          <w:lang w:val="en-US" w:eastAsia="zh-CN"/>
        </w:rPr>
        <w:t>否</w:t>
      </w:r>
    </w:p>
    <w:p w14:paraId="331C21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8、是否接受进口产品：否</w:t>
      </w:r>
    </w:p>
    <w:p w14:paraId="1CF39B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9、是否专门面向中小企业：否</w:t>
      </w:r>
    </w:p>
    <w:p w14:paraId="1CA0B5C3">
      <w:pPr>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4"/>
          <w:szCs w:val="32"/>
          <w:highlight w:val="none"/>
          <w:lang w:eastAsia="zh-CN"/>
        </w:rPr>
      </w:pPr>
      <w:r>
        <w:rPr>
          <w:rFonts w:hint="eastAsia" w:ascii="宋体" w:hAnsi="宋体" w:eastAsia="宋体" w:cs="宋体"/>
          <w:b/>
          <w:bCs/>
          <w:sz w:val="24"/>
          <w:szCs w:val="32"/>
          <w:highlight w:val="none"/>
        </w:rPr>
        <w:t>二、申请人资格要求</w:t>
      </w:r>
      <w:r>
        <w:rPr>
          <w:rFonts w:hint="eastAsia" w:ascii="宋体" w:hAnsi="宋体" w:eastAsia="宋体" w:cs="宋体"/>
          <w:b/>
          <w:bCs/>
          <w:sz w:val="24"/>
          <w:szCs w:val="32"/>
          <w:highlight w:val="none"/>
          <w:lang w:eastAsia="zh-CN"/>
        </w:rPr>
        <w:t>：</w:t>
      </w:r>
    </w:p>
    <w:p w14:paraId="08E54C79">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1.满足《中华人民共和国政府采购法》第二十二条规定；</w:t>
      </w:r>
    </w:p>
    <w:p w14:paraId="241CB6AC">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highlight w:val="none"/>
        </w:rPr>
      </w:pPr>
      <w:r>
        <w:rPr>
          <w:rFonts w:hint="eastAsia" w:ascii="宋体" w:hAnsi="宋体" w:eastAsia="宋体" w:cs="宋体"/>
          <w:sz w:val="24"/>
          <w:szCs w:val="32"/>
          <w:highlight w:val="none"/>
        </w:rPr>
        <w:t>2.落实政府采购政策满足的资格要求：</w:t>
      </w:r>
    </w:p>
    <w:p w14:paraId="4ECA9A42">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highlight w:val="none"/>
        </w:rPr>
        <w:t>本项目非专门面向中小企业</w:t>
      </w:r>
      <w:r>
        <w:rPr>
          <w:rFonts w:hint="eastAsia" w:ascii="宋体" w:hAnsi="宋体" w:eastAsia="宋体" w:cs="宋体"/>
          <w:sz w:val="24"/>
          <w:szCs w:val="32"/>
        </w:rPr>
        <w:t>采购【该项目符合《政府采购促进中小企业发展管理办法》（财库【2020】46号）第六条第</w:t>
      </w:r>
      <w:r>
        <w:rPr>
          <w:rFonts w:hint="eastAsia" w:ascii="宋体" w:hAnsi="宋体" w:eastAsia="宋体" w:cs="宋体"/>
          <w:sz w:val="24"/>
          <w:szCs w:val="32"/>
          <w:u w:val="single"/>
        </w:rPr>
        <w:t>（三）</w:t>
      </w:r>
      <w:r>
        <w:rPr>
          <w:rFonts w:hint="eastAsia" w:ascii="宋体" w:hAnsi="宋体" w:eastAsia="宋体" w:cs="宋体"/>
          <w:sz w:val="24"/>
          <w:szCs w:val="32"/>
        </w:rPr>
        <w:t>款之规定：</w:t>
      </w:r>
      <w:r>
        <w:rPr>
          <w:rFonts w:hint="eastAsia" w:ascii="宋体" w:hAnsi="宋体" w:eastAsia="宋体" w:cs="宋体"/>
          <w:sz w:val="24"/>
          <w:szCs w:val="32"/>
          <w:u w:val="single"/>
        </w:rPr>
        <w:t>（三）按照本办法规定预留采购份额无法确保充分供应、充分竞争，或者存在可能影响政府采购目标实现的情形；】</w:t>
      </w:r>
      <w:r>
        <w:rPr>
          <w:rFonts w:hint="eastAsia" w:ascii="宋体" w:hAnsi="宋体" w:eastAsia="宋体" w:cs="宋体"/>
          <w:sz w:val="24"/>
          <w:szCs w:val="32"/>
        </w:rPr>
        <w:t>。本项目落实节约能源、保护环境、扶持不发达地区和少数民族地区、促进中小微企业、监狱企业及残疾人福利性单位发展等政府采购政策。</w:t>
      </w:r>
    </w:p>
    <w:p w14:paraId="66D35F83">
      <w:pPr>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宋体" w:hAnsi="宋体" w:eastAsia="宋体" w:cs="宋体"/>
          <w:b/>
          <w:bCs/>
          <w:sz w:val="24"/>
          <w:szCs w:val="32"/>
        </w:rPr>
      </w:pPr>
      <w:r>
        <w:rPr>
          <w:rFonts w:hint="eastAsia" w:ascii="宋体" w:hAnsi="宋体" w:eastAsia="宋体" w:cs="宋体"/>
          <w:b/>
          <w:bCs/>
          <w:sz w:val="24"/>
          <w:szCs w:val="32"/>
        </w:rPr>
        <w:t>3.本项目的特定资格要求</w:t>
      </w:r>
    </w:p>
    <w:p w14:paraId="6E1C41B0">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32"/>
        </w:rPr>
      </w:pPr>
      <w:r>
        <w:rPr>
          <w:rFonts w:hint="eastAsia" w:ascii="宋体" w:hAnsi="宋体" w:eastAsia="宋体" w:cs="宋体"/>
          <w:sz w:val="24"/>
          <w:szCs w:val="32"/>
        </w:rPr>
        <w:t>3.1.根据《关于在政府采购活动中查询及使用信用记录有关问题的通知》（财库【2016】125号）的规定，对列入失信被执行人、重大税收违法案件当事人名单</w:t>
      </w:r>
      <w:r>
        <w:rPr>
          <w:rFonts w:hint="eastAsia" w:ascii="宋体" w:hAnsi="宋体" w:eastAsia="宋体" w:cs="宋体"/>
          <w:color w:val="000000"/>
          <w:sz w:val="24"/>
          <w:szCs w:val="32"/>
        </w:rPr>
        <w:t>（税收违法黑名单/重大税收违法失信主体）</w:t>
      </w:r>
      <w:r>
        <w:rPr>
          <w:rFonts w:hint="eastAsia" w:ascii="宋体" w:hAnsi="宋体" w:eastAsia="宋体" w:cs="宋体"/>
          <w:sz w:val="24"/>
          <w:szCs w:val="32"/>
        </w:rPr>
        <w:t>、政府采购严重违法失信行为记录名单的供应商，拒绝参与本项目政府采购活动；供应商应通过“信用中国”网站（www.creditchina.gov.cn）查询“失信被执行人”、“重大税收违法案件当事人名单（税收违法黑名单/重大税收违法失信主体）”，中国政府采购网（www.ccgp.gov.cn）查询“政府采购严重违法失信行为记录名单”，提供查询</w:t>
      </w:r>
      <w:r>
        <w:rPr>
          <w:rFonts w:hint="eastAsia" w:ascii="宋体" w:hAnsi="宋体" w:eastAsia="宋体" w:cs="宋体"/>
          <w:color w:val="auto"/>
          <w:sz w:val="24"/>
          <w:szCs w:val="32"/>
        </w:rPr>
        <w:t>网页截图；</w:t>
      </w:r>
    </w:p>
    <w:p w14:paraId="4F4CF27F">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3.2.供应商拟派的项目负责人须</w:t>
      </w:r>
      <w:r>
        <w:rPr>
          <w:rFonts w:hint="eastAsia" w:ascii="宋体" w:hAnsi="宋体" w:cs="宋体"/>
          <w:color w:val="auto"/>
          <w:sz w:val="24"/>
          <w:szCs w:val="32"/>
          <w:highlight w:val="none"/>
          <w:lang w:val="en-US" w:eastAsia="zh-CN"/>
        </w:rPr>
        <w:t>具有</w:t>
      </w:r>
      <w:r>
        <w:rPr>
          <w:rFonts w:hint="eastAsia" w:ascii="宋体" w:hAnsi="宋体" w:eastAsia="宋体" w:cs="宋体"/>
          <w:color w:val="auto"/>
          <w:sz w:val="24"/>
          <w:szCs w:val="32"/>
          <w:highlight w:val="none"/>
          <w:lang w:val="en-US" w:eastAsia="zh-CN"/>
        </w:rPr>
        <w:t>地质类相关专业副高级及以上技术职称，并提供劳动合同及2025年6月1日以来</w:t>
      </w:r>
      <w:r>
        <w:rPr>
          <w:rFonts w:hint="eastAsia" w:ascii="宋体" w:hAnsi="宋体" w:cs="宋体"/>
          <w:color w:val="auto"/>
          <w:sz w:val="24"/>
          <w:szCs w:val="32"/>
          <w:highlight w:val="none"/>
          <w:lang w:val="en-US" w:eastAsia="zh-CN"/>
        </w:rPr>
        <w:t>连续6</w:t>
      </w:r>
      <w:r>
        <w:rPr>
          <w:rFonts w:hint="eastAsia" w:ascii="宋体" w:hAnsi="宋体" w:eastAsia="宋体" w:cs="宋体"/>
          <w:color w:val="auto"/>
          <w:sz w:val="24"/>
          <w:szCs w:val="32"/>
          <w:highlight w:val="none"/>
          <w:lang w:val="en-US" w:eastAsia="zh-CN"/>
        </w:rPr>
        <w:t>个月在本单位缴纳社保证明）；</w:t>
      </w:r>
    </w:p>
    <w:p w14:paraId="5FEDF32F">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3.</w:t>
      </w:r>
      <w:r>
        <w:rPr>
          <w:rFonts w:hint="eastAsia" w:ascii="宋体" w:hAnsi="宋体" w:eastAsia="宋体" w:cs="宋体"/>
          <w:color w:val="auto"/>
          <w:sz w:val="24"/>
          <w:szCs w:val="32"/>
          <w:highlight w:val="none"/>
          <w:lang w:val="en-US" w:eastAsia="zh-CN"/>
        </w:rPr>
        <w:t>3</w:t>
      </w:r>
      <w:r>
        <w:rPr>
          <w:rFonts w:hint="eastAsia" w:ascii="宋体" w:hAnsi="宋体" w:eastAsia="宋体" w:cs="宋体"/>
          <w:color w:val="auto"/>
          <w:sz w:val="24"/>
          <w:szCs w:val="32"/>
          <w:highlight w:val="none"/>
        </w:rPr>
        <w:t>.单位负责人为同一人或者存在直接控股、管理关系的不同单位，不得同时参加同一合同项下的政府采购活动</w:t>
      </w:r>
      <w:r>
        <w:rPr>
          <w:rFonts w:hint="eastAsia" w:ascii="宋体" w:hAnsi="宋体" w:eastAsia="宋体" w:cs="宋体"/>
          <w:color w:val="auto"/>
          <w:spacing w:val="11"/>
          <w:sz w:val="24"/>
          <w:szCs w:val="32"/>
          <w:highlight w:val="none"/>
        </w:rPr>
        <w:t>（自行承诺，格式自拟</w:t>
      </w:r>
      <w:r>
        <w:rPr>
          <w:rFonts w:hint="eastAsia" w:ascii="宋体" w:hAnsi="宋体" w:eastAsia="宋体" w:cs="宋体"/>
          <w:color w:val="auto"/>
          <w:sz w:val="24"/>
          <w:szCs w:val="32"/>
          <w:highlight w:val="none"/>
        </w:rPr>
        <w:t>）；</w:t>
      </w:r>
    </w:p>
    <w:p w14:paraId="61F63230">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3.</w:t>
      </w:r>
      <w:r>
        <w:rPr>
          <w:rFonts w:hint="eastAsia" w:ascii="宋体" w:hAnsi="宋体" w:eastAsia="宋体" w:cs="宋体"/>
          <w:color w:val="auto"/>
          <w:sz w:val="24"/>
          <w:szCs w:val="32"/>
          <w:highlight w:val="none"/>
          <w:lang w:val="en-US" w:eastAsia="zh-CN"/>
        </w:rPr>
        <w:t>5</w:t>
      </w:r>
      <w:r>
        <w:rPr>
          <w:rFonts w:hint="eastAsia" w:ascii="宋体" w:hAnsi="宋体" w:eastAsia="宋体" w:cs="宋体"/>
          <w:color w:val="auto"/>
          <w:sz w:val="24"/>
          <w:szCs w:val="32"/>
          <w:highlight w:val="none"/>
        </w:rPr>
        <w:t>.本项目不允许联合体磋商，实行资格后审。</w:t>
      </w:r>
    </w:p>
    <w:p w14:paraId="32403FC7">
      <w:pPr>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三、获取采购文件</w:t>
      </w:r>
    </w:p>
    <w:p w14:paraId="7077D06D">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1.时间：202</w:t>
      </w:r>
      <w:r>
        <w:rPr>
          <w:rFonts w:hint="eastAsia" w:ascii="宋体" w:hAnsi="宋体" w:cs="宋体"/>
          <w:color w:val="auto"/>
          <w:sz w:val="24"/>
          <w:szCs w:val="32"/>
          <w:highlight w:val="none"/>
          <w:lang w:val="en-US" w:eastAsia="zh-CN"/>
        </w:rPr>
        <w:t>6</w:t>
      </w:r>
      <w:r>
        <w:rPr>
          <w:rFonts w:hint="eastAsia" w:ascii="宋体" w:hAnsi="宋体" w:eastAsia="宋体" w:cs="宋体"/>
          <w:color w:val="auto"/>
          <w:sz w:val="24"/>
          <w:szCs w:val="32"/>
          <w:highlight w:val="none"/>
        </w:rPr>
        <w:t>年</w:t>
      </w:r>
      <w:r>
        <w:rPr>
          <w:rFonts w:hint="eastAsia" w:ascii="宋体" w:hAnsi="宋体" w:cs="宋体"/>
          <w:color w:val="auto"/>
          <w:sz w:val="24"/>
          <w:szCs w:val="32"/>
          <w:highlight w:val="none"/>
          <w:lang w:val="en-US" w:eastAsia="zh-CN"/>
        </w:rPr>
        <w:t>9</w:t>
      </w:r>
      <w:r>
        <w:rPr>
          <w:rFonts w:hint="eastAsia" w:ascii="宋体" w:hAnsi="宋体" w:eastAsia="宋体" w:cs="宋体"/>
          <w:color w:val="auto"/>
          <w:sz w:val="24"/>
          <w:szCs w:val="32"/>
          <w:highlight w:val="none"/>
        </w:rPr>
        <w:t>月</w:t>
      </w:r>
      <w:r>
        <w:rPr>
          <w:rFonts w:hint="eastAsia" w:ascii="宋体" w:hAnsi="宋体" w:cs="宋体"/>
          <w:color w:val="auto"/>
          <w:sz w:val="24"/>
          <w:szCs w:val="32"/>
          <w:highlight w:val="none"/>
          <w:lang w:val="en-US" w:eastAsia="zh-CN"/>
        </w:rPr>
        <w:t>30</w:t>
      </w:r>
      <w:r>
        <w:rPr>
          <w:rFonts w:hint="eastAsia" w:ascii="宋体" w:hAnsi="宋体" w:eastAsia="宋体" w:cs="宋体"/>
          <w:color w:val="auto"/>
          <w:sz w:val="24"/>
          <w:szCs w:val="32"/>
          <w:highlight w:val="none"/>
        </w:rPr>
        <w:t>日至202</w:t>
      </w:r>
      <w:r>
        <w:rPr>
          <w:rFonts w:hint="eastAsia" w:ascii="宋体" w:hAnsi="宋体" w:cs="宋体"/>
          <w:color w:val="auto"/>
          <w:sz w:val="24"/>
          <w:szCs w:val="32"/>
          <w:highlight w:val="none"/>
          <w:lang w:val="en-US" w:eastAsia="zh-CN"/>
        </w:rPr>
        <w:t>6</w:t>
      </w:r>
      <w:r>
        <w:rPr>
          <w:rFonts w:hint="eastAsia" w:ascii="宋体" w:hAnsi="宋体" w:eastAsia="宋体" w:cs="宋体"/>
          <w:color w:val="auto"/>
          <w:sz w:val="24"/>
          <w:szCs w:val="32"/>
          <w:highlight w:val="none"/>
        </w:rPr>
        <w:t>年</w:t>
      </w:r>
      <w:r>
        <w:rPr>
          <w:rFonts w:hint="eastAsia" w:ascii="宋体" w:hAnsi="宋体" w:cs="宋体"/>
          <w:color w:val="auto"/>
          <w:sz w:val="24"/>
          <w:szCs w:val="32"/>
          <w:highlight w:val="none"/>
          <w:lang w:val="en-US" w:eastAsia="zh-CN"/>
        </w:rPr>
        <w:t>10</w:t>
      </w:r>
      <w:r>
        <w:rPr>
          <w:rFonts w:hint="eastAsia" w:ascii="宋体" w:hAnsi="宋体" w:eastAsia="宋体" w:cs="宋体"/>
          <w:color w:val="auto"/>
          <w:sz w:val="24"/>
          <w:szCs w:val="32"/>
          <w:highlight w:val="none"/>
        </w:rPr>
        <w:t>月</w:t>
      </w:r>
      <w:r>
        <w:rPr>
          <w:rFonts w:hint="eastAsia" w:ascii="宋体" w:hAnsi="宋体" w:cs="宋体"/>
          <w:color w:val="auto"/>
          <w:sz w:val="24"/>
          <w:szCs w:val="32"/>
          <w:highlight w:val="none"/>
          <w:lang w:val="en-US" w:eastAsia="zh-CN"/>
        </w:rPr>
        <w:t>12</w:t>
      </w:r>
      <w:r>
        <w:rPr>
          <w:rFonts w:hint="eastAsia" w:ascii="宋体" w:hAnsi="宋体" w:eastAsia="宋体" w:cs="宋体"/>
          <w:color w:val="auto"/>
          <w:sz w:val="24"/>
          <w:szCs w:val="32"/>
          <w:highlight w:val="none"/>
        </w:rPr>
        <w:t>日，每天上午00:00至12:00，下午12:00至23:59（北京时间，法定节假日除外。）</w:t>
      </w:r>
    </w:p>
    <w:p w14:paraId="363A0C93">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2.地点：</w:t>
      </w:r>
      <w:r>
        <w:rPr>
          <w:rFonts w:hint="eastAsia" w:ascii="宋体" w:hAnsi="宋体" w:eastAsia="宋体" w:cs="宋体"/>
          <w:color w:val="auto"/>
          <w:sz w:val="24"/>
          <w:szCs w:val="32"/>
          <w:highlight w:val="none"/>
          <w:lang w:eastAsia="zh-CN"/>
        </w:rPr>
        <w:t>登录“</w:t>
      </w:r>
      <w:r>
        <w:rPr>
          <w:rFonts w:hint="eastAsia" w:ascii="宋体" w:hAnsi="宋体" w:cs="宋体"/>
          <w:color w:val="auto"/>
          <w:sz w:val="24"/>
          <w:szCs w:val="32"/>
          <w:highlight w:val="none"/>
          <w:lang w:eastAsia="zh-CN"/>
        </w:rPr>
        <w:t>全国公共资源交易平台（河南省·信阳市）</w:t>
      </w:r>
      <w:r>
        <w:rPr>
          <w:rFonts w:hint="eastAsia" w:ascii="宋体" w:hAnsi="宋体" w:eastAsia="宋体" w:cs="宋体"/>
          <w:color w:val="auto"/>
          <w:sz w:val="24"/>
          <w:szCs w:val="32"/>
          <w:highlight w:val="none"/>
          <w:lang w:eastAsia="zh-CN"/>
        </w:rPr>
        <w:t>（</w:t>
      </w:r>
      <w:r>
        <w:rPr>
          <w:rFonts w:hint="eastAsia" w:ascii="宋体" w:hAnsi="宋体" w:cs="宋体"/>
          <w:color w:val="auto"/>
          <w:sz w:val="24"/>
          <w:szCs w:val="32"/>
          <w:highlight w:val="none"/>
          <w:lang w:eastAsia="zh-CN"/>
        </w:rPr>
        <w:t>https://ggzyjy.xinyang.gov.cn/</w:t>
      </w:r>
      <w:r>
        <w:rPr>
          <w:rFonts w:hint="eastAsia" w:ascii="宋体" w:hAnsi="宋体" w:eastAsia="宋体" w:cs="宋体"/>
          <w:color w:val="auto"/>
          <w:sz w:val="24"/>
          <w:szCs w:val="32"/>
          <w:highlight w:val="none"/>
          <w:lang w:eastAsia="zh-CN"/>
        </w:rPr>
        <w:t>）”网站，凭办理的企业身份认证锁（CA数字证书）登录会员系统获取</w:t>
      </w:r>
      <w:r>
        <w:rPr>
          <w:rFonts w:hint="eastAsia" w:ascii="宋体" w:hAnsi="宋体" w:eastAsia="宋体" w:cs="宋体"/>
          <w:color w:val="auto"/>
          <w:sz w:val="24"/>
          <w:szCs w:val="32"/>
          <w:highlight w:val="none"/>
          <w:lang w:val="en-US" w:eastAsia="zh-CN"/>
        </w:rPr>
        <w:t>采购</w:t>
      </w:r>
      <w:r>
        <w:rPr>
          <w:rFonts w:hint="eastAsia" w:ascii="宋体" w:hAnsi="宋体" w:eastAsia="宋体" w:cs="宋体"/>
          <w:color w:val="auto"/>
          <w:sz w:val="24"/>
          <w:szCs w:val="32"/>
          <w:highlight w:val="none"/>
          <w:lang w:eastAsia="zh-CN"/>
        </w:rPr>
        <w:t>文件</w:t>
      </w:r>
      <w:r>
        <w:rPr>
          <w:rFonts w:hint="eastAsia" w:ascii="宋体" w:hAnsi="宋体" w:eastAsia="宋体" w:cs="宋体"/>
          <w:color w:val="auto"/>
          <w:sz w:val="24"/>
          <w:szCs w:val="32"/>
          <w:highlight w:val="none"/>
        </w:rPr>
        <w:t>；</w:t>
      </w:r>
    </w:p>
    <w:p w14:paraId="74FE6AC9">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3.方式：</w:t>
      </w:r>
    </w:p>
    <w:p w14:paraId="254BE623">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kern w:val="0"/>
          <w:sz w:val="24"/>
        </w:rPr>
      </w:pPr>
      <w:r>
        <w:rPr>
          <w:rFonts w:hint="eastAsia" w:ascii="宋体" w:hAnsi="宋体" w:eastAsia="宋体" w:cs="宋体"/>
          <w:kern w:val="0"/>
          <w:sz w:val="24"/>
        </w:rPr>
        <w:t>3.1.供应商注册：凡有意参加本项目的供应商，请登</w:t>
      </w:r>
      <w:r>
        <w:rPr>
          <w:rFonts w:hint="eastAsia" w:ascii="宋体" w:hAnsi="宋体" w:eastAsia="宋体" w:cs="宋体"/>
          <w:kern w:val="0"/>
          <w:sz w:val="24"/>
          <w:lang w:val="en-US" w:eastAsia="zh-CN"/>
        </w:rPr>
        <w:t>录</w:t>
      </w:r>
      <w:r>
        <w:rPr>
          <w:rFonts w:hint="eastAsia" w:ascii="宋体" w:hAnsi="宋体" w:eastAsia="宋体" w:cs="宋体"/>
          <w:kern w:val="0"/>
          <w:sz w:val="24"/>
        </w:rPr>
        <w:t>“全国公共资源交易平台（河南省·信阳市</w:t>
      </w:r>
      <w:r>
        <w:rPr>
          <w:rFonts w:hint="eastAsia" w:ascii="宋体" w:hAnsi="宋体" w:eastAsia="宋体" w:cs="宋体"/>
          <w:color w:val="auto"/>
          <w:kern w:val="0"/>
          <w:sz w:val="24"/>
        </w:rPr>
        <w:t>）（</w:t>
      </w:r>
      <w:r>
        <w:rPr>
          <w:rFonts w:hint="eastAsia" w:ascii="宋体" w:hAnsi="宋体" w:eastAsia="宋体" w:cs="宋体"/>
          <w:color w:val="auto"/>
          <w:sz w:val="24"/>
          <w:u w:val="none"/>
          <w:shd w:val="clear" w:color="auto" w:fill="FFFFFF"/>
        </w:rPr>
        <w:t>https://ggzyjy.xinyang.gov.cn</w:t>
      </w:r>
      <w:r>
        <w:rPr>
          <w:rFonts w:hint="eastAsia" w:ascii="宋体" w:hAnsi="宋体" w:eastAsia="宋体" w:cs="宋体"/>
          <w:color w:val="auto"/>
          <w:kern w:val="0"/>
          <w:sz w:val="24"/>
        </w:rPr>
        <w:t>）”网站</w:t>
      </w:r>
      <w:r>
        <w:rPr>
          <w:rFonts w:hint="eastAsia" w:ascii="宋体" w:hAnsi="宋体" w:eastAsia="宋体" w:cs="宋体"/>
          <w:kern w:val="0"/>
          <w:sz w:val="24"/>
        </w:rPr>
        <w:t>进行交易主体自主注册，按网站公告通知有关要求填报企业信息并上传有关原件扫描件至诚信库，不需携带原件到信阳市公共资源交易中心进行审核。供应商应对所上传材料的真实性、合法性、有效性负责，其上传信息将全部对外公示，接受社会监督；</w:t>
      </w:r>
    </w:p>
    <w:p w14:paraId="7C46CAB4">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3.2.办理CA数字证书：完成企业诚信库注册后，必须办理CA数字证书方可在网上办理招投标相关业务。</w:t>
      </w:r>
      <w:r>
        <w:rPr>
          <w:rFonts w:hint="eastAsia" w:ascii="宋体" w:hAnsi="宋体" w:eastAsia="宋体" w:cs="宋体"/>
          <w:sz w:val="24"/>
        </w:rPr>
        <w:t>供应商</w:t>
      </w:r>
      <w:r>
        <w:rPr>
          <w:rFonts w:hint="eastAsia" w:ascii="宋体" w:hAnsi="宋体" w:eastAsia="宋体" w:cs="宋体"/>
          <w:kern w:val="0"/>
          <w:sz w:val="24"/>
        </w:rPr>
        <w:t>根据信阳市公共资源交易网通知公告栏目中《关于信阳市公共资源交易平台数字证书（CA）互认系统正式上线运行的通知》要求，自行选择CA数字证书服务商，线上、线下办理CA数字证书。</w:t>
      </w:r>
    </w:p>
    <w:p w14:paraId="1D3F670B">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3.3.采购文件获取方式：供应商凭CA数字证书登</w:t>
      </w:r>
      <w:r>
        <w:rPr>
          <w:rFonts w:hint="eastAsia" w:ascii="宋体" w:hAnsi="宋体" w:eastAsia="宋体" w:cs="宋体"/>
          <w:kern w:val="0"/>
          <w:sz w:val="24"/>
          <w:lang w:val="en-US" w:eastAsia="zh-CN"/>
        </w:rPr>
        <w:t>录</w:t>
      </w:r>
      <w:r>
        <w:rPr>
          <w:rFonts w:hint="eastAsia" w:ascii="宋体" w:hAnsi="宋体" w:eastAsia="宋体" w:cs="宋体"/>
          <w:kern w:val="0"/>
          <w:sz w:val="24"/>
        </w:rPr>
        <w:t>会员系统后，即可按网上提示免费下载采购文件及资料（操作程序详见“全国公共资源交易平台（河南省·信阳市）（</w:t>
      </w:r>
      <w:r>
        <w:rPr>
          <w:rFonts w:hint="eastAsia" w:ascii="宋体" w:hAnsi="宋体" w:eastAsia="宋体" w:cs="宋体"/>
          <w:color w:val="auto"/>
          <w:sz w:val="24"/>
          <w:u w:val="none"/>
          <w:shd w:val="clear" w:color="auto" w:fill="FFFFFF"/>
        </w:rPr>
        <w:t>https://ggzyjy.xinyang.gov.cn</w:t>
      </w:r>
      <w:r>
        <w:rPr>
          <w:rFonts w:hint="eastAsia" w:ascii="宋体" w:hAnsi="宋体" w:eastAsia="宋体" w:cs="宋体"/>
          <w:color w:val="auto"/>
          <w:kern w:val="0"/>
          <w:sz w:val="24"/>
        </w:rPr>
        <w:t>）”</w:t>
      </w:r>
      <w:r>
        <w:rPr>
          <w:rFonts w:hint="eastAsia" w:ascii="宋体" w:hAnsi="宋体" w:eastAsia="宋体" w:cs="宋体"/>
          <w:kern w:val="0"/>
          <w:sz w:val="24"/>
        </w:rPr>
        <w:t>网站下载</w:t>
      </w:r>
      <w:r>
        <w:rPr>
          <w:rFonts w:hint="eastAsia" w:ascii="宋体" w:hAnsi="宋体" w:eastAsia="宋体" w:cs="宋体"/>
          <w:kern w:val="0"/>
          <w:sz w:val="24"/>
          <w:lang w:val="en-US" w:eastAsia="zh-CN"/>
        </w:rPr>
        <w:t>专区</w:t>
      </w:r>
      <w:r>
        <w:rPr>
          <w:rFonts w:hint="eastAsia" w:ascii="宋体" w:hAnsi="宋体" w:eastAsia="宋体" w:cs="宋体"/>
          <w:kern w:val="0"/>
          <w:sz w:val="24"/>
        </w:rPr>
        <w:t>栏目里供应商操作手册）。</w:t>
      </w:r>
      <w:r>
        <w:rPr>
          <w:rFonts w:hint="eastAsia" w:ascii="宋体" w:hAnsi="宋体" w:eastAsia="宋体" w:cs="宋体"/>
          <w:kern w:val="0"/>
          <w:sz w:val="24"/>
          <w:lang w:val="en-US" w:eastAsia="zh-CN"/>
        </w:rPr>
        <w:t>采购</w:t>
      </w:r>
      <w:r>
        <w:rPr>
          <w:rFonts w:hint="eastAsia" w:ascii="宋体" w:hAnsi="宋体" w:eastAsia="宋体" w:cs="宋体"/>
          <w:kern w:val="0"/>
          <w:sz w:val="24"/>
        </w:rPr>
        <w:t>文件(*.XYZF格式)下载后需使用“信阳市投标文件制作工具软件”打开（该工具软件可在“全国公共资源交易平台（河南省·信阳市）（</w:t>
      </w:r>
      <w:r>
        <w:rPr>
          <w:rFonts w:hint="eastAsia" w:ascii="宋体" w:hAnsi="宋体" w:eastAsia="宋体" w:cs="宋体"/>
          <w:color w:val="auto"/>
          <w:sz w:val="24"/>
          <w:u w:val="none"/>
          <w:shd w:val="clear" w:color="auto" w:fill="FFFFFF"/>
        </w:rPr>
        <w:t>https://ggzyjy.xinyang.gov.cn</w:t>
      </w:r>
      <w:r>
        <w:rPr>
          <w:rFonts w:hint="eastAsia" w:ascii="宋体" w:hAnsi="宋体" w:eastAsia="宋体" w:cs="宋体"/>
          <w:color w:val="auto"/>
          <w:kern w:val="0"/>
          <w:sz w:val="24"/>
        </w:rPr>
        <w:t>）”</w:t>
      </w:r>
      <w:r>
        <w:rPr>
          <w:rFonts w:hint="eastAsia" w:ascii="宋体" w:hAnsi="宋体" w:eastAsia="宋体" w:cs="宋体"/>
          <w:kern w:val="0"/>
          <w:sz w:val="24"/>
        </w:rPr>
        <w:t>网站下载</w:t>
      </w:r>
      <w:r>
        <w:rPr>
          <w:rFonts w:hint="eastAsia" w:ascii="宋体" w:hAnsi="宋体" w:eastAsia="宋体" w:cs="宋体"/>
          <w:kern w:val="0"/>
          <w:sz w:val="24"/>
          <w:lang w:val="en-US" w:eastAsia="zh-CN"/>
        </w:rPr>
        <w:t>专区</w:t>
      </w:r>
      <w:r>
        <w:rPr>
          <w:rFonts w:hint="eastAsia" w:ascii="宋体" w:hAnsi="宋体" w:eastAsia="宋体" w:cs="宋体"/>
          <w:kern w:val="0"/>
          <w:sz w:val="24"/>
        </w:rPr>
        <w:t>栏目内下载或在采购文件领取页面下载）；</w:t>
      </w:r>
    </w:p>
    <w:p w14:paraId="407FF15C">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3.4.请供应商下载</w:t>
      </w:r>
      <w:r>
        <w:rPr>
          <w:rFonts w:hint="eastAsia" w:ascii="宋体" w:hAnsi="宋体" w:eastAsia="宋体" w:cs="宋体"/>
          <w:kern w:val="0"/>
          <w:sz w:val="24"/>
          <w:lang w:val="en-US" w:eastAsia="zh-CN"/>
        </w:rPr>
        <w:t>采购</w:t>
      </w:r>
      <w:r>
        <w:rPr>
          <w:rFonts w:hint="eastAsia" w:ascii="宋体" w:hAnsi="宋体" w:eastAsia="宋体" w:cs="宋体"/>
          <w:kern w:val="0"/>
          <w:sz w:val="24"/>
        </w:rPr>
        <w:t>文件后，及时关注系统业务菜单（“答疑澄清文件领取”、“控制价文件领取”）内该项目是否</w:t>
      </w:r>
      <w:r>
        <w:rPr>
          <w:rFonts w:hint="eastAsia" w:ascii="宋体" w:hAnsi="宋体" w:cs="宋体"/>
          <w:kern w:val="0"/>
          <w:sz w:val="24"/>
          <w:lang w:eastAsia="zh-CN"/>
        </w:rPr>
        <w:t>有</w:t>
      </w:r>
      <w:r>
        <w:rPr>
          <w:rFonts w:hint="eastAsia" w:ascii="宋体" w:hAnsi="宋体" w:eastAsia="宋体" w:cs="宋体"/>
          <w:kern w:val="0"/>
          <w:sz w:val="24"/>
        </w:rPr>
        <w:t>新的答疑澄清文件或控制价文件。如有请直接下载，不再另行通知。</w:t>
      </w:r>
    </w:p>
    <w:p w14:paraId="1B9E24C0">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rPr>
      </w:pPr>
      <w:r>
        <w:rPr>
          <w:rFonts w:hint="eastAsia" w:ascii="宋体" w:hAnsi="宋体" w:eastAsia="宋体" w:cs="宋体"/>
          <w:sz w:val="24"/>
          <w:szCs w:val="32"/>
        </w:rPr>
        <w:t>4.售价：0元。</w:t>
      </w:r>
    </w:p>
    <w:p w14:paraId="5E892765">
      <w:pPr>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4"/>
          <w:szCs w:val="32"/>
          <w:lang w:eastAsia="zh-CN"/>
        </w:rPr>
      </w:pPr>
      <w:r>
        <w:rPr>
          <w:rFonts w:hint="eastAsia" w:ascii="宋体" w:hAnsi="宋体" w:eastAsia="宋体" w:cs="宋体"/>
          <w:b/>
          <w:bCs/>
          <w:sz w:val="24"/>
          <w:szCs w:val="32"/>
        </w:rPr>
        <w:t>四、响应文件提交</w:t>
      </w:r>
      <w:r>
        <w:rPr>
          <w:rFonts w:hint="eastAsia" w:ascii="宋体" w:hAnsi="宋体" w:eastAsia="宋体" w:cs="宋体"/>
          <w:b/>
          <w:bCs/>
          <w:sz w:val="24"/>
          <w:szCs w:val="32"/>
          <w:lang w:eastAsia="zh-CN"/>
        </w:rPr>
        <w:t>：</w:t>
      </w:r>
    </w:p>
    <w:p w14:paraId="200583D3">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w:t>
      </w:r>
      <w:r>
        <w:rPr>
          <w:rFonts w:hint="eastAsia" w:ascii="宋体" w:hAnsi="宋体" w:eastAsia="宋体" w:cs="宋体"/>
          <w:color w:val="auto"/>
          <w:kern w:val="0"/>
          <w:sz w:val="24"/>
          <w:lang w:val="en-US" w:eastAsia="zh-CN"/>
        </w:rPr>
        <w:t>截止</w:t>
      </w:r>
      <w:r>
        <w:rPr>
          <w:rFonts w:hint="eastAsia" w:ascii="宋体" w:hAnsi="宋体" w:eastAsia="宋体" w:cs="宋体"/>
          <w:color w:val="auto"/>
          <w:kern w:val="0"/>
          <w:sz w:val="24"/>
        </w:rPr>
        <w:t>时间：</w:t>
      </w:r>
      <w:r>
        <w:rPr>
          <w:rFonts w:hint="eastAsia" w:ascii="宋体" w:hAnsi="宋体" w:cs="宋体"/>
          <w:color w:val="auto"/>
          <w:kern w:val="0"/>
          <w:sz w:val="24"/>
          <w:lang w:val="en-US" w:eastAsia="zh-CN"/>
        </w:rPr>
        <w:t>2026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13</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9</w:t>
      </w:r>
      <w:r>
        <w:rPr>
          <w:rFonts w:hint="eastAsia" w:ascii="宋体" w:hAnsi="宋体" w:eastAsia="宋体" w:cs="宋体"/>
          <w:color w:val="auto"/>
          <w:kern w:val="0"/>
          <w:sz w:val="24"/>
        </w:rPr>
        <w:t>时</w:t>
      </w:r>
      <w:r>
        <w:rPr>
          <w:rFonts w:hint="eastAsia" w:ascii="宋体" w:hAnsi="宋体" w:cs="宋体"/>
          <w:color w:val="auto"/>
          <w:kern w:val="0"/>
          <w:sz w:val="24"/>
          <w:lang w:val="en-US" w:eastAsia="zh-CN"/>
        </w:rPr>
        <w:t>0</w:t>
      </w:r>
      <w:r>
        <w:rPr>
          <w:rFonts w:hint="eastAsia" w:ascii="宋体" w:hAnsi="宋体" w:eastAsia="宋体" w:cs="宋体"/>
          <w:color w:val="auto"/>
          <w:kern w:val="0"/>
          <w:sz w:val="24"/>
        </w:rPr>
        <w:t>0分（北京时间）</w:t>
      </w:r>
    </w:p>
    <w:p w14:paraId="76AF641D">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2.地点：本项目为不见面开标项目，响应文件递交地点为“</w:t>
      </w:r>
      <w:r>
        <w:rPr>
          <w:rFonts w:hint="eastAsia" w:ascii="宋体" w:hAnsi="宋体" w:cs="宋体"/>
          <w:color w:val="auto"/>
          <w:kern w:val="0"/>
          <w:sz w:val="24"/>
          <w:lang w:eastAsia="zh-CN"/>
        </w:rPr>
        <w:t>全国公共资源交易平台（河南省·信阳市）</w:t>
      </w:r>
      <w:r>
        <w:rPr>
          <w:rFonts w:hint="eastAsia" w:ascii="宋体" w:hAnsi="宋体" w:eastAsia="宋体" w:cs="宋体"/>
          <w:color w:val="auto"/>
          <w:kern w:val="0"/>
          <w:sz w:val="24"/>
        </w:rPr>
        <w:t>（</w:t>
      </w:r>
      <w:r>
        <w:rPr>
          <w:rFonts w:hint="eastAsia" w:ascii="宋体" w:hAnsi="宋体" w:cs="宋体"/>
          <w:color w:val="auto"/>
          <w:kern w:val="0"/>
          <w:sz w:val="24"/>
          <w:lang w:eastAsia="zh-CN"/>
        </w:rPr>
        <w:t>https://ggzyjy.xinyang.gov.cn/</w:t>
      </w:r>
      <w:r>
        <w:rPr>
          <w:rFonts w:hint="eastAsia" w:ascii="宋体" w:hAnsi="宋体" w:eastAsia="宋体" w:cs="宋体"/>
          <w:color w:val="auto"/>
          <w:kern w:val="0"/>
          <w:sz w:val="24"/>
        </w:rPr>
        <w:t>）”电子招投标平台会员系统指定位置。</w:t>
      </w:r>
    </w:p>
    <w:p w14:paraId="645B0637">
      <w:pPr>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4"/>
          <w:szCs w:val="32"/>
          <w:lang w:eastAsia="zh-CN"/>
        </w:rPr>
      </w:pPr>
      <w:r>
        <w:rPr>
          <w:rFonts w:hint="eastAsia" w:ascii="宋体" w:hAnsi="宋体" w:eastAsia="宋体" w:cs="宋体"/>
          <w:b/>
          <w:bCs/>
          <w:color w:val="auto"/>
          <w:sz w:val="24"/>
          <w:szCs w:val="32"/>
        </w:rPr>
        <w:t>五、响应文件开启</w:t>
      </w:r>
      <w:r>
        <w:rPr>
          <w:rFonts w:hint="eastAsia" w:ascii="宋体" w:hAnsi="宋体" w:eastAsia="宋体" w:cs="宋体"/>
          <w:b/>
          <w:bCs/>
          <w:color w:val="auto"/>
          <w:sz w:val="24"/>
          <w:szCs w:val="32"/>
          <w:lang w:eastAsia="zh-CN"/>
        </w:rPr>
        <w:t>：</w:t>
      </w:r>
    </w:p>
    <w:p w14:paraId="40935DCE">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1.时间：</w:t>
      </w:r>
      <w:r>
        <w:rPr>
          <w:rFonts w:hint="eastAsia" w:ascii="宋体" w:hAnsi="宋体" w:cs="宋体"/>
          <w:color w:val="auto"/>
          <w:kern w:val="0"/>
          <w:sz w:val="24"/>
          <w:lang w:val="en-US" w:eastAsia="zh-CN"/>
        </w:rPr>
        <w:t>2026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13</w:t>
      </w:r>
      <w:r>
        <w:rPr>
          <w:rFonts w:hint="eastAsia" w:ascii="宋体" w:hAnsi="宋体" w:eastAsia="宋体" w:cs="宋体"/>
          <w:color w:val="auto"/>
          <w:kern w:val="0"/>
          <w:sz w:val="24"/>
        </w:rPr>
        <w:t>日</w:t>
      </w:r>
      <w:r>
        <w:rPr>
          <w:rFonts w:hint="eastAsia" w:ascii="宋体" w:hAnsi="宋体" w:cs="宋体"/>
          <w:color w:val="auto"/>
          <w:kern w:val="0"/>
          <w:sz w:val="24"/>
          <w:lang w:val="en-US" w:eastAsia="zh-CN"/>
        </w:rPr>
        <w:t>9</w:t>
      </w:r>
      <w:r>
        <w:rPr>
          <w:rFonts w:hint="eastAsia" w:ascii="宋体" w:hAnsi="宋体" w:eastAsia="宋体" w:cs="宋体"/>
          <w:color w:val="auto"/>
          <w:kern w:val="0"/>
          <w:sz w:val="24"/>
        </w:rPr>
        <w:t>时</w:t>
      </w:r>
      <w:r>
        <w:rPr>
          <w:rFonts w:hint="eastAsia" w:ascii="宋体" w:hAnsi="宋体" w:cs="宋体"/>
          <w:color w:val="auto"/>
          <w:kern w:val="0"/>
          <w:sz w:val="24"/>
          <w:lang w:val="en-US" w:eastAsia="zh-CN"/>
        </w:rPr>
        <w:t>0</w:t>
      </w:r>
      <w:r>
        <w:rPr>
          <w:rFonts w:hint="eastAsia" w:ascii="宋体" w:hAnsi="宋体" w:eastAsia="宋体" w:cs="宋体"/>
          <w:color w:val="auto"/>
          <w:kern w:val="0"/>
          <w:sz w:val="24"/>
        </w:rPr>
        <w:t>0分（北京时间）</w:t>
      </w:r>
    </w:p>
    <w:p w14:paraId="4B7583BE">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rPr>
      </w:pPr>
      <w:r>
        <w:rPr>
          <w:rFonts w:hint="eastAsia" w:ascii="宋体" w:hAnsi="宋体" w:eastAsia="宋体" w:cs="宋体"/>
          <w:color w:val="auto"/>
          <w:kern w:val="0"/>
          <w:sz w:val="24"/>
        </w:rPr>
        <w:t>2.地点：</w:t>
      </w:r>
      <w:r>
        <w:rPr>
          <w:rFonts w:hint="eastAsia" w:ascii="宋体" w:hAnsi="宋体" w:cs="宋体"/>
          <w:b w:val="0"/>
          <w:bCs w:val="0"/>
          <w:color w:val="auto"/>
          <w:sz w:val="24"/>
          <w:szCs w:val="32"/>
          <w:lang w:val="zh-CN" w:eastAsia="zh-CN"/>
        </w:rPr>
        <w:t>信阳市公共资源交易中心AI机器人开标虚拟</w:t>
      </w:r>
      <w:r>
        <w:rPr>
          <w:rFonts w:hint="eastAsia" w:ascii="宋体" w:hAnsi="宋体" w:cs="宋体"/>
          <w:b w:val="0"/>
          <w:bCs w:val="0"/>
          <w:color w:val="auto"/>
          <w:sz w:val="24"/>
          <w:szCs w:val="32"/>
          <w:lang w:val="en-US" w:eastAsia="zh-CN"/>
        </w:rPr>
        <w:t>七</w:t>
      </w:r>
      <w:r>
        <w:rPr>
          <w:rFonts w:hint="eastAsia" w:ascii="宋体" w:hAnsi="宋体" w:cs="宋体"/>
          <w:b w:val="0"/>
          <w:bCs w:val="0"/>
          <w:color w:val="auto"/>
          <w:sz w:val="24"/>
          <w:szCs w:val="32"/>
          <w:lang w:val="zh-CN" w:eastAsia="zh-CN"/>
        </w:rPr>
        <w:t>厅</w:t>
      </w:r>
    </w:p>
    <w:p w14:paraId="1AD88CF1">
      <w:pPr>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sz w:val="24"/>
          <w:szCs w:val="32"/>
        </w:rPr>
      </w:pPr>
      <w:r>
        <w:rPr>
          <w:rFonts w:hint="eastAsia" w:ascii="宋体" w:hAnsi="宋体" w:eastAsia="宋体" w:cs="宋体"/>
          <w:b/>
          <w:bCs/>
          <w:sz w:val="24"/>
          <w:szCs w:val="32"/>
        </w:rPr>
        <w:t>六、发布公告的媒介及公告期限：</w:t>
      </w:r>
    </w:p>
    <w:p w14:paraId="46F779F3">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本次</w:t>
      </w:r>
      <w:r>
        <w:rPr>
          <w:rFonts w:hint="eastAsia" w:ascii="宋体" w:hAnsi="宋体" w:eastAsia="宋体" w:cs="宋体"/>
          <w:kern w:val="0"/>
          <w:sz w:val="24"/>
          <w:lang w:val="en-US" w:eastAsia="zh-CN"/>
        </w:rPr>
        <w:t>磋商</w:t>
      </w:r>
      <w:r>
        <w:rPr>
          <w:rFonts w:hint="eastAsia" w:ascii="宋体" w:hAnsi="宋体" w:eastAsia="宋体" w:cs="宋体"/>
          <w:kern w:val="0"/>
          <w:sz w:val="24"/>
        </w:rPr>
        <w:t>公告在《</w:t>
      </w:r>
      <w:r>
        <w:rPr>
          <w:rFonts w:hint="eastAsia" w:ascii="宋体" w:hAnsi="宋体" w:cs="宋体"/>
          <w:kern w:val="0"/>
          <w:sz w:val="24"/>
          <w:lang w:eastAsia="zh-CN"/>
        </w:rPr>
        <w:t>全国公共资源交易平台（河南省·信阳市）</w:t>
      </w:r>
      <w:r>
        <w:rPr>
          <w:rFonts w:hint="eastAsia" w:ascii="宋体" w:hAnsi="宋体" w:eastAsia="宋体" w:cs="宋体"/>
          <w:kern w:val="0"/>
          <w:sz w:val="24"/>
        </w:rPr>
        <w:t>》</w:t>
      </w:r>
      <w:r>
        <w:rPr>
          <w:rFonts w:hint="eastAsia" w:ascii="宋体" w:hAnsi="宋体" w:cs="宋体"/>
          <w:kern w:val="0"/>
          <w:sz w:val="24"/>
          <w:lang w:val="en-US" w:eastAsia="zh-CN"/>
        </w:rPr>
        <w:t>和</w:t>
      </w:r>
      <w:r>
        <w:rPr>
          <w:rFonts w:hint="eastAsia" w:ascii="宋体" w:hAnsi="宋体" w:eastAsia="宋体" w:cs="宋体"/>
          <w:kern w:val="0"/>
          <w:sz w:val="24"/>
          <w:lang w:eastAsia="zh-CN"/>
        </w:rPr>
        <w:t>《河南省政府采购网》</w:t>
      </w:r>
      <w:r>
        <w:rPr>
          <w:rFonts w:hint="eastAsia" w:ascii="宋体" w:hAnsi="宋体" w:eastAsia="宋体" w:cs="宋体"/>
          <w:kern w:val="0"/>
          <w:sz w:val="24"/>
        </w:rPr>
        <w:t>网上发布</w:t>
      </w:r>
      <w:r>
        <w:rPr>
          <w:rFonts w:hint="eastAsia" w:ascii="宋体" w:hAnsi="宋体" w:eastAsia="宋体" w:cs="宋体"/>
          <w:kern w:val="0"/>
          <w:sz w:val="24"/>
          <w:lang w:eastAsia="zh-CN"/>
        </w:rPr>
        <w:t>，</w:t>
      </w:r>
      <w:r>
        <w:rPr>
          <w:rFonts w:hint="eastAsia" w:ascii="宋体" w:hAnsi="宋体" w:eastAsia="宋体" w:cs="宋体"/>
          <w:kern w:val="0"/>
          <w:sz w:val="24"/>
          <w:lang w:val="en-US" w:eastAsia="zh-CN"/>
        </w:rPr>
        <w:t>磋商</w:t>
      </w:r>
      <w:r>
        <w:rPr>
          <w:rFonts w:hint="eastAsia" w:ascii="宋体" w:hAnsi="宋体" w:eastAsia="宋体" w:cs="宋体"/>
          <w:kern w:val="0"/>
          <w:sz w:val="24"/>
          <w:lang w:eastAsia="zh-CN"/>
        </w:rPr>
        <w:t>公告期限为</w:t>
      </w:r>
      <w:r>
        <w:rPr>
          <w:rFonts w:hint="eastAsia" w:ascii="宋体" w:hAnsi="宋体" w:eastAsia="宋体" w:cs="宋体"/>
          <w:kern w:val="0"/>
          <w:sz w:val="24"/>
          <w:lang w:val="en-US" w:eastAsia="zh-CN"/>
        </w:rPr>
        <w:t>五</w:t>
      </w:r>
      <w:r>
        <w:rPr>
          <w:rFonts w:hint="eastAsia" w:ascii="宋体" w:hAnsi="宋体" w:eastAsia="宋体" w:cs="宋体"/>
          <w:kern w:val="0"/>
          <w:sz w:val="24"/>
          <w:lang w:eastAsia="zh-CN"/>
        </w:rPr>
        <w:t>个工作日</w:t>
      </w:r>
      <w:r>
        <w:rPr>
          <w:rFonts w:hint="eastAsia" w:ascii="宋体" w:hAnsi="宋体" w:eastAsia="宋体" w:cs="宋体"/>
          <w:kern w:val="0"/>
          <w:sz w:val="24"/>
        </w:rPr>
        <w:t>。</w:t>
      </w:r>
    </w:p>
    <w:p w14:paraId="2B3A893F">
      <w:pPr>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sz w:val="24"/>
          <w:szCs w:val="32"/>
          <w:lang w:val="zh-CN"/>
        </w:rPr>
      </w:pPr>
      <w:r>
        <w:rPr>
          <w:rFonts w:hint="eastAsia" w:ascii="宋体" w:hAnsi="宋体" w:eastAsia="宋体" w:cs="宋体"/>
          <w:b/>
          <w:bCs/>
          <w:sz w:val="24"/>
          <w:szCs w:val="32"/>
          <w:lang w:val="zh-CN"/>
        </w:rPr>
        <w:t>七、其他补充事宜：</w:t>
      </w:r>
    </w:p>
    <w:p w14:paraId="5B4326FE">
      <w:pPr>
        <w:keepLines w:val="0"/>
        <w:pageBreakBefore w:val="0"/>
        <w:widowControl w:val="0"/>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eastAsia="宋体" w:cs="宋体"/>
          <w:kern w:val="0"/>
          <w:sz w:val="24"/>
          <w:lang w:val="en-US" w:eastAsia="zh-CN"/>
        </w:rPr>
        <w:t>供应商</w:t>
      </w:r>
      <w:r>
        <w:rPr>
          <w:rFonts w:hint="eastAsia" w:ascii="宋体" w:hAnsi="宋体" w:eastAsia="宋体" w:cs="宋体"/>
          <w:kern w:val="0"/>
          <w:sz w:val="24"/>
        </w:rPr>
        <w:t>必须在</w:t>
      </w:r>
      <w:r>
        <w:rPr>
          <w:rFonts w:hint="eastAsia" w:ascii="宋体" w:hAnsi="宋体" w:eastAsia="宋体" w:cs="宋体"/>
          <w:kern w:val="0"/>
          <w:sz w:val="24"/>
          <w:lang w:val="en-US" w:eastAsia="zh-CN"/>
        </w:rPr>
        <w:t>响应文件提交</w:t>
      </w:r>
      <w:r>
        <w:rPr>
          <w:rFonts w:hint="eastAsia" w:ascii="宋体" w:hAnsi="宋体" w:eastAsia="宋体" w:cs="宋体"/>
          <w:kern w:val="0"/>
          <w:sz w:val="24"/>
        </w:rPr>
        <w:t>截止时间前通过信阳市市县一体化公共资源交易系统</w:t>
      </w:r>
      <w:r>
        <w:rPr>
          <w:rFonts w:hint="eastAsia" w:ascii="宋体" w:hAnsi="宋体" w:eastAsia="宋体" w:cs="宋体"/>
          <w:b w:val="0"/>
          <w:bCs w:val="0"/>
          <w:strike w:val="0"/>
          <w:dstrike w:val="0"/>
          <w:color w:val="auto"/>
          <w:sz w:val="24"/>
          <w:szCs w:val="32"/>
          <w:lang w:val="en-US" w:eastAsia="zh-CN"/>
        </w:rPr>
        <w:t>（https://ggzyjy.xinyang.gov.cn/TPBidder/memberLogin）</w:t>
      </w:r>
      <w:r>
        <w:rPr>
          <w:rFonts w:hint="eastAsia" w:ascii="宋体" w:hAnsi="宋体" w:eastAsia="宋体" w:cs="宋体"/>
          <w:b w:val="0"/>
          <w:bCs w:val="0"/>
          <w:color w:val="auto"/>
          <w:kern w:val="0"/>
          <w:sz w:val="24"/>
        </w:rPr>
        <w:t>上</w:t>
      </w:r>
      <w:r>
        <w:rPr>
          <w:rFonts w:hint="eastAsia" w:ascii="宋体" w:hAnsi="宋体" w:eastAsia="宋体" w:cs="宋体"/>
          <w:kern w:val="0"/>
          <w:sz w:val="24"/>
        </w:rPr>
        <w:t>传电子</w:t>
      </w:r>
      <w:r>
        <w:rPr>
          <w:rFonts w:hint="eastAsia" w:ascii="宋体" w:hAnsi="宋体" w:eastAsia="宋体" w:cs="宋体"/>
          <w:kern w:val="0"/>
          <w:sz w:val="24"/>
          <w:lang w:val="en-US" w:eastAsia="zh-CN"/>
        </w:rPr>
        <w:t>响应</w:t>
      </w:r>
      <w:r>
        <w:rPr>
          <w:rFonts w:hint="eastAsia" w:ascii="宋体" w:hAnsi="宋体" w:eastAsia="宋体" w:cs="宋体"/>
          <w:kern w:val="0"/>
          <w:sz w:val="24"/>
        </w:rPr>
        <w:t>文件(*.XYTF格式)。上传的电子</w:t>
      </w:r>
      <w:r>
        <w:rPr>
          <w:rFonts w:hint="eastAsia" w:ascii="宋体" w:hAnsi="宋体" w:eastAsia="宋体" w:cs="宋体"/>
          <w:kern w:val="0"/>
          <w:sz w:val="24"/>
          <w:lang w:val="en-US" w:eastAsia="zh-CN"/>
        </w:rPr>
        <w:t>响应</w:t>
      </w:r>
      <w:r>
        <w:rPr>
          <w:rFonts w:hint="eastAsia" w:ascii="宋体" w:hAnsi="宋体" w:eastAsia="宋体" w:cs="宋体"/>
          <w:kern w:val="0"/>
          <w:sz w:val="24"/>
        </w:rPr>
        <w:t>文件应使用</w:t>
      </w:r>
      <w:r>
        <w:rPr>
          <w:rFonts w:hint="eastAsia" w:ascii="宋体" w:hAnsi="宋体" w:eastAsia="宋体" w:cs="宋体"/>
          <w:kern w:val="0"/>
          <w:sz w:val="24"/>
          <w:lang w:val="en-US" w:eastAsia="zh-CN"/>
        </w:rPr>
        <w:t>供应商</w:t>
      </w:r>
      <w:r>
        <w:rPr>
          <w:rFonts w:hint="eastAsia" w:ascii="宋体" w:hAnsi="宋体" w:eastAsia="宋体" w:cs="宋体"/>
          <w:kern w:val="0"/>
          <w:sz w:val="24"/>
        </w:rPr>
        <w:t>CA数字证书认证并加密。</w:t>
      </w:r>
    </w:p>
    <w:p w14:paraId="3D9747BF">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2.加密电子</w:t>
      </w:r>
      <w:r>
        <w:rPr>
          <w:rFonts w:hint="eastAsia" w:ascii="宋体" w:hAnsi="宋体" w:eastAsia="宋体" w:cs="宋体"/>
          <w:kern w:val="0"/>
          <w:sz w:val="24"/>
          <w:lang w:val="en-US" w:eastAsia="zh-CN"/>
        </w:rPr>
        <w:t>响应</w:t>
      </w:r>
      <w:r>
        <w:rPr>
          <w:rFonts w:hint="eastAsia" w:ascii="宋体" w:hAnsi="宋体" w:eastAsia="宋体" w:cs="宋体"/>
          <w:kern w:val="0"/>
          <w:sz w:val="24"/>
        </w:rPr>
        <w:t>文件逾期上传的，采购人不予受理。</w:t>
      </w:r>
    </w:p>
    <w:p w14:paraId="37649A30">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3.本项目采用“不见面开标”交易方式，不见面开标大厅网址为</w:t>
      </w:r>
      <w:r>
        <w:rPr>
          <w:rFonts w:hint="eastAsia" w:ascii="宋体" w:hAnsi="宋体" w:eastAsia="宋体" w:cs="宋体"/>
          <w:kern w:val="0"/>
          <w:sz w:val="24"/>
          <w:lang w:val="en-US" w:eastAsia="zh-CN"/>
        </w:rPr>
        <w:t>https://ggzyjy.xinyang.gov.cn/BidOpening/bidhall/xinyang/login.html</w:t>
      </w:r>
      <w:r>
        <w:rPr>
          <w:rFonts w:hint="eastAsia" w:ascii="宋体" w:hAnsi="宋体" w:eastAsia="宋体" w:cs="宋体"/>
          <w:color w:val="auto"/>
          <w:kern w:val="0"/>
          <w:sz w:val="24"/>
          <w:u w:val="none"/>
        </w:rPr>
        <w:t>，</w:t>
      </w:r>
      <w:r>
        <w:rPr>
          <w:rFonts w:hint="eastAsia" w:ascii="宋体" w:hAnsi="宋体" w:eastAsia="宋体" w:cs="宋体"/>
          <w:kern w:val="0"/>
          <w:sz w:val="24"/>
          <w:lang w:val="en-US" w:eastAsia="zh-CN"/>
        </w:rPr>
        <w:t>供应商</w:t>
      </w:r>
      <w:r>
        <w:rPr>
          <w:rFonts w:hint="eastAsia" w:ascii="宋体" w:hAnsi="宋体" w:eastAsia="宋体" w:cs="宋体"/>
          <w:color w:val="auto"/>
          <w:kern w:val="0"/>
          <w:sz w:val="24"/>
          <w:u w:val="none"/>
        </w:rPr>
        <w:t>无需寄送和递交非加密的电子</w:t>
      </w:r>
      <w:r>
        <w:rPr>
          <w:rFonts w:hint="eastAsia" w:ascii="宋体" w:hAnsi="宋体" w:eastAsia="宋体" w:cs="宋体"/>
          <w:kern w:val="0"/>
          <w:sz w:val="24"/>
          <w:lang w:val="en-US" w:eastAsia="zh-CN"/>
        </w:rPr>
        <w:t>响应</w:t>
      </w:r>
      <w:r>
        <w:rPr>
          <w:rFonts w:hint="eastAsia" w:ascii="宋体" w:hAnsi="宋体" w:eastAsia="宋体" w:cs="宋体"/>
          <w:color w:val="auto"/>
          <w:kern w:val="0"/>
          <w:sz w:val="24"/>
          <w:u w:val="none"/>
        </w:rPr>
        <w:t>文件，无需到现场参加开标会议，无需到达现场提交原件资料。</w:t>
      </w:r>
    </w:p>
    <w:p w14:paraId="38D12EDB">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4.</w:t>
      </w:r>
      <w:r>
        <w:rPr>
          <w:rFonts w:hint="eastAsia" w:ascii="宋体" w:hAnsi="宋体" w:eastAsia="宋体" w:cs="宋体"/>
          <w:kern w:val="0"/>
          <w:sz w:val="24"/>
          <w:lang w:val="en-US" w:eastAsia="zh-CN"/>
        </w:rPr>
        <w:t>供应商</w:t>
      </w:r>
      <w:r>
        <w:rPr>
          <w:rFonts w:hint="eastAsia" w:ascii="宋体" w:hAnsi="宋体" w:eastAsia="宋体" w:cs="宋体"/>
          <w:kern w:val="0"/>
          <w:sz w:val="24"/>
        </w:rPr>
        <w:t>应当在</w:t>
      </w:r>
      <w:r>
        <w:rPr>
          <w:rFonts w:hint="eastAsia" w:ascii="宋体" w:hAnsi="宋体" w:eastAsia="宋体" w:cs="宋体"/>
          <w:kern w:val="0"/>
          <w:sz w:val="24"/>
          <w:lang w:val="en-US" w:eastAsia="zh-CN"/>
        </w:rPr>
        <w:t>响应文件提交</w:t>
      </w:r>
      <w:r>
        <w:rPr>
          <w:rFonts w:hint="eastAsia" w:ascii="宋体" w:hAnsi="宋体" w:eastAsia="宋体" w:cs="宋体"/>
          <w:kern w:val="0"/>
          <w:sz w:val="24"/>
        </w:rPr>
        <w:t>截止时间前，使用</w:t>
      </w:r>
      <w:r>
        <w:rPr>
          <w:rFonts w:hint="eastAsia" w:ascii="宋体" w:hAnsi="宋体" w:eastAsia="宋体" w:cs="宋体"/>
          <w:kern w:val="0"/>
          <w:sz w:val="24"/>
          <w:lang w:val="en-US" w:eastAsia="zh-CN"/>
        </w:rPr>
        <w:t>供应商</w:t>
      </w:r>
      <w:r>
        <w:rPr>
          <w:rFonts w:hint="eastAsia" w:ascii="宋体" w:hAnsi="宋体" w:eastAsia="宋体" w:cs="宋体"/>
          <w:kern w:val="0"/>
          <w:sz w:val="24"/>
        </w:rPr>
        <w:t>CA数字证书登录不见面开标大厅，在线签到并准时参加开标活动，并在规定时间内完成电子</w:t>
      </w:r>
      <w:r>
        <w:rPr>
          <w:rFonts w:hint="eastAsia" w:ascii="宋体" w:hAnsi="宋体" w:eastAsia="宋体" w:cs="宋体"/>
          <w:kern w:val="0"/>
          <w:sz w:val="24"/>
          <w:lang w:val="en-US" w:eastAsia="zh-CN"/>
        </w:rPr>
        <w:t>响应</w:t>
      </w:r>
      <w:r>
        <w:rPr>
          <w:rFonts w:hint="eastAsia" w:ascii="宋体" w:hAnsi="宋体" w:eastAsia="宋体" w:cs="宋体"/>
          <w:kern w:val="0"/>
          <w:sz w:val="24"/>
        </w:rPr>
        <w:t>文件解密、答疑澄清等。</w:t>
      </w:r>
    </w:p>
    <w:p w14:paraId="4A70957D">
      <w:pPr>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kern w:val="0"/>
          <w:sz w:val="24"/>
        </w:rPr>
      </w:pPr>
      <w:r>
        <w:rPr>
          <w:rFonts w:hint="eastAsia" w:ascii="宋体" w:hAnsi="宋体" w:eastAsia="宋体" w:cs="宋体"/>
          <w:kern w:val="0"/>
          <w:sz w:val="24"/>
        </w:rPr>
        <w:t>5.逾期解密或者没有准时在线参加开标活动导致的一切后</w:t>
      </w:r>
      <w:r>
        <w:rPr>
          <w:rFonts w:hint="eastAsia" w:ascii="宋体" w:hAnsi="宋体" w:cs="宋体"/>
          <w:kern w:val="0"/>
          <w:sz w:val="24"/>
          <w:lang w:eastAsia="zh-CN"/>
        </w:rPr>
        <w:t>果由</w:t>
      </w:r>
      <w:r>
        <w:rPr>
          <w:rFonts w:hint="eastAsia" w:ascii="宋体" w:hAnsi="宋体" w:eastAsia="宋体" w:cs="宋体"/>
          <w:kern w:val="0"/>
          <w:sz w:val="24"/>
          <w:lang w:val="en-US" w:eastAsia="zh-CN"/>
        </w:rPr>
        <w:t>供应商</w:t>
      </w:r>
      <w:r>
        <w:rPr>
          <w:rFonts w:hint="eastAsia" w:ascii="宋体" w:hAnsi="宋体" w:eastAsia="宋体" w:cs="宋体"/>
          <w:kern w:val="0"/>
          <w:sz w:val="24"/>
        </w:rPr>
        <w:t>自行承担。</w:t>
      </w:r>
    </w:p>
    <w:p w14:paraId="36B9C40D">
      <w:pPr>
        <w:widowControl/>
        <w:snapToGrid w:val="0"/>
        <w:spacing w:line="360" w:lineRule="auto"/>
        <w:ind w:firstLine="420"/>
        <w:jc w:val="left"/>
        <w:outlineLvl w:val="9"/>
        <w:rPr>
          <w:rFonts w:hint="eastAsia" w:ascii="宋体" w:hAnsi="宋体" w:eastAsia="宋体" w:cs="宋体"/>
          <w:kern w:val="0"/>
          <w:sz w:val="24"/>
        </w:rPr>
      </w:pPr>
      <w:r>
        <w:rPr>
          <w:rFonts w:hint="eastAsia" w:ascii="宋体" w:hAnsi="宋体" w:eastAsia="宋体" w:cs="宋体"/>
          <w:kern w:val="0"/>
          <w:sz w:val="24"/>
        </w:rPr>
        <w:t>6.不见面开标服务的具体事宜，请查阅“全国公共资源交易平台（河南省·信阳市）”网站首页—下载</w:t>
      </w:r>
      <w:r>
        <w:rPr>
          <w:rFonts w:hint="eastAsia" w:ascii="宋体" w:hAnsi="宋体" w:eastAsia="宋体" w:cs="宋体"/>
          <w:kern w:val="0"/>
          <w:sz w:val="24"/>
          <w:lang w:val="en-US" w:eastAsia="zh-CN"/>
        </w:rPr>
        <w:t>专区</w:t>
      </w:r>
      <w:r>
        <w:rPr>
          <w:rFonts w:hint="eastAsia" w:ascii="宋体" w:hAnsi="宋体" w:eastAsia="宋体" w:cs="宋体"/>
          <w:kern w:val="0"/>
          <w:sz w:val="24"/>
        </w:rPr>
        <w:t>—信阳市不见面开标大厅系统操作手册 。</w:t>
      </w:r>
    </w:p>
    <w:p w14:paraId="356EC0C5">
      <w:pPr>
        <w:widowControl/>
        <w:snapToGrid w:val="0"/>
        <w:spacing w:line="360" w:lineRule="auto"/>
        <w:ind w:firstLine="420"/>
        <w:jc w:val="left"/>
        <w:outlineLvl w:val="9"/>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7、监督机构：</w:t>
      </w:r>
      <w:r>
        <w:rPr>
          <w:rFonts w:hint="eastAsia" w:ascii="宋体" w:hAnsi="宋体" w:cs="宋体"/>
          <w:color w:val="000000"/>
          <w:kern w:val="0"/>
          <w:sz w:val="24"/>
          <w:szCs w:val="24"/>
          <w:lang w:val="en-US" w:eastAsia="zh-CN"/>
        </w:rPr>
        <w:t xml:space="preserve">信阳市羊山新区财政金融局 </w:t>
      </w:r>
    </w:p>
    <w:p w14:paraId="68DBEC53">
      <w:pPr>
        <w:widowControl/>
        <w:snapToGrid w:val="0"/>
        <w:spacing w:line="360" w:lineRule="auto"/>
        <w:ind w:firstLine="720" w:firstLineChars="300"/>
        <w:jc w:val="left"/>
        <w:outlineLvl w:val="9"/>
        <w:rPr>
          <w:rFonts w:hint="eastAsia" w:ascii="宋体" w:hAnsi="宋体" w:eastAsia="宋体" w:cs="宋体"/>
          <w:color w:val="auto"/>
          <w:kern w:val="0"/>
          <w:sz w:val="24"/>
          <w:szCs w:val="24"/>
          <w:lang w:val="en-US" w:eastAsia="zh-CN"/>
        </w:rPr>
      </w:pPr>
      <w:r>
        <w:rPr>
          <w:rFonts w:hint="eastAsia" w:ascii="宋体" w:hAnsi="宋体" w:eastAsia="宋体" w:cs="宋体"/>
          <w:color w:val="000000"/>
          <w:kern w:val="0"/>
          <w:sz w:val="24"/>
          <w:szCs w:val="24"/>
          <w:lang w:val="en-US" w:eastAsia="zh-CN"/>
        </w:rPr>
        <w:t>联系方式：</w:t>
      </w:r>
      <w:r>
        <w:rPr>
          <w:rFonts w:hint="eastAsia" w:ascii="宋体" w:hAnsi="宋体" w:cs="宋体"/>
          <w:color w:val="000000"/>
          <w:kern w:val="0"/>
          <w:sz w:val="24"/>
          <w:szCs w:val="24"/>
          <w:lang w:val="en-US" w:eastAsia="zh-CN"/>
        </w:rPr>
        <w:t>0376-6651556</w:t>
      </w:r>
    </w:p>
    <w:p w14:paraId="2B56482C">
      <w:pPr>
        <w:widowControl/>
        <w:snapToGrid w:val="0"/>
        <w:spacing w:line="360" w:lineRule="auto"/>
        <w:ind w:firstLine="420"/>
        <w:jc w:val="left"/>
        <w:outlineLvl w:val="9"/>
        <w:rPr>
          <w:rFonts w:hint="eastAsia" w:ascii="宋体" w:hAnsi="宋体" w:eastAsia="宋体" w:cs="宋体"/>
          <w:color w:val="auto"/>
          <w:kern w:val="0"/>
          <w:sz w:val="24"/>
        </w:rPr>
      </w:pPr>
      <w:r>
        <w:rPr>
          <w:rFonts w:hint="eastAsia" w:ascii="宋体" w:hAnsi="宋体" w:eastAsia="宋体" w:cs="宋体"/>
          <w:color w:val="auto"/>
          <w:kern w:val="0"/>
          <w:sz w:val="24"/>
          <w:szCs w:val="24"/>
          <w:lang w:val="en-US" w:eastAsia="zh-CN"/>
        </w:rPr>
        <w:t>8、本项目代理服务费参照“豫招协〔2023〕002号”收费标准收取，由中标企业支付</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lang w:val="en-US" w:eastAsia="zh-CN"/>
        </w:rPr>
        <w:t>收费金额为</w:t>
      </w:r>
      <w:r>
        <w:rPr>
          <w:rFonts w:hint="eastAsia" w:ascii="宋体" w:hAnsi="宋体" w:cs="宋体"/>
          <w:color w:val="auto"/>
          <w:kern w:val="0"/>
          <w:sz w:val="24"/>
          <w:szCs w:val="24"/>
          <w:lang w:val="en-US" w:eastAsia="zh-CN"/>
        </w:rPr>
        <w:t>15420.00</w:t>
      </w:r>
      <w:r>
        <w:rPr>
          <w:rFonts w:hint="eastAsia" w:ascii="宋体" w:hAnsi="宋体" w:eastAsia="宋体" w:cs="宋体"/>
          <w:color w:val="auto"/>
          <w:kern w:val="0"/>
          <w:sz w:val="24"/>
          <w:szCs w:val="24"/>
          <w:lang w:val="en-US" w:eastAsia="zh-CN"/>
        </w:rPr>
        <w:t>元。</w:t>
      </w:r>
    </w:p>
    <w:p w14:paraId="413444BE">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rPr>
        <w:t>特别提示：</w:t>
      </w:r>
      <w:r>
        <w:rPr>
          <w:rFonts w:hint="eastAsia" w:ascii="宋体" w:hAnsi="宋体" w:eastAsia="宋体" w:cs="宋体"/>
          <w:b w:val="0"/>
          <w:bCs w:val="0"/>
          <w:color w:val="auto"/>
          <w:kern w:val="0"/>
          <w:sz w:val="24"/>
          <w:lang w:val="en-US" w:eastAsia="zh-CN"/>
        </w:rPr>
        <w:t>供应商</w:t>
      </w:r>
      <w:r>
        <w:rPr>
          <w:rFonts w:hint="eastAsia" w:ascii="宋体" w:hAnsi="宋体" w:eastAsia="宋体" w:cs="宋体"/>
          <w:b w:val="0"/>
          <w:bCs w:val="0"/>
          <w:kern w:val="0"/>
          <w:sz w:val="24"/>
        </w:rPr>
        <w:t>在线签到时，应如实准确</w:t>
      </w:r>
      <w:r>
        <w:rPr>
          <w:rFonts w:hint="eastAsia" w:ascii="宋体" w:hAnsi="宋体" w:cs="宋体"/>
          <w:b w:val="0"/>
          <w:bCs w:val="0"/>
          <w:kern w:val="0"/>
          <w:sz w:val="24"/>
          <w:lang w:eastAsia="zh-CN"/>
        </w:rPr>
        <w:t>地</w:t>
      </w:r>
      <w:r>
        <w:rPr>
          <w:rFonts w:hint="eastAsia" w:ascii="宋体" w:hAnsi="宋体" w:eastAsia="宋体" w:cs="宋体"/>
          <w:b w:val="0"/>
          <w:bCs w:val="0"/>
          <w:kern w:val="0"/>
          <w:sz w:val="24"/>
        </w:rPr>
        <w:t>填写授权委托人的联系电话，开标当天请务必保证电话保持畅通。</w:t>
      </w:r>
    </w:p>
    <w:p w14:paraId="2DDBD203">
      <w:pPr>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sz w:val="24"/>
          <w:szCs w:val="32"/>
          <w:lang w:val="zh-CN"/>
        </w:rPr>
      </w:pPr>
      <w:r>
        <w:rPr>
          <w:rFonts w:hint="eastAsia" w:ascii="宋体" w:hAnsi="宋体" w:eastAsia="宋体" w:cs="宋体"/>
          <w:b/>
          <w:bCs/>
          <w:sz w:val="24"/>
          <w:szCs w:val="32"/>
          <w:lang w:val="zh-CN"/>
        </w:rPr>
        <w:t>八、凡对本次采购提出询问，请按照以下方式联系</w:t>
      </w:r>
    </w:p>
    <w:p w14:paraId="59763D19">
      <w:pPr>
        <w:spacing w:line="360" w:lineRule="auto"/>
        <w:ind w:firstLine="480" w:firstLineChars="200"/>
        <w:jc w:val="left"/>
        <w:rPr>
          <w:rFonts w:hint="eastAsia" w:ascii="宋体" w:hAnsi="宋体" w:eastAsia="宋体" w:cs="宋体"/>
          <w:kern w:val="0"/>
          <w:sz w:val="24"/>
          <w:szCs w:val="24"/>
          <w:highlight w:val="none"/>
        </w:rPr>
      </w:pPr>
      <w:bookmarkStart w:id="2" w:name="_Toc27925"/>
      <w:r>
        <w:rPr>
          <w:rFonts w:hint="eastAsia" w:ascii="宋体" w:hAnsi="宋体" w:eastAsia="宋体" w:cs="宋体"/>
          <w:kern w:val="0"/>
          <w:sz w:val="24"/>
          <w:szCs w:val="24"/>
          <w:highlight w:val="none"/>
        </w:rPr>
        <w:t>1.采购人信息</w:t>
      </w:r>
    </w:p>
    <w:p w14:paraId="59E9EBBB">
      <w:pPr>
        <w:spacing w:line="360" w:lineRule="auto"/>
        <w:ind w:firstLine="480" w:firstLineChars="200"/>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rPr>
        <w:t>名  称：</w:t>
      </w:r>
      <w:r>
        <w:rPr>
          <w:rFonts w:hint="eastAsia" w:ascii="宋体" w:hAnsi="宋体" w:cs="宋体"/>
          <w:kern w:val="0"/>
          <w:sz w:val="24"/>
          <w:szCs w:val="24"/>
          <w:highlight w:val="none"/>
          <w:lang w:eastAsia="zh-CN"/>
        </w:rPr>
        <w:t>信阳市羊山新区规划事务中心</w:t>
      </w:r>
    </w:p>
    <w:p w14:paraId="163B37F1">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地  址：</w:t>
      </w:r>
      <w:r>
        <w:rPr>
          <w:rFonts w:hint="eastAsia" w:ascii="宋体" w:hAnsi="宋体" w:cs="宋体"/>
          <w:kern w:val="0"/>
          <w:sz w:val="24"/>
          <w:szCs w:val="24"/>
          <w:highlight w:val="none"/>
          <w:lang w:eastAsia="zh-CN"/>
        </w:rPr>
        <w:t>信阳市羊山新区招商大厦二楼</w:t>
      </w:r>
      <w:r>
        <w:rPr>
          <w:rFonts w:hint="eastAsia" w:ascii="宋体" w:hAnsi="宋体" w:eastAsia="宋体" w:cs="宋体"/>
          <w:kern w:val="0"/>
          <w:sz w:val="24"/>
          <w:szCs w:val="24"/>
          <w:highlight w:val="none"/>
        </w:rPr>
        <w:t> </w:t>
      </w:r>
    </w:p>
    <w:p w14:paraId="03A91032">
      <w:pPr>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kern w:val="0"/>
          <w:sz w:val="24"/>
          <w:szCs w:val="24"/>
          <w:highlight w:val="none"/>
        </w:rPr>
        <w:t>联系人：</w:t>
      </w:r>
      <w:r>
        <w:rPr>
          <w:rFonts w:hint="eastAsia" w:ascii="宋体" w:hAnsi="宋体" w:cs="宋体"/>
          <w:kern w:val="0"/>
          <w:sz w:val="24"/>
          <w:szCs w:val="24"/>
          <w:highlight w:val="none"/>
          <w:lang w:val="en-US" w:eastAsia="zh-CN"/>
        </w:rPr>
        <w:t>王先生</w:t>
      </w:r>
    </w:p>
    <w:p w14:paraId="23E2A92D">
      <w:pPr>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联系方式：</w:t>
      </w:r>
      <w:r>
        <w:rPr>
          <w:rFonts w:hint="eastAsia" w:ascii="宋体" w:hAnsi="宋体" w:cs="宋体"/>
          <w:color w:val="auto"/>
          <w:kern w:val="0"/>
          <w:sz w:val="24"/>
          <w:szCs w:val="24"/>
          <w:highlight w:val="none"/>
          <w:lang w:val="en-US" w:eastAsia="zh-CN"/>
        </w:rPr>
        <w:t>13513768269</w:t>
      </w:r>
    </w:p>
    <w:p w14:paraId="28141ACE">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2.采购代理机构信息</w:t>
      </w:r>
    </w:p>
    <w:p w14:paraId="1811A404">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名  称：河南众为工程项目管理有限公司</w:t>
      </w:r>
    </w:p>
    <w:p w14:paraId="76FF7DFA">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地  址：郑州市金水区商务内环路2号中油新澳大厦18楼</w:t>
      </w:r>
    </w:p>
    <w:p w14:paraId="71FB34AF">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联系人：黄丽</w:t>
      </w:r>
    </w:p>
    <w:p w14:paraId="496B09E6">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联系方式：13939752172</w:t>
      </w:r>
    </w:p>
    <w:p w14:paraId="2DD1BDB3">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3.项目联系方式</w:t>
      </w:r>
    </w:p>
    <w:p w14:paraId="38BF2461">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项目联系人：黄丽</w:t>
      </w:r>
    </w:p>
    <w:p w14:paraId="34758260">
      <w:pPr>
        <w:spacing w:line="360" w:lineRule="auto"/>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联系方式：13939752172</w:t>
      </w:r>
    </w:p>
    <w:p w14:paraId="3C78AC02">
      <w:pPr>
        <w:pStyle w:val="2"/>
        <w:rPr>
          <w:rFonts w:hint="eastAsia"/>
        </w:rPr>
      </w:pPr>
    </w:p>
    <w:p w14:paraId="0885B762">
      <w:pPr>
        <w:pStyle w:val="49"/>
        <w:rPr>
          <w:rFonts w:hint="eastAsia"/>
        </w:rPr>
      </w:pPr>
    </w:p>
    <w:p w14:paraId="0136FDE2">
      <w:pPr>
        <w:rPr>
          <w:rFonts w:hint="eastAsia"/>
        </w:rPr>
      </w:pPr>
    </w:p>
    <w:p w14:paraId="78726148">
      <w:pPr>
        <w:pStyle w:val="2"/>
        <w:rPr>
          <w:rFonts w:hint="eastAsia"/>
        </w:rPr>
      </w:pPr>
    </w:p>
    <w:p w14:paraId="5D0EF879">
      <w:pPr>
        <w:pStyle w:val="49"/>
        <w:rPr>
          <w:rFonts w:hint="eastAsia"/>
        </w:rPr>
      </w:pPr>
    </w:p>
    <w:p w14:paraId="605FEA90">
      <w:pPr>
        <w:rPr>
          <w:rFonts w:hint="eastAsia"/>
        </w:rPr>
      </w:pPr>
    </w:p>
    <w:p w14:paraId="36EAB1CF">
      <w:pPr>
        <w:pStyle w:val="2"/>
        <w:rPr>
          <w:rFonts w:hint="eastAsia"/>
        </w:rPr>
      </w:pPr>
    </w:p>
    <w:p w14:paraId="2BB23513">
      <w:pPr>
        <w:pStyle w:val="49"/>
        <w:rPr>
          <w:rFonts w:hint="eastAsia"/>
        </w:rPr>
      </w:pPr>
    </w:p>
    <w:p w14:paraId="17F08BC8">
      <w:pPr>
        <w:rPr>
          <w:rFonts w:hint="eastAsia"/>
        </w:rPr>
      </w:pPr>
    </w:p>
    <w:p w14:paraId="0F9326C0">
      <w:pPr>
        <w:pStyle w:val="2"/>
        <w:rPr>
          <w:rFonts w:hint="eastAsia"/>
        </w:rPr>
      </w:pPr>
    </w:p>
    <w:p w14:paraId="2FE4DD8B">
      <w:pPr>
        <w:pStyle w:val="49"/>
        <w:rPr>
          <w:rFonts w:hint="eastAsia"/>
        </w:rPr>
      </w:pPr>
    </w:p>
    <w:p w14:paraId="5CCCC367">
      <w:pPr>
        <w:rPr>
          <w:rFonts w:hint="eastAsia"/>
        </w:rPr>
      </w:pPr>
    </w:p>
    <w:p w14:paraId="132E6947">
      <w:pPr>
        <w:pStyle w:val="2"/>
        <w:rPr>
          <w:rFonts w:hint="eastAsia"/>
        </w:rPr>
      </w:pPr>
    </w:p>
    <w:p w14:paraId="5EFE29F6">
      <w:pPr>
        <w:pStyle w:val="49"/>
        <w:rPr>
          <w:rFonts w:hint="eastAsia"/>
        </w:rPr>
      </w:pPr>
    </w:p>
    <w:p w14:paraId="7EF9BBE6">
      <w:pPr>
        <w:rPr>
          <w:rFonts w:hint="eastAsia"/>
        </w:rPr>
      </w:pPr>
    </w:p>
    <w:p w14:paraId="269F13A8">
      <w:pPr>
        <w:pStyle w:val="2"/>
        <w:rPr>
          <w:rFonts w:hint="eastAsia"/>
        </w:rPr>
      </w:pPr>
    </w:p>
    <w:p w14:paraId="5B893739">
      <w:pPr>
        <w:pStyle w:val="49"/>
        <w:rPr>
          <w:rFonts w:hint="eastAsia"/>
        </w:rPr>
      </w:pPr>
    </w:p>
    <w:p w14:paraId="3E2628DA">
      <w:pPr>
        <w:rPr>
          <w:rFonts w:hint="eastAsia"/>
        </w:rPr>
      </w:pPr>
    </w:p>
    <w:p w14:paraId="42C400AF">
      <w:pPr>
        <w:pStyle w:val="2"/>
        <w:rPr>
          <w:rFonts w:hint="eastAsia"/>
        </w:rPr>
      </w:pPr>
    </w:p>
    <w:p w14:paraId="261792D0">
      <w:pPr>
        <w:pStyle w:val="49"/>
        <w:rPr>
          <w:rFonts w:hint="eastAsia"/>
        </w:rPr>
      </w:pPr>
    </w:p>
    <w:p w14:paraId="5B7857EF">
      <w:pPr>
        <w:rPr>
          <w:rFonts w:hint="eastAsia"/>
        </w:rPr>
      </w:pPr>
    </w:p>
    <w:p w14:paraId="5F73D435">
      <w:pPr>
        <w:pStyle w:val="2"/>
        <w:rPr>
          <w:rFonts w:hint="eastAsia"/>
        </w:rPr>
      </w:pPr>
    </w:p>
    <w:p w14:paraId="01F3AC97">
      <w:pPr>
        <w:pStyle w:val="49"/>
        <w:rPr>
          <w:rFonts w:hint="eastAsia"/>
        </w:rPr>
      </w:pPr>
    </w:p>
    <w:p w14:paraId="3E92F543">
      <w:pPr>
        <w:rPr>
          <w:rFonts w:hint="eastAsia"/>
        </w:rPr>
      </w:pPr>
    </w:p>
    <w:p w14:paraId="3272AD15">
      <w:pPr>
        <w:pStyle w:val="2"/>
        <w:rPr>
          <w:rFonts w:hint="eastAsia"/>
        </w:rPr>
      </w:pPr>
    </w:p>
    <w:p w14:paraId="551B05A4">
      <w:pPr>
        <w:pStyle w:val="49"/>
        <w:rPr>
          <w:rFonts w:hint="eastAsia"/>
        </w:rPr>
      </w:pPr>
    </w:p>
    <w:p w14:paraId="0A9E68A2">
      <w:pPr>
        <w:rPr>
          <w:rFonts w:hint="eastAsia"/>
        </w:rPr>
      </w:pPr>
    </w:p>
    <w:p w14:paraId="177C17A9">
      <w:pPr>
        <w:pStyle w:val="2"/>
        <w:rPr>
          <w:rFonts w:hint="eastAsia"/>
        </w:rPr>
      </w:pPr>
    </w:p>
    <w:p w14:paraId="14469E47">
      <w:pPr>
        <w:pStyle w:val="2"/>
        <w:rPr>
          <w:rFonts w:hint="eastAsia" w:ascii="宋体" w:hAnsi="宋体" w:eastAsia="宋体" w:cs="宋体"/>
          <w:kern w:val="0"/>
          <w:sz w:val="24"/>
          <w:szCs w:val="24"/>
          <w:highlight w:val="none"/>
        </w:rPr>
      </w:pPr>
    </w:p>
    <w:p w14:paraId="0ED44ED1">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 xml:space="preserve">第二章 </w:t>
      </w:r>
      <w:bookmarkEnd w:id="1"/>
      <w:bookmarkEnd w:id="2"/>
      <w:bookmarkStart w:id="3" w:name="_Toc135466704"/>
      <w:bookmarkStart w:id="4" w:name="_Toc232478028"/>
      <w:bookmarkStart w:id="5" w:name="_Toc112924988"/>
      <w:bookmarkStart w:id="6" w:name="_Toc122529944"/>
      <w:bookmarkStart w:id="7" w:name="_Toc10269"/>
      <w:r>
        <w:rPr>
          <w:rFonts w:hint="eastAsia" w:ascii="宋体" w:hAnsi="宋体" w:eastAsia="宋体" w:cs="宋体"/>
          <w:b/>
          <w:color w:val="auto"/>
          <w:sz w:val="32"/>
          <w:szCs w:val="32"/>
          <w:highlight w:val="none"/>
          <w:lang w:eastAsia="zh-CN"/>
        </w:rPr>
        <w:t>供应商须知</w:t>
      </w:r>
      <w:bookmarkStart w:id="8" w:name="_Toc29957"/>
    </w:p>
    <w:bookmarkEnd w:id="3"/>
    <w:bookmarkEnd w:id="4"/>
    <w:bookmarkEnd w:id="5"/>
    <w:bookmarkEnd w:id="6"/>
    <w:bookmarkEnd w:id="7"/>
    <w:bookmarkEnd w:id="8"/>
    <w:p w14:paraId="4D39767E">
      <w:pPr>
        <w:keepNext w:val="0"/>
        <w:keepLines w:val="0"/>
        <w:pageBreakBefore w:val="0"/>
        <w:widowControl/>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 w:val="28"/>
          <w:szCs w:val="28"/>
          <w:highlight w:val="none"/>
          <w:lang w:eastAsia="zh-CN"/>
        </w:rPr>
      </w:pPr>
      <w:bookmarkStart w:id="9" w:name="_Toc466298090"/>
      <w:bookmarkStart w:id="10" w:name="_Toc152045528"/>
      <w:bookmarkStart w:id="11" w:name="_Toc471"/>
      <w:bookmarkStart w:id="12" w:name="_Toc455080107"/>
      <w:bookmarkStart w:id="13" w:name="_Toc27072"/>
      <w:bookmarkStart w:id="14" w:name="_Toc152042304"/>
      <w:bookmarkStart w:id="15" w:name="_Toc144974496"/>
      <w:r>
        <w:rPr>
          <w:rFonts w:hint="eastAsia" w:ascii="宋体" w:hAnsi="宋体" w:eastAsia="宋体" w:cs="宋体"/>
          <w:b/>
          <w:color w:val="auto"/>
          <w:sz w:val="28"/>
          <w:szCs w:val="28"/>
          <w:highlight w:val="none"/>
          <w:lang w:eastAsia="zh-CN"/>
        </w:rPr>
        <w:t>供应商须知前附表</w:t>
      </w:r>
      <w:bookmarkEnd w:id="9"/>
      <w:bookmarkEnd w:id="10"/>
      <w:bookmarkEnd w:id="11"/>
      <w:bookmarkEnd w:id="12"/>
      <w:bookmarkEnd w:id="13"/>
      <w:bookmarkEnd w:id="14"/>
      <w:bookmarkEnd w:id="15"/>
    </w:p>
    <w:tbl>
      <w:tblPr>
        <w:tblStyle w:val="33"/>
        <w:tblW w:w="9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1827"/>
        <w:gridCol w:w="6942"/>
      </w:tblGrid>
      <w:tr w14:paraId="448F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94" w:type="dxa"/>
            <w:noWrap w:val="0"/>
            <w:vAlign w:val="center"/>
          </w:tcPr>
          <w:p w14:paraId="33659702">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条款号</w:t>
            </w:r>
          </w:p>
        </w:tc>
        <w:tc>
          <w:tcPr>
            <w:tcW w:w="1827" w:type="dxa"/>
            <w:noWrap w:val="0"/>
            <w:vAlign w:val="center"/>
          </w:tcPr>
          <w:p w14:paraId="60C2425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条 款 名 称</w:t>
            </w:r>
          </w:p>
        </w:tc>
        <w:tc>
          <w:tcPr>
            <w:tcW w:w="6942" w:type="dxa"/>
            <w:noWrap w:val="0"/>
            <w:vAlign w:val="center"/>
          </w:tcPr>
          <w:p w14:paraId="59813E7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编 列 内 容</w:t>
            </w:r>
          </w:p>
        </w:tc>
      </w:tr>
      <w:tr w14:paraId="24A4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994" w:type="dxa"/>
            <w:noWrap w:val="0"/>
            <w:vAlign w:val="center"/>
          </w:tcPr>
          <w:p w14:paraId="6A92141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1.2.1</w:t>
            </w:r>
          </w:p>
        </w:tc>
        <w:tc>
          <w:tcPr>
            <w:tcW w:w="1827" w:type="dxa"/>
            <w:noWrap w:val="0"/>
            <w:vAlign w:val="center"/>
          </w:tcPr>
          <w:p w14:paraId="64F2D4A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采购人</w:t>
            </w:r>
          </w:p>
        </w:tc>
        <w:tc>
          <w:tcPr>
            <w:tcW w:w="6942" w:type="dxa"/>
            <w:noWrap w:val="0"/>
            <w:vAlign w:val="center"/>
          </w:tcPr>
          <w:p w14:paraId="0C35D17F">
            <w:pPr>
              <w:keepNext w:val="0"/>
              <w:keepLines w:val="0"/>
              <w:pageBreakBefore w:val="0"/>
              <w:kinsoku/>
              <w:wordWrap/>
              <w:overflowPunct/>
              <w:topLinePunct w:val="0"/>
              <w:bidi w:val="0"/>
              <w:spacing w:line="400" w:lineRule="exact"/>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采 购 人：</w:t>
            </w:r>
            <w:r>
              <w:rPr>
                <w:rFonts w:hint="eastAsia" w:ascii="宋体" w:hAnsi="宋体" w:cs="宋体"/>
                <w:color w:val="000000"/>
                <w:sz w:val="24"/>
                <w:szCs w:val="24"/>
                <w:lang w:val="en-US" w:eastAsia="zh-CN"/>
              </w:rPr>
              <w:t>信阳市羊山新区规划事务中心</w:t>
            </w:r>
          </w:p>
          <w:p w14:paraId="4B960EE6">
            <w:pPr>
              <w:keepNext w:val="0"/>
              <w:keepLines w:val="0"/>
              <w:pageBreakBefore w:val="0"/>
              <w:kinsoku/>
              <w:wordWrap/>
              <w:overflowPunct/>
              <w:topLinePunct w:val="0"/>
              <w:bidi w:val="0"/>
              <w:spacing w:line="400" w:lineRule="exact"/>
              <w:textAlignment w:val="auto"/>
              <w:rPr>
                <w:rFonts w:hint="eastAsia"/>
                <w:lang w:val="en-US" w:eastAsia="zh-CN"/>
              </w:rPr>
            </w:pPr>
            <w:r>
              <w:rPr>
                <w:rFonts w:hint="eastAsia" w:ascii="宋体" w:hAnsi="宋体" w:eastAsia="宋体" w:cs="宋体"/>
                <w:color w:val="000000"/>
                <w:sz w:val="24"/>
                <w:szCs w:val="24"/>
                <w:lang w:val="en-US" w:eastAsia="zh-CN"/>
              </w:rPr>
              <w:t>地    址：</w:t>
            </w:r>
            <w:r>
              <w:rPr>
                <w:rFonts w:hint="eastAsia" w:ascii="宋体" w:hAnsi="宋体" w:cs="宋体"/>
                <w:kern w:val="0"/>
                <w:sz w:val="24"/>
                <w:szCs w:val="24"/>
                <w:highlight w:val="none"/>
                <w:lang w:eastAsia="zh-CN"/>
              </w:rPr>
              <w:t>信阳市羊山新区招商大厦二楼</w:t>
            </w:r>
            <w:r>
              <w:rPr>
                <w:rFonts w:hint="eastAsia" w:ascii="宋体" w:hAnsi="宋体" w:eastAsia="宋体" w:cs="宋体"/>
                <w:kern w:val="0"/>
                <w:sz w:val="24"/>
                <w:szCs w:val="24"/>
                <w:highlight w:val="none"/>
              </w:rPr>
              <w:t> </w:t>
            </w:r>
          </w:p>
          <w:p w14:paraId="4156ABF4">
            <w:pPr>
              <w:pageBreakBefore w:val="0"/>
              <w:kinsoku/>
              <w:wordWrap/>
              <w:overflowPunct/>
              <w:topLinePunct w:val="0"/>
              <w:bidi w:val="0"/>
              <w:spacing w:line="400" w:lineRule="exact"/>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联 系 人：</w:t>
            </w:r>
            <w:r>
              <w:rPr>
                <w:rFonts w:hint="eastAsia" w:ascii="宋体" w:hAnsi="宋体" w:cs="宋体"/>
                <w:color w:val="000000"/>
                <w:sz w:val="24"/>
                <w:szCs w:val="24"/>
                <w:lang w:val="en-US" w:eastAsia="zh-CN"/>
              </w:rPr>
              <w:t>王先生</w:t>
            </w:r>
          </w:p>
          <w:p w14:paraId="2634B57A">
            <w:pPr>
              <w:pageBreakBefore w:val="0"/>
              <w:kinsoku/>
              <w:wordWrap/>
              <w:overflowPunct/>
              <w:topLinePunct w:val="0"/>
              <w:bidi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电    话：</w:t>
            </w:r>
            <w:r>
              <w:rPr>
                <w:rFonts w:hint="eastAsia" w:ascii="宋体" w:hAnsi="宋体" w:cs="宋体"/>
                <w:color w:val="auto"/>
                <w:kern w:val="0"/>
                <w:sz w:val="24"/>
                <w:szCs w:val="24"/>
                <w:highlight w:val="none"/>
                <w:lang w:val="en-US" w:eastAsia="zh-CN"/>
              </w:rPr>
              <w:t>13513768269</w:t>
            </w:r>
          </w:p>
        </w:tc>
      </w:tr>
      <w:tr w14:paraId="6B57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94" w:type="dxa"/>
            <w:noWrap w:val="0"/>
            <w:vAlign w:val="center"/>
          </w:tcPr>
          <w:p w14:paraId="2E1D4BC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1.2.2</w:t>
            </w:r>
          </w:p>
        </w:tc>
        <w:tc>
          <w:tcPr>
            <w:tcW w:w="1827" w:type="dxa"/>
            <w:noWrap w:val="0"/>
            <w:vAlign w:val="center"/>
          </w:tcPr>
          <w:p w14:paraId="7497A10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采购代理机构</w:t>
            </w:r>
          </w:p>
        </w:tc>
        <w:tc>
          <w:tcPr>
            <w:tcW w:w="6942" w:type="dxa"/>
            <w:noWrap w:val="0"/>
            <w:vAlign w:val="center"/>
          </w:tcPr>
          <w:p w14:paraId="3215ECA6">
            <w:pPr>
              <w:pageBreakBefore w:val="0"/>
              <w:kinsoku/>
              <w:wordWrap/>
              <w:overflowPunct/>
              <w:topLinePunct w:val="0"/>
              <w:bidi w:val="0"/>
              <w:spacing w:line="40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代理机构：</w:t>
            </w:r>
            <w:r>
              <w:rPr>
                <w:rFonts w:hint="eastAsia" w:ascii="宋体" w:hAnsi="宋体" w:cs="宋体"/>
                <w:color w:val="000000"/>
                <w:sz w:val="24"/>
                <w:szCs w:val="24"/>
                <w:lang w:val="en-US" w:eastAsia="zh-CN"/>
              </w:rPr>
              <w:t>河南众为工程项目管理有限公司</w:t>
            </w:r>
          </w:p>
          <w:p w14:paraId="46DDA651">
            <w:pPr>
              <w:pageBreakBefore w:val="0"/>
              <w:kinsoku/>
              <w:wordWrap/>
              <w:overflowPunct/>
              <w:topLinePunct w:val="0"/>
              <w:bidi w:val="0"/>
              <w:spacing w:line="40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地    址：</w:t>
            </w:r>
            <w:r>
              <w:rPr>
                <w:rFonts w:hint="eastAsia" w:ascii="宋体" w:hAnsi="宋体" w:eastAsia="宋体" w:cs="宋体"/>
                <w:kern w:val="0"/>
                <w:sz w:val="24"/>
                <w:szCs w:val="24"/>
                <w:highlight w:val="none"/>
              </w:rPr>
              <w:t>郑州市金水区商务内环路2号中油新澳大厦18楼</w:t>
            </w:r>
          </w:p>
          <w:p w14:paraId="0FA0E4F7">
            <w:pPr>
              <w:pageBreakBefore w:val="0"/>
              <w:kinsoku/>
              <w:wordWrap/>
              <w:overflowPunct/>
              <w:topLinePunct w:val="0"/>
              <w:bidi w:val="0"/>
              <w:spacing w:line="40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联 系 人：</w:t>
            </w:r>
            <w:r>
              <w:rPr>
                <w:rFonts w:hint="eastAsia" w:ascii="宋体" w:hAnsi="宋体" w:eastAsia="宋体" w:cs="宋体"/>
                <w:kern w:val="0"/>
                <w:sz w:val="24"/>
                <w:szCs w:val="24"/>
                <w:highlight w:val="none"/>
              </w:rPr>
              <w:t>黄丽</w:t>
            </w:r>
          </w:p>
          <w:p w14:paraId="16568D98">
            <w:pPr>
              <w:pageBreakBefore w:val="0"/>
              <w:kinsoku/>
              <w:wordWrap/>
              <w:overflowPunct/>
              <w:topLinePunct w:val="0"/>
              <w:bidi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电    话：</w:t>
            </w:r>
            <w:r>
              <w:rPr>
                <w:rFonts w:hint="eastAsia" w:ascii="宋体" w:hAnsi="宋体" w:eastAsia="宋体" w:cs="宋体"/>
                <w:kern w:val="0"/>
                <w:sz w:val="24"/>
                <w:szCs w:val="24"/>
                <w:highlight w:val="none"/>
              </w:rPr>
              <w:t>13939752172</w:t>
            </w:r>
          </w:p>
        </w:tc>
      </w:tr>
      <w:tr w14:paraId="50DB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994" w:type="dxa"/>
            <w:noWrap w:val="0"/>
            <w:vAlign w:val="center"/>
          </w:tcPr>
          <w:p w14:paraId="42A796C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1.2.3</w:t>
            </w:r>
          </w:p>
        </w:tc>
        <w:tc>
          <w:tcPr>
            <w:tcW w:w="1827" w:type="dxa"/>
            <w:noWrap w:val="0"/>
            <w:vAlign w:val="center"/>
          </w:tcPr>
          <w:p w14:paraId="1656AE26">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6942" w:type="dxa"/>
            <w:noWrap w:val="0"/>
            <w:vAlign w:val="center"/>
          </w:tcPr>
          <w:p w14:paraId="49BF5589">
            <w:pPr>
              <w:pStyle w:val="15"/>
              <w:pageBreakBefore w:val="0"/>
              <w:kinsoku/>
              <w:wordWrap/>
              <w:overflowPunct/>
              <w:topLinePunct w:val="0"/>
              <w:bidi w:val="0"/>
              <w:spacing w:line="400" w:lineRule="exact"/>
              <w:ind w:left="0" w:leftChars="0" w:firstLine="0" w:firstLineChars="0"/>
              <w:jc w:val="both"/>
              <w:rPr>
                <w:rFonts w:hint="eastAsia" w:ascii="宋体" w:hAnsi="宋体" w:eastAsia="宋体" w:cs="宋体"/>
                <w:color w:val="000000"/>
                <w:sz w:val="24"/>
                <w:szCs w:val="24"/>
                <w:lang w:val="en-US"/>
              </w:rPr>
            </w:pPr>
            <w:r>
              <w:rPr>
                <w:rFonts w:hint="eastAsia" w:ascii="宋体" w:hAnsi="宋体" w:cs="宋体"/>
                <w:color w:val="000000"/>
                <w:sz w:val="24"/>
                <w:szCs w:val="24"/>
                <w:lang w:val="en-US" w:eastAsia="zh-CN"/>
              </w:rPr>
              <w:t>信阳市羊山新区规划事务中心北湖春天美好生活广场北侧地块及石子岗安置小区南侧地块膨土质粘土岩勘探工程</w:t>
            </w:r>
            <w:r>
              <w:rPr>
                <w:rFonts w:hint="eastAsia" w:ascii="宋体" w:hAnsi="宋体" w:eastAsia="宋体" w:cs="宋体"/>
                <w:color w:val="000000"/>
                <w:sz w:val="24"/>
                <w:szCs w:val="24"/>
                <w:lang w:val="en-US" w:eastAsia="zh-CN"/>
              </w:rPr>
              <w:t xml:space="preserve"> </w:t>
            </w:r>
          </w:p>
        </w:tc>
      </w:tr>
      <w:tr w14:paraId="7EDB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94" w:type="dxa"/>
            <w:noWrap w:val="0"/>
            <w:vAlign w:val="center"/>
          </w:tcPr>
          <w:p w14:paraId="5559894C">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1.2.4</w:t>
            </w:r>
          </w:p>
        </w:tc>
        <w:tc>
          <w:tcPr>
            <w:tcW w:w="1827" w:type="dxa"/>
            <w:noWrap w:val="0"/>
            <w:vAlign w:val="center"/>
          </w:tcPr>
          <w:p w14:paraId="5EDE7878">
            <w:pPr>
              <w:pageBreakBefore w:val="0"/>
              <w:kinsoku/>
              <w:wordWrap/>
              <w:overflowPunct/>
              <w:topLinePunct w:val="0"/>
              <w:autoSpaceDE w:val="0"/>
              <w:autoSpaceDN w:val="0"/>
              <w:bidi w:val="0"/>
              <w:adjustRightInd w:val="0"/>
              <w:spacing w:line="400" w:lineRule="exact"/>
              <w:ind w:right="35"/>
              <w:jc w:val="center"/>
              <w:rPr>
                <w:rFonts w:hint="eastAsia" w:ascii="宋体" w:hAnsi="宋体" w:eastAsia="宋体" w:cs="宋体"/>
                <w:color w:val="000000"/>
                <w:spacing w:val="1"/>
                <w:kern w:val="0"/>
                <w:sz w:val="24"/>
                <w:szCs w:val="24"/>
              </w:rPr>
            </w:pPr>
            <w:r>
              <w:rPr>
                <w:rFonts w:hint="eastAsia" w:ascii="宋体" w:hAnsi="宋体" w:eastAsia="宋体" w:cs="宋体"/>
                <w:color w:val="000000"/>
                <w:spacing w:val="1"/>
                <w:kern w:val="0"/>
                <w:sz w:val="24"/>
                <w:szCs w:val="24"/>
                <w:lang w:eastAsia="zh-CN"/>
              </w:rPr>
              <w:t>采购</w:t>
            </w:r>
            <w:r>
              <w:rPr>
                <w:rFonts w:hint="eastAsia" w:ascii="宋体" w:hAnsi="宋体" w:eastAsia="宋体" w:cs="宋体"/>
                <w:color w:val="000000"/>
                <w:spacing w:val="1"/>
                <w:kern w:val="0"/>
                <w:sz w:val="24"/>
                <w:szCs w:val="24"/>
              </w:rPr>
              <w:t>方式</w:t>
            </w:r>
          </w:p>
        </w:tc>
        <w:tc>
          <w:tcPr>
            <w:tcW w:w="6942" w:type="dxa"/>
            <w:noWrap w:val="0"/>
            <w:vAlign w:val="center"/>
          </w:tcPr>
          <w:p w14:paraId="481833D6">
            <w:pPr>
              <w:pageBreakBefore w:val="0"/>
              <w:kinsoku/>
              <w:wordWrap/>
              <w:overflowPunct/>
              <w:topLinePunct w:val="0"/>
              <w:autoSpaceDE w:val="0"/>
              <w:autoSpaceDN w:val="0"/>
              <w:bidi w:val="0"/>
              <w:adjustRightInd w:val="0"/>
              <w:spacing w:line="400" w:lineRule="exact"/>
              <w:jc w:val="left"/>
              <w:rPr>
                <w:rFonts w:hint="eastAsia" w:ascii="宋体" w:hAnsi="宋体" w:eastAsia="宋体" w:cs="宋体"/>
                <w:color w:val="000000"/>
                <w:spacing w:val="1"/>
                <w:kern w:val="0"/>
                <w:sz w:val="24"/>
                <w:szCs w:val="24"/>
                <w:lang w:val="en-US" w:eastAsia="zh-CN"/>
              </w:rPr>
            </w:pPr>
            <w:r>
              <w:rPr>
                <w:rFonts w:hint="eastAsia" w:ascii="宋体" w:hAnsi="宋体" w:eastAsia="宋体" w:cs="宋体"/>
                <w:color w:val="000000"/>
                <w:spacing w:val="1"/>
                <w:kern w:val="0"/>
                <w:sz w:val="24"/>
                <w:szCs w:val="24"/>
                <w:lang w:val="en-US" w:eastAsia="zh-CN"/>
              </w:rPr>
              <w:t>竞争性磋商</w:t>
            </w:r>
          </w:p>
        </w:tc>
      </w:tr>
      <w:tr w14:paraId="02FF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994" w:type="dxa"/>
            <w:noWrap w:val="0"/>
            <w:vAlign w:val="center"/>
          </w:tcPr>
          <w:p w14:paraId="3A38396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1.2.5</w:t>
            </w:r>
          </w:p>
        </w:tc>
        <w:tc>
          <w:tcPr>
            <w:tcW w:w="1827" w:type="dxa"/>
            <w:noWrap w:val="0"/>
            <w:vAlign w:val="center"/>
          </w:tcPr>
          <w:p w14:paraId="5673A95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eastAsia="zh-CN"/>
              </w:rPr>
              <w:t>预算价（</w:t>
            </w:r>
            <w:r>
              <w:rPr>
                <w:rFonts w:hint="eastAsia" w:ascii="宋体" w:hAnsi="宋体" w:eastAsia="宋体" w:cs="宋体"/>
                <w:b w:val="0"/>
                <w:bCs w:val="0"/>
                <w:color w:val="000000"/>
                <w:kern w:val="0"/>
                <w:sz w:val="24"/>
                <w:szCs w:val="24"/>
                <w:lang w:val="en-US" w:eastAsia="zh-CN"/>
              </w:rPr>
              <w:t>最高限价</w:t>
            </w:r>
            <w:r>
              <w:rPr>
                <w:rFonts w:hint="eastAsia" w:ascii="宋体" w:hAnsi="宋体" w:eastAsia="宋体" w:cs="宋体"/>
                <w:b w:val="0"/>
                <w:bCs w:val="0"/>
                <w:color w:val="000000"/>
                <w:kern w:val="0"/>
                <w:sz w:val="24"/>
                <w:szCs w:val="24"/>
                <w:lang w:eastAsia="zh-CN"/>
              </w:rPr>
              <w:t>）</w:t>
            </w:r>
          </w:p>
        </w:tc>
        <w:tc>
          <w:tcPr>
            <w:tcW w:w="6942" w:type="dxa"/>
            <w:noWrap w:val="0"/>
            <w:vAlign w:val="center"/>
          </w:tcPr>
          <w:p w14:paraId="55F83C47">
            <w:pPr>
              <w:keepNext w:val="0"/>
              <w:keepLines w:val="0"/>
              <w:pageBreakBefore w:val="0"/>
              <w:widowControl w:val="0"/>
              <w:kinsoku/>
              <w:wordWrap/>
              <w:overflowPunct/>
              <w:topLinePunct w:val="0"/>
              <w:bidi w:val="0"/>
              <w:snapToGrid/>
              <w:spacing w:line="400" w:lineRule="exact"/>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预算价（最高限价）：</w:t>
            </w:r>
            <w:r>
              <w:rPr>
                <w:rFonts w:hint="eastAsia" w:ascii="宋体" w:hAnsi="宋体" w:cs="宋体"/>
                <w:b w:val="0"/>
                <w:bCs w:val="0"/>
                <w:color w:val="auto"/>
                <w:kern w:val="0"/>
                <w:sz w:val="24"/>
                <w:szCs w:val="24"/>
                <w:u w:val="single"/>
                <w:lang w:val="en-US" w:eastAsia="zh-CN"/>
              </w:rPr>
              <w:t>907061.57</w:t>
            </w:r>
            <w:r>
              <w:rPr>
                <w:rFonts w:hint="eastAsia" w:ascii="宋体" w:hAnsi="宋体" w:eastAsia="宋体" w:cs="宋体"/>
                <w:b w:val="0"/>
                <w:bCs w:val="0"/>
                <w:color w:val="auto"/>
                <w:kern w:val="0"/>
                <w:sz w:val="24"/>
                <w:szCs w:val="24"/>
                <w:u w:val="single"/>
                <w:lang w:val="en-US" w:eastAsia="zh-CN"/>
              </w:rPr>
              <w:t>元；</w:t>
            </w:r>
          </w:p>
          <w:p w14:paraId="0D9E35E8">
            <w:pPr>
              <w:pStyle w:val="31"/>
              <w:ind w:left="0" w:leftChars="0" w:firstLine="0" w:firstLineChars="0"/>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注：供应商报价超过预算价（最高限价）按无效标处理</w:t>
            </w:r>
            <w:r>
              <w:rPr>
                <w:rFonts w:hint="eastAsia" w:ascii="宋体" w:hAnsi="宋体" w:eastAsia="宋体" w:cs="宋体"/>
                <w:b w:val="0"/>
                <w:bCs w:val="0"/>
                <w:color w:val="000000"/>
                <w:kern w:val="0"/>
                <w:sz w:val="24"/>
                <w:szCs w:val="24"/>
              </w:rPr>
              <w:t>；</w:t>
            </w:r>
          </w:p>
        </w:tc>
      </w:tr>
      <w:tr w14:paraId="7511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94" w:type="dxa"/>
            <w:noWrap w:val="0"/>
            <w:vAlign w:val="center"/>
          </w:tcPr>
          <w:p w14:paraId="6FC14A5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1.2.6</w:t>
            </w:r>
          </w:p>
        </w:tc>
        <w:tc>
          <w:tcPr>
            <w:tcW w:w="1827" w:type="dxa"/>
            <w:noWrap w:val="0"/>
            <w:vAlign w:val="center"/>
          </w:tcPr>
          <w:p w14:paraId="2E89BF8E">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资金来源</w:t>
            </w:r>
          </w:p>
        </w:tc>
        <w:tc>
          <w:tcPr>
            <w:tcW w:w="6942" w:type="dxa"/>
            <w:noWrap w:val="0"/>
            <w:vAlign w:val="center"/>
          </w:tcPr>
          <w:p w14:paraId="0250DFB4">
            <w:pPr>
              <w:pStyle w:val="54"/>
              <w:pageBreakBefore w:val="0"/>
              <w:kinsoku/>
              <w:wordWrap/>
              <w:overflowPunct/>
              <w:topLinePunct w:val="0"/>
              <w:bidi w:val="0"/>
              <w:spacing w:line="400" w:lineRule="exact"/>
              <w:jc w:val="both"/>
              <w:rPr>
                <w:rFonts w:hint="default"/>
                <w:lang w:val="en-US" w:eastAsia="zh-CN"/>
              </w:rPr>
            </w:pPr>
            <w:r>
              <w:rPr>
                <w:rFonts w:hint="eastAsia"/>
                <w:lang w:val="en-US" w:eastAsia="zh-CN"/>
              </w:rPr>
              <w:t>财政资金，已落实</w:t>
            </w:r>
          </w:p>
        </w:tc>
      </w:tr>
      <w:tr w14:paraId="07DB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noWrap w:val="0"/>
            <w:vAlign w:val="center"/>
          </w:tcPr>
          <w:p w14:paraId="1D709D8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strike w:val="0"/>
                <w:dstrike w:val="0"/>
                <w:color w:val="000000"/>
                <w:kern w:val="0"/>
                <w:sz w:val="24"/>
                <w:szCs w:val="24"/>
                <w:lang w:val="en-US" w:eastAsia="zh-CN"/>
              </w:rPr>
            </w:pPr>
            <w:r>
              <w:rPr>
                <w:rFonts w:hint="eastAsia" w:ascii="宋体" w:hAnsi="宋体" w:eastAsia="宋体" w:cs="宋体"/>
                <w:strike w:val="0"/>
                <w:dstrike w:val="0"/>
                <w:color w:val="000000"/>
                <w:kern w:val="0"/>
                <w:sz w:val="24"/>
                <w:szCs w:val="24"/>
                <w:lang w:val="en-US" w:eastAsia="zh-CN"/>
              </w:rPr>
              <w:t>1.2.7</w:t>
            </w:r>
          </w:p>
        </w:tc>
        <w:tc>
          <w:tcPr>
            <w:tcW w:w="1827" w:type="dxa"/>
            <w:noWrap w:val="0"/>
            <w:vAlign w:val="center"/>
          </w:tcPr>
          <w:p w14:paraId="562AFED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strike w:val="0"/>
                <w:dstrike w:val="0"/>
                <w:color w:val="auto"/>
                <w:kern w:val="0"/>
                <w:sz w:val="24"/>
                <w:szCs w:val="24"/>
              </w:rPr>
            </w:pPr>
            <w:r>
              <w:rPr>
                <w:rFonts w:hint="eastAsia" w:ascii="宋体" w:hAnsi="宋体" w:eastAsia="宋体" w:cs="宋体"/>
                <w:b w:val="0"/>
                <w:bCs w:val="0"/>
                <w:strike w:val="0"/>
                <w:dstrike w:val="0"/>
                <w:color w:val="auto"/>
                <w:kern w:val="0"/>
                <w:sz w:val="24"/>
                <w:szCs w:val="24"/>
              </w:rPr>
              <w:t>出资比例</w:t>
            </w:r>
          </w:p>
        </w:tc>
        <w:tc>
          <w:tcPr>
            <w:tcW w:w="6942" w:type="dxa"/>
            <w:noWrap w:val="0"/>
            <w:vAlign w:val="center"/>
          </w:tcPr>
          <w:p w14:paraId="0EBDD401">
            <w:pPr>
              <w:pStyle w:val="54"/>
              <w:pageBreakBefore w:val="0"/>
              <w:kinsoku/>
              <w:wordWrap/>
              <w:overflowPunct/>
              <w:topLinePunct w:val="0"/>
              <w:bidi w:val="0"/>
              <w:spacing w:line="400" w:lineRule="exact"/>
              <w:jc w:val="both"/>
              <w:rPr>
                <w:rFonts w:hint="eastAsia" w:ascii="宋体" w:hAnsi="宋体" w:eastAsia="宋体" w:cs="宋体"/>
                <w:b w:val="0"/>
                <w:bCs w:val="0"/>
                <w:strike w:val="0"/>
                <w:dstrike w:val="0"/>
                <w:color w:val="auto"/>
                <w:sz w:val="24"/>
                <w:szCs w:val="24"/>
                <w:lang w:val="en-US" w:eastAsia="zh-CN"/>
              </w:rPr>
            </w:pPr>
            <w:r>
              <w:rPr>
                <w:rFonts w:hint="eastAsia" w:ascii="宋体" w:hAnsi="宋体" w:eastAsia="宋体" w:cs="宋体"/>
                <w:b w:val="0"/>
                <w:bCs w:val="0"/>
                <w:strike w:val="0"/>
                <w:dstrike w:val="0"/>
                <w:color w:val="auto"/>
                <w:sz w:val="24"/>
                <w:szCs w:val="24"/>
                <w:lang w:val="en-US" w:eastAsia="zh-CN"/>
              </w:rPr>
              <w:t>100%</w:t>
            </w:r>
          </w:p>
        </w:tc>
      </w:tr>
      <w:tr w14:paraId="7042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94" w:type="dxa"/>
            <w:noWrap w:val="0"/>
            <w:vAlign w:val="center"/>
          </w:tcPr>
          <w:p w14:paraId="11D0C22E">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1.4.1</w:t>
            </w:r>
          </w:p>
        </w:tc>
        <w:tc>
          <w:tcPr>
            <w:tcW w:w="1827" w:type="dxa"/>
            <w:noWrap w:val="0"/>
            <w:vAlign w:val="center"/>
          </w:tcPr>
          <w:p w14:paraId="6B487D07">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auto"/>
                <w:kern w:val="0"/>
                <w:sz w:val="24"/>
                <w:szCs w:val="24"/>
                <w:lang w:eastAsia="zh-CN"/>
              </w:rPr>
            </w:pPr>
            <w:r>
              <w:rPr>
                <w:rFonts w:hint="eastAsia" w:ascii="宋体" w:hAnsi="宋体" w:eastAsia="宋体" w:cs="宋体"/>
                <w:b w:val="0"/>
                <w:bCs w:val="0"/>
                <w:color w:val="auto"/>
                <w:kern w:val="0"/>
                <w:sz w:val="24"/>
                <w:szCs w:val="24"/>
                <w:lang w:eastAsia="zh-CN"/>
              </w:rPr>
              <w:t>磋商内容</w:t>
            </w:r>
          </w:p>
        </w:tc>
        <w:tc>
          <w:tcPr>
            <w:tcW w:w="6942" w:type="dxa"/>
            <w:noWrap w:val="0"/>
            <w:vAlign w:val="center"/>
          </w:tcPr>
          <w:p w14:paraId="1F282179">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32"/>
                <w:highlight w:val="none"/>
                <w:lang w:val="en-US" w:eastAsia="zh-CN"/>
              </w:rPr>
              <w:t>项目主要工作内容包含地形测绘、GPS控制测量、地质填图、勘查线剖面测量、矿产地质钻探、岩矿鉴定、化学全分析、吸蓝量测定、阳离子交换性能测定、组合分析等各类实验测试，同时包含剖面线测量、工程点测量、钻探编录、采样、报告编制及其他地质工作等。（详见磋商文件第五章采购服务内容及要求）；</w:t>
            </w:r>
          </w:p>
        </w:tc>
      </w:tr>
      <w:tr w14:paraId="32D07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94" w:type="dxa"/>
            <w:noWrap w:val="0"/>
            <w:vAlign w:val="center"/>
          </w:tcPr>
          <w:p w14:paraId="5A3D07A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1.4.2</w:t>
            </w:r>
          </w:p>
        </w:tc>
        <w:tc>
          <w:tcPr>
            <w:tcW w:w="1827" w:type="dxa"/>
            <w:noWrap w:val="0"/>
            <w:vAlign w:val="center"/>
          </w:tcPr>
          <w:p w14:paraId="27A622C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eastAsia="zh-CN"/>
              </w:rPr>
              <w:t>服务期限</w:t>
            </w:r>
          </w:p>
        </w:tc>
        <w:tc>
          <w:tcPr>
            <w:tcW w:w="6942" w:type="dxa"/>
            <w:noWrap w:val="0"/>
            <w:vAlign w:val="center"/>
          </w:tcPr>
          <w:p w14:paraId="357C7C9A">
            <w:pPr>
              <w:pStyle w:val="15"/>
              <w:pageBreakBefore w:val="0"/>
              <w:kinsoku/>
              <w:wordWrap/>
              <w:overflowPunct/>
              <w:topLinePunct w:val="0"/>
              <w:bidi w:val="0"/>
              <w:spacing w:line="400" w:lineRule="exact"/>
              <w:ind w:left="0" w:leftChars="0" w:firstLine="0" w:firstLineChars="0"/>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60日历天</w:t>
            </w:r>
          </w:p>
        </w:tc>
      </w:tr>
      <w:tr w14:paraId="1CB6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noWrap w:val="0"/>
            <w:vAlign w:val="center"/>
          </w:tcPr>
          <w:p w14:paraId="49ECB0A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1.4.3</w:t>
            </w:r>
          </w:p>
        </w:tc>
        <w:tc>
          <w:tcPr>
            <w:tcW w:w="1827" w:type="dxa"/>
            <w:noWrap w:val="0"/>
            <w:vAlign w:val="center"/>
          </w:tcPr>
          <w:p w14:paraId="6DF4120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质量要求</w:t>
            </w:r>
          </w:p>
        </w:tc>
        <w:tc>
          <w:tcPr>
            <w:tcW w:w="6942" w:type="dxa"/>
            <w:noWrap w:val="0"/>
            <w:vAlign w:val="center"/>
          </w:tcPr>
          <w:p w14:paraId="7B65D294">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bCs w:val="0"/>
                <w:color w:val="auto"/>
                <w:sz w:val="24"/>
                <w:szCs w:val="24"/>
              </w:rPr>
            </w:pPr>
            <w:r>
              <w:rPr>
                <w:rFonts w:hint="eastAsia" w:ascii="宋体" w:hAnsi="宋体" w:eastAsia="宋体" w:cs="宋体"/>
                <w:color w:val="auto"/>
                <w:sz w:val="24"/>
                <w:szCs w:val="24"/>
                <w:lang w:val="en-US" w:eastAsia="zh-CN"/>
              </w:rPr>
              <w:t>符合国家规范、规程和地方性法规及相关技术要求等规定；</w:t>
            </w:r>
          </w:p>
        </w:tc>
      </w:tr>
      <w:tr w14:paraId="2804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noWrap w:val="0"/>
            <w:vAlign w:val="center"/>
          </w:tcPr>
          <w:p w14:paraId="388F0CD7">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1.4.4</w:t>
            </w:r>
          </w:p>
        </w:tc>
        <w:tc>
          <w:tcPr>
            <w:tcW w:w="1827" w:type="dxa"/>
            <w:noWrap w:val="0"/>
            <w:vAlign w:val="center"/>
          </w:tcPr>
          <w:p w14:paraId="7DBCDEF3">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lang w:val="en-US" w:eastAsia="zh-CN"/>
              </w:rPr>
              <w:t>付款方式</w:t>
            </w:r>
          </w:p>
        </w:tc>
        <w:tc>
          <w:tcPr>
            <w:tcW w:w="6942" w:type="dxa"/>
            <w:noWrap w:val="0"/>
            <w:vAlign w:val="center"/>
          </w:tcPr>
          <w:p w14:paraId="02EAB4FA">
            <w:pPr>
              <w:pStyle w:val="54"/>
              <w:pageBreakBefore w:val="0"/>
              <w:kinsoku/>
              <w:wordWrap/>
              <w:overflowPunct/>
              <w:topLinePunct w:val="0"/>
              <w:bidi w:val="0"/>
              <w:spacing w:line="400" w:lineRule="exac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highlight w:val="none"/>
              </w:rPr>
              <w:t>严格按照采购人要求执行</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lang w:eastAsia="zh-CN"/>
              </w:rPr>
              <w:t>最终以合同签订的付款方式为准</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kern w:val="2"/>
                <w:sz w:val="24"/>
                <w:szCs w:val="24"/>
                <w:highlight w:val="none"/>
                <w:lang w:val="en-US" w:eastAsia="zh-CN" w:bidi="ar-SA"/>
              </w:rPr>
              <w:t>（不允许设置履约保证金、质量保证金）</w:t>
            </w:r>
          </w:p>
        </w:tc>
      </w:tr>
      <w:tr w14:paraId="7D27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noWrap w:val="0"/>
            <w:vAlign w:val="center"/>
          </w:tcPr>
          <w:p w14:paraId="2D545BD7">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1.4.5</w:t>
            </w:r>
          </w:p>
        </w:tc>
        <w:tc>
          <w:tcPr>
            <w:tcW w:w="1827" w:type="dxa"/>
            <w:noWrap w:val="0"/>
            <w:vAlign w:val="center"/>
          </w:tcPr>
          <w:p w14:paraId="015E818D">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服务地点</w:t>
            </w:r>
          </w:p>
        </w:tc>
        <w:tc>
          <w:tcPr>
            <w:tcW w:w="6942" w:type="dxa"/>
            <w:noWrap w:val="0"/>
            <w:vAlign w:val="center"/>
          </w:tcPr>
          <w:p w14:paraId="4FB335D9">
            <w:pPr>
              <w:pStyle w:val="54"/>
              <w:pageBreakBefore w:val="0"/>
              <w:kinsoku/>
              <w:wordWrap/>
              <w:overflowPunct/>
              <w:topLinePunct w:val="0"/>
              <w:bidi w:val="0"/>
              <w:spacing w:line="400" w:lineRule="exact"/>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按采购单位指定地点完成相关采购内容</w:t>
            </w:r>
          </w:p>
        </w:tc>
      </w:tr>
      <w:tr w14:paraId="6ADA0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2117DB8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1.5.1</w:t>
            </w:r>
          </w:p>
        </w:tc>
        <w:tc>
          <w:tcPr>
            <w:tcW w:w="1827" w:type="dxa"/>
            <w:tcBorders>
              <w:top w:val="single" w:color="auto" w:sz="4" w:space="0"/>
            </w:tcBorders>
            <w:noWrap w:val="0"/>
            <w:vAlign w:val="center"/>
          </w:tcPr>
          <w:p w14:paraId="1083B7D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供应商资质条件及能力要求</w:t>
            </w:r>
          </w:p>
        </w:tc>
        <w:tc>
          <w:tcPr>
            <w:tcW w:w="6942" w:type="dxa"/>
            <w:tcBorders>
              <w:top w:val="single" w:color="auto" w:sz="4" w:space="0"/>
            </w:tcBorders>
            <w:noWrap w:val="0"/>
            <w:vAlign w:val="center"/>
          </w:tcPr>
          <w:p w14:paraId="6C1E7E88">
            <w:pPr>
              <w:keepNext w:val="0"/>
              <w:keepLines w:val="0"/>
              <w:pageBreakBefore w:val="0"/>
              <w:widowControl w:val="0"/>
              <w:kinsoku/>
              <w:wordWrap/>
              <w:overflowPunct/>
              <w:topLinePunct w:val="0"/>
              <w:autoSpaceDE/>
              <w:autoSpaceDN/>
              <w:bidi w:val="0"/>
              <w:adjustRightInd/>
              <w:snapToGrid/>
              <w:spacing w:beforeLines="20" w:line="400" w:lineRule="exact"/>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1、满足《中华人民共和国政府采购法》第二十二条规定：</w:t>
            </w:r>
          </w:p>
          <w:p w14:paraId="04913C44">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1.1.具有独立承担民事责任的能力（提供法人或者其他组织的营业执照等证明文件）；</w:t>
            </w:r>
          </w:p>
          <w:p w14:paraId="5C7567B3">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1.2.具有良好的商业信誉和健全的财务会计制度（提供经审计的202</w:t>
            </w:r>
            <w:r>
              <w:rPr>
                <w:rFonts w:hint="eastAsia" w:ascii="宋体" w:hAnsi="宋体" w:cs="宋体"/>
                <w:color w:val="auto"/>
                <w:sz w:val="24"/>
                <w:szCs w:val="32"/>
                <w:highlight w:val="none"/>
                <w:lang w:val="en-US" w:eastAsia="zh-CN"/>
              </w:rPr>
              <w:t>4</w:t>
            </w:r>
            <w:r>
              <w:rPr>
                <w:rFonts w:hint="eastAsia" w:ascii="宋体" w:hAnsi="宋体" w:eastAsia="宋体" w:cs="宋体"/>
                <w:color w:val="auto"/>
                <w:sz w:val="24"/>
                <w:szCs w:val="32"/>
                <w:highlight w:val="none"/>
                <w:lang w:val="en-US" w:eastAsia="zh-CN"/>
              </w:rPr>
              <w:t>年度</w:t>
            </w:r>
            <w:r>
              <w:rPr>
                <w:rFonts w:hint="eastAsia" w:ascii="宋体" w:hAnsi="宋体" w:cs="宋体"/>
                <w:color w:val="auto"/>
                <w:sz w:val="24"/>
                <w:szCs w:val="32"/>
                <w:highlight w:val="none"/>
                <w:lang w:val="en-US" w:eastAsia="zh-CN"/>
              </w:rPr>
              <w:t>或者2025年度</w:t>
            </w:r>
            <w:r>
              <w:rPr>
                <w:rFonts w:hint="eastAsia" w:ascii="宋体" w:hAnsi="宋体" w:eastAsia="宋体" w:cs="宋体"/>
                <w:color w:val="auto"/>
                <w:sz w:val="24"/>
                <w:szCs w:val="32"/>
                <w:highlight w:val="none"/>
                <w:lang w:val="en-US" w:eastAsia="zh-CN"/>
              </w:rPr>
              <w:t>财务报告或基本户银行出具的近期资信证明或财政部门认可的政府采购专业担保机构出具的投标担保函）（成立时间不足一年的单位提供财务报表）；</w:t>
            </w:r>
          </w:p>
          <w:p w14:paraId="59C3AC5B">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lang w:val="en-US" w:eastAsia="zh-CN"/>
              </w:rPr>
              <w:t>1.3.具有履行合同所必需的设备和专业技术能力（自行作出承诺，格式自拟）；</w:t>
            </w:r>
          </w:p>
          <w:p w14:paraId="79B5BBBD">
            <w:pPr>
              <w:keepNext w:val="0"/>
              <w:keepLines w:val="0"/>
              <w:pageBreakBefore w:val="0"/>
              <w:widowControl w:val="0"/>
              <w:kinsoku/>
              <w:wordWrap/>
              <w:overflowPunct/>
              <w:topLinePunct w:val="0"/>
              <w:autoSpaceDE/>
              <w:autoSpaceDN/>
              <w:bidi w:val="0"/>
              <w:adjustRightInd/>
              <w:snapToGrid/>
              <w:spacing w:beforeLines="20"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1.4.有依法缴纳税收和社会保障资金</w:t>
            </w:r>
            <w:r>
              <w:rPr>
                <w:rFonts w:hint="eastAsia" w:ascii="宋体" w:hAnsi="宋体" w:eastAsia="宋体" w:cs="宋体"/>
                <w:b w:val="0"/>
                <w:bCs w:val="0"/>
                <w:color w:val="auto"/>
                <w:sz w:val="24"/>
                <w:szCs w:val="24"/>
                <w:highlight w:val="none"/>
                <w:lang w:val="en-US" w:eastAsia="zh-CN"/>
              </w:rPr>
              <w:t>的良好记录（提供202</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年</w:t>
            </w: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月1日以来</w:t>
            </w:r>
            <w:r>
              <w:rPr>
                <w:rFonts w:hint="eastAsia" w:ascii="宋体" w:hAnsi="宋体" w:cs="宋体"/>
                <w:color w:val="auto"/>
                <w:sz w:val="24"/>
                <w:szCs w:val="32"/>
                <w:highlight w:val="none"/>
                <w:lang w:val="en-US" w:eastAsia="zh-CN"/>
              </w:rPr>
              <w:t>连续6</w:t>
            </w:r>
            <w:r>
              <w:rPr>
                <w:rFonts w:hint="eastAsia" w:ascii="宋体" w:hAnsi="宋体" w:eastAsia="宋体" w:cs="宋体"/>
                <w:color w:val="auto"/>
                <w:sz w:val="24"/>
                <w:szCs w:val="32"/>
                <w:highlight w:val="none"/>
                <w:lang w:val="en-US" w:eastAsia="zh-CN"/>
              </w:rPr>
              <w:t>个月</w:t>
            </w:r>
            <w:r>
              <w:rPr>
                <w:rFonts w:hint="eastAsia" w:ascii="宋体" w:hAnsi="宋体" w:eastAsia="宋体" w:cs="宋体"/>
                <w:b w:val="0"/>
                <w:bCs w:val="0"/>
                <w:color w:val="auto"/>
                <w:sz w:val="24"/>
                <w:szCs w:val="24"/>
                <w:highlight w:val="none"/>
                <w:lang w:val="en-US" w:eastAsia="zh-CN"/>
              </w:rPr>
              <w:t>依法缴纳税收和社会保障金的证明材料，依法免税或不需要缴纳社会保障资金的供应商，应提供相应证明文件）；</w:t>
            </w:r>
          </w:p>
          <w:p w14:paraId="2EA47B3B">
            <w:pPr>
              <w:keepNext w:val="0"/>
              <w:keepLines w:val="0"/>
              <w:pageBreakBefore w:val="0"/>
              <w:widowControl w:val="0"/>
              <w:kinsoku/>
              <w:wordWrap/>
              <w:overflowPunct/>
              <w:topLinePunct w:val="0"/>
              <w:autoSpaceDE/>
              <w:autoSpaceDN/>
              <w:bidi w:val="0"/>
              <w:adjustRightInd/>
              <w:snapToGrid/>
              <w:spacing w:beforeLines="20"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1.5.参加政府采购活动前三年内，在经营活动中没有重大违法记录（自行作出承诺，格式自拟）；</w:t>
            </w:r>
          </w:p>
          <w:p w14:paraId="422605F2">
            <w:pPr>
              <w:keepNext w:val="0"/>
              <w:keepLines w:val="0"/>
              <w:pageBreakBefore w:val="0"/>
              <w:widowControl w:val="0"/>
              <w:kinsoku/>
              <w:wordWrap/>
              <w:overflowPunct/>
              <w:topLinePunct w:val="0"/>
              <w:autoSpaceDE/>
              <w:autoSpaceDN/>
              <w:bidi w:val="0"/>
              <w:adjustRightInd/>
              <w:snapToGrid/>
              <w:spacing w:beforeLines="20"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1.6.法律、行政法规规定的其他条件。</w:t>
            </w:r>
          </w:p>
          <w:p w14:paraId="33ECD666">
            <w:pPr>
              <w:keepNext w:val="0"/>
              <w:keepLines w:val="0"/>
              <w:pageBreakBefore w:val="0"/>
              <w:widowControl w:val="0"/>
              <w:kinsoku/>
              <w:wordWrap/>
              <w:overflowPunct/>
              <w:topLinePunct w:val="0"/>
              <w:autoSpaceDE/>
              <w:autoSpaceDN/>
              <w:bidi w:val="0"/>
              <w:adjustRightInd/>
              <w:snapToGrid/>
              <w:spacing w:beforeLines="20" w:line="400" w:lineRule="exact"/>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2、落实政府采购政策满足的资格要求：</w:t>
            </w:r>
          </w:p>
          <w:p w14:paraId="1EDFF8BB">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本项目非专门面向中小企业采购【该项目符合《政府采购促进中小企业发展管理办法》（财库【2020】46号）第六条第</w:t>
            </w:r>
            <w:r>
              <w:rPr>
                <w:rFonts w:hint="eastAsia" w:ascii="宋体" w:hAnsi="宋体" w:eastAsia="宋体" w:cs="宋体"/>
                <w:color w:val="auto"/>
                <w:sz w:val="24"/>
                <w:szCs w:val="32"/>
                <w:highlight w:val="none"/>
                <w:u w:val="single"/>
              </w:rPr>
              <w:t>（三）</w:t>
            </w:r>
            <w:r>
              <w:rPr>
                <w:rFonts w:hint="eastAsia" w:ascii="宋体" w:hAnsi="宋体" w:eastAsia="宋体" w:cs="宋体"/>
                <w:color w:val="auto"/>
                <w:sz w:val="24"/>
                <w:szCs w:val="32"/>
                <w:highlight w:val="none"/>
              </w:rPr>
              <w:t>款之规定：</w:t>
            </w:r>
            <w:r>
              <w:rPr>
                <w:rFonts w:hint="eastAsia" w:ascii="宋体" w:hAnsi="宋体" w:eastAsia="宋体" w:cs="宋体"/>
                <w:color w:val="auto"/>
                <w:sz w:val="24"/>
                <w:szCs w:val="32"/>
                <w:highlight w:val="none"/>
                <w:u w:val="single"/>
              </w:rPr>
              <w:t>（三）按照本办法规定预留采购份额无法确保充分供应、充分竞争，或者存在可能影响政府采购目标实现的情形；】</w:t>
            </w:r>
            <w:r>
              <w:rPr>
                <w:rFonts w:hint="eastAsia" w:ascii="宋体" w:hAnsi="宋体" w:eastAsia="宋体" w:cs="宋体"/>
                <w:color w:val="auto"/>
                <w:sz w:val="24"/>
                <w:szCs w:val="32"/>
                <w:highlight w:val="none"/>
              </w:rPr>
              <w:t>。本项目落实节约能源、保护环境、扶持不发达地区和少数民族地区、促进中小微企业、监狱企业及残疾人福利性单位发展等政府采购政策。</w:t>
            </w:r>
          </w:p>
          <w:p w14:paraId="449488E4">
            <w:pPr>
              <w:keepNext w:val="0"/>
              <w:keepLines w:val="0"/>
              <w:pageBreakBefore w:val="0"/>
              <w:widowControl w:val="0"/>
              <w:kinsoku/>
              <w:wordWrap/>
              <w:overflowPunct/>
              <w:topLinePunct w:val="0"/>
              <w:autoSpaceDE/>
              <w:autoSpaceDN/>
              <w:bidi w:val="0"/>
              <w:adjustRightInd/>
              <w:snapToGrid/>
              <w:spacing w:beforeLines="20" w:line="400" w:lineRule="exact"/>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3、本项目的特定资格要求</w:t>
            </w:r>
          </w:p>
          <w:p w14:paraId="634E118B">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3.1.根据《关于在政府采购活动中查询及使用信用记录有关问题的通知》（财库【2016】125号）的规定，对列入失信被执行人、重大税收违法案件当事人名单（税收违法黑名单/重大税收违法失信主体）、政府采购严重违法失信行为记录名单的供应商，拒绝参与本项目政府采购活动；供应商应通过“信用中国”网站（www.creditchina.gov.cn）查询“失信被执行人”、“重大税收违法案件当事人名单（税收违法黑名单/重大税收违法失信主体）”，中国政府采购网（www.ccgp.gov.cn）查询“政府采购严重违法失信行为记录名单”，提供查询网页截图；</w:t>
            </w:r>
          </w:p>
          <w:p w14:paraId="2785FD7E">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32"/>
                <w:highlight w:val="none"/>
                <w:lang w:val="en-US" w:eastAsia="zh-CN"/>
              </w:rPr>
            </w:pPr>
            <w:r>
              <w:rPr>
                <w:rFonts w:hint="eastAsia" w:ascii="宋体" w:hAnsi="宋体" w:eastAsia="宋体" w:cs="宋体"/>
                <w:b w:val="0"/>
                <w:bCs w:val="0"/>
                <w:color w:val="auto"/>
                <w:sz w:val="24"/>
                <w:szCs w:val="24"/>
                <w:highlight w:val="none"/>
                <w:lang w:val="en-US" w:eastAsia="zh-CN"/>
              </w:rPr>
              <w:t>3.2.</w:t>
            </w:r>
            <w:r>
              <w:rPr>
                <w:rFonts w:hint="eastAsia" w:ascii="宋体" w:hAnsi="宋体" w:eastAsia="宋体" w:cs="宋体"/>
                <w:color w:val="auto"/>
                <w:sz w:val="24"/>
                <w:szCs w:val="32"/>
                <w:highlight w:val="none"/>
                <w:lang w:val="en-US" w:eastAsia="zh-CN"/>
              </w:rPr>
              <w:t>供应商拟派的项目负责人须</w:t>
            </w:r>
            <w:r>
              <w:rPr>
                <w:rFonts w:hint="eastAsia" w:ascii="宋体" w:hAnsi="宋体" w:cs="宋体"/>
                <w:color w:val="auto"/>
                <w:sz w:val="24"/>
                <w:szCs w:val="32"/>
                <w:highlight w:val="none"/>
                <w:lang w:val="en-US" w:eastAsia="zh-CN"/>
              </w:rPr>
              <w:t>具有</w:t>
            </w:r>
            <w:r>
              <w:rPr>
                <w:rFonts w:hint="eastAsia" w:ascii="宋体" w:hAnsi="宋体" w:eastAsia="宋体" w:cs="宋体"/>
                <w:color w:val="auto"/>
                <w:sz w:val="24"/>
                <w:szCs w:val="32"/>
                <w:highlight w:val="none"/>
                <w:lang w:val="en-US" w:eastAsia="zh-CN"/>
              </w:rPr>
              <w:t>地质类相关专业副高级及以上技术职称，并提供劳动合同及2025年6月1日以来</w:t>
            </w:r>
            <w:r>
              <w:rPr>
                <w:rFonts w:hint="eastAsia" w:ascii="宋体" w:hAnsi="宋体" w:cs="宋体"/>
                <w:color w:val="auto"/>
                <w:sz w:val="24"/>
                <w:szCs w:val="32"/>
                <w:highlight w:val="none"/>
                <w:lang w:val="en-US" w:eastAsia="zh-CN"/>
              </w:rPr>
              <w:t>连续6</w:t>
            </w:r>
            <w:r>
              <w:rPr>
                <w:rFonts w:hint="eastAsia" w:ascii="宋体" w:hAnsi="宋体" w:eastAsia="宋体" w:cs="宋体"/>
                <w:color w:val="auto"/>
                <w:sz w:val="24"/>
                <w:szCs w:val="32"/>
                <w:highlight w:val="none"/>
                <w:lang w:val="en-US" w:eastAsia="zh-CN"/>
              </w:rPr>
              <w:t>个月在本单位缴纳社保证明）；</w:t>
            </w:r>
          </w:p>
          <w:p w14:paraId="2AD05D0B">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.单位负责人为同一人或者存在直接控股、管理关系的不同单位，不得同时参加同一合同项下的政府采购活动（自行承诺，格式自拟；</w:t>
            </w:r>
          </w:p>
          <w:p w14:paraId="3C6C6372">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32"/>
                <w:highlight w:val="none"/>
              </w:rPr>
              <w:t>本项目不允许联合体磋商，实行资格后审。</w:t>
            </w:r>
          </w:p>
        </w:tc>
      </w:tr>
      <w:tr w14:paraId="525E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3CFE0EE7">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1.5.2</w:t>
            </w:r>
          </w:p>
        </w:tc>
        <w:tc>
          <w:tcPr>
            <w:tcW w:w="1827" w:type="dxa"/>
            <w:tcBorders>
              <w:top w:val="single" w:color="auto" w:sz="4" w:space="0"/>
            </w:tcBorders>
            <w:noWrap w:val="0"/>
            <w:vAlign w:val="center"/>
          </w:tcPr>
          <w:p w14:paraId="1D534331">
            <w:pPr>
              <w:pageBreakBefore w:val="0"/>
              <w:kinsoku/>
              <w:wordWrap/>
              <w:overflowPunct/>
              <w:topLinePunct w:val="0"/>
              <w:bidi w:val="0"/>
              <w:spacing w:line="400" w:lineRule="exac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是否接受联合体</w:t>
            </w:r>
          </w:p>
        </w:tc>
        <w:tc>
          <w:tcPr>
            <w:tcW w:w="6942" w:type="dxa"/>
            <w:tcBorders>
              <w:top w:val="single" w:color="auto" w:sz="4" w:space="0"/>
            </w:tcBorders>
            <w:noWrap w:val="0"/>
            <w:vAlign w:val="center"/>
          </w:tcPr>
          <w:p w14:paraId="5350A9E8">
            <w:pPr>
              <w:pageBreakBefore w:val="0"/>
              <w:kinsoku/>
              <w:wordWrap/>
              <w:overflowPunct/>
              <w:topLinePunct w:val="0"/>
              <w:bidi w:val="0"/>
              <w:spacing w:line="400" w:lineRule="exact"/>
              <w:rPr>
                <w:rFonts w:hint="eastAsia" w:ascii="宋体" w:hAnsi="宋体" w:eastAsia="宋体" w:cs="宋体"/>
                <w:color w:val="auto"/>
                <w:sz w:val="24"/>
                <w:szCs w:val="24"/>
                <w:lang w:val="en-US" w:eastAsia="zh-CN"/>
              </w:rPr>
            </w:pPr>
            <w:r>
              <w:rPr>
                <w:rFonts w:hint="eastAsia" w:ascii="宋体" w:hAnsi="宋体" w:cs="宋体"/>
                <w:color w:val="000000"/>
                <w:szCs w:val="21"/>
                <w:lang w:val="en-US" w:eastAsia="zh-CN"/>
              </w:rPr>
              <w:t>否</w:t>
            </w:r>
          </w:p>
        </w:tc>
      </w:tr>
      <w:tr w14:paraId="5D01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76B6142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1.10</w:t>
            </w:r>
          </w:p>
        </w:tc>
        <w:tc>
          <w:tcPr>
            <w:tcW w:w="1827" w:type="dxa"/>
            <w:tcBorders>
              <w:top w:val="single" w:color="auto" w:sz="4" w:space="0"/>
            </w:tcBorders>
            <w:noWrap w:val="0"/>
            <w:vAlign w:val="center"/>
          </w:tcPr>
          <w:p w14:paraId="3A95B4D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现场踏勘</w:t>
            </w:r>
          </w:p>
        </w:tc>
        <w:tc>
          <w:tcPr>
            <w:tcW w:w="6942" w:type="dxa"/>
            <w:tcBorders>
              <w:top w:val="single" w:color="auto" w:sz="4" w:space="0"/>
            </w:tcBorders>
            <w:noWrap w:val="0"/>
            <w:vAlign w:val="center"/>
          </w:tcPr>
          <w:p w14:paraId="0308CA98">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自行踏勘</w:t>
            </w:r>
          </w:p>
        </w:tc>
      </w:tr>
      <w:tr w14:paraId="40DB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3D89CE5E">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2.1</w:t>
            </w:r>
          </w:p>
        </w:tc>
        <w:tc>
          <w:tcPr>
            <w:tcW w:w="1827" w:type="dxa"/>
            <w:tcBorders>
              <w:top w:val="single" w:color="auto" w:sz="4" w:space="0"/>
            </w:tcBorders>
            <w:noWrap w:val="0"/>
            <w:vAlign w:val="center"/>
          </w:tcPr>
          <w:p w14:paraId="20783EA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构成磋商文件</w:t>
            </w:r>
          </w:p>
          <w:p w14:paraId="5A4BBC41">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的其他材料</w:t>
            </w:r>
          </w:p>
        </w:tc>
        <w:tc>
          <w:tcPr>
            <w:tcW w:w="6942" w:type="dxa"/>
            <w:tcBorders>
              <w:top w:val="single" w:color="auto" w:sz="4" w:space="0"/>
            </w:tcBorders>
            <w:noWrap w:val="0"/>
            <w:vAlign w:val="center"/>
          </w:tcPr>
          <w:p w14:paraId="245B1E1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除磋商文件外，采购人在磋商期间发出的澄清、修改、补充、补遗和其他有效正式函件等内容均是磋商文件的组成部分</w:t>
            </w:r>
          </w:p>
        </w:tc>
      </w:tr>
      <w:tr w14:paraId="29B9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7737939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2.2.1</w:t>
            </w:r>
          </w:p>
        </w:tc>
        <w:tc>
          <w:tcPr>
            <w:tcW w:w="1827" w:type="dxa"/>
            <w:tcBorders>
              <w:top w:val="single" w:color="auto" w:sz="4" w:space="0"/>
            </w:tcBorders>
            <w:noWrap w:val="0"/>
            <w:vAlign w:val="center"/>
          </w:tcPr>
          <w:p w14:paraId="4B7952D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供应商提出问题的截止时间</w:t>
            </w:r>
          </w:p>
        </w:tc>
        <w:tc>
          <w:tcPr>
            <w:tcW w:w="6942" w:type="dxa"/>
            <w:tcBorders>
              <w:top w:val="single" w:color="auto" w:sz="4" w:space="0"/>
            </w:tcBorders>
            <w:noWrap w:val="0"/>
            <w:vAlign w:val="center"/>
          </w:tcPr>
          <w:p w14:paraId="084D78F3">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公告发布之日起7个工作日内</w:t>
            </w:r>
          </w:p>
        </w:tc>
      </w:tr>
      <w:tr w14:paraId="3BA1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48FC15A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2.2.2</w:t>
            </w:r>
          </w:p>
        </w:tc>
        <w:tc>
          <w:tcPr>
            <w:tcW w:w="1827" w:type="dxa"/>
            <w:tcBorders>
              <w:top w:val="single" w:color="auto" w:sz="4" w:space="0"/>
            </w:tcBorders>
            <w:noWrap w:val="0"/>
            <w:vAlign w:val="center"/>
          </w:tcPr>
          <w:p w14:paraId="531CF893">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采购人澄清磋商文件的截止时间</w:t>
            </w:r>
          </w:p>
        </w:tc>
        <w:tc>
          <w:tcPr>
            <w:tcW w:w="6942" w:type="dxa"/>
            <w:tcBorders>
              <w:top w:val="single" w:color="auto" w:sz="4" w:space="0"/>
            </w:tcBorders>
            <w:noWrap w:val="0"/>
            <w:vAlign w:val="center"/>
          </w:tcPr>
          <w:p w14:paraId="6EBC0D8C">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递交响应文件截止之日5天前</w:t>
            </w:r>
          </w:p>
        </w:tc>
      </w:tr>
      <w:tr w14:paraId="129D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7A41D1D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2.2.3</w:t>
            </w:r>
          </w:p>
        </w:tc>
        <w:tc>
          <w:tcPr>
            <w:tcW w:w="1827" w:type="dxa"/>
            <w:tcBorders>
              <w:top w:val="single" w:color="auto" w:sz="4" w:space="0"/>
            </w:tcBorders>
            <w:noWrap w:val="0"/>
            <w:vAlign w:val="center"/>
          </w:tcPr>
          <w:p w14:paraId="65D70F1E">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供应商确认收到磋商文件澄清的时间</w:t>
            </w:r>
          </w:p>
        </w:tc>
        <w:tc>
          <w:tcPr>
            <w:tcW w:w="6942" w:type="dxa"/>
            <w:tcBorders>
              <w:top w:val="single" w:color="auto" w:sz="4" w:space="0"/>
            </w:tcBorders>
            <w:noWrap w:val="0"/>
            <w:vAlign w:val="center"/>
          </w:tcPr>
          <w:p w14:paraId="394BF8F5">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在收到相应澄清文件后 24 小时内</w:t>
            </w:r>
          </w:p>
        </w:tc>
      </w:tr>
      <w:tr w14:paraId="39D6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00E55716">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2.3.2</w:t>
            </w:r>
          </w:p>
        </w:tc>
        <w:tc>
          <w:tcPr>
            <w:tcW w:w="1827" w:type="dxa"/>
            <w:tcBorders>
              <w:top w:val="single" w:color="auto" w:sz="4" w:space="0"/>
            </w:tcBorders>
            <w:noWrap w:val="0"/>
            <w:vAlign w:val="center"/>
          </w:tcPr>
          <w:p w14:paraId="3276A881">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供应商确认收到磋商文件修改的时间</w:t>
            </w:r>
          </w:p>
        </w:tc>
        <w:tc>
          <w:tcPr>
            <w:tcW w:w="6942" w:type="dxa"/>
            <w:tcBorders>
              <w:top w:val="single" w:color="auto" w:sz="4" w:space="0"/>
            </w:tcBorders>
            <w:noWrap w:val="0"/>
            <w:vAlign w:val="center"/>
          </w:tcPr>
          <w:p w14:paraId="5DA7C668">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在收到相应修改文件后 24 小时内</w:t>
            </w:r>
          </w:p>
        </w:tc>
      </w:tr>
      <w:tr w14:paraId="4B1D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3562E182">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3.1</w:t>
            </w:r>
          </w:p>
        </w:tc>
        <w:tc>
          <w:tcPr>
            <w:tcW w:w="1827" w:type="dxa"/>
            <w:tcBorders>
              <w:top w:val="single" w:color="auto" w:sz="4" w:space="0"/>
            </w:tcBorders>
            <w:noWrap w:val="0"/>
            <w:vAlign w:val="center"/>
          </w:tcPr>
          <w:p w14:paraId="6F5DC8B7">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构成响应文件</w:t>
            </w:r>
          </w:p>
          <w:p w14:paraId="09E18B26">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的其他材料</w:t>
            </w:r>
          </w:p>
        </w:tc>
        <w:tc>
          <w:tcPr>
            <w:tcW w:w="6942" w:type="dxa"/>
            <w:tcBorders>
              <w:top w:val="single" w:color="auto" w:sz="4" w:space="0"/>
            </w:tcBorders>
            <w:noWrap w:val="0"/>
            <w:vAlign w:val="center"/>
          </w:tcPr>
          <w:p w14:paraId="14C9524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供应商认为需要提交的其他证明材料</w:t>
            </w:r>
          </w:p>
        </w:tc>
      </w:tr>
      <w:tr w14:paraId="73599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5E8B5A9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3.3.1</w:t>
            </w:r>
          </w:p>
        </w:tc>
        <w:tc>
          <w:tcPr>
            <w:tcW w:w="1827" w:type="dxa"/>
            <w:tcBorders>
              <w:top w:val="single" w:color="auto" w:sz="4" w:space="0"/>
            </w:tcBorders>
            <w:noWrap w:val="0"/>
            <w:vAlign w:val="center"/>
          </w:tcPr>
          <w:p w14:paraId="2DFFF98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磋商有效期</w:t>
            </w:r>
          </w:p>
        </w:tc>
        <w:tc>
          <w:tcPr>
            <w:tcW w:w="6942" w:type="dxa"/>
            <w:tcBorders>
              <w:top w:val="single" w:color="auto" w:sz="4" w:space="0"/>
            </w:tcBorders>
            <w:noWrap w:val="0"/>
            <w:vAlign w:val="center"/>
          </w:tcPr>
          <w:p w14:paraId="4B67B130">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60日历天（响应文件截止之日起）</w:t>
            </w:r>
          </w:p>
        </w:tc>
      </w:tr>
      <w:tr w14:paraId="2F06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0F358AF5">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3.2.3</w:t>
            </w:r>
          </w:p>
        </w:tc>
        <w:tc>
          <w:tcPr>
            <w:tcW w:w="1827" w:type="dxa"/>
            <w:tcBorders>
              <w:top w:val="single" w:color="auto" w:sz="4" w:space="0"/>
            </w:tcBorders>
            <w:noWrap w:val="0"/>
            <w:vAlign w:val="center"/>
          </w:tcPr>
          <w:p w14:paraId="0557415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报价方式</w:t>
            </w:r>
          </w:p>
        </w:tc>
        <w:tc>
          <w:tcPr>
            <w:tcW w:w="6942" w:type="dxa"/>
            <w:tcBorders>
              <w:top w:val="single" w:color="auto" w:sz="4" w:space="0"/>
            </w:tcBorders>
            <w:noWrap w:val="0"/>
            <w:vAlign w:val="center"/>
          </w:tcPr>
          <w:p w14:paraId="239ACE0A">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自主报价</w:t>
            </w:r>
          </w:p>
        </w:tc>
      </w:tr>
      <w:tr w14:paraId="341A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4E512A0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3.6</w:t>
            </w:r>
          </w:p>
        </w:tc>
        <w:tc>
          <w:tcPr>
            <w:tcW w:w="1827" w:type="dxa"/>
            <w:tcBorders>
              <w:top w:val="single" w:color="auto" w:sz="4" w:space="0"/>
            </w:tcBorders>
            <w:noWrap w:val="0"/>
            <w:vAlign w:val="center"/>
          </w:tcPr>
          <w:p w14:paraId="214A5E1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是否允许递交</w:t>
            </w:r>
          </w:p>
          <w:p w14:paraId="698D05A5">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备选磋商方案</w:t>
            </w:r>
          </w:p>
        </w:tc>
        <w:tc>
          <w:tcPr>
            <w:tcW w:w="6942" w:type="dxa"/>
            <w:tcBorders>
              <w:top w:val="single" w:color="auto" w:sz="4" w:space="0"/>
            </w:tcBorders>
            <w:noWrap w:val="0"/>
            <w:vAlign w:val="center"/>
          </w:tcPr>
          <w:p w14:paraId="0F3E55C3">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否</w:t>
            </w:r>
          </w:p>
        </w:tc>
      </w:tr>
      <w:tr w14:paraId="5D04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6F1C78F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3.7.3</w:t>
            </w:r>
          </w:p>
        </w:tc>
        <w:tc>
          <w:tcPr>
            <w:tcW w:w="1827" w:type="dxa"/>
            <w:tcBorders>
              <w:top w:val="single" w:color="auto" w:sz="4" w:space="0"/>
            </w:tcBorders>
            <w:noWrap w:val="0"/>
            <w:vAlign w:val="center"/>
          </w:tcPr>
          <w:p w14:paraId="43DCC1EE">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电子响应文件</w:t>
            </w:r>
          </w:p>
          <w:p w14:paraId="001956E9">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签字盖章要求</w:t>
            </w:r>
          </w:p>
        </w:tc>
        <w:tc>
          <w:tcPr>
            <w:tcW w:w="6942" w:type="dxa"/>
            <w:tcBorders>
              <w:top w:val="single" w:color="auto" w:sz="4" w:space="0"/>
            </w:tcBorders>
            <w:noWrap w:val="0"/>
            <w:vAlign w:val="center"/>
          </w:tcPr>
          <w:p w14:paraId="7B990431">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（1）签字和盖章的要求应符合“</w:t>
            </w:r>
            <w:r>
              <w:rPr>
                <w:rFonts w:hint="eastAsia" w:ascii="宋体" w:hAnsi="宋体" w:eastAsia="宋体" w:cs="宋体"/>
                <w:b w:val="0"/>
                <w:bCs w:val="0"/>
                <w:color w:val="auto"/>
                <w:sz w:val="24"/>
                <w:szCs w:val="24"/>
              </w:rPr>
              <w:t>第六章</w:t>
            </w: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val="en-US" w:eastAsia="zh-CN"/>
              </w:rPr>
              <w:t>竞争性磋商</w:t>
            </w:r>
            <w:r>
              <w:rPr>
                <w:rFonts w:hint="eastAsia" w:ascii="宋体" w:hAnsi="宋体" w:eastAsia="宋体" w:cs="宋体"/>
                <w:b w:val="0"/>
                <w:bCs w:val="0"/>
                <w:color w:val="auto"/>
                <w:sz w:val="24"/>
                <w:szCs w:val="24"/>
              </w:rPr>
              <w:t>响应文件格式</w:t>
            </w:r>
            <w:r>
              <w:rPr>
                <w:rFonts w:hint="eastAsia" w:ascii="宋体" w:hAnsi="宋体" w:eastAsia="宋体" w:cs="宋体"/>
                <w:color w:val="000000"/>
                <w:kern w:val="0"/>
                <w:sz w:val="24"/>
                <w:szCs w:val="24"/>
                <w:lang w:val="en-US" w:eastAsia="zh-CN" w:bidi="ar-SA"/>
              </w:rPr>
              <w:t>”相应要求，按相应要求进行电子签章签名（包括单位电子签章、个人电子签名（含个人电子签章））。</w:t>
            </w:r>
          </w:p>
          <w:p w14:paraId="36B1DC2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（2）若有委托代理人单独签字或签章的，且委托代理人没有CA锁，则响应文件需上传有手写签名或签章的扫描件或在电子系统内使用手写签名。</w:t>
            </w:r>
          </w:p>
        </w:tc>
      </w:tr>
      <w:tr w14:paraId="47C93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03C404C9">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3.7.4</w:t>
            </w:r>
          </w:p>
        </w:tc>
        <w:tc>
          <w:tcPr>
            <w:tcW w:w="1827" w:type="dxa"/>
            <w:tcBorders>
              <w:top w:val="single" w:color="auto" w:sz="4" w:space="0"/>
            </w:tcBorders>
            <w:noWrap w:val="0"/>
            <w:vAlign w:val="center"/>
          </w:tcPr>
          <w:p w14:paraId="4729FFD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响应文件份数</w:t>
            </w:r>
          </w:p>
        </w:tc>
        <w:tc>
          <w:tcPr>
            <w:tcW w:w="6942" w:type="dxa"/>
            <w:tcBorders>
              <w:top w:val="single" w:color="auto" w:sz="4" w:space="0"/>
            </w:tcBorders>
            <w:noWrap w:val="0"/>
            <w:vAlign w:val="center"/>
          </w:tcPr>
          <w:p w14:paraId="037C359C">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加密的电子响应文件壹份（*.XYTF 格式，在会员系统指定位置上传）</w:t>
            </w:r>
          </w:p>
        </w:tc>
      </w:tr>
      <w:tr w14:paraId="0E81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509C8ECE">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4.2</w:t>
            </w:r>
          </w:p>
        </w:tc>
        <w:tc>
          <w:tcPr>
            <w:tcW w:w="1827" w:type="dxa"/>
            <w:tcBorders>
              <w:top w:val="single" w:color="auto" w:sz="4" w:space="0"/>
            </w:tcBorders>
            <w:noWrap w:val="0"/>
            <w:vAlign w:val="center"/>
          </w:tcPr>
          <w:p w14:paraId="7ED9535D">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响应文件的递交</w:t>
            </w:r>
          </w:p>
        </w:tc>
        <w:tc>
          <w:tcPr>
            <w:tcW w:w="6942" w:type="dxa"/>
            <w:tcBorders>
              <w:top w:val="single" w:color="auto" w:sz="4" w:space="0"/>
            </w:tcBorders>
            <w:noWrap w:val="0"/>
            <w:vAlign w:val="center"/>
          </w:tcPr>
          <w:p w14:paraId="4F073C82">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1、电子响应文件的递交</w:t>
            </w:r>
          </w:p>
          <w:p w14:paraId="43985D5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各供应商应在响应文件提交截止时间前上传加密的电子响应文件（*.XYTF）到会员系统的指定位置。上传时必须得到交易系统“上传成功”的确认回复后方为上传成功。请供应商在上传前务必认真检查上传响应文件是否完整、正确。</w:t>
            </w:r>
          </w:p>
          <w:p w14:paraId="142FC191">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2、本项目采用“不见面开标”交易方式，不见面开标大厅网址</w:t>
            </w:r>
            <w:r>
              <w:rPr>
                <w:rFonts w:hint="eastAsia" w:ascii="宋体" w:hAnsi="宋体" w:eastAsia="宋体" w:cs="宋体"/>
                <w:kern w:val="0"/>
                <w:sz w:val="24"/>
                <w:lang w:val="en-US" w:eastAsia="zh-CN"/>
              </w:rPr>
              <w:t>https://ggzyjy.xinyang.gov.cn/BidOpening/bidhall/xinyang/login.html</w:t>
            </w:r>
            <w:r>
              <w:rPr>
                <w:rFonts w:hint="eastAsia" w:ascii="宋体" w:hAnsi="宋体" w:eastAsia="宋体" w:cs="宋体"/>
                <w:color w:val="000000"/>
                <w:kern w:val="0"/>
                <w:sz w:val="24"/>
                <w:szCs w:val="24"/>
                <w:u w:val="none"/>
                <w:lang w:val="en-US" w:eastAsia="zh-CN" w:bidi="ar-SA"/>
              </w:rPr>
              <w:t>，供应商无需寄送和递交非加密的电子响应文件，无需到现场参加开标会议，无需到达现场提交原件资料。</w:t>
            </w:r>
          </w:p>
        </w:tc>
      </w:tr>
      <w:tr w14:paraId="3369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64559E0C">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5.1</w:t>
            </w:r>
          </w:p>
        </w:tc>
        <w:tc>
          <w:tcPr>
            <w:tcW w:w="1827" w:type="dxa"/>
            <w:tcBorders>
              <w:top w:val="single" w:color="auto" w:sz="4" w:space="0"/>
            </w:tcBorders>
            <w:noWrap w:val="0"/>
            <w:vAlign w:val="center"/>
          </w:tcPr>
          <w:p w14:paraId="0EB5652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提交响应文件</w:t>
            </w:r>
          </w:p>
          <w:p w14:paraId="1907280D">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截止时间（响应文件递交截止时间）</w:t>
            </w:r>
          </w:p>
        </w:tc>
        <w:tc>
          <w:tcPr>
            <w:tcW w:w="6942" w:type="dxa"/>
            <w:tcBorders>
              <w:top w:val="single" w:color="auto" w:sz="4" w:space="0"/>
            </w:tcBorders>
            <w:noWrap w:val="0"/>
            <w:vAlign w:val="center"/>
          </w:tcPr>
          <w:p w14:paraId="571ADC42">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 xml:space="preserve"> </w:t>
            </w:r>
            <w:r>
              <w:rPr>
                <w:rFonts w:hint="eastAsia" w:ascii="宋体" w:hAnsi="宋体" w:cs="宋体"/>
                <w:color w:val="auto"/>
                <w:kern w:val="0"/>
                <w:sz w:val="24"/>
                <w:lang w:val="en-US" w:eastAsia="zh-CN"/>
              </w:rPr>
              <w:t>2026</w:t>
            </w:r>
            <w:r>
              <w:rPr>
                <w:rFonts w:hint="eastAsia" w:ascii="宋体" w:hAnsi="宋体" w:eastAsia="宋体" w:cs="宋体"/>
                <w:color w:val="auto"/>
                <w:kern w:val="0"/>
                <w:sz w:val="24"/>
              </w:rPr>
              <w:t>年</w:t>
            </w:r>
            <w:r>
              <w:rPr>
                <w:rFonts w:hint="eastAsia" w:ascii="宋体" w:hAnsi="宋体" w:cs="宋体"/>
                <w:color w:val="auto"/>
                <w:kern w:val="0"/>
                <w:sz w:val="24"/>
                <w:lang w:val="en-US" w:eastAsia="zh-CN"/>
              </w:rPr>
              <w:t>10</w:t>
            </w:r>
            <w:r>
              <w:rPr>
                <w:rFonts w:hint="eastAsia" w:ascii="宋体" w:hAnsi="宋体" w:eastAsia="宋体" w:cs="宋体"/>
                <w:color w:val="auto"/>
                <w:kern w:val="0"/>
                <w:sz w:val="24"/>
              </w:rPr>
              <w:t>月</w:t>
            </w:r>
            <w:r>
              <w:rPr>
                <w:rFonts w:hint="eastAsia" w:ascii="宋体" w:hAnsi="宋体" w:cs="宋体"/>
                <w:color w:val="auto"/>
                <w:kern w:val="0"/>
                <w:sz w:val="24"/>
                <w:lang w:val="en-US" w:eastAsia="zh-CN"/>
              </w:rPr>
              <w:t>13</w:t>
            </w:r>
            <w:r>
              <w:rPr>
                <w:rFonts w:hint="eastAsia" w:ascii="宋体" w:hAnsi="宋体" w:eastAsia="宋体" w:cs="宋体"/>
                <w:color w:val="auto"/>
                <w:kern w:val="0"/>
                <w:sz w:val="24"/>
              </w:rPr>
              <w:t>日</w:t>
            </w:r>
            <w:r>
              <w:rPr>
                <w:rFonts w:hint="eastAsia" w:ascii="宋体" w:hAnsi="宋体" w:cs="宋体"/>
                <w:color w:val="auto"/>
                <w:kern w:val="0"/>
                <w:sz w:val="24"/>
                <w:szCs w:val="24"/>
                <w:lang w:val="en-US" w:eastAsia="zh-CN" w:bidi="ar-SA"/>
              </w:rPr>
              <w:t>9</w:t>
            </w:r>
            <w:r>
              <w:rPr>
                <w:rFonts w:hint="eastAsia" w:ascii="宋体" w:hAnsi="宋体" w:eastAsia="宋体" w:cs="宋体"/>
                <w:color w:val="auto"/>
                <w:kern w:val="0"/>
                <w:sz w:val="24"/>
                <w:szCs w:val="24"/>
                <w:lang w:val="en-US" w:eastAsia="zh-CN" w:bidi="ar-SA"/>
              </w:rPr>
              <w:t>时</w:t>
            </w:r>
            <w:r>
              <w:rPr>
                <w:rFonts w:hint="eastAsia" w:ascii="宋体" w:hAnsi="宋体" w:cs="宋体"/>
                <w:color w:val="auto"/>
                <w:kern w:val="0"/>
                <w:sz w:val="24"/>
                <w:szCs w:val="24"/>
                <w:lang w:val="en-US" w:eastAsia="zh-CN" w:bidi="ar-SA"/>
              </w:rPr>
              <w:t>0</w:t>
            </w:r>
            <w:r>
              <w:rPr>
                <w:rFonts w:hint="eastAsia" w:ascii="宋体" w:hAnsi="宋体" w:eastAsia="宋体" w:cs="宋体"/>
                <w:color w:val="auto"/>
                <w:kern w:val="0"/>
                <w:sz w:val="24"/>
                <w:szCs w:val="24"/>
                <w:lang w:val="en-US" w:eastAsia="zh-CN" w:bidi="ar-SA"/>
              </w:rPr>
              <w:t>0分</w:t>
            </w:r>
          </w:p>
        </w:tc>
      </w:tr>
      <w:tr w14:paraId="6A6C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7F65E21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5.1.1</w:t>
            </w:r>
          </w:p>
        </w:tc>
        <w:tc>
          <w:tcPr>
            <w:tcW w:w="1827" w:type="dxa"/>
            <w:tcBorders>
              <w:top w:val="single" w:color="auto" w:sz="4" w:space="0"/>
            </w:tcBorders>
            <w:noWrap w:val="0"/>
            <w:vAlign w:val="center"/>
          </w:tcPr>
          <w:p w14:paraId="535866FD">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磋商时间和地点</w:t>
            </w:r>
          </w:p>
        </w:tc>
        <w:tc>
          <w:tcPr>
            <w:tcW w:w="6942" w:type="dxa"/>
            <w:tcBorders>
              <w:top w:val="single" w:color="auto" w:sz="4" w:space="0"/>
            </w:tcBorders>
            <w:noWrap w:val="0"/>
            <w:vAlign w:val="center"/>
          </w:tcPr>
          <w:p w14:paraId="2022C7FB">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磋商时间：同响应文件提交截止时间</w:t>
            </w:r>
          </w:p>
          <w:p w14:paraId="49F35A75">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磋商地点：</w:t>
            </w:r>
            <w:r>
              <w:rPr>
                <w:rFonts w:hint="eastAsia" w:ascii="宋体" w:hAnsi="宋体" w:cs="宋体"/>
                <w:b w:val="0"/>
                <w:bCs w:val="0"/>
                <w:color w:val="auto"/>
                <w:sz w:val="24"/>
                <w:szCs w:val="32"/>
                <w:lang w:val="zh-CN" w:eastAsia="zh-CN"/>
              </w:rPr>
              <w:t>信阳市公共资源交易中心AI机器人开标虚拟</w:t>
            </w:r>
            <w:r>
              <w:rPr>
                <w:rFonts w:hint="eastAsia" w:ascii="宋体" w:hAnsi="宋体" w:cs="宋体"/>
                <w:b w:val="0"/>
                <w:bCs w:val="0"/>
                <w:color w:val="auto"/>
                <w:sz w:val="24"/>
                <w:szCs w:val="32"/>
                <w:lang w:val="en-US" w:eastAsia="zh-CN"/>
              </w:rPr>
              <w:t>七</w:t>
            </w:r>
            <w:r>
              <w:rPr>
                <w:rFonts w:hint="eastAsia" w:ascii="宋体" w:hAnsi="宋体" w:cs="宋体"/>
                <w:b w:val="0"/>
                <w:bCs w:val="0"/>
                <w:color w:val="auto"/>
                <w:sz w:val="24"/>
                <w:szCs w:val="32"/>
                <w:lang w:val="zh-CN" w:eastAsia="zh-CN"/>
              </w:rPr>
              <w:t>厅</w:t>
            </w:r>
          </w:p>
        </w:tc>
      </w:tr>
      <w:tr w14:paraId="759B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4EFAD896">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6.1</w:t>
            </w:r>
          </w:p>
        </w:tc>
        <w:tc>
          <w:tcPr>
            <w:tcW w:w="1827" w:type="dxa"/>
            <w:tcBorders>
              <w:top w:val="single" w:color="auto" w:sz="4" w:space="0"/>
            </w:tcBorders>
            <w:noWrap w:val="0"/>
            <w:vAlign w:val="center"/>
          </w:tcPr>
          <w:p w14:paraId="03496565">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磋商小组的组建</w:t>
            </w:r>
          </w:p>
        </w:tc>
        <w:tc>
          <w:tcPr>
            <w:tcW w:w="6942" w:type="dxa"/>
            <w:tcBorders>
              <w:top w:val="single" w:color="auto" w:sz="4" w:space="0"/>
            </w:tcBorders>
            <w:noWrap w:val="0"/>
            <w:vAlign w:val="center"/>
          </w:tcPr>
          <w:p w14:paraId="0ACDB5C0">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磋商小组构成：</w:t>
            </w:r>
            <w:r>
              <w:rPr>
                <w:rFonts w:hint="eastAsia" w:ascii="宋体" w:hAnsi="宋体" w:eastAsia="宋体" w:cs="宋体"/>
                <w:color w:val="000000"/>
                <w:kern w:val="0"/>
                <w:sz w:val="24"/>
                <w:szCs w:val="24"/>
                <w:highlight w:val="none"/>
                <w:u w:val="single"/>
                <w:lang w:val="en-US" w:eastAsia="zh-CN" w:bidi="ar-SA"/>
              </w:rPr>
              <w:t>3</w:t>
            </w:r>
            <w:r>
              <w:rPr>
                <w:rFonts w:hint="eastAsia" w:ascii="宋体" w:hAnsi="宋体" w:eastAsia="宋体" w:cs="宋体"/>
                <w:color w:val="000000"/>
                <w:kern w:val="0"/>
                <w:sz w:val="24"/>
                <w:szCs w:val="24"/>
                <w:highlight w:val="none"/>
                <w:lang w:val="en-US" w:eastAsia="zh-CN" w:bidi="ar-SA"/>
              </w:rPr>
              <w:t>人，其中业主评委</w:t>
            </w:r>
            <w:r>
              <w:rPr>
                <w:rFonts w:hint="eastAsia" w:ascii="宋体" w:hAnsi="宋体" w:eastAsia="宋体" w:cs="宋体"/>
                <w:color w:val="000000"/>
                <w:kern w:val="0"/>
                <w:sz w:val="24"/>
                <w:szCs w:val="24"/>
                <w:highlight w:val="none"/>
                <w:u w:val="single"/>
                <w:lang w:val="en-US" w:eastAsia="zh-CN" w:bidi="ar-SA"/>
              </w:rPr>
              <w:t>1</w:t>
            </w:r>
            <w:r>
              <w:rPr>
                <w:rFonts w:hint="eastAsia" w:ascii="宋体" w:hAnsi="宋体" w:eastAsia="宋体" w:cs="宋体"/>
                <w:color w:val="000000"/>
                <w:kern w:val="0"/>
                <w:sz w:val="24"/>
                <w:szCs w:val="24"/>
                <w:highlight w:val="none"/>
                <w:lang w:val="en-US" w:eastAsia="zh-CN" w:bidi="ar-SA"/>
              </w:rPr>
              <w:t>人，技术、经济类专家</w:t>
            </w:r>
            <w:r>
              <w:rPr>
                <w:rFonts w:hint="eastAsia" w:ascii="宋体" w:hAnsi="宋体" w:eastAsia="宋体" w:cs="宋体"/>
                <w:color w:val="000000"/>
                <w:kern w:val="0"/>
                <w:sz w:val="24"/>
                <w:szCs w:val="24"/>
                <w:highlight w:val="none"/>
                <w:u w:val="single"/>
                <w:lang w:val="en-US" w:eastAsia="zh-CN" w:bidi="ar-SA"/>
              </w:rPr>
              <w:t>2</w:t>
            </w:r>
            <w:r>
              <w:rPr>
                <w:rFonts w:hint="eastAsia" w:ascii="宋体" w:hAnsi="宋体" w:eastAsia="宋体" w:cs="宋体"/>
                <w:color w:val="000000"/>
                <w:kern w:val="0"/>
                <w:sz w:val="24"/>
                <w:szCs w:val="24"/>
                <w:highlight w:val="none"/>
                <w:lang w:val="en-US" w:eastAsia="zh-CN" w:bidi="ar-SA"/>
              </w:rPr>
              <w:t>人；</w:t>
            </w:r>
          </w:p>
          <w:p w14:paraId="39F4F658">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专家确定方式：磋商前从政府采购专家库中随机抽取。</w:t>
            </w:r>
          </w:p>
        </w:tc>
      </w:tr>
      <w:tr w14:paraId="10CD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2FFFCD9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7.1</w:t>
            </w:r>
          </w:p>
        </w:tc>
        <w:tc>
          <w:tcPr>
            <w:tcW w:w="1827" w:type="dxa"/>
            <w:tcBorders>
              <w:top w:val="single" w:color="auto" w:sz="4" w:space="0"/>
            </w:tcBorders>
            <w:noWrap w:val="0"/>
            <w:vAlign w:val="center"/>
          </w:tcPr>
          <w:p w14:paraId="653F26D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是否授权磋商小组确定成交人</w:t>
            </w:r>
          </w:p>
        </w:tc>
        <w:tc>
          <w:tcPr>
            <w:tcW w:w="6942" w:type="dxa"/>
            <w:tcBorders>
              <w:top w:val="single" w:color="auto" w:sz="4" w:space="0"/>
            </w:tcBorders>
            <w:noWrap w:val="0"/>
            <w:vAlign w:val="center"/>
          </w:tcPr>
          <w:p w14:paraId="6352F7A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否；推荐的成交候选人数：3名</w:t>
            </w:r>
          </w:p>
        </w:tc>
      </w:tr>
      <w:tr w14:paraId="09640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3212E5B5">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7.3</w:t>
            </w:r>
          </w:p>
        </w:tc>
        <w:tc>
          <w:tcPr>
            <w:tcW w:w="1827" w:type="dxa"/>
            <w:tcBorders>
              <w:top w:val="single" w:color="auto" w:sz="4" w:space="0"/>
            </w:tcBorders>
            <w:noWrap w:val="0"/>
            <w:vAlign w:val="center"/>
          </w:tcPr>
          <w:p w14:paraId="30F37ECA">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履约保证金</w:t>
            </w:r>
          </w:p>
        </w:tc>
        <w:tc>
          <w:tcPr>
            <w:tcW w:w="6942" w:type="dxa"/>
            <w:tcBorders>
              <w:top w:val="single" w:color="auto" w:sz="4" w:space="0"/>
            </w:tcBorders>
            <w:noWrap w:val="0"/>
            <w:vAlign w:val="center"/>
          </w:tcPr>
          <w:p w14:paraId="2F2A1820">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无</w:t>
            </w:r>
          </w:p>
        </w:tc>
      </w:tr>
      <w:tr w14:paraId="4F5E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4A1DF1A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7.4</w:t>
            </w:r>
          </w:p>
        </w:tc>
        <w:tc>
          <w:tcPr>
            <w:tcW w:w="1827" w:type="dxa"/>
            <w:tcBorders>
              <w:top w:val="single" w:color="auto" w:sz="4" w:space="0"/>
            </w:tcBorders>
            <w:noWrap w:val="0"/>
            <w:vAlign w:val="center"/>
          </w:tcPr>
          <w:p w14:paraId="24833A0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磋商保证金</w:t>
            </w:r>
          </w:p>
        </w:tc>
        <w:tc>
          <w:tcPr>
            <w:tcW w:w="6942" w:type="dxa"/>
            <w:tcBorders>
              <w:top w:val="single" w:color="auto" w:sz="4" w:space="0"/>
            </w:tcBorders>
            <w:noWrap w:val="0"/>
            <w:vAlign w:val="center"/>
          </w:tcPr>
          <w:p w14:paraId="0421DBC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根据《河南省财政厅发布关于优化政府采购营商环境有关问题的通知》豫财购【2019】4 号文，本项目不收取磋商保证金，响应文件中附投标承诺函及采购代理服务费承诺函。</w:t>
            </w:r>
          </w:p>
        </w:tc>
      </w:tr>
      <w:tr w14:paraId="2A8E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79BFA94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7.5</w:t>
            </w:r>
          </w:p>
        </w:tc>
        <w:tc>
          <w:tcPr>
            <w:tcW w:w="1827" w:type="dxa"/>
            <w:tcBorders>
              <w:top w:val="single" w:color="auto" w:sz="4" w:space="0"/>
            </w:tcBorders>
            <w:noWrap w:val="0"/>
            <w:vAlign w:val="center"/>
          </w:tcPr>
          <w:p w14:paraId="68301A3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采购标的所属行业</w:t>
            </w:r>
          </w:p>
        </w:tc>
        <w:tc>
          <w:tcPr>
            <w:tcW w:w="6942" w:type="dxa"/>
            <w:tcBorders>
              <w:top w:val="single" w:color="auto" w:sz="4" w:space="0"/>
            </w:tcBorders>
            <w:noWrap w:val="0"/>
            <w:vAlign w:val="center"/>
          </w:tcPr>
          <w:p w14:paraId="50B6FE3D">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本采购项目中采购标的均属于：其他未列明行业；</w:t>
            </w:r>
          </w:p>
          <w:p w14:paraId="27FC574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注：供应商结合本项目采购标的所属行业按照“国家统计局《统计上大中小微型企业划分标准》”（详见磋商文件“</w:t>
            </w:r>
            <w:r>
              <w:rPr>
                <w:rFonts w:hint="eastAsia" w:ascii="宋体" w:hAnsi="宋体" w:eastAsia="宋体" w:cs="宋体"/>
                <w:b w:val="0"/>
                <w:bCs w:val="0"/>
                <w:color w:val="auto"/>
                <w:sz w:val="24"/>
                <w:szCs w:val="24"/>
              </w:rPr>
              <w:t>第六章</w:t>
            </w:r>
            <w:r>
              <w:rPr>
                <w:rFonts w:hint="eastAsia" w:ascii="宋体" w:hAnsi="宋体" w:eastAsia="宋体" w:cs="宋体"/>
                <w:b w:val="0"/>
                <w:bCs w:val="0"/>
                <w:color w:val="auto"/>
                <w:sz w:val="24"/>
                <w:szCs w:val="24"/>
                <w:lang w:val="en-US" w:eastAsia="zh-CN"/>
              </w:rPr>
              <w:t xml:space="preserve"> 竞争性磋商</w:t>
            </w:r>
            <w:r>
              <w:rPr>
                <w:rFonts w:hint="eastAsia" w:ascii="宋体" w:hAnsi="宋体" w:eastAsia="宋体" w:cs="宋体"/>
                <w:b w:val="0"/>
                <w:bCs w:val="0"/>
                <w:color w:val="auto"/>
                <w:sz w:val="24"/>
                <w:szCs w:val="24"/>
              </w:rPr>
              <w:t>响应文件格式</w:t>
            </w:r>
            <w:r>
              <w:rPr>
                <w:rFonts w:hint="eastAsia" w:ascii="宋体" w:hAnsi="宋体" w:eastAsia="宋体" w:cs="宋体"/>
                <w:color w:val="000000"/>
                <w:kern w:val="0"/>
                <w:sz w:val="24"/>
                <w:szCs w:val="24"/>
                <w:lang w:val="en-US" w:eastAsia="zh-CN" w:bidi="ar-SA"/>
              </w:rPr>
              <w:t>”“3、中小企业声明函”附件内容）填写《中小企业声明函》。</w:t>
            </w:r>
          </w:p>
        </w:tc>
      </w:tr>
      <w:tr w14:paraId="5C24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4C6627A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7.6</w:t>
            </w:r>
          </w:p>
        </w:tc>
        <w:tc>
          <w:tcPr>
            <w:tcW w:w="1827" w:type="dxa"/>
            <w:tcBorders>
              <w:top w:val="single" w:color="auto" w:sz="4" w:space="0"/>
            </w:tcBorders>
            <w:noWrap w:val="0"/>
            <w:vAlign w:val="center"/>
          </w:tcPr>
          <w:p w14:paraId="24AC813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本项目是否专门面向中小企业采购</w:t>
            </w:r>
          </w:p>
        </w:tc>
        <w:tc>
          <w:tcPr>
            <w:tcW w:w="6942" w:type="dxa"/>
            <w:tcBorders>
              <w:top w:val="single" w:color="auto" w:sz="4" w:space="0"/>
            </w:tcBorders>
            <w:noWrap w:val="0"/>
            <w:vAlign w:val="center"/>
          </w:tcPr>
          <w:p w14:paraId="563608C6">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b/>
                <w:sz w:val="24"/>
              </w:rPr>
            </w:pPr>
            <w:r>
              <w:rPr>
                <w:rFonts w:hint="eastAsia" w:ascii="宋体" w:hAnsi="宋体" w:eastAsia="宋体" w:cs="宋体"/>
                <w:b/>
                <w:sz w:val="24"/>
              </w:rPr>
              <w:t>□是 / ☑否；</w:t>
            </w:r>
          </w:p>
          <w:p w14:paraId="654DD35C">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sz w:val="24"/>
                <w:szCs w:val="32"/>
              </w:rPr>
              <w:t>本项目非专门面向中小企业采购【该项目符合《政府采购促进中小企业发展管理办法》（财库【2020】46号）第六条第</w:t>
            </w:r>
            <w:r>
              <w:rPr>
                <w:rFonts w:hint="eastAsia" w:ascii="宋体" w:hAnsi="宋体" w:eastAsia="宋体" w:cs="宋体"/>
                <w:sz w:val="24"/>
                <w:szCs w:val="32"/>
                <w:u w:val="single"/>
              </w:rPr>
              <w:t>（三）</w:t>
            </w:r>
            <w:r>
              <w:rPr>
                <w:rFonts w:hint="eastAsia" w:ascii="宋体" w:hAnsi="宋体" w:eastAsia="宋体" w:cs="宋体"/>
                <w:sz w:val="24"/>
                <w:szCs w:val="32"/>
              </w:rPr>
              <w:t>款之规定：</w:t>
            </w:r>
            <w:r>
              <w:rPr>
                <w:rFonts w:hint="eastAsia" w:ascii="宋体" w:hAnsi="宋体" w:eastAsia="宋体" w:cs="宋体"/>
                <w:sz w:val="24"/>
                <w:szCs w:val="32"/>
                <w:u w:val="single"/>
              </w:rPr>
              <w:t>（三）按照本办法规定预留采购份额无法确保充分供应、充分竞争，或者存在可能影响政府采购目标实现的情形；】</w:t>
            </w:r>
            <w:r>
              <w:rPr>
                <w:rFonts w:hint="eastAsia" w:ascii="宋体" w:hAnsi="宋体" w:eastAsia="宋体" w:cs="宋体"/>
                <w:sz w:val="24"/>
                <w:szCs w:val="32"/>
              </w:rPr>
              <w:t>。本项目落实节约能源、保护环境、扶持不发达地区和少数民族地区、促进中小微企业、监狱企业及残疾人福利性单位发展等政府采购政策。</w:t>
            </w:r>
          </w:p>
        </w:tc>
      </w:tr>
      <w:tr w14:paraId="51EE8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noWrap w:val="0"/>
            <w:vAlign w:val="center"/>
          </w:tcPr>
          <w:p w14:paraId="5FF09B0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7.7</w:t>
            </w:r>
          </w:p>
        </w:tc>
        <w:tc>
          <w:tcPr>
            <w:tcW w:w="1827" w:type="dxa"/>
            <w:tcBorders>
              <w:top w:val="single" w:color="auto" w:sz="4" w:space="0"/>
            </w:tcBorders>
            <w:noWrap w:val="0"/>
            <w:vAlign w:val="center"/>
          </w:tcPr>
          <w:p w14:paraId="6A31CC10">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成交原则</w:t>
            </w:r>
          </w:p>
        </w:tc>
        <w:tc>
          <w:tcPr>
            <w:tcW w:w="6942" w:type="dxa"/>
            <w:tcBorders>
              <w:top w:val="single" w:color="auto" w:sz="4" w:space="0"/>
            </w:tcBorders>
            <w:noWrap w:val="0"/>
            <w:vAlign w:val="center"/>
          </w:tcPr>
          <w:p w14:paraId="50ADE359">
            <w:pPr>
              <w:keepLines w:val="0"/>
              <w:pageBreakBefore w:val="0"/>
              <w:widowControl w:val="0"/>
              <w:kinsoku/>
              <w:wordWrap/>
              <w:overflowPunct/>
              <w:topLinePunct w:val="0"/>
              <w:autoSpaceDE/>
              <w:autoSpaceDN/>
              <w:bidi w:val="0"/>
              <w:spacing w:line="420" w:lineRule="exact"/>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通过资格评审、符合</w:t>
            </w:r>
            <w:r>
              <w:rPr>
                <w:rFonts w:hint="eastAsia" w:ascii="宋体" w:hAnsi="宋体" w:cs="宋体"/>
                <w:color w:val="000000"/>
                <w:kern w:val="0"/>
                <w:sz w:val="24"/>
                <w:szCs w:val="24"/>
                <w:lang w:val="en-US" w:eastAsia="zh-CN" w:bidi="ar-SA"/>
              </w:rPr>
              <w:t>性</w:t>
            </w:r>
            <w:r>
              <w:rPr>
                <w:rFonts w:hint="eastAsia" w:ascii="宋体" w:hAnsi="宋体" w:eastAsia="宋体" w:cs="宋体"/>
                <w:color w:val="000000"/>
                <w:kern w:val="0"/>
                <w:sz w:val="24"/>
                <w:szCs w:val="24"/>
                <w:lang w:val="en-US" w:eastAsia="zh-CN" w:bidi="ar-SA"/>
              </w:rPr>
              <w:t>评审的供应商进行二次报价（最终报价），磋商确定最终提交报价的供应商后，由磋商小组采用综合评分法对提交最后报价的供应商的响应文件和最后报价进行综合评分，满足采购文件全部实质性要求且按评审因素的量化指标评审得分最高的供应商为第一成交候选人。（供应商的排名按顺序从高到低排列；得分相同的，按报价由低到高顺序排列；得分且报价相同的，按技术指标优劣顺序排列。）</w:t>
            </w:r>
          </w:p>
        </w:tc>
      </w:tr>
      <w:tr w14:paraId="6299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4" w:type="dxa"/>
            <w:tcBorders>
              <w:top w:val="single" w:color="auto" w:sz="4" w:space="0"/>
            </w:tcBorders>
            <w:shd w:val="clear" w:color="auto" w:fill="auto"/>
            <w:noWrap w:val="0"/>
            <w:vAlign w:val="center"/>
          </w:tcPr>
          <w:p w14:paraId="67841AC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7.10</w:t>
            </w:r>
          </w:p>
        </w:tc>
        <w:tc>
          <w:tcPr>
            <w:tcW w:w="1827" w:type="dxa"/>
            <w:tcBorders>
              <w:top w:val="single" w:color="auto" w:sz="4" w:space="0"/>
            </w:tcBorders>
            <w:shd w:val="clear" w:color="auto" w:fill="auto"/>
            <w:noWrap w:val="0"/>
            <w:vAlign w:val="center"/>
          </w:tcPr>
          <w:p w14:paraId="5369988F">
            <w:pPr>
              <w:keepNext w:val="0"/>
              <w:keepLines w:val="0"/>
              <w:pageBreakBefore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关于政府采购中落实本国产品标准及相关政策的提示</w:t>
            </w:r>
          </w:p>
          <w:p w14:paraId="62294CEF">
            <w:pPr>
              <w:keepNext w:val="0"/>
              <w:keepLines w:val="0"/>
              <w:pageBreakBefore w:val="0"/>
              <w:kinsoku/>
              <w:wordWrap/>
              <w:overflowPunct/>
              <w:topLinePunct w:val="0"/>
              <w:autoSpaceDE w:val="0"/>
              <w:autoSpaceDN w:val="0"/>
              <w:bidi w:val="0"/>
              <w:adjustRightInd w:val="0"/>
              <w:snapToGrid/>
              <w:spacing w:line="460" w:lineRule="exact"/>
              <w:jc w:val="center"/>
              <w:textAlignment w:val="auto"/>
              <w:rPr>
                <w:rFonts w:hint="eastAsia" w:ascii="宋体" w:hAnsi="宋体" w:eastAsia="宋体" w:cs="宋体"/>
                <w:b/>
                <w:bCs/>
                <w:color w:val="auto"/>
                <w:kern w:val="0"/>
                <w:sz w:val="24"/>
                <w:szCs w:val="24"/>
                <w:lang w:val="en-US" w:eastAsia="zh-CN" w:bidi="ar-SA"/>
              </w:rPr>
            </w:pPr>
          </w:p>
        </w:tc>
        <w:tc>
          <w:tcPr>
            <w:tcW w:w="6942" w:type="dxa"/>
            <w:tcBorders>
              <w:top w:val="single" w:color="auto" w:sz="4" w:space="0"/>
            </w:tcBorders>
            <w:shd w:val="clear" w:color="auto" w:fill="auto"/>
            <w:noWrap w:val="0"/>
            <w:vAlign w:val="center"/>
          </w:tcPr>
          <w:p w14:paraId="3AD66F4B">
            <w:pPr>
              <w:pStyle w:val="72"/>
              <w:keepNext w:val="0"/>
              <w:keepLines w:val="0"/>
              <w:pageBreakBefore w:val="0"/>
              <w:widowControl/>
              <w:kinsoku/>
              <w:wordWrap/>
              <w:overflowPunct/>
              <w:topLinePunct w:val="0"/>
              <w:autoSpaceDE/>
              <w:autoSpaceDN/>
              <w:bidi w:val="0"/>
              <w:adjustRightInd w:val="0"/>
              <w:snapToGrid w:val="0"/>
              <w:spacing w:line="420" w:lineRule="exact"/>
              <w:textAlignment w:val="auto"/>
              <w:rPr>
                <w:rFonts w:hint="eastAsia" w:ascii="宋体" w:hAnsi="宋体" w:eastAsia="宋体" w:cs="宋体"/>
                <w:b/>
                <w:bCs/>
                <w:color w:val="auto"/>
                <w:kern w:val="0"/>
                <w:sz w:val="24"/>
                <w:szCs w:val="24"/>
                <w:u w:val="none"/>
                <w:lang w:val="en-US" w:eastAsia="zh-CN"/>
              </w:rPr>
            </w:pPr>
            <w:r>
              <w:rPr>
                <w:rFonts w:hint="eastAsia" w:ascii="宋体" w:hAnsi="宋体" w:eastAsia="宋体" w:cs="宋体"/>
                <w:b/>
                <w:bCs/>
                <w:color w:val="auto"/>
                <w:kern w:val="0"/>
                <w:sz w:val="24"/>
                <w:szCs w:val="24"/>
                <w:u w:val="single"/>
                <w:lang w:val="en-US" w:eastAsia="zh-CN"/>
              </w:rPr>
              <w:t>□适用</w:t>
            </w:r>
            <w:r>
              <w:rPr>
                <w:rFonts w:hint="eastAsia" w:ascii="宋体" w:hAnsi="宋体" w:eastAsia="宋体" w:cs="宋体"/>
                <w:b/>
                <w:bCs/>
                <w:color w:val="auto"/>
                <w:kern w:val="0"/>
                <w:sz w:val="24"/>
                <w:szCs w:val="24"/>
                <w:u w:val="none"/>
                <w:lang w:val="en-US" w:eastAsia="zh-CN"/>
              </w:rPr>
              <w:t>，</w:t>
            </w:r>
            <w:r>
              <w:rPr>
                <w:rFonts w:hint="eastAsia" w:ascii="宋体" w:hAnsi="宋体" w:eastAsia="宋体" w:cs="宋体"/>
                <w:b w:val="0"/>
                <w:bCs w:val="0"/>
                <w:color w:val="auto"/>
                <w:kern w:val="0"/>
                <w:sz w:val="24"/>
                <w:szCs w:val="24"/>
                <w:u w:val="none"/>
                <w:lang w:val="en-US" w:eastAsia="zh-CN"/>
              </w:rPr>
              <w:t>①采购人、采购代理机构应当在采购文件中明确要求供应商对其提供的产品出具《关于符合本国产品标准的声明函》或财政部会同有关部门规定的有关证明文件。</w:t>
            </w:r>
          </w:p>
          <w:p w14:paraId="262EF2D9">
            <w:pPr>
              <w:pStyle w:val="72"/>
              <w:keepNext w:val="0"/>
              <w:keepLines w:val="0"/>
              <w:pageBreakBefore w:val="0"/>
              <w:widowControl/>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b/>
                <w:bCs/>
                <w:color w:val="auto"/>
                <w:kern w:val="0"/>
                <w:sz w:val="24"/>
                <w:szCs w:val="24"/>
                <w:u w:val="none"/>
                <w:lang w:val="en-US" w:eastAsia="zh-CN"/>
              </w:rPr>
            </w:pPr>
            <w:r>
              <w:rPr>
                <w:rFonts w:hint="eastAsia" w:ascii="宋体" w:hAnsi="宋体" w:eastAsia="宋体" w:cs="宋体"/>
                <w:b w:val="0"/>
                <w:bCs w:val="0"/>
                <w:color w:val="auto"/>
                <w:kern w:val="0"/>
                <w:sz w:val="24"/>
                <w:szCs w:val="24"/>
                <w:u w:val="none"/>
                <w:lang w:val="en-US" w:eastAsia="zh-CN"/>
              </w:rPr>
              <w:t>②采购人、采购代理机构应当随中标、成交结果同时公告中标、成交供应商提供的《声明函》或有关证明文件。</w:t>
            </w:r>
          </w:p>
          <w:p w14:paraId="3EA640B8">
            <w:pPr>
              <w:pStyle w:val="72"/>
              <w:keepNext w:val="0"/>
              <w:keepLines w:val="0"/>
              <w:pageBreakBefore w:val="0"/>
              <w:widowControl/>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b w:val="0"/>
                <w:bCs w:val="0"/>
                <w:color w:val="auto"/>
                <w:kern w:val="0"/>
                <w:sz w:val="24"/>
                <w:szCs w:val="24"/>
                <w:u w:val="none"/>
                <w:lang w:val="en-US" w:eastAsia="zh-CN"/>
              </w:rPr>
            </w:pPr>
            <w:r>
              <w:rPr>
                <w:rFonts w:hint="eastAsia" w:ascii="宋体" w:hAnsi="宋体" w:eastAsia="宋体" w:cs="宋体"/>
                <w:b w:val="0"/>
                <w:bCs w:val="0"/>
                <w:color w:val="auto"/>
                <w:kern w:val="0"/>
                <w:sz w:val="24"/>
                <w:szCs w:val="24"/>
                <w:u w:val="none"/>
                <w:lang w:val="en-US" w:eastAsia="zh-CN"/>
              </w:rPr>
              <w:t>③本国产品标准适用于货物，包括政府采购货物项目和服务项目中涉及的货物。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 20%的价格扣除，用扣除后的价格参与评审。供应商对其提供的产品出具《关于符合本国产品标准的声明函》或财政部会同有关部门规定的有关证明文件，《关于符合本国产品标准的声明函》或有关证明文件符合要求的，该产品视为本国产品。</w:t>
            </w:r>
          </w:p>
          <w:p w14:paraId="266FDC0A">
            <w:pPr>
              <w:pStyle w:val="72"/>
              <w:keepNext w:val="0"/>
              <w:keepLines w:val="0"/>
              <w:pageBreakBefore w:val="0"/>
              <w:widowControl/>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b w:val="0"/>
                <w:bCs w:val="0"/>
                <w:color w:val="auto"/>
                <w:kern w:val="0"/>
                <w:sz w:val="24"/>
                <w:szCs w:val="24"/>
                <w:u w:val="none"/>
                <w:lang w:val="en-US" w:eastAsia="zh-CN"/>
              </w:rPr>
            </w:pPr>
            <w:r>
              <w:rPr>
                <w:rFonts w:hint="eastAsia" w:ascii="宋体" w:hAnsi="宋体" w:eastAsia="宋体" w:cs="宋体"/>
                <w:b w:val="0"/>
                <w:bCs w:val="0"/>
                <w:color w:val="auto"/>
                <w:kern w:val="0"/>
                <w:sz w:val="24"/>
                <w:szCs w:val="24"/>
                <w:u w:val="none"/>
                <w:lang w:val="en-US" w:eastAsia="zh-CN"/>
              </w:rPr>
              <w:t xml:space="preserve">④产品在中国境内生产的组件成本核算规则 </w:t>
            </w:r>
          </w:p>
          <w:p w14:paraId="543F24AC">
            <w:pPr>
              <w:pStyle w:val="72"/>
              <w:keepNext w:val="0"/>
              <w:keepLines w:val="0"/>
              <w:pageBreakBefore w:val="0"/>
              <w:widowControl/>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b w:val="0"/>
                <w:bCs w:val="0"/>
                <w:color w:val="auto"/>
                <w:kern w:val="0"/>
                <w:sz w:val="24"/>
                <w:szCs w:val="24"/>
                <w:u w:val="none"/>
                <w:lang w:val="en-US" w:eastAsia="zh-CN"/>
              </w:rPr>
            </w:pPr>
            <w:r>
              <w:rPr>
                <w:rFonts w:hint="eastAsia" w:ascii="宋体" w:hAnsi="宋体" w:eastAsia="宋体" w:cs="宋体"/>
                <w:b w:val="0"/>
                <w:bCs w:val="0"/>
                <w:color w:val="auto"/>
                <w:kern w:val="0"/>
                <w:sz w:val="24"/>
                <w:szCs w:val="24"/>
                <w:u w:val="none"/>
                <w:lang w:val="en-US" w:eastAsia="zh-CN"/>
              </w:rPr>
              <w:t xml:space="preserve">产品在中国境内生产的组件成本，按照《中国境内生产的组件成本核算基本规则》计算。 </w:t>
            </w:r>
          </w:p>
          <w:p w14:paraId="568B1ED5">
            <w:pPr>
              <w:pStyle w:val="72"/>
              <w:keepNext w:val="0"/>
              <w:keepLines w:val="0"/>
              <w:pageBreakBefore w:val="0"/>
              <w:widowControl/>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b w:val="0"/>
                <w:bCs w:val="0"/>
                <w:color w:val="auto"/>
                <w:kern w:val="0"/>
                <w:sz w:val="24"/>
                <w:szCs w:val="24"/>
                <w:u w:val="none"/>
                <w:lang w:val="en-US" w:eastAsia="zh-CN"/>
              </w:rPr>
            </w:pPr>
            <w:r>
              <w:rPr>
                <w:rFonts w:hint="eastAsia" w:ascii="宋体" w:hAnsi="宋体" w:eastAsia="宋体" w:cs="宋体"/>
                <w:b w:val="0"/>
                <w:bCs w:val="0"/>
                <w:color w:val="auto"/>
                <w:kern w:val="0"/>
                <w:sz w:val="24"/>
                <w:szCs w:val="24"/>
                <w:u w:val="none"/>
                <w:lang w:val="en-US" w:eastAsia="zh-CN"/>
              </w:rPr>
              <w:t xml:space="preserve">⑤有关证明文件 </w:t>
            </w:r>
          </w:p>
          <w:p w14:paraId="174DDEDA">
            <w:pPr>
              <w:pStyle w:val="72"/>
              <w:keepNext w:val="0"/>
              <w:keepLines w:val="0"/>
              <w:pageBreakBefore w:val="0"/>
              <w:widowControl/>
              <w:kinsoku/>
              <w:wordWrap/>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b w:val="0"/>
                <w:bCs w:val="0"/>
                <w:color w:val="auto"/>
                <w:kern w:val="0"/>
                <w:sz w:val="24"/>
                <w:szCs w:val="24"/>
                <w:u w:val="none"/>
                <w:lang w:val="en-US" w:eastAsia="zh-CN"/>
              </w:rPr>
            </w:pPr>
            <w:r>
              <w:rPr>
                <w:rFonts w:hint="eastAsia" w:ascii="宋体" w:hAnsi="宋体" w:eastAsia="宋体" w:cs="宋体"/>
                <w:b w:val="0"/>
                <w:bCs w:val="0"/>
                <w:color w:val="auto"/>
                <w:kern w:val="0"/>
                <w:sz w:val="24"/>
                <w:szCs w:val="24"/>
                <w:u w:val="none"/>
                <w:lang w:val="en-US" w:eastAsia="zh-CN"/>
              </w:rPr>
              <w:t>供应商出具符合要求的《声明函》或有关证明文件的，该产品视为本国产品，采购人、采购代理机构不得再要求供应商提供其他证明材料。 供应商提供虚假《声明函》或虚假证明文件谋取中标、成交的，依照《中华人民共和国政府采购法》等法律法规规定追究相应责任。</w:t>
            </w:r>
          </w:p>
          <w:p w14:paraId="044B95F1">
            <w:pPr>
              <w:pStyle w:val="72"/>
              <w:keepNext w:val="0"/>
              <w:keepLines w:val="0"/>
              <w:pageBreakBefore w:val="0"/>
              <w:widowControl/>
              <w:kinsoku/>
              <w:wordWrap/>
              <w:overflowPunct/>
              <w:topLinePunct w:val="0"/>
              <w:autoSpaceDE/>
              <w:autoSpaceDN/>
              <w:bidi w:val="0"/>
              <w:adjustRightInd w:val="0"/>
              <w:snapToGrid w:val="0"/>
              <w:spacing w:line="420" w:lineRule="exact"/>
              <w:textAlignment w:val="auto"/>
              <w:rPr>
                <w:rFonts w:hint="eastAsia" w:ascii="宋体" w:hAnsi="宋体" w:eastAsia="宋体" w:cs="宋体"/>
                <w:b/>
                <w:bCs/>
                <w:color w:val="auto"/>
                <w:kern w:val="0"/>
                <w:sz w:val="24"/>
                <w:szCs w:val="24"/>
                <w:u w:val="single"/>
                <w:lang w:val="en-US" w:eastAsia="zh-CN" w:bidi="ar-SA"/>
              </w:rPr>
            </w:pPr>
            <w:r>
              <w:rPr>
                <w:rFonts w:hint="eastAsia" w:ascii="宋体" w:hAnsi="宋体" w:eastAsia="宋体" w:cs="宋体"/>
                <w:b/>
                <w:bCs/>
                <w:color w:val="auto"/>
                <w:kern w:val="0"/>
                <w:sz w:val="24"/>
                <w:szCs w:val="24"/>
                <w:u w:val="single"/>
                <w:lang w:val="en-US" w:eastAsia="zh-CN"/>
              </w:rPr>
              <w:t>☑不适用</w:t>
            </w:r>
          </w:p>
        </w:tc>
      </w:tr>
      <w:tr w14:paraId="5E3B1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763" w:type="dxa"/>
            <w:gridSpan w:val="3"/>
            <w:noWrap w:val="0"/>
            <w:vAlign w:val="center"/>
          </w:tcPr>
          <w:p w14:paraId="0F98EA05">
            <w:pPr>
              <w:spacing w:line="440" w:lineRule="exact"/>
              <w:jc w:val="center"/>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需要补充的其他内容</w:t>
            </w:r>
          </w:p>
        </w:tc>
      </w:tr>
      <w:tr w14:paraId="6D26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94" w:type="dxa"/>
            <w:noWrap w:val="0"/>
            <w:vAlign w:val="center"/>
          </w:tcPr>
          <w:p w14:paraId="06DF55EB">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解释权</w:t>
            </w:r>
          </w:p>
        </w:tc>
        <w:tc>
          <w:tcPr>
            <w:tcW w:w="8769" w:type="dxa"/>
            <w:gridSpan w:val="2"/>
            <w:noWrap w:val="0"/>
            <w:vAlign w:val="center"/>
          </w:tcPr>
          <w:p w14:paraId="4F2869AA">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构成本磋商文件的各个组成文件应互为解释，互为说明；如有不明确或不一致，按竞争性磋商公告、供应商须知、评审办法、竞争性磋商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68F7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94" w:type="dxa"/>
            <w:noWrap w:val="0"/>
            <w:vAlign w:val="center"/>
          </w:tcPr>
          <w:p w14:paraId="58ECCA08">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其他补充内容</w:t>
            </w:r>
          </w:p>
        </w:tc>
        <w:tc>
          <w:tcPr>
            <w:tcW w:w="8769" w:type="dxa"/>
            <w:gridSpan w:val="2"/>
            <w:noWrap w:val="0"/>
            <w:vAlign w:val="center"/>
          </w:tcPr>
          <w:p w14:paraId="2DDBB049">
            <w:pPr>
              <w:pStyle w:val="72"/>
              <w:adjustRightInd w:val="0"/>
              <w:snapToGrid w:val="0"/>
              <w:spacing w:line="360" w:lineRule="auto"/>
              <w:rPr>
                <w:rFonts w:hint="eastAsia" w:ascii="宋体" w:hAnsi="宋体" w:eastAsia="宋体" w:cs="宋体"/>
                <w:b/>
                <w:spacing w:val="11"/>
                <w:sz w:val="24"/>
                <w:szCs w:val="24"/>
                <w:u w:val="single"/>
              </w:rPr>
            </w:pPr>
            <w:r>
              <w:rPr>
                <w:rFonts w:hint="eastAsia" w:ascii="宋体" w:hAnsi="宋体" w:eastAsia="宋体" w:cs="宋体"/>
                <w:b/>
                <w:spacing w:val="11"/>
                <w:sz w:val="24"/>
                <w:szCs w:val="24"/>
                <w:u w:val="single"/>
              </w:rPr>
              <w:t>标书雷同性分析</w:t>
            </w:r>
          </w:p>
          <w:p w14:paraId="6F9E37FB">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文件制作机器码、文件创建标识码有相同的按废标处理。</w:t>
            </w:r>
          </w:p>
          <w:p w14:paraId="2EBB9571">
            <w:pPr>
              <w:pStyle w:val="72"/>
              <w:adjustRightInd w:val="0"/>
              <w:snapToGrid w:val="0"/>
              <w:spacing w:line="360" w:lineRule="auto"/>
              <w:rPr>
                <w:rFonts w:hint="eastAsia" w:ascii="宋体" w:hAnsi="宋体" w:eastAsia="宋体" w:cs="宋体"/>
                <w:b/>
                <w:spacing w:val="11"/>
                <w:sz w:val="24"/>
                <w:szCs w:val="24"/>
                <w:u w:val="single"/>
              </w:rPr>
            </w:pPr>
            <w:r>
              <w:rPr>
                <w:rFonts w:hint="eastAsia" w:ascii="宋体" w:hAnsi="宋体" w:eastAsia="宋体" w:cs="宋体"/>
                <w:b/>
                <w:spacing w:val="11"/>
                <w:sz w:val="24"/>
                <w:szCs w:val="24"/>
                <w:u w:val="single"/>
                <w:lang w:val="en-US" w:eastAsia="zh-CN"/>
              </w:rPr>
              <w:t>其他</w:t>
            </w:r>
            <w:r>
              <w:rPr>
                <w:rFonts w:hint="eastAsia" w:ascii="宋体" w:hAnsi="宋体" w:eastAsia="宋体" w:cs="宋体"/>
                <w:b/>
                <w:spacing w:val="11"/>
                <w:sz w:val="24"/>
                <w:szCs w:val="24"/>
                <w:u w:val="single"/>
              </w:rPr>
              <w:t>规定废标情形</w:t>
            </w:r>
          </w:p>
          <w:p w14:paraId="277E9560">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根据信财购〔2022〕7 号文（信阳市财政局关于严禁在政府采购活动中串标围标促进投标企业诚实守信的通知）除政府采购法律法规规定的恶意串通、视同串通投标情形外，参与同一个标段(包)的供应商存在下列情形之一的，其响应文件将会判定为无效： </w:t>
            </w:r>
          </w:p>
          <w:p w14:paraId="31C1EACE">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（一）不同供应商的电子响应文件上传计算机的网卡MAC 地址、CPU 序列号和硬盘序列号等硬件信息相同的； </w:t>
            </w:r>
          </w:p>
          <w:p w14:paraId="6F1569F5">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（二）不同供应商的响应文件由同一电子设备编制、打印加密或者上传； </w:t>
            </w:r>
          </w:p>
          <w:p w14:paraId="5E29E24B">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（三）不同供应商的响应文件由同一电子设备打印、复印，且无法合理解释的；</w:t>
            </w:r>
          </w:p>
          <w:p w14:paraId="43DA3E6F">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（四）不同供应商的响应文件由同一人送达或者分发，或者不同供应商联系人为同一人或不同联系人的联系电话一致的； </w:t>
            </w:r>
          </w:p>
          <w:p w14:paraId="5875CD6D">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（五）不同供应商的响应文件的内容存在两处以上细节错误一致，且无法合理解释的； </w:t>
            </w:r>
          </w:p>
          <w:p w14:paraId="44F3E334">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（六）不同供应商的法定代表人、委托代理人、项目经理、项目负责人等由同一个单位缴纳社会保险或者领取报酬的； </w:t>
            </w:r>
          </w:p>
          <w:p w14:paraId="389CF762">
            <w:pPr>
              <w:pStyle w:val="72"/>
              <w:adjustRightInd w:val="0"/>
              <w:snapToGrid w:val="0"/>
              <w:spacing w:line="360" w:lineRule="auto"/>
              <w:rPr>
                <w:rFonts w:hint="eastAsia" w:ascii="宋体" w:hAnsi="宋体" w:eastAsia="宋体" w:cs="宋体"/>
                <w:bCs/>
                <w:spacing w:val="11"/>
                <w:sz w:val="24"/>
                <w:szCs w:val="24"/>
              </w:rPr>
            </w:pPr>
            <w:r>
              <w:rPr>
                <w:rFonts w:hint="eastAsia" w:ascii="宋体" w:hAnsi="宋体" w:eastAsia="宋体" w:cs="宋体"/>
                <w:bCs/>
                <w:spacing w:val="11"/>
                <w:sz w:val="24"/>
                <w:szCs w:val="24"/>
              </w:rPr>
              <w:t xml:space="preserve">（七）不同供应商响应文件中法定代表人或者负责人签字出自同一人之手； </w:t>
            </w:r>
          </w:p>
          <w:p w14:paraId="69DB010E">
            <w:pPr>
              <w:pageBreakBefore w:val="0"/>
              <w:kinsoku/>
              <w:wordWrap/>
              <w:overflowPunct/>
              <w:topLinePunct w:val="0"/>
              <w:autoSpaceDE w:val="0"/>
              <w:autoSpaceDN w:val="0"/>
              <w:bidi w:val="0"/>
              <w:adjustRightInd w:val="0"/>
              <w:spacing w:line="400" w:lineRule="exact"/>
              <w:jc w:val="both"/>
              <w:rPr>
                <w:rFonts w:hint="eastAsia" w:ascii="宋体" w:hAnsi="宋体" w:eastAsia="宋体" w:cs="宋体"/>
                <w:color w:val="000000"/>
                <w:kern w:val="0"/>
                <w:sz w:val="24"/>
                <w:szCs w:val="24"/>
                <w:lang w:val="en-US" w:eastAsia="zh-CN" w:bidi="ar-SA"/>
              </w:rPr>
            </w:pPr>
            <w:r>
              <w:rPr>
                <w:rFonts w:hint="eastAsia" w:ascii="宋体" w:hAnsi="宋体" w:eastAsia="宋体" w:cs="宋体"/>
                <w:bCs/>
                <w:spacing w:val="11"/>
                <w:kern w:val="0"/>
                <w:sz w:val="24"/>
              </w:rPr>
              <w:t>（八）其</w:t>
            </w:r>
            <w:r>
              <w:rPr>
                <w:rFonts w:hint="eastAsia" w:ascii="宋体" w:hAnsi="宋体" w:eastAsia="宋体" w:cs="宋体"/>
                <w:bCs/>
                <w:spacing w:val="11"/>
                <w:kern w:val="0"/>
                <w:sz w:val="24"/>
                <w:lang w:val="en-US" w:eastAsia="zh-CN"/>
              </w:rPr>
              <w:t>他</w:t>
            </w:r>
            <w:r>
              <w:rPr>
                <w:rFonts w:hint="eastAsia" w:ascii="宋体" w:hAnsi="宋体" w:eastAsia="宋体" w:cs="宋体"/>
                <w:bCs/>
                <w:spacing w:val="11"/>
                <w:kern w:val="0"/>
                <w:sz w:val="24"/>
              </w:rPr>
              <w:t>涉嫌串通的情形。</w:t>
            </w:r>
          </w:p>
        </w:tc>
      </w:tr>
      <w:tr w14:paraId="555A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94" w:type="dxa"/>
            <w:noWrap w:val="0"/>
            <w:vAlign w:val="center"/>
          </w:tcPr>
          <w:p w14:paraId="6BC52BB4">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采购代理服务费</w:t>
            </w:r>
          </w:p>
        </w:tc>
        <w:tc>
          <w:tcPr>
            <w:tcW w:w="8769" w:type="dxa"/>
            <w:gridSpan w:val="2"/>
            <w:noWrap w:val="0"/>
            <w:vAlign w:val="center"/>
          </w:tcPr>
          <w:p w14:paraId="1D0552AE">
            <w:pPr>
              <w:spacing w:beforeLines="20" w:line="312"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1.代理费收费约定：</w:t>
            </w:r>
          </w:p>
          <w:p w14:paraId="668AFEE5">
            <w:pPr>
              <w:spacing w:beforeLines="20" w:line="312"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本项目代理费由各标包成交企业支付，供应商报价应当包含该项目代理服务费。</w:t>
            </w:r>
          </w:p>
          <w:p w14:paraId="3FFE295C">
            <w:pPr>
              <w:spacing w:beforeLines="20" w:line="312"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2.本项目代理服务费</w:t>
            </w:r>
            <w:r>
              <w:rPr>
                <w:rFonts w:hint="eastAsia" w:ascii="宋体" w:hAnsi="宋体" w:cs="宋体"/>
                <w:color w:val="auto"/>
                <w:sz w:val="24"/>
                <w:szCs w:val="24"/>
                <w:lang w:val="en-US" w:eastAsia="zh-CN"/>
              </w:rPr>
              <w:t>参</w:t>
            </w:r>
            <w:r>
              <w:rPr>
                <w:rFonts w:hint="eastAsia" w:ascii="宋体" w:hAnsi="宋体" w:eastAsia="宋体" w:cs="宋体"/>
                <w:color w:val="auto"/>
                <w:sz w:val="24"/>
                <w:szCs w:val="24"/>
                <w:lang w:val="en-US" w:eastAsia="zh-CN"/>
              </w:rPr>
              <w:t xml:space="preserve">照“豫招协〔2023〕002号”规定的收费标准收取，成交人领取成交通知时向采购代理机构一次性付清。代理服务费的收取按差额定率累进法计算。 </w:t>
            </w:r>
          </w:p>
          <w:p w14:paraId="70DD02DD">
            <w:pPr>
              <w:spacing w:beforeLines="20" w:line="312" w:lineRule="auto"/>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3.收费标准：</w:t>
            </w:r>
          </w:p>
          <w:p w14:paraId="48D2F53D">
            <w:pPr>
              <w:spacing w:beforeLines="20" w:line="312"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预算金额的100万（含）以下部分费率为</w:t>
            </w:r>
            <w:r>
              <w:rPr>
                <w:rFonts w:hint="eastAsia" w:ascii="宋体" w:hAnsi="宋体" w:eastAsia="宋体" w:cs="宋体"/>
                <w:sz w:val="24"/>
                <w:szCs w:val="24"/>
                <w:u w:val="single"/>
                <w:lang w:val="en-US" w:eastAsia="zh-CN"/>
              </w:rPr>
              <w:t>1.7%</w:t>
            </w:r>
            <w:r>
              <w:rPr>
                <w:rFonts w:hint="eastAsia" w:ascii="宋体" w:hAnsi="宋体" w:eastAsia="宋体" w:cs="宋体"/>
                <w:sz w:val="24"/>
                <w:szCs w:val="24"/>
                <w:lang w:val="en-US" w:eastAsia="zh-CN"/>
              </w:rPr>
              <w:t xml:space="preserve">； </w:t>
            </w:r>
          </w:p>
          <w:p w14:paraId="55017B7D">
            <w:pPr>
              <w:spacing w:beforeLines="20" w:line="312"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预算金额的100万以上－500万（含）部分费率为</w:t>
            </w:r>
            <w:r>
              <w:rPr>
                <w:rFonts w:hint="eastAsia" w:ascii="宋体" w:hAnsi="宋体" w:eastAsia="宋体" w:cs="宋体"/>
                <w:sz w:val="24"/>
                <w:szCs w:val="24"/>
                <w:u w:val="single"/>
                <w:lang w:val="en-US" w:eastAsia="zh-CN"/>
              </w:rPr>
              <w:t>1.2%</w:t>
            </w:r>
            <w:r>
              <w:rPr>
                <w:rFonts w:hint="eastAsia" w:ascii="宋体" w:hAnsi="宋体" w:eastAsia="宋体" w:cs="宋体"/>
                <w:sz w:val="24"/>
                <w:szCs w:val="24"/>
                <w:lang w:val="en-US" w:eastAsia="zh-CN"/>
              </w:rPr>
              <w:t xml:space="preserve">； </w:t>
            </w:r>
          </w:p>
          <w:p w14:paraId="08251B6E">
            <w:pPr>
              <w:spacing w:beforeLines="20" w:line="312"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预算金额的500万以上－1000万（含）部分费率为</w:t>
            </w:r>
            <w:r>
              <w:rPr>
                <w:rFonts w:hint="eastAsia" w:ascii="宋体" w:hAnsi="宋体" w:eastAsia="宋体" w:cs="宋体"/>
                <w:sz w:val="24"/>
                <w:szCs w:val="24"/>
                <w:u w:val="single"/>
                <w:lang w:val="en-US" w:eastAsia="zh-CN"/>
              </w:rPr>
              <w:t>0.7%</w:t>
            </w:r>
            <w:r>
              <w:rPr>
                <w:rFonts w:hint="eastAsia" w:ascii="宋体" w:hAnsi="宋体" w:eastAsia="宋体" w:cs="宋体"/>
                <w:sz w:val="24"/>
                <w:szCs w:val="24"/>
                <w:lang w:val="en-US" w:eastAsia="zh-CN"/>
              </w:rPr>
              <w:t xml:space="preserve">； </w:t>
            </w:r>
          </w:p>
          <w:p w14:paraId="6CF0DC09">
            <w:pPr>
              <w:spacing w:beforeLines="20" w:line="312" w:lineRule="auto"/>
              <w:jc w:val="left"/>
              <w:rPr>
                <w:rFonts w:hint="eastAsia" w:ascii="宋体" w:hAnsi="宋体" w:eastAsia="宋体" w:cs="宋体"/>
                <w:bCs/>
                <w:color w:val="auto"/>
                <w:spacing w:val="11"/>
                <w:kern w:val="0"/>
                <w:sz w:val="24"/>
              </w:rPr>
            </w:pPr>
            <w:r>
              <w:rPr>
                <w:rFonts w:hint="eastAsia" w:ascii="宋体" w:hAnsi="宋体" w:eastAsia="宋体" w:cs="宋体"/>
                <w:sz w:val="24"/>
                <w:szCs w:val="24"/>
                <w:lang w:val="en-US" w:eastAsia="zh-CN"/>
              </w:rPr>
              <w:t>预算金额的1000万以上－5000万（含）部分费率为</w:t>
            </w:r>
            <w:r>
              <w:rPr>
                <w:rFonts w:hint="eastAsia" w:ascii="宋体" w:hAnsi="宋体" w:eastAsia="宋体" w:cs="宋体"/>
                <w:sz w:val="24"/>
                <w:szCs w:val="24"/>
                <w:u w:val="single"/>
                <w:lang w:val="en-US" w:eastAsia="zh-CN"/>
              </w:rPr>
              <w:t>0.4%</w:t>
            </w:r>
            <w:r>
              <w:rPr>
                <w:rFonts w:hint="eastAsia" w:ascii="宋体" w:hAnsi="宋体" w:eastAsia="宋体" w:cs="宋体"/>
                <w:sz w:val="24"/>
                <w:szCs w:val="24"/>
                <w:lang w:val="en-US" w:eastAsia="zh-CN"/>
              </w:rPr>
              <w:t>。</w:t>
            </w:r>
          </w:p>
        </w:tc>
      </w:tr>
      <w:tr w14:paraId="6F63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763" w:type="dxa"/>
            <w:gridSpan w:val="3"/>
            <w:noWrap w:val="0"/>
            <w:vAlign w:val="center"/>
          </w:tcPr>
          <w:p w14:paraId="7203228D">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未尽事宜，按政府采购相关法律法规及国家有关规定执行。</w:t>
            </w:r>
          </w:p>
          <w:p w14:paraId="31ADE73F">
            <w:pPr>
              <w:pageBreakBefore w:val="0"/>
              <w:kinsoku/>
              <w:wordWrap/>
              <w:overflowPunct/>
              <w:topLinePunct w:val="0"/>
              <w:autoSpaceDE w:val="0"/>
              <w:autoSpaceDN w:val="0"/>
              <w:bidi w:val="0"/>
              <w:adjustRightInd w:val="0"/>
              <w:spacing w:line="400" w:lineRule="exact"/>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（采购文件未尽事宜以合同签订为准）</w:t>
            </w:r>
          </w:p>
        </w:tc>
      </w:tr>
    </w:tbl>
    <w:p w14:paraId="22FB08AF">
      <w:pPr>
        <w:rPr>
          <w:rFonts w:hint="eastAsia" w:ascii="宋体" w:hAnsi="宋体" w:eastAsia="宋体" w:cs="宋体"/>
        </w:rPr>
      </w:pPr>
    </w:p>
    <w:p w14:paraId="4665ADA4">
      <w:pPr>
        <w:pStyle w:val="88"/>
        <w:pageBreakBefore w:val="0"/>
        <w:kinsoku/>
        <w:wordWrap/>
        <w:overflowPunct/>
        <w:topLinePunct w:val="0"/>
        <w:autoSpaceDE/>
        <w:autoSpaceDN/>
        <w:bidi w:val="0"/>
        <w:adjustRightInd/>
        <w:snapToGrid/>
        <w:spacing w:before="0" w:beforeLines="0" w:line="460" w:lineRule="exact"/>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1. 总则</w:t>
      </w:r>
    </w:p>
    <w:p w14:paraId="039DBBF2">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16" w:name="_Toc281380952"/>
      <w:bookmarkStart w:id="17" w:name="_Toc1172"/>
      <w:bookmarkStart w:id="18" w:name="_Toc15709"/>
      <w:bookmarkStart w:id="19" w:name="_Toc658"/>
      <w:bookmarkStart w:id="20" w:name="_Toc31404"/>
      <w:bookmarkStart w:id="21" w:name="_Toc10273"/>
      <w:bookmarkStart w:id="22" w:name="_Toc274409866"/>
      <w:bookmarkStart w:id="23" w:name="_Toc455080109"/>
      <w:bookmarkStart w:id="24" w:name="_Toc455867769"/>
      <w:bookmarkStart w:id="25" w:name="_Toc21458"/>
      <w:bookmarkStart w:id="26" w:name="_Toc20827"/>
      <w:bookmarkStart w:id="27" w:name="_Toc6747"/>
      <w:bookmarkStart w:id="28" w:name="_Toc466298092"/>
      <w:bookmarkStart w:id="29" w:name="_Toc29023"/>
      <w:bookmarkStart w:id="30" w:name="_Toc318450675"/>
      <w:bookmarkStart w:id="31" w:name="_Toc490667828"/>
      <w:bookmarkStart w:id="32" w:name="_Toc21266"/>
      <w:r>
        <w:rPr>
          <w:rFonts w:hint="eastAsia" w:ascii="宋体" w:hAnsi="宋体" w:eastAsia="宋体" w:cs="宋体"/>
          <w:b/>
          <w:bCs/>
          <w:color w:val="auto"/>
          <w:sz w:val="24"/>
          <w:szCs w:val="24"/>
        </w:rPr>
        <w:t>1.1 适用范围</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C9C4C51">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1.1.1根据《中华人民共和国政府采购法》</w:t>
      </w:r>
      <w:r>
        <w:rPr>
          <w:rFonts w:hint="eastAsia" w:ascii="宋体" w:hAnsi="宋体" w:eastAsia="宋体" w:cs="宋体"/>
          <w:sz w:val="24"/>
        </w:rPr>
        <w:t>《</w:t>
      </w:r>
      <w:r>
        <w:rPr>
          <w:rFonts w:hint="eastAsia" w:ascii="宋体" w:hAnsi="宋体" w:eastAsia="宋体" w:cs="宋体"/>
          <w:color w:val="auto"/>
          <w:sz w:val="24"/>
          <w:szCs w:val="24"/>
        </w:rPr>
        <w:t>中华人民共和国</w:t>
      </w:r>
      <w:r>
        <w:rPr>
          <w:rFonts w:hint="eastAsia" w:ascii="宋体" w:hAnsi="宋体" w:eastAsia="宋体" w:cs="宋体"/>
          <w:sz w:val="24"/>
        </w:rPr>
        <w:t>政府采购法实施条例》、《政府采购竞争性磋商采购方式管理暂行办法》《政府采购质疑和投诉办法》</w:t>
      </w:r>
      <w:r>
        <w:rPr>
          <w:rFonts w:hint="eastAsia" w:ascii="宋体" w:hAnsi="宋体" w:eastAsia="宋体" w:cs="宋体"/>
          <w:color w:val="auto"/>
          <w:kern w:val="0"/>
          <w:sz w:val="24"/>
          <w:lang w:val="zh-CN"/>
        </w:rPr>
        <w:t>《中华人民共和国民法典》</w:t>
      </w:r>
      <w:r>
        <w:rPr>
          <w:rFonts w:hint="eastAsia" w:ascii="宋体" w:hAnsi="宋体" w:eastAsia="宋体" w:cs="宋体"/>
          <w:color w:val="auto"/>
          <w:sz w:val="24"/>
          <w:szCs w:val="24"/>
        </w:rPr>
        <w:t>等有关</w:t>
      </w:r>
      <w:r>
        <w:rPr>
          <w:rFonts w:hint="eastAsia" w:ascii="宋体" w:hAnsi="宋体" w:cs="宋体"/>
          <w:color w:val="auto"/>
          <w:sz w:val="24"/>
          <w:szCs w:val="24"/>
          <w:lang w:eastAsia="zh-CN"/>
        </w:rPr>
        <w:t>法律法规</w:t>
      </w:r>
      <w:r>
        <w:rPr>
          <w:rFonts w:hint="eastAsia" w:ascii="宋体" w:hAnsi="宋体" w:eastAsia="宋体" w:cs="宋体"/>
          <w:color w:val="auto"/>
          <w:sz w:val="24"/>
          <w:szCs w:val="24"/>
        </w:rPr>
        <w:t>和规章的规定，编制本项目磋商文件。</w:t>
      </w:r>
    </w:p>
    <w:p w14:paraId="295125B7">
      <w:pPr>
        <w:pStyle w:val="89"/>
        <w:pageBreakBefore w:val="0"/>
        <w:tabs>
          <w:tab w:val="left" w:pos="7410"/>
        </w:tabs>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33" w:name="_Toc25773"/>
      <w:bookmarkStart w:id="34" w:name="_Toc318450676"/>
      <w:bookmarkStart w:id="35" w:name="_Toc3336"/>
      <w:bookmarkStart w:id="36" w:name="_Toc455080110"/>
      <w:bookmarkStart w:id="37" w:name="_Toc10556"/>
      <w:bookmarkStart w:id="38" w:name="_Toc30891"/>
      <w:bookmarkStart w:id="39" w:name="_Toc466298093"/>
      <w:bookmarkStart w:id="40" w:name="_Toc274409867"/>
      <w:bookmarkStart w:id="41" w:name="_Toc2929"/>
      <w:bookmarkStart w:id="42" w:name="_Toc281405468"/>
      <w:bookmarkStart w:id="43" w:name="_Toc455867770"/>
      <w:bookmarkStart w:id="44" w:name="_Toc32619"/>
      <w:bookmarkStart w:id="45" w:name="_Toc24852"/>
      <w:bookmarkStart w:id="46" w:name="_Toc490667829"/>
      <w:bookmarkStart w:id="47" w:name="_Toc710"/>
      <w:bookmarkStart w:id="48" w:name="_Toc7237"/>
      <w:r>
        <w:rPr>
          <w:rFonts w:hint="eastAsia" w:ascii="宋体" w:hAnsi="宋体" w:eastAsia="宋体" w:cs="宋体"/>
          <w:b/>
          <w:bCs/>
          <w:color w:val="auto"/>
          <w:sz w:val="24"/>
          <w:szCs w:val="24"/>
        </w:rPr>
        <w:t xml:space="preserve">1.2 </w:t>
      </w:r>
      <w:r>
        <w:rPr>
          <w:rFonts w:hint="eastAsia" w:ascii="宋体" w:hAnsi="宋体" w:eastAsia="宋体" w:cs="宋体"/>
          <w:b/>
          <w:bCs/>
          <w:color w:val="auto"/>
          <w:sz w:val="24"/>
          <w:szCs w:val="24"/>
          <w:lang w:val="en-US" w:eastAsia="zh-CN"/>
        </w:rPr>
        <w:t>采购</w:t>
      </w:r>
      <w:r>
        <w:rPr>
          <w:rFonts w:hint="eastAsia" w:ascii="宋体" w:hAnsi="宋体" w:eastAsia="宋体" w:cs="宋体"/>
          <w:b/>
          <w:bCs/>
          <w:color w:val="auto"/>
          <w:sz w:val="24"/>
          <w:szCs w:val="24"/>
        </w:rPr>
        <w:t>项目说明</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5D6184DB">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 本项目采购人：见供应商须知前附表。</w:t>
      </w:r>
    </w:p>
    <w:p w14:paraId="6A6A1EF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 本项目采购代理机构：见供应商须知前附表。</w:t>
      </w:r>
    </w:p>
    <w:p w14:paraId="60B0ED9F">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 本项目名称：见供应商须知前附表。</w:t>
      </w:r>
    </w:p>
    <w:p w14:paraId="39286D8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1.2.4本项目采购方式</w:t>
      </w:r>
      <w:r>
        <w:rPr>
          <w:rFonts w:hint="eastAsia" w:ascii="宋体" w:hAnsi="宋体" w:eastAsia="宋体" w:cs="宋体"/>
          <w:color w:val="auto"/>
          <w:sz w:val="24"/>
          <w:szCs w:val="24"/>
        </w:rPr>
        <w:t>：见供应商须知前附表。</w:t>
      </w:r>
    </w:p>
    <w:p w14:paraId="57A88B0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1.2.5本项目预算价（最高限价）及最高投标限价</w:t>
      </w:r>
      <w:r>
        <w:rPr>
          <w:rFonts w:hint="eastAsia" w:ascii="宋体" w:hAnsi="宋体" w:eastAsia="宋体" w:cs="宋体"/>
          <w:color w:val="auto"/>
          <w:sz w:val="24"/>
          <w:szCs w:val="24"/>
        </w:rPr>
        <w:t>：见供应商须知前附表。</w:t>
      </w:r>
    </w:p>
    <w:p w14:paraId="369C1598">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49" w:name="_Toc4122"/>
      <w:bookmarkStart w:id="50" w:name="_Toc17016"/>
      <w:bookmarkStart w:id="51" w:name="_Toc22979"/>
      <w:bookmarkStart w:id="52" w:name="_Toc455080111"/>
      <w:bookmarkStart w:id="53" w:name="_Toc274409868"/>
      <w:bookmarkStart w:id="54" w:name="_Toc466298094"/>
      <w:bookmarkStart w:id="55" w:name="_Toc4563"/>
      <w:bookmarkStart w:id="56" w:name="_Toc4952"/>
      <w:bookmarkStart w:id="57" w:name="_Toc455867771"/>
      <w:bookmarkStart w:id="58" w:name="_Toc3477"/>
      <w:bookmarkStart w:id="59" w:name="_Toc18960"/>
      <w:bookmarkStart w:id="60" w:name="_Toc318450677"/>
      <w:bookmarkStart w:id="61" w:name="_Toc281405469"/>
      <w:bookmarkStart w:id="62" w:name="_Toc17146"/>
      <w:bookmarkStart w:id="63" w:name="_Toc1373"/>
      <w:bookmarkStart w:id="64" w:name="_Toc16931"/>
      <w:bookmarkStart w:id="65" w:name="_Toc490667830"/>
      <w:r>
        <w:rPr>
          <w:rFonts w:hint="eastAsia" w:ascii="宋体" w:hAnsi="宋体" w:eastAsia="宋体" w:cs="宋体"/>
          <w:b/>
          <w:bCs/>
          <w:color w:val="auto"/>
          <w:sz w:val="24"/>
          <w:szCs w:val="24"/>
        </w:rPr>
        <w:t>1.3 定义及解释</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2BAFAE4C">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1.3.1采购人：</w:t>
      </w:r>
      <w:r>
        <w:rPr>
          <w:rFonts w:hint="eastAsia" w:ascii="宋体" w:hAnsi="宋体" w:eastAsia="宋体" w:cs="宋体"/>
          <w:color w:val="auto"/>
          <w:sz w:val="24"/>
          <w:szCs w:val="24"/>
          <w:lang w:val="en-US" w:eastAsia="zh-CN"/>
        </w:rPr>
        <w:t>是指</w:t>
      </w:r>
      <w:r>
        <w:rPr>
          <w:rFonts w:hint="eastAsia" w:ascii="宋体" w:hAnsi="宋体" w:cs="宋体"/>
          <w:color w:val="auto"/>
          <w:sz w:val="24"/>
          <w:szCs w:val="24"/>
          <w:lang w:val="en-US" w:eastAsia="zh-CN"/>
        </w:rPr>
        <w:t>信阳市羊山新区规划事务中心</w:t>
      </w:r>
      <w:r>
        <w:rPr>
          <w:rFonts w:hint="eastAsia" w:ascii="宋体" w:hAnsi="宋体" w:eastAsia="宋体" w:cs="宋体"/>
          <w:color w:val="auto"/>
          <w:sz w:val="24"/>
          <w:szCs w:val="24"/>
        </w:rPr>
        <w:t>。</w:t>
      </w:r>
    </w:p>
    <w:p w14:paraId="4592246F">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1.3.2采购代理机构：受采购人委托组织</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活动的社会中介组织</w:t>
      </w:r>
      <w:r>
        <w:rPr>
          <w:rFonts w:hint="eastAsia" w:ascii="宋体" w:hAnsi="宋体" w:eastAsia="宋体" w:cs="宋体"/>
          <w:color w:val="auto"/>
          <w:sz w:val="24"/>
          <w:szCs w:val="24"/>
          <w:lang w:eastAsia="zh-CN"/>
        </w:rPr>
        <w:t>（</w:t>
      </w:r>
      <w:r>
        <w:rPr>
          <w:rFonts w:hint="eastAsia" w:ascii="宋体" w:hAnsi="宋体" w:cs="宋体"/>
          <w:color w:val="auto"/>
          <w:sz w:val="24"/>
          <w:szCs w:val="24"/>
          <w:lang w:val="zh-CN" w:eastAsia="zh-CN"/>
        </w:rPr>
        <w:t>河南众为工程项目管理有限公司</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14:paraId="7BBB681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w:t>
      </w:r>
      <w:r>
        <w:rPr>
          <w:rFonts w:hint="eastAsia" w:ascii="宋体" w:hAnsi="宋体" w:eastAsia="宋体" w:cs="宋体"/>
          <w:color w:val="auto"/>
          <w:sz w:val="24"/>
          <w:szCs w:val="24"/>
          <w:lang w:val="zh-CN"/>
        </w:rPr>
        <w:t xml:space="preserve"> “服务”系指</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lang w:val="zh-CN"/>
        </w:rPr>
        <w:t>文件规定卖方须承担的本项目服务、技术协助以及其他类似的伴随义务。</w:t>
      </w:r>
    </w:p>
    <w:p w14:paraId="05CE31B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1.3.4供应商：供应商是响应磋商文件、参加磋商竞争的中华人民共和国境内的法人、</w:t>
      </w:r>
      <w:r>
        <w:rPr>
          <w:rFonts w:hint="eastAsia" w:ascii="宋体" w:hAnsi="宋体" w:eastAsia="宋体" w:cs="宋体"/>
          <w:color w:val="auto"/>
          <w:sz w:val="24"/>
          <w:szCs w:val="24"/>
          <w:lang w:val="en-US" w:eastAsia="zh-CN"/>
        </w:rPr>
        <w:t>其他</w:t>
      </w:r>
      <w:r>
        <w:rPr>
          <w:rFonts w:hint="eastAsia" w:ascii="宋体" w:hAnsi="宋体" w:eastAsia="宋体" w:cs="宋体"/>
          <w:color w:val="auto"/>
          <w:sz w:val="24"/>
          <w:szCs w:val="24"/>
        </w:rPr>
        <w:t>组织。</w:t>
      </w:r>
    </w:p>
    <w:p w14:paraId="49DECE8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1.3.5响应文件：指供应商根据</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提交的所有文件。</w:t>
      </w:r>
    </w:p>
    <w:p w14:paraId="4FB6767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1.3.6磋商小组：依据</w:t>
      </w:r>
      <w:r>
        <w:rPr>
          <w:rFonts w:hint="eastAsia" w:ascii="宋体" w:hAnsi="宋体" w:eastAsia="宋体" w:cs="宋体"/>
          <w:color w:val="auto"/>
          <w:sz w:val="24"/>
          <w:szCs w:val="24"/>
          <w:lang w:bidi="en-US"/>
        </w:rPr>
        <w:t>《中华人民共和国政府采购法》及有关</w:t>
      </w:r>
      <w:r>
        <w:rPr>
          <w:rFonts w:hint="eastAsia" w:ascii="宋体" w:hAnsi="宋体" w:cs="宋体"/>
          <w:color w:val="auto"/>
          <w:sz w:val="24"/>
          <w:szCs w:val="24"/>
          <w:lang w:eastAsia="zh-CN" w:bidi="en-US"/>
        </w:rPr>
        <w:t>法律法规</w:t>
      </w:r>
      <w:r>
        <w:rPr>
          <w:rFonts w:hint="eastAsia" w:ascii="宋体" w:hAnsi="宋体" w:eastAsia="宋体" w:cs="宋体"/>
          <w:color w:val="auto"/>
          <w:sz w:val="24"/>
          <w:szCs w:val="24"/>
          <w:lang w:bidi="en-US"/>
        </w:rPr>
        <w:t>的规定依法组建的专门负责本次</w:t>
      </w:r>
      <w:r>
        <w:rPr>
          <w:rFonts w:hint="eastAsia" w:ascii="宋体" w:hAnsi="宋体" w:eastAsia="宋体" w:cs="宋体"/>
          <w:color w:val="auto"/>
          <w:sz w:val="24"/>
          <w:szCs w:val="24"/>
          <w:lang w:val="en-US" w:eastAsia="zh-CN" w:bidi="en-US"/>
        </w:rPr>
        <w:t>评审</w:t>
      </w:r>
      <w:r>
        <w:rPr>
          <w:rFonts w:hint="eastAsia" w:ascii="宋体" w:hAnsi="宋体" w:eastAsia="宋体" w:cs="宋体"/>
          <w:color w:val="auto"/>
          <w:sz w:val="24"/>
          <w:szCs w:val="24"/>
          <w:lang w:bidi="en-US"/>
        </w:rPr>
        <w:t>工作的临时机构</w:t>
      </w:r>
      <w:r>
        <w:rPr>
          <w:rFonts w:hint="eastAsia" w:ascii="宋体" w:hAnsi="宋体" w:eastAsia="宋体" w:cs="宋体"/>
          <w:color w:val="auto"/>
          <w:sz w:val="24"/>
          <w:szCs w:val="24"/>
        </w:rPr>
        <w:t>。</w:t>
      </w:r>
    </w:p>
    <w:p w14:paraId="39FD50C1">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1.3.7偏离：响应文件的响应相对于</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要求的偏差，该偏差优于</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要求的为正偏离；劣于的，为负偏离。</w:t>
      </w:r>
    </w:p>
    <w:p w14:paraId="132F0743">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1.3.8“日期”或“天”：指日历天。</w:t>
      </w:r>
    </w:p>
    <w:p w14:paraId="02EC075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1.3.9合同：指依据本次采购结果签订的协议或合约文件。</w:t>
      </w:r>
    </w:p>
    <w:p w14:paraId="7BE034A3">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1.3.10</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中的标题或题名仅起引导作用，而不应视为对</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内容的理解和解释。</w:t>
      </w:r>
    </w:p>
    <w:p w14:paraId="0B9EEEBB">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66" w:name="_Toc17808"/>
      <w:bookmarkStart w:id="67" w:name="_Toc19363"/>
      <w:bookmarkStart w:id="68" w:name="_Toc152045532"/>
      <w:bookmarkStart w:id="69" w:name="_Toc455080112"/>
      <w:bookmarkStart w:id="70" w:name="_Toc10894"/>
      <w:bookmarkStart w:id="71" w:name="_Toc490667831"/>
      <w:bookmarkStart w:id="72" w:name="_Toc16470"/>
      <w:bookmarkStart w:id="73" w:name="_Toc466298095"/>
      <w:bookmarkStart w:id="74" w:name="_Toc455867772"/>
      <w:bookmarkStart w:id="75" w:name="_Toc152042308"/>
      <w:bookmarkStart w:id="76" w:name="_Toc144974500"/>
      <w:bookmarkStart w:id="77" w:name="_Toc17908"/>
      <w:bookmarkStart w:id="78" w:name="_Toc12752"/>
      <w:bookmarkStart w:id="79" w:name="_Toc27407"/>
      <w:bookmarkStart w:id="80" w:name="_Toc318450678"/>
      <w:bookmarkStart w:id="81" w:name="_Toc32236"/>
      <w:bookmarkStart w:id="82" w:name="_Toc14043"/>
      <w:bookmarkStart w:id="83" w:name="_Toc21766"/>
      <w:r>
        <w:rPr>
          <w:rFonts w:hint="eastAsia" w:ascii="宋体" w:hAnsi="宋体" w:eastAsia="宋体" w:cs="宋体"/>
          <w:b/>
          <w:bCs/>
          <w:color w:val="auto"/>
          <w:sz w:val="24"/>
          <w:szCs w:val="24"/>
        </w:rPr>
        <w:t xml:space="preserve">1.4 </w:t>
      </w:r>
      <w:r>
        <w:rPr>
          <w:rFonts w:hint="eastAsia" w:ascii="宋体" w:hAnsi="宋体" w:eastAsia="宋体" w:cs="宋体"/>
          <w:b/>
          <w:bCs/>
          <w:color w:val="auto"/>
          <w:sz w:val="24"/>
          <w:szCs w:val="24"/>
          <w:lang w:eastAsia="zh-CN"/>
        </w:rPr>
        <w:t>磋商内容、服务期限</w:t>
      </w:r>
      <w:r>
        <w:rPr>
          <w:rFonts w:hint="eastAsia" w:ascii="宋体" w:hAnsi="宋体" w:eastAsia="宋体" w:cs="宋体"/>
          <w:b/>
          <w:bCs/>
          <w:color w:val="auto"/>
          <w:sz w:val="24"/>
          <w:szCs w:val="24"/>
        </w:rPr>
        <w:t>和质量要求</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5CBCB18B">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 本次</w:t>
      </w:r>
      <w:r>
        <w:rPr>
          <w:rFonts w:hint="eastAsia" w:ascii="宋体" w:hAnsi="宋体" w:eastAsia="宋体" w:cs="宋体"/>
          <w:color w:val="auto"/>
          <w:sz w:val="24"/>
          <w:szCs w:val="24"/>
          <w:lang w:eastAsia="zh-CN"/>
        </w:rPr>
        <w:t>磋商内容</w:t>
      </w:r>
      <w:r>
        <w:rPr>
          <w:rFonts w:hint="eastAsia" w:ascii="宋体" w:hAnsi="宋体" w:eastAsia="宋体" w:cs="宋体"/>
          <w:color w:val="auto"/>
          <w:sz w:val="24"/>
          <w:szCs w:val="24"/>
        </w:rPr>
        <w:t>：见供应商须知前附表。</w:t>
      </w:r>
    </w:p>
    <w:p w14:paraId="0FC9BFF1">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1.4.2 本项目的</w:t>
      </w:r>
      <w:r>
        <w:rPr>
          <w:rFonts w:hint="eastAsia" w:ascii="宋体" w:hAnsi="宋体" w:eastAsia="宋体" w:cs="宋体"/>
          <w:color w:val="auto"/>
          <w:sz w:val="24"/>
          <w:szCs w:val="24"/>
          <w:lang w:val="en-US" w:eastAsia="zh-CN"/>
        </w:rPr>
        <w:t>服务期限</w:t>
      </w:r>
      <w:r>
        <w:rPr>
          <w:rFonts w:hint="eastAsia" w:ascii="宋体" w:hAnsi="宋体" w:eastAsia="宋体" w:cs="宋体"/>
          <w:color w:val="auto"/>
          <w:sz w:val="24"/>
          <w:szCs w:val="24"/>
        </w:rPr>
        <w:t>：见供应商须知前附表。</w:t>
      </w:r>
    </w:p>
    <w:p w14:paraId="779CAF6D">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本项目的质量要求：见供应商须知前附表。</w:t>
      </w:r>
    </w:p>
    <w:p w14:paraId="534E3FF6">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1.4.4付款方式：</w:t>
      </w:r>
      <w:r>
        <w:rPr>
          <w:rFonts w:hint="eastAsia" w:ascii="宋体" w:hAnsi="宋体" w:eastAsia="宋体" w:cs="宋体"/>
          <w:color w:val="auto"/>
          <w:sz w:val="24"/>
          <w:szCs w:val="24"/>
        </w:rPr>
        <w:t>见供应商须知前附表。</w:t>
      </w:r>
    </w:p>
    <w:p w14:paraId="50FA36DC">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1.4.5服务地点：</w:t>
      </w:r>
      <w:r>
        <w:rPr>
          <w:rFonts w:hint="eastAsia" w:ascii="宋体" w:hAnsi="宋体" w:eastAsia="宋体" w:cs="宋体"/>
          <w:color w:val="auto"/>
          <w:sz w:val="24"/>
          <w:szCs w:val="24"/>
        </w:rPr>
        <w:t>见供应商须知前附表</w:t>
      </w:r>
      <w:r>
        <w:rPr>
          <w:rFonts w:hint="eastAsia" w:ascii="宋体" w:hAnsi="宋体" w:eastAsia="宋体" w:cs="宋体"/>
          <w:color w:val="auto"/>
          <w:sz w:val="24"/>
          <w:szCs w:val="24"/>
          <w:lang w:eastAsia="zh-CN"/>
        </w:rPr>
        <w:t>。</w:t>
      </w:r>
    </w:p>
    <w:p w14:paraId="37EDB67F">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84" w:name="_Toc144974502"/>
      <w:bookmarkStart w:id="85" w:name="_Toc318450679"/>
      <w:bookmarkStart w:id="86" w:name="_Toc152042310"/>
      <w:bookmarkStart w:id="87" w:name="_Toc152045534"/>
      <w:bookmarkStart w:id="88" w:name="_Toc466298096"/>
      <w:bookmarkStart w:id="89" w:name="_Toc455867773"/>
      <w:bookmarkStart w:id="90" w:name="_Toc4711"/>
      <w:bookmarkStart w:id="91" w:name="_Toc490667832"/>
      <w:bookmarkStart w:id="92" w:name="_Toc4301"/>
      <w:bookmarkStart w:id="93" w:name="_Toc455080113"/>
      <w:bookmarkStart w:id="94" w:name="_Toc32156"/>
      <w:bookmarkStart w:id="95" w:name="_Toc18689"/>
      <w:bookmarkStart w:id="96" w:name="_Toc11063"/>
      <w:bookmarkStart w:id="97" w:name="_Toc22643"/>
      <w:bookmarkStart w:id="98" w:name="_Toc5019"/>
      <w:bookmarkStart w:id="99" w:name="_Toc1602"/>
      <w:bookmarkStart w:id="100" w:name="_Toc18004"/>
      <w:bookmarkStart w:id="101" w:name="_Toc7209"/>
      <w:r>
        <w:rPr>
          <w:rFonts w:hint="eastAsia" w:ascii="宋体" w:hAnsi="宋体" w:eastAsia="宋体" w:cs="宋体"/>
          <w:b/>
          <w:bCs/>
          <w:color w:val="auto"/>
          <w:sz w:val="24"/>
          <w:szCs w:val="24"/>
        </w:rPr>
        <w:t xml:space="preserve">1.5 </w:t>
      </w:r>
      <w:bookmarkEnd w:id="84"/>
      <w:bookmarkEnd w:id="85"/>
      <w:bookmarkEnd w:id="86"/>
      <w:bookmarkEnd w:id="87"/>
      <w:r>
        <w:rPr>
          <w:rFonts w:hint="eastAsia" w:ascii="宋体" w:hAnsi="宋体" w:eastAsia="宋体" w:cs="宋体"/>
          <w:b/>
          <w:bCs/>
          <w:color w:val="auto"/>
          <w:sz w:val="24"/>
          <w:szCs w:val="24"/>
        </w:rPr>
        <w:t>供应商资质条件和能力</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29DC690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1.5.1供应商资质及能力要求：见供应商须知前附表。</w:t>
      </w:r>
    </w:p>
    <w:p w14:paraId="328F8AA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1.5.2是否接受联合体：见供应商须知前附表。</w:t>
      </w:r>
    </w:p>
    <w:p w14:paraId="122C57C5">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102" w:name="_Toc31854"/>
      <w:bookmarkStart w:id="103" w:name="_Toc11905"/>
      <w:bookmarkStart w:id="104" w:name="_Toc12403"/>
      <w:bookmarkStart w:id="105" w:name="_Toc318450680"/>
      <w:bookmarkStart w:id="106" w:name="_Toc28135"/>
      <w:bookmarkStart w:id="107" w:name="_Toc455867774"/>
      <w:bookmarkStart w:id="108" w:name="_Toc981"/>
      <w:bookmarkStart w:id="109" w:name="_Toc490667833"/>
      <w:bookmarkStart w:id="110" w:name="_Toc152042311"/>
      <w:bookmarkStart w:id="111" w:name="_Toc16889"/>
      <w:bookmarkStart w:id="112" w:name="_Toc9505"/>
      <w:bookmarkStart w:id="113" w:name="_Toc466298097"/>
      <w:bookmarkStart w:id="114" w:name="_Toc32446"/>
      <w:bookmarkStart w:id="115" w:name="_Toc144974503"/>
      <w:bookmarkStart w:id="116" w:name="_Toc152045535"/>
      <w:bookmarkStart w:id="117" w:name="_Toc651"/>
      <w:bookmarkStart w:id="118" w:name="_Toc5162"/>
      <w:bookmarkStart w:id="119" w:name="_Toc455080114"/>
      <w:r>
        <w:rPr>
          <w:rFonts w:hint="eastAsia" w:ascii="宋体" w:hAnsi="宋体" w:eastAsia="宋体" w:cs="宋体"/>
          <w:b/>
          <w:bCs/>
          <w:color w:val="auto"/>
          <w:sz w:val="24"/>
          <w:szCs w:val="24"/>
        </w:rPr>
        <w:t>1.6 费用承担</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7D510569">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供应商准备和参加磋商活动发生的费用自理，不论磋商的结果如何，采购人和采购代理机构在任何情况下均无义务和责任承担这些费用。</w:t>
      </w:r>
    </w:p>
    <w:p w14:paraId="1B2C3630">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120" w:name="_Toc144974504"/>
      <w:bookmarkStart w:id="121" w:name="_Toc1879"/>
      <w:bookmarkStart w:id="122" w:name="_Toc8055"/>
      <w:bookmarkStart w:id="123" w:name="_Toc22136"/>
      <w:bookmarkStart w:id="124" w:name="_Toc152045536"/>
      <w:bookmarkStart w:id="125" w:name="_Toc466298098"/>
      <w:bookmarkStart w:id="126" w:name="_Toc5402"/>
      <w:bookmarkStart w:id="127" w:name="_Toc318450681"/>
      <w:bookmarkStart w:id="128" w:name="_Toc20145"/>
      <w:bookmarkStart w:id="129" w:name="_Toc22800"/>
      <w:bookmarkStart w:id="130" w:name="_Toc455867775"/>
      <w:bookmarkStart w:id="131" w:name="_Toc455080115"/>
      <w:bookmarkStart w:id="132" w:name="_Toc490667834"/>
      <w:bookmarkStart w:id="133" w:name="_Toc2622"/>
      <w:bookmarkStart w:id="134" w:name="_Toc24601"/>
      <w:bookmarkStart w:id="135" w:name="_Toc32053"/>
      <w:bookmarkStart w:id="136" w:name="_Toc6014"/>
      <w:bookmarkStart w:id="137" w:name="_Toc152042312"/>
      <w:r>
        <w:rPr>
          <w:rFonts w:hint="eastAsia" w:ascii="宋体" w:hAnsi="宋体" w:eastAsia="宋体" w:cs="宋体"/>
          <w:b/>
          <w:bCs/>
          <w:color w:val="auto"/>
          <w:sz w:val="24"/>
          <w:szCs w:val="24"/>
        </w:rPr>
        <w:t>1.7 保密</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585D1E40">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参与磋商活动的各方应对</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 xml:space="preserve">和响应文件中的商业和技术等秘密保密，违者应对由此造成的后果承担法律责任。 </w:t>
      </w:r>
    </w:p>
    <w:p w14:paraId="15BC00CA">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138" w:name="_Toc144974505"/>
      <w:bookmarkStart w:id="139" w:name="_Toc7031"/>
      <w:bookmarkStart w:id="140" w:name="_Toc14775"/>
      <w:bookmarkStart w:id="141" w:name="_Toc30583"/>
      <w:bookmarkStart w:id="142" w:name="_Toc490667835"/>
      <w:bookmarkStart w:id="143" w:name="_Toc21089"/>
      <w:bookmarkStart w:id="144" w:name="_Toc13976"/>
      <w:bookmarkStart w:id="145" w:name="_Toc152042313"/>
      <w:bookmarkStart w:id="146" w:name="_Toc455080116"/>
      <w:bookmarkStart w:id="147" w:name="_Toc466298099"/>
      <w:bookmarkStart w:id="148" w:name="_Toc152045537"/>
      <w:bookmarkStart w:id="149" w:name="_Toc30747"/>
      <w:bookmarkStart w:id="150" w:name="_Toc25517"/>
      <w:bookmarkStart w:id="151" w:name="_Toc15673"/>
      <w:bookmarkStart w:id="152" w:name="_Toc455867776"/>
      <w:bookmarkStart w:id="153" w:name="_Toc3628"/>
      <w:bookmarkStart w:id="154" w:name="_Toc318450682"/>
      <w:bookmarkStart w:id="155" w:name="_Toc6615"/>
      <w:r>
        <w:rPr>
          <w:rFonts w:hint="eastAsia" w:ascii="宋体" w:hAnsi="宋体" w:eastAsia="宋体" w:cs="宋体"/>
          <w:b/>
          <w:bCs/>
          <w:color w:val="auto"/>
          <w:sz w:val="24"/>
          <w:szCs w:val="24"/>
        </w:rPr>
        <w:t>1.8 语言</w:t>
      </w:r>
      <w:bookmarkEnd w:id="138"/>
      <w:r>
        <w:rPr>
          <w:rFonts w:hint="eastAsia" w:ascii="宋体" w:hAnsi="宋体" w:eastAsia="宋体" w:cs="宋体"/>
          <w:b/>
          <w:bCs/>
          <w:color w:val="auto"/>
          <w:sz w:val="24"/>
          <w:szCs w:val="24"/>
        </w:rPr>
        <w:t>文字</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46E457A6">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除专用术语外，与磋商有关的语言均使用中文。必要时专用术语应附有中文注释，</w:t>
      </w:r>
      <w:r>
        <w:rPr>
          <w:rFonts w:hint="eastAsia" w:ascii="宋体" w:hAnsi="宋体" w:eastAsia="宋体" w:cs="宋体"/>
          <w:color w:val="auto"/>
          <w:sz w:val="24"/>
          <w:szCs w:val="24"/>
          <w:lang w:bidi="en-US"/>
        </w:rPr>
        <w:t>对不同文字文本响应文件的解释发生异议的，以中文文本为准。</w:t>
      </w:r>
    </w:p>
    <w:p w14:paraId="1B4C352F">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156" w:name="_Toc24337"/>
      <w:bookmarkStart w:id="157" w:name="_Toc22378"/>
      <w:bookmarkStart w:id="158" w:name="_Toc318450683"/>
      <w:bookmarkStart w:id="159" w:name="_Toc4237"/>
      <w:bookmarkStart w:id="160" w:name="_Toc22415"/>
      <w:bookmarkStart w:id="161" w:name="_Toc152042314"/>
      <w:bookmarkStart w:id="162" w:name="_Toc9446"/>
      <w:bookmarkStart w:id="163" w:name="_Toc455867777"/>
      <w:bookmarkStart w:id="164" w:name="_Toc466298100"/>
      <w:bookmarkStart w:id="165" w:name="_Toc144974506"/>
      <w:bookmarkStart w:id="166" w:name="_Toc18357"/>
      <w:bookmarkStart w:id="167" w:name="_Toc14934"/>
      <w:bookmarkStart w:id="168" w:name="_Toc2702"/>
      <w:bookmarkStart w:id="169" w:name="_Toc32507"/>
      <w:bookmarkStart w:id="170" w:name="_Toc152045538"/>
      <w:bookmarkStart w:id="171" w:name="_Toc455080117"/>
      <w:bookmarkStart w:id="172" w:name="_Toc490667836"/>
      <w:bookmarkStart w:id="173" w:name="_Toc4501"/>
      <w:r>
        <w:rPr>
          <w:rFonts w:hint="eastAsia" w:ascii="宋体" w:hAnsi="宋体" w:eastAsia="宋体" w:cs="宋体"/>
          <w:b/>
          <w:bCs/>
          <w:color w:val="auto"/>
          <w:sz w:val="24"/>
          <w:szCs w:val="24"/>
        </w:rPr>
        <w:t>1.9 计量单位</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976EADB">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14:paraId="1E88F415">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val="0"/>
          <w:bCs w:val="0"/>
          <w:color w:val="auto"/>
          <w:sz w:val="24"/>
          <w:szCs w:val="24"/>
          <w:lang w:eastAsia="zh-CN"/>
        </w:rPr>
      </w:pPr>
      <w:bookmarkStart w:id="174" w:name="_Toc13675"/>
      <w:bookmarkStart w:id="175" w:name="_Toc152042316"/>
      <w:bookmarkStart w:id="176" w:name="_Toc19685"/>
      <w:bookmarkStart w:id="177" w:name="_Toc455080118"/>
      <w:bookmarkStart w:id="178" w:name="_Toc455867778"/>
      <w:bookmarkStart w:id="179" w:name="_Toc2508"/>
      <w:bookmarkStart w:id="180" w:name="_Toc18589"/>
      <w:bookmarkStart w:id="181" w:name="_Toc318450684"/>
      <w:bookmarkStart w:id="182" w:name="_Toc466298101"/>
      <w:bookmarkStart w:id="183" w:name="_Toc27570"/>
      <w:bookmarkStart w:id="184" w:name="_Toc338"/>
      <w:bookmarkStart w:id="185" w:name="_Toc284"/>
      <w:bookmarkStart w:id="186" w:name="_Toc31195"/>
      <w:bookmarkStart w:id="187" w:name="_Toc152045540"/>
      <w:bookmarkStart w:id="188" w:name="_Toc12027"/>
      <w:bookmarkStart w:id="189" w:name="_Toc490667837"/>
      <w:bookmarkStart w:id="190" w:name="_Toc29845"/>
      <w:bookmarkStart w:id="191" w:name="_Toc144974508"/>
      <w:r>
        <w:rPr>
          <w:rFonts w:hint="eastAsia" w:ascii="宋体" w:hAnsi="宋体" w:eastAsia="宋体" w:cs="宋体"/>
          <w:b/>
          <w:bCs/>
          <w:color w:val="auto"/>
          <w:sz w:val="24"/>
          <w:szCs w:val="24"/>
        </w:rPr>
        <w:t xml:space="preserve">1.10 </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Fonts w:hint="eastAsia" w:ascii="宋体" w:hAnsi="宋体" w:eastAsia="宋体" w:cs="宋体"/>
          <w:b/>
          <w:bCs/>
          <w:color w:val="auto"/>
          <w:sz w:val="24"/>
          <w:szCs w:val="24"/>
          <w:lang w:eastAsia="zh-CN"/>
        </w:rPr>
        <w:t>现场踏勘：</w:t>
      </w:r>
      <w:r>
        <w:rPr>
          <w:rFonts w:hint="eastAsia" w:ascii="宋体" w:hAnsi="宋体" w:eastAsia="宋体" w:cs="宋体"/>
          <w:b w:val="0"/>
          <w:bCs w:val="0"/>
          <w:color w:val="auto"/>
          <w:sz w:val="24"/>
          <w:szCs w:val="24"/>
          <w:lang w:eastAsia="zh-CN"/>
        </w:rPr>
        <w:t>自行踏勘，与之相关的费用，由供应商自行承担。</w:t>
      </w:r>
    </w:p>
    <w:p w14:paraId="1C5AFFAD">
      <w:pPr>
        <w:pageBreakBefore w:val="0"/>
        <w:kinsoku/>
        <w:wordWrap/>
        <w:overflowPunct/>
        <w:topLinePunct w:val="0"/>
        <w:autoSpaceDE/>
        <w:autoSpaceDN/>
        <w:bidi w:val="0"/>
        <w:adjustRightInd/>
        <w:snapToGrid/>
        <w:spacing w:line="450" w:lineRule="exact"/>
        <w:textAlignment w:val="auto"/>
        <w:outlineLvl w:val="1"/>
        <w:rPr>
          <w:rFonts w:hint="eastAsia" w:ascii="宋体" w:hAnsi="宋体" w:eastAsia="宋体" w:cs="宋体"/>
          <w:b/>
          <w:bCs/>
          <w:color w:val="auto"/>
          <w:sz w:val="24"/>
          <w:szCs w:val="24"/>
          <w:lang w:eastAsia="zh-CN"/>
        </w:rPr>
      </w:pPr>
      <w:bookmarkStart w:id="192" w:name="_Toc12453"/>
      <w:r>
        <w:rPr>
          <w:rFonts w:hint="eastAsia" w:ascii="宋体" w:hAnsi="宋体" w:eastAsia="宋体" w:cs="宋体"/>
          <w:b/>
          <w:bCs/>
          <w:color w:val="auto"/>
          <w:sz w:val="24"/>
          <w:szCs w:val="24"/>
        </w:rPr>
        <w:t>2.</w:t>
      </w:r>
      <w:bookmarkEnd w:id="192"/>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lang w:eastAsia="zh-CN"/>
        </w:rPr>
        <w:t>竞争性磋商文件</w:t>
      </w:r>
    </w:p>
    <w:p w14:paraId="727B3798">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193" w:name="_Toc152042319"/>
      <w:bookmarkStart w:id="194" w:name="_Toc318450687"/>
      <w:bookmarkStart w:id="195" w:name="_Toc12640"/>
      <w:bookmarkStart w:id="196" w:name="_Toc1008"/>
      <w:bookmarkStart w:id="197" w:name="_Toc152045543"/>
      <w:bookmarkStart w:id="198" w:name="_Toc9780"/>
      <w:bookmarkStart w:id="199" w:name="_Toc11599"/>
      <w:bookmarkStart w:id="200" w:name="_Toc32711"/>
      <w:bookmarkStart w:id="201" w:name="_Toc23649"/>
      <w:bookmarkStart w:id="202" w:name="_Toc144974511"/>
      <w:bookmarkStart w:id="203" w:name="_Toc7999"/>
      <w:bookmarkStart w:id="204" w:name="_Toc455867781"/>
      <w:bookmarkStart w:id="205" w:name="_Toc12004"/>
      <w:bookmarkStart w:id="206" w:name="_Toc466298104"/>
      <w:bookmarkStart w:id="207" w:name="_Toc490667840"/>
      <w:bookmarkStart w:id="208" w:name="_Toc455080121"/>
      <w:bookmarkStart w:id="209" w:name="_Toc11567"/>
      <w:bookmarkStart w:id="210" w:name="_Toc3982"/>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eastAsia="zh-CN"/>
        </w:rPr>
        <w:t>竞争性磋商文件</w:t>
      </w:r>
      <w:r>
        <w:rPr>
          <w:rFonts w:hint="eastAsia" w:ascii="宋体" w:hAnsi="宋体" w:eastAsia="宋体" w:cs="宋体"/>
          <w:b/>
          <w:bCs/>
          <w:color w:val="auto"/>
          <w:sz w:val="24"/>
          <w:szCs w:val="24"/>
        </w:rPr>
        <w:t>的组成</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02502C10">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本</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包括：</w:t>
      </w:r>
    </w:p>
    <w:p w14:paraId="0DFBBFBA">
      <w:pPr>
        <w:pageBreakBefore w:val="0"/>
        <w:kinsoku/>
        <w:wordWrap/>
        <w:overflowPunct/>
        <w:topLinePunct w:val="0"/>
        <w:autoSpaceDE/>
        <w:autoSpaceDN/>
        <w:bidi w:val="0"/>
        <w:adjustRightInd/>
        <w:snapToGrid/>
        <w:spacing w:line="450" w:lineRule="exact"/>
        <w:ind w:firstLine="410" w:firstLineChars="171"/>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竞争性磋商公告</w:t>
      </w:r>
      <w:r>
        <w:rPr>
          <w:rFonts w:hint="eastAsia" w:ascii="宋体" w:hAnsi="宋体" w:eastAsia="宋体" w:cs="宋体"/>
          <w:color w:val="auto"/>
          <w:sz w:val="24"/>
          <w:szCs w:val="24"/>
        </w:rPr>
        <w:t>；</w:t>
      </w:r>
    </w:p>
    <w:p w14:paraId="1CCCBE07">
      <w:pPr>
        <w:pageBreakBefore w:val="0"/>
        <w:kinsoku/>
        <w:wordWrap/>
        <w:overflowPunct/>
        <w:topLinePunct w:val="0"/>
        <w:autoSpaceDE/>
        <w:autoSpaceDN/>
        <w:bidi w:val="0"/>
        <w:adjustRightInd/>
        <w:snapToGrid/>
        <w:spacing w:line="450" w:lineRule="exact"/>
        <w:ind w:firstLine="410" w:firstLineChars="171"/>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（2）供应商须知；</w:t>
      </w:r>
    </w:p>
    <w:p w14:paraId="507019E3">
      <w:pPr>
        <w:pageBreakBefore w:val="0"/>
        <w:kinsoku/>
        <w:wordWrap/>
        <w:overflowPunct/>
        <w:topLinePunct w:val="0"/>
        <w:autoSpaceDE/>
        <w:autoSpaceDN/>
        <w:bidi w:val="0"/>
        <w:adjustRightInd/>
        <w:snapToGrid/>
        <w:spacing w:line="450" w:lineRule="exact"/>
        <w:ind w:firstLine="410" w:firstLineChars="171"/>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（3）评审办法；</w:t>
      </w:r>
    </w:p>
    <w:p w14:paraId="0BB6DD19">
      <w:pPr>
        <w:pageBreakBefore w:val="0"/>
        <w:kinsoku/>
        <w:wordWrap/>
        <w:overflowPunct/>
        <w:topLinePunct w:val="0"/>
        <w:autoSpaceDE/>
        <w:autoSpaceDN/>
        <w:bidi w:val="0"/>
        <w:adjustRightInd/>
        <w:snapToGrid/>
        <w:spacing w:line="450" w:lineRule="exact"/>
        <w:ind w:firstLine="410" w:firstLineChars="171"/>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（4）合同主要条款</w:t>
      </w:r>
      <w:r>
        <w:rPr>
          <w:rFonts w:hint="eastAsia" w:ascii="宋体" w:hAnsi="宋体" w:eastAsia="宋体" w:cs="宋体"/>
          <w:color w:val="auto"/>
          <w:sz w:val="24"/>
          <w:szCs w:val="24"/>
          <w:lang w:eastAsia="zh-CN"/>
        </w:rPr>
        <w:t>及格式</w:t>
      </w:r>
      <w:r>
        <w:rPr>
          <w:rFonts w:hint="eastAsia" w:ascii="宋体" w:hAnsi="宋体" w:eastAsia="宋体" w:cs="宋体"/>
          <w:color w:val="auto"/>
          <w:sz w:val="24"/>
          <w:szCs w:val="24"/>
        </w:rPr>
        <w:t>；</w:t>
      </w:r>
    </w:p>
    <w:p w14:paraId="0A902CD8">
      <w:pPr>
        <w:pageBreakBefore w:val="0"/>
        <w:kinsoku/>
        <w:wordWrap/>
        <w:overflowPunct/>
        <w:topLinePunct w:val="0"/>
        <w:autoSpaceDE/>
        <w:autoSpaceDN/>
        <w:bidi w:val="0"/>
        <w:adjustRightInd/>
        <w:snapToGrid/>
        <w:spacing w:line="450" w:lineRule="exact"/>
        <w:ind w:firstLine="410" w:firstLineChars="171"/>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lang w:val="en-US" w:eastAsia="zh-CN"/>
        </w:rPr>
        <w:t>服务内容及要求</w:t>
      </w:r>
      <w:r>
        <w:rPr>
          <w:rFonts w:hint="eastAsia" w:ascii="宋体" w:hAnsi="宋体" w:eastAsia="宋体" w:cs="宋体"/>
          <w:color w:val="auto"/>
          <w:sz w:val="24"/>
          <w:szCs w:val="24"/>
        </w:rPr>
        <w:t>；</w:t>
      </w:r>
    </w:p>
    <w:p w14:paraId="234CDA48">
      <w:pPr>
        <w:pageBreakBefore w:val="0"/>
        <w:kinsoku/>
        <w:wordWrap/>
        <w:overflowPunct/>
        <w:topLinePunct w:val="0"/>
        <w:autoSpaceDE/>
        <w:autoSpaceDN/>
        <w:bidi w:val="0"/>
        <w:adjustRightInd/>
        <w:snapToGrid/>
        <w:spacing w:line="450" w:lineRule="exact"/>
        <w:ind w:firstLine="410" w:firstLineChars="171"/>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w:t>
      </w:r>
      <w:r>
        <w:rPr>
          <w:rFonts w:hint="eastAsia" w:ascii="宋体" w:hAnsi="宋体" w:eastAsia="宋体" w:cs="宋体"/>
          <w:color w:val="auto"/>
          <w:sz w:val="24"/>
          <w:szCs w:val="24"/>
          <w:lang w:eastAsia="zh-CN"/>
        </w:rPr>
        <w:t>竞争性磋商响应文件格式</w:t>
      </w:r>
      <w:r>
        <w:rPr>
          <w:rFonts w:hint="eastAsia" w:ascii="宋体" w:hAnsi="宋体" w:eastAsia="宋体" w:cs="宋体"/>
          <w:color w:val="auto"/>
          <w:sz w:val="24"/>
          <w:szCs w:val="24"/>
        </w:rPr>
        <w:t>；</w:t>
      </w:r>
    </w:p>
    <w:p w14:paraId="1FFC6930">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根据本章第2.2款和第2.3款对</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所作的澄清、修改，构成</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的组成部分。</w:t>
      </w:r>
    </w:p>
    <w:p w14:paraId="4A206832">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211" w:name="_Toc15658"/>
      <w:r>
        <w:rPr>
          <w:rFonts w:hint="eastAsia" w:ascii="宋体" w:hAnsi="宋体" w:eastAsia="宋体" w:cs="宋体"/>
          <w:b/>
          <w:bCs/>
          <w:color w:val="auto"/>
          <w:sz w:val="24"/>
          <w:szCs w:val="24"/>
        </w:rPr>
        <w:t xml:space="preserve">2.2 </w:t>
      </w:r>
      <w:r>
        <w:rPr>
          <w:rFonts w:hint="eastAsia" w:ascii="宋体" w:hAnsi="宋体" w:eastAsia="宋体" w:cs="宋体"/>
          <w:b/>
          <w:bCs/>
          <w:color w:val="auto"/>
          <w:sz w:val="24"/>
          <w:szCs w:val="24"/>
          <w:lang w:eastAsia="zh-CN"/>
        </w:rPr>
        <w:t>竞争性磋商文件</w:t>
      </w:r>
      <w:r>
        <w:rPr>
          <w:rFonts w:hint="eastAsia" w:ascii="宋体" w:hAnsi="宋体" w:eastAsia="宋体" w:cs="宋体"/>
          <w:b/>
          <w:bCs/>
          <w:color w:val="auto"/>
          <w:sz w:val="24"/>
          <w:szCs w:val="24"/>
        </w:rPr>
        <w:t>的澄清</w:t>
      </w:r>
      <w:bookmarkEnd w:id="211"/>
    </w:p>
    <w:p w14:paraId="531AF5C5">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2.2.1供应商应仔细阅读和检查</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的全部内容。如发现缺页或附件不全，应及时向采购人提出，以便补齐。如有疑问，应在供应商须知前附表规定的时间前以书面形式（包括信函、电报、传真等可以有形表现所载内容的形式，下同），要求采购人对</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予以澄清。</w:t>
      </w:r>
    </w:p>
    <w:p w14:paraId="57E5D5C7">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2.2.2 </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的澄清将在供应商须知前附表规定的</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rPr>
        <w:t>截止时间5天前在</w:t>
      </w:r>
      <w:r>
        <w:rPr>
          <w:rFonts w:hint="eastAsia" w:ascii="宋体" w:hAnsi="宋体" w:cs="宋体"/>
          <w:kern w:val="0"/>
          <w:sz w:val="24"/>
          <w:lang w:val="en-US" w:eastAsia="zh-CN"/>
        </w:rPr>
        <w:t>信阳市</w:t>
      </w:r>
      <w:r>
        <w:rPr>
          <w:rFonts w:hint="eastAsia" w:ascii="宋体" w:hAnsi="宋体" w:eastAsia="宋体" w:cs="宋体"/>
          <w:kern w:val="0"/>
          <w:sz w:val="24"/>
        </w:rPr>
        <w:t>公共资源交易系统</w:t>
      </w:r>
      <w:r>
        <w:rPr>
          <w:rFonts w:hint="eastAsia" w:ascii="宋体" w:hAnsi="宋体" w:eastAsia="宋体" w:cs="宋体"/>
          <w:color w:val="auto"/>
          <w:sz w:val="24"/>
          <w:szCs w:val="24"/>
        </w:rPr>
        <w:t>“变更公告”或“答疑文件”将澄清内容予以发布，但不指明澄清问题的来源。如果澄清的内容可能影响响应文件编制且发出的时间距</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rPr>
        <w:t>截止时间不足5天，相应延长</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rPr>
        <w:t>截止时间。</w:t>
      </w:r>
    </w:p>
    <w:p w14:paraId="0150BED7">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2.2.3供应商应在</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rPr>
        <w:t>截止时间前及时查看澄清内容，因供应商未及时查看而造成的后果自负。</w:t>
      </w:r>
    </w:p>
    <w:p w14:paraId="028FD551">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212" w:name="_Toc8263"/>
      <w:r>
        <w:rPr>
          <w:rFonts w:hint="eastAsia" w:ascii="宋体" w:hAnsi="宋体" w:eastAsia="宋体" w:cs="宋体"/>
          <w:b/>
          <w:bCs/>
          <w:color w:val="auto"/>
          <w:sz w:val="24"/>
          <w:szCs w:val="24"/>
        </w:rPr>
        <w:t xml:space="preserve">2.3 </w:t>
      </w:r>
      <w:r>
        <w:rPr>
          <w:rFonts w:hint="eastAsia" w:ascii="宋体" w:hAnsi="宋体" w:eastAsia="宋体" w:cs="宋体"/>
          <w:b/>
          <w:bCs/>
          <w:color w:val="auto"/>
          <w:sz w:val="24"/>
          <w:szCs w:val="24"/>
          <w:lang w:eastAsia="zh-CN"/>
        </w:rPr>
        <w:t>竞争性磋商文件</w:t>
      </w:r>
      <w:r>
        <w:rPr>
          <w:rFonts w:hint="eastAsia" w:ascii="宋体" w:hAnsi="宋体" w:eastAsia="宋体" w:cs="宋体"/>
          <w:b/>
          <w:bCs/>
          <w:color w:val="auto"/>
          <w:sz w:val="24"/>
          <w:szCs w:val="24"/>
        </w:rPr>
        <w:t>的修改</w:t>
      </w:r>
      <w:bookmarkEnd w:id="212"/>
    </w:p>
    <w:p w14:paraId="01228921">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2.3.1 在</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lang w:eastAsia="zh-CN"/>
        </w:rPr>
        <w:t>截止时间5天前，采购人可以修改竞争性磋商文件。如有修改，应在</w:t>
      </w:r>
      <w:r>
        <w:rPr>
          <w:rFonts w:hint="eastAsia" w:ascii="宋体" w:hAnsi="宋体" w:cs="宋体"/>
          <w:color w:val="auto"/>
          <w:sz w:val="24"/>
          <w:szCs w:val="24"/>
          <w:lang w:val="en-US" w:eastAsia="zh-CN"/>
        </w:rPr>
        <w:t>信阳市</w:t>
      </w:r>
      <w:r>
        <w:rPr>
          <w:rFonts w:hint="eastAsia" w:ascii="宋体" w:hAnsi="宋体" w:eastAsia="宋体" w:cs="宋体"/>
          <w:kern w:val="0"/>
          <w:sz w:val="24"/>
        </w:rPr>
        <w:t>公共资源交易系统</w:t>
      </w:r>
      <w:r>
        <w:rPr>
          <w:rFonts w:hint="eastAsia" w:ascii="宋体" w:hAnsi="宋体" w:eastAsia="宋体" w:cs="宋体"/>
          <w:color w:val="auto"/>
          <w:sz w:val="24"/>
          <w:szCs w:val="24"/>
          <w:lang w:eastAsia="zh-CN"/>
        </w:rPr>
        <w:t>“变更公告”或“答疑文件”将修改内容予以发布。如果修改的内容可能影响响应文件编制且发出的时间距</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lang w:eastAsia="zh-CN"/>
        </w:rPr>
        <w:t>截止时间不足5天，相应延长</w:t>
      </w:r>
      <w:r>
        <w:rPr>
          <w:rFonts w:hint="eastAsia" w:ascii="宋体" w:hAnsi="宋体" w:eastAsia="宋体" w:cs="宋体"/>
          <w:b w:val="0"/>
          <w:bCs w:val="0"/>
          <w:sz w:val="24"/>
          <w:szCs w:val="32"/>
          <w:lang w:val="en-US" w:eastAsia="zh-CN"/>
        </w:rPr>
        <w:t>提交响应文件</w:t>
      </w:r>
      <w:r>
        <w:rPr>
          <w:rFonts w:hint="eastAsia" w:ascii="宋体" w:hAnsi="宋体" w:eastAsia="宋体" w:cs="宋体"/>
          <w:color w:val="auto"/>
          <w:sz w:val="24"/>
          <w:szCs w:val="24"/>
          <w:lang w:eastAsia="zh-CN"/>
        </w:rPr>
        <w:t>截止时间。</w:t>
      </w:r>
    </w:p>
    <w:p w14:paraId="5D234ED9">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2.3.2当竞争性磋商文件的澄清、修改、补充等在同一内容的表述上不一致时，以最后在</w:t>
      </w:r>
      <w:r>
        <w:rPr>
          <w:rFonts w:hint="eastAsia" w:ascii="宋体" w:hAnsi="宋体" w:cs="宋体"/>
          <w:kern w:val="0"/>
          <w:sz w:val="24"/>
          <w:lang w:val="en-US" w:eastAsia="zh-CN"/>
        </w:rPr>
        <w:t>信阳市</w:t>
      </w:r>
      <w:r>
        <w:rPr>
          <w:rFonts w:hint="eastAsia" w:ascii="宋体" w:hAnsi="宋体" w:eastAsia="宋体" w:cs="宋体"/>
          <w:kern w:val="0"/>
          <w:sz w:val="24"/>
        </w:rPr>
        <w:t>公共资源交易系统</w:t>
      </w:r>
      <w:r>
        <w:rPr>
          <w:rFonts w:hint="eastAsia" w:ascii="宋体" w:hAnsi="宋体" w:eastAsia="宋体" w:cs="宋体"/>
          <w:color w:val="auto"/>
          <w:sz w:val="24"/>
          <w:szCs w:val="24"/>
          <w:lang w:eastAsia="zh-CN"/>
        </w:rPr>
        <w:t>发出的文件为准。</w:t>
      </w:r>
    </w:p>
    <w:p w14:paraId="0E0AC0F2">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2.3.3供应商应在响应文件递交截止时间前及时查看修改内容，因供应商未及时查看而造成的后果自负。</w:t>
      </w:r>
    </w:p>
    <w:p w14:paraId="4F1BA3C7">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bookmarkStart w:id="213" w:name="_Toc4666"/>
      <w:r>
        <w:rPr>
          <w:rFonts w:hint="eastAsia" w:ascii="宋体" w:hAnsi="宋体" w:eastAsia="宋体" w:cs="宋体"/>
          <w:b/>
          <w:bCs/>
          <w:color w:val="auto"/>
          <w:sz w:val="24"/>
          <w:szCs w:val="24"/>
        </w:rPr>
        <w:t>3. 响应文件</w:t>
      </w:r>
      <w:bookmarkEnd w:id="213"/>
    </w:p>
    <w:p w14:paraId="1F6B25A7">
      <w:pPr>
        <w:pStyle w:val="89"/>
        <w:pageBreakBefore w:val="0"/>
        <w:kinsoku/>
        <w:wordWrap/>
        <w:overflowPunct/>
        <w:topLinePunct w:val="0"/>
        <w:autoSpaceDE/>
        <w:autoSpaceDN/>
        <w:bidi w:val="0"/>
        <w:adjustRightInd/>
        <w:snapToGrid/>
        <w:spacing w:line="450" w:lineRule="exact"/>
        <w:textAlignment w:val="auto"/>
        <w:outlineLvl w:val="9"/>
        <w:rPr>
          <w:rFonts w:hint="eastAsia" w:ascii="宋体" w:hAnsi="宋体" w:eastAsia="宋体" w:cs="宋体"/>
          <w:b/>
          <w:bCs/>
          <w:color w:val="auto"/>
          <w:sz w:val="24"/>
          <w:szCs w:val="24"/>
        </w:rPr>
      </w:pPr>
      <w:bookmarkStart w:id="214" w:name="_Toc27373"/>
      <w:bookmarkStart w:id="215" w:name="_Toc24440"/>
      <w:bookmarkStart w:id="216" w:name="_Toc144974515"/>
      <w:bookmarkStart w:id="217" w:name="_Toc10096"/>
      <w:bookmarkStart w:id="218" w:name="_Toc15810"/>
      <w:bookmarkStart w:id="219" w:name="_Toc9273"/>
      <w:bookmarkStart w:id="220" w:name="_Toc490667844"/>
      <w:bookmarkStart w:id="221" w:name="_Toc318450691"/>
      <w:bookmarkStart w:id="222" w:name="_Toc16198"/>
      <w:bookmarkStart w:id="223" w:name="_Toc152045547"/>
      <w:bookmarkStart w:id="224" w:name="_Toc152042323"/>
      <w:r>
        <w:rPr>
          <w:rFonts w:hint="eastAsia" w:ascii="宋体" w:hAnsi="宋体" w:eastAsia="宋体" w:cs="宋体"/>
          <w:b/>
          <w:bCs/>
          <w:color w:val="auto"/>
          <w:sz w:val="24"/>
          <w:szCs w:val="24"/>
        </w:rPr>
        <w:t>3.1 响应文件的组成</w:t>
      </w:r>
      <w:bookmarkEnd w:id="214"/>
      <w:bookmarkEnd w:id="215"/>
      <w:bookmarkEnd w:id="216"/>
      <w:bookmarkEnd w:id="217"/>
      <w:bookmarkEnd w:id="218"/>
      <w:bookmarkEnd w:id="219"/>
      <w:bookmarkEnd w:id="220"/>
      <w:bookmarkEnd w:id="221"/>
      <w:bookmarkEnd w:id="222"/>
      <w:bookmarkEnd w:id="223"/>
      <w:bookmarkEnd w:id="224"/>
    </w:p>
    <w:p w14:paraId="42499E01">
      <w:pPr>
        <w:pageBreakBefore w:val="0"/>
        <w:widowControl/>
        <w:kinsoku/>
        <w:wordWrap/>
        <w:overflowPunct/>
        <w:topLinePunct w:val="0"/>
        <w:autoSpaceDE/>
        <w:autoSpaceDN/>
        <w:bidi w:val="0"/>
        <w:adjustRightInd/>
        <w:snapToGrid/>
        <w:spacing w:line="450" w:lineRule="exact"/>
        <w:ind w:left="0" w:leftChars="0" w:firstLine="480" w:firstLineChars="200"/>
        <w:jc w:val="left"/>
        <w:textAlignment w:val="auto"/>
        <w:rPr>
          <w:rFonts w:hint="eastAsia" w:ascii="宋体" w:hAnsi="宋体" w:eastAsia="宋体" w:cs="宋体"/>
          <w:color w:val="auto"/>
          <w:sz w:val="24"/>
          <w:szCs w:val="24"/>
        </w:rPr>
      </w:pPr>
      <w:bookmarkStart w:id="225" w:name="_Toc26291"/>
      <w:bookmarkStart w:id="226" w:name="_Toc899"/>
      <w:bookmarkStart w:id="227" w:name="_Toc144974516"/>
      <w:bookmarkStart w:id="228" w:name="_Toc279156232"/>
      <w:bookmarkStart w:id="229" w:name="_Toc318450692"/>
      <w:bookmarkStart w:id="230" w:name="_Toc152042324"/>
      <w:bookmarkStart w:id="231" w:name="_Toc152045548"/>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文件应包括下列内容</w:t>
      </w:r>
      <w:r>
        <w:rPr>
          <w:rFonts w:hint="eastAsia" w:ascii="宋体" w:hAnsi="宋体" w:eastAsia="宋体" w:cs="宋体"/>
          <w:b/>
          <w:bCs/>
          <w:color w:val="auto"/>
          <w:sz w:val="24"/>
          <w:szCs w:val="24"/>
        </w:rPr>
        <w:t>：</w:t>
      </w:r>
    </w:p>
    <w:p w14:paraId="7AE5710C">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1）</w:t>
      </w:r>
      <w:r>
        <w:rPr>
          <w:rFonts w:hint="eastAsia" w:ascii="宋体" w:hAnsi="宋体" w:eastAsia="宋体" w:cs="宋体"/>
          <w:bCs/>
          <w:color w:val="auto"/>
          <w:sz w:val="24"/>
          <w:szCs w:val="24"/>
          <w:lang w:eastAsia="zh-CN"/>
        </w:rPr>
        <w:t>响应函</w:t>
      </w:r>
      <w:r>
        <w:rPr>
          <w:rFonts w:hint="eastAsia" w:ascii="宋体" w:hAnsi="宋体" w:eastAsia="宋体" w:cs="宋体"/>
          <w:bCs/>
          <w:color w:val="auto"/>
          <w:sz w:val="24"/>
          <w:szCs w:val="24"/>
        </w:rPr>
        <w:t>及</w:t>
      </w:r>
      <w:r>
        <w:rPr>
          <w:rFonts w:hint="eastAsia" w:ascii="宋体" w:hAnsi="宋体" w:eastAsia="宋体" w:cs="宋体"/>
          <w:bCs/>
          <w:color w:val="auto"/>
          <w:sz w:val="24"/>
          <w:szCs w:val="24"/>
          <w:lang w:eastAsia="zh-CN"/>
        </w:rPr>
        <w:t>响应函附录</w:t>
      </w:r>
      <w:r>
        <w:rPr>
          <w:rFonts w:hint="eastAsia" w:ascii="宋体" w:hAnsi="宋体" w:eastAsia="宋体" w:cs="宋体"/>
          <w:bCs/>
          <w:color w:val="auto"/>
          <w:sz w:val="24"/>
          <w:szCs w:val="24"/>
        </w:rPr>
        <w:t xml:space="preserve"> </w:t>
      </w:r>
    </w:p>
    <w:p w14:paraId="347BEFF1">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法定代表人身份证明</w:t>
      </w:r>
    </w:p>
    <w:p w14:paraId="3E569BF2">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授权委托书</w:t>
      </w:r>
    </w:p>
    <w:p w14:paraId="4218BD84">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4）采购服务内容及要求偏离表</w:t>
      </w:r>
    </w:p>
    <w:p w14:paraId="5B79BF33">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default"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5）技术方案</w:t>
      </w:r>
    </w:p>
    <w:p w14:paraId="36A72A3B">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6）服务承诺</w:t>
      </w:r>
    </w:p>
    <w:p w14:paraId="2B3B0002">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7）</w:t>
      </w:r>
      <w:r>
        <w:rPr>
          <w:rFonts w:hint="eastAsia" w:ascii="宋体" w:hAnsi="宋体" w:eastAsia="宋体" w:cs="宋体"/>
          <w:bCs/>
          <w:color w:val="auto"/>
          <w:sz w:val="24"/>
          <w:szCs w:val="24"/>
        </w:rPr>
        <w:t>资格审查资料</w:t>
      </w:r>
    </w:p>
    <w:p w14:paraId="52F57DE5">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中小企业声明函</w:t>
      </w:r>
    </w:p>
    <w:p w14:paraId="4391A2E2">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9</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残疾人福利性单位声明函</w:t>
      </w:r>
    </w:p>
    <w:p w14:paraId="09EEC22B">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监狱企业证明文件</w:t>
      </w:r>
    </w:p>
    <w:p w14:paraId="090A2325">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11</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反商业贿赂承诺书</w:t>
      </w:r>
    </w:p>
    <w:p w14:paraId="23F0B3D4">
      <w:pPr>
        <w:pStyle w:val="31"/>
        <w:pageBreakBefore w:val="0"/>
        <w:kinsoku/>
        <w:wordWrap/>
        <w:overflowPunct/>
        <w:topLinePunct w:val="0"/>
        <w:autoSpaceDE/>
        <w:autoSpaceDN/>
        <w:bidi w:val="0"/>
        <w:adjustRightInd/>
        <w:snapToGrid/>
        <w:spacing w:after="0" w:afterLines="0" w:line="450" w:lineRule="exact"/>
        <w:ind w:left="0" w:leftChars="0"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12</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其他材料</w:t>
      </w:r>
    </w:p>
    <w:p w14:paraId="481B11BF">
      <w:pPr>
        <w:pStyle w:val="31"/>
        <w:pageBreakBefore w:val="0"/>
        <w:kinsoku/>
        <w:wordWrap/>
        <w:overflowPunct/>
        <w:topLinePunct w:val="0"/>
        <w:autoSpaceDE/>
        <w:autoSpaceDN/>
        <w:bidi w:val="0"/>
        <w:adjustRightInd/>
        <w:snapToGrid/>
        <w:spacing w:after="0" w:afterLines="0" w:line="450" w:lineRule="exact"/>
        <w:ind w:left="0" w:leftChars="0" w:firstLine="0" w:firstLine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3.2 磋商报价</w:t>
      </w:r>
      <w:bookmarkEnd w:id="225"/>
      <w:bookmarkEnd w:id="226"/>
      <w:bookmarkEnd w:id="227"/>
      <w:bookmarkEnd w:id="228"/>
      <w:bookmarkEnd w:id="229"/>
      <w:bookmarkEnd w:id="230"/>
      <w:bookmarkEnd w:id="231"/>
    </w:p>
    <w:p w14:paraId="23CDB17B">
      <w:pPr>
        <w:pageBreakBefore w:val="0"/>
        <w:tabs>
          <w:tab w:val="left" w:pos="0"/>
          <w:tab w:val="left" w:pos="1050"/>
        </w:tabs>
        <w:kinsoku/>
        <w:wordWrap/>
        <w:overflowPunct/>
        <w:topLinePunct w:val="0"/>
        <w:autoSpaceDE/>
        <w:autoSpaceDN/>
        <w:bidi w:val="0"/>
        <w:adjustRightInd/>
        <w:snapToGrid/>
        <w:spacing w:line="450" w:lineRule="exact"/>
        <w:ind w:firstLine="417" w:firstLineChars="174"/>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3.2.1本项目的磋商报价应</w:t>
      </w:r>
      <w:r>
        <w:rPr>
          <w:rFonts w:hint="eastAsia" w:ascii="宋体" w:hAnsi="宋体" w:eastAsia="宋体" w:cs="宋体"/>
          <w:color w:val="auto"/>
          <w:sz w:val="24"/>
          <w:szCs w:val="24"/>
          <w:lang w:eastAsia="zh-CN"/>
        </w:rPr>
        <w:t>包括</w:t>
      </w:r>
      <w:r>
        <w:rPr>
          <w:rFonts w:hint="eastAsia" w:ascii="宋体" w:hAnsi="宋体" w:eastAsia="宋体" w:cs="宋体"/>
          <w:color w:val="auto"/>
          <w:sz w:val="24"/>
          <w:szCs w:val="24"/>
          <w:lang w:val="en-US" w:eastAsia="zh-CN"/>
        </w:rPr>
        <w:t>完成采购全部内容的费用、相关税款等与采购项目相关</w:t>
      </w:r>
      <w:r>
        <w:rPr>
          <w:rFonts w:hint="eastAsia" w:ascii="宋体" w:hAnsi="宋体" w:cs="宋体"/>
          <w:color w:val="auto"/>
          <w:sz w:val="24"/>
          <w:szCs w:val="24"/>
          <w:lang w:val="en-US" w:eastAsia="zh-CN"/>
        </w:rPr>
        <w:t>必需的</w:t>
      </w:r>
      <w:r>
        <w:rPr>
          <w:rFonts w:hint="eastAsia" w:ascii="宋体" w:hAnsi="宋体" w:eastAsia="宋体" w:cs="宋体"/>
          <w:color w:val="auto"/>
          <w:sz w:val="24"/>
          <w:szCs w:val="24"/>
          <w:lang w:val="en-US" w:eastAsia="zh-CN"/>
        </w:rPr>
        <w:t>款项及一切不可预见的费用，采购人不接受任何选择价。</w:t>
      </w:r>
    </w:p>
    <w:p w14:paraId="678CE113">
      <w:pPr>
        <w:pageBreakBefore w:val="0"/>
        <w:tabs>
          <w:tab w:val="left" w:pos="0"/>
          <w:tab w:val="left" w:pos="1050"/>
        </w:tabs>
        <w:kinsoku/>
        <w:wordWrap/>
        <w:overflowPunct/>
        <w:topLinePunct w:val="0"/>
        <w:autoSpaceDE/>
        <w:autoSpaceDN/>
        <w:bidi w:val="0"/>
        <w:adjustRightInd/>
        <w:snapToGrid/>
        <w:spacing w:line="450" w:lineRule="exact"/>
        <w:ind w:firstLine="417" w:firstLineChars="174"/>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3.2.2供应商应充分了解该项目的总体情况以及影响磋商报价的</w:t>
      </w:r>
      <w:r>
        <w:rPr>
          <w:rFonts w:hint="eastAsia" w:ascii="宋体" w:hAnsi="宋体" w:eastAsia="宋体" w:cs="宋体"/>
          <w:color w:val="auto"/>
          <w:sz w:val="24"/>
          <w:szCs w:val="24"/>
          <w:lang w:val="en-US" w:eastAsia="zh-CN"/>
        </w:rPr>
        <w:t>其他</w:t>
      </w:r>
      <w:r>
        <w:rPr>
          <w:rFonts w:hint="eastAsia" w:ascii="宋体" w:hAnsi="宋体" w:eastAsia="宋体" w:cs="宋体"/>
          <w:color w:val="auto"/>
          <w:sz w:val="24"/>
          <w:szCs w:val="24"/>
        </w:rPr>
        <w:t>要素，考虑</w:t>
      </w:r>
      <w:r>
        <w:rPr>
          <w:rFonts w:hint="eastAsia" w:ascii="宋体" w:hAnsi="宋体" w:eastAsia="宋体" w:cs="宋体"/>
          <w:color w:val="auto"/>
          <w:sz w:val="24"/>
          <w:szCs w:val="24"/>
          <w:lang w:val="en-US" w:eastAsia="zh-CN"/>
        </w:rPr>
        <w:t>服务</w:t>
      </w:r>
      <w:r>
        <w:rPr>
          <w:rFonts w:hint="eastAsia" w:ascii="宋体" w:hAnsi="宋体" w:eastAsia="宋体" w:cs="宋体"/>
          <w:color w:val="auto"/>
          <w:sz w:val="24"/>
          <w:szCs w:val="24"/>
          <w:lang w:eastAsia="zh-CN"/>
        </w:rPr>
        <w:t>期间</w:t>
      </w:r>
      <w:r>
        <w:rPr>
          <w:rFonts w:hint="eastAsia" w:ascii="宋体" w:hAnsi="宋体" w:eastAsia="宋体" w:cs="宋体"/>
          <w:color w:val="auto"/>
          <w:sz w:val="24"/>
          <w:szCs w:val="24"/>
        </w:rPr>
        <w:t>的价格风险因素，成交价在合同实施期内不得调整，同时也不因市场价格变动而调整。</w:t>
      </w:r>
    </w:p>
    <w:p w14:paraId="1EA45E22">
      <w:pPr>
        <w:pageBreakBefore w:val="0"/>
        <w:tabs>
          <w:tab w:val="left" w:pos="0"/>
          <w:tab w:val="left" w:pos="1050"/>
        </w:tabs>
        <w:kinsoku/>
        <w:wordWrap/>
        <w:overflowPunct/>
        <w:topLinePunct w:val="0"/>
        <w:autoSpaceDE/>
        <w:autoSpaceDN/>
        <w:bidi w:val="0"/>
        <w:adjustRightInd/>
        <w:snapToGrid/>
        <w:spacing w:line="450" w:lineRule="exact"/>
        <w:ind w:firstLine="417" w:firstLineChars="174"/>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 响应报价表中的大写金额和小写金额不一致的，以大写金额为准。</w:t>
      </w:r>
    </w:p>
    <w:p w14:paraId="4BF11AF8">
      <w:pPr>
        <w:pageBreakBefore w:val="0"/>
        <w:tabs>
          <w:tab w:val="left" w:pos="0"/>
          <w:tab w:val="left" w:pos="1050"/>
        </w:tabs>
        <w:kinsoku/>
        <w:wordWrap/>
        <w:overflowPunct/>
        <w:topLinePunct w:val="0"/>
        <w:autoSpaceDE/>
        <w:autoSpaceDN/>
        <w:bidi w:val="0"/>
        <w:adjustRightInd/>
        <w:snapToGrid/>
        <w:spacing w:line="450" w:lineRule="exact"/>
        <w:ind w:firstLine="417" w:firstLineChars="174"/>
        <w:textAlignment w:val="auto"/>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rPr>
        <w:t>3.2.4供应商的报价明显低于其他通过符合性审查供应商的报价，有可能影响</w:t>
      </w:r>
      <w:r>
        <w:rPr>
          <w:rFonts w:hint="eastAsia" w:ascii="宋体" w:hAnsi="宋体" w:eastAsia="宋体" w:cs="宋体"/>
          <w:b w:val="0"/>
          <w:bCs w:val="0"/>
          <w:color w:val="auto"/>
          <w:sz w:val="24"/>
          <w:szCs w:val="24"/>
          <w:lang w:val="en-US" w:eastAsia="zh-CN"/>
        </w:rPr>
        <w:t>服务</w:t>
      </w:r>
      <w:r>
        <w:rPr>
          <w:rFonts w:hint="eastAsia" w:ascii="宋体" w:hAnsi="宋体" w:eastAsia="宋体" w:cs="宋体"/>
          <w:b w:val="0"/>
          <w:bCs w:val="0"/>
          <w:color w:val="auto"/>
          <w:sz w:val="24"/>
          <w:szCs w:val="24"/>
        </w:rPr>
        <w:t>质量或者不能诚信履约的，磋商</w:t>
      </w:r>
      <w:r>
        <w:rPr>
          <w:rFonts w:hint="eastAsia" w:ascii="宋体" w:hAnsi="宋体" w:eastAsia="宋体" w:cs="宋体"/>
          <w:b w:val="0"/>
          <w:bCs w:val="0"/>
          <w:color w:val="auto"/>
          <w:sz w:val="24"/>
          <w:szCs w:val="24"/>
          <w:lang w:val="en-US" w:eastAsia="zh-CN"/>
        </w:rPr>
        <w:t>小组</w:t>
      </w:r>
      <w:r>
        <w:rPr>
          <w:rFonts w:hint="eastAsia" w:ascii="宋体" w:hAnsi="宋体" w:eastAsia="宋体" w:cs="宋体"/>
          <w:b w:val="0"/>
          <w:bCs w:val="0"/>
          <w:color w:val="auto"/>
          <w:sz w:val="24"/>
          <w:szCs w:val="24"/>
        </w:rPr>
        <w:t>应当要求其在磋商现场</w:t>
      </w:r>
      <w:r>
        <w:rPr>
          <w:rFonts w:hint="eastAsia" w:ascii="宋体" w:hAnsi="宋体" w:eastAsia="宋体" w:cs="宋体"/>
          <w:b w:val="0"/>
          <w:bCs w:val="0"/>
          <w:color w:val="auto"/>
          <w:kern w:val="0"/>
          <w:sz w:val="24"/>
          <w:szCs w:val="24"/>
          <w:lang w:eastAsia="zh-CN"/>
        </w:rPr>
        <w:t>（或电子交易系统）</w:t>
      </w:r>
      <w:r>
        <w:rPr>
          <w:rFonts w:hint="eastAsia" w:ascii="宋体" w:hAnsi="宋体" w:eastAsia="宋体" w:cs="宋体"/>
          <w:b w:val="0"/>
          <w:bCs w:val="0"/>
          <w:color w:val="auto"/>
          <w:sz w:val="24"/>
          <w:szCs w:val="24"/>
        </w:rPr>
        <w:t>合理的时间内提供书面说明</w:t>
      </w:r>
      <w:r>
        <w:rPr>
          <w:rFonts w:hint="eastAsia" w:ascii="宋体" w:hAnsi="宋体" w:eastAsia="宋体" w:cs="宋体"/>
          <w:b w:val="0"/>
          <w:bCs w:val="0"/>
          <w:color w:val="auto"/>
          <w:kern w:val="0"/>
          <w:sz w:val="24"/>
          <w:szCs w:val="24"/>
          <w:lang w:eastAsia="zh-CN"/>
        </w:rPr>
        <w:t>（或电子澄清说明文件）</w:t>
      </w:r>
      <w:r>
        <w:rPr>
          <w:rFonts w:hint="eastAsia" w:ascii="宋体" w:hAnsi="宋体" w:eastAsia="宋体" w:cs="宋体"/>
          <w:b w:val="0"/>
          <w:bCs w:val="0"/>
          <w:color w:val="auto"/>
          <w:sz w:val="24"/>
          <w:szCs w:val="24"/>
        </w:rPr>
        <w:t>，必要时提交相关证明材料；供应商不能证明其报价合理性的，磋商</w:t>
      </w:r>
      <w:r>
        <w:rPr>
          <w:rFonts w:hint="eastAsia" w:ascii="宋体" w:hAnsi="宋体" w:eastAsia="宋体" w:cs="宋体"/>
          <w:b w:val="0"/>
          <w:bCs w:val="0"/>
          <w:color w:val="auto"/>
          <w:sz w:val="24"/>
          <w:szCs w:val="24"/>
          <w:lang w:val="en-US" w:eastAsia="zh-CN"/>
        </w:rPr>
        <w:t>小组</w:t>
      </w:r>
      <w:r>
        <w:rPr>
          <w:rFonts w:hint="eastAsia" w:ascii="宋体" w:hAnsi="宋体" w:eastAsia="宋体" w:cs="宋体"/>
          <w:b w:val="0"/>
          <w:bCs w:val="0"/>
          <w:color w:val="auto"/>
          <w:sz w:val="24"/>
          <w:szCs w:val="24"/>
        </w:rPr>
        <w:t xml:space="preserve">应当将其作为无效投标处理。 </w:t>
      </w:r>
      <w:r>
        <w:rPr>
          <w:rFonts w:hint="eastAsia" w:ascii="宋体" w:hAnsi="宋体" w:eastAsia="宋体" w:cs="宋体"/>
          <w:b/>
          <w:bCs/>
          <w:color w:val="auto"/>
          <w:sz w:val="24"/>
          <w:szCs w:val="24"/>
        </w:rPr>
        <w:t xml:space="preserve"> </w:t>
      </w:r>
    </w:p>
    <w:p w14:paraId="59B80E52">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color w:val="auto"/>
          <w:sz w:val="24"/>
          <w:szCs w:val="24"/>
          <w:lang w:val="zh-CN"/>
        </w:rPr>
      </w:pPr>
      <w:r>
        <w:rPr>
          <w:rFonts w:hint="eastAsia" w:ascii="宋体" w:hAnsi="宋体" w:eastAsia="宋体" w:cs="宋体"/>
          <w:b/>
          <w:bCs/>
          <w:color w:val="auto"/>
          <w:sz w:val="24"/>
          <w:szCs w:val="24"/>
          <w:lang w:val="en-US" w:eastAsia="zh-CN"/>
        </w:rPr>
        <w:t>3.2.5</w:t>
      </w:r>
      <w:r>
        <w:rPr>
          <w:rFonts w:hint="eastAsia" w:ascii="宋体" w:hAnsi="宋体" w:eastAsia="宋体" w:cs="宋体"/>
          <w:b/>
          <w:bCs/>
          <w:color w:val="auto"/>
          <w:sz w:val="24"/>
          <w:szCs w:val="24"/>
        </w:rPr>
        <w:t xml:space="preserve"> </w:t>
      </w:r>
      <w:r>
        <w:rPr>
          <w:rFonts w:hint="eastAsia" w:ascii="宋体" w:hAnsi="宋体" w:eastAsia="宋体" w:cs="宋体"/>
          <w:b/>
          <w:bCs/>
          <w:color w:val="auto"/>
          <w:sz w:val="24"/>
          <w:szCs w:val="24"/>
          <w:lang w:val="zh-CN"/>
        </w:rPr>
        <w:t>小型微型企业认定及</w:t>
      </w:r>
      <w:r>
        <w:rPr>
          <w:rFonts w:hint="eastAsia" w:ascii="宋体" w:hAnsi="宋体" w:eastAsia="宋体" w:cs="宋体"/>
          <w:b/>
          <w:bCs/>
          <w:color w:val="auto"/>
          <w:sz w:val="24"/>
          <w:szCs w:val="24"/>
          <w:lang w:val="en-US" w:eastAsia="zh-CN"/>
        </w:rPr>
        <w:t>评审</w:t>
      </w:r>
      <w:r>
        <w:rPr>
          <w:rFonts w:hint="eastAsia" w:ascii="宋体" w:hAnsi="宋体" w:eastAsia="宋体" w:cs="宋体"/>
          <w:b/>
          <w:bCs/>
          <w:color w:val="auto"/>
          <w:sz w:val="24"/>
          <w:szCs w:val="24"/>
          <w:lang w:val="zh-CN"/>
        </w:rPr>
        <w:t>价格评审（</w:t>
      </w:r>
      <w:r>
        <w:rPr>
          <w:rFonts w:hint="eastAsia" w:ascii="宋体" w:hAnsi="宋体" w:eastAsia="宋体" w:cs="宋体"/>
          <w:b/>
          <w:bCs/>
          <w:color w:val="auto"/>
          <w:sz w:val="24"/>
          <w:szCs w:val="24"/>
          <w:lang w:val="en-US" w:eastAsia="zh-CN"/>
        </w:rPr>
        <w:t>本项目非专门面向中小企业，适用</w:t>
      </w:r>
      <w:r>
        <w:rPr>
          <w:rFonts w:hint="eastAsia" w:ascii="宋体" w:hAnsi="宋体" w:eastAsia="宋体" w:cs="宋体"/>
          <w:b/>
          <w:bCs/>
          <w:color w:val="auto"/>
          <w:sz w:val="24"/>
          <w:szCs w:val="24"/>
          <w:lang w:val="zh-CN"/>
        </w:rPr>
        <w:t>）</w:t>
      </w:r>
    </w:p>
    <w:tbl>
      <w:tblPr>
        <w:tblStyle w:val="33"/>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61"/>
        <w:gridCol w:w="1492"/>
        <w:gridCol w:w="2273"/>
        <w:gridCol w:w="2094"/>
      </w:tblGrid>
      <w:tr w14:paraId="7C83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91" w:type="dxa"/>
            <w:noWrap w:val="0"/>
            <w:vAlign w:val="center"/>
          </w:tcPr>
          <w:p w14:paraId="51EC02D1">
            <w:pPr>
              <w:pageBreakBefore w:val="0"/>
              <w:kinsoku/>
              <w:wordWrap/>
              <w:overflowPunct/>
              <w:topLinePunct w:val="0"/>
              <w:autoSpaceDE/>
              <w:autoSpaceDN/>
              <w:bidi w:val="0"/>
              <w:adjustRightInd/>
              <w:snapToGrid/>
              <w:spacing w:line="450" w:lineRule="exact"/>
              <w:ind w:left="0" w:leftChars="0" w:firstLine="480" w:firstLineChars="200"/>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内容</w:t>
            </w:r>
          </w:p>
        </w:tc>
        <w:tc>
          <w:tcPr>
            <w:tcW w:w="1561" w:type="dxa"/>
            <w:noWrap w:val="0"/>
            <w:vAlign w:val="center"/>
          </w:tcPr>
          <w:p w14:paraId="6C797EEC">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大型企业</w:t>
            </w:r>
          </w:p>
        </w:tc>
        <w:tc>
          <w:tcPr>
            <w:tcW w:w="1492" w:type="dxa"/>
            <w:noWrap w:val="0"/>
            <w:vAlign w:val="center"/>
          </w:tcPr>
          <w:p w14:paraId="1D5D27A7">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中型企业</w:t>
            </w:r>
          </w:p>
        </w:tc>
        <w:tc>
          <w:tcPr>
            <w:tcW w:w="2273" w:type="dxa"/>
            <w:noWrap w:val="0"/>
            <w:vAlign w:val="center"/>
          </w:tcPr>
          <w:p w14:paraId="34EB6217">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小型企业</w:t>
            </w:r>
          </w:p>
        </w:tc>
        <w:tc>
          <w:tcPr>
            <w:tcW w:w="2094" w:type="dxa"/>
            <w:noWrap w:val="0"/>
            <w:vAlign w:val="center"/>
          </w:tcPr>
          <w:p w14:paraId="1D1A981D">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lang w:val="zh-CN"/>
              </w:rPr>
            </w:pPr>
            <w:r>
              <w:rPr>
                <w:rFonts w:hint="eastAsia" w:ascii="宋体" w:hAnsi="宋体" w:eastAsia="宋体" w:cs="宋体"/>
                <w:color w:val="auto"/>
                <w:sz w:val="24"/>
                <w:szCs w:val="24"/>
                <w:lang w:val="zh-CN"/>
              </w:rPr>
              <w:t>微型企业</w:t>
            </w:r>
          </w:p>
        </w:tc>
      </w:tr>
      <w:tr w14:paraId="5E17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591" w:type="dxa"/>
            <w:noWrap w:val="0"/>
            <w:vAlign w:val="center"/>
          </w:tcPr>
          <w:p w14:paraId="3C085807">
            <w:pPr>
              <w:pageBreakBefore w:val="0"/>
              <w:kinsoku/>
              <w:wordWrap/>
              <w:overflowPunct/>
              <w:topLinePunct w:val="0"/>
              <w:autoSpaceDE/>
              <w:autoSpaceDN/>
              <w:bidi w:val="0"/>
              <w:adjustRightInd/>
              <w:snapToGrid/>
              <w:spacing w:line="450" w:lineRule="exact"/>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lang w:val="zh-CN"/>
              </w:rPr>
              <w:t>价格=</w:t>
            </w:r>
          </w:p>
        </w:tc>
        <w:tc>
          <w:tcPr>
            <w:tcW w:w="1561" w:type="dxa"/>
            <w:noWrap w:val="0"/>
            <w:vAlign w:val="center"/>
          </w:tcPr>
          <w:p w14:paraId="1D385764">
            <w:pPr>
              <w:pageBreakBefore w:val="0"/>
              <w:kinsoku/>
              <w:wordWrap/>
              <w:overflowPunct/>
              <w:topLinePunct w:val="0"/>
              <w:autoSpaceDE/>
              <w:autoSpaceDN/>
              <w:bidi w:val="0"/>
              <w:adjustRightInd/>
              <w:snapToGrid/>
              <w:spacing w:line="450" w:lineRule="exact"/>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lang w:val="zh-CN"/>
              </w:rPr>
              <w:t>报价</w:t>
            </w:r>
          </w:p>
        </w:tc>
        <w:tc>
          <w:tcPr>
            <w:tcW w:w="1492" w:type="dxa"/>
            <w:noWrap w:val="0"/>
            <w:vAlign w:val="center"/>
          </w:tcPr>
          <w:p w14:paraId="26B6DE59">
            <w:pPr>
              <w:pageBreakBefore w:val="0"/>
              <w:kinsoku/>
              <w:wordWrap/>
              <w:overflowPunct/>
              <w:topLinePunct w:val="0"/>
              <w:autoSpaceDE/>
              <w:autoSpaceDN/>
              <w:bidi w:val="0"/>
              <w:adjustRightInd/>
              <w:snapToGrid/>
              <w:spacing w:line="450" w:lineRule="exact"/>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lang w:val="zh-CN"/>
              </w:rPr>
              <w:t>报价</w:t>
            </w:r>
          </w:p>
        </w:tc>
        <w:tc>
          <w:tcPr>
            <w:tcW w:w="2273" w:type="dxa"/>
            <w:noWrap w:val="0"/>
            <w:vAlign w:val="center"/>
          </w:tcPr>
          <w:p w14:paraId="07B2DFBB">
            <w:pPr>
              <w:pageBreakBefore w:val="0"/>
              <w:kinsoku/>
              <w:wordWrap/>
              <w:overflowPunct/>
              <w:topLinePunct w:val="0"/>
              <w:autoSpaceDE/>
              <w:autoSpaceDN/>
              <w:bidi w:val="0"/>
              <w:adjustRightInd/>
              <w:snapToGrid/>
              <w:spacing w:line="450" w:lineRule="exact"/>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lang w:val="zh-CN"/>
              </w:rPr>
              <w:t>报价×（1-</w:t>
            </w:r>
            <w:r>
              <w:rPr>
                <w:rFonts w:hint="eastAsia" w:ascii="宋体" w:hAnsi="宋体" w:eastAsia="宋体" w:cs="宋体"/>
                <w:color w:val="auto"/>
                <w:sz w:val="24"/>
                <w:lang w:val="en-US" w:eastAsia="zh-CN"/>
              </w:rPr>
              <w:t>20</w:t>
            </w:r>
            <w:r>
              <w:rPr>
                <w:rFonts w:hint="eastAsia" w:ascii="宋体" w:hAnsi="宋体" w:eastAsia="宋体" w:cs="宋体"/>
                <w:color w:val="auto"/>
                <w:sz w:val="24"/>
                <w:lang w:val="zh-CN"/>
              </w:rPr>
              <w:t>%）</w:t>
            </w:r>
          </w:p>
        </w:tc>
        <w:tc>
          <w:tcPr>
            <w:tcW w:w="2094" w:type="dxa"/>
            <w:noWrap w:val="0"/>
            <w:vAlign w:val="center"/>
          </w:tcPr>
          <w:p w14:paraId="470A84A6">
            <w:pPr>
              <w:pageBreakBefore w:val="0"/>
              <w:kinsoku/>
              <w:wordWrap/>
              <w:overflowPunct/>
              <w:topLinePunct w:val="0"/>
              <w:autoSpaceDE/>
              <w:autoSpaceDN/>
              <w:bidi w:val="0"/>
              <w:adjustRightInd/>
              <w:snapToGrid/>
              <w:spacing w:line="450" w:lineRule="exact"/>
              <w:jc w:val="center"/>
              <w:textAlignment w:val="auto"/>
              <w:rPr>
                <w:rFonts w:hint="eastAsia" w:ascii="宋体" w:hAnsi="宋体" w:eastAsia="宋体" w:cs="宋体"/>
                <w:color w:val="auto"/>
                <w:sz w:val="24"/>
                <w:szCs w:val="24"/>
                <w:lang w:val="zh-CN"/>
              </w:rPr>
            </w:pPr>
            <w:r>
              <w:rPr>
                <w:rFonts w:hint="eastAsia" w:ascii="宋体" w:hAnsi="宋体" w:eastAsia="宋体" w:cs="宋体"/>
                <w:color w:val="auto"/>
                <w:sz w:val="24"/>
                <w:lang w:val="zh-CN"/>
              </w:rPr>
              <w:t>报价×（1-</w:t>
            </w:r>
            <w:r>
              <w:rPr>
                <w:rFonts w:hint="eastAsia" w:ascii="宋体" w:hAnsi="宋体" w:eastAsia="宋体" w:cs="宋体"/>
                <w:color w:val="auto"/>
                <w:sz w:val="24"/>
                <w:lang w:val="en-US" w:eastAsia="zh-CN"/>
              </w:rPr>
              <w:t>20</w:t>
            </w:r>
            <w:r>
              <w:rPr>
                <w:rFonts w:hint="eastAsia" w:ascii="宋体" w:hAnsi="宋体" w:eastAsia="宋体" w:cs="宋体"/>
                <w:color w:val="auto"/>
                <w:sz w:val="24"/>
                <w:lang w:val="zh-CN"/>
              </w:rPr>
              <w:t>%）</w:t>
            </w:r>
          </w:p>
        </w:tc>
      </w:tr>
    </w:tbl>
    <w:p w14:paraId="5BBC4FFD">
      <w:pPr>
        <w:pageBreakBefore w:val="0"/>
        <w:kinsoku/>
        <w:wordWrap/>
        <w:overflowPunct/>
        <w:topLinePunct w:val="0"/>
        <w:autoSpaceDE/>
        <w:autoSpaceDN/>
        <w:bidi w:val="0"/>
        <w:adjustRightInd/>
        <w:snapToGrid/>
        <w:spacing w:line="450" w:lineRule="exact"/>
        <w:ind w:left="0" w:lef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rPr>
        <w:t>根据《政府采购促进中小企业发展管理办法》（财库[20</w:t>
      </w:r>
      <w:r>
        <w:rPr>
          <w:rFonts w:hint="eastAsia" w:ascii="宋体" w:hAnsi="宋体" w:eastAsia="宋体" w:cs="宋体"/>
          <w:color w:val="auto"/>
          <w:sz w:val="24"/>
          <w:szCs w:val="24"/>
        </w:rPr>
        <w:t>20</w:t>
      </w:r>
      <w:r>
        <w:rPr>
          <w:rFonts w:hint="eastAsia" w:ascii="宋体" w:hAnsi="宋体" w:eastAsia="宋体" w:cs="宋体"/>
          <w:color w:val="auto"/>
          <w:sz w:val="24"/>
          <w:szCs w:val="24"/>
          <w:lang w:val="zh-CN"/>
        </w:rPr>
        <w:t>]</w:t>
      </w:r>
      <w:r>
        <w:rPr>
          <w:rFonts w:hint="eastAsia" w:ascii="宋体" w:hAnsi="宋体" w:eastAsia="宋体" w:cs="宋体"/>
          <w:color w:val="auto"/>
          <w:sz w:val="24"/>
          <w:szCs w:val="24"/>
        </w:rPr>
        <w:t>46</w:t>
      </w:r>
      <w:r>
        <w:rPr>
          <w:rFonts w:hint="eastAsia" w:ascii="宋体" w:hAnsi="宋体" w:eastAsia="宋体" w:cs="宋体"/>
          <w:color w:val="auto"/>
          <w:sz w:val="24"/>
          <w:szCs w:val="24"/>
          <w:lang w:val="zh-CN"/>
        </w:rPr>
        <w:t>号）的规定、《工业和信息化部、国家统计局、国家发展和改革委员会、财政部关于印发中小企业划型标准规定的通知》（工信部联企业[</w:t>
      </w:r>
      <w:r>
        <w:rPr>
          <w:rFonts w:hint="eastAsia" w:ascii="宋体" w:hAnsi="宋体" w:eastAsia="宋体" w:cs="宋体"/>
          <w:color w:val="auto"/>
          <w:sz w:val="24"/>
          <w:szCs w:val="24"/>
        </w:rPr>
        <w:t>20</w:t>
      </w:r>
      <w:r>
        <w:rPr>
          <w:rFonts w:hint="eastAsia" w:ascii="宋体" w:hAnsi="宋体" w:eastAsia="宋体" w:cs="宋体"/>
          <w:color w:val="auto"/>
          <w:sz w:val="24"/>
          <w:szCs w:val="24"/>
          <w:lang w:val="zh-CN"/>
        </w:rPr>
        <w:t>11]300号）、</w:t>
      </w:r>
      <w:r>
        <w:rPr>
          <w:rFonts w:hint="eastAsia" w:ascii="宋体" w:hAnsi="宋体" w:eastAsia="宋体" w:cs="宋体"/>
          <w:b w:val="0"/>
          <w:bCs w:val="0"/>
          <w:i w:val="0"/>
          <w:iCs w:val="0"/>
          <w:caps w:val="0"/>
          <w:color w:val="auto"/>
          <w:spacing w:val="0"/>
          <w:sz w:val="24"/>
          <w:szCs w:val="24"/>
          <w:shd w:val="clear" w:color="auto" w:fill="FFFFFF"/>
          <w:lang w:eastAsia="zh-CN"/>
        </w:rPr>
        <w:t>财政部《</w:t>
      </w:r>
      <w:r>
        <w:rPr>
          <w:rFonts w:hint="eastAsia" w:ascii="宋体" w:hAnsi="宋体" w:eastAsia="宋体" w:cs="宋体"/>
          <w:b w:val="0"/>
          <w:bCs w:val="0"/>
          <w:i w:val="0"/>
          <w:iCs w:val="0"/>
          <w:caps w:val="0"/>
          <w:color w:val="auto"/>
          <w:spacing w:val="0"/>
          <w:sz w:val="24"/>
          <w:szCs w:val="24"/>
          <w:shd w:val="clear" w:color="auto" w:fill="FFFFFF"/>
        </w:rPr>
        <w:t>关于进一步加大政府采购支持中小企业力度的通知</w:t>
      </w:r>
      <w:r>
        <w:rPr>
          <w:rFonts w:hint="eastAsia" w:ascii="宋体" w:hAnsi="宋体" w:eastAsia="宋体" w:cs="宋体"/>
          <w:b w:val="0"/>
          <w:bCs w:val="0"/>
          <w:i w:val="0"/>
          <w:iCs w:val="0"/>
          <w:caps w:val="0"/>
          <w:color w:val="auto"/>
          <w:spacing w:val="0"/>
          <w:sz w:val="24"/>
          <w:szCs w:val="24"/>
          <w:shd w:val="clear" w:color="auto" w:fill="FFFFFF"/>
          <w:lang w:eastAsia="zh-CN"/>
        </w:rPr>
        <w:t>》</w:t>
      </w:r>
      <w:r>
        <w:rPr>
          <w:rFonts w:hint="eastAsia" w:ascii="宋体" w:hAnsi="宋体" w:eastAsia="宋体" w:cs="宋体"/>
          <w:b w:val="0"/>
          <w:bCs w:val="0"/>
          <w:i w:val="0"/>
          <w:iCs w:val="0"/>
          <w:caps w:val="0"/>
          <w:color w:val="auto"/>
          <w:spacing w:val="0"/>
          <w:sz w:val="24"/>
          <w:szCs w:val="24"/>
          <w:shd w:val="clear" w:color="auto" w:fill="FFFFFF"/>
        </w:rPr>
        <w:t>（财库〔202</w:t>
      </w:r>
      <w:r>
        <w:rPr>
          <w:rFonts w:hint="eastAsia" w:ascii="宋体" w:hAnsi="宋体" w:eastAsia="宋体" w:cs="宋体"/>
          <w:b w:val="0"/>
          <w:bCs w:val="0"/>
          <w:i w:val="0"/>
          <w:iCs w:val="0"/>
          <w:caps w:val="0"/>
          <w:color w:val="auto"/>
          <w:spacing w:val="0"/>
          <w:sz w:val="24"/>
          <w:szCs w:val="24"/>
          <w:shd w:val="clear" w:color="auto" w:fill="FFFFFF"/>
          <w:lang w:val="en-US" w:eastAsia="zh-CN"/>
        </w:rPr>
        <w:t>2</w:t>
      </w:r>
      <w:r>
        <w:rPr>
          <w:rFonts w:hint="eastAsia" w:ascii="宋体" w:hAnsi="宋体" w:eastAsia="宋体" w:cs="宋体"/>
          <w:b w:val="0"/>
          <w:bCs w:val="0"/>
          <w:i w:val="0"/>
          <w:iCs w:val="0"/>
          <w:caps w:val="0"/>
          <w:color w:val="auto"/>
          <w:spacing w:val="0"/>
          <w:sz w:val="24"/>
          <w:szCs w:val="24"/>
          <w:shd w:val="clear" w:color="auto" w:fill="FFFFFF"/>
        </w:rPr>
        <w:t>〕</w:t>
      </w:r>
      <w:r>
        <w:rPr>
          <w:rFonts w:hint="eastAsia" w:ascii="宋体" w:hAnsi="宋体" w:eastAsia="宋体" w:cs="宋体"/>
          <w:b w:val="0"/>
          <w:bCs w:val="0"/>
          <w:i w:val="0"/>
          <w:iCs w:val="0"/>
          <w:caps w:val="0"/>
          <w:color w:val="auto"/>
          <w:spacing w:val="0"/>
          <w:sz w:val="24"/>
          <w:szCs w:val="24"/>
          <w:shd w:val="clear" w:color="auto" w:fill="FFFFFF"/>
          <w:lang w:val="en-US" w:eastAsia="zh-CN"/>
        </w:rPr>
        <w:t>19</w:t>
      </w:r>
      <w:r>
        <w:rPr>
          <w:rFonts w:hint="eastAsia" w:ascii="宋体" w:hAnsi="宋体" w:eastAsia="宋体" w:cs="宋体"/>
          <w:b w:val="0"/>
          <w:bCs w:val="0"/>
          <w:i w:val="0"/>
          <w:iCs w:val="0"/>
          <w:caps w:val="0"/>
          <w:color w:val="auto"/>
          <w:spacing w:val="0"/>
          <w:sz w:val="24"/>
          <w:szCs w:val="24"/>
          <w:shd w:val="clear" w:color="auto" w:fill="FFFFFF"/>
        </w:rPr>
        <w:t>号）</w:t>
      </w:r>
      <w:r>
        <w:rPr>
          <w:rFonts w:hint="eastAsia" w:ascii="宋体" w:hAnsi="宋体" w:eastAsia="宋体" w:cs="宋体"/>
          <w:color w:val="auto"/>
          <w:sz w:val="24"/>
          <w:szCs w:val="24"/>
          <w:lang w:val="zh-CN"/>
        </w:rPr>
        <w:t>，对</w:t>
      </w:r>
      <w:r>
        <w:rPr>
          <w:rFonts w:hint="eastAsia" w:ascii="宋体" w:hAnsi="宋体" w:eastAsia="宋体" w:cs="宋体"/>
          <w:color w:val="auto"/>
          <w:sz w:val="24"/>
          <w:szCs w:val="24"/>
          <w:lang w:val="en-US" w:eastAsia="zh-CN"/>
        </w:rPr>
        <w:t>服务</w:t>
      </w:r>
      <w:r>
        <w:rPr>
          <w:rFonts w:hint="eastAsia" w:ascii="宋体" w:hAnsi="宋体" w:eastAsia="宋体" w:cs="宋体"/>
          <w:color w:val="auto"/>
          <w:sz w:val="24"/>
          <w:szCs w:val="24"/>
          <w:lang w:val="zh-CN"/>
        </w:rPr>
        <w:t>采购项目，对小型和微型企业的价格给予</w:t>
      </w:r>
      <w:r>
        <w:rPr>
          <w:rFonts w:hint="eastAsia" w:ascii="宋体" w:hAnsi="宋体" w:eastAsia="宋体" w:cs="宋体"/>
          <w:color w:val="auto"/>
          <w:sz w:val="24"/>
          <w:szCs w:val="24"/>
          <w:lang w:val="en-US" w:eastAsia="zh-CN"/>
        </w:rPr>
        <w:t>20%</w:t>
      </w:r>
      <w:r>
        <w:rPr>
          <w:rFonts w:hint="eastAsia" w:ascii="宋体" w:hAnsi="宋体" w:eastAsia="宋体" w:cs="宋体"/>
          <w:color w:val="auto"/>
          <w:sz w:val="24"/>
          <w:szCs w:val="24"/>
          <w:lang w:val="zh-CN"/>
        </w:rPr>
        <w:t>的扣除，用扣除后的价格参与评审。</w:t>
      </w:r>
      <w:r>
        <w:rPr>
          <w:rFonts w:hint="eastAsia" w:ascii="宋体" w:hAnsi="宋体" w:eastAsia="宋体" w:cs="宋体"/>
          <w:i w:val="0"/>
          <w:iCs w:val="0"/>
          <w:caps w:val="0"/>
          <w:color w:val="auto"/>
          <w:spacing w:val="0"/>
          <w:sz w:val="24"/>
          <w:szCs w:val="24"/>
          <w:shd w:val="clear" w:color="auto" w:fill="FFFFFF"/>
        </w:rPr>
        <w:t>大中型企业与小微企业组成联合体</w:t>
      </w:r>
      <w:r>
        <w:rPr>
          <w:rFonts w:hint="eastAsia" w:ascii="宋体" w:hAnsi="宋体" w:eastAsia="宋体" w:cs="宋体"/>
          <w:i w:val="0"/>
          <w:iCs w:val="0"/>
          <w:caps w:val="0"/>
          <w:color w:val="auto"/>
          <w:spacing w:val="0"/>
          <w:sz w:val="24"/>
          <w:szCs w:val="24"/>
          <w:shd w:val="clear" w:color="auto" w:fill="FFFFFF"/>
          <w:lang w:eastAsia="zh-CN"/>
        </w:rPr>
        <w:t>，</w:t>
      </w:r>
      <w:r>
        <w:rPr>
          <w:rFonts w:hint="eastAsia" w:ascii="宋体" w:hAnsi="宋体" w:eastAsia="宋体" w:cs="宋体"/>
          <w:color w:val="auto"/>
          <w:sz w:val="24"/>
          <w:szCs w:val="24"/>
          <w:lang w:val="zh-CN"/>
        </w:rPr>
        <w:t>给予</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val="zh-CN"/>
        </w:rPr>
        <w:t>的扣除。</w:t>
      </w:r>
      <w:r>
        <w:rPr>
          <w:rFonts w:hint="eastAsia" w:ascii="宋体" w:hAnsi="宋体" w:eastAsia="宋体" w:cs="宋体"/>
          <w:color w:val="auto"/>
          <w:sz w:val="24"/>
          <w:szCs w:val="24"/>
          <w:lang w:val="zh-CN" w:eastAsia="zh-CN"/>
        </w:rPr>
        <w:t>对于中型企业的价格不予扣除。</w:t>
      </w:r>
    </w:p>
    <w:p w14:paraId="2EE7D9C8">
      <w:pPr>
        <w:pageBreakBefore w:val="0"/>
        <w:kinsoku/>
        <w:wordWrap/>
        <w:overflowPunct/>
        <w:topLinePunct w:val="0"/>
        <w:autoSpaceDE/>
        <w:autoSpaceDN/>
        <w:bidi w:val="0"/>
        <w:adjustRightInd/>
        <w:snapToGrid/>
        <w:spacing w:line="45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必须提供由省级以上监狱管理局、戒毒管理局（含新疆生产建设兵团）出具的属于监狱企业的证明文件，否则评审时不予价格扣除优惠。</w:t>
      </w:r>
    </w:p>
    <w:p w14:paraId="33B3BE67">
      <w:pPr>
        <w:pageBreakBefore w:val="0"/>
        <w:kinsoku/>
        <w:wordWrap/>
        <w:overflowPunct/>
        <w:topLinePunct w:val="0"/>
        <w:autoSpaceDE/>
        <w:autoSpaceDN/>
        <w:bidi w:val="0"/>
        <w:adjustRightInd/>
        <w:snapToGrid/>
        <w:spacing w:line="45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根据财库(2017)141号文件规定</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在政府</w:t>
      </w:r>
      <w:r>
        <w:rPr>
          <w:rFonts w:hint="eastAsia" w:ascii="宋体" w:hAnsi="宋体" w:eastAsia="宋体" w:cs="宋体"/>
          <w:color w:val="auto"/>
          <w:sz w:val="24"/>
          <w:szCs w:val="24"/>
          <w:lang w:eastAsia="zh-CN"/>
        </w:rPr>
        <w:t>采购</w:t>
      </w:r>
      <w:r>
        <w:rPr>
          <w:rFonts w:hint="eastAsia" w:ascii="宋体" w:hAnsi="宋体" w:eastAsia="宋体" w:cs="宋体"/>
          <w:color w:val="auto"/>
          <w:sz w:val="24"/>
          <w:szCs w:val="24"/>
        </w:rPr>
        <w:t>活动中</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残疾人福利性单位视同小型、微型企业</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享受预留份额、评审中价格扣除等促进中小企业发展的政府采购政策。残疾人福利性单位属于小型、微型企业的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不重复享受政策。符合条件的残疾人福利性单位在参加政府采购活动时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应当提供《残疾人福利性单位声明函》(见</w:t>
      </w:r>
      <w:r>
        <w:rPr>
          <w:rFonts w:hint="eastAsia" w:ascii="宋体" w:hAnsi="宋体" w:eastAsia="宋体" w:cs="宋体"/>
          <w:b w:val="0"/>
          <w:bCs w:val="0"/>
          <w:color w:val="auto"/>
          <w:sz w:val="24"/>
          <w:szCs w:val="24"/>
        </w:rPr>
        <w:t>第六章“</w:t>
      </w:r>
      <w:r>
        <w:rPr>
          <w:rFonts w:hint="eastAsia" w:ascii="宋体" w:hAnsi="宋体" w:eastAsia="宋体" w:cs="宋体"/>
          <w:b w:val="0"/>
          <w:bCs w:val="0"/>
          <w:color w:val="auto"/>
          <w:sz w:val="24"/>
          <w:szCs w:val="24"/>
          <w:lang w:val="en-US" w:eastAsia="zh-CN"/>
        </w:rPr>
        <w:t>竞争性磋商</w:t>
      </w:r>
      <w:r>
        <w:rPr>
          <w:rFonts w:hint="eastAsia" w:ascii="宋体" w:hAnsi="宋体" w:eastAsia="宋体" w:cs="宋体"/>
          <w:b w:val="0"/>
          <w:bCs w:val="0"/>
          <w:color w:val="auto"/>
          <w:sz w:val="24"/>
          <w:szCs w:val="24"/>
        </w:rPr>
        <w:t>响应文件格式”</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并对声明的真实性负责。</w:t>
      </w:r>
    </w:p>
    <w:p w14:paraId="33A0D91A">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 xml:space="preserve"> 磋商有效期</w:t>
      </w:r>
    </w:p>
    <w:p w14:paraId="250CD07F">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.1 在供应商须知前附表规定的磋商有效期内，供应商不得要求撤销或修改其响应文件。</w:t>
      </w:r>
    </w:p>
    <w:p w14:paraId="15DB1C0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.2出现特殊情况需要延长磋商有效期的，采购人以书面形式通知所有供应商延长磋商有效期。供应商同意延长的，但不得要求或被允许修改或撤销其响应文件；供应商拒绝延长的，其响应文件失效。 </w:t>
      </w:r>
      <w:bookmarkStart w:id="232" w:name="_Toc8406"/>
      <w:bookmarkStart w:id="233" w:name="_Toc490667847"/>
      <w:bookmarkStart w:id="234" w:name="_Toc7973"/>
      <w:bookmarkStart w:id="235" w:name="_Toc466298110"/>
      <w:bookmarkStart w:id="236" w:name="_Toc455080127"/>
      <w:bookmarkStart w:id="237" w:name="_Toc144974518"/>
      <w:bookmarkStart w:id="238" w:name="_Toc7057"/>
      <w:bookmarkStart w:id="239" w:name="_Toc152042326"/>
      <w:bookmarkStart w:id="240" w:name="_Toc455867787"/>
      <w:bookmarkStart w:id="241" w:name="_Toc4165"/>
      <w:bookmarkStart w:id="242" w:name="_Toc22634"/>
      <w:bookmarkStart w:id="243" w:name="_Toc10370"/>
      <w:bookmarkStart w:id="244" w:name="_Toc30697"/>
      <w:bookmarkStart w:id="245" w:name="_Toc152045550"/>
      <w:bookmarkStart w:id="246" w:name="_Toc2505"/>
      <w:bookmarkStart w:id="247" w:name="_Toc7618"/>
      <w:bookmarkStart w:id="248" w:name="_Toc318450694"/>
      <w:bookmarkStart w:id="249" w:name="_Toc13921"/>
    </w:p>
    <w:p w14:paraId="4D584CD2">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 xml:space="preserve"> 磋商保证金</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Start w:id="250" w:name="_Toc152045552"/>
      <w:bookmarkStart w:id="251" w:name="_Toc144974520"/>
      <w:bookmarkStart w:id="252" w:name="_Toc318450695"/>
      <w:bookmarkStart w:id="253" w:name="_Toc152042328"/>
      <w:r>
        <w:rPr>
          <w:rFonts w:hint="eastAsia" w:ascii="宋体" w:hAnsi="宋体" w:eastAsia="宋体" w:cs="宋体"/>
          <w:b/>
          <w:bCs/>
          <w:color w:val="auto"/>
          <w:sz w:val="24"/>
          <w:szCs w:val="24"/>
          <w:lang w:eastAsia="zh-CN"/>
        </w:rPr>
        <w:t>：无。</w:t>
      </w:r>
      <w:bookmarkEnd w:id="249"/>
      <w:bookmarkStart w:id="254" w:name="_Toc11077"/>
      <w:bookmarkStart w:id="255" w:name="_Toc22384"/>
      <w:bookmarkStart w:id="256" w:name="_Toc2794"/>
      <w:bookmarkStart w:id="257" w:name="_Toc17153"/>
      <w:bookmarkStart w:id="258" w:name="_Toc27579"/>
      <w:bookmarkStart w:id="259" w:name="_Toc20328"/>
      <w:bookmarkStart w:id="260" w:name="_Toc490667848"/>
      <w:bookmarkStart w:id="261" w:name="_Toc13680"/>
      <w:bookmarkStart w:id="262" w:name="_Toc455080128"/>
      <w:bookmarkStart w:id="263" w:name="_Toc455867788"/>
      <w:bookmarkStart w:id="264" w:name="_Toc16747"/>
      <w:bookmarkStart w:id="265" w:name="_Toc15547"/>
      <w:bookmarkStart w:id="266" w:name="_Toc466298111"/>
      <w:bookmarkStart w:id="267" w:name="_Toc22527"/>
    </w:p>
    <w:p w14:paraId="4215628A">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5</w:t>
      </w:r>
      <w:r>
        <w:rPr>
          <w:rFonts w:hint="eastAsia" w:ascii="宋体" w:hAnsi="宋体" w:eastAsia="宋体" w:cs="宋体"/>
          <w:b/>
          <w:bCs/>
          <w:color w:val="auto"/>
          <w:sz w:val="24"/>
          <w:szCs w:val="24"/>
        </w:rPr>
        <w:t>资格审查资料</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Start w:id="268" w:name="_Toc4586"/>
      <w:bookmarkStart w:id="269" w:name="_Toc26258"/>
      <w:bookmarkStart w:id="270" w:name="_Toc5132"/>
      <w:bookmarkStart w:id="271" w:name="_Toc18915"/>
      <w:bookmarkStart w:id="272" w:name="_Toc318450696"/>
      <w:bookmarkStart w:id="273" w:name="_Toc144974521"/>
      <w:bookmarkStart w:id="274" w:name="_Toc152045553"/>
      <w:bookmarkStart w:id="275" w:name="_Toc3286"/>
      <w:bookmarkStart w:id="276" w:name="_Toc30442"/>
      <w:bookmarkStart w:id="277" w:name="_Toc19724"/>
      <w:bookmarkStart w:id="278" w:name="_Toc455080129"/>
      <w:bookmarkStart w:id="279" w:name="_Toc455867789"/>
      <w:bookmarkStart w:id="280" w:name="_Toc152042329"/>
      <w:bookmarkStart w:id="281" w:name="_Toc1228"/>
      <w:bookmarkStart w:id="282" w:name="_Toc490667849"/>
      <w:bookmarkStart w:id="283" w:name="_Toc11694"/>
      <w:bookmarkStart w:id="284" w:name="_Toc466298112"/>
      <w:bookmarkStart w:id="285" w:name="_Toc9015"/>
    </w:p>
    <w:p w14:paraId="279F5A0B">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按照第二章供应商须知表“供应商须知前附表”1.5.1要求，提供相关材料。</w:t>
      </w:r>
      <w:bookmarkEnd w:id="268"/>
      <w:bookmarkStart w:id="286" w:name="_Toc24859"/>
    </w:p>
    <w:p w14:paraId="4F005FA2">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6</w:t>
      </w:r>
      <w:r>
        <w:rPr>
          <w:rFonts w:hint="eastAsia" w:ascii="宋体" w:hAnsi="宋体" w:eastAsia="宋体" w:cs="宋体"/>
          <w:b/>
          <w:bCs/>
          <w:color w:val="auto"/>
          <w:sz w:val="24"/>
          <w:szCs w:val="24"/>
        </w:rPr>
        <w:t>备选方案</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0F51AF33">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除供应商须知前附表另有规定外，供应商不得递交备选磋商方案。</w:t>
      </w:r>
      <w:bookmarkStart w:id="287" w:name="_Toc28656"/>
      <w:bookmarkStart w:id="288" w:name="_Toc152042330"/>
      <w:bookmarkStart w:id="289" w:name="_Toc318450697"/>
      <w:bookmarkStart w:id="290" w:name="_Toc18912"/>
      <w:bookmarkStart w:id="291" w:name="_Toc7626"/>
      <w:bookmarkStart w:id="292" w:name="_Toc7966"/>
      <w:bookmarkStart w:id="293" w:name="_Toc6323"/>
      <w:bookmarkStart w:id="294" w:name="_Toc25620"/>
      <w:bookmarkStart w:id="295" w:name="_Toc12541"/>
      <w:bookmarkStart w:id="296" w:name="_Toc5516"/>
      <w:bookmarkStart w:id="297" w:name="_Toc152045554"/>
      <w:bookmarkStart w:id="298" w:name="_Toc12275"/>
      <w:bookmarkStart w:id="299" w:name="_Toc144974522"/>
      <w:bookmarkStart w:id="300" w:name="_Toc466298113"/>
      <w:bookmarkStart w:id="301" w:name="_Toc455867790"/>
      <w:bookmarkStart w:id="302" w:name="_Toc490667850"/>
      <w:bookmarkStart w:id="303" w:name="_Toc17697"/>
      <w:bookmarkStart w:id="304" w:name="_Toc455080130"/>
    </w:p>
    <w:p w14:paraId="1DBE7891">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3.</w:t>
      </w:r>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 xml:space="preserve"> 响应文件的编制</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Start w:id="305" w:name="_Toc152045555"/>
      <w:bookmarkStart w:id="306" w:name="_Toc144974523"/>
      <w:bookmarkStart w:id="307" w:name="_Toc152042331"/>
      <w:bookmarkStart w:id="308" w:name="_Toc455080131"/>
    </w:p>
    <w:p w14:paraId="1F836ED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.1 供应商通过“全国公共资源交易平台（河南省·信阳市）（</w:t>
      </w:r>
      <w:r>
        <w:rPr>
          <w:rFonts w:hint="eastAsia" w:ascii="宋体" w:hAnsi="宋体" w:eastAsia="宋体" w:cs="宋体"/>
          <w:b w:val="0"/>
          <w:bCs w:val="0"/>
          <w:color w:val="auto"/>
          <w:sz w:val="24"/>
          <w:szCs w:val="24"/>
          <w:u w:val="none"/>
        </w:rPr>
        <w:t>https://ggzyjy.xinyang.gov.cn</w:t>
      </w:r>
      <w:r>
        <w:rPr>
          <w:rFonts w:hint="eastAsia" w:ascii="宋体" w:hAnsi="宋体" w:eastAsia="宋体" w:cs="宋体"/>
          <w:b w:val="0"/>
          <w:bCs w:val="0"/>
          <w:color w:val="auto"/>
          <w:sz w:val="24"/>
          <w:szCs w:val="24"/>
        </w:rPr>
        <w:t>）”网站下载</w:t>
      </w:r>
      <w:r>
        <w:rPr>
          <w:rFonts w:hint="eastAsia" w:ascii="宋体" w:hAnsi="宋体" w:eastAsia="宋体" w:cs="宋体"/>
          <w:b w:val="0"/>
          <w:bCs w:val="0"/>
          <w:color w:val="auto"/>
          <w:sz w:val="24"/>
          <w:szCs w:val="24"/>
          <w:lang w:val="en-US" w:eastAsia="zh-CN"/>
        </w:rPr>
        <w:t>专区</w:t>
      </w:r>
      <w:r>
        <w:rPr>
          <w:rFonts w:hint="eastAsia" w:ascii="宋体" w:hAnsi="宋体" w:eastAsia="宋体" w:cs="宋体"/>
          <w:b w:val="0"/>
          <w:bCs w:val="0"/>
          <w:color w:val="auto"/>
          <w:sz w:val="24"/>
          <w:szCs w:val="24"/>
        </w:rPr>
        <w:t>栏目内下载或采购文件领取页面下载“信阳市投标文件制作工具软件”，响应文件应按第六章“</w:t>
      </w:r>
      <w:r>
        <w:rPr>
          <w:rFonts w:hint="eastAsia" w:ascii="宋体" w:hAnsi="宋体" w:eastAsia="宋体" w:cs="宋体"/>
          <w:b w:val="0"/>
          <w:bCs w:val="0"/>
          <w:color w:val="auto"/>
          <w:sz w:val="24"/>
          <w:szCs w:val="24"/>
          <w:lang w:val="en-US" w:eastAsia="zh-CN"/>
        </w:rPr>
        <w:t>竞争性磋商</w:t>
      </w:r>
      <w:r>
        <w:rPr>
          <w:rFonts w:hint="eastAsia" w:ascii="宋体" w:hAnsi="宋体" w:eastAsia="宋体" w:cs="宋体"/>
          <w:b w:val="0"/>
          <w:bCs w:val="0"/>
          <w:color w:val="auto"/>
          <w:sz w:val="24"/>
          <w:szCs w:val="24"/>
        </w:rPr>
        <w:t>响应文件格式”使用“信阳市投标文件制作工具”软件制作生成加密版和非未加密的电子响应文件（软件操作手册可在网站下载</w:t>
      </w:r>
      <w:r>
        <w:rPr>
          <w:rFonts w:hint="eastAsia" w:ascii="宋体" w:hAnsi="宋体" w:eastAsia="宋体" w:cs="宋体"/>
          <w:b w:val="0"/>
          <w:bCs w:val="0"/>
          <w:color w:val="auto"/>
          <w:sz w:val="24"/>
          <w:szCs w:val="24"/>
          <w:lang w:val="en-US" w:eastAsia="zh-CN"/>
        </w:rPr>
        <w:t>专区</w:t>
      </w:r>
      <w:r>
        <w:rPr>
          <w:rFonts w:hint="eastAsia" w:ascii="宋体" w:hAnsi="宋体" w:eastAsia="宋体" w:cs="宋体"/>
          <w:b w:val="0"/>
          <w:bCs w:val="0"/>
          <w:color w:val="auto"/>
          <w:sz w:val="24"/>
          <w:szCs w:val="24"/>
        </w:rPr>
        <w:t>下载或打开软件后在右上角菜单内领取）。</w:t>
      </w:r>
    </w:p>
    <w:p w14:paraId="6057A791">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.2 响应文件应当对磋商文件有关</w:t>
      </w:r>
      <w:r>
        <w:rPr>
          <w:rFonts w:hint="eastAsia" w:ascii="宋体" w:hAnsi="宋体" w:eastAsia="宋体" w:cs="宋体"/>
          <w:b w:val="0"/>
          <w:bCs w:val="0"/>
          <w:color w:val="auto"/>
          <w:sz w:val="24"/>
          <w:szCs w:val="24"/>
          <w:lang w:val="en-US" w:eastAsia="zh-CN"/>
        </w:rPr>
        <w:t>服务期限</w:t>
      </w:r>
      <w:r>
        <w:rPr>
          <w:rFonts w:hint="eastAsia" w:ascii="宋体" w:hAnsi="宋体" w:eastAsia="宋体" w:cs="宋体"/>
          <w:b w:val="0"/>
          <w:bCs w:val="0"/>
          <w:color w:val="auto"/>
          <w:sz w:val="24"/>
          <w:szCs w:val="24"/>
        </w:rPr>
        <w:t>、磋商有效期、质量要求等实质性内容作出响应。其中，报价函附录在满足磋商文件实质性要求的基础上，可以提出比磋商文件要求更有利于采购人的承诺。</w:t>
      </w:r>
    </w:p>
    <w:p w14:paraId="35C276F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.3 电子响应文件签字或盖章的具体要求见供应商须知前附表。如委托代理人电子签章的，电子响应文件应附法定代表人签署的授权委托书。</w:t>
      </w:r>
    </w:p>
    <w:p w14:paraId="7B87AFE3">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.4 供应商在电子响应文件制作完成后生成响应文件时须加盖电子签章/签名。签字和盖章的要求见“第二章 供应商须知前附表”。</w:t>
      </w:r>
    </w:p>
    <w:p w14:paraId="36838B8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.5开标一览表报价将作为电子开标的唱标依据。</w:t>
      </w:r>
    </w:p>
    <w:p w14:paraId="3F780067">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 xml:space="preserve">.6磋商文件格式所要求包含的全部资料应全部制作在电子响应文件内，严格按照本项目磋商文件所有格式如实填写（不涉及的内容除外），不应存在漏项或缺项，否则将存在响应文件被拒绝的风险。 </w:t>
      </w:r>
    </w:p>
    <w:p w14:paraId="270F5E92">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b w:val="0"/>
          <w:bCs w:val="0"/>
          <w:color w:val="auto"/>
          <w:sz w:val="24"/>
          <w:szCs w:val="24"/>
          <w:lang w:val="en-US" w:eastAsia="zh-CN"/>
        </w:rPr>
        <w:t>3.7</w:t>
      </w:r>
      <w:r>
        <w:rPr>
          <w:rFonts w:hint="eastAsia" w:ascii="宋体" w:hAnsi="宋体" w:eastAsia="宋体" w:cs="宋体"/>
          <w:b w:val="0"/>
          <w:bCs w:val="0"/>
          <w:color w:val="auto"/>
          <w:sz w:val="24"/>
          <w:szCs w:val="24"/>
        </w:rPr>
        <w:t xml:space="preserve">.7供应商编辑电子响应文件时，最后一步生成电子响应文件（*.XYTF 格式）时，请使用本单位的企业 CA 数字证书。 </w:t>
      </w:r>
    </w:p>
    <w:p w14:paraId="3BB355CB">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highlight w:val="white"/>
        </w:rPr>
        <w:t>电子响应文件</w:t>
      </w:r>
      <w:r>
        <w:rPr>
          <w:rFonts w:hint="eastAsia" w:ascii="宋体" w:hAnsi="宋体" w:eastAsia="宋体" w:cs="宋体"/>
          <w:color w:val="auto"/>
          <w:sz w:val="24"/>
          <w:szCs w:val="24"/>
        </w:rPr>
        <w:t>签字或盖章的具体要求见供应商须知前附表。供应商须在</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递交截止时间前制作并提交。</w:t>
      </w:r>
    </w:p>
    <w:p w14:paraId="4375753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highlight w:val="white"/>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 xml:space="preserve"> 响应文件份数见供应商须知前附表。</w:t>
      </w:r>
    </w:p>
    <w:p w14:paraId="5339A605">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bookmarkStart w:id="309" w:name="_Toc19433"/>
      <w:r>
        <w:rPr>
          <w:rFonts w:hint="eastAsia" w:ascii="宋体" w:hAnsi="宋体" w:eastAsia="宋体" w:cs="宋体"/>
          <w:b/>
          <w:bCs/>
          <w:color w:val="auto"/>
          <w:sz w:val="24"/>
          <w:szCs w:val="24"/>
        </w:rPr>
        <w:t xml:space="preserve">4. </w:t>
      </w:r>
      <w:bookmarkEnd w:id="305"/>
      <w:bookmarkEnd w:id="306"/>
      <w:bookmarkEnd w:id="307"/>
      <w:bookmarkEnd w:id="308"/>
      <w:r>
        <w:rPr>
          <w:rFonts w:hint="eastAsia" w:ascii="宋体" w:hAnsi="宋体" w:eastAsia="宋体" w:cs="宋体"/>
          <w:b/>
          <w:bCs/>
          <w:color w:val="auto"/>
          <w:sz w:val="24"/>
          <w:szCs w:val="24"/>
        </w:rPr>
        <w:t>磋商</w:t>
      </w:r>
      <w:bookmarkEnd w:id="309"/>
    </w:p>
    <w:p w14:paraId="5E140DCD">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lang w:eastAsia="zh-CN"/>
        </w:rPr>
      </w:pPr>
      <w:bookmarkStart w:id="310" w:name="_Toc16783"/>
      <w:bookmarkStart w:id="311" w:name="_Toc26583"/>
      <w:bookmarkStart w:id="312" w:name="_Toc18820"/>
      <w:bookmarkStart w:id="313" w:name="_Toc144974524"/>
      <w:bookmarkStart w:id="314" w:name="_Toc22961"/>
      <w:bookmarkStart w:id="315" w:name="_Toc490667852"/>
      <w:bookmarkStart w:id="316" w:name="_Toc16962"/>
      <w:bookmarkStart w:id="317" w:name="_Toc26550"/>
      <w:bookmarkStart w:id="318" w:name="_Toc152045556"/>
      <w:bookmarkStart w:id="319" w:name="_Toc152042332"/>
      <w:bookmarkStart w:id="320" w:name="_Toc455867792"/>
      <w:bookmarkStart w:id="321" w:name="_Toc16344"/>
      <w:bookmarkStart w:id="322" w:name="_Toc318450699"/>
      <w:bookmarkStart w:id="323" w:name="_Toc11243"/>
      <w:bookmarkStart w:id="324" w:name="_Toc31492"/>
      <w:bookmarkStart w:id="325" w:name="_Toc455080132"/>
      <w:bookmarkStart w:id="326" w:name="_Toc466298115"/>
      <w:bookmarkStart w:id="327" w:name="_Toc21145"/>
      <w:r>
        <w:rPr>
          <w:rFonts w:hint="eastAsia" w:ascii="宋体" w:hAnsi="宋体" w:eastAsia="宋体" w:cs="宋体"/>
          <w:b/>
          <w:bCs/>
          <w:color w:val="auto"/>
          <w:sz w:val="24"/>
          <w:szCs w:val="24"/>
        </w:rPr>
        <w:t>4.1 响应文件的</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hint="eastAsia" w:ascii="宋体" w:hAnsi="宋体" w:eastAsia="宋体" w:cs="宋体"/>
          <w:b/>
          <w:bCs/>
          <w:color w:val="auto"/>
          <w:sz w:val="24"/>
          <w:szCs w:val="24"/>
          <w:lang w:eastAsia="zh-CN"/>
        </w:rPr>
        <w:t>上传</w:t>
      </w:r>
      <w:bookmarkEnd w:id="327"/>
    </w:p>
    <w:p w14:paraId="3479BD0F">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4.1.1网上上传的电子响应文件应使用供应商数字证书认证并加密。</w:t>
      </w:r>
    </w:p>
    <w:p w14:paraId="22ECBB8D">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328" w:name="_Toc16832"/>
      <w:bookmarkStart w:id="329" w:name="_Toc152045557"/>
      <w:bookmarkStart w:id="330" w:name="_Toc21072"/>
      <w:bookmarkStart w:id="331" w:name="_Toc455867793"/>
      <w:bookmarkStart w:id="332" w:name="_Toc455080133"/>
      <w:bookmarkStart w:id="333" w:name="_Toc28272"/>
      <w:bookmarkStart w:id="334" w:name="_Toc318450700"/>
      <w:bookmarkStart w:id="335" w:name="_Toc27132"/>
      <w:bookmarkStart w:id="336" w:name="_Toc144974525"/>
      <w:bookmarkStart w:id="337" w:name="_Toc490667853"/>
      <w:bookmarkStart w:id="338" w:name="_Toc462"/>
      <w:bookmarkStart w:id="339" w:name="_Toc152042333"/>
      <w:bookmarkStart w:id="340" w:name="_Toc8754"/>
      <w:bookmarkStart w:id="341" w:name="_Toc7663"/>
      <w:bookmarkStart w:id="342" w:name="_Toc20259"/>
      <w:bookmarkStart w:id="343" w:name="_Toc21897"/>
      <w:bookmarkStart w:id="344" w:name="_Toc4767"/>
      <w:bookmarkStart w:id="345" w:name="_Toc466298116"/>
      <w:r>
        <w:rPr>
          <w:rFonts w:hint="eastAsia" w:ascii="宋体" w:hAnsi="宋体" w:eastAsia="宋体" w:cs="宋体"/>
          <w:b/>
          <w:bCs/>
          <w:color w:val="auto"/>
          <w:sz w:val="24"/>
          <w:szCs w:val="24"/>
        </w:rPr>
        <w:t>4.2 响应文件的递交</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34893B47">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highlight w:val="white"/>
        </w:rPr>
      </w:pPr>
      <w:bookmarkStart w:id="346" w:name="_Toc144974526"/>
      <w:bookmarkStart w:id="347" w:name="_Toc490667854"/>
      <w:bookmarkStart w:id="348" w:name="_Toc20281"/>
      <w:bookmarkStart w:id="349" w:name="_Toc21890"/>
      <w:bookmarkStart w:id="350" w:name="_Toc26684"/>
      <w:bookmarkStart w:id="351" w:name="_Toc17161"/>
      <w:bookmarkStart w:id="352" w:name="_Toc11817"/>
      <w:bookmarkStart w:id="353" w:name="_Toc318450701"/>
      <w:bookmarkStart w:id="354" w:name="_Toc466298117"/>
      <w:bookmarkStart w:id="355" w:name="_Toc5102"/>
      <w:bookmarkStart w:id="356" w:name="_Toc30860"/>
      <w:bookmarkStart w:id="357" w:name="_Toc152042334"/>
      <w:bookmarkStart w:id="358" w:name="_Toc152045558"/>
      <w:bookmarkStart w:id="359" w:name="_Toc2952"/>
      <w:bookmarkStart w:id="360" w:name="_Toc455080134"/>
      <w:bookmarkStart w:id="361" w:name="_Toc455867794"/>
      <w:bookmarkStart w:id="362" w:name="_Toc19951"/>
      <w:r>
        <w:rPr>
          <w:rFonts w:hint="eastAsia" w:ascii="宋体" w:hAnsi="宋体" w:eastAsia="宋体" w:cs="宋体"/>
          <w:color w:val="auto"/>
          <w:sz w:val="24"/>
          <w:szCs w:val="24"/>
          <w:highlight w:val="white"/>
        </w:rPr>
        <w:t>4.2.1电子响应文件的递交</w:t>
      </w:r>
    </w:p>
    <w:p w14:paraId="65715EE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highlight w:val="white"/>
        </w:rPr>
      </w:pPr>
      <w:r>
        <w:rPr>
          <w:rFonts w:hint="eastAsia" w:ascii="宋体" w:hAnsi="宋体" w:eastAsia="宋体" w:cs="宋体"/>
          <w:color w:val="auto"/>
          <w:sz w:val="24"/>
          <w:szCs w:val="24"/>
          <w:highlight w:val="white"/>
        </w:rPr>
        <w:t>各供应商应在</w:t>
      </w:r>
      <w:r>
        <w:rPr>
          <w:rFonts w:hint="eastAsia" w:ascii="宋体" w:hAnsi="宋体" w:eastAsia="宋体" w:cs="宋体"/>
          <w:color w:val="auto"/>
          <w:sz w:val="24"/>
          <w:szCs w:val="24"/>
          <w:highlight w:val="white"/>
          <w:lang w:eastAsia="zh-CN"/>
        </w:rPr>
        <w:t>响应文件提交截止时间前</w:t>
      </w:r>
      <w:r>
        <w:rPr>
          <w:rFonts w:hint="eastAsia" w:ascii="宋体" w:hAnsi="宋体" w:eastAsia="宋体" w:cs="宋体"/>
          <w:color w:val="auto"/>
          <w:sz w:val="24"/>
          <w:szCs w:val="24"/>
          <w:highlight w:val="white"/>
        </w:rPr>
        <w:t>上传加密的电子响应文件（*.XYTF）到会员系统的指定位置。上传的电子响应文件应使用</w:t>
      </w:r>
      <w:r>
        <w:rPr>
          <w:rFonts w:hint="eastAsia" w:ascii="宋体" w:hAnsi="宋体" w:eastAsia="宋体" w:cs="宋体"/>
          <w:color w:val="auto"/>
          <w:sz w:val="24"/>
          <w:szCs w:val="24"/>
          <w:highlight w:val="white"/>
          <w:lang w:eastAsia="zh-CN"/>
        </w:rPr>
        <w:t>供应商</w:t>
      </w:r>
      <w:r>
        <w:rPr>
          <w:rFonts w:hint="eastAsia" w:ascii="宋体" w:hAnsi="宋体" w:eastAsia="宋体" w:cs="宋体"/>
          <w:color w:val="auto"/>
          <w:sz w:val="24"/>
          <w:szCs w:val="24"/>
          <w:highlight w:val="white"/>
        </w:rPr>
        <w:t>CA数字证书认证并加密。上传时必须得到交易系统“上传成功”的确认回复后方为上传成功。请供应商在上传前务必认真检查上传响应文件是否完整、正确。</w:t>
      </w:r>
    </w:p>
    <w:p w14:paraId="02F369D4">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363" w:name="_Toc1790"/>
      <w:r>
        <w:rPr>
          <w:rFonts w:hint="eastAsia" w:ascii="宋体" w:hAnsi="宋体" w:eastAsia="宋体" w:cs="宋体"/>
          <w:b/>
          <w:bCs/>
          <w:color w:val="auto"/>
          <w:sz w:val="24"/>
          <w:szCs w:val="24"/>
        </w:rPr>
        <w:t>4.3 响应文件的修改与撤回</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5F2B357F">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bookmarkStart w:id="364" w:name="_Toc144974527"/>
      <w:bookmarkStart w:id="365" w:name="_Toc152045559"/>
      <w:bookmarkStart w:id="366" w:name="_Toc152042335"/>
      <w:bookmarkStart w:id="367" w:name="_Toc455080135"/>
      <w:r>
        <w:rPr>
          <w:rFonts w:hint="eastAsia" w:ascii="宋体" w:hAnsi="宋体" w:eastAsia="宋体" w:cs="宋体"/>
          <w:color w:val="auto"/>
          <w:sz w:val="24"/>
          <w:szCs w:val="24"/>
        </w:rPr>
        <w:t>4.3.1 在第一章“</w:t>
      </w:r>
      <w:r>
        <w:rPr>
          <w:rFonts w:hint="eastAsia" w:ascii="宋体" w:hAnsi="宋体" w:eastAsia="宋体" w:cs="宋体"/>
          <w:color w:val="auto"/>
          <w:sz w:val="24"/>
          <w:szCs w:val="24"/>
          <w:lang w:eastAsia="zh-CN"/>
        </w:rPr>
        <w:t>竞争性磋商公告</w:t>
      </w:r>
      <w:r>
        <w:rPr>
          <w:rFonts w:hint="eastAsia" w:ascii="宋体" w:hAnsi="宋体" w:eastAsia="宋体" w:cs="宋体"/>
          <w:color w:val="auto"/>
          <w:sz w:val="24"/>
          <w:szCs w:val="24"/>
        </w:rPr>
        <w:t>”规定的</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截止时间前，供应商可以多次修改或撤回已递交的响应文件，最终响应文件以</w:t>
      </w:r>
      <w:r>
        <w:rPr>
          <w:rFonts w:hint="eastAsia" w:ascii="宋体" w:hAnsi="宋体" w:eastAsia="宋体" w:cs="宋体"/>
          <w:color w:val="auto"/>
          <w:sz w:val="24"/>
          <w:szCs w:val="24"/>
          <w:lang w:eastAsia="zh-CN"/>
        </w:rPr>
        <w:t>响应文件提交截止时间前</w:t>
      </w:r>
      <w:r>
        <w:rPr>
          <w:rFonts w:hint="eastAsia" w:ascii="宋体" w:hAnsi="宋体" w:eastAsia="宋体" w:cs="宋体"/>
          <w:color w:val="auto"/>
          <w:sz w:val="24"/>
          <w:szCs w:val="24"/>
        </w:rPr>
        <w:t>完成上传至信阳市公共资源交易中心交易系统最后一份响应文件为准。</w:t>
      </w:r>
    </w:p>
    <w:p w14:paraId="34C2926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4.3.2修改的响应文件应按照本章第3.</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条、第4.2条规定进行编制和递交。</w:t>
      </w:r>
    </w:p>
    <w:bookmarkEnd w:id="364"/>
    <w:bookmarkEnd w:id="365"/>
    <w:bookmarkEnd w:id="366"/>
    <w:p w14:paraId="0773936B">
      <w:pPr>
        <w:pageBreakBefore w:val="0"/>
        <w:kinsoku/>
        <w:wordWrap/>
        <w:overflowPunct/>
        <w:topLinePunct w:val="0"/>
        <w:autoSpaceDE/>
        <w:autoSpaceDN/>
        <w:bidi w:val="0"/>
        <w:adjustRightInd/>
        <w:snapToGrid/>
        <w:spacing w:line="450" w:lineRule="exact"/>
        <w:textAlignment w:val="auto"/>
        <w:outlineLvl w:val="1"/>
        <w:rPr>
          <w:rFonts w:hint="eastAsia" w:ascii="宋体" w:hAnsi="宋体" w:eastAsia="宋体" w:cs="宋体"/>
          <w:b/>
          <w:bCs/>
          <w:color w:val="auto"/>
          <w:sz w:val="24"/>
          <w:szCs w:val="24"/>
        </w:rPr>
      </w:pPr>
      <w:bookmarkStart w:id="368" w:name="_Toc14969"/>
      <w:r>
        <w:rPr>
          <w:rFonts w:hint="eastAsia" w:ascii="宋体" w:hAnsi="宋体" w:eastAsia="宋体" w:cs="宋体"/>
          <w:b/>
          <w:bCs/>
          <w:color w:val="auto"/>
          <w:sz w:val="24"/>
          <w:szCs w:val="24"/>
        </w:rPr>
        <w:t>5.</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磋商开始</w:t>
      </w:r>
      <w:bookmarkEnd w:id="367"/>
      <w:bookmarkEnd w:id="368"/>
      <w:bookmarkStart w:id="369" w:name="_Toc9969"/>
      <w:bookmarkStart w:id="370" w:name="_Toc16040"/>
      <w:bookmarkStart w:id="371" w:name="_Toc152045560"/>
      <w:bookmarkStart w:id="372" w:name="_Toc144974528"/>
      <w:bookmarkStart w:id="373" w:name="_Toc25809"/>
      <w:bookmarkStart w:id="374" w:name="_Toc20660"/>
      <w:bookmarkStart w:id="375" w:name="_Toc25533"/>
      <w:bookmarkStart w:id="376" w:name="_Toc152042336"/>
      <w:bookmarkStart w:id="377" w:name="_Toc466298119"/>
      <w:bookmarkStart w:id="378" w:name="_Toc455080136"/>
      <w:bookmarkStart w:id="379" w:name="_Toc490667856"/>
      <w:bookmarkStart w:id="380" w:name="_Toc20333"/>
      <w:bookmarkStart w:id="381" w:name="_Toc14"/>
      <w:bookmarkStart w:id="382" w:name="_Toc455867796"/>
      <w:bookmarkStart w:id="383" w:name="_Toc26426"/>
      <w:bookmarkStart w:id="384" w:name="_Toc6763"/>
      <w:bookmarkStart w:id="385" w:name="_Toc318450703"/>
    </w:p>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14:paraId="5307ABA0">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b/>
          <w:bCs/>
          <w:color w:val="auto"/>
          <w:sz w:val="24"/>
          <w:szCs w:val="24"/>
        </w:rPr>
      </w:pPr>
      <w:bookmarkStart w:id="386" w:name="_Toc30074"/>
      <w:bookmarkStart w:id="387" w:name="_Toc455867797"/>
      <w:bookmarkStart w:id="388" w:name="_Toc747"/>
      <w:bookmarkStart w:id="389" w:name="_Toc30792"/>
      <w:bookmarkStart w:id="390" w:name="_Toc25911"/>
      <w:bookmarkStart w:id="391" w:name="_Toc490667857"/>
      <w:bookmarkStart w:id="392" w:name="_Toc152042337"/>
      <w:bookmarkStart w:id="393" w:name="_Toc11148"/>
      <w:bookmarkStart w:id="394" w:name="_Toc9328"/>
      <w:bookmarkStart w:id="395" w:name="_Toc3865"/>
      <w:bookmarkStart w:id="396" w:name="_Toc318450704"/>
      <w:bookmarkStart w:id="397" w:name="_Toc152045561"/>
      <w:bookmarkStart w:id="398" w:name="_Toc17491"/>
      <w:bookmarkStart w:id="399" w:name="_Toc18582"/>
      <w:bookmarkStart w:id="400" w:name="_Toc30965"/>
      <w:bookmarkStart w:id="401" w:name="_Toc466298120"/>
      <w:bookmarkStart w:id="402" w:name="_Toc144974529"/>
      <w:bookmarkStart w:id="403" w:name="_Toc455080137"/>
      <w:r>
        <w:rPr>
          <w:rFonts w:hint="eastAsia" w:ascii="宋体" w:hAnsi="宋体" w:eastAsia="宋体" w:cs="宋体"/>
          <w:b/>
          <w:bCs/>
          <w:color w:val="auto"/>
          <w:sz w:val="24"/>
          <w:szCs w:val="24"/>
        </w:rPr>
        <w:t>5.1 磋商时间和地点</w:t>
      </w:r>
    </w:p>
    <w:p w14:paraId="00B91FA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5.1.1 采购人在本章规定的</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截止时间（</w:t>
      </w:r>
      <w:r>
        <w:rPr>
          <w:rFonts w:hint="eastAsia" w:ascii="宋体" w:hAnsi="宋体" w:eastAsia="宋体" w:cs="宋体"/>
          <w:color w:val="auto"/>
          <w:sz w:val="24"/>
          <w:szCs w:val="24"/>
          <w:lang w:eastAsia="zh-CN"/>
        </w:rPr>
        <w:t>开标</w:t>
      </w:r>
      <w:r>
        <w:rPr>
          <w:rFonts w:hint="eastAsia" w:ascii="宋体" w:hAnsi="宋体" w:eastAsia="宋体" w:cs="宋体"/>
          <w:color w:val="auto"/>
          <w:sz w:val="24"/>
          <w:szCs w:val="24"/>
        </w:rPr>
        <w:t>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提交响应文件截止时间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和</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须知前附表规定的地点开标。</w:t>
      </w:r>
    </w:p>
    <w:p w14:paraId="6E420A0F">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5.1.2 本项目采用“不见面开标”交易方式，不见面开标大厅网址为</w:t>
      </w:r>
      <w:r>
        <w:rPr>
          <w:rFonts w:hint="eastAsia" w:ascii="宋体" w:hAnsi="宋体" w:eastAsia="宋体" w:cs="宋体"/>
          <w:b/>
          <w:bCs/>
          <w:color w:val="auto"/>
          <w:sz w:val="24"/>
          <w:szCs w:val="24"/>
          <w:lang w:val="en-US" w:eastAsia="zh-CN"/>
        </w:rPr>
        <w:t>https://ggzyjy.xinyang.gov.cn/BidOpening/bidhall/xinyang/login.html</w:t>
      </w:r>
      <w:r>
        <w:rPr>
          <w:rFonts w:hint="eastAsia" w:ascii="宋体" w:hAnsi="宋体" w:eastAsia="宋体" w:cs="宋体"/>
          <w:b/>
          <w:bCs/>
          <w:color w:val="auto"/>
          <w:sz w:val="24"/>
          <w:szCs w:val="24"/>
        </w:rPr>
        <w:t>，供应商无需寄送和递交非加密的电子磋商响应文件，无需到现场参加磋商会议，无需到达现场提交原件资料。</w:t>
      </w:r>
    </w:p>
    <w:p w14:paraId="6ED6E795">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供应商应当在磋商截止时间前，使用供应商CA数字证书登录不见面开标大厅，在线签到并准时参加磋商活动，并在规定时间内完成磋商响应文件解密、答疑澄清等。</w:t>
      </w:r>
    </w:p>
    <w:p w14:paraId="0EE6CA8A">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供应商需在解密开始后10分钟内完成解密（当供应商过多时，解密时间可以适当延长）。在响应文件解密过程中，因供应商原因（如供应商准备不到位、电脑网络问题等），造成无法及时解密的，将被退回响应文件。</w:t>
      </w:r>
    </w:p>
    <w:p w14:paraId="6972EF7A">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不见面开标服务的具体事宜，请查阅信阳市公共资源交易中心网站首页—下载</w:t>
      </w:r>
      <w:r>
        <w:rPr>
          <w:rFonts w:hint="eastAsia" w:ascii="宋体" w:hAnsi="宋体" w:eastAsia="宋体" w:cs="宋体"/>
          <w:b/>
          <w:bCs/>
          <w:color w:val="auto"/>
          <w:sz w:val="24"/>
          <w:szCs w:val="24"/>
          <w:lang w:val="en-US" w:eastAsia="zh-CN"/>
        </w:rPr>
        <w:t>专区</w:t>
      </w:r>
      <w:r>
        <w:rPr>
          <w:rFonts w:hint="eastAsia" w:ascii="宋体" w:hAnsi="宋体" w:eastAsia="宋体" w:cs="宋体"/>
          <w:b/>
          <w:bCs/>
          <w:color w:val="auto"/>
          <w:sz w:val="24"/>
          <w:szCs w:val="24"/>
        </w:rPr>
        <w:t>—信阳市不见面开标大厅系统操作手册 。（https://ggzyjy.xinyang.gov.cn/jyzn/003003/20200727/08340a93-5f32-4377-a758-267707b3c1f1.html）</w:t>
      </w:r>
    </w:p>
    <w:p w14:paraId="5438C9AA">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开标过程中，供应商如有异议，须在开标结束前通过系统提出，否则视同认可开标记录。开标结束后，对开标记录的任何异议不再接受。</w:t>
      </w:r>
    </w:p>
    <w:p w14:paraId="1120F8F9">
      <w:pPr>
        <w:pageBreakBefore w:val="0"/>
        <w:kinsoku/>
        <w:wordWrap/>
        <w:overflowPunct/>
        <w:topLinePunct w:val="0"/>
        <w:autoSpaceDE/>
        <w:autoSpaceDN/>
        <w:bidi w:val="0"/>
        <w:adjustRightInd/>
        <w:snapToGrid/>
        <w:spacing w:line="45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特别提示：供应商在线签到时，应如实准确</w:t>
      </w:r>
      <w:r>
        <w:rPr>
          <w:rFonts w:hint="eastAsia" w:ascii="宋体" w:hAnsi="宋体" w:cs="宋体"/>
          <w:b/>
          <w:bCs/>
          <w:color w:val="auto"/>
          <w:sz w:val="24"/>
          <w:szCs w:val="24"/>
          <w:lang w:eastAsia="zh-CN"/>
        </w:rPr>
        <w:t>地</w:t>
      </w:r>
      <w:r>
        <w:rPr>
          <w:rFonts w:hint="eastAsia" w:ascii="宋体" w:hAnsi="宋体" w:eastAsia="宋体" w:cs="宋体"/>
          <w:b/>
          <w:bCs/>
          <w:color w:val="auto"/>
          <w:sz w:val="24"/>
          <w:szCs w:val="24"/>
        </w:rPr>
        <w:t>填写授权委托人的联系电话，磋商当天请务必保证电话保持畅通。</w:t>
      </w:r>
    </w:p>
    <w:p w14:paraId="5FCC4259">
      <w:pPr>
        <w:pageBreakBefore w:val="0"/>
        <w:kinsoku/>
        <w:wordWrap/>
        <w:overflowPunct/>
        <w:topLinePunct w:val="0"/>
        <w:autoSpaceDE/>
        <w:autoSpaceDN/>
        <w:bidi w:val="0"/>
        <w:adjustRightInd/>
        <w:snapToGrid/>
        <w:spacing w:line="240" w:lineRule="auto"/>
        <w:ind w:firstLine="420" w:firstLineChars="200"/>
        <w:jc w:val="center"/>
        <w:textAlignment w:val="auto"/>
        <w:rPr>
          <w:rFonts w:hint="eastAsia" w:ascii="宋体" w:hAnsi="宋体" w:eastAsia="宋体" w:cs="宋体"/>
          <w:b/>
          <w:bCs/>
          <w:color w:val="auto"/>
          <w:sz w:val="24"/>
          <w:szCs w:val="24"/>
        </w:rPr>
      </w:pPr>
      <w:r>
        <w:rPr>
          <w:rFonts w:hint="eastAsia" w:ascii="宋体" w:hAnsi="宋体" w:eastAsia="宋体" w:cs="宋体"/>
        </w:rPr>
        <w:drawing>
          <wp:inline distT="0" distB="0" distL="114300" distR="114300">
            <wp:extent cx="3934460" cy="3888105"/>
            <wp:effectExtent l="0" t="0" r="8890" b="1714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tretch>
                      <a:fillRect/>
                    </a:stretch>
                  </pic:blipFill>
                  <pic:spPr>
                    <a:xfrm>
                      <a:off x="0" y="0"/>
                      <a:ext cx="3934460" cy="3888105"/>
                    </a:xfrm>
                    <a:prstGeom prst="rect">
                      <a:avLst/>
                    </a:prstGeom>
                    <a:noFill/>
                    <a:ln>
                      <a:noFill/>
                    </a:ln>
                  </pic:spPr>
                </pic:pic>
              </a:graphicData>
            </a:graphic>
          </wp:inline>
        </w:drawing>
      </w:r>
    </w:p>
    <w:p w14:paraId="0F0F1DDF">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5.2 磋商程序</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7A2268DC">
      <w:pPr>
        <w:pStyle w:val="89"/>
        <w:pageBreakBefore w:val="0"/>
        <w:kinsoku/>
        <w:wordWrap/>
        <w:overflowPunct/>
        <w:topLinePunct w:val="0"/>
        <w:autoSpaceDE/>
        <w:autoSpaceDN/>
        <w:bidi w:val="0"/>
        <w:adjustRightInd/>
        <w:snapToGrid/>
        <w:spacing w:line="450" w:lineRule="exact"/>
        <w:ind w:left="0" w:leftChars="0" w:firstLine="480" w:firstLineChars="200"/>
        <w:textAlignment w:val="auto"/>
        <w:outlineLvl w:val="0"/>
        <w:rPr>
          <w:rFonts w:hint="eastAsia" w:ascii="宋体" w:hAnsi="宋体" w:eastAsia="宋体" w:cs="宋体"/>
          <w:b/>
          <w:bCs/>
          <w:color w:val="auto"/>
          <w:sz w:val="24"/>
          <w:szCs w:val="24"/>
          <w:lang w:val="en-US" w:eastAsia="zh-CN"/>
        </w:rPr>
      </w:pPr>
      <w:bookmarkStart w:id="404" w:name="_Toc30403"/>
      <w:r>
        <w:rPr>
          <w:rFonts w:hint="eastAsia" w:ascii="宋体" w:hAnsi="宋体" w:eastAsia="宋体" w:cs="宋体"/>
          <w:color w:val="auto"/>
          <w:sz w:val="24"/>
          <w:szCs w:val="24"/>
          <w:lang w:val="en-US" w:eastAsia="zh-CN"/>
        </w:rPr>
        <w:t>5.2.1磋商小组对竞争性磋商文件进行熟悉确认。</w:t>
      </w:r>
      <w:bookmarkEnd w:id="404"/>
    </w:p>
    <w:p w14:paraId="5B2FD0F0">
      <w:pPr>
        <w:pageBreakBefore w:val="0"/>
        <w:kinsoku/>
        <w:wordWrap/>
        <w:overflowPunct/>
        <w:topLinePunct w:val="0"/>
        <w:autoSpaceDE/>
        <w:autoSpaceDN/>
        <w:bidi w:val="0"/>
        <w:adjustRightInd/>
        <w:snapToGrid/>
        <w:spacing w:line="45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5.2.2磋商小组推选组长，讨论、通过磋商工作流程和磋商要点。</w:t>
      </w:r>
    </w:p>
    <w:p w14:paraId="637EF466">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资格评审审查：采购人依据</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规定，</w:t>
      </w:r>
      <w:r>
        <w:rPr>
          <w:rFonts w:hint="eastAsia" w:ascii="宋体" w:hAnsi="宋体" w:eastAsia="宋体" w:cs="宋体"/>
          <w:color w:val="auto"/>
          <w:sz w:val="24"/>
          <w:szCs w:val="24"/>
          <w:lang w:eastAsia="zh-CN"/>
        </w:rPr>
        <w:t>对</w:t>
      </w:r>
      <w:r>
        <w:rPr>
          <w:rFonts w:hint="eastAsia" w:ascii="宋体" w:hAnsi="宋体" w:eastAsia="宋体" w:cs="宋体"/>
          <w:color w:val="auto"/>
          <w:sz w:val="24"/>
          <w:szCs w:val="24"/>
        </w:rPr>
        <w:t>供应商进行审查，以确定磋商供应商是否具备参与磋商的资格。</w:t>
      </w:r>
    </w:p>
    <w:p w14:paraId="2EFAB01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符合性</w:t>
      </w:r>
      <w:r>
        <w:rPr>
          <w:rFonts w:hint="eastAsia" w:ascii="宋体" w:hAnsi="宋体" w:eastAsia="宋体" w:cs="宋体"/>
          <w:color w:val="auto"/>
          <w:sz w:val="24"/>
          <w:szCs w:val="24"/>
        </w:rPr>
        <w:t>评审审查：磋商开始后，磋商小组依据</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规定，对通过资格评审的供应商进行审查，以确定磋商供应商是否具备参与磋商的资格。</w:t>
      </w:r>
    </w:p>
    <w:p w14:paraId="4A99823D">
      <w:pPr>
        <w:pageBreakBefore w:val="0"/>
        <w:kinsoku/>
        <w:wordWrap/>
        <w:overflowPunct/>
        <w:topLinePunct w:val="0"/>
        <w:autoSpaceDE/>
        <w:autoSpaceDN/>
        <w:bidi w:val="0"/>
        <w:adjustRightInd/>
        <w:snapToGrid/>
        <w:spacing w:line="450" w:lineRule="exact"/>
        <w:ind w:firstLine="540" w:firstLineChars="225"/>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磋商小组对通过资格性和符合性审查的响应文件进行评估，确定与各</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磋商的具体内容。</w:t>
      </w:r>
    </w:p>
    <w:p w14:paraId="471A84E8">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5.2.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磋商过程中，磋商小组可以根据磋商情况实质性变动</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需求中的技术、服务要求以及合同草案条款，但不得变动</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中的其他内容。实质性变动的内容需经采购人(业主)代表确认。并以书面形式通知所有参加磋商的供应商，该变动是</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的有效组成部分。供应商应当按照</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的变动情况和磋商小组的要求重新提交响应文件并由其法定代表人或其授权代表签字或者加盖公章。由授权代表签字的应当附法定代表人授权书。供应商为自然人的应当由本人签字并附身份证。供应商应根据磋商小组的要求，以书面形式在规定时间内做出响应，未做出响应的响应文件将被视为无效竞标。若磋商小组没有实质性变动</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需求中的技术、服务要求以及合同草案条款，则供应商的最后报价不得高于首次报价，否则按废标处理。</w:t>
      </w:r>
    </w:p>
    <w:p w14:paraId="531B8D7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磋商小组对符合</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需求的供应商进行两轮报价；供应商只有通过资格评审</w:t>
      </w:r>
      <w:r>
        <w:rPr>
          <w:rFonts w:hint="eastAsia" w:ascii="宋体" w:hAnsi="宋体" w:eastAsia="宋体" w:cs="宋体"/>
          <w:color w:val="auto"/>
          <w:sz w:val="24"/>
          <w:szCs w:val="24"/>
          <w:lang w:eastAsia="zh-CN"/>
        </w:rPr>
        <w:t>及符合性</w:t>
      </w:r>
      <w:r>
        <w:rPr>
          <w:rFonts w:hint="eastAsia" w:ascii="宋体" w:hAnsi="宋体" w:eastAsia="宋体" w:cs="宋体"/>
          <w:color w:val="auto"/>
          <w:sz w:val="24"/>
          <w:szCs w:val="24"/>
        </w:rPr>
        <w:t>评审后方可进入下一轮报价，在规定的时间内同时提交报价，最终报价不得超过响应文件中报价</w:t>
      </w:r>
      <w:r>
        <w:rPr>
          <w:rFonts w:hint="eastAsia" w:ascii="宋体" w:hAnsi="宋体" w:eastAsia="宋体" w:cs="宋体"/>
          <w:color w:val="auto"/>
          <w:sz w:val="24"/>
          <w:szCs w:val="24"/>
          <w:lang w:eastAsia="zh-CN"/>
        </w:rPr>
        <w:t>，</w:t>
      </w:r>
      <w:r>
        <w:rPr>
          <w:rFonts w:hint="eastAsia" w:ascii="宋体" w:hAnsi="宋体" w:eastAsia="宋体" w:cs="宋体"/>
          <w:bCs/>
          <w:color w:val="auto"/>
          <w:kern w:val="0"/>
          <w:sz w:val="24"/>
        </w:rPr>
        <w:t>否则按废标处理。</w:t>
      </w:r>
      <w:r>
        <w:rPr>
          <w:rFonts w:hint="eastAsia" w:ascii="宋体" w:hAnsi="宋体" w:eastAsia="宋体" w:cs="宋体"/>
          <w:b/>
          <w:color w:val="auto"/>
          <w:kern w:val="0"/>
          <w:sz w:val="24"/>
        </w:rPr>
        <w:t xml:space="preserve">（“不见面开标线上二次报价操作手册”详见：https://ggzyjy.xinyang.gov.cn/jyzn/003003/20200727/08340a93-5f32-4377-a758-267707b3c1f1.html） </w:t>
      </w:r>
      <w:r>
        <w:rPr>
          <w:rFonts w:hint="eastAsia" w:ascii="宋体" w:hAnsi="宋体" w:eastAsia="宋体" w:cs="宋体"/>
          <w:b/>
          <w:color w:val="auto"/>
          <w:kern w:val="0"/>
          <w:sz w:val="24"/>
          <w:lang w:eastAsia="zh-CN"/>
        </w:rPr>
        <w:t>（</w:t>
      </w:r>
      <w:r>
        <w:rPr>
          <w:rFonts w:hint="eastAsia" w:ascii="宋体" w:hAnsi="宋体" w:eastAsia="宋体" w:cs="宋体"/>
          <w:b/>
          <w:kern w:val="0"/>
          <w:sz w:val="24"/>
          <w:u w:val="single"/>
          <w:lang w:val="en-US" w:eastAsia="zh-CN"/>
        </w:rPr>
        <w:t>根据信阳市公共资源交易中心“关于评审过程中二次报价、在线答疑澄清等不再电话提醒的通知”</w:t>
      </w:r>
      <w:r>
        <w:rPr>
          <w:rFonts w:hint="eastAsia" w:ascii="宋体" w:hAnsi="宋体" w:eastAsia="宋体" w:cs="宋体"/>
          <w:b/>
          <w:kern w:val="0"/>
          <w:sz w:val="24"/>
          <w:lang w:val="en-US" w:eastAsia="zh-CN"/>
        </w:rPr>
        <w:t>要求</w:t>
      </w:r>
      <w:r>
        <w:rPr>
          <w:rFonts w:hint="eastAsia" w:ascii="宋体" w:hAnsi="宋体" w:eastAsia="宋体" w:cs="宋体"/>
          <w:b/>
          <w:kern w:val="0"/>
          <w:sz w:val="24"/>
          <w:u w:val="single"/>
          <w:lang w:val="en-US" w:eastAsia="zh-CN"/>
        </w:rPr>
        <w:t>“在评审过程中涉及二次报价、在线答疑澄清等不再进行电话提醒。供应商在评审过程中应当时刻关注评审进程，在短信提醒需要二次报价、在线答疑澄清时在规定时间内进行相关操作，未在规定时间内操作造成的一切后果由供应商自行承担。”</w:t>
      </w:r>
      <w:r>
        <w:rPr>
          <w:rFonts w:hint="eastAsia" w:ascii="宋体" w:hAnsi="宋体" w:eastAsia="宋体" w:cs="宋体"/>
          <w:b/>
          <w:kern w:val="0"/>
          <w:sz w:val="24"/>
          <w:lang w:eastAsia="zh-CN"/>
        </w:rPr>
        <w:t>）</w:t>
      </w:r>
    </w:p>
    <w:p w14:paraId="0A1D454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经磋商确定最终</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需求，由磋商小组采用综合评分法对通过初步评审的供应商的响应文件进行综合评分。</w:t>
      </w:r>
    </w:p>
    <w:p w14:paraId="2FDCD313">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bookmarkStart w:id="405" w:name="_Toc455080138"/>
      <w:bookmarkStart w:id="406" w:name="_Toc14039"/>
      <w:r>
        <w:rPr>
          <w:rFonts w:hint="eastAsia" w:ascii="宋体" w:hAnsi="宋体" w:eastAsia="宋体" w:cs="宋体"/>
          <w:b/>
          <w:bCs/>
          <w:color w:val="auto"/>
          <w:sz w:val="24"/>
          <w:szCs w:val="24"/>
        </w:rPr>
        <w:t>6. 磋商</w:t>
      </w:r>
      <w:bookmarkEnd w:id="405"/>
      <w:r>
        <w:rPr>
          <w:rFonts w:hint="eastAsia" w:ascii="宋体" w:hAnsi="宋体" w:eastAsia="宋体" w:cs="宋体"/>
          <w:b/>
          <w:bCs/>
          <w:color w:val="auto"/>
          <w:sz w:val="24"/>
          <w:szCs w:val="24"/>
        </w:rPr>
        <w:t>小组</w:t>
      </w:r>
      <w:bookmarkEnd w:id="406"/>
    </w:p>
    <w:p w14:paraId="2701DEDC">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407" w:name="_Toc26098"/>
      <w:bookmarkStart w:id="408" w:name="_Toc22250"/>
      <w:bookmarkStart w:id="409" w:name="_Toc152045563"/>
      <w:bookmarkStart w:id="410" w:name="_Toc144974531"/>
      <w:bookmarkStart w:id="411" w:name="_Toc152042339"/>
      <w:bookmarkStart w:id="412" w:name="_Toc9808"/>
      <w:bookmarkStart w:id="413" w:name="_Toc318450706"/>
      <w:bookmarkStart w:id="414" w:name="_Toc490667859"/>
      <w:bookmarkStart w:id="415" w:name="_Toc23138"/>
      <w:bookmarkStart w:id="416" w:name="_Toc1546"/>
      <w:bookmarkStart w:id="417" w:name="_Toc455080139"/>
      <w:bookmarkStart w:id="418" w:name="_Toc8725"/>
      <w:bookmarkStart w:id="419" w:name="_Toc1574"/>
      <w:bookmarkStart w:id="420" w:name="_Toc8157"/>
      <w:bookmarkStart w:id="421" w:name="_Toc13978"/>
      <w:bookmarkStart w:id="422" w:name="_Toc18985"/>
      <w:bookmarkStart w:id="423" w:name="_Toc466298122"/>
      <w:bookmarkStart w:id="424" w:name="_Toc455867799"/>
      <w:r>
        <w:rPr>
          <w:rFonts w:hint="eastAsia" w:ascii="宋体" w:hAnsi="宋体" w:eastAsia="宋体" w:cs="宋体"/>
          <w:b/>
          <w:bCs/>
          <w:color w:val="auto"/>
          <w:sz w:val="24"/>
          <w:szCs w:val="24"/>
        </w:rPr>
        <w:t>6.1</w:t>
      </w:r>
      <w:bookmarkEnd w:id="407"/>
      <w:bookmarkEnd w:id="408"/>
      <w:bookmarkEnd w:id="409"/>
      <w:bookmarkEnd w:id="410"/>
      <w:bookmarkEnd w:id="411"/>
      <w:bookmarkEnd w:id="412"/>
      <w:bookmarkEnd w:id="413"/>
      <w:r>
        <w:rPr>
          <w:rFonts w:hint="eastAsia" w:ascii="宋体" w:hAnsi="宋体" w:eastAsia="宋体" w:cs="宋体"/>
          <w:b/>
          <w:bCs/>
          <w:color w:val="auto"/>
          <w:sz w:val="24"/>
          <w:szCs w:val="24"/>
        </w:rPr>
        <w:t>磋商小组</w:t>
      </w:r>
      <w:bookmarkEnd w:id="414"/>
      <w:bookmarkEnd w:id="415"/>
      <w:bookmarkEnd w:id="416"/>
      <w:bookmarkEnd w:id="417"/>
      <w:bookmarkEnd w:id="418"/>
      <w:bookmarkEnd w:id="419"/>
      <w:bookmarkEnd w:id="420"/>
      <w:bookmarkEnd w:id="421"/>
      <w:bookmarkEnd w:id="422"/>
      <w:bookmarkEnd w:id="423"/>
      <w:bookmarkEnd w:id="424"/>
    </w:p>
    <w:p w14:paraId="16C71CA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磋商由采购人依法组建的磋商小组负责。磋商小组由采购人代表以及有关技术、经济等方面的专家组成。磋商小组成员人数以及技术、经济等方面专家的确定方式见供应商须知前附表。</w:t>
      </w:r>
    </w:p>
    <w:p w14:paraId="0707BD30">
      <w:pPr>
        <w:pStyle w:val="89"/>
        <w:pageBreakBefore w:val="0"/>
        <w:tabs>
          <w:tab w:val="left" w:pos="2620"/>
        </w:tabs>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425" w:name="_Toc152042340"/>
      <w:bookmarkStart w:id="426" w:name="_Toc152045564"/>
      <w:bookmarkStart w:id="427" w:name="_Toc455867800"/>
      <w:bookmarkStart w:id="428" w:name="_Toc27035"/>
      <w:bookmarkStart w:id="429" w:name="_Toc8248"/>
      <w:bookmarkStart w:id="430" w:name="_Toc7286"/>
      <w:bookmarkStart w:id="431" w:name="_Toc21102"/>
      <w:bookmarkStart w:id="432" w:name="_Toc318450707"/>
      <w:bookmarkStart w:id="433" w:name="_Toc4435"/>
      <w:bookmarkStart w:id="434" w:name="_Toc25721"/>
      <w:bookmarkStart w:id="435" w:name="_Toc9532"/>
      <w:bookmarkStart w:id="436" w:name="_Toc22143"/>
      <w:bookmarkStart w:id="437" w:name="_Toc144974532"/>
      <w:bookmarkStart w:id="438" w:name="_Toc13368"/>
      <w:bookmarkStart w:id="439" w:name="_Toc490667860"/>
      <w:bookmarkStart w:id="440" w:name="_Toc8240"/>
      <w:bookmarkStart w:id="441" w:name="_Toc455080140"/>
      <w:bookmarkStart w:id="442" w:name="_Toc466298123"/>
      <w:r>
        <w:rPr>
          <w:rFonts w:hint="eastAsia" w:ascii="宋体" w:hAnsi="宋体" w:eastAsia="宋体" w:cs="宋体"/>
          <w:b/>
          <w:bCs/>
          <w:color w:val="auto"/>
          <w:sz w:val="24"/>
          <w:szCs w:val="24"/>
        </w:rPr>
        <w:t>6.2 磋商原则</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787BD453">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磋商活动遵循公平、公正、科学和择优的原则。</w:t>
      </w:r>
    </w:p>
    <w:p w14:paraId="3174BAEF">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color w:val="auto"/>
          <w:sz w:val="24"/>
          <w:szCs w:val="24"/>
        </w:rPr>
      </w:pPr>
      <w:bookmarkStart w:id="443" w:name="_Toc144974533"/>
      <w:bookmarkStart w:id="444" w:name="_Toc152042341"/>
      <w:bookmarkStart w:id="445" w:name="_Toc16725"/>
      <w:bookmarkStart w:id="446" w:name="_Toc152045565"/>
      <w:bookmarkStart w:id="447" w:name="_Toc318450708"/>
      <w:bookmarkStart w:id="448" w:name="_Toc15595"/>
      <w:bookmarkStart w:id="449" w:name="_Toc8705"/>
      <w:bookmarkStart w:id="450" w:name="_Toc20062"/>
      <w:bookmarkStart w:id="451" w:name="_Toc24358"/>
      <w:bookmarkStart w:id="452" w:name="_Toc466298124"/>
      <w:bookmarkStart w:id="453" w:name="_Toc3606"/>
      <w:bookmarkStart w:id="454" w:name="_Toc28734"/>
      <w:bookmarkStart w:id="455" w:name="_Toc455867801"/>
      <w:bookmarkStart w:id="456" w:name="_Toc18756"/>
      <w:bookmarkStart w:id="457" w:name="_Toc7890"/>
      <w:bookmarkStart w:id="458" w:name="_Toc27036"/>
      <w:bookmarkStart w:id="459" w:name="_Toc455080141"/>
      <w:bookmarkStart w:id="460" w:name="_Toc490667861"/>
      <w:r>
        <w:rPr>
          <w:rFonts w:hint="eastAsia" w:ascii="宋体" w:hAnsi="宋体" w:eastAsia="宋体" w:cs="宋体"/>
          <w:b/>
          <w:bCs/>
          <w:color w:val="auto"/>
          <w:sz w:val="24"/>
          <w:szCs w:val="24"/>
        </w:rPr>
        <w:t xml:space="preserve">6.3 </w:t>
      </w:r>
      <w:bookmarkEnd w:id="443"/>
      <w:bookmarkEnd w:id="444"/>
      <w:bookmarkEnd w:id="445"/>
      <w:bookmarkEnd w:id="446"/>
      <w:bookmarkEnd w:id="447"/>
      <w:bookmarkEnd w:id="448"/>
      <w:bookmarkEnd w:id="449"/>
      <w:r>
        <w:rPr>
          <w:rFonts w:hint="eastAsia" w:ascii="宋体" w:hAnsi="宋体" w:eastAsia="宋体" w:cs="宋体"/>
          <w:b/>
          <w:bCs/>
          <w:color w:val="auto"/>
          <w:sz w:val="24"/>
          <w:szCs w:val="24"/>
        </w:rPr>
        <w:t>磋商</w:t>
      </w:r>
      <w:bookmarkEnd w:id="450"/>
      <w:bookmarkEnd w:id="451"/>
      <w:bookmarkEnd w:id="452"/>
      <w:bookmarkEnd w:id="453"/>
      <w:bookmarkEnd w:id="454"/>
      <w:bookmarkEnd w:id="455"/>
      <w:bookmarkEnd w:id="456"/>
      <w:bookmarkEnd w:id="457"/>
      <w:bookmarkEnd w:id="458"/>
      <w:bookmarkEnd w:id="459"/>
      <w:bookmarkEnd w:id="460"/>
    </w:p>
    <w:p w14:paraId="0D8E5A1A">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磋商小组按照第三章“评审办法”规定的方法、评审因素、标准和程序对响应文件进行评审。第三章“评审办法”没有规定的方法、评审因素和标准，不作为</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依据。</w:t>
      </w:r>
    </w:p>
    <w:p w14:paraId="03E474BB">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bookmarkStart w:id="461" w:name="_Toc455080142"/>
      <w:bookmarkStart w:id="462" w:name="_Toc144974534"/>
      <w:bookmarkStart w:id="463" w:name="_Toc152042342"/>
      <w:bookmarkStart w:id="464" w:name="_Toc9522"/>
      <w:bookmarkStart w:id="465" w:name="_Toc152045566"/>
      <w:r>
        <w:rPr>
          <w:rFonts w:hint="eastAsia" w:ascii="宋体" w:hAnsi="宋体" w:eastAsia="宋体" w:cs="宋体"/>
          <w:b/>
          <w:bCs/>
          <w:color w:val="auto"/>
          <w:sz w:val="24"/>
          <w:szCs w:val="24"/>
        </w:rPr>
        <w:t>7. 合同授予</w:t>
      </w:r>
      <w:bookmarkEnd w:id="461"/>
      <w:bookmarkEnd w:id="462"/>
      <w:bookmarkEnd w:id="463"/>
      <w:bookmarkEnd w:id="464"/>
      <w:bookmarkEnd w:id="465"/>
    </w:p>
    <w:p w14:paraId="6C6F7322">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466" w:name="_Toc29686"/>
      <w:bookmarkStart w:id="467" w:name="_Toc25316"/>
      <w:bookmarkStart w:id="468" w:name="_Toc466298126"/>
      <w:bookmarkStart w:id="469" w:name="_Toc455080143"/>
      <w:bookmarkStart w:id="470" w:name="_Toc22461"/>
      <w:bookmarkStart w:id="471" w:name="_Toc17660"/>
      <w:bookmarkStart w:id="472" w:name="_Toc318450710"/>
      <w:bookmarkStart w:id="473" w:name="_Toc144974535"/>
      <w:bookmarkStart w:id="474" w:name="_Toc490667863"/>
      <w:bookmarkStart w:id="475" w:name="_Toc152042343"/>
      <w:bookmarkStart w:id="476" w:name="_Toc28919"/>
      <w:bookmarkStart w:id="477" w:name="_Toc11409"/>
      <w:bookmarkStart w:id="478" w:name="_Toc7358"/>
      <w:bookmarkStart w:id="479" w:name="_Toc152045567"/>
      <w:bookmarkStart w:id="480" w:name="_Toc14528"/>
      <w:bookmarkStart w:id="481" w:name="_Toc20777"/>
      <w:bookmarkStart w:id="482" w:name="_Toc29664"/>
      <w:bookmarkStart w:id="483" w:name="_Toc455867803"/>
      <w:r>
        <w:rPr>
          <w:rFonts w:hint="eastAsia" w:ascii="宋体" w:hAnsi="宋体" w:eastAsia="宋体" w:cs="宋体"/>
          <w:b/>
          <w:bCs/>
          <w:color w:val="auto"/>
          <w:sz w:val="24"/>
          <w:szCs w:val="24"/>
        </w:rPr>
        <w:t xml:space="preserve">7.1 </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Fonts w:hint="eastAsia" w:ascii="宋体" w:hAnsi="宋体" w:eastAsia="宋体" w:cs="宋体"/>
          <w:b/>
          <w:bCs/>
          <w:color w:val="auto"/>
          <w:sz w:val="24"/>
          <w:szCs w:val="24"/>
          <w:lang w:val="en-US" w:eastAsia="zh-CN"/>
        </w:rPr>
        <w:t>确定成交</w:t>
      </w:r>
      <w:r>
        <w:rPr>
          <w:rFonts w:hint="eastAsia" w:ascii="宋体" w:hAnsi="宋体" w:eastAsia="宋体" w:cs="宋体"/>
          <w:b/>
          <w:bCs/>
          <w:color w:val="auto"/>
          <w:sz w:val="24"/>
          <w:szCs w:val="24"/>
        </w:rPr>
        <w:t>方式</w:t>
      </w:r>
    </w:p>
    <w:p w14:paraId="339722C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eastAsia="zh-CN"/>
        </w:rPr>
      </w:pPr>
      <w:bookmarkStart w:id="484" w:name="_Toc28254"/>
      <w:bookmarkStart w:id="485" w:name="_Toc318450711"/>
      <w:bookmarkStart w:id="486" w:name="_Toc10868"/>
      <w:bookmarkStart w:id="487" w:name="_Toc152042344"/>
      <w:bookmarkStart w:id="488" w:name="_Toc7066"/>
      <w:bookmarkStart w:id="489" w:name="_Toc152045568"/>
      <w:bookmarkStart w:id="490" w:name="_Toc144974536"/>
      <w:r>
        <w:rPr>
          <w:rFonts w:hint="eastAsia" w:ascii="宋体" w:hAnsi="宋体" w:eastAsia="宋体" w:cs="宋体"/>
          <w:color w:val="auto"/>
          <w:sz w:val="24"/>
          <w:szCs w:val="24"/>
        </w:rPr>
        <w:t>除供应商须知前附表规定磋商小组直接确定成交人外，采购人依据磋商小组推荐的成交候选人确定成交人，磋商小组推荐成交候选人的人数见供应商须知前附表。采购人将依序确定排名第一的供应商为成交人，若第一成交候选人放弃成交、因不可抗力不能履行合同，或者被查实存在影响成交结果的违法行为等情形，不符合成交条件的，采购人可以按照磋商小组提出的成交候选人名单排序依次确定其他成交候选人为成交人，也可以重新磋商。</w:t>
      </w:r>
    </w:p>
    <w:p w14:paraId="01B0D64C">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491" w:name="_Toc9775"/>
      <w:bookmarkStart w:id="492" w:name="_Toc28177"/>
      <w:bookmarkStart w:id="493" w:name="_Toc5428"/>
      <w:bookmarkStart w:id="494" w:name="_Toc15825"/>
      <w:bookmarkStart w:id="495" w:name="_Toc16163"/>
      <w:bookmarkStart w:id="496" w:name="_Toc466298127"/>
      <w:bookmarkStart w:id="497" w:name="_Toc490667864"/>
      <w:bookmarkStart w:id="498" w:name="_Toc455080144"/>
      <w:bookmarkStart w:id="499" w:name="_Toc455867804"/>
      <w:bookmarkStart w:id="500" w:name="_Toc9897"/>
      <w:bookmarkStart w:id="501" w:name="_Toc5668"/>
      <w:r>
        <w:rPr>
          <w:rFonts w:hint="eastAsia" w:ascii="宋体" w:hAnsi="宋体" w:eastAsia="宋体" w:cs="宋体"/>
          <w:b/>
          <w:bCs/>
          <w:color w:val="auto"/>
          <w:sz w:val="24"/>
          <w:szCs w:val="24"/>
        </w:rPr>
        <w:t>7.2 成交通知</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72FDEC9C">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采购代理机构应当在</w:t>
      </w:r>
      <w:r>
        <w:rPr>
          <w:rFonts w:hint="eastAsia" w:ascii="宋体" w:hAnsi="宋体" w:eastAsia="宋体" w:cs="宋体"/>
          <w:color w:val="auto"/>
          <w:sz w:val="24"/>
          <w:szCs w:val="24"/>
          <w:highlight w:val="none"/>
          <w:lang w:val="en-US" w:eastAsia="zh-CN"/>
        </w:rPr>
        <w:t>评审结束后2个工作日内</w:t>
      </w:r>
      <w:r>
        <w:rPr>
          <w:rFonts w:hint="eastAsia" w:ascii="宋体" w:hAnsi="宋体" w:eastAsia="宋体" w:cs="宋体"/>
          <w:color w:val="auto"/>
          <w:sz w:val="24"/>
          <w:szCs w:val="24"/>
          <w:lang w:val="en-US" w:eastAsia="zh-CN"/>
        </w:rPr>
        <w:t>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现压缩为评审结束当天确定评审结果</w:t>
      </w:r>
      <w:r>
        <w:rPr>
          <w:rFonts w:hint="eastAsia" w:ascii="宋体" w:hAnsi="宋体" w:eastAsia="宋体" w:cs="宋体"/>
          <w:color w:val="auto"/>
          <w:sz w:val="24"/>
          <w:szCs w:val="24"/>
          <w:lang w:eastAsia="zh-CN"/>
        </w:rPr>
        <w:t>）</w:t>
      </w:r>
    </w:p>
    <w:p w14:paraId="4C688FD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采购人应当在成交人确定后 2 个工作日内（现压缩为1个工作日内），在公告发布的同一媒介上公告成交结果，同时向成交供应商发出成交通知书，并将磋商文件随成交结果同时公告，公告期限1个工作日。竞争性磋商结果将在磋商公告发布的同一媒介上公示。</w:t>
      </w:r>
    </w:p>
    <w:p w14:paraId="15436E1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成交通知书是合同文件的组成部分。</w:t>
      </w:r>
    </w:p>
    <w:p w14:paraId="6CEE8CD7">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在本章第3.</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款规定的磋商有效期内，采购人以书面形式</w:t>
      </w:r>
      <w:r>
        <w:rPr>
          <w:rFonts w:hint="eastAsia" w:ascii="宋体" w:hAnsi="宋体" w:eastAsia="宋体" w:cs="宋体"/>
          <w:bCs/>
          <w:color w:val="000000"/>
          <w:sz w:val="24"/>
          <w:szCs w:val="24"/>
          <w:lang w:eastAsia="zh-CN"/>
        </w:rPr>
        <w:t>或在线</w:t>
      </w:r>
      <w:r>
        <w:rPr>
          <w:rFonts w:hint="eastAsia" w:ascii="宋体" w:hAnsi="宋体" w:eastAsia="宋体" w:cs="宋体"/>
          <w:color w:val="auto"/>
          <w:sz w:val="24"/>
          <w:szCs w:val="24"/>
        </w:rPr>
        <w:t>向成交人发出成交通知书，同时将成交结果通知未成交的供应商。</w:t>
      </w:r>
      <w:r>
        <w:rPr>
          <w:rFonts w:hint="eastAsia" w:ascii="宋体" w:hAnsi="宋体" w:eastAsia="宋体" w:cs="宋体"/>
          <w:color w:val="auto"/>
          <w:sz w:val="24"/>
          <w:szCs w:val="24"/>
          <w:lang w:eastAsia="zh-CN"/>
        </w:rPr>
        <w:t>（</w:t>
      </w:r>
      <w:r>
        <w:rPr>
          <w:rFonts w:hint="eastAsia" w:ascii="宋体" w:hAnsi="宋体" w:eastAsia="宋体" w:cs="宋体"/>
          <w:kern w:val="0"/>
          <w:sz w:val="24"/>
          <w:lang w:val="en-US" w:eastAsia="zh-CN"/>
        </w:rPr>
        <w:t>结果公告发布当天发出成交通知书</w:t>
      </w:r>
      <w:r>
        <w:rPr>
          <w:rFonts w:hint="eastAsia" w:ascii="宋体" w:hAnsi="宋体" w:eastAsia="宋体" w:cs="宋体"/>
          <w:color w:val="auto"/>
          <w:sz w:val="24"/>
          <w:szCs w:val="24"/>
          <w:lang w:eastAsia="zh-CN"/>
        </w:rPr>
        <w:t>）</w:t>
      </w:r>
    </w:p>
    <w:p w14:paraId="05A3A65A">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7.3 履约保证金</w:t>
      </w:r>
    </w:p>
    <w:p w14:paraId="1440D1EF">
      <w:pPr>
        <w:pageBreakBefore w:val="0"/>
        <w:kinsoku/>
        <w:wordWrap/>
        <w:overflowPunct/>
        <w:topLinePunct w:val="0"/>
        <w:autoSpaceDE/>
        <w:autoSpaceDN/>
        <w:bidi w:val="0"/>
        <w:adjustRightInd/>
        <w:snapToGrid/>
        <w:spacing w:line="450" w:lineRule="exact"/>
        <w:ind w:left="0" w:leftChars="0" w:firstLine="482" w:firstLineChars="200"/>
        <w:textAlignment w:val="auto"/>
        <w:rPr>
          <w:rFonts w:hint="eastAsia" w:ascii="宋体" w:hAnsi="宋体" w:eastAsia="宋体" w:cs="宋体"/>
          <w:b/>
          <w:bCs/>
          <w:color w:val="auto"/>
          <w:sz w:val="24"/>
          <w:szCs w:val="24"/>
          <w:lang w:val="en-US" w:eastAsia="zh-CN"/>
        </w:rPr>
      </w:pPr>
      <w:bookmarkStart w:id="502" w:name="_Toc152045570"/>
      <w:bookmarkStart w:id="503" w:name="_Toc455867805"/>
      <w:bookmarkStart w:id="504" w:name="_Toc12663"/>
      <w:bookmarkStart w:id="505" w:name="_Toc21271"/>
      <w:bookmarkStart w:id="506" w:name="_Toc13147"/>
      <w:bookmarkStart w:id="507" w:name="_Toc490667865"/>
      <w:bookmarkStart w:id="508" w:name="_Toc15458"/>
      <w:bookmarkStart w:id="509" w:name="_Toc26760"/>
      <w:bookmarkStart w:id="510" w:name="_Toc318450712"/>
      <w:bookmarkStart w:id="511" w:name="_Toc144974538"/>
      <w:bookmarkStart w:id="512" w:name="_Toc26655"/>
      <w:bookmarkStart w:id="513" w:name="_Toc466298128"/>
      <w:bookmarkStart w:id="514" w:name="_Toc26915"/>
      <w:bookmarkStart w:id="515" w:name="_Toc8886"/>
      <w:bookmarkStart w:id="516" w:name="_Toc24026"/>
      <w:bookmarkStart w:id="517" w:name="_Toc455080145"/>
      <w:bookmarkStart w:id="518" w:name="_Toc10082"/>
      <w:bookmarkStart w:id="519" w:name="_Toc152042346"/>
      <w:r>
        <w:rPr>
          <w:rFonts w:hint="eastAsia" w:ascii="宋体" w:hAnsi="宋体" w:eastAsia="宋体" w:cs="宋体"/>
          <w:b/>
          <w:bCs/>
          <w:color w:val="auto"/>
          <w:sz w:val="24"/>
          <w:szCs w:val="24"/>
          <w:lang w:val="en-US" w:eastAsia="zh-CN"/>
        </w:rPr>
        <w:t>免收履约保证金</w:t>
      </w:r>
    </w:p>
    <w:p w14:paraId="6FFAA36B">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7.</w:t>
      </w:r>
      <w:r>
        <w:rPr>
          <w:rFonts w:hint="eastAsia" w:ascii="宋体" w:hAnsi="宋体" w:eastAsia="宋体" w:cs="宋体"/>
          <w:b/>
          <w:bCs/>
          <w:color w:val="auto"/>
          <w:sz w:val="24"/>
          <w:szCs w:val="24"/>
          <w:lang w:val="en-US" w:eastAsia="zh-CN"/>
        </w:rPr>
        <w:t>4</w:t>
      </w:r>
      <w:r>
        <w:rPr>
          <w:rFonts w:hint="eastAsia" w:ascii="宋体" w:hAnsi="宋体" w:eastAsia="宋体" w:cs="宋体"/>
          <w:b/>
          <w:bCs/>
          <w:color w:val="auto"/>
          <w:sz w:val="24"/>
          <w:szCs w:val="24"/>
        </w:rPr>
        <w:t xml:space="preserve"> 签订合同</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278B78E5">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.1</w:t>
      </w:r>
      <w:r>
        <w:rPr>
          <w:rFonts w:hint="eastAsia" w:ascii="宋体" w:hAnsi="宋体" w:eastAsia="宋体" w:cs="宋体"/>
          <w:bCs/>
          <w:color w:val="auto"/>
          <w:sz w:val="24"/>
          <w:szCs w:val="24"/>
          <w:lang w:eastAsia="zh-CN"/>
        </w:rPr>
        <w:t>采购人</w:t>
      </w:r>
      <w:r>
        <w:rPr>
          <w:rFonts w:hint="eastAsia" w:ascii="宋体" w:hAnsi="宋体" w:eastAsia="宋体" w:cs="宋体"/>
          <w:bCs/>
          <w:color w:val="auto"/>
          <w:sz w:val="24"/>
          <w:szCs w:val="24"/>
        </w:rPr>
        <w:t>和</w:t>
      </w:r>
      <w:r>
        <w:rPr>
          <w:rFonts w:hint="eastAsia" w:ascii="宋体" w:hAnsi="宋体" w:eastAsia="宋体" w:cs="宋体"/>
          <w:bCs/>
          <w:color w:val="auto"/>
          <w:sz w:val="24"/>
          <w:szCs w:val="24"/>
          <w:lang w:val="en-US" w:eastAsia="zh-CN"/>
        </w:rPr>
        <w:t>成交</w:t>
      </w:r>
      <w:r>
        <w:rPr>
          <w:rFonts w:hint="eastAsia" w:ascii="宋体" w:hAnsi="宋体" w:eastAsia="宋体" w:cs="宋体"/>
          <w:bCs/>
          <w:color w:val="auto"/>
          <w:sz w:val="24"/>
          <w:szCs w:val="24"/>
        </w:rPr>
        <w:t>人应当自</w:t>
      </w:r>
      <w:r>
        <w:rPr>
          <w:rFonts w:hint="eastAsia" w:ascii="宋体" w:hAnsi="宋体" w:eastAsia="宋体" w:cs="宋体"/>
          <w:bCs/>
          <w:color w:val="auto"/>
          <w:sz w:val="24"/>
          <w:szCs w:val="24"/>
          <w:lang w:val="en-US" w:eastAsia="zh-CN"/>
        </w:rPr>
        <w:t>成交</w:t>
      </w:r>
      <w:r>
        <w:rPr>
          <w:rFonts w:hint="eastAsia" w:ascii="宋体" w:hAnsi="宋体" w:eastAsia="宋体" w:cs="宋体"/>
          <w:bCs/>
          <w:color w:val="auto"/>
          <w:sz w:val="24"/>
          <w:szCs w:val="24"/>
        </w:rPr>
        <w:t>通知书发出之日起</w:t>
      </w:r>
      <w:r>
        <w:rPr>
          <w:rFonts w:hint="eastAsia" w:ascii="宋体" w:hAnsi="宋体" w:eastAsia="宋体" w:cs="宋体"/>
          <w:bCs/>
          <w:color w:val="auto"/>
          <w:sz w:val="24"/>
          <w:szCs w:val="24"/>
          <w:lang w:val="en-US" w:eastAsia="zh-CN"/>
        </w:rPr>
        <w:t>30日</w:t>
      </w:r>
      <w:r>
        <w:rPr>
          <w:rFonts w:hint="eastAsia" w:ascii="宋体" w:hAnsi="宋体" w:eastAsia="宋体" w:cs="宋体"/>
          <w:bCs/>
          <w:color w:val="auto"/>
          <w:sz w:val="24"/>
          <w:szCs w:val="24"/>
        </w:rPr>
        <w:t>内</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现压缩为成交通知书发出之日起1个工作日内签订合同</w:t>
      </w:r>
      <w:r>
        <w:rPr>
          <w:rFonts w:hint="eastAsia" w:ascii="宋体" w:hAnsi="宋体" w:eastAsia="宋体" w:cs="宋体"/>
          <w:bCs/>
          <w:color w:val="000000"/>
          <w:sz w:val="24"/>
          <w:szCs w:val="24"/>
          <w:lang w:eastAsia="zh-CN"/>
        </w:rPr>
        <w:t>）</w:t>
      </w:r>
      <w:r>
        <w:rPr>
          <w:rFonts w:hint="eastAsia" w:ascii="宋体" w:hAnsi="宋体" w:eastAsia="宋体" w:cs="宋体"/>
          <w:bCs/>
          <w:color w:val="auto"/>
          <w:sz w:val="24"/>
          <w:szCs w:val="24"/>
        </w:rPr>
        <w:t>，根据</w:t>
      </w:r>
      <w:r>
        <w:rPr>
          <w:rFonts w:hint="eastAsia" w:ascii="宋体" w:hAnsi="宋体" w:eastAsia="宋体" w:cs="宋体"/>
          <w:bCs/>
          <w:color w:val="auto"/>
          <w:sz w:val="24"/>
          <w:szCs w:val="24"/>
          <w:lang w:val="en-US" w:eastAsia="zh-CN"/>
        </w:rPr>
        <w:t>采购</w:t>
      </w:r>
      <w:r>
        <w:rPr>
          <w:rFonts w:hint="eastAsia" w:ascii="宋体" w:hAnsi="宋体" w:eastAsia="宋体" w:cs="宋体"/>
          <w:bCs/>
          <w:color w:val="auto"/>
          <w:sz w:val="24"/>
          <w:szCs w:val="24"/>
        </w:rPr>
        <w:t>文件和</w:t>
      </w:r>
      <w:r>
        <w:rPr>
          <w:rFonts w:hint="eastAsia" w:ascii="宋体" w:hAnsi="宋体" w:eastAsia="宋体" w:cs="宋体"/>
          <w:bCs/>
          <w:color w:val="auto"/>
          <w:sz w:val="24"/>
          <w:szCs w:val="24"/>
          <w:lang w:val="en-US" w:eastAsia="zh-CN"/>
        </w:rPr>
        <w:t>成交</w:t>
      </w:r>
      <w:r>
        <w:rPr>
          <w:rFonts w:hint="eastAsia" w:ascii="宋体" w:hAnsi="宋体" w:eastAsia="宋体" w:cs="宋体"/>
          <w:bCs/>
          <w:color w:val="auto"/>
          <w:sz w:val="24"/>
          <w:szCs w:val="24"/>
        </w:rPr>
        <w:t>人的</w:t>
      </w:r>
      <w:r>
        <w:rPr>
          <w:rFonts w:hint="eastAsia" w:ascii="宋体" w:hAnsi="宋体" w:eastAsia="宋体" w:cs="宋体"/>
          <w:bCs/>
          <w:color w:val="auto"/>
          <w:sz w:val="24"/>
          <w:szCs w:val="24"/>
          <w:lang w:val="en-US" w:eastAsia="zh-CN"/>
        </w:rPr>
        <w:t>响应</w:t>
      </w:r>
      <w:r>
        <w:rPr>
          <w:rFonts w:hint="eastAsia" w:ascii="宋体" w:hAnsi="宋体" w:eastAsia="宋体" w:cs="宋体"/>
          <w:bCs/>
          <w:color w:val="auto"/>
          <w:sz w:val="24"/>
          <w:szCs w:val="24"/>
        </w:rPr>
        <w:t>文件订立书面合同。</w:t>
      </w:r>
      <w:r>
        <w:rPr>
          <w:rFonts w:hint="eastAsia" w:ascii="宋体" w:hAnsi="宋体" w:eastAsia="宋体" w:cs="宋体"/>
          <w:color w:val="auto"/>
          <w:sz w:val="24"/>
          <w:szCs w:val="24"/>
        </w:rPr>
        <w:t>成交人无正当理由拒签合同的，采购人取消其成交资格</w:t>
      </w:r>
      <w:r>
        <w:rPr>
          <w:rFonts w:hint="eastAsia" w:ascii="宋体" w:hAnsi="宋体" w:eastAsia="宋体" w:cs="宋体"/>
          <w:color w:val="auto"/>
          <w:sz w:val="24"/>
          <w:szCs w:val="24"/>
          <w:lang w:eastAsia="zh-CN"/>
        </w:rPr>
        <w:t>，</w:t>
      </w:r>
      <w:r>
        <w:rPr>
          <w:rFonts w:hint="eastAsia" w:ascii="宋体" w:hAnsi="宋体" w:eastAsia="宋体" w:cs="宋体"/>
          <w:bCs/>
          <w:color w:val="000000"/>
          <w:sz w:val="24"/>
          <w:szCs w:val="24"/>
          <w:lang w:eastAsia="zh-CN"/>
        </w:rPr>
        <w:t>采购人可</w:t>
      </w:r>
      <w:r>
        <w:rPr>
          <w:rFonts w:hint="eastAsia" w:ascii="宋体" w:hAnsi="宋体" w:eastAsia="宋体" w:cs="宋体"/>
          <w:bCs/>
          <w:color w:val="000000"/>
          <w:sz w:val="24"/>
          <w:szCs w:val="24"/>
          <w:lang w:val="en-US" w:eastAsia="zh-CN"/>
        </w:rPr>
        <w:t>按照评审报告提出的成交候选供应商由高到低的原则确定</w:t>
      </w:r>
      <w:r>
        <w:rPr>
          <w:rFonts w:hint="eastAsia" w:ascii="宋体" w:hAnsi="宋体" w:eastAsia="宋体" w:cs="宋体"/>
          <w:bCs/>
          <w:color w:val="000000"/>
          <w:sz w:val="24"/>
          <w:szCs w:val="24"/>
          <w:lang w:eastAsia="zh-CN"/>
        </w:rPr>
        <w:t>下一个</w:t>
      </w:r>
      <w:r>
        <w:rPr>
          <w:rFonts w:hint="eastAsia" w:ascii="宋体" w:hAnsi="宋体" w:eastAsia="宋体" w:cs="宋体"/>
          <w:bCs/>
          <w:color w:val="000000"/>
          <w:sz w:val="24"/>
          <w:szCs w:val="24"/>
          <w:lang w:val="en-US" w:eastAsia="zh-CN"/>
        </w:rPr>
        <w:t>评审</w:t>
      </w:r>
      <w:r>
        <w:rPr>
          <w:rFonts w:hint="eastAsia" w:ascii="宋体" w:hAnsi="宋体" w:eastAsia="宋体" w:cs="宋体"/>
          <w:bCs/>
          <w:color w:val="000000"/>
          <w:sz w:val="24"/>
          <w:szCs w:val="24"/>
          <w:lang w:eastAsia="zh-CN"/>
        </w:rPr>
        <w:t>得分高的</w:t>
      </w:r>
      <w:r>
        <w:rPr>
          <w:rFonts w:hint="eastAsia" w:ascii="宋体" w:hAnsi="宋体" w:eastAsia="宋体" w:cs="宋体"/>
          <w:bCs/>
          <w:color w:val="000000"/>
          <w:sz w:val="24"/>
          <w:szCs w:val="24"/>
          <w:lang w:val="en-US" w:eastAsia="zh-CN"/>
        </w:rPr>
        <w:t>成交候选供应商作为成交供应商并签订政府采购合同</w:t>
      </w:r>
      <w:r>
        <w:rPr>
          <w:rFonts w:hint="eastAsia" w:ascii="宋体" w:hAnsi="宋体" w:eastAsia="宋体" w:cs="宋体"/>
          <w:bCs/>
          <w:color w:val="000000"/>
          <w:sz w:val="24"/>
          <w:szCs w:val="24"/>
          <w:lang w:eastAsia="zh-CN"/>
        </w:rPr>
        <w:t>或重新</w:t>
      </w:r>
      <w:r>
        <w:rPr>
          <w:rFonts w:hint="eastAsia" w:ascii="宋体" w:hAnsi="宋体" w:eastAsia="宋体" w:cs="宋体"/>
          <w:bCs/>
          <w:color w:val="000000"/>
          <w:sz w:val="24"/>
          <w:szCs w:val="24"/>
          <w:lang w:val="en-US" w:eastAsia="zh-CN"/>
        </w:rPr>
        <w:t>开展采购活动</w:t>
      </w:r>
      <w:r>
        <w:rPr>
          <w:rFonts w:hint="eastAsia" w:ascii="宋体" w:hAnsi="宋体" w:eastAsia="宋体" w:cs="宋体"/>
          <w:bCs/>
          <w:color w:val="000000"/>
          <w:sz w:val="24"/>
          <w:szCs w:val="24"/>
          <w:lang w:eastAsia="zh-CN"/>
        </w:rPr>
        <w:t>。</w:t>
      </w:r>
      <w:r>
        <w:rPr>
          <w:rFonts w:hint="eastAsia" w:ascii="宋体" w:hAnsi="宋体" w:eastAsia="宋体" w:cs="宋体"/>
          <w:bCs/>
          <w:color w:val="000000"/>
          <w:sz w:val="24"/>
          <w:szCs w:val="24"/>
          <w:lang w:val="en-US" w:eastAsia="zh-CN"/>
        </w:rPr>
        <w:t>拒绝签订政府采购合同的成交供应商不得参加对该项目重新开展的采购活动。</w:t>
      </w:r>
      <w:r>
        <w:rPr>
          <w:rFonts w:hint="eastAsia" w:ascii="宋体" w:hAnsi="宋体" w:eastAsia="宋体" w:cs="宋体"/>
          <w:color w:val="auto"/>
          <w:sz w:val="24"/>
          <w:szCs w:val="24"/>
        </w:rPr>
        <w:t>给采购人</w:t>
      </w:r>
      <w:r>
        <w:rPr>
          <w:rFonts w:hint="eastAsia" w:ascii="宋体" w:hAnsi="宋体" w:cs="宋体"/>
          <w:color w:val="auto"/>
          <w:sz w:val="24"/>
          <w:szCs w:val="24"/>
          <w:lang w:eastAsia="zh-CN"/>
        </w:rPr>
        <w:t>造成</w:t>
      </w:r>
      <w:r>
        <w:rPr>
          <w:rFonts w:hint="eastAsia" w:ascii="宋体" w:hAnsi="宋体" w:eastAsia="宋体" w:cs="宋体"/>
          <w:color w:val="auto"/>
          <w:sz w:val="24"/>
          <w:szCs w:val="24"/>
        </w:rPr>
        <w:t xml:space="preserve">损失的，成交人还应当予以赔偿。 </w:t>
      </w:r>
    </w:p>
    <w:p w14:paraId="55397E03">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.2 发出成交通知书后，采购人无正当理由拒签合同的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给成交人造成损失的，还应当赔偿损失。 </w:t>
      </w:r>
    </w:p>
    <w:p w14:paraId="4A1238B1">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
          <w:bCs/>
          <w:color w:val="auto"/>
          <w:sz w:val="24"/>
          <w:szCs w:val="24"/>
        </w:rPr>
      </w:pPr>
      <w:bookmarkStart w:id="520" w:name="_Toc455080146"/>
      <w:bookmarkStart w:id="521" w:name="_Toc16866"/>
      <w:r>
        <w:rPr>
          <w:rFonts w:hint="eastAsia" w:ascii="宋体" w:hAnsi="宋体" w:eastAsia="宋体" w:cs="宋体"/>
          <w:sz w:val="24"/>
          <w:szCs w:val="32"/>
          <w:lang w:val="en-US" w:eastAsia="zh-CN"/>
        </w:rPr>
        <w:t>7.4.3</w:t>
      </w:r>
      <w:r>
        <w:rPr>
          <w:rFonts w:hint="eastAsia" w:ascii="宋体" w:hAnsi="宋体" w:eastAsia="宋体" w:cs="宋体"/>
          <w:sz w:val="24"/>
          <w:szCs w:val="32"/>
        </w:rPr>
        <w:t>依据《中华人民共和国政府采购法实施条例》第五十条规定，采购人应当自政府采购合同签订之日起2个工作日内</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压缩为签订合同后1个工作日内进行合同备案</w:t>
      </w:r>
      <w:r>
        <w:rPr>
          <w:rFonts w:hint="eastAsia" w:ascii="宋体" w:hAnsi="宋体" w:eastAsia="宋体" w:cs="宋体"/>
          <w:sz w:val="24"/>
          <w:szCs w:val="32"/>
          <w:lang w:eastAsia="zh-CN"/>
        </w:rPr>
        <w:t>）</w:t>
      </w:r>
      <w:r>
        <w:rPr>
          <w:rFonts w:hint="eastAsia" w:ascii="宋体" w:hAnsi="宋体" w:eastAsia="宋体" w:cs="宋体"/>
          <w:sz w:val="24"/>
          <w:szCs w:val="32"/>
        </w:rPr>
        <w:t>，将政府采购合同在省级以上人民政府财务部门指定的媒体上公告，但政府采购合同中涉及国家秘密、商业秘密的内容除外。</w:t>
      </w:r>
    </w:p>
    <w:p w14:paraId="1FF074E3">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8.</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重新</w:t>
      </w:r>
      <w:r>
        <w:rPr>
          <w:rFonts w:hint="eastAsia" w:ascii="宋体" w:hAnsi="宋体" w:eastAsia="宋体" w:cs="宋体"/>
          <w:b/>
          <w:bCs/>
          <w:color w:val="auto"/>
          <w:sz w:val="24"/>
          <w:szCs w:val="24"/>
          <w:lang w:val="en-US" w:eastAsia="zh-CN"/>
        </w:rPr>
        <w:t>采购</w:t>
      </w:r>
      <w:bookmarkEnd w:id="520"/>
      <w:bookmarkEnd w:id="521"/>
    </w:p>
    <w:p w14:paraId="73077C35">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rPr>
      </w:pPr>
      <w:bookmarkStart w:id="522" w:name="_Toc16556"/>
      <w:r>
        <w:rPr>
          <w:rFonts w:hint="eastAsia" w:ascii="宋体" w:hAnsi="宋体" w:eastAsia="宋体" w:cs="宋体"/>
          <w:b/>
          <w:bCs/>
          <w:color w:val="auto"/>
          <w:sz w:val="24"/>
          <w:szCs w:val="24"/>
        </w:rPr>
        <w:t>8.1 重新</w:t>
      </w:r>
      <w:bookmarkEnd w:id="522"/>
      <w:r>
        <w:rPr>
          <w:rFonts w:hint="eastAsia" w:ascii="宋体" w:hAnsi="宋体" w:eastAsia="宋体" w:cs="宋体"/>
          <w:b/>
          <w:bCs/>
          <w:color w:val="auto"/>
          <w:sz w:val="24"/>
          <w:szCs w:val="24"/>
          <w:lang w:val="en-US" w:eastAsia="zh-CN"/>
        </w:rPr>
        <w:t>采购</w:t>
      </w:r>
    </w:p>
    <w:p w14:paraId="52472CF1">
      <w:pPr>
        <w:pageBreakBefore w:val="0"/>
        <w:kinsoku/>
        <w:wordWrap/>
        <w:overflowPunct/>
        <w:topLinePunct w:val="0"/>
        <w:autoSpaceDE/>
        <w:autoSpaceDN/>
        <w:bidi w:val="0"/>
        <w:adjustRightInd/>
        <w:snapToGrid/>
        <w:spacing w:line="450" w:lineRule="exact"/>
        <w:ind w:firstLine="480"/>
        <w:textAlignment w:val="auto"/>
        <w:rPr>
          <w:rFonts w:hint="eastAsia" w:ascii="宋体" w:hAnsi="宋体" w:eastAsia="宋体" w:cs="宋体"/>
          <w:color w:val="auto"/>
          <w:sz w:val="24"/>
          <w:szCs w:val="24"/>
        </w:rPr>
      </w:pPr>
      <w:bookmarkStart w:id="523" w:name="_Toc9985"/>
      <w:r>
        <w:rPr>
          <w:rFonts w:hint="eastAsia" w:ascii="宋体" w:hAnsi="宋体" w:eastAsia="宋体" w:cs="宋体"/>
          <w:color w:val="auto"/>
          <w:sz w:val="24"/>
          <w:szCs w:val="24"/>
        </w:rPr>
        <w:t>有下列情形之一的，采购人将重新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w:t>
      </w:r>
      <w:bookmarkEnd w:id="523"/>
    </w:p>
    <w:p w14:paraId="52FD1C09">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rPr>
      </w:pPr>
      <w:bookmarkStart w:id="524" w:name="_Toc25063"/>
      <w:r>
        <w:rPr>
          <w:rFonts w:hint="eastAsia" w:ascii="宋体" w:hAnsi="宋体" w:eastAsia="宋体" w:cs="宋体"/>
          <w:color w:val="auto"/>
          <w:sz w:val="24"/>
          <w:szCs w:val="24"/>
        </w:rPr>
        <w:t xml:space="preserve">   （1）提交响应文件截止时间止，供应商少于</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个的；</w:t>
      </w:r>
      <w:bookmarkEnd w:id="524"/>
      <w:r>
        <w:rPr>
          <w:rFonts w:hint="eastAsia" w:ascii="宋体" w:hAnsi="宋体" w:eastAsia="宋体" w:cs="宋体"/>
          <w:color w:val="auto"/>
          <w:sz w:val="24"/>
          <w:szCs w:val="24"/>
        </w:rPr>
        <w:t xml:space="preserve"> </w:t>
      </w:r>
    </w:p>
    <w:p w14:paraId="12619E1B">
      <w:pPr>
        <w:pageBreakBefore w:val="0"/>
        <w:kinsoku/>
        <w:wordWrap/>
        <w:overflowPunct/>
        <w:topLinePunct w:val="0"/>
        <w:autoSpaceDE/>
        <w:autoSpaceDN/>
        <w:bidi w:val="0"/>
        <w:adjustRightInd/>
        <w:snapToGrid/>
        <w:spacing w:line="45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bookmarkStart w:id="525" w:name="_Toc17911"/>
      <w:r>
        <w:rPr>
          <w:rFonts w:hint="eastAsia" w:ascii="宋体" w:hAnsi="宋体" w:eastAsia="宋体" w:cs="宋体"/>
          <w:color w:val="auto"/>
          <w:sz w:val="24"/>
          <w:szCs w:val="24"/>
        </w:rPr>
        <w:t>（2）经磋商小组评审后否决所有响应文件的。</w:t>
      </w:r>
      <w:bookmarkEnd w:id="525"/>
    </w:p>
    <w:p w14:paraId="536F7EBE">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bookmarkStart w:id="526" w:name="_Toc9996"/>
      <w:bookmarkStart w:id="527" w:name="_Toc455080147"/>
      <w:r>
        <w:rPr>
          <w:rFonts w:hint="eastAsia" w:ascii="宋体" w:hAnsi="宋体" w:eastAsia="宋体" w:cs="宋体"/>
          <w:b/>
          <w:bCs/>
          <w:color w:val="auto"/>
          <w:sz w:val="24"/>
          <w:szCs w:val="24"/>
        </w:rPr>
        <w:t>9.</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纪律和监督</w:t>
      </w:r>
      <w:bookmarkEnd w:id="526"/>
      <w:bookmarkEnd w:id="527"/>
    </w:p>
    <w:p w14:paraId="712D5EE9">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528" w:name="_Toc466298131"/>
      <w:bookmarkStart w:id="529" w:name="_Toc152042351"/>
      <w:bookmarkStart w:id="530" w:name="_Toc12992"/>
      <w:bookmarkStart w:id="531" w:name="_Toc20009"/>
      <w:bookmarkStart w:id="532" w:name="_Toc318450714"/>
      <w:bookmarkStart w:id="533" w:name="_Toc455080148"/>
      <w:bookmarkStart w:id="534" w:name="_Toc15769"/>
      <w:bookmarkStart w:id="535" w:name="_Toc27836"/>
      <w:bookmarkStart w:id="536" w:name="_Toc1282"/>
      <w:bookmarkStart w:id="537" w:name="_Toc19159"/>
      <w:bookmarkStart w:id="538" w:name="_Toc13970"/>
      <w:bookmarkStart w:id="539" w:name="_Toc144974543"/>
      <w:bookmarkStart w:id="540" w:name="_Toc455867808"/>
      <w:bookmarkStart w:id="541" w:name="_Toc697"/>
      <w:bookmarkStart w:id="542" w:name="_Toc152045575"/>
      <w:bookmarkStart w:id="543" w:name="_Toc269"/>
      <w:bookmarkStart w:id="544" w:name="_Toc490667868"/>
      <w:bookmarkStart w:id="545" w:name="_Toc15592"/>
      <w:r>
        <w:rPr>
          <w:rFonts w:hint="eastAsia" w:ascii="宋体" w:hAnsi="宋体" w:eastAsia="宋体" w:cs="宋体"/>
          <w:b/>
          <w:bCs/>
          <w:color w:val="auto"/>
          <w:sz w:val="24"/>
          <w:szCs w:val="24"/>
        </w:rPr>
        <w:t>9.1 对</w:t>
      </w:r>
      <w:r>
        <w:rPr>
          <w:rFonts w:hint="eastAsia" w:ascii="宋体" w:hAnsi="宋体" w:eastAsia="宋体" w:cs="宋体"/>
          <w:b/>
          <w:bCs/>
          <w:color w:val="auto"/>
          <w:sz w:val="24"/>
          <w:szCs w:val="24"/>
          <w:lang w:eastAsia="zh-CN"/>
        </w:rPr>
        <w:t>采购人</w:t>
      </w:r>
      <w:r>
        <w:rPr>
          <w:rFonts w:hint="eastAsia" w:ascii="宋体" w:hAnsi="宋体" w:eastAsia="宋体" w:cs="宋体"/>
          <w:b/>
          <w:bCs/>
          <w:color w:val="auto"/>
          <w:sz w:val="24"/>
          <w:szCs w:val="24"/>
        </w:rPr>
        <w:t>的纪律要求</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21B4B606">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w:t>
      </w:r>
      <w:r>
        <w:rPr>
          <w:rFonts w:hint="eastAsia" w:ascii="宋体" w:hAnsi="宋体" w:cs="宋体"/>
          <w:color w:val="auto"/>
          <w:sz w:val="24"/>
          <w:szCs w:val="24"/>
          <w:lang w:eastAsia="zh-CN"/>
        </w:rPr>
        <w:t>不得泄露</w:t>
      </w:r>
      <w:r>
        <w:rPr>
          <w:rFonts w:hint="eastAsia" w:ascii="宋体" w:hAnsi="宋体" w:eastAsia="宋体" w:cs="宋体"/>
          <w:color w:val="auto"/>
          <w:sz w:val="24"/>
          <w:szCs w:val="24"/>
        </w:rPr>
        <w:t>磋商活动中应当保密的情况和资料，不得与供应商串通损害国家利益、社会公共利益或者他人合法权益。</w:t>
      </w:r>
    </w:p>
    <w:p w14:paraId="3B81EA31">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color w:val="auto"/>
          <w:sz w:val="24"/>
          <w:szCs w:val="24"/>
        </w:rPr>
      </w:pPr>
      <w:bookmarkStart w:id="546" w:name="_Toc1743"/>
      <w:bookmarkStart w:id="547" w:name="_Toc18204"/>
      <w:bookmarkStart w:id="548" w:name="_Toc27698"/>
      <w:bookmarkStart w:id="549" w:name="_Toc19167"/>
      <w:bookmarkStart w:id="550" w:name="_Toc144974544"/>
      <w:bookmarkStart w:id="551" w:name="_Toc21646"/>
      <w:bookmarkStart w:id="552" w:name="_Toc18604"/>
      <w:bookmarkStart w:id="553" w:name="_Toc20261"/>
      <w:bookmarkStart w:id="554" w:name="_Toc318450715"/>
      <w:bookmarkStart w:id="555" w:name="_Toc455867809"/>
      <w:bookmarkStart w:id="556" w:name="_Toc3089"/>
      <w:bookmarkStart w:id="557" w:name="_Toc466298132"/>
      <w:bookmarkStart w:id="558" w:name="_Toc152042352"/>
      <w:bookmarkStart w:id="559" w:name="_Toc17040"/>
      <w:bookmarkStart w:id="560" w:name="_Toc455080149"/>
      <w:bookmarkStart w:id="561" w:name="_Toc7572"/>
      <w:bookmarkStart w:id="562" w:name="_Toc152045576"/>
      <w:bookmarkStart w:id="563" w:name="_Toc490667869"/>
      <w:r>
        <w:rPr>
          <w:rFonts w:hint="eastAsia" w:ascii="宋体" w:hAnsi="宋体" w:eastAsia="宋体" w:cs="宋体"/>
          <w:b/>
          <w:bCs/>
          <w:color w:val="auto"/>
          <w:sz w:val="24"/>
          <w:szCs w:val="24"/>
        </w:rPr>
        <w:t>9.2 对供应商的纪律要求</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66B5B86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供应商不得相互串通或者与采购人串通，不得向采购人或者</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小组行贿谋取成交，不得以他人名义或者以其他方式弄虚作假骗取成交；供应商不得以任何方式干扰、影响评审工作。</w:t>
      </w:r>
    </w:p>
    <w:p w14:paraId="62B9A8C7">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564" w:name="_Toc152045577"/>
      <w:bookmarkStart w:id="565" w:name="_Toc455867810"/>
      <w:bookmarkStart w:id="566" w:name="_Toc30153"/>
      <w:bookmarkStart w:id="567" w:name="_Toc318450716"/>
      <w:bookmarkStart w:id="568" w:name="_Toc19965"/>
      <w:bookmarkStart w:id="569" w:name="_Toc7439"/>
      <w:bookmarkStart w:id="570" w:name="_Toc12177"/>
      <w:bookmarkStart w:id="571" w:name="_Toc152042353"/>
      <w:bookmarkStart w:id="572" w:name="_Toc490667870"/>
      <w:bookmarkStart w:id="573" w:name="_Toc25211"/>
      <w:bookmarkStart w:id="574" w:name="_Toc144974545"/>
      <w:bookmarkStart w:id="575" w:name="_Toc25241"/>
      <w:bookmarkStart w:id="576" w:name="_Toc28813"/>
      <w:bookmarkStart w:id="577" w:name="_Toc466298133"/>
      <w:bookmarkStart w:id="578" w:name="_Toc32320"/>
      <w:bookmarkStart w:id="579" w:name="_Toc31001"/>
      <w:bookmarkStart w:id="580" w:name="_Toc455080150"/>
      <w:bookmarkStart w:id="581" w:name="_Toc7107"/>
      <w:r>
        <w:rPr>
          <w:rFonts w:hint="eastAsia" w:ascii="宋体" w:hAnsi="宋体" w:eastAsia="宋体" w:cs="宋体"/>
          <w:b/>
          <w:bCs/>
          <w:color w:val="auto"/>
          <w:sz w:val="24"/>
          <w:szCs w:val="24"/>
        </w:rPr>
        <w:t>9.3 对磋商小组成员的纪律要求</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7567613B">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磋商小组成员不得收受他人的财物或者其他好处，</w:t>
      </w:r>
      <w:r>
        <w:rPr>
          <w:rFonts w:hint="eastAsia" w:ascii="宋体" w:hAnsi="宋体" w:cs="宋体"/>
          <w:color w:val="auto"/>
          <w:sz w:val="24"/>
          <w:szCs w:val="24"/>
          <w:lang w:eastAsia="zh-CN"/>
        </w:rPr>
        <w:t>不得向他人透露对</w:t>
      </w:r>
      <w:r>
        <w:rPr>
          <w:rFonts w:hint="eastAsia" w:ascii="宋体" w:hAnsi="宋体" w:eastAsia="宋体" w:cs="宋体"/>
          <w:color w:val="auto"/>
          <w:sz w:val="24"/>
          <w:szCs w:val="24"/>
        </w:rPr>
        <w:t>响应文件的评审和比较、成交候选人的推荐情况以及</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有关的其他情况。在磋商活动中，磋商小组成员不得擅离职守，影响</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程序正常进行，不得使用第三章“评审办法”没有规定的评审因素和标准进行</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w:t>
      </w:r>
    </w:p>
    <w:p w14:paraId="77CBEF4B">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color w:val="auto"/>
          <w:sz w:val="24"/>
          <w:szCs w:val="24"/>
        </w:rPr>
      </w:pPr>
      <w:bookmarkStart w:id="582" w:name="_Toc20546"/>
      <w:bookmarkStart w:id="583" w:name="_Toc152045578"/>
      <w:bookmarkStart w:id="584" w:name="_Toc152042354"/>
      <w:bookmarkStart w:id="585" w:name="_Toc455080151"/>
      <w:bookmarkStart w:id="586" w:name="_Toc490667871"/>
      <w:bookmarkStart w:id="587" w:name="_Toc455867811"/>
      <w:bookmarkStart w:id="588" w:name="_Toc19485"/>
      <w:bookmarkStart w:id="589" w:name="_Toc235"/>
      <w:bookmarkStart w:id="590" w:name="_Toc23717"/>
      <w:bookmarkStart w:id="591" w:name="_Toc9063"/>
      <w:bookmarkStart w:id="592" w:name="_Toc7368"/>
      <w:bookmarkStart w:id="593" w:name="_Toc318450717"/>
      <w:bookmarkStart w:id="594" w:name="_Toc466298134"/>
      <w:bookmarkStart w:id="595" w:name="_Toc1295"/>
      <w:bookmarkStart w:id="596" w:name="_Toc24"/>
      <w:bookmarkStart w:id="597" w:name="_Toc26462"/>
      <w:bookmarkStart w:id="598" w:name="_Toc27559"/>
      <w:bookmarkStart w:id="599" w:name="_Toc144974546"/>
      <w:r>
        <w:rPr>
          <w:rFonts w:hint="eastAsia" w:ascii="宋体" w:hAnsi="宋体" w:eastAsia="宋体" w:cs="宋体"/>
          <w:b/>
          <w:bCs/>
          <w:color w:val="auto"/>
          <w:sz w:val="24"/>
          <w:szCs w:val="24"/>
        </w:rPr>
        <w:t>9.4 对与</w:t>
      </w:r>
      <w:r>
        <w:rPr>
          <w:rFonts w:hint="eastAsia" w:ascii="宋体" w:hAnsi="宋体" w:eastAsia="宋体" w:cs="宋体"/>
          <w:b/>
          <w:bCs/>
          <w:color w:val="auto"/>
          <w:sz w:val="24"/>
          <w:szCs w:val="24"/>
          <w:lang w:val="en-US" w:eastAsia="zh-CN"/>
        </w:rPr>
        <w:t>评审</w:t>
      </w:r>
      <w:r>
        <w:rPr>
          <w:rFonts w:hint="eastAsia" w:ascii="宋体" w:hAnsi="宋体" w:eastAsia="宋体" w:cs="宋体"/>
          <w:b/>
          <w:bCs/>
          <w:color w:val="auto"/>
          <w:sz w:val="24"/>
          <w:szCs w:val="24"/>
        </w:rPr>
        <w:t>活动有关的工作人员的纪律要求</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6829A1D1">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bookmarkStart w:id="600" w:name="_Toc152042355"/>
      <w:r>
        <w:rPr>
          <w:rFonts w:hint="eastAsia" w:ascii="宋体" w:hAnsi="宋体" w:eastAsia="宋体" w:cs="宋体"/>
          <w:color w:val="auto"/>
          <w:sz w:val="24"/>
          <w:szCs w:val="24"/>
          <w:lang w:val="en-US" w:eastAsia="zh-CN"/>
        </w:rPr>
        <w:t>参</w:t>
      </w:r>
      <w:r>
        <w:rPr>
          <w:rFonts w:hint="eastAsia" w:ascii="宋体" w:hAnsi="宋体" w:eastAsia="宋体" w:cs="宋体"/>
          <w:color w:val="auto"/>
          <w:sz w:val="24"/>
          <w:szCs w:val="24"/>
        </w:rPr>
        <w:t>与</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活动有关的工作人员不得收受他人的财物或者其他好处，</w:t>
      </w:r>
      <w:r>
        <w:rPr>
          <w:rFonts w:hint="eastAsia" w:ascii="宋体" w:hAnsi="宋体" w:cs="宋体"/>
          <w:color w:val="auto"/>
          <w:sz w:val="24"/>
          <w:szCs w:val="24"/>
          <w:lang w:eastAsia="zh-CN"/>
        </w:rPr>
        <w:t>不得向他人透露对</w:t>
      </w:r>
      <w:r>
        <w:rPr>
          <w:rFonts w:hint="eastAsia" w:ascii="宋体" w:hAnsi="宋体" w:eastAsia="宋体" w:cs="宋体"/>
          <w:color w:val="auto"/>
          <w:sz w:val="24"/>
          <w:szCs w:val="24"/>
        </w:rPr>
        <w:t>响应文件的评审和比较、成交候选人的推荐情况以及</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有关的其他情况。在</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活动中，与</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活动有关的工作人员不得擅离职守，影响</w:t>
      </w:r>
      <w:r>
        <w:rPr>
          <w:rFonts w:hint="eastAsia" w:ascii="宋体" w:hAnsi="宋体" w:eastAsia="宋体" w:cs="宋体"/>
          <w:color w:val="auto"/>
          <w:sz w:val="24"/>
          <w:szCs w:val="24"/>
          <w:lang w:val="en-US" w:eastAsia="zh-CN"/>
        </w:rPr>
        <w:t>评审</w:t>
      </w:r>
      <w:r>
        <w:rPr>
          <w:rFonts w:hint="eastAsia" w:ascii="宋体" w:hAnsi="宋体" w:eastAsia="宋体" w:cs="宋体"/>
          <w:color w:val="auto"/>
          <w:sz w:val="24"/>
          <w:szCs w:val="24"/>
        </w:rPr>
        <w:t>程序正常进行。</w:t>
      </w:r>
      <w:bookmarkEnd w:id="600"/>
    </w:p>
    <w:p w14:paraId="59C9DC2E">
      <w:pPr>
        <w:pStyle w:val="89"/>
        <w:pageBreakBefore w:val="0"/>
        <w:kinsoku/>
        <w:wordWrap/>
        <w:overflowPunct/>
        <w:topLinePunct w:val="0"/>
        <w:autoSpaceDE/>
        <w:autoSpaceDN/>
        <w:bidi w:val="0"/>
        <w:adjustRightInd/>
        <w:snapToGrid/>
        <w:spacing w:line="450" w:lineRule="exact"/>
        <w:textAlignment w:val="auto"/>
        <w:outlineLvl w:val="0"/>
        <w:rPr>
          <w:rFonts w:hint="eastAsia" w:ascii="宋体" w:hAnsi="宋体" w:eastAsia="宋体" w:cs="宋体"/>
          <w:b/>
          <w:bCs/>
          <w:color w:val="auto"/>
          <w:sz w:val="24"/>
          <w:szCs w:val="24"/>
        </w:rPr>
      </w:pPr>
      <w:bookmarkStart w:id="601" w:name="_Toc3303"/>
      <w:bookmarkStart w:id="602" w:name="_Toc25751"/>
      <w:bookmarkStart w:id="603" w:name="_Toc455080152"/>
      <w:bookmarkStart w:id="604" w:name="_Toc1820"/>
      <w:bookmarkStart w:id="605" w:name="_Toc5504"/>
      <w:bookmarkStart w:id="606" w:name="_Toc490667872"/>
      <w:bookmarkStart w:id="607" w:name="_Toc3617"/>
      <w:bookmarkStart w:id="608" w:name="_Toc32675"/>
      <w:bookmarkStart w:id="609" w:name="_Toc455867812"/>
      <w:bookmarkStart w:id="610" w:name="_Toc31010"/>
      <w:bookmarkStart w:id="611" w:name="_Toc6199"/>
      <w:bookmarkStart w:id="612" w:name="_Toc466298135"/>
      <w:bookmarkStart w:id="613" w:name="_Toc152042356"/>
      <w:bookmarkStart w:id="614" w:name="_Toc8074"/>
      <w:bookmarkStart w:id="615" w:name="_Toc152045579"/>
      <w:bookmarkStart w:id="616" w:name="_Toc17735"/>
      <w:bookmarkStart w:id="617" w:name="_Toc318450718"/>
      <w:r>
        <w:rPr>
          <w:rFonts w:hint="eastAsia" w:ascii="宋体" w:hAnsi="宋体" w:eastAsia="宋体" w:cs="宋体"/>
          <w:b/>
          <w:bCs/>
          <w:color w:val="auto"/>
          <w:sz w:val="24"/>
          <w:szCs w:val="24"/>
        </w:rPr>
        <w:t>9.5 投诉</w:t>
      </w:r>
      <w:bookmarkEnd w:id="599"/>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1B3E1674">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供应商和其他利害关系人认为本次磋商活动违反</w:t>
      </w:r>
      <w:r>
        <w:rPr>
          <w:rFonts w:hint="eastAsia" w:ascii="宋体" w:hAnsi="宋体" w:cs="宋体"/>
          <w:color w:val="auto"/>
          <w:sz w:val="24"/>
          <w:szCs w:val="24"/>
          <w:lang w:eastAsia="zh-CN"/>
        </w:rPr>
        <w:t>法律法规</w:t>
      </w:r>
      <w:r>
        <w:rPr>
          <w:rFonts w:hint="eastAsia" w:ascii="宋体" w:hAnsi="宋体" w:eastAsia="宋体" w:cs="宋体"/>
          <w:color w:val="auto"/>
          <w:sz w:val="24"/>
          <w:szCs w:val="24"/>
        </w:rPr>
        <w:t>和规章规定的，有权向有关行政监督部门投诉。</w:t>
      </w:r>
    </w:p>
    <w:p w14:paraId="27C16F9E">
      <w:pPr>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eastAsia="宋体" w:cs="宋体"/>
          <w:color w:val="auto"/>
          <w:sz w:val="24"/>
          <w:szCs w:val="24"/>
        </w:rPr>
      </w:pPr>
      <w:bookmarkStart w:id="618" w:name="_Toc455080153"/>
      <w:bookmarkStart w:id="619" w:name="_Toc14221"/>
      <w:bookmarkStart w:id="620" w:name="_Toc144974547"/>
      <w:bookmarkStart w:id="621" w:name="_Toc152042357"/>
      <w:bookmarkStart w:id="622" w:name="_Toc152045580"/>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对采购文件、采购过程、成交结果的质疑，可以在知道或者应知其权益受到损害之日起7个工作日内，以书面形式一次性向采购人或采购</w:t>
      </w:r>
      <w:r>
        <w:rPr>
          <w:rFonts w:hint="eastAsia" w:ascii="宋体" w:hAnsi="宋体" w:eastAsia="宋体" w:cs="宋体"/>
          <w:color w:val="auto"/>
          <w:sz w:val="24"/>
          <w:szCs w:val="24"/>
          <w:lang w:eastAsia="zh-CN"/>
        </w:rPr>
        <w:t>代理</w:t>
      </w:r>
      <w:r>
        <w:rPr>
          <w:rFonts w:hint="eastAsia" w:ascii="宋体" w:hAnsi="宋体" w:eastAsia="宋体" w:cs="宋体"/>
          <w:color w:val="auto"/>
          <w:sz w:val="24"/>
          <w:szCs w:val="24"/>
        </w:rPr>
        <w:t>机构提出质疑。采购人或采购</w:t>
      </w:r>
      <w:r>
        <w:rPr>
          <w:rFonts w:hint="eastAsia" w:ascii="宋体" w:hAnsi="宋体" w:eastAsia="宋体" w:cs="宋体"/>
          <w:color w:val="auto"/>
          <w:sz w:val="24"/>
          <w:szCs w:val="24"/>
          <w:lang w:eastAsia="zh-CN"/>
        </w:rPr>
        <w:t>代理</w:t>
      </w:r>
      <w:r>
        <w:rPr>
          <w:rFonts w:hint="eastAsia" w:ascii="宋体" w:hAnsi="宋体" w:eastAsia="宋体" w:cs="宋体"/>
          <w:color w:val="auto"/>
          <w:sz w:val="24"/>
          <w:szCs w:val="24"/>
        </w:rPr>
        <w:t>机构不接受</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对同一采购环节的多次质疑。</w:t>
      </w:r>
    </w:p>
    <w:p w14:paraId="7E267972">
      <w:pPr>
        <w:pStyle w:val="88"/>
        <w:pageBreakBefore w:val="0"/>
        <w:kinsoku/>
        <w:wordWrap/>
        <w:overflowPunct/>
        <w:topLinePunct w:val="0"/>
        <w:autoSpaceDE/>
        <w:autoSpaceDN/>
        <w:bidi w:val="0"/>
        <w:adjustRightInd/>
        <w:snapToGrid/>
        <w:spacing w:before="0" w:beforeLines="0" w:line="45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10. 需要补充的其他内容</w:t>
      </w:r>
      <w:bookmarkEnd w:id="618"/>
      <w:bookmarkEnd w:id="619"/>
      <w:bookmarkEnd w:id="620"/>
      <w:bookmarkEnd w:id="621"/>
      <w:bookmarkEnd w:id="622"/>
    </w:p>
    <w:p w14:paraId="2C68843A">
      <w:pPr>
        <w:pageBreakBefore w:val="0"/>
        <w:kinsoku/>
        <w:wordWrap/>
        <w:overflowPunct/>
        <w:topLinePunct w:val="0"/>
        <w:autoSpaceDE/>
        <w:autoSpaceDN/>
        <w:bidi w:val="0"/>
        <w:adjustRightInd/>
        <w:snapToGrid/>
        <w:spacing w:line="450" w:lineRule="exact"/>
        <w:ind w:firstLine="480" w:firstLineChars="200"/>
        <w:textAlignment w:val="auto"/>
        <w:rPr>
          <w:rFonts w:hint="eastAsia"/>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1其他</w:t>
      </w:r>
      <w:r>
        <w:rPr>
          <w:rFonts w:hint="eastAsia" w:ascii="宋体" w:hAnsi="宋体" w:eastAsia="宋体" w:cs="宋体"/>
          <w:color w:val="auto"/>
          <w:sz w:val="24"/>
          <w:szCs w:val="24"/>
          <w:lang w:eastAsia="zh-CN"/>
        </w:rPr>
        <w:t>未尽事宜，按国家有关</w:t>
      </w:r>
      <w:r>
        <w:rPr>
          <w:rFonts w:hint="eastAsia" w:ascii="宋体" w:hAnsi="宋体" w:cs="宋体"/>
          <w:color w:val="auto"/>
          <w:sz w:val="24"/>
          <w:szCs w:val="24"/>
          <w:lang w:eastAsia="zh-CN"/>
        </w:rPr>
        <w:t>法律法规</w:t>
      </w:r>
      <w:r>
        <w:rPr>
          <w:rFonts w:hint="eastAsia" w:ascii="宋体" w:hAnsi="宋体" w:eastAsia="宋体" w:cs="宋体"/>
          <w:color w:val="auto"/>
          <w:sz w:val="24"/>
          <w:szCs w:val="24"/>
          <w:lang w:eastAsia="zh-CN"/>
        </w:rPr>
        <w:t>执行。</w:t>
      </w:r>
    </w:p>
    <w:p w14:paraId="027C4BB4">
      <w:pPr>
        <w:rPr>
          <w:rFonts w:hint="eastAsia"/>
        </w:rPr>
      </w:pPr>
    </w:p>
    <w:p w14:paraId="78172E4E">
      <w:pPr>
        <w:rPr>
          <w:rFonts w:hint="eastAsia"/>
        </w:rPr>
      </w:pPr>
    </w:p>
    <w:p w14:paraId="32533756">
      <w:pPr>
        <w:rPr>
          <w:rFonts w:hint="eastAsia"/>
        </w:rPr>
      </w:pPr>
    </w:p>
    <w:p w14:paraId="4096C9E5">
      <w:pPr>
        <w:rPr>
          <w:rFonts w:hint="eastAsia"/>
        </w:rPr>
      </w:pPr>
    </w:p>
    <w:p w14:paraId="612B188E">
      <w:pPr>
        <w:rPr>
          <w:rFonts w:hint="eastAsia"/>
        </w:rPr>
      </w:pPr>
    </w:p>
    <w:p w14:paraId="6991F424">
      <w:pPr>
        <w:rPr>
          <w:rFonts w:hint="eastAsia"/>
        </w:rPr>
      </w:pPr>
    </w:p>
    <w:p w14:paraId="54E0C0B4">
      <w:pPr>
        <w:rPr>
          <w:rFonts w:hint="eastAsia"/>
        </w:rPr>
      </w:pPr>
    </w:p>
    <w:p w14:paraId="085BCDD5">
      <w:pPr>
        <w:pStyle w:val="2"/>
        <w:rPr>
          <w:rFonts w:hint="eastAsia"/>
        </w:rPr>
      </w:pPr>
    </w:p>
    <w:p w14:paraId="51DCB512">
      <w:pPr>
        <w:rPr>
          <w:rFonts w:hint="eastAsia"/>
        </w:rPr>
      </w:pPr>
    </w:p>
    <w:p w14:paraId="28C8F7A7">
      <w:pPr>
        <w:pStyle w:val="2"/>
        <w:rPr>
          <w:rFonts w:hint="eastAsia"/>
        </w:rPr>
      </w:pPr>
    </w:p>
    <w:p w14:paraId="0599BAD4">
      <w:pPr>
        <w:rPr>
          <w:rFonts w:hint="eastAsia"/>
        </w:rPr>
      </w:pPr>
    </w:p>
    <w:p w14:paraId="0441D00B">
      <w:pPr>
        <w:pStyle w:val="2"/>
        <w:rPr>
          <w:rFonts w:hint="eastAsia"/>
        </w:rPr>
      </w:pPr>
    </w:p>
    <w:p w14:paraId="77E01216">
      <w:pPr>
        <w:rPr>
          <w:rFonts w:hint="eastAsia"/>
        </w:rPr>
      </w:pPr>
    </w:p>
    <w:p w14:paraId="213A0BA4">
      <w:pPr>
        <w:pStyle w:val="2"/>
        <w:rPr>
          <w:rFonts w:hint="eastAsia"/>
        </w:rPr>
      </w:pPr>
    </w:p>
    <w:p w14:paraId="35EBF51C">
      <w:pPr>
        <w:rPr>
          <w:rFonts w:hint="eastAsia"/>
        </w:rPr>
      </w:pPr>
    </w:p>
    <w:p w14:paraId="4130DFDC">
      <w:pPr>
        <w:pStyle w:val="2"/>
        <w:rPr>
          <w:rFonts w:hint="eastAsia"/>
        </w:rPr>
      </w:pPr>
    </w:p>
    <w:p w14:paraId="0041BEC6">
      <w:pPr>
        <w:rPr>
          <w:rFonts w:hint="eastAsia"/>
        </w:rPr>
      </w:pPr>
    </w:p>
    <w:p w14:paraId="38120BD7">
      <w:pPr>
        <w:pStyle w:val="2"/>
        <w:rPr>
          <w:rFonts w:hint="eastAsia"/>
        </w:rPr>
      </w:pPr>
    </w:p>
    <w:p w14:paraId="40871417">
      <w:pPr>
        <w:rPr>
          <w:rFonts w:hint="eastAsia"/>
        </w:rPr>
      </w:pPr>
    </w:p>
    <w:p w14:paraId="6317B5A3">
      <w:pPr>
        <w:pStyle w:val="2"/>
        <w:rPr>
          <w:rFonts w:hint="eastAsia"/>
        </w:rPr>
      </w:pPr>
    </w:p>
    <w:p w14:paraId="79A84F2A">
      <w:pPr>
        <w:rPr>
          <w:rFonts w:hint="eastAsia"/>
        </w:rPr>
      </w:pPr>
    </w:p>
    <w:p w14:paraId="0E9E90EC">
      <w:pPr>
        <w:pStyle w:val="2"/>
        <w:rPr>
          <w:rFonts w:hint="eastAsia"/>
        </w:rPr>
      </w:pPr>
    </w:p>
    <w:p w14:paraId="5FB007C3">
      <w:pPr>
        <w:rPr>
          <w:rFonts w:hint="eastAsia"/>
        </w:rPr>
      </w:pPr>
    </w:p>
    <w:p w14:paraId="1D574C98">
      <w:pPr>
        <w:pStyle w:val="2"/>
        <w:rPr>
          <w:rFonts w:hint="eastAsia"/>
        </w:rPr>
      </w:pPr>
    </w:p>
    <w:p w14:paraId="57E5A292">
      <w:pPr>
        <w:rPr>
          <w:rFonts w:hint="eastAsia"/>
        </w:rPr>
      </w:pPr>
    </w:p>
    <w:p w14:paraId="1E6714FA">
      <w:pPr>
        <w:pStyle w:val="2"/>
        <w:rPr>
          <w:rFonts w:hint="eastAsia"/>
        </w:rPr>
      </w:pPr>
    </w:p>
    <w:p w14:paraId="5F88F357">
      <w:pPr>
        <w:rPr>
          <w:rFonts w:hint="eastAsia"/>
        </w:rPr>
      </w:pPr>
    </w:p>
    <w:p w14:paraId="52338263">
      <w:pPr>
        <w:pStyle w:val="2"/>
        <w:rPr>
          <w:rFonts w:hint="eastAsia"/>
        </w:rPr>
      </w:pPr>
    </w:p>
    <w:p w14:paraId="220275EF">
      <w:pPr>
        <w:rPr>
          <w:rFonts w:hint="eastAsia"/>
        </w:rPr>
      </w:pPr>
    </w:p>
    <w:p w14:paraId="7A96AA82">
      <w:pPr>
        <w:pStyle w:val="2"/>
        <w:rPr>
          <w:rFonts w:hint="eastAsia"/>
        </w:rPr>
      </w:pPr>
    </w:p>
    <w:p w14:paraId="30015E4D">
      <w:pPr>
        <w:rPr>
          <w:rFonts w:hint="eastAsia"/>
        </w:rPr>
      </w:pPr>
    </w:p>
    <w:p w14:paraId="5DEEBF7E">
      <w:pPr>
        <w:pStyle w:val="2"/>
        <w:rPr>
          <w:rFonts w:hint="eastAsia"/>
        </w:rPr>
      </w:pPr>
    </w:p>
    <w:p w14:paraId="00BE1C68">
      <w:pPr>
        <w:rPr>
          <w:rFonts w:hint="eastAsia"/>
        </w:rPr>
      </w:pPr>
    </w:p>
    <w:p w14:paraId="0C88F5AE">
      <w:pPr>
        <w:pStyle w:val="2"/>
        <w:rPr>
          <w:rFonts w:hint="eastAsia"/>
        </w:rPr>
      </w:pPr>
    </w:p>
    <w:p w14:paraId="28FAF6F1">
      <w:pPr>
        <w:rPr>
          <w:rFonts w:hint="eastAsia"/>
        </w:rPr>
      </w:pPr>
    </w:p>
    <w:p w14:paraId="3F56B170">
      <w:pPr>
        <w:pStyle w:val="2"/>
        <w:rPr>
          <w:rFonts w:hint="eastAsia"/>
        </w:rPr>
      </w:pPr>
    </w:p>
    <w:p w14:paraId="61F247B7">
      <w:pPr>
        <w:rPr>
          <w:rFonts w:hint="eastAsia"/>
        </w:rPr>
      </w:pPr>
    </w:p>
    <w:p w14:paraId="4B7372AD">
      <w:pPr>
        <w:rPr>
          <w:rFonts w:hint="eastAsia"/>
        </w:rPr>
      </w:pPr>
    </w:p>
    <w:p w14:paraId="099C23C6">
      <w:pPr>
        <w:rPr>
          <w:rFonts w:hint="eastAsia"/>
        </w:rPr>
      </w:pPr>
    </w:p>
    <w:p w14:paraId="62642B78">
      <w:pPr>
        <w:rPr>
          <w:rFonts w:hint="eastAsia"/>
        </w:rPr>
      </w:pPr>
    </w:p>
    <w:p w14:paraId="049178D5">
      <w:pPr>
        <w:rPr>
          <w:rFonts w:hint="eastAsia"/>
        </w:rPr>
      </w:pPr>
    </w:p>
    <w:p w14:paraId="6F5C023B">
      <w:pPr>
        <w:widowControl/>
        <w:spacing w:line="470" w:lineRule="exact"/>
        <w:jc w:val="both"/>
        <w:rPr>
          <w:rFonts w:hint="eastAsia" w:ascii="宋体" w:hAnsi="宋体" w:eastAsia="宋体" w:cs="宋体"/>
          <w:b/>
          <w:bCs/>
          <w:kern w:val="0"/>
          <w:sz w:val="24"/>
          <w:lang w:val="en-US" w:eastAsia="zh-CN"/>
        </w:rPr>
      </w:pPr>
      <w:r>
        <w:rPr>
          <w:rFonts w:hint="eastAsia" w:ascii="宋体" w:hAnsi="宋体" w:cs="宋体"/>
          <w:b/>
          <w:bCs/>
          <w:kern w:val="0"/>
          <w:sz w:val="24"/>
          <w:lang w:val="en-US" w:eastAsia="zh-CN"/>
        </w:rPr>
        <w:t>附件：</w:t>
      </w:r>
    </w:p>
    <w:p w14:paraId="31226A9F">
      <w:pPr>
        <w:widowControl/>
        <w:spacing w:line="470" w:lineRule="exact"/>
        <w:jc w:val="center"/>
        <w:rPr>
          <w:rFonts w:hint="eastAsia" w:ascii="宋体" w:hAnsi="宋体" w:cs="宋体"/>
          <w:b/>
          <w:bCs/>
          <w:kern w:val="0"/>
          <w:sz w:val="24"/>
        </w:rPr>
      </w:pPr>
      <w:r>
        <w:rPr>
          <w:rFonts w:hint="eastAsia" w:ascii="宋体" w:hAnsi="宋体" w:cs="宋体"/>
          <w:b/>
          <w:bCs/>
          <w:kern w:val="0"/>
          <w:sz w:val="24"/>
          <w:lang w:val="en-US" w:eastAsia="zh-CN"/>
        </w:rPr>
        <w:t>河南省政府采购合同融资政策告知函</w:t>
      </w:r>
    </w:p>
    <w:p w14:paraId="0D7AC147">
      <w:pPr>
        <w:widowControl/>
        <w:spacing w:line="480" w:lineRule="auto"/>
        <w:ind w:firstLine="480" w:firstLineChars="200"/>
        <w:jc w:val="left"/>
        <w:rPr>
          <w:rFonts w:hint="eastAsia" w:ascii="宋体" w:hAnsi="宋体" w:cs="宋体"/>
          <w:kern w:val="0"/>
          <w:sz w:val="24"/>
        </w:rPr>
      </w:pPr>
    </w:p>
    <w:p w14:paraId="39FA740B">
      <w:pPr>
        <w:widowControl/>
        <w:spacing w:line="480" w:lineRule="auto"/>
        <w:ind w:firstLine="480" w:firstLineChars="200"/>
        <w:jc w:val="left"/>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各供应商：</w:t>
      </w:r>
    </w:p>
    <w:p w14:paraId="40C69EAC">
      <w:pPr>
        <w:widowControl/>
        <w:spacing w:line="480" w:lineRule="auto"/>
        <w:ind w:firstLine="480" w:firstLineChars="200"/>
        <w:jc w:val="left"/>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欢迎贵公司参与河南省政府采购活动！</w:t>
      </w:r>
    </w:p>
    <w:p w14:paraId="3F1786D9">
      <w:pPr>
        <w:widowControl/>
        <w:spacing w:line="480" w:lineRule="auto"/>
        <w:ind w:firstLine="480" w:firstLineChars="200"/>
        <w:jc w:val="left"/>
        <w:rPr>
          <w:rFonts w:hint="eastAsia" w:ascii="宋体" w:hAnsi="宋体" w:eastAsia="宋体" w:cs="宋体"/>
          <w:b w:val="0"/>
          <w:bCs w:val="0"/>
          <w:kern w:val="0"/>
          <w:sz w:val="24"/>
          <w:lang w:val="en-US" w:eastAsia="zh-CN"/>
        </w:rPr>
      </w:pPr>
      <w:r>
        <w:rPr>
          <w:rFonts w:hint="eastAsia" w:ascii="宋体" w:hAnsi="宋体" w:eastAsia="宋体" w:cs="宋体"/>
          <w:b w:val="0"/>
          <w:bCs w:val="0"/>
          <w:kern w:val="0"/>
          <w:sz w:val="24"/>
          <w:lang w:val="en-US" w:eastAsia="zh-CN"/>
        </w:rPr>
        <w:t>政府采购合同融资是信阳市财政局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河南省财政厅关于印发深入推进政府采购合同融资工作实施方案的通知》（豫财办[2020]33 号）等规定，按照双方自愿的原则提供便捷、优惠的贷款服务。</w:t>
      </w:r>
    </w:p>
    <w:p w14:paraId="0A42F9FD">
      <w:pPr>
        <w:widowControl/>
        <w:spacing w:line="480" w:lineRule="auto"/>
        <w:ind w:firstLine="480" w:firstLineChars="200"/>
        <w:jc w:val="left"/>
        <w:rPr>
          <w:rFonts w:hint="eastAsia" w:ascii="宋体" w:hAnsi="宋体" w:eastAsia="宋体" w:cs="宋体"/>
          <w:b w:val="0"/>
          <w:bCs w:val="0"/>
          <w:color w:val="FF0000"/>
          <w:kern w:val="0"/>
          <w:sz w:val="24"/>
          <w:lang w:val="en-US" w:eastAsia="zh-CN"/>
        </w:rPr>
      </w:pPr>
      <w:r>
        <w:rPr>
          <w:rFonts w:hint="eastAsia" w:ascii="宋体" w:hAnsi="宋体" w:eastAsia="宋体" w:cs="宋体"/>
          <w:b w:val="0"/>
          <w:bCs w:val="0"/>
          <w:kern w:val="0"/>
          <w:sz w:val="24"/>
          <w:lang w:val="en-US" w:eastAsia="zh-CN"/>
        </w:rPr>
        <w:t>贷款渠道和提供贷款的金融机构，可在河南省政府采购网“河南省政府采购合同融资平台”查询联系。</w:t>
      </w:r>
    </w:p>
    <w:p w14:paraId="0F9C7C48">
      <w:pPr>
        <w:widowControl/>
        <w:spacing w:line="480" w:lineRule="auto"/>
        <w:ind w:left="479" w:leftChars="228" w:firstLine="0" w:firstLineChars="0"/>
        <w:jc w:val="left"/>
        <w:rPr>
          <w:rFonts w:hint="eastAsia" w:ascii="宋体" w:hAnsi="宋体" w:cs="宋体"/>
          <w:b w:val="0"/>
          <w:bCs w:val="0"/>
          <w:kern w:val="0"/>
          <w:sz w:val="24"/>
        </w:rPr>
      </w:pPr>
      <w:r>
        <w:rPr>
          <w:rFonts w:hint="eastAsia" w:ascii="宋体" w:hAnsi="宋体" w:eastAsia="宋体" w:cs="宋体"/>
          <w:b w:val="0"/>
          <w:bCs w:val="0"/>
          <w:color w:val="auto"/>
          <w:kern w:val="0"/>
          <w:sz w:val="24"/>
          <w:lang w:val="en-US" w:eastAsia="zh-CN"/>
        </w:rPr>
        <w:t>政策解读：</w:t>
      </w:r>
      <w:r>
        <w:rPr>
          <w:rFonts w:hint="eastAsia" w:ascii="宋体" w:hAnsi="宋体" w:cs="宋体"/>
          <w:b w:val="0"/>
          <w:bCs w:val="0"/>
          <w:kern w:val="0"/>
          <w:sz w:val="24"/>
        </w:rPr>
        <w:t>https://zfcg.henan.gov.cn/xygh/egp/jd/rzjg/rzjgxx/ShowPicListNew.html</w:t>
      </w:r>
    </w:p>
    <w:p w14:paraId="4CA9BAB2">
      <w:pPr>
        <w:pStyle w:val="8"/>
        <w:rPr>
          <w:rFonts w:hint="eastAsia" w:ascii="宋体" w:hAnsi="宋体" w:eastAsia="宋体" w:cs="宋体"/>
        </w:rPr>
      </w:pPr>
    </w:p>
    <w:p w14:paraId="565C8632">
      <w:pPr>
        <w:rPr>
          <w:rFonts w:hint="eastAsia" w:ascii="宋体" w:hAnsi="宋体" w:eastAsia="宋体" w:cs="宋体"/>
        </w:rPr>
      </w:pPr>
    </w:p>
    <w:p w14:paraId="31521D98">
      <w:pPr>
        <w:pStyle w:val="55"/>
        <w:rPr>
          <w:rFonts w:hint="eastAsia" w:ascii="宋体" w:hAnsi="宋体" w:eastAsia="宋体" w:cs="宋体"/>
        </w:rPr>
      </w:pPr>
    </w:p>
    <w:p w14:paraId="160B37D7">
      <w:pPr>
        <w:pStyle w:val="8"/>
        <w:rPr>
          <w:rFonts w:hint="eastAsia" w:ascii="宋体" w:hAnsi="宋体" w:eastAsia="宋体" w:cs="宋体"/>
        </w:rPr>
      </w:pPr>
    </w:p>
    <w:p w14:paraId="2A8C8810">
      <w:pPr>
        <w:rPr>
          <w:rFonts w:hint="eastAsia" w:ascii="宋体" w:hAnsi="宋体" w:eastAsia="宋体" w:cs="宋体"/>
        </w:rPr>
      </w:pPr>
    </w:p>
    <w:p w14:paraId="4B1445A9">
      <w:pPr>
        <w:rPr>
          <w:rFonts w:hint="eastAsia" w:ascii="宋体" w:hAnsi="宋体" w:eastAsia="宋体" w:cs="宋体"/>
        </w:rPr>
      </w:pPr>
    </w:p>
    <w:p w14:paraId="1F77AEDA">
      <w:pPr>
        <w:rPr>
          <w:rFonts w:hint="eastAsia" w:ascii="宋体" w:hAnsi="宋体" w:eastAsia="宋体" w:cs="宋体"/>
        </w:rPr>
      </w:pPr>
    </w:p>
    <w:p w14:paraId="46C9824F">
      <w:pPr>
        <w:rPr>
          <w:rFonts w:hint="eastAsia" w:ascii="宋体" w:hAnsi="宋体" w:eastAsia="宋体" w:cs="宋体"/>
        </w:rPr>
      </w:pPr>
    </w:p>
    <w:p w14:paraId="108CCE55">
      <w:pPr>
        <w:rPr>
          <w:rFonts w:hint="eastAsia" w:ascii="宋体" w:hAnsi="宋体" w:eastAsia="宋体" w:cs="宋体"/>
        </w:rPr>
      </w:pPr>
    </w:p>
    <w:p w14:paraId="3D24676E">
      <w:pPr>
        <w:rPr>
          <w:rFonts w:hint="eastAsia" w:ascii="宋体" w:hAnsi="宋体" w:eastAsia="宋体" w:cs="宋体"/>
        </w:rPr>
      </w:pPr>
    </w:p>
    <w:p w14:paraId="3B43DD56">
      <w:pPr>
        <w:rPr>
          <w:rFonts w:hint="eastAsia" w:ascii="宋体" w:hAnsi="宋体" w:eastAsia="宋体" w:cs="宋体"/>
        </w:rPr>
      </w:pPr>
    </w:p>
    <w:p w14:paraId="53AC7429">
      <w:pPr>
        <w:rPr>
          <w:rFonts w:hint="eastAsia" w:ascii="宋体" w:hAnsi="宋体" w:eastAsia="宋体" w:cs="宋体"/>
        </w:rPr>
      </w:pPr>
    </w:p>
    <w:p w14:paraId="16B46663">
      <w:pPr>
        <w:rPr>
          <w:rFonts w:hint="eastAsia" w:ascii="宋体" w:hAnsi="宋体" w:eastAsia="宋体" w:cs="宋体"/>
        </w:rPr>
      </w:pPr>
    </w:p>
    <w:p w14:paraId="527FEEA0">
      <w:pPr>
        <w:rPr>
          <w:rFonts w:hint="eastAsia" w:ascii="宋体" w:hAnsi="宋体" w:eastAsia="宋体" w:cs="宋体"/>
        </w:rPr>
      </w:pPr>
    </w:p>
    <w:p w14:paraId="35566EEC">
      <w:pPr>
        <w:rPr>
          <w:rFonts w:hint="eastAsia" w:ascii="宋体" w:hAnsi="宋体" w:eastAsia="宋体" w:cs="宋体"/>
        </w:rPr>
      </w:pPr>
    </w:p>
    <w:p w14:paraId="173AF61A">
      <w:pPr>
        <w:rPr>
          <w:rFonts w:hint="eastAsia" w:ascii="宋体" w:hAnsi="宋体" w:eastAsia="宋体" w:cs="宋体"/>
        </w:rPr>
      </w:pPr>
    </w:p>
    <w:p w14:paraId="3DEF9252">
      <w:pPr>
        <w:rPr>
          <w:rFonts w:hint="eastAsia" w:ascii="宋体" w:hAnsi="宋体" w:eastAsia="宋体" w:cs="宋体"/>
        </w:rPr>
      </w:pPr>
    </w:p>
    <w:p w14:paraId="5E9F1431">
      <w:pPr>
        <w:rPr>
          <w:rFonts w:hint="eastAsia" w:ascii="宋体" w:hAnsi="宋体" w:eastAsia="宋体" w:cs="宋体"/>
        </w:rPr>
      </w:pPr>
    </w:p>
    <w:p w14:paraId="3D4F89CA">
      <w:pPr>
        <w:pStyle w:val="55"/>
        <w:rPr>
          <w:rFonts w:hint="eastAsia"/>
        </w:rPr>
      </w:pPr>
    </w:p>
    <w:p w14:paraId="0B686915">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 xml:space="preserve">第三章 </w:t>
      </w:r>
      <w:bookmarkStart w:id="623" w:name="_Toc374358909"/>
      <w:bookmarkStart w:id="624" w:name="_Toc381964639"/>
      <w:bookmarkStart w:id="625" w:name="_Toc381018330"/>
      <w:bookmarkStart w:id="626" w:name="_Toc381964731"/>
      <w:bookmarkStart w:id="627" w:name="_Toc363053524"/>
      <w:bookmarkStart w:id="628" w:name="_Toc11095"/>
      <w:r>
        <w:rPr>
          <w:rFonts w:hint="eastAsia" w:ascii="宋体" w:hAnsi="宋体" w:eastAsia="宋体" w:cs="宋体"/>
          <w:b/>
          <w:color w:val="auto"/>
          <w:sz w:val="32"/>
          <w:szCs w:val="32"/>
          <w:highlight w:val="none"/>
          <w:lang w:eastAsia="zh-CN"/>
        </w:rPr>
        <w:t>评审办法（综合评分法）</w:t>
      </w:r>
    </w:p>
    <w:p w14:paraId="6206D336">
      <w:pPr>
        <w:keepNext w:val="0"/>
        <w:keepLines w:val="0"/>
        <w:pageBreakBefore w:val="0"/>
        <w:widowControl/>
        <w:kinsoku/>
        <w:wordWrap/>
        <w:overflowPunct/>
        <w:topLinePunct w:val="0"/>
        <w:autoSpaceDE/>
        <w:autoSpaceDN/>
        <w:bidi w:val="0"/>
        <w:adjustRightInd/>
        <w:snapToGrid/>
        <w:spacing w:line="460" w:lineRule="exact"/>
        <w:jc w:val="center"/>
        <w:textAlignment w:val="auto"/>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评审办法前附表</w:t>
      </w:r>
    </w:p>
    <w:tbl>
      <w:tblPr>
        <w:tblStyle w:val="33"/>
        <w:tblpPr w:leftFromText="180" w:rightFromText="180" w:vertAnchor="text" w:horzAnchor="page" w:tblpX="1066" w:tblpY="522"/>
        <w:tblOverlap w:val="never"/>
        <w:tblW w:w="9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189"/>
        <w:gridCol w:w="1665"/>
        <w:gridCol w:w="5887"/>
      </w:tblGrid>
      <w:tr w14:paraId="7D44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91" w:type="dxa"/>
            <w:gridSpan w:val="2"/>
            <w:noWrap w:val="0"/>
            <w:vAlign w:val="center"/>
          </w:tcPr>
          <w:p w14:paraId="38931DD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rPr>
            </w:pPr>
            <w:r>
              <w:rPr>
                <w:rFonts w:hint="eastAsia" w:ascii="宋体" w:hAnsi="宋体" w:eastAsia="宋体" w:cs="宋体"/>
                <w:b/>
                <w:bCs/>
                <w:sz w:val="24"/>
                <w:szCs w:val="32"/>
              </w:rPr>
              <w:t>条款号</w:t>
            </w:r>
          </w:p>
        </w:tc>
        <w:tc>
          <w:tcPr>
            <w:tcW w:w="1665" w:type="dxa"/>
            <w:noWrap w:val="0"/>
            <w:vAlign w:val="center"/>
          </w:tcPr>
          <w:p w14:paraId="06B0B6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rPr>
            </w:pPr>
            <w:r>
              <w:rPr>
                <w:rFonts w:hint="eastAsia" w:ascii="宋体" w:hAnsi="宋体" w:eastAsia="宋体" w:cs="宋体"/>
                <w:b/>
                <w:bCs/>
                <w:sz w:val="24"/>
                <w:szCs w:val="32"/>
              </w:rPr>
              <w:t>评审因素</w:t>
            </w:r>
          </w:p>
        </w:tc>
        <w:tc>
          <w:tcPr>
            <w:tcW w:w="5887" w:type="dxa"/>
            <w:noWrap w:val="0"/>
            <w:vAlign w:val="center"/>
          </w:tcPr>
          <w:p w14:paraId="0980331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rPr>
            </w:pPr>
            <w:r>
              <w:rPr>
                <w:rFonts w:hint="eastAsia" w:ascii="宋体" w:hAnsi="宋体" w:eastAsia="宋体" w:cs="宋体"/>
                <w:b/>
                <w:bCs/>
                <w:sz w:val="24"/>
                <w:szCs w:val="32"/>
              </w:rPr>
              <w:t>评审标准</w:t>
            </w:r>
          </w:p>
        </w:tc>
      </w:tr>
      <w:tr w14:paraId="1A20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restart"/>
            <w:noWrap w:val="0"/>
            <w:vAlign w:val="center"/>
          </w:tcPr>
          <w:p w14:paraId="2AF02138">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2.1.1</w:t>
            </w:r>
          </w:p>
        </w:tc>
        <w:tc>
          <w:tcPr>
            <w:tcW w:w="1189" w:type="dxa"/>
            <w:vMerge w:val="restart"/>
            <w:noWrap w:val="0"/>
            <w:vAlign w:val="center"/>
          </w:tcPr>
          <w:p w14:paraId="058E54D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资格评审</w:t>
            </w:r>
          </w:p>
          <w:p w14:paraId="7DE8768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标  准</w:t>
            </w:r>
          </w:p>
        </w:tc>
        <w:tc>
          <w:tcPr>
            <w:tcW w:w="1665" w:type="dxa"/>
            <w:noWrap w:val="0"/>
            <w:vAlign w:val="center"/>
          </w:tcPr>
          <w:p w14:paraId="51DDA6C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符合《中华人民共和国政府采购法》第22条规定</w:t>
            </w:r>
          </w:p>
        </w:tc>
        <w:tc>
          <w:tcPr>
            <w:tcW w:w="5887" w:type="dxa"/>
            <w:noWrap w:val="0"/>
            <w:vAlign w:val="center"/>
          </w:tcPr>
          <w:p w14:paraId="564184C7">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符合第二章“供应商须知</w:t>
            </w:r>
            <w:r>
              <w:rPr>
                <w:rFonts w:hint="eastAsia" w:ascii="宋体" w:hAnsi="宋体" w:eastAsia="宋体" w:cs="宋体"/>
                <w:color w:val="auto"/>
                <w:sz w:val="24"/>
                <w:szCs w:val="24"/>
                <w:lang w:eastAsia="zh-CN"/>
              </w:rPr>
              <w:t>前附表</w:t>
            </w:r>
            <w:r>
              <w:rPr>
                <w:rFonts w:hint="eastAsia" w:ascii="宋体" w:hAnsi="宋体" w:eastAsia="宋体" w:cs="宋体"/>
                <w:color w:val="auto"/>
                <w:sz w:val="24"/>
                <w:szCs w:val="24"/>
              </w:rPr>
              <w:t>”第1.5.1项规定</w:t>
            </w:r>
          </w:p>
        </w:tc>
      </w:tr>
      <w:tr w14:paraId="2B48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02C72D3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4"/>
                <w:szCs w:val="24"/>
              </w:rPr>
            </w:pPr>
          </w:p>
        </w:tc>
        <w:tc>
          <w:tcPr>
            <w:tcW w:w="1189" w:type="dxa"/>
            <w:vMerge w:val="continue"/>
            <w:noWrap w:val="0"/>
            <w:vAlign w:val="center"/>
          </w:tcPr>
          <w:p w14:paraId="6321879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4"/>
                <w:szCs w:val="24"/>
              </w:rPr>
            </w:pPr>
          </w:p>
        </w:tc>
        <w:tc>
          <w:tcPr>
            <w:tcW w:w="1665" w:type="dxa"/>
            <w:noWrap w:val="0"/>
            <w:vAlign w:val="center"/>
          </w:tcPr>
          <w:p w14:paraId="5EC8DA7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特定资格要求</w:t>
            </w:r>
          </w:p>
        </w:tc>
        <w:tc>
          <w:tcPr>
            <w:tcW w:w="5887" w:type="dxa"/>
            <w:noWrap w:val="0"/>
            <w:vAlign w:val="center"/>
          </w:tcPr>
          <w:p w14:paraId="462115C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符合第二章“供应商须知前附表”第1.5.1项规定</w:t>
            </w:r>
          </w:p>
        </w:tc>
      </w:tr>
      <w:tr w14:paraId="212EB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083131E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4"/>
                <w:szCs w:val="24"/>
              </w:rPr>
            </w:pPr>
          </w:p>
        </w:tc>
        <w:tc>
          <w:tcPr>
            <w:tcW w:w="1189" w:type="dxa"/>
            <w:vMerge w:val="continue"/>
            <w:noWrap w:val="0"/>
            <w:vAlign w:val="center"/>
          </w:tcPr>
          <w:p w14:paraId="495E4B3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4"/>
                <w:szCs w:val="24"/>
              </w:rPr>
            </w:pPr>
          </w:p>
        </w:tc>
        <w:tc>
          <w:tcPr>
            <w:tcW w:w="1665" w:type="dxa"/>
            <w:noWrap w:val="0"/>
            <w:vAlign w:val="center"/>
          </w:tcPr>
          <w:p w14:paraId="0E9CCDA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其他要求</w:t>
            </w:r>
          </w:p>
        </w:tc>
        <w:tc>
          <w:tcPr>
            <w:tcW w:w="5887" w:type="dxa"/>
            <w:noWrap w:val="0"/>
            <w:vAlign w:val="center"/>
          </w:tcPr>
          <w:p w14:paraId="1B06EBD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rPr>
              <w:t>符合第二章“</w:t>
            </w: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须知</w:t>
            </w:r>
            <w:r>
              <w:rPr>
                <w:rFonts w:hint="eastAsia" w:ascii="宋体" w:hAnsi="宋体" w:eastAsia="宋体" w:cs="宋体"/>
                <w:color w:val="auto"/>
                <w:kern w:val="0"/>
                <w:sz w:val="24"/>
                <w:szCs w:val="24"/>
                <w:lang w:eastAsia="zh-CN"/>
              </w:rPr>
              <w:t>前附表</w:t>
            </w:r>
            <w:r>
              <w:rPr>
                <w:rFonts w:hint="eastAsia" w:ascii="宋体" w:hAnsi="宋体" w:eastAsia="宋体" w:cs="宋体"/>
                <w:color w:val="auto"/>
                <w:kern w:val="0"/>
                <w:sz w:val="24"/>
                <w:szCs w:val="24"/>
              </w:rPr>
              <w:t>”第1.5.1项规定</w:t>
            </w:r>
          </w:p>
        </w:tc>
      </w:tr>
      <w:tr w14:paraId="561C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restart"/>
            <w:noWrap w:val="0"/>
            <w:vAlign w:val="center"/>
          </w:tcPr>
          <w:p w14:paraId="78007A62">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2.1.</w:t>
            </w:r>
            <w:r>
              <w:rPr>
                <w:rFonts w:hint="eastAsia" w:ascii="宋体" w:hAnsi="宋体" w:eastAsia="宋体" w:cs="宋体"/>
                <w:b/>
                <w:bCs/>
                <w:color w:val="auto"/>
                <w:sz w:val="24"/>
                <w:szCs w:val="24"/>
                <w:lang w:val="en-US" w:eastAsia="zh-CN"/>
              </w:rPr>
              <w:t>2</w:t>
            </w:r>
          </w:p>
        </w:tc>
        <w:tc>
          <w:tcPr>
            <w:tcW w:w="1189" w:type="dxa"/>
            <w:vMerge w:val="restart"/>
            <w:noWrap w:val="0"/>
            <w:vAlign w:val="center"/>
          </w:tcPr>
          <w:p w14:paraId="2B92233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符合性</w:t>
            </w:r>
          </w:p>
          <w:p w14:paraId="61C20FA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评审标准</w:t>
            </w:r>
          </w:p>
        </w:tc>
        <w:tc>
          <w:tcPr>
            <w:tcW w:w="1665" w:type="dxa"/>
            <w:noWrap w:val="0"/>
            <w:vAlign w:val="center"/>
          </w:tcPr>
          <w:p w14:paraId="2F0E8EB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是否存在严重失信主体</w:t>
            </w:r>
          </w:p>
        </w:tc>
        <w:tc>
          <w:tcPr>
            <w:tcW w:w="5887" w:type="dxa"/>
            <w:noWrap w:val="0"/>
            <w:vAlign w:val="center"/>
          </w:tcPr>
          <w:p w14:paraId="454E2B65">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4"/>
                <w:szCs w:val="32"/>
              </w:rPr>
            </w:pPr>
            <w:r>
              <w:rPr>
                <w:rFonts w:hint="eastAsia" w:ascii="宋体" w:hAnsi="宋体" w:eastAsia="宋体" w:cs="宋体"/>
                <w:sz w:val="24"/>
                <w:szCs w:val="32"/>
              </w:rPr>
              <w:t>根据《关于在政府采购活动中查询及使用信用记录有关问题的通知》财库[2016]125号文件和豫财购【2016】15号文件的规定，供应商应提供“信用中国”网站（www.creditchina.gov.cn）查询“失信被执行人”、“重大税收违法失信主体”；中国政府采购网（www.ccgp.gov.cn）查询“政府采购严重违法失信行为记录名单”渠道查询自身信用记录，提供查询网页截图，查询截止时点为：从公告发布之日起至投标截止之日止；</w:t>
            </w:r>
          </w:p>
        </w:tc>
      </w:tr>
      <w:tr w14:paraId="4464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14C4EECC">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4"/>
                <w:szCs w:val="24"/>
                <w:lang w:eastAsia="zh-CN"/>
              </w:rPr>
            </w:pPr>
          </w:p>
        </w:tc>
        <w:tc>
          <w:tcPr>
            <w:tcW w:w="1189" w:type="dxa"/>
            <w:vMerge w:val="continue"/>
            <w:noWrap w:val="0"/>
            <w:vAlign w:val="center"/>
          </w:tcPr>
          <w:p w14:paraId="4950FC3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rPr>
            </w:pPr>
          </w:p>
        </w:tc>
        <w:tc>
          <w:tcPr>
            <w:tcW w:w="1665" w:type="dxa"/>
            <w:noWrap w:val="0"/>
            <w:vAlign w:val="center"/>
          </w:tcPr>
          <w:p w14:paraId="19879C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供应商名称</w:t>
            </w:r>
          </w:p>
        </w:tc>
        <w:tc>
          <w:tcPr>
            <w:tcW w:w="5887" w:type="dxa"/>
            <w:noWrap w:val="0"/>
            <w:vAlign w:val="center"/>
          </w:tcPr>
          <w:p w14:paraId="477B31F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与营业执照一致</w:t>
            </w:r>
          </w:p>
        </w:tc>
      </w:tr>
      <w:tr w14:paraId="0B35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42D0C8B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189" w:type="dxa"/>
            <w:vMerge w:val="continue"/>
            <w:noWrap w:val="0"/>
            <w:vAlign w:val="center"/>
          </w:tcPr>
          <w:p w14:paraId="111E058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665" w:type="dxa"/>
            <w:noWrap w:val="0"/>
            <w:vAlign w:val="center"/>
          </w:tcPr>
          <w:p w14:paraId="13E503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eastAsia="zh-CN"/>
              </w:rPr>
              <w:t>响应</w:t>
            </w:r>
            <w:r>
              <w:rPr>
                <w:rFonts w:hint="eastAsia" w:ascii="宋体" w:hAnsi="宋体" w:eastAsia="宋体" w:cs="宋体"/>
                <w:sz w:val="24"/>
                <w:szCs w:val="32"/>
                <w:lang w:val="en-US" w:eastAsia="zh-CN"/>
              </w:rPr>
              <w:t>文件</w:t>
            </w:r>
            <w:r>
              <w:rPr>
                <w:rFonts w:hint="eastAsia" w:ascii="宋体" w:hAnsi="宋体" w:eastAsia="宋体" w:cs="宋体"/>
                <w:sz w:val="24"/>
                <w:szCs w:val="32"/>
              </w:rPr>
              <w:t>签字盖章</w:t>
            </w:r>
          </w:p>
        </w:tc>
        <w:tc>
          <w:tcPr>
            <w:tcW w:w="5887" w:type="dxa"/>
            <w:noWrap w:val="0"/>
            <w:vAlign w:val="center"/>
          </w:tcPr>
          <w:p w14:paraId="6A7D626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符合采购文件的规定要求</w:t>
            </w:r>
          </w:p>
        </w:tc>
      </w:tr>
      <w:tr w14:paraId="4944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7EAB684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189" w:type="dxa"/>
            <w:vMerge w:val="continue"/>
            <w:noWrap w:val="0"/>
            <w:vAlign w:val="center"/>
          </w:tcPr>
          <w:p w14:paraId="5869445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665" w:type="dxa"/>
            <w:noWrap w:val="0"/>
            <w:vAlign w:val="center"/>
          </w:tcPr>
          <w:p w14:paraId="0E2353E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响应文件格式</w:t>
            </w:r>
          </w:p>
        </w:tc>
        <w:tc>
          <w:tcPr>
            <w:tcW w:w="5887" w:type="dxa"/>
            <w:noWrap w:val="0"/>
            <w:vAlign w:val="center"/>
          </w:tcPr>
          <w:p w14:paraId="5FB627B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符合</w:t>
            </w:r>
            <w:r>
              <w:rPr>
                <w:rFonts w:hint="eastAsia" w:ascii="宋体" w:hAnsi="宋体" w:eastAsia="宋体" w:cs="宋体"/>
                <w:sz w:val="24"/>
                <w:szCs w:val="32"/>
                <w:lang w:eastAsia="zh-CN"/>
              </w:rPr>
              <w:t>第六章</w:t>
            </w:r>
            <w:r>
              <w:rPr>
                <w:rFonts w:hint="eastAsia" w:ascii="宋体" w:hAnsi="宋体" w:eastAsia="宋体" w:cs="宋体"/>
                <w:sz w:val="24"/>
                <w:szCs w:val="32"/>
              </w:rPr>
              <w:t>“</w:t>
            </w:r>
            <w:r>
              <w:rPr>
                <w:rFonts w:hint="eastAsia" w:ascii="宋体" w:hAnsi="宋体" w:eastAsia="宋体" w:cs="宋体"/>
                <w:sz w:val="24"/>
                <w:szCs w:val="32"/>
                <w:lang w:eastAsia="zh-CN"/>
              </w:rPr>
              <w:t>竞争性磋商响应文件格式</w:t>
            </w:r>
            <w:r>
              <w:rPr>
                <w:rFonts w:hint="eastAsia" w:ascii="宋体" w:hAnsi="宋体" w:eastAsia="宋体" w:cs="宋体"/>
                <w:sz w:val="24"/>
                <w:szCs w:val="32"/>
              </w:rPr>
              <w:t>”的要求</w:t>
            </w:r>
          </w:p>
        </w:tc>
      </w:tr>
      <w:tr w14:paraId="4B61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09036BBB">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rPr>
            </w:pPr>
          </w:p>
        </w:tc>
        <w:tc>
          <w:tcPr>
            <w:tcW w:w="1189" w:type="dxa"/>
            <w:vMerge w:val="continue"/>
            <w:noWrap w:val="0"/>
            <w:vAlign w:val="center"/>
          </w:tcPr>
          <w:p w14:paraId="4C960E3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1665" w:type="dxa"/>
            <w:noWrap w:val="0"/>
            <w:vAlign w:val="center"/>
          </w:tcPr>
          <w:p w14:paraId="2AFA158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响应内容</w:t>
            </w:r>
          </w:p>
        </w:tc>
        <w:tc>
          <w:tcPr>
            <w:tcW w:w="5887" w:type="dxa"/>
            <w:noWrap w:val="0"/>
            <w:vAlign w:val="center"/>
          </w:tcPr>
          <w:p w14:paraId="59376EB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符合第二章“供应商须知</w:t>
            </w:r>
            <w:r>
              <w:rPr>
                <w:rFonts w:hint="eastAsia" w:ascii="宋体" w:hAnsi="宋体" w:eastAsia="宋体" w:cs="宋体"/>
                <w:sz w:val="24"/>
                <w:szCs w:val="32"/>
                <w:lang w:eastAsia="zh-CN"/>
              </w:rPr>
              <w:t>前附表</w:t>
            </w:r>
            <w:r>
              <w:rPr>
                <w:rFonts w:hint="eastAsia" w:ascii="宋体" w:hAnsi="宋体" w:eastAsia="宋体" w:cs="宋体"/>
                <w:sz w:val="24"/>
                <w:szCs w:val="32"/>
              </w:rPr>
              <w:t>”第1.4.1项规定</w:t>
            </w:r>
          </w:p>
        </w:tc>
      </w:tr>
      <w:tr w14:paraId="4CBF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67940ED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189" w:type="dxa"/>
            <w:vMerge w:val="continue"/>
            <w:noWrap w:val="0"/>
            <w:vAlign w:val="center"/>
          </w:tcPr>
          <w:p w14:paraId="61F3C41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665" w:type="dxa"/>
            <w:noWrap w:val="0"/>
            <w:vAlign w:val="center"/>
          </w:tcPr>
          <w:p w14:paraId="1FA38C7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eastAsia="zh-CN"/>
              </w:rPr>
            </w:pPr>
            <w:r>
              <w:rPr>
                <w:rFonts w:hint="eastAsia" w:ascii="宋体" w:hAnsi="宋体" w:eastAsia="宋体" w:cs="宋体"/>
                <w:sz w:val="24"/>
                <w:szCs w:val="32"/>
                <w:lang w:eastAsia="zh-CN"/>
              </w:rPr>
              <w:t>服务期限</w:t>
            </w:r>
          </w:p>
        </w:tc>
        <w:tc>
          <w:tcPr>
            <w:tcW w:w="5887" w:type="dxa"/>
            <w:noWrap w:val="0"/>
            <w:vAlign w:val="center"/>
          </w:tcPr>
          <w:p w14:paraId="70EB9FD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符合第二章“供应商须知</w:t>
            </w:r>
            <w:r>
              <w:rPr>
                <w:rFonts w:hint="eastAsia" w:ascii="宋体" w:hAnsi="宋体" w:eastAsia="宋体" w:cs="宋体"/>
                <w:sz w:val="24"/>
                <w:szCs w:val="32"/>
                <w:lang w:eastAsia="zh-CN"/>
              </w:rPr>
              <w:t>前附表</w:t>
            </w:r>
            <w:r>
              <w:rPr>
                <w:rFonts w:hint="eastAsia" w:ascii="宋体" w:hAnsi="宋体" w:eastAsia="宋体" w:cs="宋体"/>
                <w:sz w:val="24"/>
                <w:szCs w:val="32"/>
              </w:rPr>
              <w:t>”第1.4.2项规定</w:t>
            </w:r>
          </w:p>
        </w:tc>
      </w:tr>
      <w:tr w14:paraId="5725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0A62FFF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189" w:type="dxa"/>
            <w:vMerge w:val="continue"/>
            <w:noWrap w:val="0"/>
            <w:vAlign w:val="center"/>
          </w:tcPr>
          <w:p w14:paraId="5341EF0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665" w:type="dxa"/>
            <w:noWrap w:val="0"/>
            <w:vAlign w:val="center"/>
          </w:tcPr>
          <w:p w14:paraId="08A63EA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质量要求</w:t>
            </w:r>
          </w:p>
        </w:tc>
        <w:tc>
          <w:tcPr>
            <w:tcW w:w="5887" w:type="dxa"/>
            <w:noWrap w:val="0"/>
            <w:vAlign w:val="center"/>
          </w:tcPr>
          <w:p w14:paraId="7A0EE5C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lang w:val="en-US" w:eastAsia="zh-CN"/>
              </w:rPr>
            </w:pPr>
            <w:r>
              <w:rPr>
                <w:rFonts w:hint="eastAsia" w:ascii="宋体" w:hAnsi="宋体" w:eastAsia="宋体" w:cs="宋体"/>
                <w:sz w:val="24"/>
                <w:szCs w:val="32"/>
              </w:rPr>
              <w:t>符合第二章“供应商须知</w:t>
            </w:r>
            <w:r>
              <w:rPr>
                <w:rFonts w:hint="eastAsia" w:ascii="宋体" w:hAnsi="宋体" w:eastAsia="宋体" w:cs="宋体"/>
                <w:sz w:val="24"/>
                <w:szCs w:val="32"/>
                <w:lang w:eastAsia="zh-CN"/>
              </w:rPr>
              <w:t>前附表</w:t>
            </w:r>
            <w:r>
              <w:rPr>
                <w:rFonts w:hint="eastAsia" w:ascii="宋体" w:hAnsi="宋体" w:eastAsia="宋体" w:cs="宋体"/>
                <w:sz w:val="24"/>
                <w:szCs w:val="32"/>
              </w:rPr>
              <w:t>”第1.4.</w:t>
            </w:r>
            <w:r>
              <w:rPr>
                <w:rFonts w:hint="eastAsia" w:ascii="宋体" w:hAnsi="宋体" w:eastAsia="宋体" w:cs="宋体"/>
                <w:sz w:val="24"/>
                <w:szCs w:val="32"/>
                <w:lang w:val="en-US" w:eastAsia="zh-CN"/>
              </w:rPr>
              <w:t>3</w:t>
            </w:r>
            <w:r>
              <w:rPr>
                <w:rFonts w:hint="eastAsia" w:ascii="宋体" w:hAnsi="宋体" w:eastAsia="宋体" w:cs="宋体"/>
                <w:sz w:val="24"/>
                <w:szCs w:val="32"/>
              </w:rPr>
              <w:t>项规定</w:t>
            </w:r>
          </w:p>
        </w:tc>
      </w:tr>
      <w:tr w14:paraId="7E4B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0B27EBF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189" w:type="dxa"/>
            <w:vMerge w:val="continue"/>
            <w:noWrap w:val="0"/>
            <w:vAlign w:val="center"/>
          </w:tcPr>
          <w:p w14:paraId="0134E5D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665" w:type="dxa"/>
            <w:noWrap w:val="0"/>
            <w:vAlign w:val="center"/>
          </w:tcPr>
          <w:p w14:paraId="62ED9DE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磋商有效期</w:t>
            </w:r>
          </w:p>
        </w:tc>
        <w:tc>
          <w:tcPr>
            <w:tcW w:w="5887" w:type="dxa"/>
            <w:noWrap w:val="0"/>
            <w:vAlign w:val="center"/>
          </w:tcPr>
          <w:p w14:paraId="20C21D7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符合第二章“供应商须知</w:t>
            </w:r>
            <w:r>
              <w:rPr>
                <w:rFonts w:hint="eastAsia" w:ascii="宋体" w:hAnsi="宋体" w:eastAsia="宋体" w:cs="宋体"/>
                <w:sz w:val="24"/>
                <w:szCs w:val="32"/>
                <w:lang w:eastAsia="zh-CN"/>
              </w:rPr>
              <w:t>前附表</w:t>
            </w:r>
            <w:r>
              <w:rPr>
                <w:rFonts w:hint="eastAsia" w:ascii="宋体" w:hAnsi="宋体" w:eastAsia="宋体" w:cs="宋体"/>
                <w:sz w:val="24"/>
                <w:szCs w:val="32"/>
              </w:rPr>
              <w:t>”第3.3.1项规定</w:t>
            </w:r>
          </w:p>
        </w:tc>
      </w:tr>
      <w:tr w14:paraId="7DB6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vMerge w:val="continue"/>
            <w:noWrap w:val="0"/>
            <w:vAlign w:val="center"/>
          </w:tcPr>
          <w:p w14:paraId="3C0CD835">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189" w:type="dxa"/>
            <w:vMerge w:val="continue"/>
            <w:noWrap w:val="0"/>
            <w:vAlign w:val="center"/>
          </w:tcPr>
          <w:p w14:paraId="09858F7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p>
        </w:tc>
        <w:tc>
          <w:tcPr>
            <w:tcW w:w="1665" w:type="dxa"/>
            <w:noWrap w:val="0"/>
            <w:vAlign w:val="center"/>
          </w:tcPr>
          <w:p w14:paraId="3DE9CAB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磋商报价</w:t>
            </w:r>
          </w:p>
        </w:tc>
        <w:tc>
          <w:tcPr>
            <w:tcW w:w="5887" w:type="dxa"/>
            <w:noWrap w:val="0"/>
            <w:vAlign w:val="center"/>
          </w:tcPr>
          <w:p w14:paraId="547FA20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32"/>
              </w:rPr>
            </w:pPr>
            <w:r>
              <w:rPr>
                <w:rFonts w:hint="eastAsia" w:ascii="宋体" w:hAnsi="宋体" w:eastAsia="宋体" w:cs="宋体"/>
                <w:sz w:val="24"/>
                <w:szCs w:val="32"/>
              </w:rPr>
              <w:t>报价不超过</w:t>
            </w:r>
            <w:r>
              <w:rPr>
                <w:rFonts w:hint="eastAsia" w:ascii="宋体" w:hAnsi="宋体" w:eastAsia="宋体" w:cs="宋体"/>
                <w:b w:val="0"/>
                <w:bCs w:val="0"/>
                <w:color w:val="000000"/>
                <w:kern w:val="0"/>
                <w:sz w:val="24"/>
                <w:szCs w:val="24"/>
                <w:lang w:eastAsia="zh-CN"/>
              </w:rPr>
              <w:t>预算价（</w:t>
            </w:r>
            <w:r>
              <w:rPr>
                <w:rFonts w:hint="eastAsia" w:ascii="宋体" w:hAnsi="宋体" w:eastAsia="宋体" w:cs="宋体"/>
                <w:b w:val="0"/>
                <w:bCs w:val="0"/>
                <w:color w:val="000000"/>
                <w:kern w:val="0"/>
                <w:sz w:val="24"/>
                <w:szCs w:val="24"/>
                <w:lang w:val="en-US" w:eastAsia="zh-CN"/>
              </w:rPr>
              <w:t>最高限价</w:t>
            </w:r>
            <w:r>
              <w:rPr>
                <w:rFonts w:hint="eastAsia" w:ascii="宋体" w:hAnsi="宋体" w:eastAsia="宋体" w:cs="宋体"/>
                <w:b w:val="0"/>
                <w:bCs w:val="0"/>
                <w:color w:val="000000"/>
                <w:kern w:val="0"/>
                <w:sz w:val="24"/>
                <w:szCs w:val="24"/>
                <w:lang w:eastAsia="zh-CN"/>
              </w:rPr>
              <w:t>）</w:t>
            </w:r>
          </w:p>
        </w:tc>
      </w:tr>
      <w:tr w14:paraId="4CE2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91" w:type="dxa"/>
            <w:gridSpan w:val="2"/>
            <w:noWrap w:val="0"/>
            <w:vAlign w:val="center"/>
          </w:tcPr>
          <w:p w14:paraId="2F2C3F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lang w:eastAsia="zh-CN"/>
              </w:rPr>
            </w:pPr>
            <w:r>
              <w:rPr>
                <w:rFonts w:hint="eastAsia" w:ascii="宋体" w:hAnsi="宋体" w:eastAsia="宋体" w:cs="宋体"/>
                <w:b/>
                <w:bCs/>
                <w:sz w:val="24"/>
                <w:szCs w:val="32"/>
              </w:rPr>
              <w:t>2.2</w:t>
            </w:r>
          </w:p>
        </w:tc>
        <w:tc>
          <w:tcPr>
            <w:tcW w:w="1665" w:type="dxa"/>
            <w:noWrap w:val="0"/>
            <w:vAlign w:val="center"/>
          </w:tcPr>
          <w:p w14:paraId="2F7177A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rPr>
            </w:pPr>
            <w:r>
              <w:rPr>
                <w:rFonts w:hint="eastAsia" w:ascii="宋体" w:hAnsi="宋体" w:eastAsia="宋体" w:cs="宋体"/>
                <w:b/>
                <w:bCs/>
                <w:sz w:val="24"/>
                <w:szCs w:val="32"/>
              </w:rPr>
              <w:t>分值构成</w:t>
            </w:r>
          </w:p>
          <w:p w14:paraId="33B8288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rPr>
            </w:pPr>
            <w:r>
              <w:rPr>
                <w:rFonts w:hint="eastAsia" w:ascii="宋体" w:hAnsi="宋体" w:eastAsia="宋体" w:cs="宋体"/>
                <w:b/>
                <w:bCs/>
                <w:sz w:val="24"/>
                <w:szCs w:val="32"/>
              </w:rPr>
              <w:t>（100分）</w:t>
            </w:r>
          </w:p>
        </w:tc>
        <w:tc>
          <w:tcPr>
            <w:tcW w:w="5887" w:type="dxa"/>
            <w:noWrap w:val="0"/>
            <w:vAlign w:val="center"/>
          </w:tcPr>
          <w:p w14:paraId="0F849C6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sz w:val="24"/>
                <w:szCs w:val="32"/>
              </w:rPr>
            </w:pPr>
            <w:r>
              <w:rPr>
                <w:rFonts w:hint="eastAsia" w:ascii="宋体" w:hAnsi="宋体" w:eastAsia="宋体" w:cs="宋体"/>
                <w:b/>
                <w:bCs/>
                <w:sz w:val="24"/>
                <w:szCs w:val="32"/>
                <w:lang w:eastAsia="zh-CN"/>
              </w:rPr>
              <w:t>商务部分</w:t>
            </w:r>
            <w:r>
              <w:rPr>
                <w:rFonts w:hint="eastAsia" w:ascii="宋体" w:hAnsi="宋体" w:eastAsia="宋体" w:cs="宋体"/>
                <w:b/>
                <w:bCs/>
                <w:sz w:val="24"/>
                <w:szCs w:val="32"/>
              </w:rPr>
              <w:t>：</w:t>
            </w:r>
            <w:r>
              <w:rPr>
                <w:rFonts w:hint="eastAsia" w:ascii="宋体" w:hAnsi="宋体" w:cs="宋体"/>
                <w:b/>
                <w:bCs/>
                <w:sz w:val="24"/>
                <w:szCs w:val="32"/>
                <w:lang w:val="en-US" w:eastAsia="zh-CN"/>
              </w:rPr>
              <w:t>20</w:t>
            </w:r>
            <w:r>
              <w:rPr>
                <w:rFonts w:hint="eastAsia" w:ascii="宋体" w:hAnsi="宋体" w:eastAsia="宋体" w:cs="宋体"/>
                <w:b/>
                <w:bCs/>
                <w:sz w:val="24"/>
                <w:szCs w:val="32"/>
              </w:rPr>
              <w:t>分</w:t>
            </w:r>
          </w:p>
          <w:p w14:paraId="174A62A3">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sz w:val="24"/>
                <w:szCs w:val="32"/>
                <w:highlight w:val="none"/>
                <w:lang w:val="en-US" w:eastAsia="zh-CN"/>
              </w:rPr>
            </w:pPr>
            <w:r>
              <w:rPr>
                <w:rFonts w:hint="eastAsia" w:ascii="宋体" w:hAnsi="宋体" w:eastAsia="宋体" w:cs="宋体"/>
                <w:b/>
                <w:bCs/>
                <w:sz w:val="24"/>
                <w:szCs w:val="32"/>
                <w:highlight w:val="none"/>
              </w:rPr>
              <w:t>技术部分：</w:t>
            </w:r>
            <w:r>
              <w:rPr>
                <w:rFonts w:hint="eastAsia" w:ascii="宋体" w:hAnsi="宋体" w:cs="宋体"/>
                <w:b/>
                <w:bCs/>
                <w:sz w:val="24"/>
                <w:szCs w:val="32"/>
                <w:highlight w:val="none"/>
                <w:lang w:val="en-US" w:eastAsia="zh-CN"/>
              </w:rPr>
              <w:t>55</w:t>
            </w:r>
            <w:r>
              <w:rPr>
                <w:rFonts w:hint="eastAsia" w:ascii="宋体" w:hAnsi="宋体" w:eastAsia="宋体" w:cs="宋体"/>
                <w:b/>
                <w:bCs/>
                <w:sz w:val="24"/>
                <w:szCs w:val="32"/>
                <w:highlight w:val="none"/>
              </w:rPr>
              <w:t>分</w:t>
            </w:r>
          </w:p>
          <w:p w14:paraId="100D2EFC">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sz w:val="24"/>
                <w:szCs w:val="32"/>
                <w:lang w:val="en-US" w:eastAsia="zh-CN"/>
              </w:rPr>
            </w:pPr>
            <w:r>
              <w:rPr>
                <w:rFonts w:hint="eastAsia" w:ascii="宋体" w:hAnsi="宋体" w:eastAsia="宋体" w:cs="宋体"/>
                <w:b/>
                <w:bCs/>
                <w:sz w:val="24"/>
                <w:szCs w:val="32"/>
                <w:highlight w:val="none"/>
              </w:rPr>
              <w:t>综合部分：</w:t>
            </w:r>
            <w:r>
              <w:rPr>
                <w:rFonts w:hint="eastAsia" w:ascii="宋体" w:hAnsi="宋体" w:cs="宋体"/>
                <w:b/>
                <w:bCs/>
                <w:sz w:val="24"/>
                <w:szCs w:val="32"/>
                <w:highlight w:val="none"/>
                <w:lang w:val="en-US" w:eastAsia="zh-CN"/>
              </w:rPr>
              <w:t>25</w:t>
            </w:r>
            <w:r>
              <w:rPr>
                <w:rFonts w:hint="eastAsia" w:ascii="宋体" w:hAnsi="宋体" w:eastAsia="宋体" w:cs="宋体"/>
                <w:b/>
                <w:bCs/>
                <w:sz w:val="24"/>
                <w:szCs w:val="32"/>
                <w:highlight w:val="none"/>
              </w:rPr>
              <w:t>分</w:t>
            </w:r>
          </w:p>
        </w:tc>
      </w:tr>
      <w:tr w14:paraId="1CCA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91" w:type="dxa"/>
            <w:gridSpan w:val="2"/>
            <w:noWrap w:val="0"/>
            <w:vAlign w:val="center"/>
          </w:tcPr>
          <w:p w14:paraId="09C5463C">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665" w:type="dxa"/>
            <w:noWrap w:val="0"/>
            <w:vAlign w:val="center"/>
          </w:tcPr>
          <w:p w14:paraId="2C6A4D8B">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评分因素</w:t>
            </w:r>
          </w:p>
        </w:tc>
        <w:tc>
          <w:tcPr>
            <w:tcW w:w="5887" w:type="dxa"/>
            <w:noWrap w:val="0"/>
            <w:vAlign w:val="center"/>
          </w:tcPr>
          <w:p w14:paraId="20A0A1FE">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r>
      <w:tr w14:paraId="46C4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noWrap w:val="0"/>
            <w:vAlign w:val="center"/>
          </w:tcPr>
          <w:p w14:paraId="4D2CA79C">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2.2（1）</w:t>
            </w:r>
          </w:p>
        </w:tc>
        <w:tc>
          <w:tcPr>
            <w:tcW w:w="1189" w:type="dxa"/>
            <w:noWrap w:val="0"/>
            <w:vAlign w:val="center"/>
          </w:tcPr>
          <w:p w14:paraId="5CCF857D">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商务</w:t>
            </w:r>
            <w:r>
              <w:rPr>
                <w:rFonts w:hint="eastAsia" w:ascii="宋体" w:hAnsi="宋体" w:eastAsia="宋体" w:cs="宋体"/>
                <w:b/>
                <w:bCs/>
                <w:color w:val="auto"/>
                <w:sz w:val="24"/>
                <w:szCs w:val="24"/>
                <w:lang w:val="en-US" w:eastAsia="zh-CN"/>
              </w:rPr>
              <w:t>部分</w:t>
            </w:r>
            <w:r>
              <w:rPr>
                <w:rFonts w:hint="eastAsia" w:ascii="宋体" w:hAnsi="宋体" w:cs="宋体"/>
                <w:b/>
                <w:bCs/>
                <w:color w:val="auto"/>
                <w:sz w:val="24"/>
                <w:szCs w:val="24"/>
                <w:lang w:val="en-US" w:eastAsia="zh-CN"/>
              </w:rPr>
              <w:t>20</w:t>
            </w:r>
            <w:r>
              <w:rPr>
                <w:rFonts w:hint="eastAsia" w:ascii="宋体" w:hAnsi="宋体" w:eastAsia="宋体" w:cs="宋体"/>
                <w:b/>
                <w:bCs/>
                <w:color w:val="auto"/>
                <w:sz w:val="24"/>
                <w:szCs w:val="24"/>
              </w:rPr>
              <w:t>分</w:t>
            </w:r>
          </w:p>
        </w:tc>
        <w:tc>
          <w:tcPr>
            <w:tcW w:w="1665" w:type="dxa"/>
            <w:noWrap w:val="0"/>
            <w:vAlign w:val="center"/>
          </w:tcPr>
          <w:p w14:paraId="3C61F040">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rPr>
            </w:pPr>
          </w:p>
          <w:p w14:paraId="76AD0827">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磋商最终报价得分</w:t>
            </w:r>
          </w:p>
          <w:p w14:paraId="398F5212">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eastAsia="zh-CN"/>
              </w:rPr>
              <w:t>（</w:t>
            </w:r>
            <w:r>
              <w:rPr>
                <w:rFonts w:hint="eastAsia" w:ascii="宋体" w:hAnsi="宋体" w:cs="宋体"/>
                <w:b/>
                <w:bCs/>
                <w:color w:val="auto"/>
                <w:sz w:val="24"/>
                <w:szCs w:val="24"/>
                <w:lang w:val="en-US" w:eastAsia="zh-CN"/>
              </w:rPr>
              <w:t>20</w:t>
            </w:r>
            <w:r>
              <w:rPr>
                <w:rFonts w:hint="eastAsia" w:ascii="宋体" w:hAnsi="宋体" w:eastAsia="宋体" w:cs="宋体"/>
                <w:b/>
                <w:bCs/>
                <w:color w:val="auto"/>
                <w:sz w:val="24"/>
                <w:szCs w:val="24"/>
              </w:rPr>
              <w:t>分）</w:t>
            </w:r>
          </w:p>
          <w:p w14:paraId="47E70FE1">
            <w:pPr>
              <w:keepNext w:val="0"/>
              <w:keepLines w:val="0"/>
              <w:pageBreakBefore w:val="0"/>
              <w:widowControl w:val="0"/>
              <w:kinsoku/>
              <w:wordWrap/>
              <w:overflowPunct/>
              <w:topLinePunct w:val="0"/>
              <w:autoSpaceDE/>
              <w:autoSpaceDN/>
              <w:bidi w:val="0"/>
              <w:adjustRightInd/>
              <w:snapToGrid/>
              <w:spacing w:line="440" w:lineRule="exact"/>
              <w:ind w:left="0" w:leftChars="0" w:firstLine="12" w:firstLineChars="5"/>
              <w:jc w:val="center"/>
              <w:textAlignment w:val="auto"/>
              <w:rPr>
                <w:rFonts w:hint="eastAsia" w:ascii="宋体" w:hAnsi="宋体" w:eastAsia="宋体" w:cs="宋体"/>
                <w:b/>
                <w:bCs/>
                <w:color w:val="auto"/>
                <w:sz w:val="24"/>
                <w:szCs w:val="24"/>
              </w:rPr>
            </w:pPr>
          </w:p>
        </w:tc>
        <w:tc>
          <w:tcPr>
            <w:tcW w:w="5887" w:type="dxa"/>
            <w:noWrap w:val="0"/>
            <w:vAlign w:val="center"/>
          </w:tcPr>
          <w:p w14:paraId="4A61542C">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所有竞争性磋商供应商的报价均不得高于</w:t>
            </w:r>
            <w:r>
              <w:rPr>
                <w:rFonts w:hint="eastAsia" w:ascii="宋体" w:hAnsi="宋体" w:eastAsia="宋体" w:cs="宋体"/>
                <w:b w:val="0"/>
                <w:bCs w:val="0"/>
                <w:color w:val="000000"/>
                <w:kern w:val="0"/>
                <w:sz w:val="24"/>
                <w:szCs w:val="24"/>
                <w:lang w:eastAsia="zh-CN"/>
              </w:rPr>
              <w:t>预算价（</w:t>
            </w:r>
            <w:r>
              <w:rPr>
                <w:rFonts w:hint="eastAsia" w:ascii="宋体" w:hAnsi="宋体" w:eastAsia="宋体" w:cs="宋体"/>
                <w:b w:val="0"/>
                <w:bCs w:val="0"/>
                <w:color w:val="000000"/>
                <w:kern w:val="0"/>
                <w:sz w:val="24"/>
                <w:szCs w:val="24"/>
                <w:lang w:val="en-US" w:eastAsia="zh-CN"/>
              </w:rPr>
              <w:t>最高限价</w:t>
            </w:r>
            <w:r>
              <w:rPr>
                <w:rFonts w:hint="eastAsia" w:ascii="宋体" w:hAnsi="宋体" w:eastAsia="宋体" w:cs="宋体"/>
                <w:b w:val="0"/>
                <w:bCs w:val="0"/>
                <w:color w:val="000000"/>
                <w:kern w:val="0"/>
                <w:sz w:val="24"/>
                <w:szCs w:val="24"/>
                <w:lang w:eastAsia="zh-CN"/>
              </w:rPr>
              <w:t>）</w:t>
            </w:r>
            <w:r>
              <w:rPr>
                <w:rFonts w:hint="eastAsia" w:ascii="宋体" w:hAnsi="宋体" w:eastAsia="宋体" w:cs="宋体"/>
                <w:sz w:val="24"/>
                <w:szCs w:val="24"/>
                <w:lang w:val="en-US" w:eastAsia="zh-CN"/>
              </w:rPr>
              <w:t>，否则按无效标处理。且以二次报价（最终报价）参与磋商报价评审。价格分统一采用低价优先法计算，即满足磋商文件要求且最终报价最低的磋商报价为磋商基准价，其价格分为满分（</w:t>
            </w:r>
            <w:r>
              <w:rPr>
                <w:rFonts w:hint="eastAsia" w:ascii="宋体" w:hAnsi="宋体" w:cs="宋体"/>
                <w:sz w:val="24"/>
                <w:szCs w:val="24"/>
                <w:lang w:val="en-US" w:eastAsia="zh-CN"/>
              </w:rPr>
              <w:t>20</w:t>
            </w:r>
            <w:r>
              <w:rPr>
                <w:rFonts w:hint="eastAsia" w:ascii="宋体" w:hAnsi="宋体" w:eastAsia="宋体" w:cs="宋体"/>
                <w:sz w:val="24"/>
                <w:szCs w:val="24"/>
                <w:lang w:val="en-US" w:eastAsia="zh-CN"/>
              </w:rPr>
              <w:t>分），其他供应商的价格分统一按照下列公式计算:</w:t>
            </w:r>
          </w:p>
          <w:p w14:paraId="2DA7FE4F">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最后磋商报价得分=(磋商基准价/最后磋商报价)×100×</w:t>
            </w:r>
            <w:r>
              <w:rPr>
                <w:rFonts w:hint="eastAsia" w:ascii="宋体" w:hAnsi="宋体" w:cs="宋体"/>
                <w:b/>
                <w:bCs/>
                <w:sz w:val="24"/>
                <w:szCs w:val="24"/>
                <w:lang w:val="en-US" w:eastAsia="zh-CN"/>
              </w:rPr>
              <w:t>20</w:t>
            </w:r>
            <w:r>
              <w:rPr>
                <w:rFonts w:hint="eastAsia" w:ascii="宋体" w:hAnsi="宋体" w:eastAsia="宋体" w:cs="宋体"/>
                <w:b/>
                <w:bCs/>
                <w:sz w:val="24"/>
                <w:szCs w:val="24"/>
                <w:lang w:val="en-US" w:eastAsia="zh-CN"/>
              </w:rPr>
              <w:t>%</w:t>
            </w:r>
          </w:p>
          <w:p w14:paraId="5BA5E5B5">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注：</w:t>
            </w:r>
            <w:r>
              <w:rPr>
                <w:rFonts w:hint="eastAsia" w:ascii="宋体" w:hAnsi="宋体" w:eastAsia="宋体" w:cs="宋体"/>
                <w:sz w:val="24"/>
                <w:szCs w:val="24"/>
                <w:lang w:val="en-US" w:eastAsia="zh-CN"/>
              </w:rPr>
              <w:t>1.</w:t>
            </w:r>
            <w:r>
              <w:rPr>
                <w:rFonts w:hint="eastAsia" w:ascii="宋体" w:hAnsi="宋体" w:eastAsia="宋体" w:cs="宋体"/>
                <w:sz w:val="24"/>
                <w:szCs w:val="24"/>
              </w:rPr>
              <w:t>价格分计算保留小数点后两位。</w:t>
            </w:r>
          </w:p>
          <w:p w14:paraId="7D5F6804">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2.优惠政策：</w:t>
            </w:r>
            <w:r>
              <w:rPr>
                <w:rFonts w:hint="eastAsia" w:ascii="宋体" w:hAnsi="宋体" w:eastAsia="宋体" w:cs="宋体"/>
                <w:sz w:val="24"/>
                <w:szCs w:val="24"/>
                <w:lang w:val="zh-CN" w:eastAsia="zh-CN"/>
              </w:rPr>
              <w:t>对</w:t>
            </w:r>
            <w:r>
              <w:rPr>
                <w:rFonts w:hint="eastAsia" w:ascii="宋体" w:hAnsi="宋体" w:eastAsia="宋体" w:cs="宋体"/>
                <w:sz w:val="24"/>
                <w:szCs w:val="24"/>
                <w:lang w:val="en-US" w:eastAsia="zh-CN"/>
              </w:rPr>
              <w:t>符合</w:t>
            </w:r>
            <w:r>
              <w:rPr>
                <w:rFonts w:hint="eastAsia" w:ascii="宋体" w:hAnsi="宋体" w:eastAsia="宋体" w:cs="宋体"/>
                <w:sz w:val="24"/>
                <w:szCs w:val="24"/>
                <w:lang w:val="zh-CN" w:eastAsia="zh-CN"/>
              </w:rPr>
              <w:t>小型和微型企业、监狱企业、残疾人福利性等</w:t>
            </w:r>
            <w:r>
              <w:rPr>
                <w:rFonts w:hint="eastAsia" w:ascii="宋体" w:hAnsi="宋体" w:eastAsia="宋体" w:cs="宋体"/>
                <w:sz w:val="24"/>
                <w:szCs w:val="24"/>
              </w:rPr>
              <w:t>政策扶持规定的</w:t>
            </w:r>
            <w:r>
              <w:rPr>
                <w:rFonts w:hint="eastAsia" w:ascii="宋体" w:hAnsi="宋体" w:eastAsia="宋体" w:cs="宋体"/>
                <w:sz w:val="24"/>
                <w:szCs w:val="24"/>
                <w:lang w:val="en-US" w:eastAsia="zh-CN"/>
              </w:rPr>
              <w:t>供应商</w:t>
            </w:r>
            <w:r>
              <w:rPr>
                <w:rFonts w:hint="eastAsia" w:ascii="宋体" w:hAnsi="宋体" w:eastAsia="宋体" w:cs="宋体"/>
                <w:sz w:val="24"/>
                <w:szCs w:val="24"/>
                <w:lang w:val="zh-CN" w:eastAsia="zh-CN"/>
              </w:rPr>
              <w:t>最终报价给予</w:t>
            </w:r>
            <w:r>
              <w:rPr>
                <w:rFonts w:hint="eastAsia" w:ascii="宋体" w:hAnsi="宋体" w:eastAsia="宋体" w:cs="宋体"/>
                <w:sz w:val="24"/>
                <w:szCs w:val="24"/>
                <w:lang w:val="en-US" w:eastAsia="zh-CN"/>
              </w:rPr>
              <w:t>20%的扣除</w:t>
            </w:r>
            <w:r>
              <w:rPr>
                <w:rFonts w:hint="eastAsia" w:ascii="宋体" w:hAnsi="宋体" w:eastAsia="宋体" w:cs="宋体"/>
                <w:sz w:val="24"/>
                <w:szCs w:val="24"/>
                <w:lang w:val="zh-CN" w:eastAsia="zh-CN"/>
              </w:rPr>
              <w:t>，用扣除后的价格参与评审。</w:t>
            </w:r>
            <w:r>
              <w:rPr>
                <w:rFonts w:hint="eastAsia" w:ascii="宋体" w:hAnsi="宋体" w:eastAsia="宋体" w:cs="宋体"/>
                <w:sz w:val="24"/>
                <w:szCs w:val="24"/>
                <w:lang w:val="en-US" w:eastAsia="zh-CN"/>
              </w:rPr>
              <w:t>同时符合</w:t>
            </w:r>
            <w:r>
              <w:rPr>
                <w:rFonts w:hint="eastAsia" w:ascii="宋体" w:hAnsi="宋体" w:eastAsia="宋体" w:cs="宋体"/>
                <w:sz w:val="24"/>
                <w:szCs w:val="24"/>
              </w:rPr>
              <w:t>小微企业、监狱企业、残疾人福利单位政策扶持规定的，不重复享受政策。</w:t>
            </w:r>
          </w:p>
          <w:p w14:paraId="721B1584">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享受优惠政策参加评审的供应商报价=小型（微型）企业</w:t>
            </w:r>
            <w:r>
              <w:rPr>
                <w:rFonts w:hint="eastAsia" w:ascii="宋体" w:hAnsi="宋体" w:eastAsia="宋体" w:cs="宋体"/>
                <w:sz w:val="24"/>
                <w:szCs w:val="24"/>
                <w:lang w:val="en-US" w:eastAsia="zh-CN"/>
              </w:rPr>
              <w:t>最终</w:t>
            </w:r>
            <w:r>
              <w:rPr>
                <w:rFonts w:hint="eastAsia" w:ascii="宋体" w:hAnsi="宋体" w:eastAsia="宋体" w:cs="宋体"/>
                <w:sz w:val="24"/>
                <w:szCs w:val="24"/>
              </w:rPr>
              <w:t>报价×（1-</w:t>
            </w:r>
            <w:r>
              <w:rPr>
                <w:rFonts w:hint="eastAsia" w:ascii="宋体" w:hAnsi="宋体" w:eastAsia="宋体" w:cs="宋体"/>
                <w:sz w:val="24"/>
                <w:szCs w:val="24"/>
                <w:lang w:val="en-US" w:eastAsia="zh-CN"/>
              </w:rPr>
              <w:t>20</w:t>
            </w:r>
            <w:r>
              <w:rPr>
                <w:rFonts w:hint="eastAsia" w:ascii="宋体" w:hAnsi="宋体" w:eastAsia="宋体" w:cs="宋体"/>
                <w:sz w:val="24"/>
                <w:szCs w:val="24"/>
              </w:rPr>
              <w:t>%）</w:t>
            </w:r>
          </w:p>
          <w:p w14:paraId="26099FB5">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3.根据《关于推动解决政府采购异常低价问题的通知》，采购评审中出现下列情形之一的，评审委员会应当启动异常低价投标（响应）审查程序：</w:t>
            </w:r>
          </w:p>
          <w:p w14:paraId="4B1DAE56">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（1）投标（响应）报价低于全部通过符合性审查供应商投标（响应）报价平均值65%的，即投标（响应）报价&lt;全部通过符合性审查供应商投标（响应）报价平均值×65%；</w:t>
            </w:r>
          </w:p>
          <w:p w14:paraId="4B9EF444">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（2）投标（响应）报价低于通过符合性审查的次低报价供应商投标（响应）报价65%的，即投标（响应）报价&lt;通过符合性审查的次低报价供应商投标（响应）报价×65%；</w:t>
            </w:r>
          </w:p>
          <w:p w14:paraId="5CF4C9C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（3）投标（响应）报价低于采购项目最高限价65%的，即投标（响应）报价&lt;采购项目最高限价×65%；</w:t>
            </w:r>
          </w:p>
          <w:p w14:paraId="03B1930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（4）评审委员会基于专业判断，认为供应商报价过低，有可能影响产品质量或者不能诚信履约的其他情形。</w:t>
            </w:r>
          </w:p>
          <w:p w14:paraId="1301C7B3">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b/>
                <w:bCs/>
                <w:sz w:val="24"/>
                <w:szCs w:val="24"/>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2653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1002" w:type="dxa"/>
            <w:vMerge w:val="restart"/>
            <w:noWrap w:val="0"/>
            <w:vAlign w:val="center"/>
          </w:tcPr>
          <w:p w14:paraId="1C466451">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2.2（2）</w:t>
            </w:r>
          </w:p>
        </w:tc>
        <w:tc>
          <w:tcPr>
            <w:tcW w:w="1189" w:type="dxa"/>
            <w:vMerge w:val="restart"/>
            <w:noWrap w:val="0"/>
            <w:vAlign w:val="center"/>
          </w:tcPr>
          <w:p w14:paraId="2A1623CF">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rPr>
              <w:t>技术部分（</w:t>
            </w:r>
            <w:r>
              <w:rPr>
                <w:rFonts w:hint="eastAsia" w:ascii="宋体" w:hAnsi="宋体" w:cs="宋体"/>
                <w:b/>
                <w:bCs/>
                <w:color w:val="auto"/>
                <w:sz w:val="24"/>
                <w:szCs w:val="24"/>
                <w:lang w:val="en-US" w:eastAsia="zh-CN"/>
              </w:rPr>
              <w:t>55</w:t>
            </w:r>
            <w:r>
              <w:rPr>
                <w:rFonts w:hint="eastAsia" w:ascii="宋体" w:hAnsi="宋体" w:eastAsia="宋体" w:cs="宋体"/>
                <w:b/>
                <w:bCs/>
                <w:color w:val="auto"/>
                <w:sz w:val="24"/>
                <w:szCs w:val="24"/>
                <w:highlight w:val="none"/>
              </w:rPr>
              <w:t>分</w:t>
            </w:r>
            <w:r>
              <w:rPr>
                <w:rFonts w:hint="eastAsia" w:ascii="宋体" w:hAnsi="宋体" w:eastAsia="宋体" w:cs="宋体"/>
                <w:b/>
                <w:bCs/>
                <w:color w:val="auto"/>
                <w:sz w:val="24"/>
                <w:szCs w:val="24"/>
              </w:rPr>
              <w:t>）</w:t>
            </w:r>
          </w:p>
        </w:tc>
        <w:tc>
          <w:tcPr>
            <w:tcW w:w="1665" w:type="dxa"/>
            <w:noWrap w:val="0"/>
            <w:vAlign w:val="center"/>
          </w:tcPr>
          <w:p w14:paraId="4E22DD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采购服务内容及要求</w:t>
            </w:r>
          </w:p>
          <w:p w14:paraId="4F24E2CB">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highlight w:val="none"/>
                <w:lang w:val="en-US" w:eastAsia="zh-CN" w:bidi="ar-SA"/>
              </w:rPr>
              <w:t>（</w:t>
            </w:r>
            <w:r>
              <w:rPr>
                <w:rFonts w:hint="eastAsia" w:ascii="宋体" w:hAnsi="宋体" w:cs="宋体"/>
                <w:b/>
                <w:bCs/>
                <w:kern w:val="2"/>
                <w:sz w:val="24"/>
                <w:szCs w:val="24"/>
                <w:highlight w:val="none"/>
                <w:lang w:val="en-US" w:eastAsia="zh-CN" w:bidi="ar-SA"/>
              </w:rPr>
              <w:t>10</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3BFC9061">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供应商所投服务内容及要求完全符合招标文件要求的得</w:t>
            </w:r>
            <w:r>
              <w:rPr>
                <w:rFonts w:hint="eastAsia" w:ascii="宋体" w:hAnsi="宋体" w:cs="宋体"/>
                <w:kern w:val="2"/>
                <w:sz w:val="24"/>
                <w:szCs w:val="24"/>
                <w:highlight w:val="none"/>
                <w:lang w:val="en-US" w:eastAsia="zh-CN" w:bidi="ar-SA"/>
              </w:rPr>
              <w:t>10</w:t>
            </w:r>
            <w:r>
              <w:rPr>
                <w:rFonts w:hint="eastAsia" w:ascii="宋体" w:hAnsi="宋体" w:eastAsia="宋体" w:cs="宋体"/>
                <w:kern w:val="2"/>
                <w:sz w:val="24"/>
                <w:szCs w:val="24"/>
                <w:highlight w:val="none"/>
                <w:lang w:val="en-US" w:eastAsia="zh-CN" w:bidi="ar-SA"/>
              </w:rPr>
              <w:t xml:space="preserve">分，有一项指标不满足扣2分，扣完为止。 </w:t>
            </w:r>
          </w:p>
          <w:p w14:paraId="0593310E">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供应商所投服务内容及要求等于（无偏离）采购服务内容及要求均视为完全符合磋商文件服务内容及要求，否则，将视为服务内容及要求存在负偏离（不满足），由此导致的后果，由供应商自己承担。对于虚假填写、错填或漏填导致的后果，由供应商自己承担。</w:t>
            </w:r>
          </w:p>
        </w:tc>
      </w:tr>
      <w:tr w14:paraId="4C8B0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6" w:hRule="atLeast"/>
        </w:trPr>
        <w:tc>
          <w:tcPr>
            <w:tcW w:w="1002" w:type="dxa"/>
            <w:vMerge w:val="continue"/>
            <w:noWrap w:val="0"/>
            <w:vAlign w:val="center"/>
          </w:tcPr>
          <w:p w14:paraId="09805F7B">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012B6D21">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noWrap w:val="0"/>
            <w:vAlign w:val="center"/>
          </w:tcPr>
          <w:p w14:paraId="6A5A8FF4">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总体项目服务方案（1</w:t>
            </w:r>
            <w:r>
              <w:rPr>
                <w:rFonts w:hint="eastAsia" w:ascii="宋体" w:hAnsi="宋体" w:cs="宋体"/>
                <w:b/>
                <w:bCs/>
                <w:kern w:val="2"/>
                <w:sz w:val="24"/>
                <w:szCs w:val="24"/>
                <w:highlight w:val="none"/>
                <w:lang w:val="en-US" w:eastAsia="zh-CN" w:bidi="ar-SA"/>
              </w:rPr>
              <w:t>2</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6CCB5A71">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有项目背景及需求分析、测绘整体服务策划、组织机构及人员管理、物资装备计划、测绘技术方案、总体项目服务方案等得</w:t>
            </w:r>
            <w:r>
              <w:rPr>
                <w:rFonts w:hint="eastAsia" w:ascii="宋体" w:hAnsi="宋体" w:cs="宋体"/>
                <w:kern w:val="2"/>
                <w:sz w:val="24"/>
                <w:szCs w:val="24"/>
                <w:highlight w:val="none"/>
                <w:lang w:val="en-US" w:eastAsia="zh-CN" w:bidi="ar-SA"/>
              </w:rPr>
              <w:t>12</w:t>
            </w:r>
            <w:r>
              <w:rPr>
                <w:rFonts w:hint="eastAsia" w:ascii="宋体" w:hAnsi="宋体" w:eastAsia="宋体" w:cs="宋体"/>
                <w:kern w:val="2"/>
                <w:sz w:val="24"/>
                <w:szCs w:val="24"/>
                <w:highlight w:val="none"/>
                <w:lang w:val="en-US" w:eastAsia="zh-CN" w:bidi="ar-SA"/>
              </w:rPr>
              <w:t>分，缺项不得分。</w:t>
            </w:r>
          </w:p>
        </w:tc>
      </w:tr>
      <w:tr w14:paraId="533C5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1002" w:type="dxa"/>
            <w:vMerge w:val="continue"/>
            <w:noWrap w:val="0"/>
            <w:vAlign w:val="center"/>
          </w:tcPr>
          <w:p w14:paraId="4CD90497">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414E3220">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noWrap w:val="0"/>
            <w:vAlign w:val="center"/>
          </w:tcPr>
          <w:p w14:paraId="6DA2678E">
            <w:pPr>
              <w:pStyle w:val="68"/>
              <w:spacing w:line="360" w:lineRule="auto"/>
              <w:ind w:left="0" w:leftChars="0" w:firstLine="0" w:firstLineChars="0"/>
              <w:jc w:val="center"/>
              <w:rPr>
                <w:rFonts w:hint="eastAsia"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highlight w:val="none"/>
                <w:lang w:val="en-US" w:eastAsia="zh-CN" w:bidi="ar-SA"/>
              </w:rPr>
              <w:t>工作内容与深度（1</w:t>
            </w:r>
            <w:r>
              <w:rPr>
                <w:rFonts w:hint="eastAsia" w:ascii="宋体" w:hAnsi="宋体" w:cs="宋体"/>
                <w:b/>
                <w:bCs/>
                <w:kern w:val="2"/>
                <w:sz w:val="24"/>
                <w:szCs w:val="24"/>
                <w:highlight w:val="none"/>
                <w:lang w:val="en-US" w:eastAsia="zh-CN" w:bidi="ar-SA"/>
              </w:rPr>
              <w:t>0</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3CEC17D6">
            <w:pPr>
              <w:pStyle w:val="68"/>
              <w:spacing w:line="360" w:lineRule="auto"/>
              <w:ind w:left="0" w:leftChars="0" w:right="0" w:righ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对本地的现状、问题等认知清晰，把握准确，制定的工作方案科学、合理，工作思路完整、规范、符合实际、切实可行，能够较好地体现任务要求得1</w:t>
            </w:r>
            <w:r>
              <w:rPr>
                <w:rFonts w:hint="eastAsia" w:ascii="宋体" w:hAnsi="宋体" w:cs="宋体"/>
                <w:kern w:val="2"/>
                <w:sz w:val="24"/>
                <w:szCs w:val="24"/>
                <w:highlight w:val="none"/>
                <w:lang w:val="en-US" w:eastAsia="zh-CN" w:bidi="ar-SA"/>
              </w:rPr>
              <w:t>0</w:t>
            </w:r>
            <w:r>
              <w:rPr>
                <w:rFonts w:hint="eastAsia" w:ascii="宋体" w:hAnsi="宋体" w:eastAsia="宋体" w:cs="宋体"/>
                <w:kern w:val="2"/>
                <w:sz w:val="24"/>
                <w:szCs w:val="24"/>
                <w:highlight w:val="none"/>
                <w:lang w:val="en-US" w:eastAsia="zh-CN" w:bidi="ar-SA"/>
              </w:rPr>
              <w:t>分，缺项不得分。</w:t>
            </w:r>
          </w:p>
        </w:tc>
      </w:tr>
      <w:tr w14:paraId="2BCB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1002" w:type="dxa"/>
            <w:vMerge w:val="continue"/>
            <w:noWrap w:val="0"/>
            <w:vAlign w:val="center"/>
          </w:tcPr>
          <w:p w14:paraId="621986F7">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21872751">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noWrap w:val="0"/>
            <w:vAlign w:val="center"/>
          </w:tcPr>
          <w:p w14:paraId="4C7FD599">
            <w:pPr>
              <w:pStyle w:val="68"/>
              <w:spacing w:line="360" w:lineRule="auto"/>
              <w:ind w:left="0" w:leftChars="0" w:right="0" w:rightChars="0" w:firstLine="0" w:firstLineChars="0"/>
              <w:jc w:val="center"/>
              <w:rPr>
                <w:rFonts w:hint="eastAsia"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highlight w:val="none"/>
                <w:lang w:val="en-US" w:eastAsia="zh-CN" w:bidi="ar-SA"/>
              </w:rPr>
              <w:t>计划及项目进度安排（</w:t>
            </w:r>
            <w:r>
              <w:rPr>
                <w:rFonts w:hint="eastAsia" w:ascii="宋体" w:hAnsi="宋体" w:cs="宋体"/>
                <w:b/>
                <w:bCs/>
                <w:kern w:val="2"/>
                <w:sz w:val="24"/>
                <w:szCs w:val="24"/>
                <w:highlight w:val="none"/>
                <w:lang w:val="en-US" w:eastAsia="zh-CN" w:bidi="ar-SA"/>
              </w:rPr>
              <w:t>7</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6697CC93">
            <w:pPr>
              <w:pStyle w:val="68"/>
              <w:spacing w:line="360" w:lineRule="auto"/>
              <w:ind w:left="0" w:leftChars="0" w:right="0" w:righ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对工作计划进行安排，编制周期日程安排详细、完善、合理、切实可行得</w:t>
            </w:r>
            <w:r>
              <w:rPr>
                <w:rFonts w:hint="eastAsia" w:ascii="宋体" w:hAnsi="宋体" w:cs="宋体"/>
                <w:kern w:val="2"/>
                <w:sz w:val="24"/>
                <w:szCs w:val="24"/>
                <w:highlight w:val="none"/>
                <w:lang w:val="en-US" w:eastAsia="zh-CN" w:bidi="ar-SA"/>
              </w:rPr>
              <w:t>7</w:t>
            </w:r>
            <w:r>
              <w:rPr>
                <w:rFonts w:hint="eastAsia" w:ascii="宋体" w:hAnsi="宋体" w:eastAsia="宋体" w:cs="宋体"/>
                <w:kern w:val="2"/>
                <w:sz w:val="24"/>
                <w:szCs w:val="24"/>
                <w:highlight w:val="none"/>
                <w:lang w:val="en-US" w:eastAsia="zh-CN" w:bidi="ar-SA"/>
              </w:rPr>
              <w:t>分</w:t>
            </w:r>
            <w:r>
              <w:rPr>
                <w:rFonts w:hint="eastAsia" w:ascii="宋体" w:hAnsi="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缺项不得分。</w:t>
            </w:r>
          </w:p>
        </w:tc>
      </w:tr>
      <w:tr w14:paraId="7606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trPr>
        <w:tc>
          <w:tcPr>
            <w:tcW w:w="1002" w:type="dxa"/>
            <w:vMerge w:val="continue"/>
            <w:noWrap w:val="0"/>
            <w:vAlign w:val="center"/>
          </w:tcPr>
          <w:p w14:paraId="0C92F580">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160F50A7">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noWrap w:val="0"/>
            <w:vAlign w:val="center"/>
          </w:tcPr>
          <w:p w14:paraId="1A662ABC">
            <w:pPr>
              <w:pStyle w:val="68"/>
              <w:spacing w:line="360" w:lineRule="auto"/>
              <w:ind w:left="0" w:leftChars="0" w:right="0" w:rightChars="0" w:firstLine="0" w:firstLineChars="0"/>
              <w:jc w:val="center"/>
              <w:rPr>
                <w:rFonts w:hint="eastAsia"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highlight w:val="none"/>
                <w:lang w:val="en-US" w:eastAsia="zh-CN" w:bidi="ar-SA"/>
              </w:rPr>
              <w:t>问题解决方案（</w:t>
            </w:r>
            <w:r>
              <w:rPr>
                <w:rFonts w:hint="eastAsia" w:ascii="宋体" w:hAnsi="宋体" w:cs="宋体"/>
                <w:b/>
                <w:bCs/>
                <w:kern w:val="2"/>
                <w:sz w:val="24"/>
                <w:szCs w:val="24"/>
                <w:highlight w:val="none"/>
                <w:lang w:val="en-US" w:eastAsia="zh-CN" w:bidi="ar-SA"/>
              </w:rPr>
              <w:t>5</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09D24685">
            <w:pPr>
              <w:pStyle w:val="68"/>
              <w:spacing w:line="360" w:lineRule="auto"/>
              <w:ind w:left="0" w:leftChars="0" w:right="0" w:righ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问题解决方案说明、规划合理、经济、可行得</w:t>
            </w:r>
            <w:r>
              <w:rPr>
                <w:rFonts w:hint="eastAsia" w:ascii="宋体" w:hAnsi="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bidi="ar-SA"/>
              </w:rPr>
              <w:t>分，缺项不得分。</w:t>
            </w:r>
          </w:p>
        </w:tc>
      </w:tr>
      <w:tr w14:paraId="296D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1002" w:type="dxa"/>
            <w:vMerge w:val="continue"/>
            <w:noWrap w:val="0"/>
            <w:vAlign w:val="center"/>
          </w:tcPr>
          <w:p w14:paraId="47B2ED23">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5207F1F6">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noWrap w:val="0"/>
            <w:vAlign w:val="center"/>
          </w:tcPr>
          <w:p w14:paraId="535CEDDB">
            <w:pPr>
              <w:pStyle w:val="68"/>
              <w:spacing w:line="360" w:lineRule="auto"/>
              <w:ind w:left="0" w:leftChars="0" w:right="0" w:rightChars="0" w:firstLine="0" w:firstLineChars="0"/>
              <w:jc w:val="center"/>
              <w:rPr>
                <w:rFonts w:hint="eastAsia" w:ascii="宋体" w:hAnsi="宋体" w:eastAsia="宋体" w:cs="宋体"/>
                <w:b/>
                <w:bCs/>
                <w:kern w:val="2"/>
                <w:sz w:val="24"/>
                <w:szCs w:val="24"/>
                <w:highlight w:val="yellow"/>
                <w:lang w:val="en-US" w:eastAsia="zh-CN" w:bidi="ar-SA"/>
              </w:rPr>
            </w:pPr>
            <w:r>
              <w:rPr>
                <w:rFonts w:hint="eastAsia" w:ascii="宋体" w:hAnsi="宋体" w:eastAsia="宋体" w:cs="宋体"/>
                <w:b/>
                <w:bCs/>
                <w:kern w:val="2"/>
                <w:sz w:val="24"/>
                <w:szCs w:val="24"/>
                <w:lang w:val="en-US" w:eastAsia="zh-CN" w:bidi="ar-SA"/>
              </w:rPr>
              <w:t>质量保证措施（</w:t>
            </w:r>
            <w:r>
              <w:rPr>
                <w:rFonts w:hint="eastAsia" w:ascii="宋体" w:hAnsi="宋体" w:cs="宋体"/>
                <w:b/>
                <w:bCs/>
                <w:kern w:val="2"/>
                <w:sz w:val="24"/>
                <w:szCs w:val="24"/>
                <w:lang w:val="en-US" w:eastAsia="zh-CN" w:bidi="ar-SA"/>
              </w:rPr>
              <w:t>5</w:t>
            </w:r>
            <w:r>
              <w:rPr>
                <w:rFonts w:hint="eastAsia" w:ascii="宋体" w:hAnsi="宋体" w:eastAsia="宋体" w:cs="宋体"/>
                <w:b/>
                <w:bCs/>
                <w:kern w:val="2"/>
                <w:sz w:val="24"/>
                <w:szCs w:val="24"/>
                <w:lang w:val="en-US" w:eastAsia="zh-CN" w:bidi="ar-SA"/>
              </w:rPr>
              <w:t>分）</w:t>
            </w:r>
          </w:p>
        </w:tc>
        <w:tc>
          <w:tcPr>
            <w:tcW w:w="5887" w:type="dxa"/>
            <w:noWrap w:val="0"/>
            <w:vAlign w:val="center"/>
          </w:tcPr>
          <w:p w14:paraId="2B287321">
            <w:pPr>
              <w:pStyle w:val="68"/>
              <w:spacing w:line="360" w:lineRule="auto"/>
              <w:ind w:left="0" w:leftChars="0" w:right="0" w:righ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lang w:val="en-US" w:eastAsia="zh-CN" w:bidi="ar-SA"/>
              </w:rPr>
              <w:t>质量管理制度齐全，措施到位</w:t>
            </w:r>
            <w:r>
              <w:rPr>
                <w:rFonts w:hint="eastAsia" w:ascii="宋体" w:hAnsi="宋体" w:cs="宋体"/>
                <w:kern w:val="2"/>
                <w:sz w:val="24"/>
                <w:szCs w:val="24"/>
                <w:lang w:val="en-US" w:eastAsia="zh-CN" w:bidi="ar-SA"/>
              </w:rPr>
              <w:t>，</w:t>
            </w:r>
            <w:r>
              <w:rPr>
                <w:rFonts w:hint="eastAsia" w:ascii="宋体" w:hAnsi="宋体" w:eastAsia="宋体" w:cs="宋体"/>
                <w:kern w:val="2"/>
                <w:sz w:val="24"/>
                <w:szCs w:val="24"/>
                <w:lang w:val="en-US" w:eastAsia="zh-CN" w:bidi="ar-SA"/>
              </w:rPr>
              <w:t>得</w:t>
            </w:r>
            <w:r>
              <w:rPr>
                <w:rFonts w:hint="eastAsia" w:ascii="宋体" w:hAnsi="宋体" w:cs="宋体"/>
                <w:kern w:val="2"/>
                <w:sz w:val="24"/>
                <w:szCs w:val="24"/>
                <w:lang w:val="en-US" w:eastAsia="zh-CN" w:bidi="ar-SA"/>
              </w:rPr>
              <w:t>5</w:t>
            </w:r>
            <w:r>
              <w:rPr>
                <w:rFonts w:hint="eastAsia" w:ascii="宋体" w:hAnsi="宋体" w:eastAsia="宋体" w:cs="宋体"/>
                <w:kern w:val="2"/>
                <w:sz w:val="24"/>
                <w:szCs w:val="24"/>
                <w:lang w:val="en-US" w:eastAsia="zh-CN" w:bidi="ar-SA"/>
              </w:rPr>
              <w:t>分缺项不得分。</w:t>
            </w:r>
          </w:p>
        </w:tc>
      </w:tr>
      <w:tr w14:paraId="09350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002" w:type="dxa"/>
            <w:vMerge w:val="continue"/>
            <w:noWrap w:val="0"/>
            <w:vAlign w:val="center"/>
          </w:tcPr>
          <w:p w14:paraId="3802383D">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57F6BC7E">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shd w:val="clear" w:color="auto" w:fill="auto"/>
            <w:noWrap w:val="0"/>
            <w:vAlign w:val="center"/>
          </w:tcPr>
          <w:p w14:paraId="42410809">
            <w:pPr>
              <w:pStyle w:val="68"/>
              <w:spacing w:line="360" w:lineRule="auto"/>
              <w:ind w:left="0" w:leftChars="0" w:right="0" w:rightChars="0" w:firstLine="0" w:firstLineChars="0"/>
              <w:jc w:val="center"/>
              <w:rPr>
                <w:rFonts w:hint="eastAsia" w:ascii="宋体" w:hAnsi="宋体" w:eastAsia="宋体" w:cs="宋体"/>
                <w:b/>
                <w:bCs/>
                <w:kern w:val="2"/>
                <w:sz w:val="24"/>
                <w:szCs w:val="24"/>
                <w:lang w:val="zh-CN" w:eastAsia="zh-CN" w:bidi="ar-SA"/>
              </w:rPr>
            </w:pPr>
            <w:r>
              <w:rPr>
                <w:rFonts w:hint="eastAsia" w:ascii="宋体" w:hAnsi="宋体" w:eastAsia="宋体" w:cs="宋体"/>
                <w:b/>
                <w:bCs/>
                <w:kern w:val="2"/>
                <w:sz w:val="24"/>
                <w:szCs w:val="24"/>
                <w:lang w:val="zh-CN" w:eastAsia="zh-CN" w:bidi="ar-SA"/>
              </w:rPr>
              <w:t>方案实施难点及关键点分析和应对措施</w:t>
            </w:r>
          </w:p>
          <w:p w14:paraId="781DB760">
            <w:pPr>
              <w:pStyle w:val="68"/>
              <w:spacing w:line="360" w:lineRule="auto"/>
              <w:ind w:left="0" w:leftChars="0" w:right="0" w:rightChars="0" w:firstLine="0" w:firstLineChars="0"/>
              <w:jc w:val="center"/>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zh-CN" w:eastAsia="zh-CN" w:bidi="ar-SA"/>
              </w:rPr>
              <w:t>（</w:t>
            </w:r>
            <w:r>
              <w:rPr>
                <w:rFonts w:hint="eastAsia" w:ascii="宋体" w:hAnsi="宋体" w:eastAsia="宋体" w:cs="宋体"/>
                <w:b/>
                <w:bCs/>
                <w:kern w:val="2"/>
                <w:sz w:val="24"/>
                <w:szCs w:val="24"/>
                <w:lang w:val="en-US" w:eastAsia="zh-CN" w:bidi="ar-SA"/>
              </w:rPr>
              <w:t>3</w:t>
            </w:r>
            <w:r>
              <w:rPr>
                <w:rFonts w:hint="eastAsia" w:ascii="宋体" w:hAnsi="宋体" w:eastAsia="宋体" w:cs="宋体"/>
                <w:b/>
                <w:bCs/>
                <w:kern w:val="2"/>
                <w:sz w:val="24"/>
                <w:szCs w:val="24"/>
                <w:lang w:val="zh-CN" w:eastAsia="zh-CN" w:bidi="ar-SA"/>
              </w:rPr>
              <w:t>分）</w:t>
            </w:r>
          </w:p>
        </w:tc>
        <w:tc>
          <w:tcPr>
            <w:tcW w:w="5887" w:type="dxa"/>
            <w:shd w:val="clear" w:color="auto" w:fill="auto"/>
            <w:noWrap w:val="0"/>
            <w:vAlign w:val="center"/>
          </w:tcPr>
          <w:p w14:paraId="2B22A613">
            <w:pPr>
              <w:pStyle w:val="68"/>
              <w:spacing w:line="360" w:lineRule="auto"/>
              <w:ind w:left="0" w:leftChars="0" w:right="0" w:righ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对项目的分析透彻，且有合理的对策措施和分析进行打分：</w:t>
            </w:r>
            <w:r>
              <w:rPr>
                <w:rFonts w:hint="eastAsia" w:ascii="宋体" w:hAnsi="宋体" w:eastAsia="宋体" w:cs="宋体"/>
                <w:kern w:val="2"/>
                <w:sz w:val="24"/>
                <w:szCs w:val="24"/>
                <w:highlight w:val="none"/>
                <w:lang w:val="zh-CN" w:eastAsia="zh-CN" w:bidi="ar-SA"/>
              </w:rPr>
              <w:t>（1）合理、完整，满足且优于项目</w:t>
            </w:r>
            <w:r>
              <w:rPr>
                <w:rFonts w:hint="eastAsia" w:ascii="宋体" w:hAnsi="宋体" w:eastAsia="宋体" w:cs="宋体"/>
                <w:kern w:val="2"/>
                <w:sz w:val="24"/>
                <w:szCs w:val="24"/>
                <w:highlight w:val="none"/>
                <w:lang w:val="en-US" w:eastAsia="zh-CN" w:bidi="ar-SA"/>
              </w:rPr>
              <w:t>需</w:t>
            </w:r>
            <w:r>
              <w:rPr>
                <w:rFonts w:hint="eastAsia" w:ascii="宋体" w:hAnsi="宋体" w:eastAsia="宋体" w:cs="宋体"/>
                <w:kern w:val="2"/>
                <w:sz w:val="24"/>
                <w:szCs w:val="24"/>
                <w:highlight w:val="none"/>
                <w:lang w:val="zh-CN" w:eastAsia="zh-CN" w:bidi="ar-SA"/>
              </w:rPr>
              <w:t>求的，得3分；（2）较合理、较完整的，</w:t>
            </w:r>
            <w:r>
              <w:rPr>
                <w:rFonts w:hint="eastAsia" w:ascii="宋体" w:hAnsi="宋体" w:eastAsia="宋体" w:cs="宋体"/>
                <w:kern w:val="2"/>
                <w:sz w:val="24"/>
                <w:szCs w:val="24"/>
                <w:highlight w:val="none"/>
                <w:lang w:val="en-US" w:eastAsia="zh-CN" w:bidi="ar-SA"/>
              </w:rPr>
              <w:t>能</w:t>
            </w:r>
            <w:r>
              <w:rPr>
                <w:rFonts w:hint="eastAsia" w:ascii="宋体" w:hAnsi="宋体" w:eastAsia="宋体" w:cs="宋体"/>
                <w:kern w:val="2"/>
                <w:sz w:val="24"/>
                <w:szCs w:val="24"/>
                <w:highlight w:val="none"/>
                <w:lang w:val="zh-CN" w:eastAsia="zh-CN" w:bidi="ar-SA"/>
              </w:rPr>
              <w:t>满足项目</w:t>
            </w:r>
            <w:r>
              <w:rPr>
                <w:rFonts w:hint="eastAsia" w:ascii="宋体" w:hAnsi="宋体" w:eastAsia="宋体" w:cs="宋体"/>
                <w:kern w:val="2"/>
                <w:sz w:val="24"/>
                <w:szCs w:val="24"/>
                <w:highlight w:val="none"/>
                <w:lang w:val="en-US" w:eastAsia="zh-CN" w:bidi="ar-SA"/>
              </w:rPr>
              <w:t>需</w:t>
            </w:r>
            <w:r>
              <w:rPr>
                <w:rFonts w:hint="eastAsia" w:ascii="宋体" w:hAnsi="宋体" w:eastAsia="宋体" w:cs="宋体"/>
                <w:kern w:val="2"/>
                <w:sz w:val="24"/>
                <w:szCs w:val="24"/>
                <w:highlight w:val="none"/>
                <w:lang w:val="zh-CN" w:eastAsia="zh-CN" w:bidi="ar-SA"/>
              </w:rPr>
              <w:t>求的，得</w:t>
            </w: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zh-CN" w:eastAsia="zh-CN" w:bidi="ar-SA"/>
              </w:rPr>
              <w:t>分。（3）</w:t>
            </w:r>
            <w:r>
              <w:rPr>
                <w:rFonts w:hint="eastAsia" w:ascii="宋体" w:hAnsi="宋体" w:eastAsia="宋体" w:cs="宋体"/>
                <w:kern w:val="2"/>
                <w:sz w:val="24"/>
                <w:szCs w:val="24"/>
                <w:highlight w:val="none"/>
                <w:lang w:val="en-US" w:eastAsia="zh-CN" w:bidi="ar-SA"/>
              </w:rPr>
              <w:t>一般</w:t>
            </w:r>
            <w:r>
              <w:rPr>
                <w:rFonts w:hint="eastAsia" w:ascii="宋体" w:hAnsi="宋体" w:eastAsia="宋体" w:cs="宋体"/>
                <w:kern w:val="2"/>
                <w:sz w:val="24"/>
                <w:szCs w:val="24"/>
                <w:highlight w:val="none"/>
                <w:lang w:val="zh-CN" w:eastAsia="zh-CN" w:bidi="ar-SA"/>
              </w:rPr>
              <w:t>，无具体措施的，不能满足项目</w:t>
            </w:r>
            <w:r>
              <w:rPr>
                <w:rFonts w:hint="eastAsia" w:ascii="宋体" w:hAnsi="宋体" w:eastAsia="宋体" w:cs="宋体"/>
                <w:kern w:val="2"/>
                <w:sz w:val="24"/>
                <w:szCs w:val="24"/>
                <w:highlight w:val="none"/>
                <w:lang w:val="en-US" w:eastAsia="zh-CN" w:bidi="ar-SA"/>
              </w:rPr>
              <w:t>需</w:t>
            </w:r>
            <w:r>
              <w:rPr>
                <w:rFonts w:hint="eastAsia" w:ascii="宋体" w:hAnsi="宋体" w:eastAsia="宋体" w:cs="宋体"/>
                <w:kern w:val="2"/>
                <w:sz w:val="24"/>
                <w:szCs w:val="24"/>
                <w:highlight w:val="none"/>
                <w:lang w:val="zh-CN" w:eastAsia="zh-CN" w:bidi="ar-SA"/>
              </w:rPr>
              <w:t>求的，得</w:t>
            </w:r>
            <w:r>
              <w:rPr>
                <w:rFonts w:hint="eastAsia" w:ascii="宋体" w:hAnsi="宋体" w:eastAsia="宋体" w:cs="宋体"/>
                <w:kern w:val="2"/>
                <w:sz w:val="24"/>
                <w:szCs w:val="24"/>
                <w:highlight w:val="none"/>
                <w:lang w:val="en-US" w:eastAsia="zh-CN" w:bidi="ar-SA"/>
              </w:rPr>
              <w:t>0.5</w:t>
            </w:r>
            <w:r>
              <w:rPr>
                <w:rFonts w:hint="eastAsia" w:ascii="宋体" w:hAnsi="宋体" w:eastAsia="宋体" w:cs="宋体"/>
                <w:kern w:val="2"/>
                <w:sz w:val="24"/>
                <w:szCs w:val="24"/>
                <w:highlight w:val="none"/>
                <w:lang w:val="zh-CN" w:eastAsia="zh-CN" w:bidi="ar-SA"/>
              </w:rPr>
              <w:t>分。（4）未提供</w:t>
            </w:r>
            <w:r>
              <w:rPr>
                <w:rFonts w:hint="eastAsia" w:ascii="宋体" w:hAnsi="宋体" w:eastAsia="宋体" w:cs="宋体"/>
                <w:kern w:val="2"/>
                <w:sz w:val="24"/>
                <w:szCs w:val="24"/>
                <w:highlight w:val="none"/>
                <w:lang w:val="en-US" w:eastAsia="zh-CN" w:bidi="ar-SA"/>
              </w:rPr>
              <w:t>不得分。</w:t>
            </w:r>
          </w:p>
        </w:tc>
      </w:tr>
      <w:tr w14:paraId="7AE9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002" w:type="dxa"/>
            <w:vMerge w:val="continue"/>
            <w:noWrap w:val="0"/>
            <w:vAlign w:val="center"/>
          </w:tcPr>
          <w:p w14:paraId="1C3056C7">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189" w:type="dxa"/>
            <w:vMerge w:val="continue"/>
            <w:noWrap w:val="0"/>
            <w:vAlign w:val="center"/>
          </w:tcPr>
          <w:p w14:paraId="343DDC2A">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rPr>
            </w:pPr>
          </w:p>
        </w:tc>
        <w:tc>
          <w:tcPr>
            <w:tcW w:w="1665" w:type="dxa"/>
            <w:shd w:val="clear" w:color="auto" w:fill="auto"/>
            <w:noWrap w:val="0"/>
            <w:vAlign w:val="center"/>
          </w:tcPr>
          <w:p w14:paraId="5F11817D">
            <w:pPr>
              <w:pStyle w:val="68"/>
              <w:spacing w:line="360" w:lineRule="auto"/>
              <w:ind w:left="0" w:leftChars="0" w:right="0" w:rightChars="0" w:firstLine="0" w:firstLineChars="0"/>
              <w:jc w:val="center"/>
              <w:rPr>
                <w:rFonts w:hint="eastAsia" w:ascii="宋体" w:hAnsi="宋体" w:eastAsia="宋体" w:cs="宋体"/>
                <w:b/>
                <w:bCs/>
                <w:kern w:val="2"/>
                <w:sz w:val="24"/>
                <w:szCs w:val="24"/>
                <w:lang w:val="zh-CN" w:eastAsia="zh-CN" w:bidi="ar-SA"/>
              </w:rPr>
            </w:pPr>
            <w:r>
              <w:rPr>
                <w:rFonts w:hint="eastAsia" w:ascii="宋体" w:hAnsi="宋体" w:eastAsia="宋体" w:cs="宋体"/>
                <w:b/>
                <w:bCs/>
                <w:kern w:val="2"/>
                <w:sz w:val="24"/>
                <w:szCs w:val="24"/>
                <w:lang w:val="zh-CN" w:eastAsia="zh-CN" w:bidi="ar-SA"/>
              </w:rPr>
              <w:t>方案成果的安全管理及保证措施（3分）</w:t>
            </w:r>
          </w:p>
        </w:tc>
        <w:tc>
          <w:tcPr>
            <w:tcW w:w="5887" w:type="dxa"/>
            <w:shd w:val="clear" w:color="auto" w:fill="auto"/>
            <w:noWrap w:val="0"/>
            <w:vAlign w:val="center"/>
          </w:tcPr>
          <w:p w14:paraId="4A91C1D4">
            <w:pPr>
              <w:pStyle w:val="68"/>
              <w:spacing w:line="360" w:lineRule="auto"/>
              <w:ind w:left="0" w:leftChars="0" w:right="0" w:rightChars="0" w:firstLine="0" w:firstLineChars="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对项目的分析透彻，且有合理的安全管理及保证措施进行打分：</w:t>
            </w:r>
            <w:r>
              <w:rPr>
                <w:rFonts w:hint="eastAsia" w:ascii="宋体" w:hAnsi="宋体" w:eastAsia="宋体" w:cs="宋体"/>
                <w:kern w:val="2"/>
                <w:sz w:val="24"/>
                <w:szCs w:val="24"/>
                <w:highlight w:val="none"/>
                <w:lang w:val="zh-CN" w:eastAsia="zh-CN" w:bidi="ar-SA"/>
              </w:rPr>
              <w:t>（1）合理、完整，满足且优于项目</w:t>
            </w:r>
            <w:r>
              <w:rPr>
                <w:rFonts w:hint="eastAsia" w:ascii="宋体" w:hAnsi="宋体" w:eastAsia="宋体" w:cs="宋体"/>
                <w:kern w:val="2"/>
                <w:sz w:val="24"/>
                <w:szCs w:val="24"/>
                <w:highlight w:val="none"/>
                <w:lang w:val="en-US" w:eastAsia="zh-CN" w:bidi="ar-SA"/>
              </w:rPr>
              <w:t>需</w:t>
            </w:r>
            <w:r>
              <w:rPr>
                <w:rFonts w:hint="eastAsia" w:ascii="宋体" w:hAnsi="宋体" w:eastAsia="宋体" w:cs="宋体"/>
                <w:kern w:val="2"/>
                <w:sz w:val="24"/>
                <w:szCs w:val="24"/>
                <w:highlight w:val="none"/>
                <w:lang w:val="zh-CN" w:eastAsia="zh-CN" w:bidi="ar-SA"/>
              </w:rPr>
              <w:t>求的，得3分；（2）较合理、较完整的，</w:t>
            </w:r>
            <w:r>
              <w:rPr>
                <w:rFonts w:hint="eastAsia" w:ascii="宋体" w:hAnsi="宋体" w:eastAsia="宋体" w:cs="宋体"/>
                <w:kern w:val="2"/>
                <w:sz w:val="24"/>
                <w:szCs w:val="24"/>
                <w:highlight w:val="none"/>
                <w:lang w:val="en-US" w:eastAsia="zh-CN" w:bidi="ar-SA"/>
              </w:rPr>
              <w:t>能</w:t>
            </w:r>
            <w:r>
              <w:rPr>
                <w:rFonts w:hint="eastAsia" w:ascii="宋体" w:hAnsi="宋体" w:eastAsia="宋体" w:cs="宋体"/>
                <w:kern w:val="2"/>
                <w:sz w:val="24"/>
                <w:szCs w:val="24"/>
                <w:highlight w:val="none"/>
                <w:lang w:val="zh-CN" w:eastAsia="zh-CN" w:bidi="ar-SA"/>
              </w:rPr>
              <w:t>满足项目</w:t>
            </w:r>
            <w:r>
              <w:rPr>
                <w:rFonts w:hint="eastAsia" w:ascii="宋体" w:hAnsi="宋体" w:eastAsia="宋体" w:cs="宋体"/>
                <w:kern w:val="2"/>
                <w:sz w:val="24"/>
                <w:szCs w:val="24"/>
                <w:highlight w:val="none"/>
                <w:lang w:val="en-US" w:eastAsia="zh-CN" w:bidi="ar-SA"/>
              </w:rPr>
              <w:t>需</w:t>
            </w:r>
            <w:r>
              <w:rPr>
                <w:rFonts w:hint="eastAsia" w:ascii="宋体" w:hAnsi="宋体" w:eastAsia="宋体" w:cs="宋体"/>
                <w:kern w:val="2"/>
                <w:sz w:val="24"/>
                <w:szCs w:val="24"/>
                <w:highlight w:val="none"/>
                <w:lang w:val="zh-CN" w:eastAsia="zh-CN" w:bidi="ar-SA"/>
              </w:rPr>
              <w:t>求的，得</w:t>
            </w: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zh-CN" w:eastAsia="zh-CN" w:bidi="ar-SA"/>
              </w:rPr>
              <w:t>分。（3）</w:t>
            </w:r>
            <w:r>
              <w:rPr>
                <w:rFonts w:hint="eastAsia" w:ascii="宋体" w:hAnsi="宋体" w:eastAsia="宋体" w:cs="宋体"/>
                <w:kern w:val="2"/>
                <w:sz w:val="24"/>
                <w:szCs w:val="24"/>
                <w:highlight w:val="none"/>
                <w:lang w:val="en-US" w:eastAsia="zh-CN" w:bidi="ar-SA"/>
              </w:rPr>
              <w:t>一般</w:t>
            </w:r>
            <w:r>
              <w:rPr>
                <w:rFonts w:hint="eastAsia" w:ascii="宋体" w:hAnsi="宋体" w:eastAsia="宋体" w:cs="宋体"/>
                <w:kern w:val="2"/>
                <w:sz w:val="24"/>
                <w:szCs w:val="24"/>
                <w:highlight w:val="none"/>
                <w:lang w:val="zh-CN" w:eastAsia="zh-CN" w:bidi="ar-SA"/>
              </w:rPr>
              <w:t>，无具体措施的，不能满足项目</w:t>
            </w:r>
            <w:r>
              <w:rPr>
                <w:rFonts w:hint="eastAsia" w:ascii="宋体" w:hAnsi="宋体" w:eastAsia="宋体" w:cs="宋体"/>
                <w:kern w:val="2"/>
                <w:sz w:val="24"/>
                <w:szCs w:val="24"/>
                <w:highlight w:val="none"/>
                <w:lang w:val="en-US" w:eastAsia="zh-CN" w:bidi="ar-SA"/>
              </w:rPr>
              <w:t>需</w:t>
            </w:r>
            <w:r>
              <w:rPr>
                <w:rFonts w:hint="eastAsia" w:ascii="宋体" w:hAnsi="宋体" w:eastAsia="宋体" w:cs="宋体"/>
                <w:kern w:val="2"/>
                <w:sz w:val="24"/>
                <w:szCs w:val="24"/>
                <w:highlight w:val="none"/>
                <w:lang w:val="zh-CN" w:eastAsia="zh-CN" w:bidi="ar-SA"/>
              </w:rPr>
              <w:t>求的，得</w:t>
            </w:r>
            <w:r>
              <w:rPr>
                <w:rFonts w:hint="eastAsia" w:ascii="宋体" w:hAnsi="宋体" w:eastAsia="宋体" w:cs="宋体"/>
                <w:kern w:val="2"/>
                <w:sz w:val="24"/>
                <w:szCs w:val="24"/>
                <w:highlight w:val="none"/>
                <w:lang w:val="en-US" w:eastAsia="zh-CN" w:bidi="ar-SA"/>
              </w:rPr>
              <w:t>0.5</w:t>
            </w:r>
            <w:r>
              <w:rPr>
                <w:rFonts w:hint="eastAsia" w:ascii="宋体" w:hAnsi="宋体" w:eastAsia="宋体" w:cs="宋体"/>
                <w:kern w:val="2"/>
                <w:sz w:val="24"/>
                <w:szCs w:val="24"/>
                <w:highlight w:val="none"/>
                <w:lang w:val="zh-CN" w:eastAsia="zh-CN" w:bidi="ar-SA"/>
              </w:rPr>
              <w:t>分。（4）未提供</w:t>
            </w:r>
            <w:r>
              <w:rPr>
                <w:rFonts w:hint="eastAsia" w:ascii="宋体" w:hAnsi="宋体" w:eastAsia="宋体" w:cs="宋体"/>
                <w:kern w:val="2"/>
                <w:sz w:val="24"/>
                <w:szCs w:val="24"/>
                <w:highlight w:val="none"/>
                <w:lang w:val="en-US" w:eastAsia="zh-CN" w:bidi="ar-SA"/>
              </w:rPr>
              <w:t>不得分。</w:t>
            </w:r>
          </w:p>
        </w:tc>
      </w:tr>
      <w:tr w14:paraId="345E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trPr>
        <w:tc>
          <w:tcPr>
            <w:tcW w:w="1002" w:type="dxa"/>
            <w:vMerge w:val="restart"/>
            <w:noWrap w:val="0"/>
            <w:vAlign w:val="center"/>
          </w:tcPr>
          <w:p w14:paraId="45A7D675">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（3）</w:t>
            </w:r>
          </w:p>
        </w:tc>
        <w:tc>
          <w:tcPr>
            <w:tcW w:w="1189" w:type="dxa"/>
            <w:vMerge w:val="restart"/>
            <w:noWrap w:val="0"/>
            <w:vAlign w:val="center"/>
          </w:tcPr>
          <w:p w14:paraId="62E32990">
            <w:pPr>
              <w:keepNext w:val="0"/>
              <w:keepLines w:val="0"/>
              <w:pageBreakBefore w:val="0"/>
              <w:widowControl w:val="0"/>
              <w:kinsoku/>
              <w:wordWrap/>
              <w:overflowPunct/>
              <w:topLinePunct w:val="0"/>
              <w:autoSpaceDE/>
              <w:autoSpaceDN/>
              <w:bidi w:val="0"/>
              <w:adjustRightInd/>
              <w:snapToGrid/>
              <w:spacing w:line="440" w:lineRule="exact"/>
              <w:ind w:left="0" w:leftChars="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综合</w:t>
            </w:r>
            <w:r>
              <w:rPr>
                <w:rFonts w:hint="eastAsia" w:ascii="宋体" w:hAnsi="宋体" w:eastAsia="宋体" w:cs="宋体"/>
                <w:b/>
                <w:bCs/>
                <w:color w:val="auto"/>
                <w:sz w:val="24"/>
                <w:szCs w:val="24"/>
                <w:highlight w:val="none"/>
                <w:lang w:val="en-US" w:eastAsia="zh-CN"/>
              </w:rPr>
              <w:t>部分</w:t>
            </w:r>
            <w:r>
              <w:rPr>
                <w:rFonts w:hint="eastAsia" w:ascii="宋体" w:hAnsi="宋体" w:eastAsia="宋体" w:cs="宋体"/>
                <w:b/>
                <w:bCs/>
                <w:color w:val="auto"/>
                <w:sz w:val="24"/>
                <w:szCs w:val="24"/>
                <w:highlight w:val="none"/>
              </w:rPr>
              <w:t xml:space="preserve"> （</w:t>
            </w:r>
            <w:r>
              <w:rPr>
                <w:rFonts w:hint="eastAsia" w:ascii="宋体" w:hAnsi="宋体" w:cs="宋体"/>
                <w:b/>
                <w:bCs/>
                <w:color w:val="auto"/>
                <w:sz w:val="24"/>
                <w:szCs w:val="24"/>
                <w:highlight w:val="none"/>
                <w:lang w:val="en-US" w:eastAsia="zh-CN"/>
              </w:rPr>
              <w:t>25</w:t>
            </w:r>
            <w:r>
              <w:rPr>
                <w:rFonts w:hint="eastAsia" w:ascii="宋体" w:hAnsi="宋体" w:eastAsia="宋体" w:cs="宋体"/>
                <w:b/>
                <w:bCs/>
                <w:color w:val="auto"/>
                <w:sz w:val="24"/>
                <w:szCs w:val="24"/>
                <w:highlight w:val="none"/>
              </w:rPr>
              <w:t>分）</w:t>
            </w:r>
          </w:p>
        </w:tc>
        <w:tc>
          <w:tcPr>
            <w:tcW w:w="1665" w:type="dxa"/>
            <w:noWrap w:val="0"/>
            <w:vAlign w:val="center"/>
          </w:tcPr>
          <w:p w14:paraId="4DAE3F6E">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业绩（</w:t>
            </w:r>
            <w:r>
              <w:rPr>
                <w:rFonts w:hint="eastAsia" w:ascii="宋体" w:hAnsi="宋体" w:cs="宋体"/>
                <w:b/>
                <w:bCs/>
                <w:kern w:val="2"/>
                <w:sz w:val="24"/>
                <w:szCs w:val="24"/>
                <w:highlight w:val="none"/>
                <w:lang w:val="en-US" w:eastAsia="zh-CN" w:bidi="ar-SA"/>
              </w:rPr>
              <w:t>10</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1BE4D62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202</w:t>
            </w:r>
            <w:r>
              <w:rPr>
                <w:rFonts w:hint="eastAsia" w:ascii="宋体" w:hAnsi="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SA"/>
              </w:rPr>
              <w:t>年以来供应商承担</w:t>
            </w:r>
            <w:r>
              <w:rPr>
                <w:rFonts w:hint="eastAsia" w:ascii="宋体" w:hAnsi="宋体" w:cs="宋体"/>
                <w:kern w:val="2"/>
                <w:sz w:val="24"/>
                <w:szCs w:val="24"/>
                <w:highlight w:val="none"/>
                <w:lang w:val="en-US" w:eastAsia="zh-CN" w:bidi="ar-SA"/>
              </w:rPr>
              <w:t>过类似</w:t>
            </w:r>
            <w:r>
              <w:rPr>
                <w:rFonts w:hint="eastAsia" w:ascii="宋体" w:hAnsi="宋体" w:eastAsia="宋体" w:cs="宋体"/>
                <w:kern w:val="2"/>
                <w:sz w:val="24"/>
                <w:szCs w:val="24"/>
                <w:highlight w:val="none"/>
                <w:lang w:val="en-US" w:eastAsia="zh-CN" w:bidi="ar-SA"/>
              </w:rPr>
              <w:t>项目的每个得</w:t>
            </w:r>
            <w:r>
              <w:rPr>
                <w:rFonts w:hint="eastAsia" w:ascii="宋体" w:hAnsi="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SA"/>
              </w:rPr>
              <w:t>分，最多得</w:t>
            </w:r>
            <w:r>
              <w:rPr>
                <w:rFonts w:hint="eastAsia" w:ascii="宋体" w:hAnsi="宋体" w:cs="宋体"/>
                <w:kern w:val="2"/>
                <w:sz w:val="24"/>
                <w:szCs w:val="24"/>
                <w:highlight w:val="none"/>
                <w:lang w:val="en-US" w:eastAsia="zh-CN" w:bidi="ar-SA"/>
              </w:rPr>
              <w:t>10</w:t>
            </w:r>
            <w:r>
              <w:rPr>
                <w:rFonts w:hint="eastAsia" w:ascii="宋体" w:hAnsi="宋体" w:eastAsia="宋体" w:cs="宋体"/>
                <w:kern w:val="2"/>
                <w:sz w:val="24"/>
                <w:szCs w:val="24"/>
                <w:highlight w:val="none"/>
                <w:lang w:val="en-US" w:eastAsia="zh-CN" w:bidi="ar-SA"/>
              </w:rPr>
              <w:t>分。（业绩时间以合同签订时间为准，关键信息的合同页扫描件，编制在响应文件内，否则不得分）</w:t>
            </w:r>
          </w:p>
        </w:tc>
      </w:tr>
      <w:tr w14:paraId="2D14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trPr>
        <w:tc>
          <w:tcPr>
            <w:tcW w:w="1002" w:type="dxa"/>
            <w:vMerge w:val="continue"/>
            <w:noWrap w:val="0"/>
            <w:vAlign w:val="center"/>
          </w:tcPr>
          <w:p w14:paraId="2EA8BF2E">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color w:val="auto"/>
                <w:sz w:val="24"/>
                <w:szCs w:val="24"/>
              </w:rPr>
            </w:pPr>
          </w:p>
        </w:tc>
        <w:tc>
          <w:tcPr>
            <w:tcW w:w="1189" w:type="dxa"/>
            <w:vMerge w:val="continue"/>
            <w:noWrap w:val="0"/>
            <w:vAlign w:val="center"/>
          </w:tcPr>
          <w:p w14:paraId="227470BB">
            <w:pPr>
              <w:keepNext w:val="0"/>
              <w:keepLines w:val="0"/>
              <w:pageBreakBefore w:val="0"/>
              <w:widowControl w:val="0"/>
              <w:kinsoku/>
              <w:wordWrap/>
              <w:overflowPunct/>
              <w:topLinePunct w:val="0"/>
              <w:autoSpaceDE/>
              <w:autoSpaceDN/>
              <w:bidi w:val="0"/>
              <w:adjustRightInd/>
              <w:snapToGrid/>
              <w:spacing w:line="440" w:lineRule="exact"/>
              <w:ind w:left="0" w:leftChars="0"/>
              <w:jc w:val="left"/>
              <w:textAlignment w:val="auto"/>
              <w:rPr>
                <w:rFonts w:hint="eastAsia" w:ascii="宋体" w:hAnsi="宋体" w:eastAsia="宋体" w:cs="宋体"/>
                <w:color w:val="auto"/>
                <w:sz w:val="24"/>
                <w:szCs w:val="24"/>
              </w:rPr>
            </w:pPr>
          </w:p>
        </w:tc>
        <w:tc>
          <w:tcPr>
            <w:tcW w:w="1665" w:type="dxa"/>
            <w:noWrap w:val="0"/>
            <w:vAlign w:val="center"/>
          </w:tcPr>
          <w:p w14:paraId="64FA2CA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团队人员配置</w:t>
            </w:r>
          </w:p>
          <w:p w14:paraId="69841DF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w:t>
            </w:r>
            <w:r>
              <w:rPr>
                <w:rFonts w:hint="eastAsia" w:ascii="宋体" w:hAnsi="宋体" w:cs="宋体"/>
                <w:b/>
                <w:bCs/>
                <w:kern w:val="2"/>
                <w:sz w:val="24"/>
                <w:szCs w:val="24"/>
                <w:highlight w:val="none"/>
                <w:lang w:val="en-US" w:eastAsia="zh-CN" w:bidi="ar-SA"/>
              </w:rPr>
              <w:t>7</w:t>
            </w:r>
            <w:r>
              <w:rPr>
                <w:rFonts w:hint="eastAsia" w:ascii="宋体" w:hAnsi="宋体" w:eastAsia="宋体" w:cs="宋体"/>
                <w:b/>
                <w:bCs/>
                <w:kern w:val="2"/>
                <w:sz w:val="24"/>
                <w:szCs w:val="24"/>
                <w:highlight w:val="none"/>
                <w:lang w:val="en-US" w:eastAsia="zh-CN" w:bidi="ar-SA"/>
              </w:rPr>
              <w:t>分）</w:t>
            </w:r>
          </w:p>
        </w:tc>
        <w:tc>
          <w:tcPr>
            <w:tcW w:w="5887" w:type="dxa"/>
            <w:noWrap w:val="0"/>
            <w:vAlign w:val="center"/>
          </w:tcPr>
          <w:p w14:paraId="1D676D3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项目组成人员中（不包括项目负责人）具有高级及以上职称证书的每个得</w:t>
            </w:r>
            <w:r>
              <w:rPr>
                <w:rFonts w:hint="eastAsia" w:ascii="宋体" w:hAnsi="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bidi="ar-SA"/>
              </w:rPr>
              <w:t>分，中级职称每个得</w:t>
            </w: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分，最高得</w:t>
            </w:r>
            <w:r>
              <w:rPr>
                <w:rFonts w:hint="eastAsia" w:ascii="宋体" w:hAnsi="宋体" w:cs="宋体"/>
                <w:kern w:val="2"/>
                <w:sz w:val="24"/>
                <w:szCs w:val="24"/>
                <w:highlight w:val="none"/>
                <w:lang w:val="en-US" w:eastAsia="zh-CN" w:bidi="ar-SA"/>
              </w:rPr>
              <w:t>7</w:t>
            </w:r>
            <w:r>
              <w:rPr>
                <w:rFonts w:hint="eastAsia" w:ascii="宋体" w:hAnsi="宋体" w:eastAsia="宋体" w:cs="宋体"/>
                <w:kern w:val="2"/>
                <w:sz w:val="24"/>
                <w:szCs w:val="24"/>
                <w:highlight w:val="none"/>
                <w:lang w:val="en-US" w:eastAsia="zh-CN" w:bidi="ar-SA"/>
              </w:rPr>
              <w:t>分</w:t>
            </w:r>
            <w:r>
              <w:rPr>
                <w:rFonts w:hint="eastAsia" w:ascii="宋体" w:hAnsi="宋体" w:cs="宋体"/>
                <w:kern w:val="2"/>
                <w:sz w:val="24"/>
                <w:szCs w:val="24"/>
                <w:highlight w:val="none"/>
                <w:lang w:val="en-US" w:eastAsia="zh-CN" w:bidi="ar-SA"/>
              </w:rPr>
              <w:t>，一人多证不重复计分。</w:t>
            </w:r>
          </w:p>
          <w:p w14:paraId="0012DD8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（以上人员需提供职称证及2025年6月1日以来连续6个月的养老保险证明，编制在响应文件内，否则不得分）</w:t>
            </w:r>
          </w:p>
        </w:tc>
      </w:tr>
      <w:tr w14:paraId="44F3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1" w:hRule="atLeast"/>
        </w:trPr>
        <w:tc>
          <w:tcPr>
            <w:tcW w:w="1002" w:type="dxa"/>
            <w:vMerge w:val="continue"/>
            <w:noWrap w:val="0"/>
            <w:vAlign w:val="center"/>
          </w:tcPr>
          <w:p w14:paraId="64D8279D">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color w:val="auto"/>
                <w:sz w:val="24"/>
                <w:szCs w:val="24"/>
              </w:rPr>
            </w:pPr>
          </w:p>
        </w:tc>
        <w:tc>
          <w:tcPr>
            <w:tcW w:w="1189" w:type="dxa"/>
            <w:vMerge w:val="continue"/>
            <w:noWrap w:val="0"/>
            <w:vAlign w:val="center"/>
          </w:tcPr>
          <w:p w14:paraId="26CE00D8">
            <w:pPr>
              <w:keepNext w:val="0"/>
              <w:keepLines w:val="0"/>
              <w:pageBreakBefore w:val="0"/>
              <w:widowControl w:val="0"/>
              <w:kinsoku/>
              <w:wordWrap/>
              <w:overflowPunct/>
              <w:topLinePunct w:val="0"/>
              <w:autoSpaceDE/>
              <w:autoSpaceDN/>
              <w:bidi w:val="0"/>
              <w:adjustRightInd/>
              <w:snapToGrid/>
              <w:spacing w:line="440" w:lineRule="exact"/>
              <w:ind w:left="0" w:leftChars="0"/>
              <w:jc w:val="left"/>
              <w:textAlignment w:val="auto"/>
              <w:rPr>
                <w:rFonts w:hint="eastAsia" w:ascii="宋体" w:hAnsi="宋体" w:eastAsia="宋体" w:cs="宋体"/>
                <w:color w:val="auto"/>
                <w:sz w:val="24"/>
                <w:szCs w:val="24"/>
              </w:rPr>
            </w:pPr>
          </w:p>
        </w:tc>
        <w:tc>
          <w:tcPr>
            <w:tcW w:w="1665" w:type="dxa"/>
            <w:shd w:val="clear" w:color="auto" w:fill="auto"/>
            <w:noWrap w:val="0"/>
            <w:vAlign w:val="center"/>
          </w:tcPr>
          <w:p w14:paraId="5206A90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服务承诺</w:t>
            </w:r>
          </w:p>
          <w:p w14:paraId="7740D54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w:t>
            </w: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分）</w:t>
            </w:r>
          </w:p>
        </w:tc>
        <w:tc>
          <w:tcPr>
            <w:tcW w:w="5887" w:type="dxa"/>
            <w:shd w:val="clear" w:color="auto" w:fill="auto"/>
            <w:noWrap w:val="0"/>
            <w:vAlign w:val="center"/>
          </w:tcPr>
          <w:p w14:paraId="21A71F2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（1）在服务期限内承诺按照采购人要求的时限和质量完成项目任务的，向委托人义务提供相关技术咨询及合理化建议，人员职业道德相关承诺的优得</w:t>
            </w:r>
            <w:r>
              <w:rPr>
                <w:rFonts w:hint="eastAsia" w:ascii="宋体" w:hAnsi="宋体" w:cs="宋体"/>
                <w:kern w:val="2"/>
                <w:sz w:val="24"/>
                <w:szCs w:val="24"/>
                <w:lang w:val="en-US" w:eastAsia="zh-CN" w:bidi="ar-SA"/>
              </w:rPr>
              <w:t>2</w:t>
            </w:r>
            <w:r>
              <w:rPr>
                <w:rFonts w:hint="eastAsia" w:ascii="宋体" w:hAnsi="宋体" w:eastAsia="宋体" w:cs="宋体"/>
                <w:kern w:val="2"/>
                <w:sz w:val="24"/>
                <w:szCs w:val="24"/>
                <w:lang w:val="en-US" w:eastAsia="zh-CN" w:bidi="ar-SA"/>
              </w:rPr>
              <w:t>分，良得1分，一般得0.5分。</w:t>
            </w:r>
          </w:p>
          <w:p w14:paraId="28FDDC1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（2）确保为采购人提供优质服务：响应及时、服务人员固定、廉洁自律、成果文件完整、工作质量的承诺（与服务、质量、费用等相关优得</w:t>
            </w:r>
            <w:r>
              <w:rPr>
                <w:rFonts w:hint="eastAsia" w:ascii="宋体" w:hAnsi="宋体" w:cs="宋体"/>
                <w:kern w:val="2"/>
                <w:sz w:val="24"/>
                <w:szCs w:val="24"/>
                <w:lang w:val="en-US" w:eastAsia="zh-CN" w:bidi="ar-SA"/>
              </w:rPr>
              <w:t>2</w:t>
            </w:r>
            <w:r>
              <w:rPr>
                <w:rFonts w:hint="eastAsia" w:ascii="宋体" w:hAnsi="宋体" w:eastAsia="宋体" w:cs="宋体"/>
                <w:kern w:val="2"/>
                <w:sz w:val="24"/>
                <w:szCs w:val="24"/>
                <w:lang w:val="en-US" w:eastAsia="zh-CN" w:bidi="ar-SA"/>
              </w:rPr>
              <w:t>分，良得1分，一般得0.5分。</w:t>
            </w:r>
          </w:p>
        </w:tc>
      </w:tr>
      <w:tr w14:paraId="7075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trPr>
        <w:tc>
          <w:tcPr>
            <w:tcW w:w="1002" w:type="dxa"/>
            <w:vMerge w:val="continue"/>
            <w:noWrap w:val="0"/>
            <w:vAlign w:val="center"/>
          </w:tcPr>
          <w:p w14:paraId="76F22686">
            <w:pPr>
              <w:keepNext w:val="0"/>
              <w:keepLines w:val="0"/>
              <w:pageBreakBefore w:val="0"/>
              <w:widowControl w:val="0"/>
              <w:kinsoku/>
              <w:wordWrap/>
              <w:overflowPunct/>
              <w:topLinePunct w:val="0"/>
              <w:autoSpaceDE/>
              <w:autoSpaceDN/>
              <w:bidi w:val="0"/>
              <w:adjustRightInd/>
              <w:snapToGrid/>
              <w:spacing w:line="440" w:lineRule="exact"/>
              <w:ind w:left="0" w:leftChars="0"/>
              <w:jc w:val="center"/>
              <w:textAlignment w:val="auto"/>
              <w:rPr>
                <w:rFonts w:hint="eastAsia" w:ascii="宋体" w:hAnsi="宋体" w:eastAsia="宋体" w:cs="宋体"/>
                <w:color w:val="auto"/>
                <w:sz w:val="24"/>
                <w:szCs w:val="24"/>
              </w:rPr>
            </w:pPr>
          </w:p>
        </w:tc>
        <w:tc>
          <w:tcPr>
            <w:tcW w:w="1189" w:type="dxa"/>
            <w:vMerge w:val="continue"/>
            <w:noWrap w:val="0"/>
            <w:vAlign w:val="center"/>
          </w:tcPr>
          <w:p w14:paraId="52224457">
            <w:pPr>
              <w:keepNext w:val="0"/>
              <w:keepLines w:val="0"/>
              <w:pageBreakBefore w:val="0"/>
              <w:widowControl w:val="0"/>
              <w:kinsoku/>
              <w:wordWrap/>
              <w:overflowPunct/>
              <w:topLinePunct w:val="0"/>
              <w:autoSpaceDE/>
              <w:autoSpaceDN/>
              <w:bidi w:val="0"/>
              <w:adjustRightInd/>
              <w:snapToGrid/>
              <w:spacing w:line="440" w:lineRule="exact"/>
              <w:ind w:left="0" w:leftChars="0"/>
              <w:jc w:val="left"/>
              <w:textAlignment w:val="auto"/>
              <w:rPr>
                <w:rFonts w:hint="eastAsia" w:ascii="宋体" w:hAnsi="宋体" w:eastAsia="宋体" w:cs="宋体"/>
                <w:color w:val="auto"/>
                <w:sz w:val="24"/>
                <w:szCs w:val="24"/>
              </w:rPr>
            </w:pPr>
          </w:p>
        </w:tc>
        <w:tc>
          <w:tcPr>
            <w:tcW w:w="1665" w:type="dxa"/>
            <w:noWrap w:val="0"/>
            <w:vAlign w:val="center"/>
          </w:tcPr>
          <w:p w14:paraId="4C4CA2A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售后服务承诺（4分）</w:t>
            </w:r>
          </w:p>
        </w:tc>
        <w:tc>
          <w:tcPr>
            <w:tcW w:w="5887" w:type="dxa"/>
            <w:noWrap w:val="0"/>
            <w:vAlign w:val="center"/>
          </w:tcPr>
          <w:p w14:paraId="06300AC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评委根据</w:t>
            </w:r>
            <w:r>
              <w:rPr>
                <w:rFonts w:hint="eastAsia" w:ascii="宋体" w:hAnsi="宋体" w:cs="宋体"/>
                <w:kern w:val="2"/>
                <w:sz w:val="24"/>
                <w:szCs w:val="24"/>
                <w:lang w:val="en-US" w:eastAsia="zh-CN" w:bidi="ar-SA"/>
              </w:rPr>
              <w:t>供应商</w:t>
            </w:r>
            <w:r>
              <w:rPr>
                <w:rFonts w:hint="default" w:ascii="宋体" w:hAnsi="宋体" w:eastAsia="宋体" w:cs="宋体"/>
                <w:kern w:val="2"/>
                <w:sz w:val="24"/>
                <w:szCs w:val="24"/>
                <w:lang w:val="en-US" w:eastAsia="zh-CN" w:bidi="ar-SA"/>
              </w:rPr>
              <w:t>提出的售后技术支持服务方案，有详细的售后技术支持服务或流程、响应时间、技术支持期限等。</w:t>
            </w:r>
          </w:p>
          <w:p w14:paraId="18AAD83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售后服务须包含以上内容，齐全的得</w:t>
            </w:r>
            <w:r>
              <w:rPr>
                <w:rFonts w:hint="eastAsia" w:ascii="宋体" w:hAnsi="宋体" w:cs="宋体"/>
                <w:kern w:val="2"/>
                <w:sz w:val="24"/>
                <w:szCs w:val="24"/>
                <w:lang w:val="en-US" w:eastAsia="zh-CN" w:bidi="ar-SA"/>
              </w:rPr>
              <w:t>4</w:t>
            </w:r>
            <w:r>
              <w:rPr>
                <w:rFonts w:hint="default" w:ascii="宋体" w:hAnsi="宋体" w:eastAsia="宋体" w:cs="宋体"/>
                <w:kern w:val="2"/>
                <w:sz w:val="24"/>
                <w:szCs w:val="24"/>
                <w:lang w:val="en-US" w:eastAsia="zh-CN" w:bidi="ar-SA"/>
              </w:rPr>
              <w:t>分，否则不得分。</w:t>
            </w:r>
          </w:p>
        </w:tc>
      </w:tr>
      <w:tr w14:paraId="08D4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743" w:type="dxa"/>
            <w:gridSpan w:val="4"/>
            <w:noWrap w:val="0"/>
            <w:vAlign w:val="center"/>
          </w:tcPr>
          <w:p w14:paraId="0A66AED7">
            <w:pPr>
              <w:rPr>
                <w:rFonts w:hint="eastAsia" w:ascii="宋体" w:hAnsi="宋体" w:eastAsia="宋体" w:cs="宋体"/>
                <w:b/>
                <w:bCs/>
                <w:sz w:val="24"/>
                <w:szCs w:val="32"/>
                <w:lang w:val="en-US" w:eastAsia="zh-CN"/>
              </w:rPr>
            </w:pPr>
            <w:r>
              <w:rPr>
                <w:rFonts w:hint="eastAsia" w:ascii="宋体" w:hAnsi="宋体" w:eastAsia="宋体" w:cs="宋体"/>
                <w:b/>
                <w:bCs/>
                <w:sz w:val="24"/>
                <w:szCs w:val="32"/>
              </w:rPr>
              <w:t>注：</w:t>
            </w:r>
            <w:r>
              <w:rPr>
                <w:rFonts w:hint="eastAsia" w:ascii="宋体" w:hAnsi="宋体" w:eastAsia="宋体" w:cs="宋体"/>
                <w:b/>
                <w:bCs/>
                <w:sz w:val="24"/>
                <w:szCs w:val="32"/>
                <w:lang w:val="en-US" w:eastAsia="zh-CN"/>
              </w:rPr>
              <w:t>1.供应商编制响应文件时，涉及营业执照、资质、业绩、获奖、人员、财务、社保、纳税、各类证书等内容，须扫描编制在响应文件内。评委评审只需依法对响应文件进行评审，</w:t>
            </w:r>
            <w:r>
              <w:rPr>
                <w:rFonts w:hint="eastAsia" w:ascii="宋体" w:hAnsi="宋体" w:eastAsia="宋体" w:cs="宋体"/>
                <w:b/>
                <w:bCs/>
                <w:sz w:val="24"/>
                <w:szCs w:val="32"/>
                <w:u w:val="thick"/>
                <w:lang w:val="en-US" w:eastAsia="zh-CN"/>
              </w:rPr>
              <w:t>并以响应文件的响应为唯一评审依据，不再比对主体信用信息。</w:t>
            </w:r>
          </w:p>
          <w:p w14:paraId="5832B536">
            <w:pPr>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2.电子响应文件中的扫描件，每张一般控制在500kb内,生成的加密电子响应文件一般不要超过50MB。</w:t>
            </w:r>
          </w:p>
          <w:p w14:paraId="0A031BC1">
            <w:pPr>
              <w:rPr>
                <w:rFonts w:hint="eastAsia" w:ascii="宋体" w:hAnsi="宋体" w:eastAsia="宋体" w:cs="宋体"/>
                <w:color w:val="auto"/>
                <w:kern w:val="2"/>
                <w:sz w:val="24"/>
                <w:szCs w:val="24"/>
                <w:lang w:val="en-US" w:eastAsia="zh-CN" w:bidi="ar-SA"/>
              </w:rPr>
            </w:pPr>
            <w:r>
              <w:rPr>
                <w:rFonts w:hint="eastAsia" w:ascii="宋体" w:hAnsi="宋体" w:eastAsia="宋体" w:cs="宋体"/>
                <w:b/>
                <w:bCs/>
                <w:sz w:val="24"/>
                <w:szCs w:val="32"/>
                <w:u w:val="none"/>
                <w:lang w:val="en-US" w:eastAsia="zh-CN"/>
              </w:rPr>
              <w:t>3.</w:t>
            </w:r>
            <w:r>
              <w:rPr>
                <w:rFonts w:hint="eastAsia" w:ascii="宋体" w:hAnsi="宋体" w:eastAsia="宋体" w:cs="宋体"/>
                <w:b/>
                <w:bCs/>
                <w:sz w:val="24"/>
                <w:szCs w:val="32"/>
              </w:rPr>
              <w:t>评分分值及计算结果精确到小数点后</w:t>
            </w:r>
            <w:r>
              <w:rPr>
                <w:rFonts w:hint="eastAsia" w:ascii="宋体" w:hAnsi="宋体" w:eastAsia="宋体" w:cs="宋体"/>
                <w:b/>
                <w:bCs/>
                <w:sz w:val="24"/>
                <w:szCs w:val="32"/>
                <w:lang w:eastAsia="zh-CN"/>
              </w:rPr>
              <w:t>两位</w:t>
            </w:r>
            <w:r>
              <w:rPr>
                <w:rFonts w:hint="eastAsia" w:ascii="宋体" w:hAnsi="宋体" w:eastAsia="宋体" w:cs="宋体"/>
                <w:b/>
                <w:bCs/>
                <w:sz w:val="24"/>
                <w:szCs w:val="32"/>
              </w:rPr>
              <w:t xml:space="preserve">，第三位四舍五入。 </w:t>
            </w:r>
          </w:p>
        </w:tc>
      </w:tr>
      <w:bookmarkEnd w:id="623"/>
      <w:bookmarkEnd w:id="624"/>
      <w:bookmarkEnd w:id="625"/>
      <w:bookmarkEnd w:id="626"/>
      <w:bookmarkEnd w:id="627"/>
      <w:bookmarkEnd w:id="628"/>
    </w:tbl>
    <w:p w14:paraId="6185E662">
      <w:pPr>
        <w:pageBreakBefore w:val="0"/>
        <w:widowControl w:val="0"/>
        <w:numPr>
          <w:ilvl w:val="0"/>
          <w:numId w:val="0"/>
        </w:numPr>
        <w:kinsoku/>
        <w:wordWrap/>
        <w:overflowPunct/>
        <w:topLinePunct w:val="0"/>
        <w:autoSpaceDE/>
        <w:autoSpaceDN/>
        <w:bidi w:val="0"/>
        <w:adjustRightInd/>
        <w:snapToGrid/>
        <w:spacing w:line="420" w:lineRule="exact"/>
        <w:textAlignment w:val="auto"/>
        <w:outlineLvl w:val="1"/>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评审方法</w:t>
      </w:r>
    </w:p>
    <w:p w14:paraId="2388477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bidi="en-US"/>
        </w:rPr>
        <w:t>1.1</w:t>
      </w:r>
      <w:r>
        <w:rPr>
          <w:rFonts w:hint="eastAsia" w:ascii="宋体" w:hAnsi="宋体" w:eastAsia="宋体" w:cs="宋体"/>
          <w:color w:val="auto"/>
          <w:sz w:val="24"/>
          <w:szCs w:val="24"/>
          <w:lang w:bidi="en-US"/>
        </w:rPr>
        <w:t>本次评审采用综合评分法。磋商小组对满足</w:t>
      </w:r>
      <w:r>
        <w:rPr>
          <w:rFonts w:hint="eastAsia" w:ascii="宋体" w:hAnsi="宋体" w:eastAsia="宋体" w:cs="宋体"/>
          <w:color w:val="auto"/>
          <w:sz w:val="24"/>
          <w:szCs w:val="24"/>
          <w:lang w:eastAsia="zh-CN" w:bidi="en-US"/>
        </w:rPr>
        <w:t>竞争性磋商文件</w:t>
      </w:r>
      <w:r>
        <w:rPr>
          <w:rFonts w:hint="eastAsia" w:ascii="宋体" w:hAnsi="宋体" w:eastAsia="宋体" w:cs="宋体"/>
          <w:color w:val="auto"/>
          <w:sz w:val="24"/>
          <w:szCs w:val="24"/>
          <w:lang w:bidi="en-US"/>
        </w:rPr>
        <w:t>实质性要求的响应文件</w:t>
      </w:r>
      <w:r>
        <w:rPr>
          <w:rFonts w:hint="eastAsia" w:ascii="宋体" w:hAnsi="宋体" w:eastAsia="宋体" w:cs="宋体"/>
          <w:color w:val="auto"/>
          <w:sz w:val="24"/>
          <w:szCs w:val="24"/>
        </w:rPr>
        <w:t>，按照本章规定的评分标准进行打分，并按得分由高到低顺序推荐成交候选人，</w:t>
      </w:r>
      <w:r>
        <w:rPr>
          <w:rFonts w:hint="eastAsia" w:ascii="宋体" w:hAnsi="宋体" w:eastAsia="宋体" w:cs="宋体"/>
          <w:color w:val="auto"/>
          <w:kern w:val="0"/>
          <w:sz w:val="24"/>
          <w:szCs w:val="24"/>
        </w:rPr>
        <w:t>综合评</w:t>
      </w:r>
      <w:r>
        <w:rPr>
          <w:rFonts w:hint="eastAsia" w:ascii="宋体" w:hAnsi="宋体" w:eastAsia="宋体" w:cs="宋体"/>
          <w:color w:val="auto"/>
          <w:sz w:val="24"/>
          <w:szCs w:val="24"/>
        </w:rPr>
        <w:t>分相等时，以报价得分高的优先；报价得分也相等的，</w:t>
      </w:r>
      <w:r>
        <w:rPr>
          <w:rFonts w:hint="eastAsia" w:ascii="宋体" w:hAnsi="宋体" w:eastAsia="宋体" w:cs="宋体"/>
          <w:color w:val="auto"/>
          <w:sz w:val="24"/>
          <w:szCs w:val="24"/>
          <w:lang w:val="en-US" w:eastAsia="zh-CN"/>
        </w:rPr>
        <w:t>按技术指标优劣顺序排列，报价得分和技术指标相等的，</w:t>
      </w:r>
      <w:r>
        <w:rPr>
          <w:rFonts w:hint="eastAsia" w:ascii="宋体" w:hAnsi="宋体" w:eastAsia="宋体" w:cs="宋体"/>
          <w:color w:val="auto"/>
          <w:sz w:val="24"/>
          <w:szCs w:val="24"/>
        </w:rPr>
        <w:t>由采购人自行确定。</w:t>
      </w:r>
      <w:bookmarkStart w:id="629" w:name="_Toc281405529"/>
      <w:bookmarkStart w:id="630" w:name="_Toc455867817"/>
      <w:bookmarkStart w:id="631" w:name="_Toc152045601"/>
      <w:bookmarkStart w:id="632" w:name="_Toc6612"/>
      <w:bookmarkStart w:id="633" w:name="_Toc144974568"/>
      <w:bookmarkStart w:id="634" w:name="_Toc455080157"/>
      <w:bookmarkStart w:id="635" w:name="_Toc466298140"/>
      <w:bookmarkStart w:id="636" w:name="_Toc26131"/>
      <w:bookmarkStart w:id="637" w:name="_Toc490667876"/>
      <w:bookmarkStart w:id="638" w:name="_Toc318450723"/>
      <w:bookmarkStart w:id="639" w:name="_Toc152042378"/>
      <w:bookmarkStart w:id="640" w:name="_Toc29362"/>
      <w:bookmarkStart w:id="641" w:name="_Toc24936"/>
      <w:bookmarkStart w:id="642" w:name="_Toc20837"/>
    </w:p>
    <w:p w14:paraId="58A35983">
      <w:pPr>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auto"/>
          <w:sz w:val="24"/>
          <w:szCs w:val="24"/>
          <w:u w:val="thick"/>
        </w:rPr>
      </w:pPr>
      <w:r>
        <w:rPr>
          <w:rFonts w:hint="eastAsia" w:ascii="宋体" w:hAnsi="宋体" w:eastAsia="宋体" w:cs="宋体"/>
          <w:b/>
          <w:bCs/>
          <w:color w:val="auto"/>
          <w:sz w:val="24"/>
          <w:szCs w:val="24"/>
          <w:u w:val="thick"/>
          <w:lang w:val="en-US" w:eastAsia="zh-CN"/>
        </w:rPr>
        <w:t>根据《财政部关于政府采购竞争性磋商采购方式管理暂行办法有关问题的补充通知》的规定，在采购过程中符合要求的供应商只有2家的，竞争性磋商采购活动可以继续进行，提交最后报价的供应商可以为2家。</w:t>
      </w:r>
    </w:p>
    <w:p w14:paraId="4C8AAF57">
      <w:pPr>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评审标准</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Start w:id="643" w:name="_Toc144974569"/>
      <w:bookmarkStart w:id="644" w:name="_Toc19934"/>
      <w:bookmarkStart w:id="645" w:name="_Toc25637"/>
      <w:bookmarkStart w:id="646" w:name="_Toc2867"/>
      <w:bookmarkStart w:id="647" w:name="_Toc31037"/>
      <w:bookmarkStart w:id="648" w:name="_Toc152042379"/>
      <w:bookmarkStart w:id="649" w:name="_Toc24558"/>
      <w:bookmarkStart w:id="650" w:name="_Toc6711"/>
      <w:bookmarkStart w:id="651" w:name="_Toc318450724"/>
      <w:bookmarkStart w:id="652" w:name="_Toc15813"/>
      <w:bookmarkStart w:id="653" w:name="_Toc11223"/>
      <w:bookmarkStart w:id="654" w:name="_Toc152045602"/>
      <w:bookmarkStart w:id="655" w:name="_Toc490667877"/>
      <w:bookmarkStart w:id="656" w:name="_Toc455080158"/>
      <w:bookmarkStart w:id="657" w:name="_Toc466298141"/>
      <w:bookmarkStart w:id="658" w:name="_Toc455867818"/>
      <w:bookmarkStart w:id="659" w:name="_Toc21120"/>
      <w:bookmarkStart w:id="660" w:name="_Toc281405530"/>
    </w:p>
    <w:p w14:paraId="1E421D5C">
      <w:pPr>
        <w:pageBreakBefore w:val="0"/>
        <w:widowControl w:val="0"/>
        <w:numPr>
          <w:ilvl w:val="0"/>
          <w:numId w:val="0"/>
        </w:numPr>
        <w:kinsoku/>
        <w:wordWrap/>
        <w:overflowPunct/>
        <w:topLinePunct w:val="0"/>
        <w:autoSpaceDE/>
        <w:autoSpaceDN/>
        <w:bidi w:val="0"/>
        <w:adjustRightInd/>
        <w:snapToGrid/>
        <w:spacing w:line="420" w:lineRule="exac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2.1 初步评审标准</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5C02779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 资格检查评审标准：见评审办法前附表。</w:t>
      </w:r>
    </w:p>
    <w:p w14:paraId="29FFBD32">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eastAsia="zh-CN"/>
        </w:rPr>
        <w:t>符合</w:t>
      </w:r>
      <w:r>
        <w:rPr>
          <w:rFonts w:hint="eastAsia" w:ascii="宋体" w:hAnsi="宋体" w:eastAsia="宋体" w:cs="宋体"/>
          <w:color w:val="auto"/>
          <w:sz w:val="24"/>
          <w:szCs w:val="24"/>
        </w:rPr>
        <w:t>性检查评审标准：见评审办法前附表。</w:t>
      </w:r>
    </w:p>
    <w:p w14:paraId="48ADB32B">
      <w:pPr>
        <w:pStyle w:val="89"/>
        <w:pageBreakBefore w:val="0"/>
        <w:widowControl w:val="0"/>
        <w:kinsoku/>
        <w:wordWrap/>
        <w:overflowPunct/>
        <w:topLinePunct w:val="0"/>
        <w:autoSpaceDE/>
        <w:autoSpaceDN/>
        <w:bidi w:val="0"/>
        <w:adjustRightInd/>
        <w:snapToGrid/>
        <w:spacing w:line="420" w:lineRule="exact"/>
        <w:textAlignment w:val="auto"/>
        <w:outlineLvl w:val="0"/>
        <w:rPr>
          <w:rFonts w:hint="eastAsia" w:ascii="宋体" w:hAnsi="宋体" w:eastAsia="宋体" w:cs="宋体"/>
          <w:b/>
          <w:bCs/>
          <w:color w:val="auto"/>
          <w:sz w:val="24"/>
          <w:szCs w:val="24"/>
        </w:rPr>
      </w:pPr>
      <w:bookmarkStart w:id="661" w:name="_Toc455867819"/>
      <w:bookmarkStart w:id="662" w:name="_Toc30189"/>
      <w:bookmarkStart w:id="663" w:name="_Toc12013"/>
      <w:bookmarkStart w:id="664" w:name="_Toc281405531"/>
      <w:bookmarkStart w:id="665" w:name="_Toc7284"/>
      <w:bookmarkStart w:id="666" w:name="_Toc24825"/>
      <w:bookmarkStart w:id="667" w:name="_Toc144974570"/>
      <w:bookmarkStart w:id="668" w:name="_Toc26179"/>
      <w:bookmarkStart w:id="669" w:name="_Toc22439"/>
      <w:bookmarkStart w:id="670" w:name="_Toc152045603"/>
      <w:bookmarkStart w:id="671" w:name="_Toc11061"/>
      <w:bookmarkStart w:id="672" w:name="_Toc490667878"/>
      <w:bookmarkStart w:id="673" w:name="_Toc152042380"/>
      <w:bookmarkStart w:id="674" w:name="_Toc25492"/>
      <w:bookmarkStart w:id="675" w:name="_Toc466298142"/>
      <w:bookmarkStart w:id="676" w:name="_Toc318450725"/>
      <w:bookmarkStart w:id="677" w:name="_Toc455080159"/>
      <w:bookmarkStart w:id="678" w:name="_Toc21970"/>
      <w:r>
        <w:rPr>
          <w:rFonts w:hint="eastAsia" w:ascii="宋体" w:hAnsi="宋体" w:eastAsia="宋体" w:cs="宋体"/>
          <w:b/>
          <w:bCs/>
          <w:color w:val="auto"/>
          <w:sz w:val="24"/>
          <w:szCs w:val="24"/>
        </w:rPr>
        <w:t>2.2 分值构成与评分标准</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14:paraId="2031A23B">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：见评审办法前附表；</w:t>
      </w:r>
    </w:p>
    <w:p w14:paraId="45B3F3C9">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（2）技术</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：见评审办法前附表；</w:t>
      </w:r>
    </w:p>
    <w:p w14:paraId="6DD8EA33">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（3）综合</w:t>
      </w:r>
      <w:r>
        <w:rPr>
          <w:rFonts w:hint="eastAsia" w:ascii="宋体" w:hAnsi="宋体" w:eastAsia="宋体" w:cs="宋体"/>
          <w:color w:val="auto"/>
          <w:sz w:val="24"/>
          <w:szCs w:val="24"/>
          <w:lang w:val="en-US" w:eastAsia="zh-CN"/>
        </w:rPr>
        <w:t>部分</w:t>
      </w:r>
      <w:r>
        <w:rPr>
          <w:rFonts w:hint="eastAsia" w:ascii="宋体" w:hAnsi="宋体" w:eastAsia="宋体" w:cs="宋体"/>
          <w:color w:val="auto"/>
          <w:sz w:val="24"/>
          <w:szCs w:val="24"/>
        </w:rPr>
        <w:t>：见评审办法前附表。</w:t>
      </w:r>
    </w:p>
    <w:p w14:paraId="2BB65FB2">
      <w:pPr>
        <w:pStyle w:val="88"/>
        <w:pageBreakBefore w:val="0"/>
        <w:widowControl w:val="0"/>
        <w:kinsoku/>
        <w:wordWrap/>
        <w:overflowPunct/>
        <w:topLinePunct w:val="0"/>
        <w:autoSpaceDE/>
        <w:autoSpaceDN/>
        <w:bidi w:val="0"/>
        <w:adjustRightInd/>
        <w:snapToGrid/>
        <w:spacing w:before="0" w:beforeLines="0" w:line="420" w:lineRule="exact"/>
        <w:textAlignment w:val="auto"/>
        <w:rPr>
          <w:rFonts w:hint="eastAsia" w:ascii="宋体" w:hAnsi="宋体" w:eastAsia="宋体" w:cs="宋体"/>
          <w:b/>
          <w:bCs/>
          <w:color w:val="auto"/>
          <w:sz w:val="24"/>
          <w:szCs w:val="24"/>
        </w:rPr>
      </w:pPr>
      <w:bookmarkStart w:id="679" w:name="_Toc29297"/>
      <w:bookmarkStart w:id="680" w:name="_Toc466298143"/>
      <w:bookmarkStart w:id="681" w:name="_Toc490667879"/>
      <w:bookmarkStart w:id="682" w:name="_Toc455867820"/>
      <w:bookmarkStart w:id="683" w:name="_Toc318450726"/>
      <w:bookmarkStart w:id="684" w:name="_Toc18127"/>
      <w:bookmarkStart w:id="685" w:name="_Toc17308"/>
      <w:bookmarkStart w:id="686" w:name="_Toc281405532"/>
      <w:bookmarkStart w:id="687" w:name="_Toc32314"/>
      <w:bookmarkStart w:id="688" w:name="_Toc455080160"/>
      <w:bookmarkStart w:id="689" w:name="_Toc16479"/>
      <w:r>
        <w:rPr>
          <w:rFonts w:hint="eastAsia" w:ascii="宋体" w:hAnsi="宋体" w:eastAsia="宋体" w:cs="宋体"/>
          <w:b/>
          <w:bCs/>
          <w:color w:val="auto"/>
          <w:sz w:val="24"/>
          <w:szCs w:val="24"/>
        </w:rPr>
        <w:t>3. 评审程序</w:t>
      </w:r>
      <w:bookmarkEnd w:id="679"/>
      <w:bookmarkEnd w:id="680"/>
      <w:bookmarkEnd w:id="681"/>
      <w:bookmarkEnd w:id="682"/>
      <w:bookmarkEnd w:id="683"/>
      <w:bookmarkEnd w:id="684"/>
      <w:bookmarkEnd w:id="685"/>
      <w:bookmarkEnd w:id="686"/>
      <w:bookmarkEnd w:id="687"/>
      <w:bookmarkEnd w:id="688"/>
      <w:bookmarkEnd w:id="689"/>
    </w:p>
    <w:p w14:paraId="7ABCFA65">
      <w:pPr>
        <w:pStyle w:val="89"/>
        <w:pageBreakBefore w:val="0"/>
        <w:widowControl w:val="0"/>
        <w:kinsoku/>
        <w:wordWrap/>
        <w:overflowPunct/>
        <w:topLinePunct w:val="0"/>
        <w:autoSpaceDE/>
        <w:autoSpaceDN/>
        <w:bidi w:val="0"/>
        <w:adjustRightInd/>
        <w:snapToGrid/>
        <w:spacing w:line="420" w:lineRule="exact"/>
        <w:textAlignment w:val="auto"/>
        <w:outlineLvl w:val="0"/>
        <w:rPr>
          <w:rFonts w:hint="eastAsia" w:ascii="宋体" w:hAnsi="宋体" w:eastAsia="宋体" w:cs="宋体"/>
          <w:b/>
          <w:bCs/>
          <w:color w:val="auto"/>
          <w:sz w:val="24"/>
          <w:szCs w:val="24"/>
        </w:rPr>
      </w:pPr>
      <w:bookmarkStart w:id="690" w:name="_Toc30986"/>
      <w:bookmarkStart w:id="691" w:name="_Toc5427"/>
      <w:bookmarkStart w:id="692" w:name="_Toc2410"/>
      <w:bookmarkStart w:id="693" w:name="_Toc455867821"/>
      <w:bookmarkStart w:id="694" w:name="_Toc7272"/>
      <w:bookmarkStart w:id="695" w:name="_Toc29092"/>
      <w:bookmarkStart w:id="696" w:name="_Toc14633"/>
      <w:bookmarkStart w:id="697" w:name="_Toc490667880"/>
      <w:bookmarkStart w:id="698" w:name="_Toc18886"/>
      <w:bookmarkStart w:id="699" w:name="_Toc318450727"/>
      <w:bookmarkStart w:id="700" w:name="_Toc281405533"/>
      <w:bookmarkStart w:id="701" w:name="_Toc29614"/>
      <w:bookmarkStart w:id="702" w:name="_Toc16892"/>
      <w:bookmarkStart w:id="703" w:name="_Toc466298144"/>
      <w:bookmarkStart w:id="704" w:name="_Toc9433"/>
      <w:bookmarkStart w:id="705" w:name="_Toc455080161"/>
      <w:r>
        <w:rPr>
          <w:rFonts w:hint="eastAsia" w:ascii="宋体" w:hAnsi="宋体" w:eastAsia="宋体" w:cs="宋体"/>
          <w:b/>
          <w:bCs/>
          <w:color w:val="auto"/>
          <w:sz w:val="24"/>
          <w:szCs w:val="24"/>
        </w:rPr>
        <w:t>3.1 初步评审</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14:paraId="1AADB208">
      <w:pPr>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cs="宋体"/>
          <w:b/>
          <w:bCs/>
          <w:color w:val="000000"/>
          <w:sz w:val="24"/>
          <w:szCs w:val="24"/>
        </w:rPr>
      </w:pPr>
      <w:r>
        <w:rPr>
          <w:rFonts w:hint="eastAsia" w:ascii="宋体" w:hAnsi="宋体" w:eastAsia="宋体" w:cs="宋体"/>
          <w:color w:val="000000"/>
          <w:sz w:val="24"/>
          <w:szCs w:val="24"/>
        </w:rPr>
        <w:t>3.1.1只有通过资格审查的</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才能进入</w:t>
      </w:r>
      <w:r>
        <w:rPr>
          <w:rFonts w:hint="eastAsia" w:ascii="宋体" w:hAnsi="宋体" w:eastAsia="宋体" w:cs="宋体"/>
          <w:color w:val="000000"/>
          <w:sz w:val="24"/>
          <w:szCs w:val="24"/>
          <w:lang w:eastAsia="zh-CN"/>
        </w:rPr>
        <w:t>符合性评审</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磋商小组</w:t>
      </w:r>
      <w:r>
        <w:rPr>
          <w:rFonts w:hint="eastAsia" w:ascii="宋体" w:hAnsi="宋体" w:eastAsia="宋体" w:cs="宋体"/>
          <w:color w:val="000000"/>
          <w:sz w:val="24"/>
          <w:szCs w:val="24"/>
        </w:rPr>
        <w:t>依据</w:t>
      </w:r>
      <w:r>
        <w:rPr>
          <w:rFonts w:hint="eastAsia" w:ascii="宋体" w:hAnsi="宋体" w:eastAsia="宋体" w:cs="宋体"/>
          <w:color w:val="000000"/>
          <w:sz w:val="24"/>
          <w:szCs w:val="24"/>
          <w:lang w:val="en-US" w:eastAsia="zh-CN"/>
        </w:rPr>
        <w:t>2.1.2</w:t>
      </w:r>
      <w:r>
        <w:rPr>
          <w:rFonts w:hint="eastAsia" w:ascii="宋体" w:hAnsi="宋体" w:eastAsia="宋体" w:cs="宋体"/>
          <w:color w:val="000000"/>
          <w:sz w:val="24"/>
          <w:szCs w:val="24"/>
        </w:rPr>
        <w:t>规定的内容和标准对</w:t>
      </w:r>
      <w:r>
        <w:rPr>
          <w:rFonts w:hint="eastAsia" w:ascii="宋体" w:hAnsi="宋体" w:eastAsia="宋体" w:cs="宋体"/>
          <w:color w:val="000000"/>
          <w:sz w:val="24"/>
          <w:szCs w:val="24"/>
          <w:lang w:eastAsia="zh-CN"/>
        </w:rPr>
        <w:t>响应</w:t>
      </w:r>
      <w:r>
        <w:rPr>
          <w:rFonts w:hint="eastAsia" w:ascii="宋体" w:hAnsi="宋体" w:eastAsia="宋体" w:cs="宋体"/>
          <w:color w:val="000000"/>
          <w:sz w:val="24"/>
          <w:szCs w:val="24"/>
        </w:rPr>
        <w:t>文件进行</w:t>
      </w:r>
      <w:r>
        <w:rPr>
          <w:rFonts w:hint="eastAsia" w:ascii="宋体" w:hAnsi="宋体" w:eastAsia="宋体" w:cs="宋体"/>
          <w:color w:val="000000"/>
          <w:sz w:val="24"/>
          <w:szCs w:val="24"/>
          <w:lang w:eastAsia="zh-CN"/>
        </w:rPr>
        <w:t>符合性审查</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有一项不符合评审标准的，其投标</w:t>
      </w:r>
      <w:r>
        <w:rPr>
          <w:rFonts w:hint="eastAsia" w:ascii="宋体" w:hAnsi="宋体" w:cs="宋体"/>
          <w:b/>
          <w:bCs/>
          <w:color w:val="000000"/>
          <w:sz w:val="24"/>
          <w:szCs w:val="24"/>
          <w:lang w:eastAsia="zh-CN"/>
        </w:rPr>
        <w:t>作</w:t>
      </w:r>
      <w:r>
        <w:rPr>
          <w:rFonts w:hint="eastAsia" w:ascii="宋体" w:hAnsi="宋体" w:eastAsia="宋体" w:cs="宋体"/>
          <w:b/>
          <w:bCs/>
          <w:color w:val="000000"/>
          <w:sz w:val="24"/>
          <w:szCs w:val="24"/>
        </w:rPr>
        <w:t>无效</w:t>
      </w:r>
      <w:r>
        <w:rPr>
          <w:rFonts w:hint="eastAsia" w:ascii="宋体" w:hAnsi="宋体" w:eastAsia="宋体" w:cs="宋体"/>
          <w:b/>
          <w:bCs/>
          <w:color w:val="000000"/>
          <w:sz w:val="24"/>
          <w:szCs w:val="24"/>
          <w:lang w:eastAsia="zh-CN"/>
        </w:rPr>
        <w:t>投标</w:t>
      </w:r>
      <w:r>
        <w:rPr>
          <w:rFonts w:hint="eastAsia" w:ascii="宋体" w:hAnsi="宋体" w:eastAsia="宋体" w:cs="宋体"/>
          <w:b/>
          <w:bCs/>
          <w:color w:val="000000"/>
          <w:sz w:val="24"/>
          <w:szCs w:val="24"/>
        </w:rPr>
        <w:t>处理，不得进入详细评审。</w:t>
      </w:r>
    </w:p>
    <w:p w14:paraId="25F723F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3.1.2 供应商有以下情形之一的，其响应文件作无效处理：</w:t>
      </w:r>
    </w:p>
    <w:p w14:paraId="3BE52E26">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）串通或弄虚作假或有其他违法行为的；</w:t>
      </w:r>
    </w:p>
    <w:p w14:paraId="638D6736">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）不按磋商小组要求澄清、说明或补正的；</w:t>
      </w:r>
    </w:p>
    <w:p w14:paraId="7A0613C9">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）未按规定格式填写、内容不全或关键字迹模糊、无法辨认的；</w:t>
      </w:r>
    </w:p>
    <w:p w14:paraId="02F0D139">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）响应文件附有采购人不能接受的条件；</w:t>
      </w:r>
    </w:p>
    <w:p w14:paraId="7BBE9FE6">
      <w:pPr>
        <w:pageBreakBefore w:val="0"/>
        <w:widowControl w:val="0"/>
        <w:kinsoku/>
        <w:wordWrap/>
        <w:overflowPunct/>
        <w:topLinePunct w:val="0"/>
        <w:autoSpaceDE/>
        <w:autoSpaceDN/>
        <w:bidi w:val="0"/>
        <w:adjustRightInd/>
        <w:snapToGrid/>
        <w:spacing w:line="420" w:lineRule="exact"/>
        <w:ind w:firstLine="240" w:firstLineChars="1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）不符合</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规定的其他实质性要求。</w:t>
      </w:r>
    </w:p>
    <w:p w14:paraId="147E106C">
      <w:pPr>
        <w:pStyle w:val="89"/>
        <w:pageBreakBefore w:val="0"/>
        <w:widowControl w:val="0"/>
        <w:kinsoku/>
        <w:wordWrap/>
        <w:overflowPunct/>
        <w:topLinePunct w:val="0"/>
        <w:autoSpaceDE/>
        <w:autoSpaceDN/>
        <w:bidi w:val="0"/>
        <w:adjustRightInd/>
        <w:snapToGrid/>
        <w:spacing w:line="420" w:lineRule="exact"/>
        <w:textAlignment w:val="auto"/>
        <w:outlineLvl w:val="0"/>
        <w:rPr>
          <w:rFonts w:hint="eastAsia" w:ascii="宋体" w:hAnsi="宋体" w:eastAsia="宋体" w:cs="宋体"/>
          <w:b/>
          <w:bCs/>
          <w:color w:val="auto"/>
          <w:sz w:val="24"/>
          <w:szCs w:val="24"/>
        </w:rPr>
      </w:pPr>
      <w:r>
        <w:rPr>
          <w:rFonts w:hint="eastAsia" w:ascii="宋体" w:hAnsi="宋体" w:eastAsia="宋体" w:cs="宋体"/>
          <w:b/>
          <w:bCs/>
          <w:color w:val="auto"/>
          <w:sz w:val="24"/>
          <w:szCs w:val="24"/>
        </w:rPr>
        <w:t>3.2 详细评审</w:t>
      </w:r>
    </w:p>
    <w:p w14:paraId="53080AD9">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3.2.1 磋商小组按本章第2.2款规定的量化因素和分值进行打分，并计算出综合评分得分。</w:t>
      </w:r>
    </w:p>
    <w:p w14:paraId="14E16235">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 评分分值计算保留小数点后两位，小数点后第三位“四舍五入”。</w:t>
      </w:r>
    </w:p>
    <w:p w14:paraId="72A7090C">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3.2.3供应商的最终得分以全部小组成员打分的算术平均值为准，作为该供应商的最终得分。</w:t>
      </w:r>
    </w:p>
    <w:p w14:paraId="1689ED58">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3.2.4在磋商过程中，凡遇到</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中无界定或界定不清、前后不一致使磋商小组意见有分歧且又难以协商一致的问题，均由磋商小组予以表决，获半数以上同意的即为通过，未获半数同意的即为否决。</w:t>
      </w:r>
    </w:p>
    <w:p w14:paraId="28794A0D">
      <w:pPr>
        <w:pStyle w:val="89"/>
        <w:pageBreakBefore w:val="0"/>
        <w:widowControl w:val="0"/>
        <w:kinsoku/>
        <w:wordWrap/>
        <w:overflowPunct/>
        <w:topLinePunct w:val="0"/>
        <w:autoSpaceDE/>
        <w:autoSpaceDN/>
        <w:bidi w:val="0"/>
        <w:adjustRightInd/>
        <w:snapToGrid/>
        <w:spacing w:line="420" w:lineRule="exact"/>
        <w:textAlignment w:val="auto"/>
        <w:outlineLvl w:val="0"/>
        <w:rPr>
          <w:rFonts w:hint="eastAsia" w:ascii="宋体" w:hAnsi="宋体" w:eastAsia="宋体" w:cs="宋体"/>
          <w:b/>
          <w:bCs/>
          <w:color w:val="auto"/>
          <w:sz w:val="24"/>
          <w:szCs w:val="24"/>
        </w:rPr>
      </w:pPr>
      <w:bookmarkStart w:id="706" w:name="_Toc281405535"/>
      <w:bookmarkStart w:id="707" w:name="_Toc2657"/>
      <w:bookmarkStart w:id="708" w:name="_Toc11958"/>
      <w:bookmarkStart w:id="709" w:name="_Toc8342"/>
      <w:bookmarkStart w:id="710" w:name="_Toc12374"/>
      <w:bookmarkStart w:id="711" w:name="_Toc455867823"/>
      <w:bookmarkStart w:id="712" w:name="_Toc331"/>
      <w:bookmarkStart w:id="713" w:name="_Toc8813"/>
      <w:bookmarkStart w:id="714" w:name="_Toc28633"/>
      <w:bookmarkStart w:id="715" w:name="_Toc24862"/>
      <w:bookmarkStart w:id="716" w:name="_Toc455080163"/>
      <w:bookmarkStart w:id="717" w:name="_Toc466298146"/>
      <w:bookmarkStart w:id="718" w:name="_Toc318450729"/>
      <w:bookmarkStart w:id="719" w:name="_Toc22084"/>
      <w:bookmarkStart w:id="720" w:name="_Toc490667882"/>
      <w:bookmarkStart w:id="721" w:name="_Toc10153"/>
      <w:r>
        <w:rPr>
          <w:rFonts w:hint="eastAsia" w:ascii="宋体" w:hAnsi="宋体" w:eastAsia="宋体" w:cs="宋体"/>
          <w:b/>
          <w:bCs/>
          <w:color w:val="auto"/>
          <w:sz w:val="24"/>
          <w:szCs w:val="24"/>
        </w:rPr>
        <w:t>3.3 响应文件的澄清和补正</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14:paraId="2D029036">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3.3.1在磋商过程中，磋商小组可以书面形式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电子评标系统发起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要求供应商对所提交的响应文件中不明确的内容进行书面澄清或说明，或者对细微偏离进行补正。磋商小组不接受供应商主动提出的澄清、说明或补正。</w:t>
      </w:r>
    </w:p>
    <w:p w14:paraId="554E62A0">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3.3.2 澄清、说明和补正不得超出响应文件的范围或者改变响应文件的实质性内容（算术性错误修正的除外）。供应商的书面澄清、说明和补正属于响应文件的组成部分。</w:t>
      </w:r>
    </w:p>
    <w:p w14:paraId="68452A23">
      <w:pPr>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3.3.3 磋商小组对供应商提交的澄清、说明或补正有疑问的，可以要求供应商进一步澄清、说明或补正，直至满足磋商小组的要求。</w:t>
      </w:r>
    </w:p>
    <w:p w14:paraId="57526A8E">
      <w:pPr>
        <w:pStyle w:val="89"/>
        <w:pageBreakBefore w:val="0"/>
        <w:widowControl w:val="0"/>
        <w:kinsoku/>
        <w:wordWrap/>
        <w:overflowPunct/>
        <w:topLinePunct w:val="0"/>
        <w:autoSpaceDE/>
        <w:autoSpaceDN/>
        <w:bidi w:val="0"/>
        <w:adjustRightInd/>
        <w:snapToGrid/>
        <w:spacing w:line="420" w:lineRule="exact"/>
        <w:textAlignment w:val="auto"/>
        <w:outlineLvl w:val="0"/>
        <w:rPr>
          <w:rFonts w:hint="eastAsia" w:ascii="宋体" w:hAnsi="宋体" w:eastAsia="宋体" w:cs="宋体"/>
          <w:b/>
          <w:bCs/>
          <w:color w:val="auto"/>
          <w:sz w:val="24"/>
          <w:szCs w:val="24"/>
        </w:rPr>
      </w:pPr>
      <w:bookmarkStart w:id="722" w:name="_Toc281405536"/>
      <w:bookmarkStart w:id="723" w:name="_Toc26894"/>
      <w:bookmarkStart w:id="724" w:name="_Toc455080164"/>
      <w:bookmarkStart w:id="725" w:name="_Toc1857"/>
      <w:bookmarkStart w:id="726" w:name="_Toc22682"/>
      <w:bookmarkStart w:id="727" w:name="_Toc490667883"/>
      <w:bookmarkStart w:id="728" w:name="_Toc466298147"/>
      <w:bookmarkStart w:id="729" w:name="_Toc22986"/>
      <w:bookmarkStart w:id="730" w:name="_Toc30053"/>
      <w:bookmarkStart w:id="731" w:name="_Toc22049"/>
      <w:bookmarkStart w:id="732" w:name="_Toc318450730"/>
      <w:bookmarkStart w:id="733" w:name="_Toc5903"/>
      <w:bookmarkStart w:id="734" w:name="_Toc19938"/>
      <w:bookmarkStart w:id="735" w:name="_Toc32183"/>
      <w:bookmarkStart w:id="736" w:name="_Toc19453"/>
      <w:bookmarkStart w:id="737" w:name="_Toc455867824"/>
      <w:r>
        <w:rPr>
          <w:rFonts w:hint="eastAsia" w:ascii="宋体" w:hAnsi="宋体" w:eastAsia="宋体" w:cs="宋体"/>
          <w:b/>
          <w:bCs/>
          <w:color w:val="auto"/>
          <w:sz w:val="24"/>
          <w:szCs w:val="24"/>
        </w:rPr>
        <w:t>3.4 评审结果</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59803FB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3.4.1除第二章“供应商须知”前附表授权直接确定成交人外，磋商小组按照得分由高到低的顺序推荐成交候选人。</w:t>
      </w:r>
    </w:p>
    <w:p w14:paraId="3702DC9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3.4.2 磋商小组完成评审后，应当向采购人提交书面评审报告。</w:t>
      </w:r>
    </w:p>
    <w:p w14:paraId="0898B75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w:t>
      </w:r>
      <w:r>
        <w:rPr>
          <w:rFonts w:hint="eastAsia" w:ascii="宋体" w:hAnsi="宋体" w:eastAsia="宋体" w:cs="宋体"/>
          <w:color w:val="auto"/>
          <w:sz w:val="24"/>
          <w:szCs w:val="24"/>
          <w:lang w:val="en-US" w:eastAsia="zh-CN"/>
        </w:rPr>
        <w:t>3评审</w:t>
      </w:r>
      <w:r>
        <w:rPr>
          <w:rFonts w:hint="eastAsia" w:ascii="宋体" w:hAnsi="宋体" w:eastAsia="宋体" w:cs="宋体"/>
          <w:color w:val="auto"/>
          <w:sz w:val="24"/>
          <w:szCs w:val="24"/>
        </w:rPr>
        <w:t>结果同时在</w:t>
      </w:r>
      <w:r>
        <w:rPr>
          <w:rFonts w:hint="eastAsia" w:ascii="宋体" w:hAnsi="宋体" w:eastAsia="宋体" w:cs="宋体"/>
          <w:kern w:val="0"/>
          <w:sz w:val="24"/>
        </w:rPr>
        <w:t>《</w:t>
      </w:r>
      <w:r>
        <w:rPr>
          <w:rFonts w:hint="eastAsia" w:ascii="宋体" w:hAnsi="宋体" w:cs="宋体"/>
          <w:kern w:val="0"/>
          <w:sz w:val="24"/>
          <w:lang w:eastAsia="zh-CN"/>
        </w:rPr>
        <w:t>全国公共资源交易平台（河南省·信阳市）</w:t>
      </w:r>
      <w:r>
        <w:rPr>
          <w:rFonts w:hint="eastAsia" w:ascii="宋体" w:hAnsi="宋体" w:eastAsia="宋体" w:cs="宋体"/>
          <w:kern w:val="0"/>
          <w:sz w:val="24"/>
        </w:rPr>
        <w:t>》</w:t>
      </w:r>
      <w:r>
        <w:rPr>
          <w:rFonts w:hint="eastAsia" w:ascii="宋体" w:hAnsi="宋体" w:cs="宋体"/>
          <w:kern w:val="0"/>
          <w:sz w:val="24"/>
          <w:lang w:val="en-US" w:eastAsia="zh-CN"/>
        </w:rPr>
        <w:t>和</w:t>
      </w:r>
      <w:r>
        <w:rPr>
          <w:rFonts w:hint="eastAsia" w:ascii="宋体" w:hAnsi="宋体" w:eastAsia="宋体" w:cs="宋体"/>
          <w:kern w:val="0"/>
          <w:sz w:val="24"/>
          <w:lang w:eastAsia="zh-CN"/>
        </w:rPr>
        <w:t>《河南省政府采购网》</w:t>
      </w:r>
      <w:r>
        <w:rPr>
          <w:rFonts w:hint="eastAsia" w:ascii="宋体" w:hAnsi="宋体" w:eastAsia="宋体" w:cs="宋体"/>
          <w:color w:val="auto"/>
          <w:sz w:val="24"/>
          <w:szCs w:val="24"/>
        </w:rPr>
        <w:t>公示。</w:t>
      </w:r>
    </w:p>
    <w:p w14:paraId="6930153D">
      <w:pPr>
        <w:pStyle w:val="5"/>
        <w:pageBreakBefore w:val="0"/>
        <w:numPr>
          <w:ilvl w:val="0"/>
          <w:numId w:val="0"/>
        </w:numPr>
        <w:kinsoku/>
        <w:wordWrap/>
        <w:overflowPunct/>
        <w:topLinePunct w:val="0"/>
        <w:bidi w:val="0"/>
        <w:spacing w:line="4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附件：废标条件</w:t>
      </w:r>
    </w:p>
    <w:p w14:paraId="44C47350">
      <w:pPr>
        <w:pageBreakBefore w:val="0"/>
        <w:kinsoku/>
        <w:wordWrap/>
        <w:overflowPunct/>
        <w:topLinePunct w:val="0"/>
        <w:bidi w:val="0"/>
        <w:spacing w:line="400" w:lineRule="exact"/>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废标条件</w:t>
      </w:r>
    </w:p>
    <w:p w14:paraId="449CD6B1">
      <w:pPr>
        <w:pageBreakBefore w:val="0"/>
        <w:kinsoku/>
        <w:wordWrap/>
        <w:overflowPunct/>
        <w:topLinePunct w:val="0"/>
        <w:bidi w:val="0"/>
        <w:spacing w:line="360" w:lineRule="auto"/>
        <w:ind w:firstLine="480" w:firstLineChars="200"/>
        <w:rPr>
          <w:rFonts w:hint="eastAsia" w:ascii="宋体" w:hAnsi="宋体" w:eastAsia="宋体" w:cs="宋体"/>
          <w:b w:val="0"/>
          <w:bCs/>
          <w:color w:val="000000"/>
          <w:sz w:val="24"/>
          <w:szCs w:val="24"/>
        </w:rPr>
      </w:pPr>
    </w:p>
    <w:p w14:paraId="1DB1592E">
      <w:pPr>
        <w:pageBreakBefore w:val="0"/>
        <w:kinsoku/>
        <w:wordWrap/>
        <w:overflowPunct/>
        <w:topLinePunct w:val="0"/>
        <w:bidi w:val="0"/>
        <w:spacing w:line="360" w:lineRule="auto"/>
        <w:ind w:firstLine="480" w:firstLineChars="200"/>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本附件所集中列示的废标条件，是本章“</w:t>
      </w:r>
      <w:r>
        <w:rPr>
          <w:rFonts w:hint="eastAsia" w:ascii="宋体" w:hAnsi="宋体" w:eastAsia="宋体" w:cs="宋体"/>
          <w:color w:val="auto"/>
          <w:sz w:val="24"/>
          <w:szCs w:val="24"/>
          <w:lang w:val="en-US" w:eastAsia="zh-CN"/>
        </w:rPr>
        <w:t>评审</w:t>
      </w:r>
      <w:r>
        <w:rPr>
          <w:rFonts w:hint="eastAsia" w:ascii="宋体" w:hAnsi="宋体" w:eastAsia="宋体" w:cs="宋体"/>
          <w:b w:val="0"/>
          <w:bCs/>
          <w:color w:val="000000"/>
          <w:sz w:val="24"/>
          <w:szCs w:val="24"/>
        </w:rPr>
        <w:t>办法”的组成部分，是对第二章“</w:t>
      </w:r>
      <w:r>
        <w:rPr>
          <w:rFonts w:hint="eastAsia" w:ascii="宋体" w:hAnsi="宋体" w:eastAsia="宋体" w:cs="宋体"/>
          <w:b w:val="0"/>
          <w:bCs/>
          <w:color w:val="000000"/>
          <w:sz w:val="24"/>
          <w:szCs w:val="24"/>
          <w:lang w:eastAsia="zh-CN"/>
        </w:rPr>
        <w:t>供应商</w:t>
      </w:r>
      <w:r>
        <w:rPr>
          <w:rFonts w:hint="eastAsia" w:ascii="宋体" w:hAnsi="宋体" w:eastAsia="宋体" w:cs="宋体"/>
          <w:b w:val="0"/>
          <w:bCs/>
          <w:color w:val="000000"/>
          <w:sz w:val="24"/>
          <w:szCs w:val="24"/>
        </w:rPr>
        <w:t>须知”和本章正文部分所规定的废标条件的总结和补充，如果出现相互矛盾的情况，以第二章“</w:t>
      </w:r>
      <w:r>
        <w:rPr>
          <w:rFonts w:hint="eastAsia" w:ascii="宋体" w:hAnsi="宋体" w:eastAsia="宋体" w:cs="宋体"/>
          <w:b w:val="0"/>
          <w:bCs/>
          <w:color w:val="000000"/>
          <w:sz w:val="24"/>
          <w:szCs w:val="24"/>
          <w:lang w:eastAsia="zh-CN"/>
        </w:rPr>
        <w:t>供应商</w:t>
      </w:r>
      <w:r>
        <w:rPr>
          <w:rFonts w:hint="eastAsia" w:ascii="宋体" w:hAnsi="宋体" w:eastAsia="宋体" w:cs="宋体"/>
          <w:b w:val="0"/>
          <w:bCs/>
          <w:color w:val="000000"/>
          <w:sz w:val="24"/>
          <w:szCs w:val="24"/>
        </w:rPr>
        <w:t>须知”和本章正文部分的规定为准。</w:t>
      </w:r>
    </w:p>
    <w:p w14:paraId="5BD223B8">
      <w:pPr>
        <w:pageBreakBefore w:val="0"/>
        <w:kinsoku/>
        <w:wordWrap/>
        <w:overflowPunct/>
        <w:topLinePunct w:val="0"/>
        <w:bidi w:val="0"/>
        <w:spacing w:line="360" w:lineRule="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1.未通过第三章</w:t>
      </w:r>
      <w:r>
        <w:rPr>
          <w:rFonts w:hint="eastAsia" w:ascii="宋体" w:hAnsi="宋体" w:eastAsia="宋体" w:cs="宋体"/>
          <w:color w:val="auto"/>
          <w:sz w:val="24"/>
          <w:szCs w:val="24"/>
          <w:lang w:val="en-US" w:eastAsia="zh-CN"/>
        </w:rPr>
        <w:t>评审</w:t>
      </w:r>
      <w:r>
        <w:rPr>
          <w:rFonts w:hint="eastAsia" w:ascii="宋体" w:hAnsi="宋体" w:eastAsia="宋体" w:cs="宋体"/>
          <w:b w:val="0"/>
          <w:bCs/>
          <w:color w:val="000000"/>
          <w:sz w:val="24"/>
          <w:szCs w:val="24"/>
        </w:rPr>
        <w:t>办法</w:t>
      </w:r>
      <w:r>
        <w:rPr>
          <w:rFonts w:hint="eastAsia" w:ascii="宋体" w:hAnsi="宋体" w:eastAsia="宋体" w:cs="宋体"/>
          <w:b w:val="0"/>
          <w:bCs/>
          <w:color w:val="000000"/>
          <w:sz w:val="24"/>
          <w:szCs w:val="24"/>
          <w:lang w:eastAsia="zh-CN"/>
        </w:rPr>
        <w:t>资格评审、符合性评审的</w:t>
      </w:r>
      <w:r>
        <w:rPr>
          <w:rFonts w:hint="eastAsia" w:ascii="宋体" w:hAnsi="宋体" w:eastAsia="宋体" w:cs="宋体"/>
          <w:b w:val="0"/>
          <w:bCs/>
          <w:color w:val="000000"/>
          <w:sz w:val="24"/>
          <w:szCs w:val="24"/>
        </w:rPr>
        <w:t xml:space="preserve">； </w:t>
      </w:r>
    </w:p>
    <w:p w14:paraId="4A10697B">
      <w:pPr>
        <w:pageBreakBefore w:val="0"/>
        <w:kinsoku/>
        <w:wordWrap/>
        <w:overflowPunct/>
        <w:topLinePunct w:val="0"/>
        <w:bidi w:val="0"/>
        <w:spacing w:line="360" w:lineRule="auto"/>
        <w:ind w:firstLine="240" w:firstLineChars="100"/>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r>
        <w:rPr>
          <w:rFonts w:hint="eastAsia" w:ascii="宋体" w:hAnsi="宋体" w:eastAsia="宋体" w:cs="宋体"/>
          <w:b w:val="0"/>
          <w:bCs/>
          <w:color w:val="000000"/>
          <w:sz w:val="24"/>
          <w:szCs w:val="24"/>
          <w:lang w:val="en-US" w:eastAsia="zh-CN"/>
        </w:rPr>
        <w:t>2</w:t>
      </w:r>
      <w:r>
        <w:rPr>
          <w:rFonts w:hint="eastAsia" w:ascii="宋体" w:hAnsi="宋体" w:eastAsia="宋体" w:cs="宋体"/>
          <w:b w:val="0"/>
          <w:bCs/>
          <w:color w:val="000000"/>
          <w:sz w:val="24"/>
          <w:szCs w:val="24"/>
        </w:rPr>
        <w:t>.不按</w:t>
      </w:r>
      <w:r>
        <w:rPr>
          <w:rFonts w:hint="eastAsia" w:ascii="宋体" w:hAnsi="宋体" w:eastAsia="宋体" w:cs="宋体"/>
          <w:b w:val="0"/>
          <w:bCs/>
          <w:color w:val="000000"/>
          <w:sz w:val="24"/>
          <w:szCs w:val="24"/>
          <w:lang w:eastAsia="zh-CN"/>
        </w:rPr>
        <w:t>磋商小组</w:t>
      </w:r>
      <w:r>
        <w:rPr>
          <w:rFonts w:hint="eastAsia" w:ascii="宋体" w:hAnsi="宋体" w:eastAsia="宋体" w:cs="宋体"/>
          <w:b w:val="0"/>
          <w:bCs/>
          <w:color w:val="000000"/>
          <w:sz w:val="24"/>
          <w:szCs w:val="24"/>
        </w:rPr>
        <w:t>要求澄清、说明或补正的；</w:t>
      </w:r>
    </w:p>
    <w:p w14:paraId="79646AC3">
      <w:pPr>
        <w:pageBreakBefore w:val="0"/>
        <w:kinsoku/>
        <w:wordWrap/>
        <w:overflowPunct/>
        <w:topLinePunct w:val="0"/>
        <w:bidi w:val="0"/>
        <w:spacing w:line="360" w:lineRule="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r>
        <w:rPr>
          <w:rFonts w:hint="eastAsia" w:ascii="宋体" w:hAnsi="宋体" w:eastAsia="宋体" w:cs="宋体"/>
          <w:b w:val="0"/>
          <w:bCs/>
          <w:color w:val="000000"/>
          <w:sz w:val="24"/>
          <w:szCs w:val="24"/>
          <w:lang w:val="en-US" w:eastAsia="zh-CN"/>
        </w:rPr>
        <w:t>3</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lang w:eastAsia="zh-CN"/>
        </w:rPr>
        <w:t>磋商</w:t>
      </w:r>
      <w:r>
        <w:rPr>
          <w:rFonts w:hint="eastAsia" w:ascii="宋体" w:hAnsi="宋体" w:eastAsia="宋体" w:cs="宋体"/>
          <w:b w:val="0"/>
          <w:bCs/>
          <w:color w:val="000000"/>
          <w:sz w:val="24"/>
          <w:szCs w:val="24"/>
        </w:rPr>
        <w:t>报价有算术性错误，</w:t>
      </w:r>
      <w:r>
        <w:rPr>
          <w:rFonts w:hint="eastAsia" w:ascii="宋体" w:hAnsi="宋体" w:eastAsia="宋体" w:cs="宋体"/>
          <w:b w:val="0"/>
          <w:bCs/>
          <w:color w:val="000000"/>
          <w:sz w:val="24"/>
          <w:szCs w:val="24"/>
          <w:lang w:val="en-US" w:eastAsia="zh-CN"/>
        </w:rPr>
        <w:t>供应商</w:t>
      </w:r>
      <w:r>
        <w:rPr>
          <w:rFonts w:hint="eastAsia" w:ascii="宋体" w:hAnsi="宋体" w:eastAsia="宋体" w:cs="宋体"/>
          <w:b w:val="0"/>
          <w:bCs/>
          <w:color w:val="000000"/>
          <w:sz w:val="24"/>
          <w:szCs w:val="24"/>
        </w:rPr>
        <w:t>不接受修正价格的；</w:t>
      </w:r>
    </w:p>
    <w:p w14:paraId="37F20570">
      <w:pPr>
        <w:pageBreakBefore w:val="0"/>
        <w:kinsoku/>
        <w:wordWrap/>
        <w:overflowPunct/>
        <w:topLinePunct w:val="0"/>
        <w:bidi w:val="0"/>
        <w:spacing w:line="360" w:lineRule="auto"/>
        <w:ind w:firstLine="480" w:firstLineChars="200"/>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4</w:t>
      </w:r>
      <w:r>
        <w:rPr>
          <w:rFonts w:hint="eastAsia" w:ascii="宋体" w:hAnsi="宋体" w:eastAsia="宋体" w:cs="宋体"/>
          <w:b w:val="0"/>
          <w:bCs/>
          <w:color w:val="000000"/>
          <w:sz w:val="24"/>
          <w:szCs w:val="24"/>
        </w:rPr>
        <w:t>.以他人的名义投标、以行贿手段谋取</w:t>
      </w:r>
      <w:r>
        <w:rPr>
          <w:rFonts w:hint="eastAsia" w:ascii="宋体" w:hAnsi="宋体" w:eastAsia="宋体" w:cs="宋体"/>
          <w:b w:val="0"/>
          <w:bCs/>
          <w:color w:val="000000"/>
          <w:sz w:val="24"/>
          <w:szCs w:val="24"/>
          <w:lang w:val="en-US" w:eastAsia="zh-CN"/>
        </w:rPr>
        <w:t>成交</w:t>
      </w:r>
      <w:r>
        <w:rPr>
          <w:rFonts w:hint="eastAsia" w:ascii="宋体" w:hAnsi="宋体" w:eastAsia="宋体" w:cs="宋体"/>
          <w:b w:val="0"/>
          <w:bCs/>
          <w:color w:val="000000"/>
          <w:sz w:val="24"/>
          <w:szCs w:val="24"/>
        </w:rPr>
        <w:t>或者以其他弄虚作假方式投标的；</w:t>
      </w:r>
    </w:p>
    <w:p w14:paraId="50B69714">
      <w:pPr>
        <w:pageBreakBefore w:val="0"/>
        <w:kinsoku/>
        <w:wordWrap/>
        <w:overflowPunct/>
        <w:topLinePunct w:val="0"/>
        <w:bidi w:val="0"/>
        <w:spacing w:line="360" w:lineRule="auto"/>
        <w:ind w:firstLine="480" w:firstLineChars="200"/>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5</w:t>
      </w:r>
      <w:r>
        <w:rPr>
          <w:rFonts w:hint="eastAsia" w:ascii="宋体" w:hAnsi="宋体" w:eastAsia="宋体" w:cs="宋体"/>
          <w:b w:val="0"/>
          <w:bCs/>
          <w:color w:val="000000"/>
          <w:sz w:val="24"/>
          <w:szCs w:val="24"/>
        </w:rPr>
        <w:t>.属于串（围）标行为的；</w:t>
      </w:r>
    </w:p>
    <w:p w14:paraId="65983023">
      <w:pPr>
        <w:pageBreakBefore w:val="0"/>
        <w:kinsoku/>
        <w:wordWrap/>
        <w:overflowPunct/>
        <w:topLinePunct w:val="0"/>
        <w:bidi w:val="0"/>
        <w:spacing w:line="360" w:lineRule="auto"/>
        <w:ind w:firstLine="480" w:firstLineChars="200"/>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6</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lang w:val="en-US" w:eastAsia="zh-CN"/>
        </w:rPr>
        <w:t>磋商小组</w:t>
      </w:r>
      <w:r>
        <w:rPr>
          <w:rFonts w:hint="eastAsia" w:ascii="宋体" w:hAnsi="宋体" w:eastAsia="宋体" w:cs="宋体"/>
          <w:b w:val="0"/>
          <w:bCs/>
          <w:color w:val="000000"/>
          <w:sz w:val="24"/>
          <w:szCs w:val="24"/>
        </w:rPr>
        <w:t>认定</w:t>
      </w:r>
      <w:r>
        <w:rPr>
          <w:rFonts w:hint="eastAsia" w:ascii="宋体" w:hAnsi="宋体" w:eastAsia="宋体" w:cs="宋体"/>
          <w:b w:val="0"/>
          <w:bCs/>
          <w:color w:val="000000"/>
          <w:sz w:val="24"/>
          <w:szCs w:val="24"/>
          <w:lang w:val="en-US" w:eastAsia="zh-CN"/>
        </w:rPr>
        <w:t>供应商</w:t>
      </w:r>
      <w:r>
        <w:rPr>
          <w:rFonts w:hint="eastAsia" w:ascii="宋体" w:hAnsi="宋体" w:eastAsia="宋体" w:cs="宋体"/>
          <w:b w:val="0"/>
          <w:bCs/>
          <w:color w:val="000000"/>
          <w:sz w:val="24"/>
          <w:szCs w:val="24"/>
        </w:rPr>
        <w:t>以低于成本报价竞标的；</w:t>
      </w:r>
    </w:p>
    <w:p w14:paraId="7079BC0B">
      <w:pPr>
        <w:pageBreakBefore w:val="0"/>
        <w:kinsoku/>
        <w:wordWrap/>
        <w:overflowPunct/>
        <w:topLinePunct w:val="0"/>
        <w:bidi w:val="0"/>
        <w:spacing w:line="360" w:lineRule="auto"/>
        <w:ind w:firstLine="480" w:firstLineChars="200"/>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7.文件制作机器码、文件创建标识码有相同的；</w:t>
      </w:r>
    </w:p>
    <w:p w14:paraId="445DE420">
      <w:pPr>
        <w:spacing w:line="360" w:lineRule="auto"/>
        <w:ind w:firstLine="480" w:firstLineChars="200"/>
        <w:rPr>
          <w:rFonts w:hint="eastAsia" w:ascii="宋体" w:hAnsi="宋体" w:eastAsia="宋体" w:cs="宋体"/>
          <w:b w:val="0"/>
          <w:bCs/>
          <w:color w:val="auto"/>
          <w:sz w:val="24"/>
          <w:szCs w:val="24"/>
        </w:rPr>
      </w:pPr>
      <w:r>
        <w:rPr>
          <w:rFonts w:hint="eastAsia" w:ascii="宋体" w:hAnsi="宋体" w:eastAsia="宋体" w:cs="宋体"/>
          <w:b w:val="0"/>
          <w:bCs/>
          <w:color w:val="000000"/>
          <w:sz w:val="24"/>
          <w:szCs w:val="24"/>
          <w:lang w:val="en-US" w:eastAsia="zh-CN"/>
        </w:rPr>
        <w:t>8</w:t>
      </w:r>
      <w:r>
        <w:rPr>
          <w:rFonts w:hint="eastAsia" w:ascii="宋体" w:hAnsi="宋体" w:eastAsia="宋体" w:cs="宋体"/>
          <w:b w:val="0"/>
          <w:bCs/>
          <w:color w:val="000000"/>
          <w:sz w:val="24"/>
          <w:szCs w:val="24"/>
        </w:rPr>
        <w:t>．不符合</w:t>
      </w:r>
      <w:r>
        <w:rPr>
          <w:rFonts w:hint="eastAsia" w:ascii="宋体" w:hAnsi="宋体" w:eastAsia="宋体" w:cs="宋体"/>
          <w:b w:val="0"/>
          <w:bCs/>
          <w:color w:val="000000"/>
          <w:sz w:val="24"/>
          <w:szCs w:val="24"/>
          <w:lang w:eastAsia="zh-CN"/>
        </w:rPr>
        <w:t>竞争性磋商</w:t>
      </w:r>
      <w:r>
        <w:rPr>
          <w:rFonts w:hint="eastAsia" w:ascii="宋体" w:hAnsi="宋体" w:eastAsia="宋体" w:cs="宋体"/>
          <w:b w:val="0"/>
          <w:bCs/>
          <w:color w:val="000000"/>
          <w:sz w:val="24"/>
          <w:szCs w:val="24"/>
        </w:rPr>
        <w:t>文件规定的其他实质性要求及相关</w:t>
      </w:r>
      <w:r>
        <w:rPr>
          <w:rFonts w:hint="eastAsia" w:ascii="宋体" w:hAnsi="宋体" w:cs="宋体"/>
          <w:b w:val="0"/>
          <w:bCs/>
          <w:color w:val="000000"/>
          <w:sz w:val="24"/>
          <w:szCs w:val="24"/>
          <w:lang w:eastAsia="zh-CN"/>
        </w:rPr>
        <w:t>法律法规</w:t>
      </w:r>
      <w:r>
        <w:rPr>
          <w:rFonts w:hint="eastAsia" w:ascii="宋体" w:hAnsi="宋体" w:eastAsia="宋体" w:cs="宋体"/>
          <w:b w:val="0"/>
          <w:bCs/>
          <w:color w:val="000000"/>
          <w:sz w:val="24"/>
          <w:szCs w:val="24"/>
        </w:rPr>
        <w:t>或规章规定可以废标的其他情形。</w:t>
      </w:r>
    </w:p>
    <w:p w14:paraId="0F3E9CAE">
      <w:pPr>
        <w:keepNext w:val="0"/>
        <w:keepLines w:val="0"/>
        <w:widowControl/>
        <w:suppressLineNumbers w:val="0"/>
        <w:spacing w:line="360" w:lineRule="auto"/>
        <w:ind w:firstLine="480" w:firstLineChars="200"/>
        <w:jc w:val="left"/>
        <w:rPr>
          <w:rFonts w:hint="eastAsia" w:ascii="宋体" w:hAnsi="宋体" w:eastAsia="宋体" w:cs="宋体"/>
          <w:b w:val="0"/>
          <w:bCs/>
          <w:color w:val="auto"/>
          <w:sz w:val="21"/>
          <w:szCs w:val="21"/>
          <w:lang w:eastAsia="zh-CN"/>
        </w:rPr>
      </w:pPr>
      <w:r>
        <w:rPr>
          <w:rFonts w:hint="eastAsia" w:ascii="宋体" w:hAnsi="宋体" w:eastAsia="宋体" w:cs="宋体"/>
          <w:b w:val="0"/>
          <w:bCs/>
          <w:color w:val="auto"/>
          <w:kern w:val="0"/>
          <w:sz w:val="24"/>
          <w:szCs w:val="24"/>
          <w:lang w:val="en-US" w:eastAsia="zh-CN" w:bidi="ar"/>
        </w:rPr>
        <w:t>备注：按照《信阳市财政局关于印发信阳市政府采购行为规范的通知》（信财购〔2018〕2号）第五十八条“对于响应文件中非实质性响应条款或不影响采购项目实质性履行的响应文件缺陷，经过采购人认定不影响项目实施的，可以澄清后继续评审的，评审专家不得随意废标。”，</w:t>
      </w:r>
      <w:r>
        <w:rPr>
          <w:rFonts w:hint="eastAsia" w:ascii="宋体" w:hAnsi="宋体" w:eastAsia="宋体" w:cs="宋体"/>
          <w:b w:val="0"/>
          <w:bCs/>
          <w:color w:val="auto"/>
          <w:sz w:val="24"/>
          <w:szCs w:val="24"/>
        </w:rPr>
        <w:t>采购人和代理机构认为不影响实质性响应和公平公正的，可以要求评审小组对该项目继续评审，并由采购人和代理机构做好相关事实、依据记录，采购人和代理机构对继续评审的决定负责</w:t>
      </w:r>
      <w:r>
        <w:rPr>
          <w:rFonts w:hint="eastAsia" w:ascii="宋体" w:hAnsi="宋体" w:eastAsia="宋体" w:cs="宋体"/>
          <w:b w:val="0"/>
          <w:bCs/>
          <w:color w:val="auto"/>
          <w:sz w:val="24"/>
          <w:szCs w:val="24"/>
          <w:lang w:eastAsia="zh-CN"/>
        </w:rPr>
        <w:t>。</w:t>
      </w:r>
    </w:p>
    <w:p w14:paraId="1E413A29">
      <w:pPr>
        <w:spacing w:line="360" w:lineRule="auto"/>
        <w:jc w:val="center"/>
        <w:rPr>
          <w:rFonts w:hint="eastAsia" w:ascii="宋体" w:hAnsi="宋体" w:eastAsia="宋体" w:cs="宋体"/>
          <w:b/>
          <w:color w:val="auto"/>
          <w:sz w:val="32"/>
          <w:szCs w:val="32"/>
          <w:highlight w:val="none"/>
        </w:rPr>
      </w:pPr>
    </w:p>
    <w:p w14:paraId="6FEEB9D5">
      <w:pPr>
        <w:pStyle w:val="55"/>
        <w:rPr>
          <w:rFonts w:hint="eastAsia" w:ascii="宋体" w:hAnsi="宋体" w:eastAsia="宋体" w:cs="宋体"/>
          <w:b/>
          <w:color w:val="auto"/>
          <w:sz w:val="32"/>
          <w:szCs w:val="32"/>
          <w:highlight w:val="none"/>
        </w:rPr>
      </w:pPr>
    </w:p>
    <w:p w14:paraId="24B1CE69">
      <w:pPr>
        <w:pStyle w:val="8"/>
        <w:rPr>
          <w:rFonts w:hint="eastAsia" w:ascii="宋体" w:hAnsi="宋体" w:eastAsia="宋体" w:cs="宋体"/>
          <w:b/>
          <w:color w:val="auto"/>
          <w:sz w:val="32"/>
          <w:szCs w:val="32"/>
          <w:highlight w:val="none"/>
        </w:rPr>
      </w:pPr>
    </w:p>
    <w:p w14:paraId="05CAD2AC">
      <w:pPr>
        <w:rPr>
          <w:rFonts w:hint="eastAsia" w:ascii="宋体" w:hAnsi="宋体" w:eastAsia="宋体" w:cs="宋体"/>
          <w:b/>
          <w:color w:val="auto"/>
          <w:sz w:val="32"/>
          <w:szCs w:val="32"/>
          <w:highlight w:val="none"/>
        </w:rPr>
      </w:pPr>
    </w:p>
    <w:p w14:paraId="5198498D">
      <w:pPr>
        <w:pStyle w:val="31"/>
        <w:ind w:left="0" w:leftChars="0" w:firstLine="0" w:firstLineChars="0"/>
        <w:rPr>
          <w:rFonts w:hint="eastAsia" w:ascii="宋体" w:hAnsi="宋体" w:eastAsia="宋体" w:cs="宋体"/>
          <w:b/>
          <w:color w:val="auto"/>
          <w:sz w:val="32"/>
          <w:szCs w:val="32"/>
          <w:highlight w:val="none"/>
        </w:rPr>
      </w:pPr>
    </w:p>
    <w:p w14:paraId="45A696A9">
      <w:pPr>
        <w:rPr>
          <w:rFonts w:hint="eastAsia" w:ascii="宋体" w:hAnsi="宋体" w:eastAsia="宋体" w:cs="宋体"/>
          <w:b/>
          <w:color w:val="auto"/>
          <w:sz w:val="32"/>
          <w:szCs w:val="32"/>
          <w:highlight w:val="none"/>
        </w:rPr>
      </w:pPr>
    </w:p>
    <w:p w14:paraId="7586CFF5">
      <w:pPr>
        <w:pStyle w:val="2"/>
        <w:rPr>
          <w:rFonts w:hint="eastAsia" w:ascii="宋体" w:hAnsi="宋体" w:eastAsia="宋体" w:cs="宋体"/>
          <w:b/>
          <w:color w:val="auto"/>
          <w:sz w:val="32"/>
          <w:szCs w:val="32"/>
          <w:highlight w:val="none"/>
        </w:rPr>
      </w:pPr>
    </w:p>
    <w:p w14:paraId="0757B22C">
      <w:pPr>
        <w:pStyle w:val="49"/>
        <w:rPr>
          <w:rFonts w:hint="eastAsia" w:ascii="宋体" w:hAnsi="宋体" w:eastAsia="宋体" w:cs="宋体"/>
          <w:b/>
          <w:color w:val="auto"/>
          <w:sz w:val="32"/>
          <w:szCs w:val="32"/>
          <w:highlight w:val="none"/>
        </w:rPr>
      </w:pPr>
    </w:p>
    <w:p w14:paraId="7E9502F5">
      <w:pPr>
        <w:pStyle w:val="32"/>
        <w:ind w:left="0" w:leftChars="0" w:firstLine="0" w:firstLineChars="0"/>
        <w:rPr>
          <w:rFonts w:hint="eastAsia" w:ascii="宋体" w:hAnsi="宋体" w:eastAsia="宋体" w:cs="宋体"/>
        </w:rPr>
      </w:pPr>
    </w:p>
    <w:p w14:paraId="30213668">
      <w:pPr>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第四章</w:t>
      </w:r>
      <w:r>
        <w:rPr>
          <w:rFonts w:hint="eastAsia" w:ascii="宋体" w:hAnsi="宋体" w:eastAsia="宋体" w:cs="宋体"/>
          <w:b/>
          <w:color w:val="auto"/>
          <w:sz w:val="32"/>
          <w:szCs w:val="32"/>
          <w:highlight w:val="none"/>
          <w:lang w:val="en-US" w:eastAsia="zh-CN"/>
        </w:rPr>
        <w:t xml:space="preserve"> </w:t>
      </w:r>
      <w:r>
        <w:rPr>
          <w:rFonts w:hint="eastAsia" w:ascii="宋体" w:hAnsi="宋体" w:eastAsia="宋体" w:cs="宋体"/>
          <w:b/>
          <w:color w:val="auto"/>
          <w:sz w:val="32"/>
          <w:szCs w:val="32"/>
          <w:highlight w:val="none"/>
        </w:rPr>
        <w:t>合同主要条款</w:t>
      </w:r>
      <w:r>
        <w:rPr>
          <w:rFonts w:hint="eastAsia" w:ascii="宋体" w:hAnsi="宋体" w:eastAsia="宋体" w:cs="宋体"/>
          <w:b/>
          <w:color w:val="auto"/>
          <w:sz w:val="32"/>
          <w:szCs w:val="32"/>
          <w:highlight w:val="none"/>
          <w:lang w:eastAsia="zh-CN"/>
        </w:rPr>
        <w:t>及格式</w:t>
      </w:r>
    </w:p>
    <w:p w14:paraId="0CBDBBBC">
      <w:pPr>
        <w:spacing w:line="360" w:lineRule="auto"/>
        <w:jc w:val="center"/>
        <w:rPr>
          <w:rFonts w:hint="eastAsia" w:ascii="宋体" w:hAnsi="宋体" w:cs="宋体"/>
          <w:color w:val="auto"/>
          <w:sz w:val="36"/>
          <w:szCs w:val="36"/>
        </w:rPr>
      </w:pPr>
      <w:r>
        <w:rPr>
          <w:rFonts w:hint="eastAsia" w:ascii="宋体" w:hAnsi="宋体" w:cs="宋体"/>
          <w:color w:val="auto"/>
          <w:sz w:val="36"/>
          <w:szCs w:val="36"/>
        </w:rPr>
        <w:t>合同条款及格式</w:t>
      </w:r>
    </w:p>
    <w:p w14:paraId="5412C680">
      <w:pPr>
        <w:spacing w:line="360" w:lineRule="auto"/>
        <w:jc w:val="center"/>
        <w:rPr>
          <w:rFonts w:hint="eastAsia" w:ascii="宋体" w:hAnsi="宋体" w:cs="宋体"/>
          <w:color w:val="auto"/>
          <w:sz w:val="24"/>
          <w:szCs w:val="24"/>
        </w:rPr>
      </w:pPr>
      <w:r>
        <w:rPr>
          <w:rFonts w:hint="eastAsia" w:ascii="宋体" w:hAnsi="宋体" w:cs="宋体"/>
          <w:color w:val="auto"/>
          <w:sz w:val="24"/>
          <w:szCs w:val="24"/>
        </w:rPr>
        <w:t>（仅供参考，最终以实际签订的合同条款为准）</w:t>
      </w:r>
    </w:p>
    <w:p w14:paraId="4A783788">
      <w:pPr>
        <w:spacing w:line="360" w:lineRule="auto"/>
        <w:ind w:firstLine="477" w:firstLineChars="199"/>
        <w:jc w:val="left"/>
        <w:rPr>
          <w:rFonts w:hint="eastAsia" w:ascii="宋体" w:hAnsi="宋体" w:cs="宋体"/>
          <w:color w:val="auto"/>
          <w:sz w:val="24"/>
          <w:szCs w:val="24"/>
          <w:u w:val="single"/>
        </w:rPr>
      </w:pPr>
      <w:r>
        <w:rPr>
          <w:rFonts w:hint="eastAsia" w:ascii="宋体" w:hAnsi="宋体" w:cs="宋体"/>
          <w:color w:val="auto"/>
          <w:sz w:val="24"/>
          <w:szCs w:val="24"/>
        </w:rPr>
        <w:t>甲方（采购人）:</w:t>
      </w:r>
      <w:r>
        <w:rPr>
          <w:rFonts w:hint="eastAsia" w:ascii="宋体" w:hAnsi="宋体" w:cs="宋体"/>
          <w:color w:val="auto"/>
          <w:sz w:val="24"/>
          <w:szCs w:val="24"/>
          <w:u w:val="single"/>
        </w:rPr>
        <w:t xml:space="preserve">                                  </w:t>
      </w:r>
    </w:p>
    <w:p w14:paraId="20B9C75A">
      <w:pPr>
        <w:spacing w:line="360" w:lineRule="auto"/>
        <w:ind w:firstLine="477" w:firstLineChars="199"/>
        <w:jc w:val="left"/>
        <w:rPr>
          <w:rFonts w:hint="eastAsia" w:ascii="宋体" w:hAnsi="宋体" w:cs="宋体"/>
          <w:color w:val="auto"/>
          <w:sz w:val="24"/>
          <w:szCs w:val="24"/>
          <w:u w:val="single"/>
        </w:rPr>
      </w:pPr>
      <w:r>
        <w:rPr>
          <w:rFonts w:hint="eastAsia" w:ascii="宋体" w:hAnsi="宋体" w:cs="宋体"/>
          <w:color w:val="auto"/>
          <w:sz w:val="24"/>
          <w:szCs w:val="24"/>
        </w:rPr>
        <w:t>乙方（成交人）：</w:t>
      </w:r>
      <w:r>
        <w:rPr>
          <w:rFonts w:hint="eastAsia" w:ascii="宋体" w:hAnsi="宋体" w:cs="宋体"/>
          <w:color w:val="auto"/>
          <w:sz w:val="24"/>
          <w:szCs w:val="24"/>
          <w:u w:val="single"/>
        </w:rPr>
        <w:t xml:space="preserve">                                 </w:t>
      </w:r>
    </w:p>
    <w:p w14:paraId="36D317A7">
      <w:pPr>
        <w:spacing w:line="360" w:lineRule="auto"/>
        <w:ind w:firstLine="477" w:firstLineChars="199"/>
        <w:jc w:val="left"/>
        <w:rPr>
          <w:rFonts w:hint="eastAsia" w:ascii="宋体" w:hAnsi="宋体" w:cs="宋体"/>
          <w:color w:val="auto"/>
          <w:sz w:val="24"/>
          <w:szCs w:val="24"/>
        </w:rPr>
      </w:pPr>
      <w:r>
        <w:rPr>
          <w:rFonts w:hint="eastAsia" w:ascii="宋体" w:hAnsi="宋体" w:cs="宋体"/>
          <w:color w:val="auto"/>
          <w:sz w:val="24"/>
          <w:szCs w:val="24"/>
        </w:rPr>
        <w:t>根据《中华人民共和国政府采购法》、《中华人民共和国</w:t>
      </w:r>
      <w:r>
        <w:rPr>
          <w:rFonts w:hint="eastAsia" w:ascii="宋体" w:hAnsi="宋体" w:cs="宋体"/>
          <w:color w:val="auto"/>
          <w:sz w:val="24"/>
          <w:szCs w:val="24"/>
          <w:lang w:val="en-US" w:eastAsia="zh-CN"/>
        </w:rPr>
        <w:t>民法典</w:t>
      </w:r>
      <w:r>
        <w:rPr>
          <w:rFonts w:hint="eastAsia" w:ascii="宋体" w:hAnsi="宋体" w:cs="宋体"/>
          <w:color w:val="auto"/>
          <w:sz w:val="24"/>
          <w:szCs w:val="24"/>
        </w:rPr>
        <w:t>》等相关法律，甲、乙双方就编制</w:t>
      </w:r>
      <w:r>
        <w:rPr>
          <w:rFonts w:hint="eastAsia" w:ascii="宋体" w:hAnsi="宋体" w:cs="宋体"/>
          <w:color w:val="auto"/>
          <w:sz w:val="24"/>
          <w:szCs w:val="24"/>
          <w:u w:val="single"/>
        </w:rPr>
        <w:t xml:space="preserve">                （项目名称）</w:t>
      </w:r>
      <w:r>
        <w:rPr>
          <w:rFonts w:hint="eastAsia" w:ascii="宋体" w:hAnsi="宋体" w:cs="宋体"/>
          <w:color w:val="auto"/>
          <w:sz w:val="24"/>
          <w:szCs w:val="24"/>
        </w:rPr>
        <w:t>招标项目，经平等协商达成合同如下：</w:t>
      </w:r>
    </w:p>
    <w:p w14:paraId="3617653A">
      <w:pPr>
        <w:spacing w:line="360" w:lineRule="auto"/>
        <w:jc w:val="left"/>
        <w:rPr>
          <w:rFonts w:hint="eastAsia" w:ascii="宋体" w:hAnsi="宋体" w:cs="宋体"/>
          <w:color w:val="auto"/>
          <w:sz w:val="24"/>
          <w:szCs w:val="24"/>
        </w:rPr>
      </w:pPr>
      <w:r>
        <w:rPr>
          <w:rFonts w:hint="eastAsia" w:ascii="宋体" w:hAnsi="宋体" w:cs="宋体"/>
          <w:color w:val="auto"/>
          <w:sz w:val="24"/>
          <w:szCs w:val="24"/>
        </w:rPr>
        <w:t>一、合同文件</w:t>
      </w:r>
    </w:p>
    <w:p w14:paraId="347AF1C5">
      <w:pPr>
        <w:spacing w:line="360" w:lineRule="auto"/>
        <w:jc w:val="left"/>
        <w:rPr>
          <w:rFonts w:hint="eastAsia" w:ascii="宋体" w:hAnsi="宋体" w:cs="宋体"/>
          <w:color w:val="auto"/>
          <w:sz w:val="24"/>
          <w:szCs w:val="24"/>
        </w:rPr>
      </w:pPr>
      <w:r>
        <w:rPr>
          <w:rFonts w:hint="eastAsia" w:ascii="宋体" w:hAnsi="宋体" w:cs="宋体"/>
          <w:color w:val="auto"/>
          <w:sz w:val="24"/>
          <w:szCs w:val="24"/>
        </w:rPr>
        <w:t>本合同所附下列文件是构成本合同不可分割的部分，组成合同的各项文件应互相解释，互为说明，解释合同文件的优先顺序如下：</w:t>
      </w:r>
    </w:p>
    <w:p w14:paraId="35D1D02C">
      <w:pPr>
        <w:spacing w:line="360" w:lineRule="auto"/>
        <w:jc w:val="left"/>
        <w:rPr>
          <w:rFonts w:hint="eastAsia" w:ascii="宋体" w:hAnsi="宋体" w:cs="宋体"/>
          <w:color w:val="auto"/>
          <w:sz w:val="24"/>
          <w:szCs w:val="24"/>
        </w:rPr>
      </w:pPr>
      <w:r>
        <w:rPr>
          <w:rFonts w:hint="eastAsia" w:ascii="宋体" w:hAnsi="宋体" w:cs="宋体"/>
          <w:color w:val="auto"/>
          <w:sz w:val="24"/>
          <w:szCs w:val="24"/>
        </w:rPr>
        <w:t>（一）合同格式以及合同条款</w:t>
      </w:r>
    </w:p>
    <w:p w14:paraId="46B07798">
      <w:pPr>
        <w:spacing w:line="360" w:lineRule="auto"/>
        <w:jc w:val="left"/>
        <w:rPr>
          <w:rFonts w:hint="eastAsia" w:ascii="宋体" w:hAnsi="宋体" w:cs="宋体"/>
          <w:color w:val="auto"/>
          <w:sz w:val="24"/>
          <w:szCs w:val="24"/>
        </w:rPr>
      </w:pPr>
      <w:r>
        <w:rPr>
          <w:rFonts w:hint="eastAsia" w:ascii="宋体" w:hAnsi="宋体" w:cs="宋体"/>
          <w:color w:val="auto"/>
          <w:sz w:val="24"/>
          <w:szCs w:val="24"/>
        </w:rPr>
        <w:t>（二）成交通知书</w:t>
      </w:r>
    </w:p>
    <w:p w14:paraId="66C26AC5">
      <w:pPr>
        <w:spacing w:line="360" w:lineRule="auto"/>
        <w:jc w:val="left"/>
        <w:rPr>
          <w:rFonts w:hint="eastAsia" w:ascii="宋体" w:hAnsi="宋体" w:cs="宋体"/>
          <w:color w:val="auto"/>
          <w:sz w:val="24"/>
          <w:szCs w:val="24"/>
        </w:rPr>
      </w:pPr>
      <w:r>
        <w:rPr>
          <w:rFonts w:hint="eastAsia" w:ascii="宋体" w:hAnsi="宋体" w:cs="宋体"/>
          <w:color w:val="auto"/>
          <w:sz w:val="24"/>
          <w:szCs w:val="24"/>
        </w:rPr>
        <w:t>（三）成交人在评审过程中做出的有关澄清、说明、承诺或者补正文件</w:t>
      </w:r>
    </w:p>
    <w:p w14:paraId="361EB864">
      <w:pPr>
        <w:spacing w:line="360" w:lineRule="auto"/>
        <w:jc w:val="left"/>
        <w:rPr>
          <w:rFonts w:hint="eastAsia" w:ascii="宋体" w:hAnsi="宋体" w:cs="宋体"/>
          <w:color w:val="auto"/>
          <w:sz w:val="24"/>
          <w:szCs w:val="24"/>
        </w:rPr>
      </w:pPr>
      <w:r>
        <w:rPr>
          <w:rFonts w:hint="eastAsia" w:ascii="宋体" w:hAnsi="宋体" w:cs="宋体"/>
          <w:color w:val="auto"/>
          <w:sz w:val="24"/>
          <w:szCs w:val="24"/>
        </w:rPr>
        <w:t>（四）成交人响应文件</w:t>
      </w:r>
    </w:p>
    <w:p w14:paraId="68A0AB8F">
      <w:pPr>
        <w:spacing w:line="360" w:lineRule="auto"/>
        <w:jc w:val="left"/>
        <w:rPr>
          <w:rFonts w:hint="eastAsia" w:ascii="宋体" w:hAnsi="宋体" w:cs="宋体"/>
          <w:color w:val="auto"/>
          <w:sz w:val="24"/>
          <w:szCs w:val="24"/>
        </w:rPr>
      </w:pPr>
      <w:r>
        <w:rPr>
          <w:rFonts w:hint="eastAsia" w:ascii="宋体" w:hAnsi="宋体" w:cs="宋体"/>
          <w:color w:val="auto"/>
          <w:sz w:val="24"/>
          <w:szCs w:val="24"/>
        </w:rPr>
        <w:t>（五）竞争性磋商文件</w:t>
      </w:r>
    </w:p>
    <w:p w14:paraId="1B646902">
      <w:pPr>
        <w:spacing w:line="360" w:lineRule="auto"/>
        <w:jc w:val="left"/>
        <w:rPr>
          <w:rFonts w:hint="eastAsia" w:ascii="宋体" w:hAnsi="宋体" w:cs="宋体"/>
          <w:color w:val="auto"/>
          <w:sz w:val="24"/>
          <w:szCs w:val="24"/>
        </w:rPr>
      </w:pPr>
      <w:r>
        <w:rPr>
          <w:rFonts w:hint="eastAsia" w:ascii="宋体" w:hAnsi="宋体" w:cs="宋体"/>
          <w:color w:val="auto"/>
          <w:sz w:val="24"/>
          <w:szCs w:val="24"/>
        </w:rPr>
        <w:t>（六）本合同附件</w:t>
      </w:r>
    </w:p>
    <w:p w14:paraId="52A885C3">
      <w:pPr>
        <w:spacing w:line="360" w:lineRule="auto"/>
        <w:jc w:val="left"/>
        <w:rPr>
          <w:rFonts w:hint="eastAsia" w:ascii="宋体" w:hAnsi="宋体" w:cs="宋体"/>
          <w:color w:val="auto"/>
          <w:sz w:val="24"/>
          <w:szCs w:val="24"/>
        </w:rPr>
      </w:pPr>
      <w:r>
        <w:rPr>
          <w:rFonts w:hint="eastAsia" w:ascii="宋体" w:hAnsi="宋体" w:cs="宋体"/>
          <w:color w:val="auto"/>
          <w:sz w:val="24"/>
          <w:szCs w:val="24"/>
        </w:rPr>
        <w:t>同一层次的合同文件规定有矛盾的以较后时间制定的为准。</w:t>
      </w:r>
    </w:p>
    <w:p w14:paraId="324979BD">
      <w:pPr>
        <w:spacing w:line="360" w:lineRule="auto"/>
        <w:jc w:val="left"/>
        <w:rPr>
          <w:rFonts w:hint="eastAsia" w:ascii="宋体" w:hAnsi="宋体" w:cs="宋体"/>
          <w:color w:val="auto"/>
          <w:sz w:val="24"/>
          <w:szCs w:val="24"/>
        </w:rPr>
      </w:pPr>
      <w:r>
        <w:rPr>
          <w:rFonts w:hint="eastAsia" w:ascii="宋体" w:hAnsi="宋体" w:cs="宋体"/>
          <w:color w:val="auto"/>
          <w:sz w:val="24"/>
          <w:szCs w:val="24"/>
        </w:rPr>
        <w:t>二、合同的范围和条件</w:t>
      </w:r>
    </w:p>
    <w:p w14:paraId="7F118716">
      <w:pPr>
        <w:spacing w:line="360" w:lineRule="auto"/>
        <w:jc w:val="left"/>
        <w:rPr>
          <w:rFonts w:hint="eastAsia" w:ascii="宋体" w:hAnsi="宋体" w:cs="宋体"/>
          <w:color w:val="auto"/>
          <w:sz w:val="24"/>
          <w:szCs w:val="24"/>
        </w:rPr>
      </w:pPr>
      <w:r>
        <w:rPr>
          <w:rFonts w:hint="eastAsia" w:ascii="宋体" w:hAnsi="宋体" w:cs="宋体"/>
          <w:color w:val="auto"/>
          <w:sz w:val="24"/>
          <w:szCs w:val="24"/>
        </w:rPr>
        <w:t>本合同的范围和条件应与上述合同文件的规定相一致。</w:t>
      </w:r>
    </w:p>
    <w:p w14:paraId="4431AA99">
      <w:pPr>
        <w:spacing w:line="360" w:lineRule="auto"/>
        <w:jc w:val="left"/>
        <w:rPr>
          <w:rFonts w:hint="eastAsia" w:ascii="宋体" w:hAnsi="宋体" w:cs="宋体"/>
          <w:color w:val="auto"/>
          <w:sz w:val="24"/>
          <w:szCs w:val="24"/>
        </w:rPr>
      </w:pPr>
      <w:r>
        <w:rPr>
          <w:rFonts w:hint="eastAsia" w:ascii="宋体" w:hAnsi="宋体" w:cs="宋体"/>
          <w:color w:val="auto"/>
          <w:sz w:val="24"/>
          <w:szCs w:val="24"/>
        </w:rPr>
        <w:t>三、服务项目</w:t>
      </w:r>
    </w:p>
    <w:p w14:paraId="155A94A5">
      <w:pPr>
        <w:spacing w:line="360" w:lineRule="auto"/>
        <w:jc w:val="left"/>
        <w:rPr>
          <w:rFonts w:hint="eastAsia" w:ascii="宋体" w:hAnsi="宋体" w:cs="宋体"/>
          <w:color w:val="auto"/>
          <w:sz w:val="24"/>
          <w:szCs w:val="24"/>
          <w:u w:val="single"/>
        </w:rPr>
      </w:pPr>
      <w:r>
        <w:rPr>
          <w:rFonts w:hint="eastAsia" w:ascii="宋体" w:hAnsi="宋体" w:cs="宋体"/>
          <w:color w:val="auto"/>
          <w:sz w:val="24"/>
          <w:szCs w:val="24"/>
        </w:rPr>
        <w:t>本合同所提供的服务项目内容：</w:t>
      </w:r>
      <w:r>
        <w:rPr>
          <w:rFonts w:hint="eastAsia" w:ascii="宋体" w:hAnsi="宋体" w:cs="宋体"/>
          <w:color w:val="auto"/>
          <w:sz w:val="24"/>
          <w:szCs w:val="24"/>
          <w:u w:val="single"/>
        </w:rPr>
        <w:t xml:space="preserve">              </w:t>
      </w:r>
    </w:p>
    <w:p w14:paraId="484FF44F">
      <w:pPr>
        <w:spacing w:line="360" w:lineRule="auto"/>
        <w:jc w:val="left"/>
        <w:rPr>
          <w:rFonts w:hint="eastAsia" w:ascii="宋体" w:hAnsi="宋体" w:cs="宋体"/>
          <w:color w:val="auto"/>
          <w:sz w:val="24"/>
          <w:szCs w:val="24"/>
        </w:rPr>
      </w:pPr>
      <w:r>
        <w:rPr>
          <w:rFonts w:hint="eastAsia" w:ascii="宋体" w:hAnsi="宋体" w:cs="宋体"/>
          <w:color w:val="auto"/>
          <w:sz w:val="24"/>
          <w:szCs w:val="24"/>
        </w:rPr>
        <w:t>四、合同金额</w:t>
      </w:r>
    </w:p>
    <w:p w14:paraId="5C4B8B54">
      <w:pPr>
        <w:spacing w:line="360" w:lineRule="auto"/>
        <w:jc w:val="left"/>
        <w:rPr>
          <w:rFonts w:hint="eastAsia" w:ascii="宋体" w:hAnsi="宋体" w:cs="宋体"/>
          <w:color w:val="auto"/>
          <w:sz w:val="24"/>
          <w:szCs w:val="24"/>
        </w:rPr>
      </w:pPr>
      <w:r>
        <w:rPr>
          <w:rFonts w:hint="eastAsia" w:ascii="宋体" w:hAnsi="宋体" w:cs="宋体"/>
          <w:color w:val="auto"/>
          <w:sz w:val="24"/>
          <w:szCs w:val="24"/>
        </w:rPr>
        <w:t>合同金额为¥</w:t>
      </w:r>
      <w:r>
        <w:rPr>
          <w:rFonts w:hint="eastAsia" w:ascii="宋体" w:hAnsi="宋体" w:cs="宋体"/>
          <w:color w:val="auto"/>
          <w:sz w:val="24"/>
          <w:szCs w:val="24"/>
          <w:u w:val="single"/>
        </w:rPr>
        <w:t xml:space="preserve">        </w:t>
      </w:r>
      <w:r>
        <w:rPr>
          <w:rFonts w:hint="eastAsia" w:ascii="宋体" w:hAnsi="宋体" w:cs="宋体"/>
          <w:color w:val="auto"/>
          <w:sz w:val="24"/>
          <w:szCs w:val="24"/>
        </w:rPr>
        <w:t>元，大写：人民币</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610B791">
      <w:pPr>
        <w:spacing w:line="360" w:lineRule="auto"/>
        <w:jc w:val="left"/>
        <w:rPr>
          <w:rFonts w:hint="eastAsia" w:ascii="宋体" w:hAnsi="宋体" w:cs="宋体"/>
          <w:color w:val="auto"/>
          <w:sz w:val="24"/>
          <w:szCs w:val="24"/>
        </w:rPr>
      </w:pPr>
      <w:r>
        <w:rPr>
          <w:rFonts w:hint="eastAsia" w:ascii="宋体" w:hAnsi="宋体" w:cs="宋体"/>
          <w:color w:val="auto"/>
          <w:sz w:val="24"/>
          <w:szCs w:val="24"/>
        </w:rPr>
        <w:t>五、付款方式:</w:t>
      </w:r>
    </w:p>
    <w:p w14:paraId="6413EAD0">
      <w:pPr>
        <w:pStyle w:val="2"/>
        <w:spacing w:after="0"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验收及付款方式：</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14:paraId="41001ED0">
      <w:pPr>
        <w:spacing w:line="360" w:lineRule="auto"/>
        <w:jc w:val="left"/>
        <w:rPr>
          <w:rFonts w:hint="eastAsia" w:ascii="宋体" w:hAnsi="宋体" w:cs="宋体"/>
          <w:color w:val="auto"/>
          <w:sz w:val="24"/>
          <w:szCs w:val="24"/>
        </w:rPr>
      </w:pPr>
      <w:r>
        <w:rPr>
          <w:rFonts w:hint="eastAsia" w:ascii="宋体" w:hAnsi="宋体" w:cs="宋体"/>
          <w:color w:val="auto"/>
          <w:sz w:val="24"/>
          <w:szCs w:val="24"/>
        </w:rPr>
        <w:t>六、合同履行期限、地点</w:t>
      </w:r>
    </w:p>
    <w:p w14:paraId="4FFE6B96">
      <w:pPr>
        <w:spacing w:line="360" w:lineRule="auto"/>
        <w:jc w:val="left"/>
        <w:rPr>
          <w:rFonts w:hint="eastAsia" w:ascii="宋体" w:hAnsi="宋体" w:cs="宋体"/>
          <w:color w:val="auto"/>
          <w:sz w:val="24"/>
          <w:szCs w:val="24"/>
          <w:u w:val="single"/>
        </w:rPr>
      </w:pPr>
      <w:r>
        <w:rPr>
          <w:rFonts w:hint="eastAsia" w:ascii="宋体" w:hAnsi="宋体" w:cs="宋体"/>
          <w:color w:val="auto"/>
          <w:sz w:val="24"/>
          <w:szCs w:val="24"/>
        </w:rPr>
        <w:t>1、合同履行期限：</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rPr>
        <w:t>。</w:t>
      </w:r>
    </w:p>
    <w:p w14:paraId="3C1D6D45">
      <w:pPr>
        <w:spacing w:line="360" w:lineRule="auto"/>
        <w:jc w:val="left"/>
        <w:rPr>
          <w:rFonts w:hint="eastAsia" w:ascii="宋体" w:hAnsi="宋体" w:cs="宋体"/>
          <w:color w:val="auto"/>
          <w:sz w:val="24"/>
          <w:szCs w:val="24"/>
        </w:rPr>
      </w:pPr>
      <w:r>
        <w:rPr>
          <w:rFonts w:hint="eastAsia" w:ascii="宋体" w:hAnsi="宋体" w:cs="宋体"/>
          <w:color w:val="auto"/>
          <w:sz w:val="24"/>
          <w:szCs w:val="24"/>
        </w:rPr>
        <w:t>2、服务地点：</w:t>
      </w:r>
      <w:r>
        <w:rPr>
          <w:rFonts w:hint="eastAsia" w:ascii="宋体" w:hAnsi="宋体" w:cs="宋体"/>
          <w:color w:val="auto"/>
          <w:sz w:val="24"/>
          <w:szCs w:val="24"/>
          <w:u w:val="single"/>
        </w:rPr>
        <w:t>甲方指定地点</w:t>
      </w:r>
      <w:r>
        <w:rPr>
          <w:rFonts w:hint="eastAsia" w:ascii="宋体" w:hAnsi="宋体" w:cs="宋体"/>
          <w:color w:val="auto"/>
          <w:sz w:val="24"/>
          <w:szCs w:val="24"/>
        </w:rPr>
        <w:t>。</w:t>
      </w:r>
    </w:p>
    <w:p w14:paraId="3D920594">
      <w:pPr>
        <w:spacing w:line="360" w:lineRule="auto"/>
        <w:jc w:val="left"/>
        <w:rPr>
          <w:rFonts w:hint="eastAsia" w:ascii="宋体" w:hAnsi="宋体" w:cs="宋体"/>
          <w:color w:val="auto"/>
          <w:sz w:val="24"/>
          <w:szCs w:val="24"/>
        </w:rPr>
      </w:pPr>
      <w:r>
        <w:rPr>
          <w:rFonts w:hint="eastAsia" w:ascii="宋体" w:hAnsi="宋体" w:cs="宋体"/>
          <w:color w:val="auto"/>
          <w:sz w:val="24"/>
          <w:szCs w:val="24"/>
        </w:rPr>
        <w:t>七、服务质量：</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2355D473">
      <w:pPr>
        <w:spacing w:line="360" w:lineRule="auto"/>
        <w:jc w:val="left"/>
        <w:rPr>
          <w:rFonts w:hint="eastAsia" w:ascii="宋体" w:hAnsi="宋体" w:cs="宋体"/>
          <w:color w:val="auto"/>
          <w:sz w:val="24"/>
          <w:szCs w:val="24"/>
        </w:rPr>
      </w:pPr>
      <w:r>
        <w:rPr>
          <w:rFonts w:hint="eastAsia" w:ascii="宋体" w:hAnsi="宋体" w:cs="宋体"/>
          <w:color w:val="auto"/>
          <w:sz w:val="24"/>
          <w:szCs w:val="24"/>
        </w:rPr>
        <w:t>八、知识产权</w:t>
      </w:r>
    </w:p>
    <w:p w14:paraId="11640C93">
      <w:pPr>
        <w:spacing w:line="360" w:lineRule="auto"/>
        <w:jc w:val="left"/>
        <w:rPr>
          <w:rFonts w:hint="eastAsia" w:ascii="宋体" w:hAnsi="宋体" w:cs="宋体"/>
          <w:color w:val="auto"/>
          <w:sz w:val="24"/>
          <w:szCs w:val="24"/>
        </w:rPr>
      </w:pPr>
      <w:r>
        <w:rPr>
          <w:rFonts w:hint="eastAsia" w:ascii="宋体" w:hAnsi="宋体" w:cs="宋体"/>
          <w:color w:val="auto"/>
          <w:sz w:val="24"/>
          <w:szCs w:val="24"/>
        </w:rPr>
        <w:t>乙方应保证甲方所使用的服务成果免受第三方提出的侵犯其知识产权的诉讼。</w:t>
      </w:r>
    </w:p>
    <w:p w14:paraId="4B504DC1">
      <w:pPr>
        <w:spacing w:line="360" w:lineRule="auto"/>
        <w:jc w:val="left"/>
        <w:rPr>
          <w:rFonts w:hint="eastAsia" w:ascii="宋体" w:hAnsi="宋体" w:cs="宋体"/>
          <w:color w:val="auto"/>
          <w:sz w:val="24"/>
          <w:szCs w:val="24"/>
        </w:rPr>
      </w:pPr>
      <w:r>
        <w:rPr>
          <w:rFonts w:hint="eastAsia" w:ascii="宋体" w:hAnsi="宋体" w:cs="宋体"/>
          <w:color w:val="auto"/>
          <w:sz w:val="24"/>
          <w:szCs w:val="24"/>
        </w:rPr>
        <w:t>九、违约条款</w:t>
      </w:r>
    </w:p>
    <w:p w14:paraId="33C196C6">
      <w:pPr>
        <w:spacing w:line="360" w:lineRule="auto"/>
        <w:jc w:val="left"/>
        <w:rPr>
          <w:rFonts w:hint="eastAsia" w:ascii="宋体" w:hAnsi="宋体" w:cs="宋体"/>
          <w:color w:val="auto"/>
          <w:sz w:val="24"/>
          <w:szCs w:val="24"/>
        </w:rPr>
      </w:pPr>
      <w:r>
        <w:rPr>
          <w:rFonts w:hint="eastAsia" w:ascii="宋体" w:hAnsi="宋体" w:cs="宋体"/>
          <w:color w:val="auto"/>
          <w:sz w:val="24"/>
          <w:szCs w:val="24"/>
        </w:rPr>
        <w:t>1、乙方延迟提交报告，每延迟</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日，按合同总额</w:t>
      </w:r>
      <w:r>
        <w:rPr>
          <w:rFonts w:hint="eastAsia" w:ascii="宋体" w:hAnsi="宋体" w:cs="宋体"/>
          <w:color w:val="auto"/>
          <w:sz w:val="24"/>
          <w:szCs w:val="24"/>
          <w:u w:val="single"/>
        </w:rPr>
        <w:t xml:space="preserve">    </w:t>
      </w:r>
      <w:r>
        <w:rPr>
          <w:rFonts w:hint="eastAsia" w:ascii="宋体" w:hAnsi="宋体" w:cs="宋体"/>
          <w:color w:val="auto"/>
          <w:sz w:val="24"/>
          <w:szCs w:val="24"/>
        </w:rPr>
        <w:t>支付违约金。</w:t>
      </w:r>
    </w:p>
    <w:p w14:paraId="396FC875">
      <w:pPr>
        <w:spacing w:line="360" w:lineRule="auto"/>
        <w:jc w:val="left"/>
        <w:rPr>
          <w:rFonts w:hint="eastAsia" w:ascii="宋体" w:hAnsi="宋体" w:cs="宋体"/>
          <w:color w:val="auto"/>
          <w:sz w:val="24"/>
          <w:szCs w:val="24"/>
        </w:rPr>
      </w:pPr>
      <w:r>
        <w:rPr>
          <w:rFonts w:hint="eastAsia" w:ascii="宋体" w:hAnsi="宋体" w:cs="宋体"/>
          <w:color w:val="auto"/>
          <w:sz w:val="24"/>
          <w:szCs w:val="24"/>
        </w:rPr>
        <w:t>2、乙方提交报告未达到要求，除应按合同约定进行修改外，应按合同额每日向甲方支付违约金。</w:t>
      </w:r>
    </w:p>
    <w:p w14:paraId="2379041D">
      <w:pPr>
        <w:spacing w:line="360" w:lineRule="auto"/>
        <w:jc w:val="left"/>
        <w:rPr>
          <w:rFonts w:hint="eastAsia" w:ascii="宋体" w:hAnsi="宋体" w:cs="宋体"/>
          <w:color w:val="auto"/>
          <w:sz w:val="24"/>
          <w:szCs w:val="24"/>
        </w:rPr>
      </w:pPr>
      <w:r>
        <w:rPr>
          <w:rFonts w:hint="eastAsia" w:ascii="宋体" w:hAnsi="宋体" w:cs="宋体"/>
          <w:color w:val="auto"/>
          <w:sz w:val="24"/>
          <w:szCs w:val="24"/>
        </w:rPr>
        <w:t>3、一方不按期履行合同，并经另一方提示后</w:t>
      </w:r>
      <w:r>
        <w:rPr>
          <w:rFonts w:hint="eastAsia" w:ascii="宋体" w:hAnsi="宋体" w:cs="宋体"/>
          <w:color w:val="auto"/>
          <w:sz w:val="24"/>
          <w:szCs w:val="24"/>
          <w:u w:val="single"/>
        </w:rPr>
        <w:t xml:space="preserve">    </w:t>
      </w:r>
      <w:r>
        <w:rPr>
          <w:rFonts w:hint="eastAsia" w:ascii="宋体" w:hAnsi="宋体" w:cs="宋体"/>
          <w:color w:val="auto"/>
          <w:sz w:val="24"/>
          <w:szCs w:val="24"/>
        </w:rPr>
        <w:t>日内仍不履行合同的，守约方有权解除合同，违约方要承担相应的法律责任。</w:t>
      </w:r>
    </w:p>
    <w:p w14:paraId="69A4EBAA">
      <w:pPr>
        <w:spacing w:line="360" w:lineRule="auto"/>
        <w:jc w:val="left"/>
        <w:rPr>
          <w:rFonts w:hint="eastAsia" w:ascii="宋体" w:hAnsi="宋体" w:cs="宋体"/>
          <w:color w:val="auto"/>
          <w:sz w:val="24"/>
          <w:szCs w:val="24"/>
        </w:rPr>
      </w:pPr>
      <w:r>
        <w:rPr>
          <w:rFonts w:hint="eastAsia" w:ascii="宋体" w:hAnsi="宋体" w:cs="宋体"/>
          <w:color w:val="auto"/>
          <w:sz w:val="24"/>
          <w:szCs w:val="24"/>
        </w:rPr>
        <w:t>4、如因一方违约，双方未能就赔偿损失达成协议，引起诉讼或仲裁时，违约方除应赔偿对方经济损失外，还应承担因诉讼或仲裁所支付的律师代理费等相关费用。</w:t>
      </w:r>
    </w:p>
    <w:p w14:paraId="13B304A4">
      <w:pPr>
        <w:spacing w:line="360" w:lineRule="auto"/>
        <w:jc w:val="left"/>
        <w:rPr>
          <w:rFonts w:hint="eastAsia" w:ascii="宋体" w:hAnsi="宋体" w:cs="宋体"/>
          <w:color w:val="auto"/>
          <w:sz w:val="24"/>
          <w:szCs w:val="24"/>
        </w:rPr>
      </w:pPr>
      <w:r>
        <w:rPr>
          <w:rFonts w:hint="eastAsia" w:ascii="宋体" w:hAnsi="宋体" w:cs="宋体"/>
          <w:color w:val="auto"/>
          <w:sz w:val="24"/>
          <w:szCs w:val="24"/>
        </w:rPr>
        <w:t>5、其它应承担的违约责任，以《中华人民共和国合同法》和其它有关</w:t>
      </w:r>
      <w:r>
        <w:rPr>
          <w:rFonts w:hint="eastAsia" w:ascii="宋体" w:hAnsi="宋体" w:cs="宋体"/>
          <w:color w:val="auto"/>
          <w:sz w:val="24"/>
          <w:szCs w:val="24"/>
          <w:lang w:eastAsia="zh-CN"/>
        </w:rPr>
        <w:t>法律法规</w:t>
      </w:r>
      <w:r>
        <w:rPr>
          <w:rFonts w:hint="eastAsia" w:ascii="宋体" w:hAnsi="宋体" w:cs="宋体"/>
          <w:color w:val="auto"/>
          <w:sz w:val="24"/>
          <w:szCs w:val="24"/>
        </w:rPr>
        <w:t>规定为准，无相关规定的，双方协商解决。</w:t>
      </w:r>
    </w:p>
    <w:p w14:paraId="57ECC156">
      <w:pPr>
        <w:spacing w:line="360" w:lineRule="auto"/>
        <w:jc w:val="left"/>
        <w:rPr>
          <w:rFonts w:hint="eastAsia" w:ascii="宋体" w:hAnsi="宋体" w:cs="宋体"/>
          <w:color w:val="auto"/>
          <w:sz w:val="24"/>
          <w:szCs w:val="24"/>
        </w:rPr>
      </w:pPr>
      <w:r>
        <w:rPr>
          <w:rFonts w:hint="eastAsia" w:ascii="宋体" w:hAnsi="宋体" w:cs="宋体"/>
          <w:color w:val="auto"/>
          <w:sz w:val="24"/>
          <w:szCs w:val="24"/>
        </w:rPr>
        <w:t>6、按照本合同规定应该偿付的违约金、赔偿金等，应当在明确责任后</w:t>
      </w:r>
      <w:r>
        <w:rPr>
          <w:rFonts w:hint="eastAsia" w:ascii="宋体" w:hAnsi="宋体" w:cs="宋体"/>
          <w:color w:val="auto"/>
          <w:sz w:val="24"/>
          <w:szCs w:val="24"/>
          <w:u w:val="single"/>
        </w:rPr>
        <w:t xml:space="preserve">    </w:t>
      </w:r>
      <w:r>
        <w:rPr>
          <w:rFonts w:hint="eastAsia" w:ascii="宋体" w:hAnsi="宋体" w:cs="宋体"/>
          <w:color w:val="auto"/>
          <w:sz w:val="24"/>
          <w:szCs w:val="24"/>
        </w:rPr>
        <w:t>日内，按银行规定或双方商定的结算办法付清，否则按逾期付款处理。</w:t>
      </w:r>
    </w:p>
    <w:p w14:paraId="31BB321C">
      <w:pPr>
        <w:spacing w:line="360" w:lineRule="auto"/>
        <w:jc w:val="left"/>
        <w:rPr>
          <w:rFonts w:hint="eastAsia" w:ascii="宋体" w:hAnsi="宋体" w:cs="宋体"/>
          <w:color w:val="auto"/>
          <w:sz w:val="24"/>
          <w:szCs w:val="24"/>
        </w:rPr>
      </w:pPr>
      <w:r>
        <w:rPr>
          <w:rFonts w:hint="eastAsia" w:ascii="宋体" w:hAnsi="宋体" w:cs="宋体"/>
          <w:color w:val="auto"/>
          <w:sz w:val="24"/>
          <w:szCs w:val="24"/>
        </w:rPr>
        <w:t>十、不可抗力条款</w:t>
      </w:r>
    </w:p>
    <w:p w14:paraId="224B4159">
      <w:pPr>
        <w:spacing w:line="360" w:lineRule="auto"/>
        <w:jc w:val="left"/>
        <w:rPr>
          <w:rFonts w:hint="eastAsia" w:ascii="宋体" w:hAnsi="宋体" w:cs="宋体"/>
          <w:color w:val="auto"/>
          <w:sz w:val="24"/>
          <w:szCs w:val="24"/>
        </w:rPr>
      </w:pPr>
      <w:r>
        <w:rPr>
          <w:rFonts w:hint="eastAsia" w:ascii="宋体" w:hAnsi="宋体" w:cs="宋体"/>
          <w:color w:val="auto"/>
          <w:sz w:val="24"/>
          <w:szCs w:val="24"/>
        </w:rPr>
        <w:t>因不可抗力致使一方不能及时或完全履行合同的，应及时通知采购代理机构及另一方，双方互不承担责任，并在</w:t>
      </w:r>
      <w:r>
        <w:rPr>
          <w:rFonts w:hint="eastAsia" w:ascii="宋体" w:hAnsi="宋体" w:cs="宋体"/>
          <w:color w:val="auto"/>
          <w:sz w:val="24"/>
          <w:szCs w:val="24"/>
          <w:u w:val="single"/>
        </w:rPr>
        <w:t xml:space="preserve">    </w:t>
      </w:r>
      <w:r>
        <w:rPr>
          <w:rFonts w:hint="eastAsia" w:ascii="宋体" w:hAnsi="宋体" w:cs="宋体"/>
          <w:color w:val="auto"/>
          <w:sz w:val="24"/>
          <w:szCs w:val="24"/>
        </w:rPr>
        <w:t>天内提供有关不可抗力的相应证明。合同未履行部分是否继续履行、如何履行问题，可由双方协商解决。</w:t>
      </w:r>
    </w:p>
    <w:p w14:paraId="3AEA6F34">
      <w:pPr>
        <w:spacing w:line="360" w:lineRule="auto"/>
        <w:jc w:val="left"/>
        <w:rPr>
          <w:rFonts w:hint="eastAsia" w:ascii="宋体" w:hAnsi="宋体" w:cs="宋体"/>
          <w:color w:val="auto"/>
          <w:sz w:val="24"/>
          <w:szCs w:val="24"/>
        </w:rPr>
      </w:pPr>
      <w:r>
        <w:rPr>
          <w:rFonts w:hint="eastAsia" w:ascii="宋体" w:hAnsi="宋体" w:cs="宋体"/>
          <w:color w:val="auto"/>
          <w:sz w:val="24"/>
          <w:szCs w:val="24"/>
        </w:rPr>
        <w:t>十一、争议解决方式</w:t>
      </w:r>
    </w:p>
    <w:p w14:paraId="4E7C63E6">
      <w:pPr>
        <w:spacing w:line="360" w:lineRule="auto"/>
        <w:jc w:val="left"/>
        <w:rPr>
          <w:rFonts w:hint="eastAsia" w:ascii="宋体" w:hAnsi="宋体" w:cs="宋体"/>
          <w:color w:val="auto"/>
          <w:sz w:val="24"/>
          <w:szCs w:val="24"/>
        </w:rPr>
      </w:pPr>
      <w:r>
        <w:rPr>
          <w:rFonts w:hint="eastAsia" w:ascii="宋体" w:hAnsi="宋体" w:cs="宋体"/>
          <w:color w:val="auto"/>
          <w:sz w:val="24"/>
          <w:szCs w:val="24"/>
        </w:rPr>
        <w:t>合同发现纠纷时，双方应协商解决，协商解决不成可以采用下列 2 方式解决：</w:t>
      </w:r>
    </w:p>
    <w:p w14:paraId="529494D9">
      <w:pPr>
        <w:spacing w:line="360" w:lineRule="auto"/>
        <w:jc w:val="left"/>
        <w:rPr>
          <w:rFonts w:hint="eastAsia" w:ascii="宋体" w:hAnsi="宋体" w:cs="宋体"/>
          <w:color w:val="auto"/>
          <w:sz w:val="24"/>
          <w:szCs w:val="24"/>
        </w:rPr>
      </w:pPr>
      <w:r>
        <w:rPr>
          <w:rFonts w:hint="eastAsia" w:ascii="宋体" w:hAnsi="宋体" w:cs="宋体"/>
          <w:color w:val="auto"/>
          <w:sz w:val="24"/>
          <w:szCs w:val="24"/>
        </w:rPr>
        <w:t>1、提交</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仲裁委员会仲裁。</w:t>
      </w:r>
    </w:p>
    <w:p w14:paraId="08D5B76A">
      <w:pPr>
        <w:spacing w:line="360" w:lineRule="auto"/>
        <w:jc w:val="left"/>
        <w:rPr>
          <w:rFonts w:hint="eastAsia" w:ascii="宋体" w:hAnsi="宋体" w:eastAsia="宋体" w:cs="宋体"/>
          <w:color w:val="auto"/>
          <w:sz w:val="24"/>
          <w:szCs w:val="24"/>
          <w:lang w:val="en-US" w:eastAsia="zh-CN"/>
        </w:rPr>
      </w:pPr>
      <w:r>
        <w:rPr>
          <w:rFonts w:hint="eastAsia" w:ascii="宋体" w:hAnsi="宋体" w:cs="宋体"/>
          <w:color w:val="auto"/>
          <w:sz w:val="24"/>
          <w:szCs w:val="24"/>
        </w:rPr>
        <w:t>2、</w:t>
      </w:r>
      <w:r>
        <w:rPr>
          <w:rFonts w:hint="eastAsia" w:ascii="宋体" w:hAnsi="宋体" w:cs="宋体"/>
          <w:color w:val="auto"/>
          <w:sz w:val="24"/>
          <w:szCs w:val="24"/>
          <w:highlight w:val="none"/>
        </w:rPr>
        <w:t>向</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人民法院诉讼。</w:t>
      </w:r>
      <w:r>
        <w:rPr>
          <w:rFonts w:hint="eastAsia" w:ascii="宋体" w:hAnsi="宋体" w:cs="宋体"/>
          <w:color w:val="auto"/>
          <w:sz w:val="24"/>
          <w:szCs w:val="24"/>
          <w:highlight w:val="none"/>
          <w:lang w:val="en-US" w:eastAsia="zh-CN"/>
        </w:rPr>
        <w:t xml:space="preserve"> </w:t>
      </w:r>
    </w:p>
    <w:p w14:paraId="6852C73D">
      <w:pPr>
        <w:spacing w:line="360" w:lineRule="auto"/>
        <w:jc w:val="left"/>
        <w:rPr>
          <w:rFonts w:hint="eastAsia" w:ascii="宋体" w:hAnsi="宋体" w:cs="宋体"/>
          <w:color w:val="auto"/>
          <w:sz w:val="24"/>
          <w:szCs w:val="24"/>
        </w:rPr>
      </w:pPr>
      <w:r>
        <w:rPr>
          <w:rFonts w:hint="eastAsia" w:ascii="宋体" w:hAnsi="宋体" w:cs="宋体"/>
          <w:color w:val="auto"/>
          <w:sz w:val="24"/>
          <w:szCs w:val="24"/>
        </w:rPr>
        <w:t>十二、补充协议</w:t>
      </w:r>
    </w:p>
    <w:p w14:paraId="16795780">
      <w:pPr>
        <w:spacing w:line="360" w:lineRule="auto"/>
        <w:jc w:val="left"/>
        <w:rPr>
          <w:rFonts w:hint="eastAsia" w:ascii="宋体" w:hAnsi="宋体" w:cs="宋体"/>
          <w:color w:val="auto"/>
          <w:sz w:val="24"/>
          <w:szCs w:val="24"/>
        </w:rPr>
      </w:pPr>
      <w:r>
        <w:rPr>
          <w:rFonts w:hint="eastAsia" w:ascii="宋体" w:hAnsi="宋体" w:cs="宋体"/>
          <w:color w:val="auto"/>
          <w:sz w:val="24"/>
          <w:szCs w:val="24"/>
        </w:rPr>
        <w:t>1、如有未尽事宜，由双方依法订立补充合同。</w:t>
      </w:r>
    </w:p>
    <w:p w14:paraId="2C0F8DE4">
      <w:pPr>
        <w:spacing w:line="360" w:lineRule="auto"/>
        <w:jc w:val="left"/>
        <w:rPr>
          <w:rFonts w:hint="eastAsia" w:ascii="宋体" w:hAnsi="宋体" w:cs="宋体"/>
          <w:color w:val="auto"/>
          <w:sz w:val="24"/>
          <w:szCs w:val="24"/>
        </w:rPr>
      </w:pPr>
      <w:r>
        <w:rPr>
          <w:rFonts w:hint="eastAsia" w:ascii="宋体" w:hAnsi="宋体" w:cs="宋体"/>
          <w:color w:val="auto"/>
          <w:sz w:val="24"/>
          <w:szCs w:val="24"/>
        </w:rPr>
        <w:t>2、合同文本须报有关部门备案。</w:t>
      </w:r>
    </w:p>
    <w:p w14:paraId="4DBEA944">
      <w:pPr>
        <w:spacing w:line="360" w:lineRule="auto"/>
        <w:jc w:val="left"/>
        <w:rPr>
          <w:rFonts w:hint="eastAsia" w:ascii="宋体" w:hAnsi="宋体" w:cs="宋体"/>
          <w:color w:val="auto"/>
          <w:sz w:val="24"/>
          <w:szCs w:val="24"/>
        </w:rPr>
      </w:pPr>
      <w:r>
        <w:rPr>
          <w:rFonts w:hint="eastAsia" w:ascii="宋体" w:hAnsi="宋体" w:cs="宋体"/>
          <w:color w:val="auto"/>
          <w:sz w:val="24"/>
          <w:szCs w:val="24"/>
        </w:rPr>
        <w:t>十三、合同保存</w:t>
      </w:r>
    </w:p>
    <w:p w14:paraId="0668715F">
      <w:pPr>
        <w:spacing w:line="360" w:lineRule="auto"/>
        <w:jc w:val="left"/>
        <w:rPr>
          <w:rFonts w:hint="eastAsia" w:ascii="宋体" w:hAnsi="宋体" w:cs="宋体"/>
          <w:color w:val="auto"/>
          <w:sz w:val="24"/>
          <w:szCs w:val="24"/>
        </w:rPr>
      </w:pPr>
      <w:r>
        <w:rPr>
          <w:rFonts w:hint="eastAsia" w:ascii="宋体" w:hAnsi="宋体" w:cs="宋体"/>
          <w:color w:val="auto"/>
          <w:sz w:val="24"/>
          <w:szCs w:val="24"/>
        </w:rPr>
        <w:t>合同正本</w:t>
      </w:r>
      <w:r>
        <w:rPr>
          <w:rFonts w:hint="eastAsia" w:ascii="宋体" w:hAnsi="宋体" w:cs="宋体"/>
          <w:color w:val="auto"/>
          <w:sz w:val="24"/>
          <w:szCs w:val="24"/>
          <w:lang w:eastAsia="zh-CN"/>
        </w:rPr>
        <w:t>一</w:t>
      </w:r>
      <w:r>
        <w:rPr>
          <w:rFonts w:hint="eastAsia" w:ascii="宋体" w:hAnsi="宋体" w:cs="宋体"/>
          <w:color w:val="auto"/>
          <w:sz w:val="24"/>
          <w:szCs w:val="24"/>
        </w:rPr>
        <w:t>式</w:t>
      </w:r>
      <w:r>
        <w:rPr>
          <w:rFonts w:hint="eastAsia" w:ascii="宋体" w:hAnsi="宋体" w:cs="宋体"/>
          <w:color w:val="auto"/>
          <w:sz w:val="24"/>
          <w:szCs w:val="24"/>
          <w:u w:val="single"/>
        </w:rPr>
        <w:t xml:space="preserve">   </w:t>
      </w:r>
      <w:r>
        <w:rPr>
          <w:rFonts w:hint="eastAsia" w:ascii="宋体" w:hAnsi="宋体" w:cs="宋体"/>
          <w:color w:val="auto"/>
          <w:sz w:val="24"/>
          <w:szCs w:val="24"/>
        </w:rPr>
        <w:t>份；甲方</w:t>
      </w:r>
      <w:r>
        <w:rPr>
          <w:rFonts w:hint="eastAsia" w:ascii="宋体" w:hAnsi="宋体" w:cs="宋体"/>
          <w:color w:val="auto"/>
          <w:sz w:val="24"/>
          <w:szCs w:val="24"/>
          <w:u w:val="single"/>
        </w:rPr>
        <w:t xml:space="preserve">    </w:t>
      </w:r>
      <w:r>
        <w:rPr>
          <w:rFonts w:hint="eastAsia" w:ascii="宋体" w:hAnsi="宋体" w:cs="宋体"/>
          <w:color w:val="auto"/>
          <w:sz w:val="24"/>
          <w:szCs w:val="24"/>
        </w:rPr>
        <w:t>份，乙方</w:t>
      </w:r>
      <w:r>
        <w:rPr>
          <w:rFonts w:hint="eastAsia" w:ascii="宋体" w:hAnsi="宋体" w:cs="宋体"/>
          <w:color w:val="auto"/>
          <w:sz w:val="24"/>
          <w:szCs w:val="24"/>
          <w:u w:val="single"/>
        </w:rPr>
        <w:t xml:space="preserve">    </w:t>
      </w:r>
      <w:r>
        <w:rPr>
          <w:rFonts w:hint="eastAsia" w:ascii="宋体" w:hAnsi="宋体" w:cs="宋体"/>
          <w:color w:val="auto"/>
          <w:sz w:val="24"/>
          <w:szCs w:val="24"/>
        </w:rPr>
        <w:t>份。</w:t>
      </w:r>
    </w:p>
    <w:p w14:paraId="61BDF8E1">
      <w:pPr>
        <w:spacing w:line="360" w:lineRule="auto"/>
        <w:jc w:val="left"/>
        <w:rPr>
          <w:rFonts w:hint="eastAsia" w:ascii="宋体" w:hAnsi="宋体" w:cs="宋体"/>
          <w:color w:val="auto"/>
          <w:sz w:val="24"/>
          <w:szCs w:val="24"/>
        </w:rPr>
      </w:pPr>
      <w:r>
        <w:rPr>
          <w:rFonts w:hint="eastAsia" w:ascii="宋体" w:hAnsi="宋体" w:cs="宋体"/>
          <w:color w:val="auto"/>
          <w:sz w:val="24"/>
          <w:szCs w:val="24"/>
        </w:rPr>
        <w:t>甲方：（盖章）</w:t>
      </w:r>
      <w:r>
        <w:rPr>
          <w:rFonts w:hint="eastAsia" w:ascii="宋体" w:hAnsi="宋体" w:cs="宋体"/>
          <w:color w:val="auto"/>
          <w:sz w:val="24"/>
          <w:szCs w:val="24"/>
          <w:u w:val="single"/>
        </w:rPr>
        <w:t xml:space="preserve">                   </w:t>
      </w:r>
      <w:r>
        <w:rPr>
          <w:rFonts w:hint="eastAsia" w:ascii="宋体" w:hAnsi="宋体" w:cs="宋体"/>
          <w:color w:val="auto"/>
          <w:sz w:val="24"/>
          <w:szCs w:val="24"/>
        </w:rPr>
        <w:t>乙方：（盖章）</w:t>
      </w:r>
      <w:r>
        <w:rPr>
          <w:rFonts w:hint="eastAsia" w:ascii="宋体" w:hAnsi="宋体" w:cs="宋体"/>
          <w:color w:val="auto"/>
          <w:sz w:val="24"/>
          <w:szCs w:val="24"/>
          <w:u w:val="single"/>
        </w:rPr>
        <w:t xml:space="preserve">                    </w:t>
      </w:r>
    </w:p>
    <w:p w14:paraId="675E8C84">
      <w:pPr>
        <w:spacing w:line="360" w:lineRule="auto"/>
        <w:jc w:val="left"/>
        <w:rPr>
          <w:rFonts w:hint="eastAsia" w:ascii="宋体" w:hAnsi="宋体" w:cs="宋体"/>
          <w:color w:val="auto"/>
          <w:sz w:val="24"/>
          <w:szCs w:val="24"/>
        </w:rPr>
      </w:pPr>
      <w:r>
        <w:rPr>
          <w:rFonts w:hint="eastAsia" w:ascii="宋体" w:hAnsi="宋体" w:cs="宋体"/>
          <w:color w:val="auto"/>
          <w:sz w:val="24"/>
          <w:szCs w:val="24"/>
        </w:rPr>
        <w:t>法定代表人（授权代表）：</w:t>
      </w:r>
      <w:r>
        <w:rPr>
          <w:rFonts w:hint="eastAsia" w:ascii="宋体" w:hAnsi="宋体" w:cs="宋体"/>
          <w:color w:val="auto"/>
          <w:sz w:val="24"/>
          <w:szCs w:val="24"/>
          <w:u w:val="single"/>
        </w:rPr>
        <w:t xml:space="preserve">         </w:t>
      </w:r>
      <w:r>
        <w:rPr>
          <w:rFonts w:hint="eastAsia" w:ascii="宋体" w:hAnsi="宋体" w:cs="宋体"/>
          <w:color w:val="auto"/>
          <w:sz w:val="24"/>
          <w:szCs w:val="24"/>
        </w:rPr>
        <w:t>法定代表人（授权代表）：</w:t>
      </w:r>
      <w:r>
        <w:rPr>
          <w:rFonts w:hint="eastAsia" w:ascii="宋体" w:hAnsi="宋体" w:cs="宋体"/>
          <w:color w:val="auto"/>
          <w:sz w:val="24"/>
          <w:szCs w:val="24"/>
          <w:u w:val="single"/>
        </w:rPr>
        <w:t xml:space="preserve">          </w:t>
      </w:r>
    </w:p>
    <w:p w14:paraId="09F0863E">
      <w:pPr>
        <w:spacing w:line="360" w:lineRule="auto"/>
        <w:jc w:val="left"/>
        <w:rPr>
          <w:rFonts w:hint="eastAsia" w:ascii="宋体" w:hAnsi="宋体" w:cs="宋体"/>
          <w:color w:val="auto"/>
          <w:sz w:val="24"/>
          <w:szCs w:val="24"/>
        </w:rPr>
      </w:pPr>
      <w:r>
        <w:rPr>
          <w:rFonts w:hint="eastAsia" w:ascii="宋体" w:hAnsi="宋体" w:cs="宋体"/>
          <w:color w:val="auto"/>
          <w:sz w:val="24"/>
          <w:szCs w:val="24"/>
        </w:rPr>
        <w:t>地址：</w:t>
      </w:r>
      <w:r>
        <w:rPr>
          <w:rFonts w:hint="eastAsia" w:ascii="宋体" w:hAnsi="宋体" w:cs="宋体"/>
          <w:color w:val="auto"/>
          <w:sz w:val="24"/>
          <w:szCs w:val="24"/>
          <w:u w:val="single"/>
        </w:rPr>
        <w:t xml:space="preserve">                           </w:t>
      </w:r>
      <w:r>
        <w:rPr>
          <w:rFonts w:hint="eastAsia" w:ascii="宋体" w:hAnsi="宋体" w:cs="宋体"/>
          <w:color w:val="auto"/>
          <w:sz w:val="24"/>
          <w:szCs w:val="24"/>
        </w:rPr>
        <w:t>地址：</w:t>
      </w:r>
      <w:r>
        <w:rPr>
          <w:rFonts w:hint="eastAsia" w:ascii="宋体" w:hAnsi="宋体" w:cs="宋体"/>
          <w:color w:val="auto"/>
          <w:sz w:val="24"/>
          <w:szCs w:val="24"/>
          <w:u w:val="single"/>
        </w:rPr>
        <w:t xml:space="preserve">                            </w:t>
      </w:r>
    </w:p>
    <w:p w14:paraId="1BB62777">
      <w:pPr>
        <w:spacing w:line="360" w:lineRule="auto"/>
        <w:jc w:val="left"/>
        <w:rPr>
          <w:rFonts w:hint="eastAsia" w:ascii="宋体" w:hAnsi="宋体" w:cs="宋体"/>
          <w:color w:val="auto"/>
          <w:sz w:val="24"/>
          <w:szCs w:val="24"/>
        </w:rPr>
      </w:pPr>
      <w:r>
        <w:rPr>
          <w:rFonts w:hint="eastAsia" w:ascii="宋体" w:hAnsi="宋体" w:cs="宋体"/>
          <w:color w:val="auto"/>
          <w:sz w:val="24"/>
          <w:szCs w:val="24"/>
        </w:rPr>
        <w:t>开户银行：</w:t>
      </w:r>
      <w:r>
        <w:rPr>
          <w:rFonts w:hint="eastAsia" w:ascii="宋体" w:hAnsi="宋体" w:cs="宋体"/>
          <w:color w:val="auto"/>
          <w:sz w:val="24"/>
          <w:szCs w:val="24"/>
          <w:u w:val="single"/>
        </w:rPr>
        <w:t xml:space="preserve">                       </w:t>
      </w:r>
      <w:r>
        <w:rPr>
          <w:rFonts w:hint="eastAsia" w:ascii="宋体" w:hAnsi="宋体" w:cs="宋体"/>
          <w:color w:val="auto"/>
          <w:sz w:val="24"/>
          <w:szCs w:val="24"/>
        </w:rPr>
        <w:t>开户银行：</w:t>
      </w:r>
      <w:r>
        <w:rPr>
          <w:rFonts w:hint="eastAsia" w:ascii="宋体" w:hAnsi="宋体" w:cs="宋体"/>
          <w:color w:val="auto"/>
          <w:sz w:val="24"/>
          <w:szCs w:val="24"/>
          <w:u w:val="single"/>
        </w:rPr>
        <w:t xml:space="preserve">                        </w:t>
      </w:r>
    </w:p>
    <w:p w14:paraId="261649C9">
      <w:pPr>
        <w:spacing w:line="360" w:lineRule="auto"/>
        <w:jc w:val="left"/>
        <w:rPr>
          <w:rFonts w:hint="eastAsia" w:ascii="宋体" w:hAnsi="宋体" w:cs="宋体"/>
          <w:color w:val="auto"/>
          <w:sz w:val="24"/>
          <w:szCs w:val="24"/>
        </w:rPr>
      </w:pPr>
      <w:r>
        <w:rPr>
          <w:rFonts w:hint="eastAsia" w:ascii="宋体" w:hAnsi="宋体" w:cs="宋体"/>
          <w:color w:val="auto"/>
          <w:sz w:val="24"/>
          <w:szCs w:val="24"/>
        </w:rPr>
        <w:t>账号：</w:t>
      </w:r>
      <w:r>
        <w:rPr>
          <w:rFonts w:hint="eastAsia" w:ascii="宋体" w:hAnsi="宋体" w:cs="宋体"/>
          <w:color w:val="auto"/>
          <w:sz w:val="24"/>
          <w:szCs w:val="24"/>
          <w:u w:val="single"/>
        </w:rPr>
        <w:t xml:space="preserve">                           </w:t>
      </w:r>
      <w:r>
        <w:rPr>
          <w:rFonts w:hint="eastAsia" w:ascii="宋体" w:hAnsi="宋体" w:cs="宋体"/>
          <w:color w:val="auto"/>
          <w:sz w:val="24"/>
          <w:szCs w:val="24"/>
        </w:rPr>
        <w:t>账号：</w:t>
      </w:r>
      <w:r>
        <w:rPr>
          <w:rFonts w:hint="eastAsia" w:ascii="宋体" w:hAnsi="宋体" w:cs="宋体"/>
          <w:color w:val="auto"/>
          <w:sz w:val="24"/>
          <w:szCs w:val="24"/>
          <w:u w:val="single"/>
        </w:rPr>
        <w:t xml:space="preserve">                            </w:t>
      </w:r>
    </w:p>
    <w:p w14:paraId="035017AF">
      <w:pPr>
        <w:spacing w:line="360" w:lineRule="auto"/>
        <w:jc w:val="left"/>
        <w:rPr>
          <w:rFonts w:hint="eastAsia" w:ascii="宋体" w:hAnsi="宋体" w:cs="宋体"/>
          <w:color w:val="auto"/>
          <w:sz w:val="24"/>
          <w:szCs w:val="24"/>
        </w:rPr>
      </w:pPr>
      <w:r>
        <w:rPr>
          <w:rFonts w:hint="eastAsia" w:ascii="宋体" w:hAnsi="宋体" w:cs="宋体"/>
          <w:color w:val="auto"/>
          <w:sz w:val="24"/>
          <w:szCs w:val="24"/>
        </w:rPr>
        <w:t>电话：</w:t>
      </w:r>
      <w:r>
        <w:rPr>
          <w:rFonts w:hint="eastAsia" w:ascii="宋体" w:hAnsi="宋体" w:cs="宋体"/>
          <w:color w:val="auto"/>
          <w:sz w:val="24"/>
          <w:szCs w:val="24"/>
          <w:u w:val="single"/>
        </w:rPr>
        <w:t xml:space="preserve">                           </w:t>
      </w:r>
      <w:r>
        <w:rPr>
          <w:rFonts w:hint="eastAsia" w:ascii="宋体" w:hAnsi="宋体" w:cs="宋体"/>
          <w:color w:val="auto"/>
          <w:sz w:val="24"/>
          <w:szCs w:val="24"/>
        </w:rPr>
        <w:t>电话：</w:t>
      </w:r>
      <w:r>
        <w:rPr>
          <w:rFonts w:hint="eastAsia" w:ascii="宋体" w:hAnsi="宋体" w:cs="宋体"/>
          <w:color w:val="auto"/>
          <w:sz w:val="24"/>
          <w:szCs w:val="24"/>
          <w:u w:val="single"/>
        </w:rPr>
        <w:t xml:space="preserve">                            </w:t>
      </w:r>
    </w:p>
    <w:p w14:paraId="124CA953">
      <w:pPr>
        <w:spacing w:line="360" w:lineRule="auto"/>
        <w:jc w:val="left"/>
        <w:rPr>
          <w:rFonts w:hint="eastAsia" w:ascii="宋体" w:hAnsi="宋体" w:cs="宋体"/>
          <w:color w:val="auto"/>
          <w:sz w:val="24"/>
          <w:szCs w:val="24"/>
        </w:rPr>
      </w:pPr>
      <w:r>
        <w:rPr>
          <w:rFonts w:hint="eastAsia" w:ascii="宋体" w:hAnsi="宋体" w:cs="宋体"/>
          <w:color w:val="auto"/>
          <w:sz w:val="24"/>
          <w:szCs w:val="24"/>
        </w:rPr>
        <w:t>传真：</w:t>
      </w:r>
      <w:r>
        <w:rPr>
          <w:rFonts w:hint="eastAsia" w:ascii="宋体" w:hAnsi="宋体" w:cs="宋体"/>
          <w:color w:val="auto"/>
          <w:sz w:val="24"/>
          <w:szCs w:val="24"/>
          <w:u w:val="single"/>
        </w:rPr>
        <w:t xml:space="preserve">                           </w:t>
      </w:r>
      <w:r>
        <w:rPr>
          <w:rFonts w:hint="eastAsia" w:ascii="宋体" w:hAnsi="宋体" w:cs="宋体"/>
          <w:color w:val="auto"/>
          <w:sz w:val="24"/>
          <w:szCs w:val="24"/>
        </w:rPr>
        <w:t>传真：</w:t>
      </w:r>
      <w:r>
        <w:rPr>
          <w:rFonts w:hint="eastAsia" w:ascii="宋体" w:hAnsi="宋体" w:cs="宋体"/>
          <w:color w:val="auto"/>
          <w:sz w:val="24"/>
          <w:szCs w:val="24"/>
          <w:u w:val="single"/>
        </w:rPr>
        <w:t xml:space="preserve">                            </w:t>
      </w:r>
    </w:p>
    <w:p w14:paraId="3E850E53">
      <w:pPr>
        <w:spacing w:line="360" w:lineRule="auto"/>
        <w:rPr>
          <w:rFonts w:hint="eastAsia" w:ascii="宋体" w:hAnsi="宋体" w:cs="宋体"/>
          <w:color w:val="auto"/>
          <w:sz w:val="24"/>
          <w:szCs w:val="24"/>
        </w:rPr>
      </w:pPr>
      <w:r>
        <w:rPr>
          <w:rFonts w:hint="eastAsia" w:ascii="宋体" w:hAnsi="宋体" w:cs="宋体"/>
          <w:color w:val="auto"/>
          <w:sz w:val="24"/>
          <w:szCs w:val="24"/>
        </w:rPr>
        <w:t xml:space="preserve">                                           </w:t>
      </w:r>
    </w:p>
    <w:p w14:paraId="68DE872C">
      <w:pPr>
        <w:spacing w:line="360" w:lineRule="auto"/>
        <w:rPr>
          <w:rFonts w:hint="eastAsia" w:ascii="宋体" w:hAnsi="宋体" w:cs="宋体"/>
          <w:color w:val="auto"/>
          <w:sz w:val="24"/>
          <w:szCs w:val="24"/>
        </w:rPr>
      </w:pPr>
    </w:p>
    <w:p w14:paraId="51244BE9">
      <w:pPr>
        <w:spacing w:line="360" w:lineRule="auto"/>
        <w:rPr>
          <w:rFonts w:hint="eastAsia" w:ascii="宋体" w:hAnsi="宋体" w:cs="宋体"/>
          <w:color w:val="auto"/>
          <w:sz w:val="24"/>
          <w:szCs w:val="24"/>
        </w:rPr>
      </w:pPr>
      <w:r>
        <w:rPr>
          <w:rFonts w:hint="eastAsia" w:ascii="宋体" w:hAnsi="宋体" w:cs="宋体"/>
          <w:color w:val="auto"/>
          <w:sz w:val="24"/>
          <w:szCs w:val="24"/>
        </w:rPr>
        <w:t xml:space="preserve"> 签订日期：   年   月   日            签订日期：   年   月   日</w:t>
      </w:r>
    </w:p>
    <w:p w14:paraId="6926715E">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cs="宋体"/>
          <w:color w:val="000000"/>
          <w:sz w:val="24"/>
          <w:szCs w:val="24"/>
          <w:lang w:val="en-US" w:eastAsia="zh-CN"/>
        </w:rPr>
      </w:pPr>
    </w:p>
    <w:p w14:paraId="392433C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spacing w:val="-4"/>
          <w:sz w:val="28"/>
          <w:szCs w:val="28"/>
        </w:rPr>
      </w:pPr>
    </w:p>
    <w:p w14:paraId="000DA541">
      <w:pPr>
        <w:keepNext w:val="0"/>
        <w:keepLines w:val="0"/>
        <w:pageBreakBefore w:val="0"/>
        <w:widowControl w:val="0"/>
        <w:kinsoku/>
        <w:wordWrap/>
        <w:overflowPunct/>
        <w:topLinePunct w:val="0"/>
        <w:autoSpaceDE/>
        <w:autoSpaceDN/>
        <w:bidi w:val="0"/>
        <w:adjustRightInd/>
        <w:snapToGrid/>
        <w:spacing w:before="3" w:line="460" w:lineRule="exact"/>
        <w:ind w:firstLine="482" w:firstLineChars="200"/>
        <w:textAlignment w:val="auto"/>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特别说明：</w:t>
      </w:r>
    </w:p>
    <w:p w14:paraId="387D2F86">
      <w:pPr>
        <w:keepNext w:val="0"/>
        <w:keepLines w:val="0"/>
        <w:pageBreakBefore w:val="0"/>
        <w:widowControl w:val="0"/>
        <w:kinsoku/>
        <w:wordWrap/>
        <w:overflowPunct/>
        <w:topLinePunct w:val="0"/>
        <w:autoSpaceDE/>
        <w:autoSpaceDN/>
        <w:bidi w:val="0"/>
        <w:adjustRightInd/>
        <w:snapToGrid/>
        <w:spacing w:before="3" w:line="460" w:lineRule="exact"/>
        <w:ind w:left="4" w:firstLine="496"/>
        <w:textAlignment w:val="auto"/>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1.本范本根据《中华人民共和国政府采购法》、《中华人民共和国民法典》等法律法规制定。具体项目的采购合同条款，在本范本框架内由甲乙双方协商一致签订。空格处</w:t>
      </w:r>
      <w:r>
        <w:rPr>
          <w:rFonts w:hint="eastAsia" w:ascii="宋体" w:hAnsi="宋体" w:cs="宋体"/>
          <w:b/>
          <w:bCs/>
          <w:color w:val="auto"/>
          <w:sz w:val="24"/>
          <w:szCs w:val="24"/>
          <w:u w:val="none"/>
          <w:lang w:val="en-US" w:eastAsia="zh-CN"/>
        </w:rPr>
        <w:t>画横线</w:t>
      </w:r>
      <w:r>
        <w:rPr>
          <w:rFonts w:hint="eastAsia" w:ascii="宋体" w:hAnsi="宋体" w:eastAsia="宋体" w:cs="宋体"/>
          <w:b/>
          <w:bCs/>
          <w:color w:val="auto"/>
          <w:sz w:val="24"/>
          <w:szCs w:val="24"/>
          <w:u w:val="none"/>
          <w:lang w:val="en-US" w:eastAsia="zh-CN"/>
        </w:rPr>
        <w:t>。</w:t>
      </w:r>
    </w:p>
    <w:p w14:paraId="25CBD44C">
      <w:pPr>
        <w:keepNext w:val="0"/>
        <w:keepLines w:val="0"/>
        <w:pageBreakBefore w:val="0"/>
        <w:widowControl w:val="0"/>
        <w:kinsoku/>
        <w:wordWrap/>
        <w:overflowPunct/>
        <w:topLinePunct w:val="0"/>
        <w:autoSpaceDE/>
        <w:autoSpaceDN/>
        <w:bidi w:val="0"/>
        <w:adjustRightInd/>
        <w:snapToGrid/>
        <w:spacing w:before="3" w:line="460" w:lineRule="exact"/>
        <w:ind w:left="4" w:firstLine="496"/>
        <w:textAlignment w:val="auto"/>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2.收款单位名称应与本合同</w:t>
      </w:r>
      <w:r>
        <w:rPr>
          <w:rFonts w:hint="eastAsia" w:ascii="宋体" w:hAnsi="宋体" w:cs="宋体"/>
          <w:b/>
          <w:bCs/>
          <w:color w:val="auto"/>
          <w:sz w:val="24"/>
          <w:szCs w:val="24"/>
          <w:u w:val="none"/>
          <w:lang w:val="en-US" w:eastAsia="zh-CN"/>
        </w:rPr>
        <w:t>甲</w:t>
      </w:r>
      <w:r>
        <w:rPr>
          <w:rFonts w:hint="eastAsia" w:ascii="宋体" w:hAnsi="宋体" w:eastAsia="宋体" w:cs="宋体"/>
          <w:b/>
          <w:bCs/>
          <w:color w:val="auto"/>
          <w:sz w:val="24"/>
          <w:szCs w:val="24"/>
          <w:u w:val="none"/>
          <w:lang w:val="en-US" w:eastAsia="zh-CN"/>
        </w:rPr>
        <w:t>方单位名称、项目成交单位名称、开具发票单位名称相一 致。</w:t>
      </w:r>
    </w:p>
    <w:p w14:paraId="3FB878B0">
      <w:pPr>
        <w:keepNext w:val="0"/>
        <w:keepLines w:val="0"/>
        <w:pageBreakBefore w:val="0"/>
        <w:widowControl w:val="0"/>
        <w:kinsoku/>
        <w:wordWrap/>
        <w:overflowPunct/>
        <w:topLinePunct w:val="0"/>
        <w:autoSpaceDE/>
        <w:autoSpaceDN/>
        <w:bidi w:val="0"/>
        <w:adjustRightInd/>
        <w:snapToGrid/>
        <w:spacing w:before="3" w:line="460" w:lineRule="exact"/>
        <w:ind w:left="4" w:firstLine="496"/>
        <w:textAlignment w:val="auto"/>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3.</w:t>
      </w:r>
      <w:r>
        <w:rPr>
          <w:rFonts w:hint="eastAsia" w:ascii="宋体" w:hAnsi="宋体" w:cs="宋体"/>
          <w:b/>
          <w:bCs/>
          <w:color w:val="auto"/>
          <w:sz w:val="24"/>
          <w:szCs w:val="24"/>
          <w:u w:val="none"/>
          <w:lang w:val="en-US" w:eastAsia="zh-CN"/>
        </w:rPr>
        <w:t>乙</w:t>
      </w:r>
      <w:r>
        <w:rPr>
          <w:rFonts w:hint="eastAsia" w:ascii="宋体" w:hAnsi="宋体" w:eastAsia="宋体" w:cs="宋体"/>
          <w:b/>
          <w:bCs/>
          <w:color w:val="auto"/>
          <w:sz w:val="24"/>
          <w:szCs w:val="24"/>
          <w:u w:val="none"/>
          <w:lang w:val="en-US" w:eastAsia="zh-CN"/>
        </w:rPr>
        <w:t>方（采购单位） 应盖本单位公章（不允许盖内设科室章），</w:t>
      </w:r>
      <w:r>
        <w:rPr>
          <w:rFonts w:hint="eastAsia" w:ascii="宋体" w:hAnsi="宋体" w:cs="宋体"/>
          <w:b/>
          <w:bCs/>
          <w:color w:val="auto"/>
          <w:sz w:val="24"/>
          <w:szCs w:val="24"/>
          <w:u w:val="none"/>
          <w:lang w:val="en-US" w:eastAsia="zh-CN"/>
        </w:rPr>
        <w:t>甲</w:t>
      </w:r>
      <w:r>
        <w:rPr>
          <w:rFonts w:hint="eastAsia" w:ascii="宋体" w:hAnsi="宋体" w:eastAsia="宋体" w:cs="宋体"/>
          <w:b/>
          <w:bCs/>
          <w:color w:val="auto"/>
          <w:sz w:val="24"/>
          <w:szCs w:val="24"/>
          <w:u w:val="none"/>
          <w:lang w:val="en-US" w:eastAsia="zh-CN"/>
        </w:rPr>
        <w:t>方应盖单位公章或合同专用章，合同双方应盖骑缝章。</w:t>
      </w:r>
    </w:p>
    <w:p w14:paraId="6F53754F">
      <w:pPr>
        <w:keepNext w:val="0"/>
        <w:keepLines w:val="0"/>
        <w:pageBreakBefore w:val="0"/>
        <w:widowControl w:val="0"/>
        <w:kinsoku/>
        <w:wordWrap/>
        <w:overflowPunct/>
        <w:topLinePunct w:val="0"/>
        <w:autoSpaceDE/>
        <w:autoSpaceDN/>
        <w:bidi w:val="0"/>
        <w:adjustRightInd/>
        <w:snapToGrid/>
        <w:spacing w:before="3" w:line="460" w:lineRule="exact"/>
        <w:ind w:left="4" w:firstLine="496"/>
        <w:textAlignment w:val="auto"/>
        <w:rPr>
          <w:rFonts w:hint="eastAsia" w:ascii="宋体" w:hAnsi="宋体" w:eastAsia="宋体" w:cs="宋体"/>
          <w:b/>
          <w:bCs/>
          <w:color w:val="auto"/>
          <w:sz w:val="24"/>
          <w:szCs w:val="24"/>
          <w:u w:val="none"/>
          <w:lang w:val="en-US" w:eastAsia="zh-CN"/>
        </w:rPr>
      </w:pPr>
      <w:r>
        <w:rPr>
          <w:rFonts w:hint="eastAsia" w:ascii="宋体" w:hAnsi="宋体" w:eastAsia="宋体" w:cs="宋体"/>
          <w:b/>
          <w:bCs/>
          <w:color w:val="auto"/>
          <w:sz w:val="24"/>
          <w:szCs w:val="24"/>
          <w:u w:val="none"/>
          <w:lang w:val="en-US" w:eastAsia="zh-CN"/>
        </w:rPr>
        <w:t>4. 除涉密项目外，根据信阳市政府采购有关规定：采购人应当自政府采购合同签订之日起1个工作日内，将政府采购合同在省级以上人民政府财政部门指定的媒体上公告。</w:t>
      </w:r>
      <w:bookmarkStart w:id="738" w:name="_Toc30429"/>
      <w:bookmarkStart w:id="739" w:name="_Toc17116"/>
      <w:bookmarkStart w:id="740" w:name="_Toc19310"/>
    </w:p>
    <w:p w14:paraId="02E26934">
      <w:pPr>
        <w:pStyle w:val="54"/>
        <w:rPr>
          <w:rFonts w:hint="eastAsia" w:ascii="宋体" w:hAnsi="宋体" w:eastAsia="宋体" w:cs="宋体"/>
          <w:b/>
          <w:bCs/>
          <w:color w:val="auto"/>
          <w:sz w:val="24"/>
          <w:szCs w:val="24"/>
          <w:u w:val="none"/>
          <w:lang w:val="en-US" w:eastAsia="zh-CN"/>
        </w:rPr>
      </w:pPr>
    </w:p>
    <w:p w14:paraId="78D3259C">
      <w:pPr>
        <w:rPr>
          <w:rFonts w:hint="eastAsia" w:ascii="宋体" w:hAnsi="宋体" w:eastAsia="宋体" w:cs="宋体"/>
          <w:b/>
          <w:bCs/>
          <w:color w:val="auto"/>
          <w:sz w:val="24"/>
          <w:szCs w:val="24"/>
          <w:u w:val="none"/>
          <w:lang w:val="en-US" w:eastAsia="zh-CN"/>
        </w:rPr>
      </w:pPr>
    </w:p>
    <w:p w14:paraId="6B24362D">
      <w:pPr>
        <w:pStyle w:val="54"/>
        <w:rPr>
          <w:rFonts w:hint="eastAsia" w:ascii="宋体" w:hAnsi="宋体" w:eastAsia="宋体" w:cs="宋体"/>
          <w:b/>
          <w:bCs/>
          <w:color w:val="auto"/>
          <w:sz w:val="24"/>
          <w:szCs w:val="24"/>
          <w:u w:val="none"/>
          <w:lang w:val="en-US" w:eastAsia="zh-CN"/>
        </w:rPr>
      </w:pPr>
    </w:p>
    <w:p w14:paraId="5EEB0D25">
      <w:pPr>
        <w:rPr>
          <w:rFonts w:hint="eastAsia" w:ascii="宋体" w:hAnsi="宋体" w:eastAsia="宋体" w:cs="宋体"/>
          <w:b/>
          <w:bCs/>
          <w:color w:val="auto"/>
          <w:sz w:val="24"/>
          <w:szCs w:val="24"/>
          <w:u w:val="none"/>
          <w:lang w:val="en-US" w:eastAsia="zh-CN"/>
        </w:rPr>
      </w:pPr>
    </w:p>
    <w:p w14:paraId="0A736660">
      <w:pPr>
        <w:pStyle w:val="54"/>
        <w:rPr>
          <w:rFonts w:hint="eastAsia" w:ascii="宋体" w:hAnsi="宋体" w:eastAsia="宋体" w:cs="宋体"/>
          <w:b/>
          <w:bCs/>
          <w:color w:val="auto"/>
          <w:sz w:val="24"/>
          <w:szCs w:val="24"/>
          <w:u w:val="none"/>
          <w:lang w:val="en-US" w:eastAsia="zh-CN"/>
        </w:rPr>
      </w:pPr>
    </w:p>
    <w:p w14:paraId="3C491CF6">
      <w:pPr>
        <w:rPr>
          <w:rFonts w:hint="eastAsia" w:ascii="宋体" w:hAnsi="宋体" w:eastAsia="宋体" w:cs="宋体"/>
          <w:b/>
          <w:bCs/>
          <w:color w:val="auto"/>
          <w:sz w:val="24"/>
          <w:szCs w:val="24"/>
          <w:u w:val="none"/>
          <w:lang w:val="en-US" w:eastAsia="zh-CN"/>
        </w:rPr>
      </w:pPr>
    </w:p>
    <w:p w14:paraId="0267F042">
      <w:pPr>
        <w:pStyle w:val="54"/>
        <w:rPr>
          <w:rFonts w:hint="eastAsia" w:ascii="宋体" w:hAnsi="宋体" w:eastAsia="宋体" w:cs="宋体"/>
          <w:b/>
          <w:bCs/>
          <w:color w:val="auto"/>
          <w:sz w:val="24"/>
          <w:szCs w:val="24"/>
          <w:u w:val="none"/>
          <w:lang w:val="en-US" w:eastAsia="zh-CN"/>
        </w:rPr>
      </w:pPr>
    </w:p>
    <w:p w14:paraId="4C0A0E3C">
      <w:pPr>
        <w:rPr>
          <w:rFonts w:hint="eastAsia" w:ascii="宋体" w:hAnsi="宋体" w:eastAsia="宋体" w:cs="宋体"/>
          <w:b/>
          <w:bCs/>
          <w:color w:val="auto"/>
          <w:sz w:val="24"/>
          <w:szCs w:val="24"/>
          <w:u w:val="none"/>
          <w:lang w:val="en-US" w:eastAsia="zh-CN"/>
        </w:rPr>
      </w:pPr>
    </w:p>
    <w:p w14:paraId="36C00F7B">
      <w:pPr>
        <w:pStyle w:val="54"/>
        <w:rPr>
          <w:rFonts w:hint="eastAsia" w:ascii="宋体" w:hAnsi="宋体" w:eastAsia="宋体" w:cs="宋体"/>
          <w:b/>
          <w:bCs/>
          <w:color w:val="auto"/>
          <w:sz w:val="24"/>
          <w:szCs w:val="24"/>
          <w:u w:val="none"/>
          <w:lang w:val="en-US" w:eastAsia="zh-CN"/>
        </w:rPr>
      </w:pPr>
    </w:p>
    <w:p w14:paraId="0D25CBBB">
      <w:pPr>
        <w:rPr>
          <w:rFonts w:hint="eastAsia" w:ascii="宋体" w:hAnsi="宋体" w:eastAsia="宋体" w:cs="宋体"/>
          <w:b/>
          <w:bCs/>
          <w:color w:val="auto"/>
          <w:sz w:val="24"/>
          <w:szCs w:val="24"/>
          <w:u w:val="none"/>
          <w:lang w:val="en-US" w:eastAsia="zh-CN"/>
        </w:rPr>
      </w:pPr>
    </w:p>
    <w:p w14:paraId="37E34F16">
      <w:pPr>
        <w:pStyle w:val="54"/>
        <w:rPr>
          <w:rFonts w:hint="eastAsia" w:ascii="宋体" w:hAnsi="宋体" w:eastAsia="宋体" w:cs="宋体"/>
          <w:b/>
          <w:bCs/>
          <w:color w:val="auto"/>
          <w:sz w:val="24"/>
          <w:szCs w:val="24"/>
          <w:u w:val="none"/>
          <w:lang w:val="en-US" w:eastAsia="zh-CN"/>
        </w:rPr>
      </w:pPr>
    </w:p>
    <w:p w14:paraId="6477D118">
      <w:pPr>
        <w:rPr>
          <w:rFonts w:hint="eastAsia" w:ascii="宋体" w:hAnsi="宋体" w:eastAsia="宋体" w:cs="宋体"/>
          <w:b/>
          <w:bCs/>
          <w:color w:val="auto"/>
          <w:sz w:val="24"/>
          <w:szCs w:val="24"/>
          <w:u w:val="none"/>
          <w:lang w:val="en-US" w:eastAsia="zh-CN"/>
        </w:rPr>
      </w:pPr>
    </w:p>
    <w:p w14:paraId="559796F9">
      <w:pPr>
        <w:pStyle w:val="54"/>
        <w:outlineLvl w:val="9"/>
        <w:rPr>
          <w:rFonts w:hint="eastAsia" w:ascii="宋体" w:hAnsi="宋体" w:eastAsia="宋体" w:cs="宋体"/>
          <w:b/>
          <w:bCs/>
          <w:color w:val="auto"/>
          <w:sz w:val="24"/>
          <w:szCs w:val="24"/>
          <w:u w:val="none"/>
          <w:lang w:val="en-US" w:eastAsia="zh-CN"/>
        </w:rPr>
      </w:pPr>
    </w:p>
    <w:p w14:paraId="3F6B35B0">
      <w:pPr>
        <w:outlineLvl w:val="9"/>
        <w:rPr>
          <w:rFonts w:hint="eastAsia" w:ascii="宋体" w:hAnsi="宋体" w:eastAsia="宋体" w:cs="宋体"/>
          <w:b/>
          <w:bCs/>
          <w:color w:val="auto"/>
          <w:sz w:val="24"/>
          <w:szCs w:val="24"/>
          <w:u w:val="none"/>
          <w:lang w:val="en-US" w:eastAsia="zh-CN"/>
        </w:rPr>
      </w:pPr>
    </w:p>
    <w:p w14:paraId="52886A19">
      <w:pPr>
        <w:pStyle w:val="54"/>
        <w:outlineLvl w:val="9"/>
        <w:rPr>
          <w:rFonts w:hint="eastAsia" w:ascii="宋体" w:hAnsi="宋体" w:eastAsia="宋体" w:cs="宋体"/>
          <w:b/>
          <w:bCs/>
          <w:color w:val="auto"/>
          <w:sz w:val="24"/>
          <w:szCs w:val="24"/>
          <w:u w:val="none"/>
          <w:lang w:val="en-US" w:eastAsia="zh-CN"/>
        </w:rPr>
      </w:pPr>
    </w:p>
    <w:p w14:paraId="56817B96">
      <w:pPr>
        <w:outlineLvl w:val="9"/>
        <w:rPr>
          <w:rFonts w:hint="eastAsia" w:ascii="宋体" w:hAnsi="宋体" w:eastAsia="宋体" w:cs="宋体"/>
          <w:b/>
          <w:bCs/>
          <w:color w:val="auto"/>
          <w:sz w:val="24"/>
          <w:szCs w:val="24"/>
          <w:u w:val="none"/>
          <w:lang w:val="en-US" w:eastAsia="zh-CN"/>
        </w:rPr>
      </w:pPr>
    </w:p>
    <w:p w14:paraId="71245D11">
      <w:pPr>
        <w:pStyle w:val="54"/>
        <w:outlineLvl w:val="9"/>
        <w:rPr>
          <w:rFonts w:hint="eastAsia" w:ascii="宋体" w:hAnsi="宋体" w:eastAsia="宋体" w:cs="宋体"/>
          <w:b/>
          <w:bCs/>
          <w:color w:val="auto"/>
          <w:sz w:val="24"/>
          <w:szCs w:val="24"/>
          <w:u w:val="none"/>
          <w:lang w:val="en-US" w:eastAsia="zh-CN"/>
        </w:rPr>
      </w:pPr>
    </w:p>
    <w:p w14:paraId="182A5112">
      <w:pPr>
        <w:outlineLvl w:val="9"/>
        <w:rPr>
          <w:rFonts w:hint="eastAsia" w:ascii="宋体" w:hAnsi="宋体" w:eastAsia="宋体" w:cs="宋体"/>
          <w:b/>
          <w:bCs/>
          <w:color w:val="auto"/>
          <w:sz w:val="24"/>
          <w:szCs w:val="24"/>
          <w:u w:val="none"/>
          <w:lang w:val="en-US" w:eastAsia="zh-CN"/>
        </w:rPr>
      </w:pPr>
    </w:p>
    <w:p w14:paraId="7F5553A1">
      <w:pPr>
        <w:pStyle w:val="54"/>
        <w:outlineLvl w:val="9"/>
        <w:rPr>
          <w:rFonts w:hint="eastAsia" w:ascii="宋体" w:hAnsi="宋体" w:eastAsia="宋体" w:cs="宋体"/>
          <w:b/>
          <w:bCs/>
          <w:color w:val="auto"/>
          <w:sz w:val="24"/>
          <w:szCs w:val="24"/>
          <w:u w:val="none"/>
          <w:lang w:val="en-US" w:eastAsia="zh-CN"/>
        </w:rPr>
      </w:pPr>
    </w:p>
    <w:p w14:paraId="33C481D0">
      <w:pPr>
        <w:outlineLvl w:val="9"/>
        <w:rPr>
          <w:rFonts w:hint="eastAsia"/>
          <w:lang w:val="en-US" w:eastAsia="zh-CN"/>
        </w:rPr>
      </w:pPr>
    </w:p>
    <w:p w14:paraId="7A46EB53">
      <w:pPr>
        <w:spacing w:line="480" w:lineRule="auto"/>
        <w:jc w:val="center"/>
        <w:outlineLvl w:val="0"/>
        <w:rPr>
          <w:rFonts w:hint="eastAsia" w:ascii="宋体" w:hAnsi="宋体" w:eastAsia="宋体" w:cs="宋体"/>
          <w:b/>
          <w:bCs/>
          <w:color w:val="auto"/>
          <w:sz w:val="24"/>
          <w:szCs w:val="24"/>
          <w:highlight w:val="none"/>
          <w:lang w:val="en-US" w:eastAsia="zh-CN"/>
        </w:rPr>
      </w:pPr>
      <w:r>
        <w:rPr>
          <w:rFonts w:hint="eastAsia" w:ascii="宋体" w:hAnsi="宋体" w:eastAsia="宋体" w:cs="宋体"/>
          <w:b/>
          <w:color w:val="auto"/>
          <w:sz w:val="32"/>
          <w:szCs w:val="32"/>
          <w:highlight w:val="none"/>
          <w:lang w:val="en-US" w:eastAsia="zh-CN"/>
        </w:rPr>
        <w:t>第五章 采购服务内容及要求</w:t>
      </w:r>
    </w:p>
    <w:p w14:paraId="7BCC1998">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sz w:val="24"/>
          <w:szCs w:val="32"/>
          <w:highlight w:val="none"/>
          <w:lang w:eastAsia="zh-CN"/>
        </w:rPr>
      </w:pPr>
      <w:r>
        <w:rPr>
          <w:rFonts w:hint="eastAsia" w:ascii="宋体" w:hAnsi="宋体" w:eastAsia="宋体" w:cs="宋体"/>
          <w:sz w:val="24"/>
          <w:szCs w:val="32"/>
          <w:highlight w:val="none"/>
          <w:lang w:val="en-US" w:eastAsia="zh-CN"/>
        </w:rPr>
        <w:t>1</w:t>
      </w:r>
      <w:r>
        <w:rPr>
          <w:rFonts w:hint="eastAsia" w:ascii="宋体" w:hAnsi="宋体" w:eastAsia="宋体" w:cs="宋体"/>
          <w:sz w:val="24"/>
          <w:szCs w:val="32"/>
          <w:highlight w:val="none"/>
          <w:lang w:eastAsia="zh-CN"/>
        </w:rPr>
        <w:t>、</w:t>
      </w:r>
      <w:r>
        <w:rPr>
          <w:rFonts w:hint="eastAsia" w:ascii="宋体" w:hAnsi="宋体" w:eastAsia="宋体" w:cs="宋体"/>
          <w:sz w:val="24"/>
          <w:szCs w:val="32"/>
          <w:highlight w:val="none"/>
        </w:rPr>
        <w:t>项目名称：</w:t>
      </w:r>
      <w:r>
        <w:rPr>
          <w:rFonts w:hint="eastAsia" w:ascii="宋体" w:hAnsi="宋体" w:cs="宋体"/>
          <w:sz w:val="24"/>
          <w:szCs w:val="32"/>
          <w:highlight w:val="none"/>
          <w:lang w:eastAsia="zh-CN"/>
        </w:rPr>
        <w:t>信阳市羊山新区规划事务中心北湖春天美好生活广场北侧地块及石子岗安置小区南侧地块膨土质粘土岩勘探工程</w:t>
      </w:r>
      <w:r>
        <w:rPr>
          <w:rFonts w:hint="eastAsia" w:ascii="宋体" w:hAnsi="宋体" w:eastAsia="宋体" w:cs="宋体"/>
          <w:sz w:val="24"/>
          <w:szCs w:val="32"/>
          <w:highlight w:val="none"/>
          <w:lang w:eastAsia="zh-CN"/>
        </w:rPr>
        <w:t xml:space="preserve"> </w:t>
      </w:r>
    </w:p>
    <w:p w14:paraId="76DD741D">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color w:val="auto"/>
          <w:sz w:val="24"/>
          <w:szCs w:val="32"/>
          <w:lang w:val="en-US" w:eastAsia="zh-CN"/>
        </w:rPr>
        <w:t>2</w:t>
      </w:r>
      <w:r>
        <w:rPr>
          <w:rFonts w:hint="eastAsia" w:ascii="宋体" w:hAnsi="宋体" w:eastAsia="宋体" w:cs="宋体"/>
          <w:color w:val="auto"/>
          <w:sz w:val="24"/>
          <w:szCs w:val="32"/>
          <w:lang w:eastAsia="zh-CN"/>
        </w:rPr>
        <w:t>、</w:t>
      </w:r>
      <w:r>
        <w:rPr>
          <w:rFonts w:hint="eastAsia" w:ascii="宋体" w:hAnsi="宋体" w:eastAsia="宋体" w:cs="宋体"/>
          <w:color w:val="auto"/>
          <w:sz w:val="24"/>
          <w:szCs w:val="32"/>
        </w:rPr>
        <w:t>采购需求：</w:t>
      </w:r>
      <w:r>
        <w:rPr>
          <w:rFonts w:hint="eastAsia" w:ascii="宋体" w:hAnsi="宋体" w:eastAsia="宋体" w:cs="宋体"/>
          <w:color w:val="auto"/>
          <w:sz w:val="24"/>
          <w:szCs w:val="32"/>
          <w:lang w:eastAsia="zh-CN"/>
        </w:rPr>
        <w:t>本项目</w:t>
      </w:r>
      <w:r>
        <w:rPr>
          <w:rFonts w:hint="eastAsia" w:ascii="宋体" w:hAnsi="宋体" w:eastAsia="宋体" w:cs="宋体"/>
          <w:b w:val="0"/>
          <w:bCs w:val="0"/>
          <w:color w:val="auto"/>
          <w:sz w:val="24"/>
          <w:szCs w:val="32"/>
          <w:highlight w:val="none"/>
          <w:lang w:val="en-US" w:eastAsia="zh-CN"/>
        </w:rPr>
        <w:t>采购内容：</w:t>
      </w:r>
      <w:r>
        <w:rPr>
          <w:rFonts w:hint="eastAsia" w:ascii="宋体" w:hAnsi="宋体" w:cs="宋体"/>
          <w:b w:val="0"/>
          <w:bCs w:val="0"/>
          <w:color w:val="auto"/>
          <w:sz w:val="24"/>
          <w:szCs w:val="32"/>
          <w:highlight w:val="none"/>
          <w:lang w:val="en-US" w:eastAsia="zh-CN"/>
        </w:rPr>
        <w:t>项目主要工作内容包含地形测绘、GPS控制测量、地质填图、勘查线剖面测量、矿产地质钻探、岩矿鉴定、化学全分析、吸蓝量测定、阳离子交换性能测定、组合分析等各类实验测试，同时包含剖面线测量、工程点测量、钻探编录、采样、报告编制及其他地质工作等。</w:t>
      </w:r>
    </w:p>
    <w:p w14:paraId="691ABD7C">
      <w:pPr>
        <w:keepNext w:val="0"/>
        <w:keepLines w:val="0"/>
        <w:pageBreakBefore w:val="0"/>
        <w:widowControl w:val="0"/>
        <w:kinsoku/>
        <w:wordWrap/>
        <w:overflowPunct/>
        <w:topLinePunct w:val="0"/>
        <w:autoSpaceDE/>
        <w:autoSpaceDN/>
        <w:bidi w:val="0"/>
        <w:adjustRightInd/>
        <w:snapToGrid/>
        <w:spacing w:line="360" w:lineRule="auto"/>
        <w:ind w:left="239" w:leftChars="114" w:firstLine="240" w:firstLineChars="1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3、服务期限：</w:t>
      </w:r>
      <w:r>
        <w:rPr>
          <w:rFonts w:hint="eastAsia" w:ascii="宋体" w:hAnsi="宋体" w:cs="宋体"/>
          <w:b w:val="0"/>
          <w:bCs w:val="0"/>
          <w:color w:val="auto"/>
          <w:sz w:val="24"/>
          <w:szCs w:val="32"/>
          <w:highlight w:val="none"/>
          <w:lang w:val="en-US" w:eastAsia="zh-CN"/>
        </w:rPr>
        <w:t>60日历天</w:t>
      </w:r>
      <w:r>
        <w:rPr>
          <w:rFonts w:hint="eastAsia" w:ascii="宋体" w:hAnsi="宋体" w:eastAsia="宋体" w:cs="宋体"/>
          <w:b w:val="0"/>
          <w:bCs w:val="0"/>
          <w:color w:val="auto"/>
          <w:sz w:val="24"/>
          <w:szCs w:val="32"/>
          <w:highlight w:val="none"/>
          <w:lang w:val="en-US" w:eastAsia="zh-CN"/>
        </w:rPr>
        <w:t>；</w:t>
      </w:r>
    </w:p>
    <w:p w14:paraId="1428F3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4、服务地点：按采购单位指定地点完成相关采购内容；</w:t>
      </w:r>
    </w:p>
    <w:p w14:paraId="1E21C81A">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5、</w:t>
      </w:r>
      <w:r>
        <w:rPr>
          <w:rFonts w:hint="eastAsia" w:ascii="宋体" w:hAnsi="宋体" w:eastAsia="宋体" w:cs="宋体"/>
          <w:b w:val="0"/>
          <w:bCs w:val="0"/>
          <w:color w:val="auto"/>
          <w:sz w:val="24"/>
          <w:szCs w:val="32"/>
          <w:highlight w:val="none"/>
        </w:rPr>
        <w:t>质量要求：</w:t>
      </w:r>
      <w:r>
        <w:rPr>
          <w:rFonts w:hint="eastAsia" w:ascii="宋体" w:hAnsi="宋体" w:cs="宋体"/>
          <w:b w:val="0"/>
          <w:bCs w:val="0"/>
          <w:color w:val="auto"/>
          <w:sz w:val="24"/>
          <w:szCs w:val="32"/>
          <w:highlight w:val="none"/>
          <w:lang w:val="en-US" w:eastAsia="zh-CN"/>
        </w:rPr>
        <w:t>符合国家规范、规程和地方性法规及相关技术要求等规定；</w:t>
      </w:r>
    </w:p>
    <w:p w14:paraId="762D30DC">
      <w:pPr>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b w:val="0"/>
          <w:bCs w:val="0"/>
          <w:color w:val="auto"/>
          <w:sz w:val="24"/>
          <w:szCs w:val="32"/>
          <w:highlight w:val="none"/>
          <w:lang w:val="en-US" w:eastAsia="zh-CN"/>
        </w:rPr>
      </w:pPr>
      <w:r>
        <w:rPr>
          <w:rFonts w:hint="eastAsia" w:ascii="宋体" w:hAnsi="宋体" w:eastAsia="宋体" w:cs="宋体"/>
          <w:b w:val="0"/>
          <w:bCs w:val="0"/>
          <w:color w:val="auto"/>
          <w:sz w:val="24"/>
          <w:szCs w:val="32"/>
          <w:highlight w:val="none"/>
          <w:lang w:val="en-US" w:eastAsia="zh-CN"/>
        </w:rPr>
        <w:t>6、对所在北湖春天美好生活广场北侧地块和石子岗安置小区南侧地块进行地质勘查，查明膨土质粘土岩资源储量，编制勘探报告，为下一步地块内膨土质粘土岩资源出让工作提供地质资料依据。</w:t>
      </w:r>
    </w:p>
    <w:p w14:paraId="77751109">
      <w:pPr>
        <w:spacing w:line="500" w:lineRule="exact"/>
        <w:ind w:firstLine="480" w:firstLineChars="200"/>
        <w:rPr>
          <w:rFonts w:hint="eastAsia" w:ascii="宋体" w:hAnsi="宋体" w:eastAsia="宋体" w:cs="宋体"/>
          <w:color w:val="auto"/>
          <w:sz w:val="24"/>
          <w:szCs w:val="24"/>
          <w:highlight w:val="none"/>
        </w:rPr>
      </w:pPr>
    </w:p>
    <w:p w14:paraId="1B10B18A">
      <w:pPr>
        <w:spacing w:line="500" w:lineRule="exact"/>
        <w:ind w:firstLine="480" w:firstLineChars="200"/>
        <w:rPr>
          <w:rFonts w:hint="eastAsia" w:ascii="宋体" w:hAnsi="宋体" w:eastAsia="宋体" w:cs="宋体"/>
          <w:color w:val="auto"/>
          <w:sz w:val="24"/>
          <w:szCs w:val="24"/>
          <w:highlight w:val="none"/>
        </w:rPr>
      </w:pPr>
    </w:p>
    <w:p w14:paraId="2390D83C">
      <w:pPr>
        <w:spacing w:line="500" w:lineRule="exact"/>
        <w:ind w:firstLine="480" w:firstLineChars="200"/>
        <w:rPr>
          <w:rFonts w:hint="eastAsia" w:ascii="宋体" w:hAnsi="宋体" w:eastAsia="宋体" w:cs="宋体"/>
          <w:color w:val="auto"/>
          <w:sz w:val="24"/>
          <w:szCs w:val="24"/>
          <w:highlight w:val="none"/>
        </w:rPr>
      </w:pPr>
    </w:p>
    <w:p w14:paraId="515A8CBD">
      <w:pPr>
        <w:spacing w:line="500" w:lineRule="exact"/>
        <w:ind w:firstLine="480" w:firstLineChars="200"/>
        <w:rPr>
          <w:rFonts w:hint="eastAsia" w:ascii="宋体" w:hAnsi="宋体" w:eastAsia="宋体" w:cs="宋体"/>
          <w:color w:val="auto"/>
          <w:sz w:val="24"/>
          <w:szCs w:val="24"/>
          <w:highlight w:val="none"/>
        </w:rPr>
      </w:pPr>
    </w:p>
    <w:p w14:paraId="6F35E4C2">
      <w:pPr>
        <w:spacing w:line="500" w:lineRule="exact"/>
        <w:ind w:firstLine="480" w:firstLineChars="200"/>
        <w:rPr>
          <w:rFonts w:hint="eastAsia" w:ascii="宋体" w:hAnsi="宋体" w:eastAsia="宋体" w:cs="宋体"/>
          <w:color w:val="auto"/>
          <w:sz w:val="24"/>
          <w:szCs w:val="24"/>
          <w:highlight w:val="none"/>
        </w:rPr>
      </w:pPr>
    </w:p>
    <w:p w14:paraId="284F5969">
      <w:pPr>
        <w:spacing w:line="500" w:lineRule="exact"/>
        <w:ind w:firstLine="480" w:firstLineChars="200"/>
        <w:rPr>
          <w:rFonts w:hint="eastAsia" w:ascii="宋体" w:hAnsi="宋体" w:eastAsia="宋体" w:cs="宋体"/>
          <w:color w:val="auto"/>
          <w:sz w:val="24"/>
          <w:szCs w:val="24"/>
          <w:highlight w:val="none"/>
        </w:rPr>
      </w:pPr>
    </w:p>
    <w:p w14:paraId="47A0E70E">
      <w:pPr>
        <w:rPr>
          <w:rFonts w:hint="eastAsia" w:ascii="宋体" w:hAnsi="宋体" w:eastAsia="宋体" w:cs="宋体"/>
        </w:rPr>
      </w:pPr>
      <w:bookmarkStart w:id="741" w:name="_Toc30076"/>
      <w:r>
        <w:rPr>
          <w:rFonts w:hint="eastAsia" w:ascii="宋体" w:hAnsi="宋体" w:eastAsia="宋体" w:cs="宋体"/>
        </w:rPr>
        <w:br w:type="page"/>
      </w:r>
    </w:p>
    <w:p w14:paraId="009A37F2">
      <w:pPr>
        <w:pStyle w:val="3"/>
        <w:spacing w:line="240" w:lineRule="auto"/>
        <w:jc w:val="center"/>
        <w:outlineLvl w:val="0"/>
        <w:rPr>
          <w:rFonts w:hint="eastAsia" w:ascii="宋体" w:hAnsi="宋体" w:eastAsia="宋体" w:cs="宋体"/>
          <w:sz w:val="44"/>
          <w:szCs w:val="44"/>
          <w:u w:val="single"/>
        </w:rPr>
      </w:pPr>
      <w:r>
        <w:rPr>
          <w:rFonts w:hint="eastAsia" w:ascii="宋体" w:hAnsi="宋体" w:eastAsia="宋体" w:cs="宋体"/>
        </w:rPr>
        <w:t>第六章</w:t>
      </w:r>
      <w:bookmarkEnd w:id="738"/>
      <w:bookmarkEnd w:id="739"/>
      <w:bookmarkEnd w:id="740"/>
      <w:bookmarkEnd w:id="741"/>
      <w:bookmarkStart w:id="742" w:name="_Toc8839"/>
      <w:bookmarkStart w:id="743" w:name="_Toc112925001"/>
      <w:bookmarkStart w:id="744" w:name="_Toc122529957"/>
      <w:bookmarkStart w:id="745" w:name="_Toc2321"/>
      <w:bookmarkStart w:id="746" w:name="_Toc135466717"/>
      <w:bookmarkStart w:id="747" w:name="_Toc14948"/>
      <w:bookmarkStart w:id="748" w:name="_Toc232478051"/>
      <w:r>
        <w:rPr>
          <w:rFonts w:hint="eastAsia" w:ascii="宋体" w:hAnsi="宋体" w:eastAsia="宋体" w:cs="宋体"/>
          <w:lang w:val="en-US" w:eastAsia="zh-CN"/>
        </w:rPr>
        <w:t xml:space="preserve"> </w:t>
      </w:r>
      <w:r>
        <w:rPr>
          <w:rFonts w:hint="eastAsia" w:ascii="宋体" w:hAnsi="宋体" w:eastAsia="宋体" w:cs="宋体"/>
          <w:lang w:eastAsia="zh-CN"/>
        </w:rPr>
        <w:t>竞争性磋商响应文件格式</w:t>
      </w:r>
    </w:p>
    <w:p w14:paraId="462DC423">
      <w:pPr>
        <w:rPr>
          <w:rFonts w:hint="eastAsia" w:ascii="宋体" w:hAnsi="宋体" w:eastAsia="宋体" w:cs="宋体"/>
        </w:rPr>
      </w:pPr>
    </w:p>
    <w:p w14:paraId="613E5505">
      <w:pPr>
        <w:jc w:val="center"/>
        <w:rPr>
          <w:rFonts w:hint="default" w:ascii="宋体" w:hAnsi="宋体" w:eastAsia="宋体" w:cs="宋体"/>
          <w:b/>
          <w:bCs/>
          <w:color w:val="auto"/>
          <w:sz w:val="32"/>
          <w:szCs w:val="32"/>
          <w:lang w:val="en-US" w:eastAsia="zh-CN"/>
        </w:rPr>
      </w:pPr>
      <w:r>
        <w:rPr>
          <w:rFonts w:hint="eastAsia" w:ascii="宋体" w:hAnsi="宋体" w:eastAsia="宋体" w:cs="宋体"/>
          <w:b/>
          <w:bCs/>
          <w:color w:val="auto"/>
          <w:sz w:val="32"/>
          <w:szCs w:val="32"/>
          <w:u w:val="single"/>
        </w:rPr>
        <w:t xml:space="preserve">             </w:t>
      </w:r>
      <w:r>
        <w:rPr>
          <w:rFonts w:hint="eastAsia" w:ascii="宋体" w:hAnsi="宋体" w:eastAsia="宋体" w:cs="宋体"/>
          <w:b/>
          <w:bCs/>
          <w:color w:val="auto"/>
          <w:sz w:val="32"/>
          <w:szCs w:val="32"/>
          <w:u w:val="none"/>
        </w:rPr>
        <w:t>（项目名称）</w:t>
      </w:r>
    </w:p>
    <w:p w14:paraId="29835EAF">
      <w:pPr>
        <w:spacing w:line="600" w:lineRule="auto"/>
        <w:jc w:val="center"/>
        <w:rPr>
          <w:rFonts w:hint="eastAsia" w:ascii="宋体" w:hAnsi="宋体" w:eastAsia="宋体" w:cs="宋体"/>
          <w:b/>
          <w:sz w:val="72"/>
          <w:szCs w:val="72"/>
        </w:rPr>
      </w:pPr>
    </w:p>
    <w:p w14:paraId="4A9CCECF">
      <w:pPr>
        <w:spacing w:line="600" w:lineRule="auto"/>
        <w:jc w:val="center"/>
        <w:outlineLvl w:val="9"/>
        <w:rPr>
          <w:rFonts w:hint="eastAsia" w:ascii="宋体" w:hAnsi="宋体" w:eastAsia="宋体" w:cs="宋体"/>
          <w:b/>
          <w:sz w:val="72"/>
          <w:szCs w:val="72"/>
        </w:rPr>
      </w:pPr>
      <w:r>
        <w:rPr>
          <w:rFonts w:hint="eastAsia" w:ascii="宋体" w:hAnsi="宋体" w:eastAsia="宋体" w:cs="宋体"/>
          <w:b/>
          <w:sz w:val="72"/>
          <w:szCs w:val="72"/>
        </w:rPr>
        <w:t>响应文件</w:t>
      </w:r>
    </w:p>
    <w:p w14:paraId="64C15A7F">
      <w:pPr>
        <w:outlineLvl w:val="9"/>
        <w:rPr>
          <w:rFonts w:hint="eastAsia" w:ascii="宋体" w:hAnsi="宋体" w:eastAsia="宋体" w:cs="宋体"/>
          <w:sz w:val="72"/>
          <w:szCs w:val="72"/>
        </w:rPr>
      </w:pPr>
    </w:p>
    <w:p w14:paraId="3B9338E8">
      <w:pPr>
        <w:outlineLvl w:val="9"/>
        <w:rPr>
          <w:rFonts w:hint="eastAsia" w:ascii="宋体" w:hAnsi="宋体" w:eastAsia="宋体" w:cs="宋体"/>
          <w:sz w:val="72"/>
          <w:szCs w:val="72"/>
        </w:rPr>
      </w:pPr>
    </w:p>
    <w:p w14:paraId="42B47599">
      <w:pPr>
        <w:outlineLvl w:val="9"/>
        <w:rPr>
          <w:rFonts w:hint="eastAsia" w:ascii="宋体" w:hAnsi="宋体" w:eastAsia="宋体" w:cs="宋体"/>
          <w:b/>
          <w:sz w:val="72"/>
          <w:szCs w:val="72"/>
        </w:rPr>
      </w:pPr>
    </w:p>
    <w:p w14:paraId="0EDE3EA6">
      <w:pPr>
        <w:pStyle w:val="2"/>
        <w:outlineLvl w:val="9"/>
        <w:rPr>
          <w:rFonts w:hint="eastAsia" w:ascii="宋体" w:hAnsi="宋体" w:eastAsia="宋体" w:cs="宋体"/>
          <w:b/>
          <w:sz w:val="72"/>
          <w:szCs w:val="72"/>
        </w:rPr>
      </w:pPr>
    </w:p>
    <w:p w14:paraId="4879B828">
      <w:pPr>
        <w:pStyle w:val="28"/>
        <w:outlineLvl w:val="9"/>
        <w:rPr>
          <w:rFonts w:hint="eastAsia" w:ascii="宋体" w:hAnsi="宋体" w:eastAsia="宋体" w:cs="宋体"/>
        </w:rPr>
      </w:pPr>
    </w:p>
    <w:p w14:paraId="4D0C2695">
      <w:pPr>
        <w:outlineLvl w:val="9"/>
        <w:rPr>
          <w:rFonts w:hint="eastAsia" w:ascii="宋体" w:hAnsi="宋体" w:eastAsia="宋体" w:cs="宋体"/>
        </w:rPr>
      </w:pPr>
    </w:p>
    <w:p w14:paraId="1F8C3308">
      <w:pPr>
        <w:spacing w:line="600" w:lineRule="auto"/>
        <w:jc w:val="center"/>
        <w:rPr>
          <w:rFonts w:hint="eastAsia" w:ascii="宋体" w:hAnsi="宋体" w:eastAsia="宋体" w:cs="宋体"/>
          <w:b/>
          <w:sz w:val="24"/>
        </w:rPr>
      </w:pPr>
    </w:p>
    <w:p w14:paraId="55FF01AC">
      <w:pPr>
        <w:spacing w:line="600" w:lineRule="auto"/>
        <w:jc w:val="center"/>
        <w:rPr>
          <w:rFonts w:hint="eastAsia" w:ascii="宋体" w:hAnsi="宋体" w:eastAsia="宋体" w:cs="宋体"/>
          <w:b/>
          <w:sz w:val="24"/>
          <w:szCs w:val="24"/>
        </w:rPr>
      </w:pPr>
      <w:r>
        <w:rPr>
          <w:rFonts w:hint="eastAsia" w:ascii="宋体" w:hAnsi="宋体" w:eastAsia="宋体" w:cs="宋体"/>
          <w:b/>
          <w:sz w:val="24"/>
        </w:rPr>
        <w:t xml:space="preserve"> </w:t>
      </w:r>
      <w:bookmarkStart w:id="749" w:name="_Toc1924"/>
      <w:r>
        <w:rPr>
          <w:rFonts w:hint="eastAsia" w:ascii="宋体" w:hAnsi="宋体" w:eastAsia="宋体" w:cs="宋体"/>
          <w:b/>
          <w:sz w:val="24"/>
          <w:szCs w:val="24"/>
        </w:rPr>
        <w:t>供应商名称：</w:t>
      </w:r>
      <w:r>
        <w:rPr>
          <w:rFonts w:hint="eastAsia" w:ascii="宋体" w:hAnsi="宋体" w:eastAsia="宋体" w:cs="宋体"/>
          <w:b/>
          <w:sz w:val="24"/>
          <w:szCs w:val="24"/>
          <w:u w:val="single"/>
        </w:rPr>
        <w:t xml:space="preserve">                        </w:t>
      </w:r>
      <w:r>
        <w:rPr>
          <w:rFonts w:hint="eastAsia" w:ascii="宋体" w:hAnsi="宋体" w:eastAsia="宋体" w:cs="宋体"/>
          <w:b/>
          <w:sz w:val="24"/>
          <w:szCs w:val="24"/>
        </w:rPr>
        <w:t>（单位电子签章）</w:t>
      </w:r>
    </w:p>
    <w:p w14:paraId="37F41489">
      <w:pPr>
        <w:spacing w:line="600" w:lineRule="auto"/>
        <w:rPr>
          <w:rFonts w:hint="eastAsia" w:ascii="宋体" w:hAnsi="宋体" w:eastAsia="宋体" w:cs="宋体"/>
          <w:b/>
          <w:sz w:val="24"/>
          <w:szCs w:val="24"/>
        </w:rPr>
      </w:pPr>
      <w:r>
        <w:rPr>
          <w:rFonts w:hint="eastAsia" w:ascii="宋体" w:hAnsi="宋体" w:eastAsia="宋体" w:cs="宋体"/>
          <w:b/>
          <w:sz w:val="24"/>
          <w:szCs w:val="24"/>
        </w:rPr>
        <w:t xml:space="preserve">             法定代表人：</w:t>
      </w:r>
      <w:r>
        <w:rPr>
          <w:rFonts w:hint="eastAsia" w:ascii="宋体" w:hAnsi="宋体" w:eastAsia="宋体" w:cs="宋体"/>
          <w:b/>
          <w:sz w:val="24"/>
          <w:szCs w:val="24"/>
          <w:u w:val="single"/>
        </w:rPr>
        <w:t xml:space="preserve">                      </w:t>
      </w:r>
      <w:r>
        <w:rPr>
          <w:rFonts w:hint="eastAsia" w:ascii="宋体" w:hAnsi="宋体" w:eastAsia="宋体" w:cs="宋体"/>
          <w:b/>
          <w:sz w:val="24"/>
          <w:szCs w:val="24"/>
        </w:rPr>
        <w:t>（法定代表人电子签名</w:t>
      </w:r>
      <w:r>
        <w:rPr>
          <w:rFonts w:hint="eastAsia" w:ascii="宋体" w:hAnsi="宋体" w:eastAsia="宋体" w:cs="宋体"/>
          <w:b/>
          <w:spacing w:val="11"/>
          <w:sz w:val="24"/>
          <w:szCs w:val="24"/>
        </w:rPr>
        <w:t>或签章</w:t>
      </w:r>
      <w:r>
        <w:rPr>
          <w:rFonts w:hint="eastAsia" w:ascii="宋体" w:hAnsi="宋体" w:eastAsia="宋体" w:cs="宋体"/>
          <w:b/>
          <w:sz w:val="24"/>
          <w:szCs w:val="24"/>
        </w:rPr>
        <w:t>）</w:t>
      </w:r>
    </w:p>
    <w:p w14:paraId="786CC72D">
      <w:pPr>
        <w:spacing w:line="600" w:lineRule="auto"/>
        <w:jc w:val="center"/>
        <w:rPr>
          <w:rFonts w:hint="eastAsia" w:ascii="宋体" w:hAnsi="宋体" w:eastAsia="宋体" w:cs="宋体"/>
          <w:b/>
          <w:sz w:val="24"/>
          <w:szCs w:val="24"/>
        </w:rPr>
      </w:pPr>
      <w:r>
        <w:rPr>
          <w:rFonts w:hint="eastAsia" w:ascii="宋体" w:hAnsi="宋体" w:eastAsia="宋体" w:cs="宋体"/>
          <w:b/>
          <w:sz w:val="24"/>
          <w:szCs w:val="24"/>
          <w:u w:val="none"/>
        </w:rPr>
        <w:t>日      期：</w:t>
      </w:r>
      <w:r>
        <w:rPr>
          <w:rFonts w:hint="eastAsia" w:ascii="宋体" w:hAnsi="宋体" w:eastAsia="宋体" w:cs="宋体"/>
          <w:b/>
          <w:sz w:val="24"/>
          <w:szCs w:val="24"/>
          <w:u w:val="single"/>
        </w:rPr>
        <w:t xml:space="preserve">      </w:t>
      </w:r>
      <w:r>
        <w:rPr>
          <w:rFonts w:hint="eastAsia" w:ascii="宋体" w:hAnsi="宋体" w:eastAsia="宋体" w:cs="宋体"/>
          <w:b/>
          <w:sz w:val="24"/>
          <w:szCs w:val="24"/>
        </w:rPr>
        <w:t>年</w:t>
      </w:r>
      <w:r>
        <w:rPr>
          <w:rFonts w:hint="eastAsia" w:ascii="宋体" w:hAnsi="宋体" w:eastAsia="宋体" w:cs="宋体"/>
          <w:b/>
          <w:sz w:val="24"/>
          <w:szCs w:val="24"/>
          <w:u w:val="single"/>
        </w:rPr>
        <w:t xml:space="preserve">     </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eastAsia="宋体" w:cs="宋体"/>
          <w:b/>
          <w:sz w:val="24"/>
          <w:szCs w:val="24"/>
        </w:rPr>
        <w:t>日</w:t>
      </w:r>
    </w:p>
    <w:p w14:paraId="12601E4E">
      <w:pPr>
        <w:pStyle w:val="31"/>
        <w:rPr>
          <w:rFonts w:hint="eastAsia"/>
        </w:rPr>
      </w:pPr>
    </w:p>
    <w:p w14:paraId="3130C489">
      <w:pPr>
        <w:jc w:val="center"/>
        <w:outlineLvl w:val="9"/>
        <w:rPr>
          <w:rFonts w:hint="eastAsia" w:ascii="宋体" w:hAnsi="宋体" w:eastAsia="宋体" w:cs="宋体"/>
          <w:sz w:val="30"/>
          <w:szCs w:val="30"/>
        </w:rPr>
      </w:pPr>
      <w:r>
        <w:rPr>
          <w:rFonts w:hint="eastAsia" w:ascii="宋体" w:hAnsi="宋体" w:eastAsia="宋体" w:cs="宋体"/>
          <w:sz w:val="28"/>
        </w:rPr>
        <w:t>目录</w:t>
      </w:r>
    </w:p>
    <w:p w14:paraId="37FCB0A4">
      <w:pPr>
        <w:numPr>
          <w:ilvl w:val="0"/>
          <w:numId w:val="0"/>
        </w:numPr>
        <w:bidi w:val="0"/>
        <w:spacing w:line="400" w:lineRule="exact"/>
        <w:ind w:left="210" w:right="210"/>
        <w:jc w:val="center"/>
        <w:outlineLvl w:val="9"/>
        <w:rPr>
          <w:rFonts w:hint="eastAsia" w:ascii="宋体" w:hAnsi="宋体" w:eastAsia="宋体" w:cs="宋体"/>
          <w:b/>
          <w:color w:val="auto"/>
          <w:sz w:val="28"/>
          <w:szCs w:val="28"/>
        </w:rPr>
      </w:pPr>
      <w:r>
        <w:rPr>
          <w:rFonts w:hint="eastAsia" w:ascii="宋体" w:hAnsi="宋体" w:eastAsia="宋体" w:cs="宋体"/>
          <w:b/>
          <w:color w:val="auto"/>
          <w:sz w:val="28"/>
          <w:szCs w:val="28"/>
        </w:rPr>
        <w:t>（目录格式自拟但须清晰明了）</w:t>
      </w:r>
    </w:p>
    <w:p w14:paraId="04E6931A">
      <w:pPr>
        <w:pStyle w:val="31"/>
        <w:ind w:firstLine="300"/>
        <w:rPr>
          <w:rFonts w:hint="eastAsia" w:ascii="宋体" w:hAnsi="宋体" w:eastAsia="宋体" w:cs="宋体"/>
          <w:sz w:val="30"/>
          <w:szCs w:val="30"/>
        </w:rPr>
      </w:pPr>
    </w:p>
    <w:p w14:paraId="6548F04A">
      <w:pPr>
        <w:rPr>
          <w:rFonts w:hint="eastAsia" w:ascii="宋体" w:hAnsi="宋体" w:eastAsia="宋体" w:cs="宋体"/>
          <w:sz w:val="30"/>
          <w:szCs w:val="30"/>
        </w:rPr>
      </w:pPr>
    </w:p>
    <w:p w14:paraId="60D4A093">
      <w:pPr>
        <w:pStyle w:val="31"/>
        <w:rPr>
          <w:rFonts w:hint="eastAsia" w:ascii="宋体" w:hAnsi="宋体" w:eastAsia="宋体" w:cs="宋体"/>
          <w:sz w:val="30"/>
          <w:szCs w:val="30"/>
        </w:rPr>
      </w:pPr>
    </w:p>
    <w:p w14:paraId="2DE9BFD0">
      <w:pPr>
        <w:rPr>
          <w:rFonts w:hint="eastAsia" w:ascii="宋体" w:hAnsi="宋体" w:eastAsia="宋体" w:cs="宋体"/>
          <w:sz w:val="30"/>
          <w:szCs w:val="30"/>
        </w:rPr>
      </w:pPr>
    </w:p>
    <w:p w14:paraId="0BD3BD87">
      <w:pPr>
        <w:pStyle w:val="31"/>
        <w:rPr>
          <w:rFonts w:hint="eastAsia" w:ascii="宋体" w:hAnsi="宋体" w:eastAsia="宋体" w:cs="宋体"/>
          <w:sz w:val="30"/>
          <w:szCs w:val="30"/>
        </w:rPr>
      </w:pPr>
    </w:p>
    <w:p w14:paraId="783FF317">
      <w:pPr>
        <w:rPr>
          <w:rFonts w:hint="eastAsia" w:ascii="宋体" w:hAnsi="宋体" w:eastAsia="宋体" w:cs="宋体"/>
          <w:sz w:val="30"/>
          <w:szCs w:val="30"/>
        </w:rPr>
      </w:pPr>
    </w:p>
    <w:p w14:paraId="67ED8631">
      <w:pPr>
        <w:pStyle w:val="31"/>
        <w:rPr>
          <w:rFonts w:hint="eastAsia" w:ascii="宋体" w:hAnsi="宋体" w:eastAsia="宋体" w:cs="宋体"/>
          <w:sz w:val="30"/>
          <w:szCs w:val="30"/>
        </w:rPr>
      </w:pPr>
    </w:p>
    <w:p w14:paraId="6025466C">
      <w:pPr>
        <w:rPr>
          <w:rFonts w:hint="eastAsia" w:ascii="宋体" w:hAnsi="宋体" w:eastAsia="宋体" w:cs="宋体"/>
          <w:sz w:val="30"/>
          <w:szCs w:val="30"/>
        </w:rPr>
      </w:pPr>
    </w:p>
    <w:p w14:paraId="0285CE9E">
      <w:pPr>
        <w:pStyle w:val="31"/>
        <w:rPr>
          <w:rFonts w:hint="eastAsia" w:ascii="宋体" w:hAnsi="宋体" w:eastAsia="宋体" w:cs="宋体"/>
          <w:sz w:val="30"/>
          <w:szCs w:val="30"/>
        </w:rPr>
      </w:pPr>
    </w:p>
    <w:p w14:paraId="3E4304E3">
      <w:pPr>
        <w:rPr>
          <w:rFonts w:hint="eastAsia" w:ascii="宋体" w:hAnsi="宋体" w:eastAsia="宋体" w:cs="宋体"/>
          <w:sz w:val="30"/>
          <w:szCs w:val="30"/>
        </w:rPr>
      </w:pPr>
    </w:p>
    <w:p w14:paraId="205584EF">
      <w:pPr>
        <w:pStyle w:val="31"/>
        <w:rPr>
          <w:rFonts w:hint="eastAsia" w:ascii="宋体" w:hAnsi="宋体" w:eastAsia="宋体" w:cs="宋体"/>
          <w:sz w:val="30"/>
          <w:szCs w:val="30"/>
        </w:rPr>
      </w:pPr>
    </w:p>
    <w:p w14:paraId="315484D4">
      <w:pPr>
        <w:rPr>
          <w:rFonts w:hint="eastAsia" w:ascii="宋体" w:hAnsi="宋体" w:eastAsia="宋体" w:cs="宋体"/>
          <w:sz w:val="30"/>
          <w:szCs w:val="30"/>
        </w:rPr>
      </w:pPr>
    </w:p>
    <w:p w14:paraId="72BC4B6D">
      <w:pPr>
        <w:pStyle w:val="31"/>
        <w:rPr>
          <w:rFonts w:hint="eastAsia" w:ascii="宋体" w:hAnsi="宋体" w:eastAsia="宋体" w:cs="宋体"/>
          <w:sz w:val="30"/>
          <w:szCs w:val="30"/>
        </w:rPr>
      </w:pPr>
    </w:p>
    <w:p w14:paraId="4C8A8249">
      <w:pPr>
        <w:rPr>
          <w:rFonts w:hint="eastAsia" w:ascii="宋体" w:hAnsi="宋体" w:eastAsia="宋体" w:cs="宋体"/>
          <w:sz w:val="30"/>
          <w:szCs w:val="30"/>
        </w:rPr>
      </w:pPr>
    </w:p>
    <w:p w14:paraId="76137F60">
      <w:pPr>
        <w:pStyle w:val="31"/>
        <w:rPr>
          <w:rFonts w:hint="eastAsia" w:ascii="宋体" w:hAnsi="宋体" w:eastAsia="宋体" w:cs="宋体"/>
          <w:sz w:val="30"/>
          <w:szCs w:val="30"/>
        </w:rPr>
      </w:pPr>
    </w:p>
    <w:p w14:paraId="10F7CDD4">
      <w:pPr>
        <w:rPr>
          <w:rFonts w:hint="eastAsia"/>
        </w:rPr>
      </w:pPr>
    </w:p>
    <w:p w14:paraId="7A10D445">
      <w:pPr>
        <w:pStyle w:val="31"/>
        <w:ind w:firstLine="300"/>
        <w:rPr>
          <w:rFonts w:hint="eastAsia" w:ascii="宋体" w:hAnsi="宋体" w:eastAsia="宋体" w:cs="宋体"/>
          <w:sz w:val="30"/>
          <w:szCs w:val="30"/>
        </w:rPr>
      </w:pPr>
    </w:p>
    <w:p w14:paraId="38682BFA">
      <w:pPr>
        <w:pStyle w:val="31"/>
        <w:ind w:firstLine="300"/>
        <w:rPr>
          <w:rFonts w:hint="eastAsia" w:ascii="宋体" w:hAnsi="宋体" w:eastAsia="宋体" w:cs="宋体"/>
          <w:sz w:val="30"/>
          <w:szCs w:val="30"/>
        </w:rPr>
      </w:pPr>
    </w:p>
    <w:p w14:paraId="108F2AA9">
      <w:pPr>
        <w:pStyle w:val="31"/>
        <w:ind w:firstLine="300"/>
        <w:rPr>
          <w:rFonts w:hint="eastAsia" w:ascii="宋体" w:hAnsi="宋体" w:eastAsia="宋体" w:cs="宋体"/>
          <w:sz w:val="30"/>
          <w:szCs w:val="30"/>
        </w:rPr>
      </w:pPr>
    </w:p>
    <w:p w14:paraId="344F346E">
      <w:pPr>
        <w:pStyle w:val="31"/>
        <w:ind w:firstLine="300"/>
        <w:rPr>
          <w:rFonts w:hint="eastAsia" w:ascii="宋体" w:hAnsi="宋体" w:eastAsia="宋体" w:cs="宋体"/>
          <w:sz w:val="30"/>
          <w:szCs w:val="30"/>
        </w:rPr>
      </w:pPr>
    </w:p>
    <w:p w14:paraId="465F159D">
      <w:pPr>
        <w:rPr>
          <w:rFonts w:hint="eastAsia" w:ascii="宋体" w:hAnsi="宋体" w:eastAsia="宋体" w:cs="宋体"/>
        </w:rPr>
      </w:pPr>
    </w:p>
    <w:p w14:paraId="02359A50">
      <w:pPr>
        <w:pStyle w:val="31"/>
        <w:ind w:firstLine="300"/>
        <w:rPr>
          <w:rFonts w:hint="eastAsia" w:ascii="宋体" w:hAnsi="宋体" w:eastAsia="宋体" w:cs="宋体"/>
          <w:sz w:val="30"/>
          <w:szCs w:val="30"/>
        </w:rPr>
      </w:pPr>
    </w:p>
    <w:p w14:paraId="435738E3">
      <w:pPr>
        <w:pStyle w:val="31"/>
        <w:ind w:firstLine="300"/>
        <w:rPr>
          <w:rFonts w:hint="eastAsia" w:ascii="宋体" w:hAnsi="宋体" w:eastAsia="宋体" w:cs="宋体"/>
          <w:sz w:val="30"/>
          <w:szCs w:val="30"/>
        </w:rPr>
      </w:pPr>
    </w:p>
    <w:p w14:paraId="60BD094A">
      <w:pPr>
        <w:pStyle w:val="32"/>
        <w:rPr>
          <w:rFonts w:hint="eastAsia" w:ascii="宋体" w:hAnsi="宋体" w:eastAsia="宋体" w:cs="宋体"/>
        </w:rPr>
      </w:pPr>
    </w:p>
    <w:p w14:paraId="148E4204">
      <w:pPr>
        <w:pStyle w:val="31"/>
        <w:ind w:firstLine="300"/>
        <w:rPr>
          <w:rFonts w:hint="eastAsia" w:ascii="宋体" w:hAnsi="宋体" w:eastAsia="宋体" w:cs="宋体"/>
          <w:sz w:val="30"/>
          <w:szCs w:val="30"/>
        </w:rPr>
      </w:pPr>
    </w:p>
    <w:p w14:paraId="34FD73C1">
      <w:pPr>
        <w:pStyle w:val="31"/>
        <w:ind w:firstLine="300"/>
        <w:rPr>
          <w:rFonts w:hint="eastAsia" w:ascii="宋体" w:hAnsi="宋体" w:eastAsia="宋体" w:cs="宋体"/>
          <w:sz w:val="30"/>
          <w:szCs w:val="30"/>
        </w:rPr>
      </w:pPr>
    </w:p>
    <w:p w14:paraId="53150102">
      <w:pPr>
        <w:pStyle w:val="31"/>
        <w:ind w:firstLine="300"/>
        <w:rPr>
          <w:rFonts w:hint="eastAsia" w:ascii="宋体" w:hAnsi="宋体" w:eastAsia="宋体" w:cs="宋体"/>
          <w:sz w:val="30"/>
          <w:szCs w:val="30"/>
        </w:rPr>
      </w:pPr>
    </w:p>
    <w:p w14:paraId="421DB401">
      <w:pPr>
        <w:pStyle w:val="31"/>
        <w:ind w:firstLine="0" w:firstLineChars="0"/>
        <w:rPr>
          <w:rFonts w:hint="eastAsia" w:ascii="宋体" w:hAnsi="宋体" w:eastAsia="宋体" w:cs="宋体"/>
          <w:sz w:val="30"/>
          <w:szCs w:val="30"/>
        </w:rPr>
      </w:pPr>
    </w:p>
    <w:p w14:paraId="31641E20">
      <w:pPr>
        <w:pStyle w:val="32"/>
        <w:rPr>
          <w:rFonts w:hint="eastAsia" w:ascii="宋体" w:hAnsi="宋体" w:eastAsia="宋体" w:cs="宋体"/>
          <w:sz w:val="30"/>
          <w:szCs w:val="30"/>
        </w:rPr>
      </w:pPr>
    </w:p>
    <w:p w14:paraId="21403258">
      <w:pPr>
        <w:rPr>
          <w:rFonts w:hint="eastAsia" w:ascii="宋体" w:hAnsi="宋体" w:eastAsia="宋体" w:cs="宋体"/>
          <w:sz w:val="30"/>
          <w:szCs w:val="30"/>
        </w:rPr>
      </w:pPr>
    </w:p>
    <w:p w14:paraId="64EBFF06">
      <w:pPr>
        <w:pStyle w:val="55"/>
        <w:rPr>
          <w:rFonts w:hint="eastAsia" w:ascii="宋体" w:hAnsi="宋体" w:eastAsia="宋体" w:cs="宋体"/>
          <w:sz w:val="30"/>
          <w:szCs w:val="30"/>
        </w:rPr>
      </w:pPr>
    </w:p>
    <w:p w14:paraId="2C79AE85">
      <w:pPr>
        <w:pStyle w:val="8"/>
        <w:rPr>
          <w:rFonts w:hint="eastAsia" w:ascii="宋体" w:hAnsi="宋体" w:eastAsia="宋体" w:cs="宋体"/>
          <w:sz w:val="30"/>
          <w:szCs w:val="30"/>
        </w:rPr>
      </w:pPr>
    </w:p>
    <w:p w14:paraId="2DE104AE">
      <w:pPr>
        <w:rPr>
          <w:rFonts w:hint="eastAsia"/>
        </w:rPr>
      </w:pPr>
    </w:p>
    <w:bookmarkEnd w:id="742"/>
    <w:bookmarkEnd w:id="743"/>
    <w:bookmarkEnd w:id="744"/>
    <w:bookmarkEnd w:id="745"/>
    <w:bookmarkEnd w:id="746"/>
    <w:bookmarkEnd w:id="747"/>
    <w:bookmarkEnd w:id="748"/>
    <w:bookmarkEnd w:id="749"/>
    <w:p w14:paraId="0CBC8510">
      <w:pPr>
        <w:pStyle w:val="88"/>
        <w:numPr>
          <w:ilvl w:val="0"/>
          <w:numId w:val="0"/>
        </w:numPr>
        <w:spacing w:line="360" w:lineRule="auto"/>
        <w:ind w:leftChars="0"/>
        <w:jc w:val="center"/>
        <w:rPr>
          <w:rFonts w:hint="eastAsia" w:ascii="宋体" w:hAnsi="宋体" w:eastAsia="宋体" w:cs="宋体"/>
          <w:b/>
          <w:color w:val="auto"/>
          <w:sz w:val="30"/>
          <w:szCs w:val="30"/>
          <w:highlight w:val="none"/>
        </w:rPr>
      </w:pPr>
      <w:bookmarkStart w:id="750" w:name="_Toc152042577"/>
      <w:bookmarkStart w:id="751" w:name="_Toc144974857"/>
      <w:bookmarkStart w:id="752" w:name="_Toc152045788"/>
      <w:bookmarkStart w:id="753" w:name="_Toc9911"/>
      <w:bookmarkStart w:id="754" w:name="_Toc8095"/>
      <w:bookmarkStart w:id="755" w:name="_Toc466298158"/>
      <w:bookmarkStart w:id="756" w:name="_Toc23193"/>
      <w:bookmarkStart w:id="757" w:name="_Toc138248877"/>
      <w:bookmarkStart w:id="758" w:name="_Toc122529958"/>
      <w:bookmarkStart w:id="759" w:name="_Toc232478052"/>
      <w:bookmarkStart w:id="760" w:name="_Toc15453"/>
      <w:bookmarkStart w:id="761" w:name="_Toc139442173"/>
      <w:bookmarkStart w:id="762" w:name="_Toc17353"/>
      <w:bookmarkStart w:id="763" w:name="_Toc135466718"/>
      <w:bookmarkStart w:id="764" w:name="_Toc112925002"/>
      <w:r>
        <w:rPr>
          <w:rFonts w:hint="eastAsia" w:ascii="宋体" w:hAnsi="宋体" w:eastAsia="宋体" w:cs="宋体"/>
          <w:b/>
          <w:color w:val="auto"/>
          <w:sz w:val="30"/>
          <w:szCs w:val="30"/>
          <w:highlight w:val="none"/>
          <w:lang w:val="en-US" w:eastAsia="zh-CN"/>
        </w:rPr>
        <w:t>一、</w:t>
      </w:r>
      <w:r>
        <w:rPr>
          <w:rFonts w:hint="eastAsia" w:ascii="宋体" w:hAnsi="宋体" w:eastAsia="宋体" w:cs="宋体"/>
          <w:b/>
          <w:color w:val="auto"/>
          <w:sz w:val="30"/>
          <w:szCs w:val="30"/>
          <w:highlight w:val="none"/>
          <w:lang w:eastAsia="zh-CN"/>
        </w:rPr>
        <w:t>响应函</w:t>
      </w:r>
      <w:r>
        <w:rPr>
          <w:rFonts w:hint="eastAsia" w:ascii="宋体" w:hAnsi="宋体" w:eastAsia="宋体" w:cs="宋体"/>
          <w:b/>
          <w:color w:val="auto"/>
          <w:sz w:val="30"/>
          <w:szCs w:val="30"/>
          <w:highlight w:val="none"/>
        </w:rPr>
        <w:t>及</w:t>
      </w:r>
      <w:bookmarkEnd w:id="750"/>
      <w:bookmarkEnd w:id="751"/>
      <w:bookmarkEnd w:id="752"/>
      <w:r>
        <w:rPr>
          <w:rFonts w:hint="eastAsia" w:ascii="宋体" w:hAnsi="宋体" w:eastAsia="宋体" w:cs="宋体"/>
          <w:b/>
          <w:color w:val="auto"/>
          <w:sz w:val="30"/>
          <w:szCs w:val="30"/>
          <w:highlight w:val="none"/>
          <w:lang w:eastAsia="zh-CN"/>
        </w:rPr>
        <w:t>响应函</w:t>
      </w:r>
      <w:r>
        <w:rPr>
          <w:rFonts w:hint="eastAsia" w:ascii="宋体" w:hAnsi="宋体" w:eastAsia="宋体" w:cs="宋体"/>
          <w:b/>
          <w:color w:val="auto"/>
          <w:sz w:val="30"/>
          <w:szCs w:val="30"/>
          <w:highlight w:val="none"/>
        </w:rPr>
        <w:t>附录</w:t>
      </w:r>
      <w:bookmarkEnd w:id="753"/>
      <w:bookmarkEnd w:id="754"/>
      <w:bookmarkEnd w:id="755"/>
    </w:p>
    <w:p w14:paraId="2FA9FCC9">
      <w:pPr>
        <w:pStyle w:val="89"/>
        <w:numPr>
          <w:ilvl w:val="0"/>
          <w:numId w:val="0"/>
        </w:numPr>
        <w:spacing w:line="360" w:lineRule="auto"/>
        <w:ind w:leftChars="0"/>
        <w:jc w:val="center"/>
        <w:outlineLvl w:val="2"/>
        <w:rPr>
          <w:rFonts w:hint="eastAsia" w:ascii="宋体" w:hAnsi="宋体" w:eastAsia="宋体" w:cs="宋体"/>
          <w:b/>
          <w:color w:val="auto"/>
          <w:sz w:val="28"/>
          <w:szCs w:val="24"/>
          <w:highlight w:val="none"/>
        </w:rPr>
      </w:pPr>
      <w:r>
        <w:rPr>
          <w:rFonts w:hint="eastAsia" w:ascii="宋体" w:hAnsi="宋体" w:eastAsia="宋体" w:cs="宋体"/>
          <w:b/>
          <w:color w:val="auto"/>
          <w:sz w:val="28"/>
          <w:szCs w:val="24"/>
          <w:highlight w:val="none"/>
          <w:lang w:eastAsia="zh-CN"/>
        </w:rPr>
        <w:t>（</w:t>
      </w:r>
      <w:r>
        <w:rPr>
          <w:rFonts w:hint="eastAsia" w:ascii="宋体" w:hAnsi="宋体" w:eastAsia="宋体" w:cs="宋体"/>
          <w:b/>
          <w:color w:val="auto"/>
          <w:sz w:val="28"/>
          <w:szCs w:val="24"/>
          <w:highlight w:val="none"/>
          <w:lang w:val="en-US" w:eastAsia="zh-CN"/>
        </w:rPr>
        <w:t>一</w:t>
      </w:r>
      <w:r>
        <w:rPr>
          <w:rFonts w:hint="eastAsia" w:ascii="宋体" w:hAnsi="宋体" w:eastAsia="宋体" w:cs="宋体"/>
          <w:b/>
          <w:color w:val="auto"/>
          <w:sz w:val="28"/>
          <w:szCs w:val="24"/>
          <w:highlight w:val="none"/>
          <w:lang w:eastAsia="zh-CN"/>
        </w:rPr>
        <w:t>）响应函</w:t>
      </w:r>
    </w:p>
    <w:p w14:paraId="3832F618">
      <w:pPr>
        <w:pStyle w:val="15"/>
        <w:spacing w:line="420" w:lineRule="exact"/>
        <w:ind w:left="112" w:leftChars="0" w:hanging="112" w:hangingChars="47"/>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致 ：</w:t>
      </w:r>
      <w:r>
        <w:rPr>
          <w:rFonts w:hint="eastAsia" w:ascii="宋体" w:hAnsi="宋体" w:eastAsia="宋体" w:cs="宋体"/>
          <w:color w:val="auto"/>
          <w:sz w:val="24"/>
          <w:szCs w:val="24"/>
          <w:u w:val="single"/>
        </w:rPr>
        <w:t>（采购人）</w:t>
      </w:r>
      <w:r>
        <w:rPr>
          <w:rFonts w:hint="eastAsia" w:ascii="宋体" w:hAnsi="宋体" w:eastAsia="宋体" w:cs="宋体"/>
          <w:color w:val="auto"/>
          <w:sz w:val="24"/>
          <w:szCs w:val="24"/>
          <w:u w:val="single"/>
          <w:lang w:val="en-US" w:eastAsia="zh-CN"/>
        </w:rPr>
        <w:t xml:space="preserve">     </w:t>
      </w:r>
    </w:p>
    <w:p w14:paraId="73E38336">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根据已收到的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（项目名称）</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，遵照《中华人民共和国政府采购法》等有关规定，经考察和认真研究本项目</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及</w:t>
      </w:r>
      <w:r>
        <w:rPr>
          <w:rFonts w:hint="eastAsia" w:ascii="宋体" w:hAnsi="宋体" w:eastAsia="宋体" w:cs="宋体"/>
          <w:color w:val="auto"/>
          <w:sz w:val="24"/>
          <w:szCs w:val="24"/>
          <w:lang w:val="en-US" w:eastAsia="zh-CN"/>
        </w:rPr>
        <w:t>其他</w:t>
      </w:r>
      <w:r>
        <w:rPr>
          <w:rFonts w:hint="eastAsia" w:ascii="宋体" w:hAnsi="宋体" w:eastAsia="宋体" w:cs="宋体"/>
          <w:color w:val="auto"/>
          <w:sz w:val="24"/>
          <w:szCs w:val="24"/>
        </w:rPr>
        <w:t>有关文件后，愿以</w:t>
      </w:r>
      <w:r>
        <w:rPr>
          <w:rFonts w:hint="eastAsia" w:ascii="宋体" w:hAnsi="宋体" w:eastAsia="宋体" w:cs="宋体"/>
          <w:color w:val="auto"/>
          <w:sz w:val="24"/>
          <w:szCs w:val="24"/>
          <w:lang w:val="en-US" w:eastAsia="zh-CN"/>
        </w:rPr>
        <w:t>人民币</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大写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lang w:eastAsia="zh-CN"/>
        </w:rPr>
        <w:t>，（小写）</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响应单</w:t>
      </w:r>
      <w:r>
        <w:rPr>
          <w:rFonts w:hint="eastAsia" w:ascii="宋体" w:hAnsi="宋体" w:eastAsia="宋体" w:cs="宋体"/>
          <w:color w:val="auto"/>
          <w:sz w:val="24"/>
          <w:szCs w:val="24"/>
        </w:rPr>
        <w:t>价作为第一次磋商报价，按合同约定实施和完成本项目，并承担其任何质量缺陷等问题所造成的任何损失。</w:t>
      </w:r>
    </w:p>
    <w:p w14:paraId="1BD8657B">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我方已详细检查全部</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包括澄清文件、补充通知（如有的话）及有关附件，并完全理解我方必须放弃提出含糊不清或误解的</w:t>
      </w:r>
      <w:r>
        <w:rPr>
          <w:rFonts w:hint="eastAsia" w:ascii="宋体" w:hAnsi="宋体" w:cs="宋体"/>
          <w:color w:val="auto"/>
          <w:sz w:val="24"/>
          <w:szCs w:val="24"/>
          <w:lang w:eastAsia="zh-CN"/>
        </w:rPr>
        <w:t>权利</w:t>
      </w:r>
      <w:r>
        <w:rPr>
          <w:rFonts w:hint="eastAsia" w:ascii="宋体" w:hAnsi="宋体" w:eastAsia="宋体" w:cs="宋体"/>
          <w:color w:val="auto"/>
          <w:sz w:val="24"/>
          <w:szCs w:val="24"/>
        </w:rPr>
        <w:t>，愿按照</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中的条款和要求按最后一次的报价</w:t>
      </w:r>
      <w:r>
        <w:rPr>
          <w:rFonts w:hint="eastAsia" w:ascii="宋体" w:hAnsi="宋体" w:cs="宋体"/>
          <w:color w:val="auto"/>
          <w:sz w:val="24"/>
          <w:szCs w:val="24"/>
          <w:lang w:eastAsia="zh-CN"/>
        </w:rPr>
        <w:t>作为</w:t>
      </w:r>
      <w:r>
        <w:rPr>
          <w:rFonts w:hint="eastAsia" w:ascii="宋体" w:hAnsi="宋体" w:eastAsia="宋体" w:cs="宋体"/>
          <w:color w:val="auto"/>
          <w:sz w:val="24"/>
          <w:szCs w:val="24"/>
        </w:rPr>
        <w:t>最后报价。</w:t>
      </w:r>
    </w:p>
    <w:p w14:paraId="70F37811">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我方在此承诺，我方若能成交，保证在服务期限内，全面履行</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中规定的职责和义务。</w:t>
      </w:r>
    </w:p>
    <w:p w14:paraId="3D83E2C7">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如果我方成交，我方保证按合同条款中规定的内容执行；我方保证质量达到国家及行业现行标准规范规定的合格要求，并按</w:t>
      </w:r>
      <w:r>
        <w:rPr>
          <w:rFonts w:hint="eastAsia" w:ascii="宋体" w:hAnsi="宋体" w:eastAsia="宋体" w:cs="宋体"/>
          <w:color w:val="auto"/>
          <w:sz w:val="24"/>
          <w:szCs w:val="24"/>
          <w:lang w:eastAsia="zh-CN"/>
        </w:rPr>
        <w:t>竞争性磋商文件</w:t>
      </w:r>
      <w:r>
        <w:rPr>
          <w:rFonts w:hint="eastAsia" w:ascii="宋体" w:hAnsi="宋体" w:eastAsia="宋体" w:cs="宋体"/>
          <w:color w:val="auto"/>
          <w:sz w:val="24"/>
          <w:szCs w:val="24"/>
        </w:rPr>
        <w:t>和有关规定提交一切资料。</w:t>
      </w:r>
    </w:p>
    <w:p w14:paraId="6303BF37">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我方同意从响应文件递交截止日期起</w:t>
      </w:r>
      <w:r>
        <w:rPr>
          <w:rFonts w:hint="eastAsia" w:ascii="宋体" w:hAnsi="宋体" w:eastAsia="宋体" w:cs="宋体"/>
          <w:color w:val="auto"/>
          <w:sz w:val="24"/>
          <w:szCs w:val="24"/>
          <w:u w:val="single"/>
        </w:rPr>
        <w:t xml:space="preserve"> 60</w:t>
      </w:r>
      <w:r>
        <w:rPr>
          <w:rFonts w:hint="eastAsia" w:ascii="宋体" w:hAnsi="宋体" w:eastAsia="宋体" w:cs="宋体"/>
          <w:color w:val="auto"/>
          <w:sz w:val="24"/>
          <w:szCs w:val="24"/>
        </w:rPr>
        <w:t>日历天内保持</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有效，在此有效期内，我方将严格遵守</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的承诺，本</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对我方具有约束力，并可随时被接受成交。</w:t>
      </w:r>
    </w:p>
    <w:p w14:paraId="3B492F25">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除</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所提交的资料外，我方同意随时接受贵方的检查、询问，并根据磋商需要补充贵方要求提交的资料。</w:t>
      </w:r>
    </w:p>
    <w:p w14:paraId="491F2243">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如果我方成交后，我方没有任何正当理由而拒签合同，同时我方愿意补偿该项工作因我方延误所造成的经济损失。</w:t>
      </w:r>
    </w:p>
    <w:p w14:paraId="58C45479">
      <w:pPr>
        <w:pStyle w:val="15"/>
        <w:spacing w:line="420" w:lineRule="exact"/>
        <w:ind w:left="1"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我方愿接受合同条款中规定的合同价款计算和调整方式。</w:t>
      </w:r>
    </w:p>
    <w:p w14:paraId="70C877A7">
      <w:pPr>
        <w:pStyle w:val="15"/>
        <w:spacing w:line="420" w:lineRule="exact"/>
        <w:ind w:left="1" w:leftChars="0" w:firstLine="480" w:firstLineChars="200"/>
        <w:rPr>
          <w:rFonts w:hint="eastAsia" w:ascii="宋体" w:hAnsi="宋体" w:eastAsia="宋体" w:cs="宋体"/>
          <w:color w:val="000000"/>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除非另外达成协议并生效，贵方的成交通知书和本</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将成为约束我方的合同文件组成部分。</w:t>
      </w:r>
    </w:p>
    <w:p w14:paraId="6E2F3213">
      <w:pPr>
        <w:pStyle w:val="69"/>
        <w:spacing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（单位电子签章）   </w:t>
      </w:r>
    </w:p>
    <w:p w14:paraId="6D81FC5F">
      <w:pPr>
        <w:pStyle w:val="69"/>
        <w:spacing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rPr>
        <w:t xml:space="preserve">                          </w:t>
      </w:r>
      <w:r>
        <w:rPr>
          <w:rFonts w:hint="eastAsia" w:ascii="宋体" w:hAnsi="宋体" w:eastAsia="宋体" w:cs="宋体"/>
          <w:bCs/>
          <w:color w:val="000000"/>
          <w:sz w:val="24"/>
          <w:szCs w:val="24"/>
        </w:rPr>
        <w:t>（法定代表人电子签名或签章）</w:t>
      </w:r>
    </w:p>
    <w:p w14:paraId="3E8B4EEF">
      <w:pPr>
        <w:pStyle w:val="69"/>
        <w:spacing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地</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址：</w:t>
      </w:r>
      <w:r>
        <w:rPr>
          <w:rFonts w:hint="eastAsia" w:ascii="宋体" w:hAnsi="宋体" w:eastAsia="宋体" w:cs="宋体"/>
          <w:color w:val="000000"/>
          <w:sz w:val="24"/>
          <w:szCs w:val="24"/>
          <w:u w:val="single"/>
          <w:lang w:val="en-US" w:eastAsia="zh-CN"/>
        </w:rPr>
        <w:t xml:space="preserve">                        </w:t>
      </w:r>
    </w:p>
    <w:p w14:paraId="2F82B527">
      <w:pPr>
        <w:pStyle w:val="69"/>
        <w:spacing w:line="480" w:lineRule="exact"/>
        <w:rPr>
          <w:rFonts w:hint="eastAsia" w:ascii="宋体" w:hAnsi="宋体" w:eastAsia="宋体" w:cs="宋体"/>
          <w:color w:val="000000"/>
          <w:sz w:val="24"/>
          <w:szCs w:val="24"/>
          <w:u w:val="single"/>
          <w:lang w:val="en-US" w:eastAsia="zh-CN"/>
        </w:rPr>
      </w:pPr>
      <w:r>
        <w:rPr>
          <w:rFonts w:hint="eastAsia" w:ascii="宋体" w:hAnsi="宋体" w:eastAsia="宋体" w:cs="宋体"/>
          <w:color w:val="000000"/>
          <w:sz w:val="24"/>
          <w:szCs w:val="24"/>
        </w:rPr>
        <w:t>电</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话：</w:t>
      </w:r>
      <w:r>
        <w:rPr>
          <w:rFonts w:hint="eastAsia" w:ascii="宋体" w:hAnsi="宋体" w:eastAsia="宋体" w:cs="宋体"/>
          <w:color w:val="000000"/>
          <w:sz w:val="24"/>
          <w:szCs w:val="24"/>
          <w:u w:val="single"/>
          <w:lang w:val="en-US" w:eastAsia="zh-CN"/>
        </w:rPr>
        <w:t xml:space="preserve">                        </w:t>
      </w:r>
    </w:p>
    <w:p w14:paraId="55172770">
      <w:pPr>
        <w:pStyle w:val="69"/>
        <w:spacing w:line="480" w:lineRule="exact"/>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bookmarkStart w:id="765" w:name="_Toc11398"/>
      <w:bookmarkStart w:id="766" w:name="_Toc15710"/>
    </w:p>
    <w:p w14:paraId="0637497F">
      <w:pPr>
        <w:pStyle w:val="69"/>
        <w:spacing w:line="480" w:lineRule="exact"/>
        <w:rPr>
          <w:rFonts w:hint="eastAsia" w:ascii="宋体" w:hAnsi="宋体" w:eastAsia="宋体" w:cs="宋体"/>
          <w:color w:val="000000"/>
          <w:sz w:val="24"/>
          <w:szCs w:val="24"/>
        </w:rPr>
      </w:pPr>
    </w:p>
    <w:p w14:paraId="3B16E40D">
      <w:pPr>
        <w:pStyle w:val="5"/>
        <w:numPr>
          <w:ilvl w:val="1"/>
          <w:numId w:val="0"/>
        </w:numPr>
        <w:jc w:val="center"/>
        <w:outlineLvl w:val="2"/>
        <w:rPr>
          <w:rFonts w:hint="eastAsia" w:ascii="宋体" w:hAnsi="宋体" w:eastAsia="宋体" w:cs="宋体"/>
          <w:color w:val="auto"/>
          <w:sz w:val="28"/>
          <w:szCs w:val="28"/>
        </w:rPr>
      </w:pPr>
      <w:r>
        <w:rPr>
          <w:rFonts w:hint="eastAsia" w:ascii="宋体" w:hAnsi="宋体" w:eastAsia="宋体" w:cs="宋体"/>
          <w:color w:val="auto"/>
          <w:sz w:val="28"/>
          <w:szCs w:val="28"/>
        </w:rPr>
        <w:t>（二）</w:t>
      </w:r>
      <w:r>
        <w:rPr>
          <w:rFonts w:hint="eastAsia" w:ascii="宋体" w:hAnsi="宋体" w:eastAsia="宋体" w:cs="宋体"/>
          <w:color w:val="auto"/>
          <w:sz w:val="28"/>
          <w:szCs w:val="28"/>
          <w:lang w:eastAsia="zh-CN"/>
        </w:rPr>
        <w:t>响应函</w:t>
      </w:r>
      <w:r>
        <w:rPr>
          <w:rFonts w:hint="eastAsia" w:ascii="宋体" w:hAnsi="宋体" w:eastAsia="宋体" w:cs="宋体"/>
          <w:color w:val="auto"/>
          <w:sz w:val="28"/>
          <w:szCs w:val="28"/>
        </w:rPr>
        <w:t>附录</w:t>
      </w:r>
      <w:bookmarkEnd w:id="765"/>
    </w:p>
    <w:tbl>
      <w:tblPr>
        <w:tblStyle w:val="33"/>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6"/>
        <w:gridCol w:w="6733"/>
      </w:tblGrid>
      <w:tr w14:paraId="740B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666" w:type="dxa"/>
            <w:tcBorders>
              <w:top w:val="single" w:color="auto" w:sz="4" w:space="0"/>
              <w:left w:val="single" w:color="auto" w:sz="4" w:space="0"/>
              <w:bottom w:val="single" w:color="auto" w:sz="4" w:space="0"/>
              <w:right w:val="single" w:color="auto" w:sz="4" w:space="0"/>
            </w:tcBorders>
            <w:noWrap w:val="0"/>
            <w:vAlign w:val="center"/>
          </w:tcPr>
          <w:p w14:paraId="17E68C90">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项目名称</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3D0F2995">
            <w:pPr>
              <w:rPr>
                <w:rFonts w:hint="eastAsia" w:ascii="宋体" w:hAnsi="宋体" w:eastAsia="宋体" w:cs="宋体"/>
                <w:color w:val="auto"/>
                <w:sz w:val="24"/>
                <w:szCs w:val="24"/>
                <w:u w:val="none"/>
                <w:lang w:val="en-US"/>
              </w:rPr>
            </w:pPr>
          </w:p>
        </w:tc>
      </w:tr>
      <w:tr w14:paraId="5454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2666" w:type="dxa"/>
            <w:tcBorders>
              <w:top w:val="single" w:color="auto" w:sz="4" w:space="0"/>
              <w:left w:val="single" w:color="auto" w:sz="4" w:space="0"/>
              <w:bottom w:val="single" w:color="auto" w:sz="4" w:space="0"/>
              <w:right w:val="single" w:color="auto" w:sz="4" w:space="0"/>
            </w:tcBorders>
            <w:noWrap w:val="0"/>
            <w:vAlign w:val="center"/>
          </w:tcPr>
          <w:p w14:paraId="26FEDF2D">
            <w:pPr>
              <w:jc w:val="center"/>
              <w:rPr>
                <w:rFonts w:hint="eastAsia" w:ascii="宋体" w:hAnsi="宋体" w:eastAsia="宋体" w:cs="宋体"/>
                <w:color w:val="auto"/>
                <w:sz w:val="24"/>
                <w:szCs w:val="24"/>
              </w:rPr>
            </w:pPr>
            <w:r>
              <w:rPr>
                <w:rFonts w:hint="eastAsia" w:ascii="宋体" w:hAnsi="宋体" w:eastAsia="宋体" w:cs="宋体"/>
                <w:color w:val="auto"/>
                <w:sz w:val="24"/>
                <w:szCs w:val="24"/>
              </w:rPr>
              <w:t>供应商</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45023F45">
            <w:pPr>
              <w:rPr>
                <w:rFonts w:hint="eastAsia" w:ascii="宋体" w:hAnsi="宋体" w:eastAsia="宋体" w:cs="宋体"/>
                <w:color w:val="auto"/>
                <w:sz w:val="24"/>
                <w:szCs w:val="24"/>
              </w:rPr>
            </w:pPr>
          </w:p>
        </w:tc>
      </w:tr>
      <w:tr w14:paraId="6872C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2666" w:type="dxa"/>
            <w:vMerge w:val="restart"/>
            <w:tcBorders>
              <w:top w:val="single" w:color="auto" w:sz="4" w:space="0"/>
              <w:left w:val="single" w:color="auto" w:sz="4" w:space="0"/>
              <w:right w:val="single" w:color="auto" w:sz="4" w:space="0"/>
            </w:tcBorders>
            <w:noWrap w:val="0"/>
            <w:vAlign w:val="center"/>
          </w:tcPr>
          <w:p w14:paraId="4E31BD46">
            <w:pPr>
              <w:spacing w:line="36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lang w:eastAsia="zh-CN"/>
              </w:rPr>
              <w:t>报价</w:t>
            </w:r>
          </w:p>
          <w:p w14:paraId="2889F16F">
            <w:pPr>
              <w:spacing w:line="360" w:lineRule="exact"/>
              <w:jc w:val="center"/>
              <w:rPr>
                <w:rFonts w:hint="eastAsia" w:ascii="宋体" w:hAnsi="宋体" w:eastAsia="宋体" w:cs="宋体"/>
                <w:color w:val="auto"/>
                <w:sz w:val="24"/>
                <w:szCs w:val="24"/>
                <w:lang w:eastAsia="zh-CN"/>
              </w:rPr>
            </w:pPr>
            <w:r>
              <w:rPr>
                <w:rFonts w:hint="eastAsia" w:ascii="宋体" w:hAnsi="宋体" w:eastAsia="宋体" w:cs="宋体"/>
                <w:b w:val="0"/>
                <w:bCs w:val="0"/>
                <w:color w:val="auto"/>
                <w:sz w:val="24"/>
                <w:szCs w:val="24"/>
                <w:lang w:val="en-US" w:eastAsia="zh-CN"/>
              </w:rPr>
              <w:t>（总报价）</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00666DE9">
            <w:pPr>
              <w:adjustRightInd w:val="0"/>
              <w:snapToGrid w:val="0"/>
              <w:rPr>
                <w:rFonts w:hint="eastAsia" w:ascii="宋体" w:hAnsi="宋体" w:eastAsia="宋体" w:cs="宋体"/>
                <w:sz w:val="24"/>
              </w:rPr>
            </w:pPr>
            <w:r>
              <w:rPr>
                <w:rFonts w:hint="eastAsia" w:ascii="宋体" w:hAnsi="宋体" w:eastAsia="宋体" w:cs="宋体"/>
                <w:sz w:val="24"/>
              </w:rPr>
              <w:t>大写：</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6C72D05F">
            <w:pPr>
              <w:rPr>
                <w:rFonts w:hint="eastAsia" w:ascii="宋体" w:hAnsi="宋体" w:eastAsia="宋体" w:cs="宋体"/>
                <w:color w:val="auto"/>
                <w:sz w:val="24"/>
                <w:szCs w:val="24"/>
                <w:lang w:val="en-US" w:eastAsia="zh-CN"/>
              </w:rPr>
            </w:pPr>
            <w:r>
              <w:rPr>
                <w:rFonts w:hint="eastAsia" w:ascii="宋体" w:hAnsi="宋体" w:eastAsia="宋体" w:cs="宋体"/>
                <w:sz w:val="24"/>
              </w:rPr>
              <w:t>小写：</w:t>
            </w:r>
            <w:r>
              <w:rPr>
                <w:rFonts w:hint="eastAsia" w:ascii="宋体" w:hAnsi="宋体" w:eastAsia="宋体" w:cs="宋体"/>
                <w:sz w:val="24"/>
                <w:u w:val="single"/>
              </w:rPr>
              <w:t xml:space="preserve">                                    </w:t>
            </w:r>
            <w:r>
              <w:rPr>
                <w:rFonts w:hint="eastAsia" w:ascii="宋体" w:hAnsi="宋体" w:eastAsia="宋体" w:cs="宋体"/>
                <w:sz w:val="24"/>
              </w:rPr>
              <w:t xml:space="preserve">  </w:t>
            </w:r>
          </w:p>
        </w:tc>
      </w:tr>
      <w:tr w14:paraId="76F9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2666" w:type="dxa"/>
            <w:vMerge w:val="continue"/>
            <w:tcBorders>
              <w:left w:val="single" w:color="auto" w:sz="4" w:space="0"/>
              <w:bottom w:val="single" w:color="auto" w:sz="4" w:space="0"/>
              <w:right w:val="single" w:color="auto" w:sz="4" w:space="0"/>
            </w:tcBorders>
            <w:noWrap w:val="0"/>
            <w:vAlign w:val="center"/>
          </w:tcPr>
          <w:p w14:paraId="7C41E655">
            <w:pPr>
              <w:spacing w:line="360" w:lineRule="exact"/>
              <w:jc w:val="center"/>
              <w:rPr>
                <w:rFonts w:hint="eastAsia" w:ascii="宋体" w:hAnsi="宋体" w:eastAsia="宋体" w:cs="宋体"/>
                <w:color w:val="auto"/>
                <w:sz w:val="24"/>
                <w:szCs w:val="24"/>
              </w:rPr>
            </w:pPr>
          </w:p>
        </w:tc>
        <w:tc>
          <w:tcPr>
            <w:tcW w:w="6733" w:type="dxa"/>
            <w:tcBorders>
              <w:top w:val="single" w:color="auto" w:sz="4" w:space="0"/>
              <w:left w:val="single" w:color="auto" w:sz="4" w:space="0"/>
              <w:bottom w:val="single" w:color="auto" w:sz="4" w:space="0"/>
              <w:right w:val="single" w:color="auto" w:sz="4" w:space="0"/>
            </w:tcBorders>
            <w:noWrap w:val="0"/>
            <w:vAlign w:val="center"/>
          </w:tcPr>
          <w:p w14:paraId="2E47F2FD">
            <w:pPr>
              <w:rPr>
                <w:rFonts w:hint="eastAsia" w:ascii="宋体" w:hAnsi="宋体" w:eastAsia="宋体" w:cs="宋体"/>
                <w:color w:val="auto"/>
                <w:sz w:val="24"/>
                <w:szCs w:val="24"/>
              </w:rPr>
            </w:pPr>
            <w:r>
              <w:rPr>
                <w:rFonts w:hint="eastAsia" w:ascii="宋体" w:hAnsi="宋体" w:eastAsia="宋体" w:cs="宋体"/>
                <w:b/>
                <w:bCs/>
                <w:color w:val="auto"/>
                <w:sz w:val="24"/>
                <w:szCs w:val="24"/>
              </w:rPr>
              <w:t>（供应商应在此填列第一次报价，但以供应商最后一次的</w:t>
            </w:r>
            <w:r>
              <w:rPr>
                <w:rFonts w:hint="eastAsia" w:ascii="宋体" w:hAnsi="宋体" w:eastAsia="宋体" w:cs="宋体"/>
                <w:b/>
                <w:bCs/>
                <w:color w:val="auto"/>
                <w:sz w:val="24"/>
                <w:szCs w:val="24"/>
                <w:lang w:val="en-US" w:eastAsia="zh-CN"/>
              </w:rPr>
              <w:t>响应</w:t>
            </w:r>
            <w:r>
              <w:rPr>
                <w:rFonts w:hint="eastAsia" w:ascii="宋体" w:hAnsi="宋体" w:eastAsia="宋体" w:cs="宋体"/>
                <w:b/>
                <w:bCs/>
                <w:color w:val="auto"/>
                <w:sz w:val="24"/>
                <w:szCs w:val="24"/>
              </w:rPr>
              <w:t>报价为成交价）</w:t>
            </w:r>
          </w:p>
        </w:tc>
      </w:tr>
      <w:tr w14:paraId="34BC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2666" w:type="dxa"/>
            <w:tcBorders>
              <w:top w:val="single" w:color="auto" w:sz="4" w:space="0"/>
              <w:left w:val="single" w:color="auto" w:sz="4" w:space="0"/>
              <w:bottom w:val="single" w:color="auto" w:sz="4" w:space="0"/>
              <w:right w:val="single" w:color="auto" w:sz="4" w:space="0"/>
            </w:tcBorders>
            <w:noWrap w:val="0"/>
            <w:vAlign w:val="center"/>
          </w:tcPr>
          <w:p w14:paraId="02F420F2">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质量</w:t>
            </w:r>
            <w:r>
              <w:rPr>
                <w:rFonts w:hint="eastAsia" w:ascii="宋体" w:hAnsi="宋体" w:eastAsia="宋体" w:cs="宋体"/>
                <w:color w:val="auto"/>
                <w:sz w:val="24"/>
                <w:szCs w:val="24"/>
                <w:lang w:val="en-US" w:eastAsia="zh-CN"/>
              </w:rPr>
              <w:t>要求</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6F9C9FFF">
            <w:pPr>
              <w:jc w:val="left"/>
              <w:rPr>
                <w:rFonts w:hint="eastAsia" w:ascii="宋体" w:hAnsi="宋体" w:eastAsia="宋体" w:cs="宋体"/>
                <w:color w:val="auto"/>
                <w:sz w:val="24"/>
                <w:szCs w:val="24"/>
              </w:rPr>
            </w:pPr>
          </w:p>
        </w:tc>
      </w:tr>
      <w:tr w14:paraId="6449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2666" w:type="dxa"/>
            <w:tcBorders>
              <w:top w:val="single" w:color="auto" w:sz="4" w:space="0"/>
              <w:left w:val="single" w:color="auto" w:sz="4" w:space="0"/>
              <w:bottom w:val="single" w:color="auto" w:sz="4" w:space="0"/>
              <w:right w:val="single" w:color="auto" w:sz="4" w:space="0"/>
            </w:tcBorders>
            <w:noWrap w:val="0"/>
            <w:vAlign w:val="center"/>
          </w:tcPr>
          <w:p w14:paraId="55332687">
            <w:pPr>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服务期限</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665FA825">
            <w:pPr>
              <w:jc w:val="center"/>
              <w:rPr>
                <w:rFonts w:hint="eastAsia" w:ascii="宋体" w:hAnsi="宋体" w:eastAsia="宋体" w:cs="宋体"/>
                <w:color w:val="auto"/>
                <w:sz w:val="24"/>
                <w:szCs w:val="24"/>
              </w:rPr>
            </w:pPr>
          </w:p>
        </w:tc>
      </w:tr>
      <w:tr w14:paraId="14F5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2666" w:type="dxa"/>
            <w:tcBorders>
              <w:top w:val="single" w:color="auto" w:sz="4" w:space="0"/>
              <w:left w:val="single" w:color="auto" w:sz="4" w:space="0"/>
              <w:bottom w:val="single" w:color="auto" w:sz="4" w:space="0"/>
              <w:right w:val="single" w:color="auto" w:sz="4" w:space="0"/>
            </w:tcBorders>
            <w:noWrap w:val="0"/>
            <w:vAlign w:val="center"/>
          </w:tcPr>
          <w:p w14:paraId="73F9C7A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磋商有效期</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4BC1A1DA">
            <w:pPr>
              <w:jc w:val="center"/>
              <w:rPr>
                <w:rFonts w:hint="eastAsia" w:ascii="宋体" w:hAnsi="宋体" w:eastAsia="宋体" w:cs="宋体"/>
                <w:color w:val="auto"/>
                <w:sz w:val="24"/>
                <w:szCs w:val="24"/>
              </w:rPr>
            </w:pPr>
          </w:p>
        </w:tc>
      </w:tr>
      <w:tr w14:paraId="43C9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2666" w:type="dxa"/>
            <w:tcBorders>
              <w:top w:val="single" w:color="auto" w:sz="4" w:space="0"/>
              <w:left w:val="single" w:color="auto" w:sz="4" w:space="0"/>
              <w:bottom w:val="single" w:color="auto" w:sz="4" w:space="0"/>
              <w:right w:val="single" w:color="auto" w:sz="4" w:space="0"/>
            </w:tcBorders>
            <w:noWrap w:val="0"/>
            <w:vAlign w:val="center"/>
          </w:tcPr>
          <w:p w14:paraId="6FB2C866">
            <w:pPr>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价格折扣</w:t>
            </w:r>
          </w:p>
        </w:tc>
        <w:tc>
          <w:tcPr>
            <w:tcW w:w="6733" w:type="dxa"/>
            <w:tcBorders>
              <w:top w:val="single" w:color="auto" w:sz="4" w:space="0"/>
              <w:left w:val="single" w:color="auto" w:sz="4" w:space="0"/>
              <w:bottom w:val="single" w:color="auto" w:sz="4" w:space="0"/>
              <w:right w:val="single" w:color="auto" w:sz="4" w:space="0"/>
            </w:tcBorders>
            <w:noWrap w:val="0"/>
            <w:vAlign w:val="center"/>
          </w:tcPr>
          <w:p w14:paraId="510186BA">
            <w:pPr>
              <w:pStyle w:val="90"/>
              <w:widowControl w:val="0"/>
              <w:autoSpaceDE w:val="0"/>
              <w:autoSpaceDN w:val="0"/>
              <w:spacing w:before="0" w:after="0" w:line="400" w:lineRule="exact"/>
              <w:jc w:val="center"/>
              <w:rPr>
                <w:rFonts w:hint="eastAsia" w:ascii="宋体" w:hAnsi="宋体" w:eastAsia="宋体" w:cs="宋体"/>
                <w:color w:val="auto"/>
                <w:sz w:val="24"/>
                <w:szCs w:val="24"/>
                <w:lang w:val="ru-RU" w:eastAsia="zh-CN" w:bidi="ar-SA"/>
              </w:rPr>
            </w:pPr>
            <w:r>
              <w:rPr>
                <w:rFonts w:hint="eastAsia" w:ascii="宋体" w:hAnsi="宋体" w:eastAsia="宋体" w:cs="宋体"/>
                <w:color w:val="auto"/>
                <w:spacing w:val="-1"/>
                <w:sz w:val="24"/>
                <w:szCs w:val="24"/>
                <w:lang w:eastAsia="zh-CN"/>
              </w:rPr>
              <w:t>符合小微企业价格折扣（</w:t>
            </w:r>
            <w:r>
              <w:rPr>
                <w:rFonts w:hint="eastAsia" w:ascii="宋体" w:hAnsi="宋体" w:eastAsia="宋体" w:cs="宋体"/>
                <w:color w:val="auto"/>
                <w:spacing w:val="-1"/>
                <w:sz w:val="24"/>
                <w:szCs w:val="24"/>
                <w:u w:val="none"/>
                <w:lang w:eastAsia="zh-CN"/>
              </w:rPr>
              <w:sym w:font="Wingdings 2" w:char="00A3"/>
            </w:r>
            <w:r>
              <w:rPr>
                <w:rFonts w:hint="eastAsia" w:ascii="宋体" w:hAnsi="宋体" w:eastAsia="宋体" w:cs="宋体"/>
                <w:color w:val="auto"/>
                <w:spacing w:val="-1"/>
                <w:sz w:val="24"/>
                <w:szCs w:val="24"/>
                <w:u w:val="none"/>
                <w:lang w:eastAsia="zh-CN"/>
              </w:rPr>
              <w:t>是</w:t>
            </w:r>
            <w:r>
              <w:rPr>
                <w:rFonts w:hint="eastAsia" w:ascii="宋体" w:hAnsi="宋体" w:eastAsia="宋体" w:cs="宋体"/>
                <w:color w:val="auto"/>
                <w:spacing w:val="-1"/>
                <w:sz w:val="24"/>
                <w:szCs w:val="24"/>
                <w:u w:val="none"/>
                <w:lang w:val="en-US" w:eastAsia="zh-CN"/>
              </w:rPr>
              <w:t>/</w:t>
            </w:r>
            <w:r>
              <w:rPr>
                <w:rFonts w:hint="eastAsia" w:ascii="宋体" w:hAnsi="宋体" w:eastAsia="宋体" w:cs="宋体"/>
                <w:color w:val="auto"/>
                <w:spacing w:val="-1"/>
                <w:sz w:val="24"/>
                <w:szCs w:val="24"/>
                <w:u w:val="none"/>
                <w:lang w:val="en-US" w:eastAsia="zh-CN"/>
              </w:rPr>
              <w:sym w:font="Wingdings 2" w:char="00A3"/>
            </w:r>
            <w:r>
              <w:rPr>
                <w:rFonts w:hint="eastAsia" w:ascii="宋体" w:hAnsi="宋体" w:eastAsia="宋体" w:cs="宋体"/>
                <w:color w:val="auto"/>
                <w:spacing w:val="-1"/>
                <w:sz w:val="24"/>
                <w:szCs w:val="24"/>
                <w:u w:val="none"/>
                <w:lang w:val="en-US" w:eastAsia="zh-CN"/>
              </w:rPr>
              <w:t>否</w:t>
            </w:r>
            <w:r>
              <w:rPr>
                <w:rFonts w:hint="eastAsia" w:ascii="宋体" w:hAnsi="宋体" w:eastAsia="宋体" w:cs="宋体"/>
                <w:color w:val="auto"/>
                <w:spacing w:val="-1"/>
                <w:sz w:val="24"/>
                <w:szCs w:val="24"/>
                <w:lang w:eastAsia="zh-CN"/>
              </w:rPr>
              <w:t>）</w:t>
            </w:r>
          </w:p>
        </w:tc>
      </w:tr>
    </w:tbl>
    <w:p w14:paraId="46297831">
      <w:pPr>
        <w:spacing w:before="240" w:beforeLines="100"/>
        <w:ind w:firstLine="2760" w:firstLineChars="1150"/>
        <w:rPr>
          <w:rFonts w:hint="eastAsia" w:ascii="宋体" w:hAnsi="宋体" w:eastAsia="宋体" w:cs="宋体"/>
          <w:sz w:val="24"/>
        </w:rPr>
      </w:pPr>
      <w:r>
        <w:rPr>
          <w:rFonts w:hint="eastAsia" w:ascii="宋体" w:hAnsi="宋体" w:eastAsia="宋体" w:cs="宋体"/>
          <w:sz w:val="24"/>
        </w:rPr>
        <w:t xml:space="preserve">供应商名称： </w:t>
      </w:r>
      <w:r>
        <w:rPr>
          <w:rFonts w:hint="eastAsia" w:ascii="宋体" w:hAnsi="宋体" w:eastAsia="宋体" w:cs="宋体"/>
          <w:sz w:val="24"/>
          <w:u w:val="single"/>
        </w:rPr>
        <w:t xml:space="preserve">               </w:t>
      </w:r>
      <w:r>
        <w:rPr>
          <w:rFonts w:hint="eastAsia" w:ascii="宋体" w:hAnsi="宋体" w:eastAsia="宋体" w:cs="宋体"/>
          <w:sz w:val="24"/>
        </w:rPr>
        <w:t>（单位电子签章）</w:t>
      </w:r>
    </w:p>
    <w:p w14:paraId="237E4301">
      <w:pPr>
        <w:spacing w:before="240" w:beforeLines="100"/>
        <w:ind w:firstLine="2760" w:firstLineChars="1150"/>
        <w:rPr>
          <w:rFonts w:hint="eastAsia" w:ascii="宋体" w:hAnsi="宋体" w:eastAsia="宋体" w:cs="宋体"/>
          <w:sz w:val="24"/>
        </w:rPr>
      </w:pPr>
      <w:r>
        <w:rPr>
          <w:rFonts w:hint="eastAsia" w:ascii="宋体" w:hAnsi="宋体" w:eastAsia="宋体" w:cs="宋体"/>
          <w:sz w:val="24"/>
        </w:rPr>
        <w:t xml:space="preserve">法定代表人： </w:t>
      </w:r>
      <w:r>
        <w:rPr>
          <w:rFonts w:hint="eastAsia" w:ascii="宋体" w:hAnsi="宋体" w:eastAsia="宋体" w:cs="宋体"/>
          <w:sz w:val="24"/>
          <w:u w:val="single"/>
        </w:rPr>
        <w:t xml:space="preserve">                </w:t>
      </w:r>
      <w:r>
        <w:rPr>
          <w:rFonts w:hint="eastAsia" w:ascii="宋体" w:hAnsi="宋体" w:eastAsia="宋体" w:cs="宋体"/>
          <w:sz w:val="24"/>
        </w:rPr>
        <w:t>（法定代表人电子签名</w:t>
      </w:r>
      <w:r>
        <w:rPr>
          <w:rFonts w:hint="eastAsia" w:ascii="宋体" w:hAnsi="宋体" w:eastAsia="宋体" w:cs="宋体"/>
          <w:bCs/>
          <w:color w:val="000000"/>
          <w:sz w:val="24"/>
        </w:rPr>
        <w:t>或签章</w:t>
      </w:r>
      <w:r>
        <w:rPr>
          <w:rFonts w:hint="eastAsia" w:ascii="宋体" w:hAnsi="宋体" w:eastAsia="宋体" w:cs="宋体"/>
          <w:sz w:val="24"/>
        </w:rPr>
        <w:t>）</w:t>
      </w:r>
      <w:bookmarkStart w:id="767" w:name="_Toc466298161"/>
      <w:bookmarkStart w:id="768" w:name="_Toc31033"/>
      <w:bookmarkStart w:id="769" w:name="_Toc2481"/>
    </w:p>
    <w:p w14:paraId="3EC4FCAD">
      <w:pPr>
        <w:spacing w:before="240" w:beforeLines="100"/>
        <w:ind w:firstLine="2760" w:firstLineChars="1150"/>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0E44AF41">
      <w:pPr>
        <w:pStyle w:val="55"/>
        <w:rPr>
          <w:rFonts w:hint="eastAsia" w:ascii="宋体" w:hAnsi="宋体" w:eastAsia="宋体" w:cs="宋体"/>
          <w:color w:val="000000"/>
          <w:sz w:val="24"/>
          <w:szCs w:val="24"/>
        </w:rPr>
      </w:pPr>
    </w:p>
    <w:p w14:paraId="4A7E9E49">
      <w:pPr>
        <w:pStyle w:val="8"/>
        <w:rPr>
          <w:rFonts w:hint="eastAsia" w:ascii="宋体" w:hAnsi="宋体" w:eastAsia="宋体" w:cs="宋体"/>
          <w:color w:val="000000"/>
          <w:sz w:val="24"/>
          <w:szCs w:val="24"/>
        </w:rPr>
      </w:pPr>
    </w:p>
    <w:p w14:paraId="4E32AA3A">
      <w:pPr>
        <w:rPr>
          <w:rFonts w:hint="eastAsia" w:ascii="宋体" w:hAnsi="宋体" w:eastAsia="宋体" w:cs="宋体"/>
          <w:color w:val="000000"/>
          <w:sz w:val="24"/>
          <w:szCs w:val="24"/>
        </w:rPr>
      </w:pPr>
    </w:p>
    <w:p w14:paraId="2809C416">
      <w:pPr>
        <w:pStyle w:val="55"/>
        <w:rPr>
          <w:rFonts w:hint="eastAsia" w:ascii="宋体" w:hAnsi="宋体" w:eastAsia="宋体" w:cs="宋体"/>
          <w:color w:val="000000"/>
          <w:sz w:val="24"/>
          <w:szCs w:val="24"/>
        </w:rPr>
      </w:pPr>
    </w:p>
    <w:p w14:paraId="642231D2">
      <w:pPr>
        <w:pStyle w:val="8"/>
        <w:rPr>
          <w:rFonts w:hint="eastAsia" w:ascii="宋体" w:hAnsi="宋体" w:eastAsia="宋体" w:cs="宋体"/>
          <w:color w:val="000000"/>
          <w:sz w:val="24"/>
          <w:szCs w:val="24"/>
        </w:rPr>
      </w:pPr>
    </w:p>
    <w:p w14:paraId="57ABD9B3">
      <w:pPr>
        <w:rPr>
          <w:rFonts w:hint="eastAsia"/>
        </w:rPr>
      </w:pPr>
    </w:p>
    <w:p w14:paraId="251166AC">
      <w:pPr>
        <w:rPr>
          <w:rFonts w:hint="eastAsia" w:ascii="宋体" w:hAnsi="宋体" w:eastAsia="宋体" w:cs="宋体"/>
          <w:color w:val="000000"/>
          <w:sz w:val="24"/>
          <w:szCs w:val="24"/>
        </w:rPr>
      </w:pPr>
    </w:p>
    <w:p w14:paraId="68ECFEB2">
      <w:pPr>
        <w:pStyle w:val="55"/>
        <w:rPr>
          <w:rFonts w:hint="eastAsia" w:ascii="宋体" w:hAnsi="宋体" w:eastAsia="宋体" w:cs="宋体"/>
          <w:color w:val="000000"/>
          <w:sz w:val="24"/>
          <w:szCs w:val="24"/>
        </w:rPr>
      </w:pPr>
    </w:p>
    <w:p w14:paraId="1F8C654D">
      <w:pPr>
        <w:pStyle w:val="8"/>
        <w:rPr>
          <w:rFonts w:hint="eastAsia" w:ascii="宋体" w:hAnsi="宋体" w:eastAsia="宋体" w:cs="宋体"/>
          <w:color w:val="000000"/>
          <w:sz w:val="24"/>
          <w:szCs w:val="24"/>
        </w:rPr>
      </w:pPr>
    </w:p>
    <w:p w14:paraId="72A72563">
      <w:pPr>
        <w:pStyle w:val="55"/>
        <w:rPr>
          <w:rFonts w:hint="eastAsia" w:ascii="宋体" w:hAnsi="宋体" w:eastAsia="宋体" w:cs="宋体"/>
          <w:color w:val="FF0000"/>
          <w:kern w:val="0"/>
          <w:sz w:val="24"/>
          <w:szCs w:val="24"/>
          <w:lang w:val="en-US" w:eastAsia="zh-CN" w:bidi="ar"/>
        </w:rPr>
      </w:pPr>
    </w:p>
    <w:p w14:paraId="5DB656EE">
      <w:pPr>
        <w:pStyle w:val="8"/>
        <w:rPr>
          <w:rFonts w:hint="eastAsia" w:ascii="宋体" w:hAnsi="宋体" w:eastAsia="宋体" w:cs="宋体"/>
          <w:color w:val="FF0000"/>
          <w:kern w:val="0"/>
          <w:sz w:val="24"/>
          <w:szCs w:val="24"/>
          <w:lang w:val="en-US" w:eastAsia="zh-CN" w:bidi="ar"/>
        </w:rPr>
      </w:pPr>
    </w:p>
    <w:p w14:paraId="75A754A4">
      <w:pPr>
        <w:pStyle w:val="88"/>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二、法定代表</w:t>
      </w:r>
      <w:r>
        <w:rPr>
          <w:rFonts w:hint="eastAsia" w:ascii="宋体" w:hAnsi="宋体" w:eastAsia="宋体" w:cs="宋体"/>
          <w:b/>
          <w:color w:val="auto"/>
          <w:sz w:val="30"/>
          <w:szCs w:val="30"/>
          <w:lang w:val="en-US" w:eastAsia="zh-CN"/>
        </w:rPr>
        <w:t>人</w:t>
      </w:r>
      <w:r>
        <w:rPr>
          <w:rFonts w:hint="eastAsia" w:ascii="宋体" w:hAnsi="宋体" w:eastAsia="宋体" w:cs="宋体"/>
          <w:b/>
          <w:color w:val="auto"/>
          <w:sz w:val="30"/>
          <w:szCs w:val="30"/>
        </w:rPr>
        <w:t>身份证明</w:t>
      </w:r>
      <w:bookmarkEnd w:id="767"/>
      <w:bookmarkEnd w:id="768"/>
      <w:bookmarkEnd w:id="769"/>
    </w:p>
    <w:p w14:paraId="227F4908">
      <w:pPr>
        <w:spacing w:line="440" w:lineRule="exact"/>
        <w:jc w:val="center"/>
        <w:rPr>
          <w:rFonts w:hint="eastAsia" w:ascii="宋体" w:hAnsi="宋体" w:eastAsia="宋体" w:cs="宋体"/>
          <w:color w:val="auto"/>
          <w:szCs w:val="21"/>
        </w:rPr>
      </w:pPr>
    </w:p>
    <w:p w14:paraId="75393871">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供应商名称：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45253680">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615A66BC">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地址：</w:t>
      </w:r>
      <w:r>
        <w:rPr>
          <w:rFonts w:hint="eastAsia" w:ascii="宋体" w:hAnsi="宋体" w:eastAsia="宋体" w:cs="宋体"/>
          <w:color w:val="auto"/>
          <w:sz w:val="24"/>
          <w:szCs w:val="24"/>
          <w:u w:val="single"/>
        </w:rPr>
        <w:t xml:space="preserve">                                   </w:t>
      </w:r>
    </w:p>
    <w:p w14:paraId="1EC243A4">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日</w:t>
      </w:r>
    </w:p>
    <w:p w14:paraId="3997CD22">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AC70B08">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679515FB">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（供应商名称）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的法定代表人。</w:t>
      </w:r>
    </w:p>
    <w:p w14:paraId="1D96412D">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特此证明。</w:t>
      </w:r>
    </w:p>
    <w:p w14:paraId="601584CA">
      <w:pPr>
        <w:spacing w:line="440" w:lineRule="exact"/>
        <w:rPr>
          <w:rFonts w:hint="eastAsia" w:ascii="宋体" w:hAnsi="宋体" w:eastAsia="宋体" w:cs="宋体"/>
          <w:color w:val="auto"/>
          <w:sz w:val="24"/>
          <w:szCs w:val="24"/>
        </w:rPr>
      </w:pPr>
    </w:p>
    <w:p w14:paraId="42A604AB">
      <w:pPr>
        <w:spacing w:line="440" w:lineRule="exact"/>
        <w:rPr>
          <w:rFonts w:hint="eastAsia" w:ascii="宋体" w:hAnsi="宋体" w:eastAsia="宋体" w:cs="宋体"/>
          <w:color w:val="auto"/>
          <w:sz w:val="24"/>
          <w:szCs w:val="24"/>
        </w:rPr>
      </w:pPr>
    </w:p>
    <w:p w14:paraId="692EDA7B">
      <w:pPr>
        <w:spacing w:before="240" w:beforeLines="100"/>
        <w:ind w:firstLine="2760" w:firstLineChars="115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sz w:val="24"/>
        </w:rPr>
        <w:t xml:space="preserve">供应商名称： </w:t>
      </w:r>
      <w:r>
        <w:rPr>
          <w:rFonts w:hint="eastAsia" w:ascii="宋体" w:hAnsi="宋体" w:eastAsia="宋体" w:cs="宋体"/>
          <w:sz w:val="24"/>
          <w:u w:val="single"/>
        </w:rPr>
        <w:t xml:space="preserve">               </w:t>
      </w:r>
      <w:r>
        <w:rPr>
          <w:rFonts w:hint="eastAsia" w:ascii="宋体" w:hAnsi="宋体" w:eastAsia="宋体" w:cs="宋体"/>
          <w:sz w:val="24"/>
        </w:rPr>
        <w:t>（单位电子签章）</w:t>
      </w:r>
    </w:p>
    <w:p w14:paraId="19EF34C6">
      <w:pPr>
        <w:spacing w:before="240" w:beforeLines="100"/>
        <w:ind w:firstLine="2760" w:firstLineChars="1150"/>
        <w:rPr>
          <w:rFonts w:hint="eastAsia" w:ascii="宋体" w:hAnsi="宋体" w:eastAsia="宋体" w:cs="宋体"/>
          <w:color w:val="000000"/>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2C97370B">
      <w:pPr>
        <w:spacing w:line="440" w:lineRule="exact"/>
        <w:jc w:val="right"/>
        <w:rPr>
          <w:rFonts w:hint="eastAsia" w:ascii="宋体" w:hAnsi="宋体" w:eastAsia="宋体" w:cs="宋体"/>
          <w:color w:val="auto"/>
          <w:sz w:val="24"/>
          <w:szCs w:val="24"/>
        </w:rPr>
      </w:pPr>
    </w:p>
    <w:p w14:paraId="28EC06C4">
      <w:pPr>
        <w:spacing w:line="440" w:lineRule="exact"/>
        <w:jc w:val="center"/>
        <w:rPr>
          <w:rFonts w:hint="eastAsia" w:ascii="宋体" w:hAnsi="宋体" w:eastAsia="宋体" w:cs="宋体"/>
          <w:color w:val="auto"/>
          <w:sz w:val="24"/>
          <w:szCs w:val="24"/>
        </w:rPr>
      </w:pPr>
      <w:r>
        <w:rPr>
          <w:rFonts w:hint="eastAsia" w:ascii="宋体" w:hAnsi="宋体" w:eastAsia="宋体" w:cs="宋体"/>
          <w:color w:val="000000"/>
          <w:sz w:val="24"/>
          <w:szCs w:val="24"/>
        </w:rPr>
        <w:t>附</w:t>
      </w:r>
      <w:r>
        <w:rPr>
          <w:rFonts w:hint="eastAsia" w:ascii="宋体" w:hAnsi="宋体" w:eastAsia="宋体" w:cs="宋体"/>
          <w:color w:val="auto"/>
          <w:sz w:val="24"/>
          <w:szCs w:val="24"/>
        </w:rPr>
        <w:t>法定代表人身份证扫描件</w:t>
      </w:r>
    </w:p>
    <w:p w14:paraId="75E8B830">
      <w:pPr>
        <w:spacing w:line="440" w:lineRule="exact"/>
        <w:rPr>
          <w:rFonts w:hint="eastAsia" w:ascii="宋体" w:hAnsi="宋体" w:eastAsia="宋体" w:cs="宋体"/>
          <w:color w:val="auto"/>
          <w:sz w:val="24"/>
          <w:szCs w:val="24"/>
        </w:rPr>
      </w:pPr>
    </w:p>
    <w:p w14:paraId="58D9AE7E">
      <w:pPr>
        <w:spacing w:line="440" w:lineRule="exact"/>
        <w:rPr>
          <w:rFonts w:hint="eastAsia" w:ascii="宋体" w:hAnsi="宋体" w:eastAsia="宋体" w:cs="宋体"/>
          <w:color w:val="auto"/>
          <w:sz w:val="24"/>
          <w:szCs w:val="24"/>
        </w:rPr>
      </w:pPr>
    </w:p>
    <w:p w14:paraId="42D52F20">
      <w:pPr>
        <w:numPr>
          <w:ilvl w:val="1"/>
          <w:numId w:val="0"/>
        </w:numPr>
        <w:jc w:val="center"/>
        <w:outlineLvl w:val="9"/>
        <w:rPr>
          <w:rFonts w:hint="eastAsia" w:ascii="宋体" w:hAnsi="宋体" w:eastAsia="宋体" w:cs="宋体"/>
          <w:color w:val="auto"/>
          <w:sz w:val="28"/>
          <w:lang w:eastAsia="zh-CN"/>
        </w:rPr>
      </w:pPr>
      <w:bookmarkStart w:id="770" w:name="_Toc318989765"/>
      <w:bookmarkStart w:id="771" w:name="_Toc202941490"/>
      <w:bookmarkStart w:id="772" w:name="_Toc466298162"/>
      <w:bookmarkStart w:id="773" w:name="_Toc441791190"/>
      <w:bookmarkStart w:id="774" w:name="_Toc4123"/>
      <w:bookmarkStart w:id="775" w:name="_Toc26203"/>
    </w:p>
    <w:p w14:paraId="4A968D27">
      <w:pPr>
        <w:numPr>
          <w:ilvl w:val="1"/>
          <w:numId w:val="0"/>
        </w:numPr>
        <w:jc w:val="center"/>
        <w:outlineLvl w:val="9"/>
        <w:rPr>
          <w:rFonts w:hint="eastAsia" w:ascii="宋体" w:hAnsi="宋体" w:eastAsia="宋体" w:cs="宋体"/>
          <w:color w:val="auto"/>
          <w:sz w:val="28"/>
          <w:lang w:eastAsia="zh-CN"/>
        </w:rPr>
      </w:pPr>
    </w:p>
    <w:p w14:paraId="23A784B0">
      <w:pPr>
        <w:numPr>
          <w:ilvl w:val="1"/>
          <w:numId w:val="0"/>
        </w:numPr>
        <w:jc w:val="center"/>
        <w:outlineLvl w:val="9"/>
        <w:rPr>
          <w:rFonts w:hint="eastAsia" w:ascii="宋体" w:hAnsi="宋体" w:eastAsia="宋体" w:cs="宋体"/>
          <w:color w:val="auto"/>
          <w:sz w:val="28"/>
          <w:lang w:eastAsia="zh-CN"/>
        </w:rPr>
      </w:pPr>
    </w:p>
    <w:p w14:paraId="10001077">
      <w:pPr>
        <w:outlineLvl w:val="9"/>
        <w:rPr>
          <w:rFonts w:hint="eastAsia" w:ascii="宋体" w:hAnsi="宋体" w:eastAsia="宋体" w:cs="宋体"/>
          <w:color w:val="auto"/>
          <w:sz w:val="28"/>
          <w:lang w:eastAsia="zh-CN"/>
        </w:rPr>
      </w:pPr>
    </w:p>
    <w:p w14:paraId="65B05B4E">
      <w:pPr>
        <w:pStyle w:val="31"/>
        <w:outlineLvl w:val="9"/>
        <w:rPr>
          <w:rFonts w:hint="eastAsia" w:ascii="宋体" w:hAnsi="宋体" w:eastAsia="宋体" w:cs="宋体"/>
          <w:color w:val="auto"/>
          <w:sz w:val="28"/>
          <w:lang w:eastAsia="zh-CN"/>
        </w:rPr>
      </w:pPr>
    </w:p>
    <w:p w14:paraId="2F56FE9A">
      <w:pPr>
        <w:pStyle w:val="32"/>
        <w:outlineLvl w:val="9"/>
        <w:rPr>
          <w:rFonts w:hint="eastAsia" w:ascii="宋体" w:hAnsi="宋体" w:eastAsia="宋体" w:cs="宋体"/>
          <w:color w:val="auto"/>
          <w:sz w:val="28"/>
          <w:lang w:eastAsia="zh-CN"/>
        </w:rPr>
      </w:pPr>
    </w:p>
    <w:p w14:paraId="26CE6955">
      <w:pPr>
        <w:outlineLvl w:val="9"/>
        <w:rPr>
          <w:rFonts w:hint="eastAsia" w:ascii="宋体" w:hAnsi="宋体" w:eastAsia="宋体" w:cs="宋体"/>
          <w:color w:val="auto"/>
          <w:sz w:val="28"/>
          <w:lang w:eastAsia="zh-CN"/>
        </w:rPr>
      </w:pPr>
    </w:p>
    <w:p w14:paraId="49492F49">
      <w:pPr>
        <w:pStyle w:val="31"/>
        <w:outlineLvl w:val="9"/>
        <w:rPr>
          <w:rFonts w:hint="eastAsia" w:ascii="宋体" w:hAnsi="宋体" w:eastAsia="宋体" w:cs="宋体"/>
          <w:color w:val="auto"/>
          <w:sz w:val="28"/>
          <w:lang w:eastAsia="zh-CN"/>
        </w:rPr>
      </w:pPr>
    </w:p>
    <w:p w14:paraId="211A7719">
      <w:pPr>
        <w:pStyle w:val="32"/>
        <w:outlineLvl w:val="9"/>
        <w:rPr>
          <w:rFonts w:hint="eastAsia" w:ascii="宋体" w:hAnsi="宋体" w:eastAsia="宋体" w:cs="宋体"/>
          <w:color w:val="auto"/>
          <w:sz w:val="28"/>
          <w:lang w:eastAsia="zh-CN"/>
        </w:rPr>
      </w:pPr>
    </w:p>
    <w:p w14:paraId="4813081D">
      <w:pPr>
        <w:outlineLvl w:val="9"/>
        <w:rPr>
          <w:rFonts w:hint="eastAsia" w:ascii="宋体" w:hAnsi="宋体" w:eastAsia="宋体" w:cs="宋体"/>
          <w:color w:val="auto"/>
          <w:sz w:val="28"/>
          <w:lang w:eastAsia="zh-CN"/>
        </w:rPr>
      </w:pPr>
    </w:p>
    <w:p w14:paraId="024B6C2E">
      <w:pPr>
        <w:pStyle w:val="31"/>
        <w:outlineLvl w:val="9"/>
        <w:rPr>
          <w:rFonts w:hint="eastAsia" w:ascii="宋体" w:hAnsi="宋体" w:eastAsia="宋体" w:cs="宋体"/>
          <w:lang w:eastAsia="zh-CN"/>
        </w:rPr>
      </w:pPr>
    </w:p>
    <w:p w14:paraId="62E99837">
      <w:pPr>
        <w:rPr>
          <w:rFonts w:hint="eastAsia"/>
          <w:lang w:eastAsia="zh-CN"/>
        </w:rPr>
      </w:pPr>
    </w:p>
    <w:p w14:paraId="7995B7F4">
      <w:pPr>
        <w:numPr>
          <w:ilvl w:val="1"/>
          <w:numId w:val="0"/>
        </w:numPr>
        <w:jc w:val="both"/>
        <w:outlineLvl w:val="9"/>
        <w:rPr>
          <w:rFonts w:hint="eastAsia" w:ascii="宋体" w:hAnsi="宋体" w:eastAsia="宋体" w:cs="宋体"/>
          <w:color w:val="auto"/>
          <w:sz w:val="28"/>
          <w:lang w:eastAsia="zh-CN"/>
        </w:rPr>
      </w:pPr>
    </w:p>
    <w:p w14:paraId="5677B3A7">
      <w:pPr>
        <w:outlineLvl w:val="9"/>
        <w:rPr>
          <w:rFonts w:hint="eastAsia" w:ascii="宋体" w:hAnsi="宋体" w:eastAsia="宋体" w:cs="宋体"/>
          <w:color w:val="auto"/>
          <w:sz w:val="28"/>
          <w:lang w:eastAsia="zh-CN"/>
        </w:rPr>
      </w:pPr>
    </w:p>
    <w:p w14:paraId="381ABFAD">
      <w:pPr>
        <w:pStyle w:val="31"/>
        <w:outlineLvl w:val="9"/>
        <w:rPr>
          <w:rFonts w:hint="eastAsia" w:ascii="宋体" w:hAnsi="宋体" w:eastAsia="宋体" w:cs="宋体"/>
          <w:lang w:eastAsia="zh-CN"/>
        </w:rPr>
      </w:pPr>
    </w:p>
    <w:p w14:paraId="05ED8B07">
      <w:pPr>
        <w:pStyle w:val="4"/>
        <w:numPr>
          <w:ilvl w:val="1"/>
          <w:numId w:val="0"/>
        </w:numPr>
        <w:jc w:val="center"/>
        <w:rPr>
          <w:rFonts w:hint="eastAsia" w:ascii="宋体" w:hAnsi="宋体" w:eastAsia="宋体" w:cs="宋体"/>
          <w:color w:val="auto"/>
          <w:sz w:val="30"/>
          <w:szCs w:val="30"/>
        </w:rPr>
      </w:pPr>
      <w:r>
        <w:rPr>
          <w:rFonts w:hint="eastAsia" w:ascii="宋体" w:hAnsi="宋体" w:eastAsia="宋体" w:cs="宋体"/>
          <w:color w:val="auto"/>
          <w:sz w:val="30"/>
          <w:szCs w:val="30"/>
          <w:lang w:val="en-US" w:eastAsia="zh-CN"/>
        </w:rPr>
        <w:t>三</w:t>
      </w:r>
      <w:r>
        <w:rPr>
          <w:rFonts w:hint="eastAsia" w:ascii="宋体" w:hAnsi="宋体" w:eastAsia="宋体" w:cs="宋体"/>
          <w:color w:val="auto"/>
          <w:sz w:val="30"/>
          <w:szCs w:val="30"/>
        </w:rPr>
        <w:t>、授权委托书</w:t>
      </w:r>
      <w:bookmarkEnd w:id="770"/>
      <w:bookmarkEnd w:id="771"/>
      <w:bookmarkEnd w:id="772"/>
      <w:bookmarkEnd w:id="773"/>
      <w:bookmarkEnd w:id="774"/>
      <w:bookmarkEnd w:id="775"/>
    </w:p>
    <w:p w14:paraId="77614E41">
      <w:pPr>
        <w:topLinePunct/>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本人</w:t>
      </w:r>
      <w:r>
        <w:rPr>
          <w:rFonts w:hint="eastAsia" w:ascii="宋体" w:hAnsi="宋体" w:eastAsia="宋体" w:cs="宋体"/>
          <w:color w:val="auto"/>
          <w:sz w:val="24"/>
          <w:szCs w:val="24"/>
          <w:u w:val="single"/>
        </w:rPr>
        <w:t xml:space="preserve">   （姓名）</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（供应商名称）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的法定代表人，现委托</w:t>
      </w:r>
      <w:r>
        <w:rPr>
          <w:rFonts w:hint="eastAsia" w:ascii="宋体" w:hAnsi="宋体" w:eastAsia="宋体" w:cs="宋体"/>
          <w:color w:val="auto"/>
          <w:sz w:val="24"/>
          <w:szCs w:val="24"/>
          <w:u w:val="single"/>
        </w:rPr>
        <w:t xml:space="preserve">    （姓名）</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为我方代理人。代理人根据授权，以我方名义签署、澄清、说明、补正、递交、撤回、修改</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（项目名称）</w:t>
      </w:r>
      <w:r>
        <w:rPr>
          <w:rFonts w:hint="eastAsia" w:ascii="宋体" w:hAnsi="宋体" w:eastAsia="宋体" w:cs="宋体"/>
          <w:color w:val="auto"/>
          <w:sz w:val="24"/>
          <w:szCs w:val="24"/>
        </w:rPr>
        <w:t>响应文件、签订合同和处理有关事宜，其法律后果由我方承担。</w:t>
      </w:r>
    </w:p>
    <w:p w14:paraId="70C4BD17">
      <w:pPr>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委托期限：自本委托书签署之日起至</w:t>
      </w:r>
      <w:r>
        <w:rPr>
          <w:rFonts w:hint="eastAsia" w:ascii="宋体" w:hAnsi="宋体" w:eastAsia="宋体" w:cs="宋体"/>
          <w:color w:val="auto"/>
          <w:sz w:val="24"/>
          <w:szCs w:val="24"/>
          <w:lang w:eastAsia="zh-CN"/>
        </w:rPr>
        <w:t>磋商</w:t>
      </w:r>
      <w:r>
        <w:rPr>
          <w:rFonts w:hint="eastAsia" w:ascii="宋体" w:hAnsi="宋体" w:eastAsia="宋体" w:cs="宋体"/>
          <w:color w:val="auto"/>
          <w:sz w:val="24"/>
          <w:szCs w:val="24"/>
        </w:rPr>
        <w:t>有效期期满。</w:t>
      </w:r>
    </w:p>
    <w:p w14:paraId="20156B51">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代理人无转委托权。</w:t>
      </w:r>
    </w:p>
    <w:p w14:paraId="01BDC028">
      <w:pPr>
        <w:spacing w:line="440" w:lineRule="exact"/>
        <w:rPr>
          <w:rFonts w:hint="eastAsia" w:ascii="宋体" w:hAnsi="宋体" w:eastAsia="宋体" w:cs="宋体"/>
          <w:color w:val="auto"/>
          <w:sz w:val="24"/>
          <w:szCs w:val="24"/>
        </w:rPr>
      </w:pPr>
    </w:p>
    <w:p w14:paraId="0284C727">
      <w:pPr>
        <w:spacing w:line="440" w:lineRule="exact"/>
        <w:rPr>
          <w:rFonts w:hint="eastAsia" w:ascii="宋体" w:hAnsi="宋体" w:eastAsia="宋体" w:cs="宋体"/>
          <w:color w:val="auto"/>
          <w:sz w:val="24"/>
          <w:szCs w:val="24"/>
        </w:rPr>
      </w:pPr>
    </w:p>
    <w:p w14:paraId="76A764DF">
      <w:pPr>
        <w:spacing w:line="440" w:lineRule="exact"/>
        <w:rPr>
          <w:rFonts w:hint="eastAsia" w:ascii="宋体" w:hAnsi="宋体" w:eastAsia="宋体" w:cs="宋体"/>
          <w:color w:val="auto"/>
          <w:sz w:val="24"/>
          <w:szCs w:val="24"/>
        </w:rPr>
      </w:pPr>
    </w:p>
    <w:p w14:paraId="4872D2BB">
      <w:pPr>
        <w:spacing w:line="480" w:lineRule="auto"/>
        <w:ind w:firstLine="480" w:firstLineChars="200"/>
        <w:jc w:val="right"/>
        <w:rPr>
          <w:rFonts w:hint="eastAsia" w:ascii="宋体" w:hAnsi="宋体" w:eastAsia="宋体" w:cs="宋体"/>
          <w:color w:val="000000"/>
          <w:sz w:val="24"/>
        </w:rPr>
      </w:pPr>
      <w:r>
        <w:rPr>
          <w:rFonts w:hint="eastAsia" w:ascii="宋体" w:hAnsi="宋体" w:eastAsia="宋体" w:cs="宋体"/>
          <w:color w:val="auto"/>
          <w:sz w:val="24"/>
          <w:szCs w:val="24"/>
        </w:rPr>
        <w:t xml:space="preserve">               </w:t>
      </w:r>
      <w:r>
        <w:rPr>
          <w:rFonts w:hint="eastAsia" w:ascii="宋体" w:hAnsi="宋体" w:eastAsia="宋体" w:cs="宋体"/>
          <w:color w:val="000000"/>
          <w:sz w:val="24"/>
        </w:rPr>
        <w:t>供应商名称：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（单位电子签章）</w:t>
      </w:r>
    </w:p>
    <w:p w14:paraId="5BC14D62">
      <w:pPr>
        <w:spacing w:line="480" w:lineRule="auto"/>
        <w:ind w:firstLine="480" w:firstLineChars="200"/>
        <w:jc w:val="left"/>
        <w:rPr>
          <w:rFonts w:hint="eastAsia" w:ascii="宋体" w:hAnsi="宋体" w:eastAsia="宋体" w:cs="宋体"/>
          <w:color w:val="000000"/>
          <w:sz w:val="24"/>
        </w:rPr>
      </w:pPr>
      <w:r>
        <w:rPr>
          <w:rFonts w:hint="eastAsia" w:ascii="宋体" w:hAnsi="宋体" w:eastAsia="宋体" w:cs="宋体"/>
          <w:color w:val="000000"/>
          <w:sz w:val="24"/>
        </w:rPr>
        <w:t xml:space="preserve">                           法定代表人：</w:t>
      </w:r>
      <w:r>
        <w:rPr>
          <w:rFonts w:hint="eastAsia" w:ascii="宋体" w:hAnsi="宋体" w:eastAsia="宋体" w:cs="宋体"/>
          <w:color w:val="000000"/>
          <w:sz w:val="24"/>
          <w:u w:val="single"/>
        </w:rPr>
        <w:t xml:space="preserve">       </w:t>
      </w:r>
      <w:r>
        <w:rPr>
          <w:rFonts w:hint="eastAsia" w:ascii="宋体" w:hAnsi="宋体" w:eastAsia="宋体" w:cs="宋体"/>
          <w:bCs/>
          <w:color w:val="000000"/>
          <w:sz w:val="24"/>
        </w:rPr>
        <w:t>（法定代表人电子签名或签章）</w:t>
      </w:r>
    </w:p>
    <w:p w14:paraId="245704C5">
      <w:pPr>
        <w:spacing w:line="480" w:lineRule="auto"/>
        <w:ind w:firstLine="4320" w:firstLineChars="1800"/>
        <w:jc w:val="left"/>
        <w:rPr>
          <w:rFonts w:hint="eastAsia" w:ascii="宋体" w:hAnsi="宋体" w:eastAsia="宋体" w:cs="宋体"/>
          <w:color w:val="000000"/>
          <w:sz w:val="24"/>
          <w:u w:val="single"/>
        </w:rPr>
      </w:pPr>
      <w:r>
        <w:rPr>
          <w:rFonts w:hint="eastAsia" w:ascii="宋体" w:hAnsi="宋体" w:eastAsia="宋体" w:cs="宋体"/>
          <w:color w:val="000000"/>
          <w:sz w:val="24"/>
        </w:rPr>
        <w:t>身份证号码：</w:t>
      </w:r>
      <w:r>
        <w:rPr>
          <w:rFonts w:hint="eastAsia" w:ascii="宋体" w:hAnsi="宋体" w:eastAsia="宋体" w:cs="宋体"/>
          <w:color w:val="000000"/>
          <w:sz w:val="24"/>
          <w:u w:val="single"/>
        </w:rPr>
        <w:t xml:space="preserve">                     </w:t>
      </w:r>
    </w:p>
    <w:p w14:paraId="49B31615">
      <w:pPr>
        <w:spacing w:line="480" w:lineRule="auto"/>
        <w:ind w:firstLine="480" w:firstLineChars="200"/>
        <w:jc w:val="center"/>
        <w:rPr>
          <w:rFonts w:hint="eastAsia" w:ascii="宋体" w:hAnsi="宋体" w:eastAsia="宋体" w:cs="宋体"/>
          <w:color w:val="000000"/>
          <w:sz w:val="24"/>
        </w:rPr>
      </w:pPr>
      <w:r>
        <w:rPr>
          <w:rFonts w:hint="eastAsia" w:ascii="宋体" w:hAnsi="宋体" w:eastAsia="宋体" w:cs="宋体"/>
          <w:color w:val="000000"/>
          <w:sz w:val="24"/>
        </w:rPr>
        <w:t xml:space="preserve">                             </w:t>
      </w:r>
      <w:r>
        <w:rPr>
          <w:rFonts w:hint="eastAsia" w:ascii="宋体" w:hAnsi="宋体" w:eastAsia="宋体" w:cs="宋体"/>
          <w:bCs/>
          <w:color w:val="000000"/>
          <w:sz w:val="24"/>
        </w:rPr>
        <w:t>委托代理人</w:t>
      </w:r>
      <w:r>
        <w:rPr>
          <w:rFonts w:hint="eastAsia" w:ascii="宋体" w:hAnsi="宋体" w:eastAsia="宋体" w:cs="宋体"/>
          <w:color w:val="000000"/>
          <w:sz w:val="24"/>
        </w:rPr>
        <w:t>：</w:t>
      </w:r>
      <w:r>
        <w:rPr>
          <w:rFonts w:hint="eastAsia" w:ascii="宋体" w:hAnsi="宋体" w:eastAsia="宋体" w:cs="宋体"/>
          <w:color w:val="000000"/>
          <w:sz w:val="24"/>
          <w:u w:val="single"/>
        </w:rPr>
        <w:t xml:space="preserve">                  </w:t>
      </w:r>
      <w:r>
        <w:rPr>
          <w:rFonts w:hint="eastAsia" w:ascii="宋体" w:hAnsi="宋体" w:eastAsia="宋体" w:cs="宋体"/>
          <w:bCs/>
          <w:color w:val="000000"/>
          <w:sz w:val="24"/>
        </w:rPr>
        <w:t>（签字</w:t>
      </w:r>
      <w:r>
        <w:rPr>
          <w:rFonts w:hint="eastAsia" w:ascii="宋体" w:hAnsi="宋体" w:eastAsia="宋体" w:cs="宋体"/>
          <w:bCs/>
          <w:color w:val="000000"/>
          <w:sz w:val="24"/>
          <w:lang w:val="en-US" w:eastAsia="zh-CN"/>
        </w:rPr>
        <w:t>或盖章</w:t>
      </w:r>
      <w:r>
        <w:rPr>
          <w:rFonts w:hint="eastAsia" w:ascii="宋体" w:hAnsi="宋体" w:eastAsia="宋体" w:cs="宋体"/>
          <w:bCs/>
          <w:color w:val="000000"/>
          <w:sz w:val="24"/>
        </w:rPr>
        <w:t>）</w:t>
      </w:r>
    </w:p>
    <w:p w14:paraId="56F0C2D1">
      <w:pPr>
        <w:spacing w:line="480" w:lineRule="auto"/>
        <w:ind w:firstLine="480" w:firstLineChars="200"/>
        <w:jc w:val="center"/>
        <w:rPr>
          <w:rFonts w:hint="eastAsia" w:ascii="宋体" w:hAnsi="宋体" w:eastAsia="宋体" w:cs="宋体"/>
          <w:color w:val="000000"/>
          <w:sz w:val="24"/>
          <w:u w:val="single"/>
        </w:rPr>
      </w:pPr>
      <w:r>
        <w:rPr>
          <w:rFonts w:hint="eastAsia" w:ascii="宋体" w:hAnsi="宋体" w:eastAsia="宋体" w:cs="宋体"/>
          <w:color w:val="000000"/>
          <w:sz w:val="24"/>
        </w:rPr>
        <w:t xml:space="preserve">  身份证号码：</w:t>
      </w:r>
      <w:r>
        <w:rPr>
          <w:rFonts w:hint="eastAsia" w:ascii="宋体" w:hAnsi="宋体" w:eastAsia="宋体" w:cs="宋体"/>
          <w:color w:val="000000"/>
          <w:sz w:val="24"/>
          <w:u w:val="single"/>
        </w:rPr>
        <w:t xml:space="preserve">                       </w:t>
      </w:r>
    </w:p>
    <w:p w14:paraId="5B8B7151">
      <w:pPr>
        <w:spacing w:line="480" w:lineRule="auto"/>
        <w:ind w:firstLine="480" w:firstLineChars="200"/>
        <w:jc w:val="center"/>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5EB63F9E">
      <w:pPr>
        <w:pStyle w:val="2"/>
        <w:rPr>
          <w:rFonts w:hint="eastAsia" w:ascii="宋体" w:hAnsi="宋体" w:eastAsia="宋体" w:cs="宋体"/>
          <w:color w:val="auto"/>
          <w:sz w:val="24"/>
          <w:szCs w:val="24"/>
        </w:rPr>
      </w:pPr>
    </w:p>
    <w:p w14:paraId="22058B3E">
      <w:pPr>
        <w:spacing w:line="480" w:lineRule="auto"/>
        <w:jc w:val="center"/>
        <w:rPr>
          <w:rFonts w:hint="eastAsia" w:ascii="宋体" w:hAnsi="宋体" w:eastAsia="宋体" w:cs="宋体"/>
          <w:color w:val="000000"/>
          <w:sz w:val="24"/>
        </w:rPr>
      </w:pPr>
      <w:r>
        <w:rPr>
          <w:rFonts w:hint="eastAsia" w:ascii="宋体" w:hAnsi="宋体" w:eastAsia="宋体" w:cs="宋体"/>
          <w:color w:val="000000"/>
          <w:sz w:val="24"/>
        </w:rPr>
        <w:t>附法定代表人及其</w:t>
      </w:r>
      <w:r>
        <w:rPr>
          <w:rFonts w:hint="eastAsia" w:ascii="宋体" w:hAnsi="宋体" w:eastAsia="宋体" w:cs="宋体"/>
          <w:bCs/>
          <w:color w:val="000000"/>
          <w:sz w:val="24"/>
        </w:rPr>
        <w:t>委托代理人</w:t>
      </w:r>
      <w:r>
        <w:rPr>
          <w:rFonts w:hint="eastAsia" w:ascii="宋体" w:hAnsi="宋体" w:eastAsia="宋体" w:cs="宋体"/>
          <w:color w:val="000000"/>
          <w:sz w:val="24"/>
        </w:rPr>
        <w:t>身份证</w:t>
      </w:r>
      <w:r>
        <w:rPr>
          <w:rFonts w:hint="eastAsia" w:ascii="宋体" w:hAnsi="宋体" w:eastAsia="宋体" w:cs="宋体"/>
          <w:color w:val="000000"/>
          <w:sz w:val="24"/>
          <w:lang w:val="en-US" w:eastAsia="zh-CN"/>
        </w:rPr>
        <w:t>扫描件</w:t>
      </w:r>
    </w:p>
    <w:p w14:paraId="0DB8D0D8">
      <w:pPr>
        <w:numPr>
          <w:ilvl w:val="1"/>
          <w:numId w:val="0"/>
        </w:numPr>
        <w:spacing w:before="60" w:beforeLines="0" w:after="60" w:afterLines="0" w:line="400" w:lineRule="exact"/>
        <w:jc w:val="center"/>
        <w:outlineLvl w:val="9"/>
        <w:rPr>
          <w:rFonts w:hint="eastAsia" w:ascii="宋体" w:hAnsi="宋体" w:eastAsia="宋体" w:cs="宋体"/>
          <w:b/>
          <w:color w:val="auto"/>
          <w:szCs w:val="28"/>
          <w:lang w:eastAsia="zh-CN"/>
        </w:rPr>
      </w:pPr>
    </w:p>
    <w:p w14:paraId="1FE8226C">
      <w:pPr>
        <w:numPr>
          <w:ilvl w:val="1"/>
          <w:numId w:val="0"/>
        </w:numPr>
        <w:spacing w:before="60" w:beforeLines="0" w:after="60" w:afterLines="0" w:line="400" w:lineRule="exact"/>
        <w:jc w:val="center"/>
        <w:outlineLvl w:val="9"/>
        <w:rPr>
          <w:rFonts w:hint="eastAsia" w:ascii="宋体" w:hAnsi="宋体" w:eastAsia="宋体" w:cs="宋体"/>
          <w:b/>
          <w:color w:val="auto"/>
          <w:szCs w:val="28"/>
          <w:lang w:eastAsia="zh-CN"/>
        </w:rPr>
      </w:pPr>
    </w:p>
    <w:p w14:paraId="3C79732A">
      <w:pPr>
        <w:outlineLvl w:val="9"/>
        <w:rPr>
          <w:rFonts w:hint="eastAsia" w:ascii="宋体" w:hAnsi="宋体" w:eastAsia="宋体" w:cs="宋体"/>
          <w:b/>
          <w:color w:val="auto"/>
          <w:szCs w:val="28"/>
          <w:lang w:eastAsia="zh-CN"/>
        </w:rPr>
      </w:pPr>
    </w:p>
    <w:p w14:paraId="6BB7CC82">
      <w:pPr>
        <w:pStyle w:val="31"/>
        <w:outlineLvl w:val="9"/>
        <w:rPr>
          <w:rFonts w:hint="eastAsia" w:ascii="宋体" w:hAnsi="宋体" w:eastAsia="宋体" w:cs="宋体"/>
          <w:b/>
          <w:color w:val="auto"/>
          <w:szCs w:val="28"/>
          <w:lang w:eastAsia="zh-CN"/>
        </w:rPr>
      </w:pPr>
    </w:p>
    <w:p w14:paraId="652AF050">
      <w:pPr>
        <w:pStyle w:val="32"/>
        <w:outlineLvl w:val="9"/>
        <w:rPr>
          <w:rFonts w:hint="eastAsia" w:ascii="宋体" w:hAnsi="宋体" w:eastAsia="宋体" w:cs="宋体"/>
          <w:b/>
          <w:color w:val="auto"/>
          <w:szCs w:val="28"/>
          <w:lang w:eastAsia="zh-CN"/>
        </w:rPr>
      </w:pPr>
    </w:p>
    <w:p w14:paraId="25DDCC67">
      <w:pPr>
        <w:outlineLvl w:val="9"/>
        <w:rPr>
          <w:rFonts w:hint="eastAsia" w:ascii="宋体" w:hAnsi="宋体" w:eastAsia="宋体" w:cs="宋体"/>
          <w:b/>
          <w:color w:val="auto"/>
          <w:szCs w:val="28"/>
          <w:lang w:eastAsia="zh-CN"/>
        </w:rPr>
      </w:pPr>
    </w:p>
    <w:p w14:paraId="2BE4A86F">
      <w:pPr>
        <w:pStyle w:val="31"/>
        <w:outlineLvl w:val="9"/>
        <w:rPr>
          <w:rFonts w:hint="eastAsia" w:ascii="宋体" w:hAnsi="宋体" w:eastAsia="宋体" w:cs="宋体"/>
          <w:b/>
          <w:color w:val="auto"/>
          <w:szCs w:val="28"/>
          <w:lang w:eastAsia="zh-CN"/>
        </w:rPr>
      </w:pPr>
    </w:p>
    <w:p w14:paraId="0A5B30D2">
      <w:pPr>
        <w:pStyle w:val="32"/>
        <w:outlineLvl w:val="9"/>
        <w:rPr>
          <w:rFonts w:hint="eastAsia" w:ascii="宋体" w:hAnsi="宋体" w:eastAsia="宋体" w:cs="宋体"/>
          <w:b/>
          <w:color w:val="auto"/>
          <w:szCs w:val="28"/>
          <w:lang w:eastAsia="zh-CN"/>
        </w:rPr>
      </w:pPr>
    </w:p>
    <w:p w14:paraId="154A0B38">
      <w:pPr>
        <w:outlineLvl w:val="9"/>
        <w:rPr>
          <w:rFonts w:hint="eastAsia" w:ascii="宋体" w:hAnsi="宋体" w:eastAsia="宋体" w:cs="宋体"/>
          <w:b/>
          <w:color w:val="auto"/>
          <w:szCs w:val="28"/>
          <w:lang w:eastAsia="zh-CN"/>
        </w:rPr>
      </w:pPr>
    </w:p>
    <w:p w14:paraId="4CBAE0C5">
      <w:pPr>
        <w:pStyle w:val="31"/>
        <w:outlineLvl w:val="9"/>
        <w:rPr>
          <w:rFonts w:hint="eastAsia" w:ascii="宋体" w:hAnsi="宋体" w:eastAsia="宋体" w:cs="宋体"/>
          <w:lang w:eastAsia="zh-CN"/>
        </w:rPr>
      </w:pPr>
    </w:p>
    <w:p w14:paraId="7829AD6D">
      <w:pPr>
        <w:numPr>
          <w:ilvl w:val="1"/>
          <w:numId w:val="0"/>
        </w:numPr>
        <w:spacing w:before="60" w:beforeLines="0" w:after="60" w:afterLines="0" w:line="400" w:lineRule="exact"/>
        <w:jc w:val="center"/>
        <w:outlineLvl w:val="9"/>
        <w:rPr>
          <w:rFonts w:hint="eastAsia" w:ascii="宋体" w:hAnsi="宋体" w:eastAsia="宋体" w:cs="宋体"/>
          <w:b/>
          <w:color w:val="auto"/>
          <w:szCs w:val="28"/>
          <w:lang w:eastAsia="zh-CN"/>
        </w:rPr>
      </w:pPr>
    </w:p>
    <w:p w14:paraId="4A18FA38">
      <w:pPr>
        <w:outlineLvl w:val="9"/>
        <w:rPr>
          <w:rFonts w:hint="eastAsia" w:ascii="宋体" w:hAnsi="宋体" w:eastAsia="宋体" w:cs="宋体"/>
          <w:lang w:eastAsia="zh-CN"/>
        </w:rPr>
      </w:pPr>
    </w:p>
    <w:p w14:paraId="193AFEAE">
      <w:pPr>
        <w:pStyle w:val="31"/>
        <w:bidi w:val="0"/>
        <w:ind w:left="0" w:leftChars="0" w:firstLine="0" w:firstLineChars="0"/>
        <w:jc w:val="center"/>
        <w:outlineLvl w:val="9"/>
        <w:rPr>
          <w:rFonts w:hint="eastAsia" w:ascii="宋体" w:hAnsi="宋体" w:eastAsia="宋体" w:cs="宋体"/>
          <w:b/>
          <w:color w:val="000000"/>
          <w:sz w:val="28"/>
          <w:szCs w:val="28"/>
          <w:lang w:eastAsia="zh-CN"/>
        </w:rPr>
      </w:pPr>
    </w:p>
    <w:p w14:paraId="381BF82B">
      <w:pPr>
        <w:pStyle w:val="31"/>
        <w:bidi w:val="0"/>
        <w:ind w:left="0" w:leftChars="0" w:firstLine="0" w:firstLineChars="0"/>
        <w:jc w:val="center"/>
        <w:outlineLvl w:val="9"/>
        <w:rPr>
          <w:rFonts w:hint="eastAsia" w:ascii="宋体" w:hAnsi="宋体" w:eastAsia="宋体" w:cs="宋体"/>
          <w:b/>
          <w:color w:val="000000"/>
          <w:sz w:val="28"/>
          <w:szCs w:val="28"/>
          <w:lang w:eastAsia="zh-CN"/>
        </w:rPr>
      </w:pPr>
    </w:p>
    <w:p w14:paraId="3071221E">
      <w:pPr>
        <w:outlineLvl w:val="9"/>
        <w:rPr>
          <w:rFonts w:hint="eastAsia" w:ascii="宋体" w:hAnsi="宋体" w:eastAsia="宋体" w:cs="宋体"/>
          <w:b/>
          <w:color w:val="auto"/>
          <w:sz w:val="28"/>
          <w:szCs w:val="28"/>
          <w:lang w:val="en-US" w:eastAsia="zh-CN"/>
        </w:rPr>
      </w:pPr>
    </w:p>
    <w:p w14:paraId="02235404">
      <w:pPr>
        <w:pStyle w:val="31"/>
        <w:numPr>
          <w:ilvl w:val="0"/>
          <w:numId w:val="0"/>
        </w:numPr>
        <w:bidi w:val="0"/>
        <w:spacing w:line="360" w:lineRule="auto"/>
        <w:ind w:left="0" w:leftChars="0" w:firstLine="0" w:firstLineChars="0"/>
        <w:jc w:val="center"/>
        <w:outlineLvl w:val="1"/>
        <w:rPr>
          <w:rFonts w:hint="eastAsia" w:ascii="宋体" w:hAnsi="宋体" w:eastAsia="宋体" w:cs="宋体"/>
          <w:b/>
          <w:color w:val="000000"/>
          <w:sz w:val="30"/>
          <w:szCs w:val="30"/>
          <w:lang w:val="en-US" w:eastAsia="zh-CN"/>
        </w:rPr>
      </w:pPr>
      <w:r>
        <w:rPr>
          <w:rFonts w:hint="eastAsia" w:ascii="宋体" w:hAnsi="宋体" w:eastAsia="宋体" w:cs="宋体"/>
          <w:b/>
          <w:color w:val="000000"/>
          <w:kern w:val="2"/>
          <w:sz w:val="30"/>
          <w:szCs w:val="30"/>
          <w:lang w:val="en-US" w:eastAsia="zh-CN" w:bidi="ar-SA"/>
        </w:rPr>
        <w:t>四、</w:t>
      </w:r>
      <w:r>
        <w:rPr>
          <w:rFonts w:hint="eastAsia" w:ascii="宋体" w:hAnsi="宋体" w:eastAsia="宋体" w:cs="宋体"/>
          <w:b/>
          <w:color w:val="000000"/>
          <w:sz w:val="30"/>
          <w:szCs w:val="30"/>
          <w:lang w:val="en-US" w:eastAsia="zh-CN"/>
        </w:rPr>
        <w:t>采购服务内容及要求偏离表</w:t>
      </w:r>
    </w:p>
    <w:p w14:paraId="1AAF531F">
      <w:pPr>
        <w:spacing w:after="120" w:afterLines="50"/>
        <w:jc w:val="center"/>
        <w:rPr>
          <w:rFonts w:hint="eastAsia" w:ascii="宋体" w:hAnsi="宋体" w:eastAsia="宋体" w:cs="宋体"/>
          <w:b/>
          <w:bCs/>
          <w:color w:val="000000"/>
          <w:sz w:val="24"/>
        </w:rPr>
      </w:pPr>
    </w:p>
    <w:p w14:paraId="3AF1CA60">
      <w:pPr>
        <w:ind w:firstLine="960" w:firstLineChars="400"/>
        <w:rPr>
          <w:rFonts w:hint="eastAsia" w:ascii="宋体" w:hAnsi="宋体" w:eastAsia="宋体" w:cs="宋体"/>
          <w:color w:val="000000"/>
          <w:sz w:val="24"/>
        </w:rPr>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031"/>
        <w:gridCol w:w="2170"/>
        <w:gridCol w:w="1713"/>
        <w:gridCol w:w="1631"/>
      </w:tblGrid>
      <w:tr w14:paraId="07C9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center"/>
          </w:tcPr>
          <w:p w14:paraId="446F6C22">
            <w:pPr>
              <w:spacing w:line="480" w:lineRule="exact"/>
              <w:jc w:val="center"/>
              <w:rPr>
                <w:rFonts w:hint="eastAsia" w:ascii="宋体" w:hAnsi="宋体" w:eastAsia="宋体" w:cs="宋体"/>
                <w:bCs/>
                <w:color w:val="000000"/>
                <w:sz w:val="24"/>
              </w:rPr>
            </w:pPr>
            <w:r>
              <w:rPr>
                <w:rFonts w:hint="eastAsia" w:ascii="宋体" w:hAnsi="宋体" w:eastAsia="宋体" w:cs="宋体"/>
                <w:bCs/>
                <w:color w:val="000000"/>
                <w:sz w:val="24"/>
              </w:rPr>
              <w:t>序号</w:t>
            </w:r>
          </w:p>
        </w:tc>
        <w:tc>
          <w:tcPr>
            <w:tcW w:w="2031" w:type="dxa"/>
            <w:tcBorders>
              <w:top w:val="single" w:color="auto" w:sz="4" w:space="0"/>
              <w:left w:val="single" w:color="auto" w:sz="4" w:space="0"/>
              <w:bottom w:val="single" w:color="auto" w:sz="4" w:space="0"/>
              <w:right w:val="single" w:color="auto" w:sz="4" w:space="0"/>
            </w:tcBorders>
            <w:noWrap w:val="0"/>
            <w:vAlign w:val="center"/>
          </w:tcPr>
          <w:p w14:paraId="7674CCF1">
            <w:pPr>
              <w:spacing w:line="480" w:lineRule="exact"/>
              <w:jc w:val="center"/>
              <w:rPr>
                <w:rFonts w:hint="eastAsia" w:ascii="宋体" w:hAnsi="宋体" w:eastAsia="宋体" w:cs="宋体"/>
                <w:bCs/>
                <w:color w:val="000000"/>
                <w:sz w:val="24"/>
              </w:rPr>
            </w:pPr>
            <w:r>
              <w:rPr>
                <w:rFonts w:hint="eastAsia" w:ascii="宋体" w:hAnsi="宋体" w:eastAsia="宋体" w:cs="宋体"/>
                <w:bCs/>
                <w:color w:val="000000"/>
                <w:sz w:val="24"/>
                <w:lang w:eastAsia="zh-CN"/>
              </w:rPr>
              <w:t>采购</w:t>
            </w:r>
            <w:r>
              <w:rPr>
                <w:rFonts w:hint="eastAsia" w:ascii="宋体" w:hAnsi="宋体" w:eastAsia="宋体" w:cs="宋体"/>
                <w:bCs/>
                <w:color w:val="000000"/>
                <w:sz w:val="24"/>
                <w:lang w:val="en-US" w:eastAsia="zh-CN"/>
              </w:rPr>
              <w:t>服务内容</w:t>
            </w:r>
            <w:r>
              <w:rPr>
                <w:rFonts w:hint="eastAsia" w:ascii="宋体" w:hAnsi="宋体" w:eastAsia="宋体" w:cs="宋体"/>
                <w:bCs/>
                <w:color w:val="000000"/>
                <w:sz w:val="24"/>
              </w:rPr>
              <w:t>及要求</w:t>
            </w:r>
          </w:p>
        </w:tc>
        <w:tc>
          <w:tcPr>
            <w:tcW w:w="2170" w:type="dxa"/>
            <w:tcBorders>
              <w:top w:val="single" w:color="auto" w:sz="4" w:space="0"/>
              <w:left w:val="single" w:color="auto" w:sz="4" w:space="0"/>
              <w:bottom w:val="single" w:color="auto" w:sz="4" w:space="0"/>
              <w:right w:val="single" w:color="auto" w:sz="4" w:space="0"/>
            </w:tcBorders>
            <w:noWrap w:val="0"/>
            <w:vAlign w:val="center"/>
          </w:tcPr>
          <w:p w14:paraId="3A6DC795">
            <w:pPr>
              <w:spacing w:line="480" w:lineRule="exact"/>
              <w:ind w:firstLine="120" w:firstLineChars="50"/>
              <w:jc w:val="center"/>
              <w:rPr>
                <w:rFonts w:hint="eastAsia" w:ascii="宋体" w:hAnsi="宋体" w:eastAsia="宋体" w:cs="宋体"/>
                <w:bCs/>
                <w:color w:val="000000"/>
                <w:sz w:val="24"/>
              </w:rPr>
            </w:pPr>
            <w:r>
              <w:rPr>
                <w:rFonts w:hint="eastAsia" w:ascii="宋体" w:hAnsi="宋体" w:eastAsia="宋体" w:cs="宋体"/>
                <w:bCs/>
                <w:color w:val="000000"/>
                <w:sz w:val="24"/>
              </w:rPr>
              <w:t>投标</w:t>
            </w:r>
            <w:r>
              <w:rPr>
                <w:rFonts w:hint="eastAsia" w:ascii="宋体" w:hAnsi="宋体" w:eastAsia="宋体" w:cs="宋体"/>
                <w:bCs/>
                <w:color w:val="000000"/>
                <w:sz w:val="24"/>
                <w:lang w:val="en-US" w:eastAsia="zh-CN"/>
              </w:rPr>
              <w:t>服务内容</w:t>
            </w:r>
          </w:p>
          <w:p w14:paraId="4BD1A3CF">
            <w:pPr>
              <w:spacing w:line="480" w:lineRule="exact"/>
              <w:ind w:firstLine="120" w:firstLineChars="50"/>
              <w:jc w:val="center"/>
              <w:rPr>
                <w:rFonts w:hint="eastAsia" w:ascii="宋体" w:hAnsi="宋体" w:eastAsia="宋体" w:cs="宋体"/>
                <w:bCs/>
                <w:color w:val="000000"/>
                <w:sz w:val="24"/>
              </w:rPr>
            </w:pPr>
            <w:r>
              <w:rPr>
                <w:rFonts w:hint="eastAsia" w:ascii="宋体" w:hAnsi="宋体" w:eastAsia="宋体" w:cs="宋体"/>
                <w:bCs/>
                <w:color w:val="000000"/>
                <w:sz w:val="24"/>
              </w:rPr>
              <w:t>及要求</w:t>
            </w:r>
          </w:p>
        </w:tc>
        <w:tc>
          <w:tcPr>
            <w:tcW w:w="1713" w:type="dxa"/>
            <w:tcBorders>
              <w:top w:val="single" w:color="auto" w:sz="4" w:space="0"/>
              <w:left w:val="single" w:color="auto" w:sz="4" w:space="0"/>
              <w:bottom w:val="single" w:color="auto" w:sz="4" w:space="0"/>
              <w:right w:val="single" w:color="auto" w:sz="4" w:space="0"/>
            </w:tcBorders>
            <w:noWrap w:val="0"/>
            <w:vAlign w:val="center"/>
          </w:tcPr>
          <w:p w14:paraId="48629387">
            <w:pPr>
              <w:spacing w:line="480" w:lineRule="exact"/>
              <w:jc w:val="center"/>
              <w:rPr>
                <w:rFonts w:hint="eastAsia" w:ascii="宋体" w:hAnsi="宋体" w:eastAsia="宋体" w:cs="宋体"/>
                <w:bCs/>
                <w:color w:val="000000"/>
                <w:sz w:val="24"/>
              </w:rPr>
            </w:pPr>
            <w:r>
              <w:rPr>
                <w:rFonts w:hint="eastAsia" w:ascii="宋体" w:hAnsi="宋体" w:eastAsia="宋体" w:cs="宋体"/>
                <w:bCs/>
                <w:color w:val="000000"/>
                <w:sz w:val="24"/>
              </w:rPr>
              <w:t>满足（偏离）情况</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59D3FF11">
            <w:pPr>
              <w:spacing w:line="480" w:lineRule="exact"/>
              <w:jc w:val="center"/>
              <w:rPr>
                <w:rFonts w:hint="eastAsia" w:ascii="宋体" w:hAnsi="宋体" w:eastAsia="宋体" w:cs="宋体"/>
                <w:bCs/>
                <w:color w:val="000000"/>
                <w:sz w:val="24"/>
              </w:rPr>
            </w:pPr>
            <w:r>
              <w:rPr>
                <w:rFonts w:hint="eastAsia" w:ascii="宋体" w:hAnsi="宋体" w:eastAsia="宋体" w:cs="宋体"/>
                <w:bCs/>
                <w:color w:val="000000"/>
                <w:sz w:val="24"/>
              </w:rPr>
              <w:t>备注</w:t>
            </w:r>
          </w:p>
          <w:p w14:paraId="21FABCAC">
            <w:pPr>
              <w:spacing w:line="480" w:lineRule="exact"/>
              <w:jc w:val="center"/>
              <w:rPr>
                <w:rFonts w:hint="eastAsia" w:ascii="宋体" w:hAnsi="宋体" w:eastAsia="宋体" w:cs="宋体"/>
                <w:bCs/>
                <w:color w:val="000000"/>
                <w:sz w:val="24"/>
              </w:rPr>
            </w:pPr>
          </w:p>
        </w:tc>
      </w:tr>
      <w:tr w14:paraId="038F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73CAAE7D">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1463FA21">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644340A2">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5EFDCDCF">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11E057DB">
            <w:pPr>
              <w:spacing w:line="480" w:lineRule="exact"/>
              <w:ind w:firstLine="480" w:firstLineChars="200"/>
              <w:rPr>
                <w:rFonts w:hint="eastAsia" w:ascii="宋体" w:hAnsi="宋体" w:eastAsia="宋体" w:cs="宋体"/>
                <w:bCs/>
                <w:color w:val="000000"/>
                <w:sz w:val="24"/>
              </w:rPr>
            </w:pPr>
          </w:p>
        </w:tc>
      </w:tr>
      <w:tr w14:paraId="4ECD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295951AB">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4191A766">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71C52B4C">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5F1E15F9">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24483E6B">
            <w:pPr>
              <w:spacing w:line="480" w:lineRule="exact"/>
              <w:ind w:firstLine="480" w:firstLineChars="200"/>
              <w:rPr>
                <w:rFonts w:hint="eastAsia" w:ascii="宋体" w:hAnsi="宋体" w:eastAsia="宋体" w:cs="宋体"/>
                <w:bCs/>
                <w:color w:val="000000"/>
                <w:sz w:val="24"/>
              </w:rPr>
            </w:pPr>
          </w:p>
        </w:tc>
      </w:tr>
      <w:tr w14:paraId="4455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4A9915A9">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78240413">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3E4ABE7A">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79A318A5">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47409696">
            <w:pPr>
              <w:spacing w:line="480" w:lineRule="exact"/>
              <w:ind w:firstLine="480" w:firstLineChars="200"/>
              <w:rPr>
                <w:rFonts w:hint="eastAsia" w:ascii="宋体" w:hAnsi="宋体" w:eastAsia="宋体" w:cs="宋体"/>
                <w:bCs/>
                <w:color w:val="000000"/>
                <w:sz w:val="24"/>
              </w:rPr>
            </w:pPr>
          </w:p>
        </w:tc>
      </w:tr>
      <w:tr w14:paraId="1864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32E853A2">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238ADD15">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354535F8">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0C3B18F2">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79ACCFC4">
            <w:pPr>
              <w:spacing w:line="480" w:lineRule="exact"/>
              <w:ind w:firstLine="480" w:firstLineChars="200"/>
              <w:rPr>
                <w:rFonts w:hint="eastAsia" w:ascii="宋体" w:hAnsi="宋体" w:eastAsia="宋体" w:cs="宋体"/>
                <w:bCs/>
                <w:color w:val="000000"/>
                <w:sz w:val="24"/>
              </w:rPr>
            </w:pPr>
          </w:p>
        </w:tc>
      </w:tr>
      <w:tr w14:paraId="670A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0DE5337B">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43E58892">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61034AC9">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514C04B1">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363DAE37">
            <w:pPr>
              <w:spacing w:line="480" w:lineRule="exact"/>
              <w:ind w:firstLine="480" w:firstLineChars="200"/>
              <w:rPr>
                <w:rFonts w:hint="eastAsia" w:ascii="宋体" w:hAnsi="宋体" w:eastAsia="宋体" w:cs="宋体"/>
                <w:bCs/>
                <w:color w:val="000000"/>
                <w:sz w:val="24"/>
              </w:rPr>
            </w:pPr>
          </w:p>
        </w:tc>
      </w:tr>
      <w:tr w14:paraId="452C5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1DA6C74B">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5D79AEE0">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0CE91A4B">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3E7CF921">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09FA2110">
            <w:pPr>
              <w:spacing w:line="480" w:lineRule="exact"/>
              <w:ind w:firstLine="480" w:firstLineChars="200"/>
              <w:rPr>
                <w:rFonts w:hint="eastAsia" w:ascii="宋体" w:hAnsi="宋体" w:eastAsia="宋体" w:cs="宋体"/>
                <w:bCs/>
                <w:color w:val="000000"/>
                <w:sz w:val="24"/>
              </w:rPr>
            </w:pPr>
          </w:p>
        </w:tc>
      </w:tr>
      <w:tr w14:paraId="5D20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4139796A">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63803207">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52D87333">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4381FAC4">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38FC8B51">
            <w:pPr>
              <w:spacing w:line="480" w:lineRule="exact"/>
              <w:ind w:firstLine="480" w:firstLineChars="200"/>
              <w:rPr>
                <w:rFonts w:hint="eastAsia" w:ascii="宋体" w:hAnsi="宋体" w:eastAsia="宋体" w:cs="宋体"/>
                <w:bCs/>
                <w:color w:val="000000"/>
                <w:sz w:val="24"/>
              </w:rPr>
            </w:pPr>
          </w:p>
        </w:tc>
      </w:tr>
      <w:tr w14:paraId="1489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7D45C9F5">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59AF092B">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58266B51">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64347AF3">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5A6575C8">
            <w:pPr>
              <w:spacing w:line="480" w:lineRule="exact"/>
              <w:ind w:firstLine="480" w:firstLineChars="200"/>
              <w:rPr>
                <w:rFonts w:hint="eastAsia" w:ascii="宋体" w:hAnsi="宋体" w:eastAsia="宋体" w:cs="宋体"/>
                <w:bCs/>
                <w:color w:val="000000"/>
                <w:sz w:val="24"/>
              </w:rPr>
            </w:pPr>
          </w:p>
        </w:tc>
      </w:tr>
      <w:tr w14:paraId="3557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6B0B1078">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426738E6">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32A9B456">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34B0651B">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397FF4EF">
            <w:pPr>
              <w:spacing w:line="480" w:lineRule="exact"/>
              <w:ind w:firstLine="480" w:firstLineChars="200"/>
              <w:rPr>
                <w:rFonts w:hint="eastAsia" w:ascii="宋体" w:hAnsi="宋体" w:eastAsia="宋体" w:cs="宋体"/>
                <w:bCs/>
                <w:color w:val="000000"/>
                <w:sz w:val="24"/>
              </w:rPr>
            </w:pPr>
          </w:p>
        </w:tc>
      </w:tr>
      <w:tr w14:paraId="52BD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2393D8A1">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36454F6A">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7F9BBF5D">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7D1624D5">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6B1DAA7C">
            <w:pPr>
              <w:spacing w:line="480" w:lineRule="exact"/>
              <w:ind w:firstLine="480" w:firstLineChars="200"/>
              <w:rPr>
                <w:rFonts w:hint="eastAsia" w:ascii="宋体" w:hAnsi="宋体" w:eastAsia="宋体" w:cs="宋体"/>
                <w:bCs/>
                <w:color w:val="000000"/>
                <w:sz w:val="24"/>
              </w:rPr>
            </w:pPr>
          </w:p>
        </w:tc>
      </w:tr>
      <w:tr w14:paraId="2896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0" w:type="dxa"/>
            <w:tcBorders>
              <w:top w:val="single" w:color="auto" w:sz="4" w:space="0"/>
              <w:left w:val="single" w:color="auto" w:sz="4" w:space="0"/>
              <w:bottom w:val="single" w:color="auto" w:sz="4" w:space="0"/>
              <w:right w:val="single" w:color="auto" w:sz="4" w:space="0"/>
            </w:tcBorders>
            <w:noWrap w:val="0"/>
            <w:vAlign w:val="top"/>
          </w:tcPr>
          <w:p w14:paraId="3E5A00EF">
            <w:pPr>
              <w:spacing w:line="480" w:lineRule="exact"/>
              <w:ind w:firstLine="480" w:firstLineChars="200"/>
              <w:rPr>
                <w:rFonts w:hint="eastAsia" w:ascii="宋体" w:hAnsi="宋体" w:eastAsia="宋体" w:cs="宋体"/>
                <w:bCs/>
                <w:color w:val="000000"/>
                <w:sz w:val="24"/>
              </w:rPr>
            </w:pPr>
          </w:p>
        </w:tc>
        <w:tc>
          <w:tcPr>
            <w:tcW w:w="2031" w:type="dxa"/>
            <w:tcBorders>
              <w:top w:val="single" w:color="auto" w:sz="4" w:space="0"/>
              <w:left w:val="single" w:color="auto" w:sz="4" w:space="0"/>
              <w:bottom w:val="single" w:color="auto" w:sz="4" w:space="0"/>
              <w:right w:val="single" w:color="auto" w:sz="4" w:space="0"/>
            </w:tcBorders>
            <w:noWrap w:val="0"/>
            <w:vAlign w:val="top"/>
          </w:tcPr>
          <w:p w14:paraId="49C5D066">
            <w:pPr>
              <w:spacing w:line="480" w:lineRule="exact"/>
              <w:ind w:firstLine="480" w:firstLineChars="200"/>
              <w:rPr>
                <w:rFonts w:hint="eastAsia" w:ascii="宋体" w:hAnsi="宋体" w:eastAsia="宋体" w:cs="宋体"/>
                <w:bCs/>
                <w:color w:val="000000"/>
                <w:sz w:val="24"/>
              </w:rPr>
            </w:pPr>
          </w:p>
        </w:tc>
        <w:tc>
          <w:tcPr>
            <w:tcW w:w="2170" w:type="dxa"/>
            <w:tcBorders>
              <w:top w:val="single" w:color="auto" w:sz="4" w:space="0"/>
              <w:left w:val="single" w:color="auto" w:sz="4" w:space="0"/>
              <w:bottom w:val="single" w:color="auto" w:sz="4" w:space="0"/>
              <w:right w:val="single" w:color="auto" w:sz="4" w:space="0"/>
            </w:tcBorders>
            <w:noWrap w:val="0"/>
            <w:vAlign w:val="top"/>
          </w:tcPr>
          <w:p w14:paraId="413FEBBD">
            <w:pPr>
              <w:spacing w:line="480" w:lineRule="exact"/>
              <w:ind w:firstLine="480" w:firstLineChars="200"/>
              <w:rPr>
                <w:rFonts w:hint="eastAsia" w:ascii="宋体" w:hAnsi="宋体" w:eastAsia="宋体" w:cs="宋体"/>
                <w:bCs/>
                <w:color w:val="00000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4CFCEEDE">
            <w:pPr>
              <w:spacing w:line="480" w:lineRule="exact"/>
              <w:ind w:firstLine="480" w:firstLineChars="200"/>
              <w:rPr>
                <w:rFonts w:hint="eastAsia" w:ascii="宋体" w:hAnsi="宋体" w:eastAsia="宋体" w:cs="宋体"/>
                <w:bCs/>
                <w:color w:val="000000"/>
                <w:sz w:val="24"/>
              </w:rPr>
            </w:pPr>
          </w:p>
        </w:tc>
        <w:tc>
          <w:tcPr>
            <w:tcW w:w="1631" w:type="dxa"/>
            <w:tcBorders>
              <w:top w:val="single" w:color="auto" w:sz="4" w:space="0"/>
              <w:left w:val="single" w:color="auto" w:sz="4" w:space="0"/>
              <w:bottom w:val="single" w:color="auto" w:sz="4" w:space="0"/>
              <w:right w:val="single" w:color="auto" w:sz="4" w:space="0"/>
            </w:tcBorders>
            <w:noWrap w:val="0"/>
            <w:vAlign w:val="top"/>
          </w:tcPr>
          <w:p w14:paraId="08B2BB09">
            <w:pPr>
              <w:spacing w:line="480" w:lineRule="exact"/>
              <w:ind w:firstLine="480" w:firstLineChars="200"/>
              <w:rPr>
                <w:rFonts w:hint="eastAsia" w:ascii="宋体" w:hAnsi="宋体" w:eastAsia="宋体" w:cs="宋体"/>
                <w:bCs/>
                <w:color w:val="000000"/>
                <w:sz w:val="24"/>
              </w:rPr>
            </w:pPr>
          </w:p>
        </w:tc>
      </w:tr>
    </w:tbl>
    <w:p w14:paraId="53E9A248">
      <w:pPr>
        <w:spacing w:before="120" w:beforeLines="50"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注：1、</w:t>
      </w:r>
      <w:r>
        <w:rPr>
          <w:rFonts w:hint="eastAsia" w:ascii="宋体" w:hAnsi="宋体" w:eastAsia="宋体" w:cs="宋体"/>
          <w:color w:val="000000"/>
          <w:sz w:val="24"/>
          <w:lang w:val="en-US" w:eastAsia="zh-CN"/>
        </w:rPr>
        <w:t>供应商</w:t>
      </w:r>
      <w:r>
        <w:rPr>
          <w:rFonts w:hint="eastAsia" w:ascii="宋体" w:hAnsi="宋体" w:eastAsia="宋体" w:cs="宋体"/>
          <w:color w:val="000000"/>
          <w:sz w:val="24"/>
        </w:rPr>
        <w:t>应按采购文件中的采购内容及要求，根据投</w:t>
      </w:r>
      <w:r>
        <w:rPr>
          <w:rFonts w:hint="eastAsia" w:ascii="宋体" w:hAnsi="宋体" w:eastAsia="宋体" w:cs="宋体"/>
          <w:color w:val="000000"/>
          <w:sz w:val="24"/>
          <w:lang w:val="en-US" w:eastAsia="zh-CN"/>
        </w:rPr>
        <w:t>标</w:t>
      </w:r>
      <w:r>
        <w:rPr>
          <w:rFonts w:hint="eastAsia" w:ascii="宋体" w:hAnsi="宋体" w:eastAsia="宋体" w:cs="宋体"/>
          <w:color w:val="000000"/>
          <w:sz w:val="24"/>
        </w:rPr>
        <w:t>服务进行相应响应，</w:t>
      </w:r>
      <w:r>
        <w:rPr>
          <w:rFonts w:hint="eastAsia" w:ascii="宋体" w:hAnsi="宋体" w:eastAsia="宋体" w:cs="宋体"/>
          <w:color w:val="000000"/>
          <w:sz w:val="24"/>
          <w:lang w:val="en-US" w:eastAsia="zh-CN"/>
        </w:rPr>
        <w:t>供应商</w:t>
      </w:r>
      <w:r>
        <w:rPr>
          <w:rFonts w:hint="eastAsia" w:ascii="宋体" w:hAnsi="宋体" w:eastAsia="宋体" w:cs="宋体"/>
          <w:color w:val="000000"/>
          <w:sz w:val="24"/>
        </w:rPr>
        <w:t>必须根据所投服务的实际情况如实填写。偏差情况填写“负偏差”或“正偏差”或“无偏差”。</w:t>
      </w:r>
      <w:r>
        <w:rPr>
          <w:rFonts w:hint="eastAsia"/>
          <w:sz w:val="24"/>
          <w:lang w:val="en-US" w:eastAsia="zh-CN" w:bidi="ar-SA"/>
        </w:rPr>
        <w:t>供应商</w:t>
      </w:r>
      <w:r>
        <w:rPr>
          <w:rFonts w:hint="eastAsia" w:ascii="宋体" w:hAnsi="宋体" w:eastAsia="宋体" w:cs="宋体"/>
          <w:color w:val="000000"/>
          <w:sz w:val="24"/>
        </w:rPr>
        <w:t>在编制本表时，任何因错写、漏写、虚假响应等所导致的无效投标行为由</w:t>
      </w:r>
      <w:r>
        <w:rPr>
          <w:rFonts w:hint="eastAsia"/>
          <w:sz w:val="24"/>
          <w:lang w:val="en-US" w:eastAsia="zh-CN" w:bidi="ar-SA"/>
        </w:rPr>
        <w:t>投标人</w:t>
      </w:r>
      <w:r>
        <w:rPr>
          <w:rFonts w:hint="eastAsia" w:ascii="宋体" w:hAnsi="宋体" w:eastAsia="宋体" w:cs="宋体"/>
          <w:color w:val="000000"/>
          <w:sz w:val="24"/>
        </w:rPr>
        <w:t>自行承担。</w:t>
      </w:r>
    </w:p>
    <w:p w14:paraId="1E0DCF49">
      <w:pPr>
        <w:numPr>
          <w:ilvl w:val="0"/>
          <w:numId w:val="3"/>
        </w:numPr>
        <w:spacing w:before="120" w:beforeLines="50" w:line="360" w:lineRule="auto"/>
        <w:ind w:firstLine="480" w:firstLineChars="20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结合</w:t>
      </w:r>
      <w:r>
        <w:rPr>
          <w:rFonts w:hint="eastAsia" w:ascii="宋体" w:hAnsi="宋体" w:eastAsia="宋体" w:cs="宋体"/>
          <w:color w:val="000000"/>
          <w:sz w:val="24"/>
          <w:highlight w:val="none"/>
          <w:lang w:val="en-US" w:eastAsia="zh-CN"/>
        </w:rPr>
        <w:t>采购</w:t>
      </w:r>
      <w:r>
        <w:rPr>
          <w:rFonts w:hint="eastAsia" w:ascii="宋体" w:hAnsi="宋体" w:eastAsia="宋体" w:cs="宋体"/>
          <w:color w:val="000000"/>
          <w:sz w:val="24"/>
          <w:highlight w:val="none"/>
        </w:rPr>
        <w:t>文件</w:t>
      </w:r>
      <w:r>
        <w:rPr>
          <w:rFonts w:hint="eastAsia" w:ascii="宋体" w:hAnsi="宋体" w:eastAsia="宋体" w:cs="宋体"/>
          <w:b w:val="0"/>
          <w:bCs w:val="0"/>
          <w:color w:val="000000"/>
          <w:sz w:val="24"/>
          <w:highlight w:val="none"/>
        </w:rPr>
        <w:t>“第</w:t>
      </w:r>
      <w:r>
        <w:rPr>
          <w:rFonts w:hint="eastAsia" w:ascii="宋体" w:hAnsi="宋体" w:eastAsia="宋体" w:cs="宋体"/>
          <w:b w:val="0"/>
          <w:bCs w:val="0"/>
          <w:color w:val="000000"/>
          <w:sz w:val="24"/>
          <w:highlight w:val="none"/>
          <w:lang w:val="en-US" w:eastAsia="zh-CN"/>
        </w:rPr>
        <w:t>五</w:t>
      </w:r>
      <w:r>
        <w:rPr>
          <w:rFonts w:hint="eastAsia" w:ascii="宋体" w:hAnsi="宋体" w:eastAsia="宋体" w:cs="宋体"/>
          <w:b w:val="0"/>
          <w:bCs w:val="0"/>
          <w:color w:val="000000"/>
          <w:sz w:val="24"/>
          <w:highlight w:val="none"/>
        </w:rPr>
        <w:t xml:space="preserve">章 </w:t>
      </w:r>
      <w:r>
        <w:rPr>
          <w:rFonts w:hint="eastAsia" w:ascii="宋体" w:hAnsi="宋体" w:eastAsia="宋体" w:cs="宋体"/>
          <w:b w:val="0"/>
          <w:bCs w:val="0"/>
          <w:color w:val="000000"/>
          <w:sz w:val="24"/>
          <w:highlight w:val="none"/>
          <w:lang w:eastAsia="zh-CN"/>
        </w:rPr>
        <w:t>采购</w:t>
      </w:r>
      <w:r>
        <w:rPr>
          <w:rFonts w:hint="eastAsia" w:ascii="宋体" w:hAnsi="宋体" w:eastAsia="宋体" w:cs="宋体"/>
          <w:b w:val="0"/>
          <w:bCs w:val="0"/>
          <w:color w:val="000000"/>
          <w:sz w:val="24"/>
          <w:highlight w:val="none"/>
          <w:lang w:val="en-US" w:eastAsia="zh-CN"/>
        </w:rPr>
        <w:t>服务内容</w:t>
      </w:r>
      <w:r>
        <w:rPr>
          <w:rFonts w:hint="eastAsia" w:ascii="宋体" w:hAnsi="宋体" w:eastAsia="宋体" w:cs="宋体"/>
          <w:b w:val="0"/>
          <w:bCs w:val="0"/>
          <w:color w:val="000000"/>
          <w:sz w:val="24"/>
          <w:highlight w:val="none"/>
        </w:rPr>
        <w:t>及要求”</w:t>
      </w:r>
      <w:r>
        <w:rPr>
          <w:rFonts w:hint="eastAsia" w:ascii="宋体" w:hAnsi="宋体" w:eastAsia="宋体" w:cs="宋体"/>
          <w:color w:val="000000"/>
          <w:sz w:val="24"/>
          <w:highlight w:val="none"/>
        </w:rPr>
        <w:t>内容及自身情况如实填写此表</w:t>
      </w:r>
      <w:r>
        <w:rPr>
          <w:rFonts w:hint="eastAsia" w:ascii="宋体" w:hAnsi="宋体" w:eastAsia="宋体" w:cs="宋体"/>
          <w:color w:val="000000"/>
          <w:sz w:val="24"/>
          <w:highlight w:val="none"/>
          <w:lang w:eastAsia="zh-CN"/>
        </w:rPr>
        <w:t>。</w:t>
      </w:r>
    </w:p>
    <w:p w14:paraId="20F4E3D9">
      <w:pPr>
        <w:numPr>
          <w:ilvl w:val="0"/>
          <w:numId w:val="3"/>
        </w:numPr>
        <w:spacing w:before="120" w:beforeLines="50" w:line="360" w:lineRule="auto"/>
        <w:ind w:firstLine="480" w:firstLineChars="200"/>
        <w:rPr>
          <w:rFonts w:hint="eastAsia" w:ascii="宋体" w:hAnsi="宋体" w:eastAsia="宋体" w:cs="宋体"/>
          <w:sz w:val="24"/>
          <w:highlight w:val="none"/>
        </w:rPr>
      </w:pPr>
      <w:r>
        <w:rPr>
          <w:rFonts w:hint="eastAsia" w:ascii="宋体" w:hAnsi="宋体" w:eastAsia="宋体" w:cs="宋体"/>
          <w:color w:val="000000"/>
          <w:sz w:val="24"/>
          <w:highlight w:val="none"/>
          <w:lang w:eastAsia="zh-CN"/>
        </w:rPr>
        <w:t>投标人保证：除偏差表列出的偏差外，</w:t>
      </w:r>
      <w:r>
        <w:rPr>
          <w:rFonts w:hint="eastAsia"/>
          <w:sz w:val="24"/>
          <w:highlight w:val="none"/>
          <w:lang w:val="en-US" w:eastAsia="zh-CN" w:bidi="ar-SA"/>
        </w:rPr>
        <w:t>供应商</w:t>
      </w:r>
      <w:r>
        <w:rPr>
          <w:rFonts w:hint="eastAsia" w:ascii="宋体" w:hAnsi="宋体" w:eastAsia="宋体" w:cs="宋体"/>
          <w:color w:val="000000"/>
          <w:sz w:val="24"/>
          <w:highlight w:val="none"/>
          <w:lang w:eastAsia="zh-CN"/>
        </w:rPr>
        <w:t>响应采购文件的全部要求，</w:t>
      </w:r>
      <w:r>
        <w:rPr>
          <w:rFonts w:hint="eastAsia"/>
          <w:sz w:val="24"/>
          <w:highlight w:val="none"/>
          <w:lang w:val="en-US" w:eastAsia="zh-CN" w:bidi="ar-SA"/>
        </w:rPr>
        <w:t>供应商</w:t>
      </w:r>
      <w:r>
        <w:rPr>
          <w:rFonts w:hint="eastAsia" w:ascii="宋体" w:hAnsi="宋体" w:eastAsia="宋体" w:cs="宋体"/>
          <w:color w:val="000000"/>
          <w:sz w:val="24"/>
          <w:highlight w:val="none"/>
          <w:lang w:eastAsia="zh-CN"/>
        </w:rPr>
        <w:t>须在</w:t>
      </w:r>
      <w:r>
        <w:rPr>
          <w:rFonts w:hint="eastAsia" w:ascii="宋体" w:hAnsi="宋体" w:eastAsia="宋体" w:cs="宋体"/>
          <w:color w:val="000000"/>
          <w:sz w:val="24"/>
          <w:highlight w:val="none"/>
          <w:lang w:val="en-US" w:eastAsia="zh-CN"/>
        </w:rPr>
        <w:t>响应</w:t>
      </w:r>
      <w:r>
        <w:rPr>
          <w:rFonts w:hint="eastAsia" w:ascii="宋体" w:hAnsi="宋体" w:eastAsia="宋体" w:cs="宋体"/>
          <w:color w:val="000000"/>
          <w:sz w:val="24"/>
          <w:highlight w:val="none"/>
          <w:lang w:eastAsia="zh-CN"/>
        </w:rPr>
        <w:t>文件提供相关承诺，格式自拟，否则投标将被否决。</w:t>
      </w:r>
      <w:r>
        <w:rPr>
          <w:rFonts w:hint="eastAsia" w:ascii="宋体" w:hAnsi="宋体" w:eastAsia="宋体" w:cs="宋体"/>
          <w:color w:val="000000"/>
          <w:sz w:val="24"/>
          <w:highlight w:val="none"/>
        </w:rPr>
        <w:t xml:space="preserve">     </w:t>
      </w:r>
    </w:p>
    <w:p w14:paraId="3BC06681">
      <w:pPr>
        <w:pStyle w:val="31"/>
        <w:ind w:firstLine="240"/>
        <w:rPr>
          <w:rFonts w:hint="eastAsia" w:ascii="宋体" w:hAnsi="宋体" w:eastAsia="宋体" w:cs="宋体"/>
          <w:sz w:val="24"/>
          <w:szCs w:val="24"/>
        </w:rPr>
      </w:pPr>
    </w:p>
    <w:p w14:paraId="4DC2BB6C">
      <w:pPr>
        <w:spacing w:line="360" w:lineRule="auto"/>
        <w:ind w:right="420"/>
        <w:rPr>
          <w:rFonts w:hint="eastAsia" w:ascii="宋体" w:hAnsi="宋体" w:eastAsia="宋体" w:cs="宋体"/>
          <w:color w:val="000000"/>
          <w:sz w:val="24"/>
        </w:rPr>
      </w:pPr>
    </w:p>
    <w:p w14:paraId="32D0E9EC">
      <w:pPr>
        <w:spacing w:before="240" w:beforeLines="100"/>
        <w:ind w:firstLine="2760" w:firstLineChars="1150"/>
        <w:rPr>
          <w:rFonts w:hint="eastAsia" w:ascii="宋体" w:hAnsi="宋体" w:eastAsia="宋体" w:cs="宋体"/>
          <w:sz w:val="24"/>
        </w:rPr>
      </w:pPr>
      <w:r>
        <w:rPr>
          <w:rFonts w:hint="eastAsia" w:ascii="宋体" w:hAnsi="宋体" w:eastAsia="宋体" w:cs="宋体"/>
          <w:sz w:val="24"/>
        </w:rPr>
        <w:t xml:space="preserve">供应商名称： </w:t>
      </w:r>
      <w:r>
        <w:rPr>
          <w:rFonts w:hint="eastAsia" w:ascii="宋体" w:hAnsi="宋体" w:eastAsia="宋体" w:cs="宋体"/>
          <w:sz w:val="24"/>
          <w:u w:val="single"/>
        </w:rPr>
        <w:t xml:space="preserve">               </w:t>
      </w:r>
      <w:r>
        <w:rPr>
          <w:rFonts w:hint="eastAsia" w:ascii="宋体" w:hAnsi="宋体" w:eastAsia="宋体" w:cs="宋体"/>
          <w:sz w:val="24"/>
        </w:rPr>
        <w:t>（单位电子签章）</w:t>
      </w:r>
    </w:p>
    <w:p w14:paraId="31842E6A">
      <w:pPr>
        <w:spacing w:before="240" w:beforeLines="100"/>
        <w:ind w:firstLine="2760" w:firstLineChars="1150"/>
        <w:rPr>
          <w:rFonts w:hint="eastAsia" w:ascii="宋体" w:hAnsi="宋体" w:eastAsia="宋体" w:cs="宋体"/>
          <w:sz w:val="24"/>
        </w:rPr>
      </w:pPr>
      <w:r>
        <w:rPr>
          <w:rFonts w:hint="eastAsia" w:ascii="宋体" w:hAnsi="宋体" w:eastAsia="宋体" w:cs="宋体"/>
          <w:sz w:val="24"/>
        </w:rPr>
        <w:t xml:space="preserve">法定代表人： </w:t>
      </w:r>
      <w:r>
        <w:rPr>
          <w:rFonts w:hint="eastAsia" w:ascii="宋体" w:hAnsi="宋体" w:eastAsia="宋体" w:cs="宋体"/>
          <w:sz w:val="24"/>
          <w:u w:val="single"/>
        </w:rPr>
        <w:t xml:space="preserve">                </w:t>
      </w:r>
      <w:r>
        <w:rPr>
          <w:rFonts w:hint="eastAsia" w:ascii="宋体" w:hAnsi="宋体" w:eastAsia="宋体" w:cs="宋体"/>
          <w:sz w:val="24"/>
        </w:rPr>
        <w:t>（法定代表人电子签名</w:t>
      </w:r>
      <w:r>
        <w:rPr>
          <w:rFonts w:hint="eastAsia" w:ascii="宋体" w:hAnsi="宋体" w:eastAsia="宋体" w:cs="宋体"/>
          <w:bCs/>
          <w:color w:val="000000"/>
          <w:sz w:val="24"/>
        </w:rPr>
        <w:t>或签章</w:t>
      </w:r>
      <w:r>
        <w:rPr>
          <w:rFonts w:hint="eastAsia" w:ascii="宋体" w:hAnsi="宋体" w:eastAsia="宋体" w:cs="宋体"/>
          <w:sz w:val="24"/>
        </w:rPr>
        <w:t>）</w:t>
      </w:r>
    </w:p>
    <w:p w14:paraId="5BF6BCD6">
      <w:pPr>
        <w:spacing w:before="240" w:beforeLines="100"/>
        <w:ind w:firstLine="2760" w:firstLineChars="1150"/>
        <w:rPr>
          <w:rFonts w:hint="eastAsia" w:ascii="宋体" w:hAnsi="宋体" w:eastAsia="宋体" w:cs="宋体"/>
          <w:color w:val="000000"/>
          <w:sz w:val="24"/>
          <w:szCs w:val="24"/>
        </w:rPr>
      </w:pPr>
      <w:r>
        <w:rPr>
          <w:rFonts w:hint="eastAsia" w:ascii="宋体" w:hAnsi="宋体" w:eastAsia="宋体" w:cs="宋体"/>
          <w:color w:val="000000"/>
          <w:sz w:val="24"/>
          <w:szCs w:val="24"/>
        </w:rPr>
        <w:t>日</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3D36EEA9">
      <w:pPr>
        <w:pStyle w:val="31"/>
        <w:numPr>
          <w:ilvl w:val="0"/>
          <w:numId w:val="0"/>
        </w:numPr>
        <w:bidi w:val="0"/>
        <w:spacing w:line="360" w:lineRule="auto"/>
        <w:ind w:left="0" w:leftChars="0" w:firstLine="0" w:firstLineChars="0"/>
        <w:jc w:val="center"/>
        <w:outlineLvl w:val="1"/>
        <w:rPr>
          <w:rFonts w:hint="eastAsia" w:ascii="宋体" w:hAnsi="宋体" w:eastAsia="宋体" w:cs="宋体"/>
          <w:b/>
          <w:color w:val="000000"/>
          <w:sz w:val="30"/>
          <w:szCs w:val="30"/>
          <w:lang w:val="en-US" w:eastAsia="zh-CN"/>
        </w:rPr>
      </w:pPr>
      <w:r>
        <w:rPr>
          <w:rFonts w:hint="eastAsia" w:ascii="宋体" w:hAnsi="宋体" w:eastAsia="宋体" w:cs="宋体"/>
          <w:b/>
          <w:color w:val="000000"/>
          <w:kern w:val="2"/>
          <w:sz w:val="30"/>
          <w:szCs w:val="30"/>
          <w:lang w:val="en-US" w:eastAsia="zh-CN" w:bidi="ar-SA"/>
        </w:rPr>
        <w:t>五、</w:t>
      </w:r>
      <w:r>
        <w:rPr>
          <w:rFonts w:hint="eastAsia" w:ascii="宋体" w:hAnsi="宋体" w:eastAsia="宋体" w:cs="宋体"/>
          <w:b/>
          <w:color w:val="000000"/>
          <w:sz w:val="30"/>
          <w:szCs w:val="30"/>
          <w:lang w:val="en-US" w:eastAsia="zh-CN"/>
        </w:rPr>
        <w:t>技术方案</w:t>
      </w:r>
    </w:p>
    <w:p w14:paraId="4F4D925B">
      <w:pPr>
        <w:pStyle w:val="31"/>
        <w:bidi w:val="0"/>
        <w:spacing w:line="360" w:lineRule="auto"/>
        <w:ind w:left="0" w:leftChars="0" w:firstLine="0" w:firstLineChars="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（根据本项目采购内容情况及评分办法编写格式自拟）</w:t>
      </w:r>
    </w:p>
    <w:p w14:paraId="1CCDFBDD">
      <w:pPr>
        <w:pStyle w:val="31"/>
        <w:bidi w:val="0"/>
        <w:ind w:left="0" w:leftChars="0" w:firstLine="0" w:firstLineChars="0"/>
        <w:jc w:val="both"/>
        <w:outlineLvl w:val="9"/>
        <w:rPr>
          <w:rFonts w:hint="eastAsia" w:ascii="宋体" w:hAnsi="宋体" w:eastAsia="宋体" w:cs="宋体"/>
          <w:b/>
          <w:color w:val="000000"/>
          <w:kern w:val="2"/>
          <w:sz w:val="24"/>
          <w:szCs w:val="24"/>
          <w:lang w:val="en-US" w:eastAsia="zh-CN" w:bidi="ar-SA"/>
        </w:rPr>
      </w:pPr>
    </w:p>
    <w:p w14:paraId="03F916D4">
      <w:pPr>
        <w:pStyle w:val="55"/>
        <w:rPr>
          <w:rFonts w:hint="eastAsia" w:ascii="宋体" w:hAnsi="宋体" w:eastAsia="宋体" w:cs="宋体"/>
          <w:b/>
          <w:color w:val="000000"/>
          <w:kern w:val="2"/>
          <w:sz w:val="24"/>
          <w:szCs w:val="24"/>
          <w:lang w:val="en-US" w:eastAsia="zh-CN" w:bidi="ar-SA"/>
        </w:rPr>
      </w:pPr>
    </w:p>
    <w:p w14:paraId="54C3C128">
      <w:pPr>
        <w:pStyle w:val="8"/>
        <w:rPr>
          <w:rFonts w:hint="eastAsia" w:ascii="宋体" w:hAnsi="宋体" w:eastAsia="宋体" w:cs="宋体"/>
          <w:lang w:val="en-US" w:eastAsia="zh-CN"/>
        </w:rPr>
      </w:pPr>
    </w:p>
    <w:p w14:paraId="258DECE5">
      <w:pPr>
        <w:rPr>
          <w:rFonts w:hint="eastAsia" w:ascii="宋体" w:hAnsi="宋体" w:eastAsia="宋体" w:cs="宋体"/>
          <w:lang w:val="en-US" w:eastAsia="zh-CN"/>
        </w:rPr>
      </w:pPr>
    </w:p>
    <w:p w14:paraId="703077BE">
      <w:pPr>
        <w:pStyle w:val="55"/>
        <w:rPr>
          <w:rFonts w:hint="eastAsia" w:ascii="宋体" w:hAnsi="宋体" w:eastAsia="宋体" w:cs="宋体"/>
          <w:lang w:val="en-US" w:eastAsia="zh-CN"/>
        </w:rPr>
      </w:pPr>
    </w:p>
    <w:p w14:paraId="5C44EB38">
      <w:pPr>
        <w:pStyle w:val="8"/>
        <w:rPr>
          <w:rFonts w:hint="eastAsia" w:ascii="宋体" w:hAnsi="宋体" w:eastAsia="宋体" w:cs="宋体"/>
          <w:lang w:val="en-US" w:eastAsia="zh-CN"/>
        </w:rPr>
      </w:pPr>
    </w:p>
    <w:p w14:paraId="0A8938FD">
      <w:pPr>
        <w:rPr>
          <w:rFonts w:hint="eastAsia" w:ascii="宋体" w:hAnsi="宋体" w:eastAsia="宋体" w:cs="宋体"/>
          <w:lang w:val="en-US" w:eastAsia="zh-CN"/>
        </w:rPr>
      </w:pPr>
    </w:p>
    <w:p w14:paraId="490072AD">
      <w:pPr>
        <w:pStyle w:val="31"/>
        <w:rPr>
          <w:rFonts w:hint="eastAsia" w:ascii="宋体" w:hAnsi="宋体" w:eastAsia="宋体" w:cs="宋体"/>
          <w:lang w:val="en-US" w:eastAsia="zh-CN"/>
        </w:rPr>
      </w:pPr>
    </w:p>
    <w:p w14:paraId="40EC7ADA">
      <w:pPr>
        <w:rPr>
          <w:rFonts w:hint="eastAsia" w:ascii="宋体" w:hAnsi="宋体" w:eastAsia="宋体" w:cs="宋体"/>
          <w:lang w:val="en-US" w:eastAsia="zh-CN"/>
        </w:rPr>
      </w:pPr>
    </w:p>
    <w:p w14:paraId="0E094469">
      <w:pPr>
        <w:pStyle w:val="31"/>
        <w:rPr>
          <w:rFonts w:hint="eastAsia" w:ascii="宋体" w:hAnsi="宋体" w:eastAsia="宋体" w:cs="宋体"/>
          <w:lang w:val="en-US" w:eastAsia="zh-CN"/>
        </w:rPr>
      </w:pPr>
    </w:p>
    <w:p w14:paraId="24CF6C73">
      <w:pPr>
        <w:rPr>
          <w:rFonts w:hint="eastAsia" w:ascii="宋体" w:hAnsi="宋体" w:eastAsia="宋体" w:cs="宋体"/>
          <w:lang w:val="en-US" w:eastAsia="zh-CN"/>
        </w:rPr>
      </w:pPr>
    </w:p>
    <w:p w14:paraId="2CE53189">
      <w:pPr>
        <w:pStyle w:val="31"/>
        <w:rPr>
          <w:rFonts w:hint="eastAsia" w:ascii="宋体" w:hAnsi="宋体" w:eastAsia="宋体" w:cs="宋体"/>
          <w:lang w:val="en-US" w:eastAsia="zh-CN"/>
        </w:rPr>
      </w:pPr>
    </w:p>
    <w:p w14:paraId="7B1C8501">
      <w:pPr>
        <w:rPr>
          <w:rFonts w:hint="eastAsia" w:ascii="宋体" w:hAnsi="宋体" w:eastAsia="宋体" w:cs="宋体"/>
          <w:lang w:val="en-US" w:eastAsia="zh-CN"/>
        </w:rPr>
      </w:pPr>
    </w:p>
    <w:p w14:paraId="1D18F6B9">
      <w:pPr>
        <w:pStyle w:val="31"/>
        <w:rPr>
          <w:rFonts w:hint="eastAsia" w:ascii="宋体" w:hAnsi="宋体" w:eastAsia="宋体" w:cs="宋体"/>
          <w:lang w:val="en-US" w:eastAsia="zh-CN"/>
        </w:rPr>
      </w:pPr>
    </w:p>
    <w:p w14:paraId="2353C97F">
      <w:pPr>
        <w:rPr>
          <w:rFonts w:hint="eastAsia" w:ascii="宋体" w:hAnsi="宋体" w:eastAsia="宋体" w:cs="宋体"/>
          <w:lang w:val="en-US" w:eastAsia="zh-CN"/>
        </w:rPr>
      </w:pPr>
    </w:p>
    <w:p w14:paraId="4D305C1B">
      <w:pPr>
        <w:pStyle w:val="31"/>
        <w:rPr>
          <w:rFonts w:hint="eastAsia" w:ascii="宋体" w:hAnsi="宋体" w:eastAsia="宋体" w:cs="宋体"/>
          <w:lang w:val="en-US" w:eastAsia="zh-CN"/>
        </w:rPr>
      </w:pPr>
    </w:p>
    <w:p w14:paraId="394CD279">
      <w:pPr>
        <w:rPr>
          <w:rFonts w:hint="eastAsia" w:ascii="宋体" w:hAnsi="宋体" w:eastAsia="宋体" w:cs="宋体"/>
          <w:lang w:val="en-US" w:eastAsia="zh-CN"/>
        </w:rPr>
      </w:pPr>
    </w:p>
    <w:p w14:paraId="429B8615">
      <w:pPr>
        <w:pStyle w:val="31"/>
        <w:rPr>
          <w:rFonts w:hint="eastAsia" w:ascii="宋体" w:hAnsi="宋体" w:eastAsia="宋体" w:cs="宋体"/>
          <w:lang w:val="en-US" w:eastAsia="zh-CN"/>
        </w:rPr>
      </w:pPr>
    </w:p>
    <w:p w14:paraId="2B630814">
      <w:pPr>
        <w:rPr>
          <w:rFonts w:hint="eastAsia" w:ascii="宋体" w:hAnsi="宋体" w:eastAsia="宋体" w:cs="宋体"/>
          <w:lang w:val="en-US" w:eastAsia="zh-CN"/>
        </w:rPr>
      </w:pPr>
    </w:p>
    <w:p w14:paraId="4FEC16C9">
      <w:pPr>
        <w:pStyle w:val="31"/>
        <w:rPr>
          <w:rFonts w:hint="eastAsia" w:ascii="宋体" w:hAnsi="宋体" w:eastAsia="宋体" w:cs="宋体"/>
          <w:lang w:val="en-US" w:eastAsia="zh-CN"/>
        </w:rPr>
      </w:pPr>
    </w:p>
    <w:p w14:paraId="34D20728">
      <w:pPr>
        <w:rPr>
          <w:rFonts w:hint="eastAsia" w:ascii="宋体" w:hAnsi="宋体" w:eastAsia="宋体" w:cs="宋体"/>
          <w:lang w:val="en-US" w:eastAsia="zh-CN"/>
        </w:rPr>
      </w:pPr>
    </w:p>
    <w:p w14:paraId="46AA3D13">
      <w:pPr>
        <w:pStyle w:val="31"/>
        <w:rPr>
          <w:rFonts w:hint="eastAsia" w:ascii="宋体" w:hAnsi="宋体" w:eastAsia="宋体" w:cs="宋体"/>
          <w:lang w:val="en-US" w:eastAsia="zh-CN"/>
        </w:rPr>
      </w:pPr>
    </w:p>
    <w:p w14:paraId="4A898DAB">
      <w:pPr>
        <w:rPr>
          <w:rFonts w:hint="eastAsia" w:ascii="宋体" w:hAnsi="宋体" w:eastAsia="宋体" w:cs="宋体"/>
          <w:lang w:val="en-US" w:eastAsia="zh-CN"/>
        </w:rPr>
      </w:pPr>
    </w:p>
    <w:p w14:paraId="58495574">
      <w:pPr>
        <w:pStyle w:val="31"/>
        <w:rPr>
          <w:rFonts w:hint="eastAsia" w:ascii="宋体" w:hAnsi="宋体" w:eastAsia="宋体" w:cs="宋体"/>
          <w:lang w:val="en-US" w:eastAsia="zh-CN"/>
        </w:rPr>
      </w:pPr>
    </w:p>
    <w:p w14:paraId="53D41884">
      <w:pPr>
        <w:rPr>
          <w:rFonts w:hint="eastAsia" w:ascii="宋体" w:hAnsi="宋体" w:eastAsia="宋体" w:cs="宋体"/>
          <w:lang w:val="en-US" w:eastAsia="zh-CN"/>
        </w:rPr>
      </w:pPr>
    </w:p>
    <w:p w14:paraId="1DEDED3A">
      <w:pPr>
        <w:pStyle w:val="31"/>
        <w:rPr>
          <w:rFonts w:hint="eastAsia" w:ascii="宋体" w:hAnsi="宋体" w:eastAsia="宋体" w:cs="宋体"/>
          <w:lang w:val="en-US" w:eastAsia="zh-CN"/>
        </w:rPr>
      </w:pPr>
    </w:p>
    <w:p w14:paraId="75272E07">
      <w:pPr>
        <w:rPr>
          <w:rFonts w:hint="eastAsia" w:ascii="宋体" w:hAnsi="宋体" w:eastAsia="宋体" w:cs="宋体"/>
          <w:lang w:val="en-US" w:eastAsia="zh-CN"/>
        </w:rPr>
      </w:pPr>
    </w:p>
    <w:p w14:paraId="6A6AE7E7">
      <w:pPr>
        <w:pStyle w:val="31"/>
        <w:rPr>
          <w:rFonts w:hint="eastAsia" w:ascii="宋体" w:hAnsi="宋体" w:eastAsia="宋体" w:cs="宋体"/>
          <w:lang w:val="en-US" w:eastAsia="zh-CN"/>
        </w:rPr>
      </w:pPr>
    </w:p>
    <w:p w14:paraId="56FE0912">
      <w:pPr>
        <w:rPr>
          <w:rFonts w:hint="eastAsia" w:ascii="宋体" w:hAnsi="宋体" w:eastAsia="宋体" w:cs="宋体"/>
          <w:lang w:val="en-US" w:eastAsia="zh-CN"/>
        </w:rPr>
      </w:pPr>
    </w:p>
    <w:p w14:paraId="568194A7">
      <w:pPr>
        <w:pStyle w:val="31"/>
        <w:rPr>
          <w:rFonts w:hint="eastAsia" w:ascii="宋体" w:hAnsi="宋体" w:eastAsia="宋体" w:cs="宋体"/>
          <w:lang w:val="en-US" w:eastAsia="zh-CN"/>
        </w:rPr>
      </w:pPr>
    </w:p>
    <w:p w14:paraId="443F83AA">
      <w:pPr>
        <w:rPr>
          <w:rFonts w:hint="eastAsia" w:ascii="宋体" w:hAnsi="宋体" w:eastAsia="宋体" w:cs="宋体"/>
          <w:lang w:val="en-US" w:eastAsia="zh-CN"/>
        </w:rPr>
      </w:pPr>
    </w:p>
    <w:p w14:paraId="44A05482">
      <w:pPr>
        <w:pStyle w:val="31"/>
        <w:rPr>
          <w:rFonts w:hint="eastAsia" w:ascii="宋体" w:hAnsi="宋体" w:eastAsia="宋体" w:cs="宋体"/>
          <w:lang w:val="en-US" w:eastAsia="zh-CN"/>
        </w:rPr>
      </w:pPr>
    </w:p>
    <w:p w14:paraId="61CE50EC">
      <w:pPr>
        <w:rPr>
          <w:rFonts w:hint="eastAsia" w:ascii="宋体" w:hAnsi="宋体" w:eastAsia="宋体" w:cs="宋体"/>
          <w:lang w:val="en-US" w:eastAsia="zh-CN"/>
        </w:rPr>
      </w:pPr>
    </w:p>
    <w:p w14:paraId="5973CCCC">
      <w:pPr>
        <w:pStyle w:val="31"/>
        <w:rPr>
          <w:rFonts w:hint="eastAsia" w:ascii="宋体" w:hAnsi="宋体" w:eastAsia="宋体" w:cs="宋体"/>
          <w:lang w:val="en-US" w:eastAsia="zh-CN"/>
        </w:rPr>
      </w:pPr>
    </w:p>
    <w:p w14:paraId="215B05CB">
      <w:pPr>
        <w:rPr>
          <w:rFonts w:hint="eastAsia" w:ascii="宋体" w:hAnsi="宋体" w:eastAsia="宋体" w:cs="宋体"/>
          <w:lang w:val="en-US" w:eastAsia="zh-CN"/>
        </w:rPr>
      </w:pPr>
    </w:p>
    <w:p w14:paraId="66F58FC8">
      <w:pPr>
        <w:pStyle w:val="31"/>
        <w:rPr>
          <w:rFonts w:hint="eastAsia" w:ascii="宋体" w:hAnsi="宋体" w:eastAsia="宋体" w:cs="宋体"/>
          <w:lang w:val="en-US" w:eastAsia="zh-CN"/>
        </w:rPr>
      </w:pPr>
    </w:p>
    <w:p w14:paraId="1CD4524C">
      <w:pPr>
        <w:rPr>
          <w:rFonts w:hint="eastAsia" w:ascii="宋体" w:hAnsi="宋体" w:eastAsia="宋体" w:cs="宋体"/>
          <w:lang w:val="en-US" w:eastAsia="zh-CN"/>
        </w:rPr>
      </w:pPr>
    </w:p>
    <w:p w14:paraId="512BE4E3">
      <w:pPr>
        <w:pStyle w:val="31"/>
        <w:rPr>
          <w:rFonts w:hint="eastAsia" w:ascii="宋体" w:hAnsi="宋体" w:eastAsia="宋体" w:cs="宋体"/>
          <w:lang w:val="en-US" w:eastAsia="zh-CN"/>
        </w:rPr>
      </w:pPr>
    </w:p>
    <w:p w14:paraId="10BC6992">
      <w:pPr>
        <w:rPr>
          <w:rFonts w:hint="eastAsia" w:ascii="宋体" w:hAnsi="宋体" w:eastAsia="宋体" w:cs="宋体"/>
          <w:lang w:val="en-US" w:eastAsia="zh-CN"/>
        </w:rPr>
      </w:pPr>
    </w:p>
    <w:p w14:paraId="6B769D57">
      <w:pPr>
        <w:pStyle w:val="31"/>
        <w:rPr>
          <w:rFonts w:hint="eastAsia" w:ascii="宋体" w:hAnsi="宋体" w:eastAsia="宋体" w:cs="宋体"/>
          <w:lang w:val="en-US" w:eastAsia="zh-CN"/>
        </w:rPr>
      </w:pPr>
    </w:p>
    <w:p w14:paraId="03EBDAF2">
      <w:pPr>
        <w:rPr>
          <w:rFonts w:hint="eastAsia" w:ascii="宋体" w:hAnsi="宋体" w:eastAsia="宋体" w:cs="宋体"/>
          <w:lang w:val="en-US" w:eastAsia="zh-CN"/>
        </w:rPr>
      </w:pPr>
    </w:p>
    <w:p w14:paraId="6B9781D4">
      <w:pPr>
        <w:pStyle w:val="31"/>
        <w:rPr>
          <w:rFonts w:hint="eastAsia" w:ascii="宋体" w:hAnsi="宋体" w:eastAsia="宋体" w:cs="宋体"/>
          <w:lang w:val="en-US" w:eastAsia="zh-CN"/>
        </w:rPr>
      </w:pPr>
    </w:p>
    <w:p w14:paraId="3394421D">
      <w:pPr>
        <w:rPr>
          <w:rFonts w:hint="eastAsia" w:ascii="宋体" w:hAnsi="宋体" w:eastAsia="宋体" w:cs="宋体"/>
          <w:lang w:val="en-US" w:eastAsia="zh-CN"/>
        </w:rPr>
      </w:pPr>
    </w:p>
    <w:p w14:paraId="767819E0">
      <w:pPr>
        <w:pStyle w:val="31"/>
        <w:rPr>
          <w:rFonts w:hint="eastAsia" w:ascii="宋体" w:hAnsi="宋体" w:eastAsia="宋体" w:cs="宋体"/>
          <w:lang w:val="en-US" w:eastAsia="zh-CN"/>
        </w:rPr>
      </w:pPr>
    </w:p>
    <w:p w14:paraId="5A3AA18B">
      <w:pPr>
        <w:rPr>
          <w:rFonts w:hint="eastAsia"/>
          <w:lang w:val="en-US" w:eastAsia="zh-CN"/>
        </w:rPr>
      </w:pPr>
    </w:p>
    <w:p w14:paraId="0A80B31B">
      <w:pPr>
        <w:rPr>
          <w:rFonts w:hint="eastAsia" w:ascii="宋体" w:hAnsi="宋体" w:eastAsia="宋体" w:cs="宋体"/>
          <w:lang w:val="en-US" w:eastAsia="zh-CN"/>
        </w:rPr>
      </w:pPr>
    </w:p>
    <w:p w14:paraId="424EC40A">
      <w:pPr>
        <w:pStyle w:val="55"/>
        <w:rPr>
          <w:rFonts w:hint="eastAsia" w:ascii="宋体" w:hAnsi="宋体" w:eastAsia="宋体" w:cs="宋体"/>
          <w:lang w:val="en-US" w:eastAsia="zh-CN"/>
        </w:rPr>
      </w:pPr>
    </w:p>
    <w:p w14:paraId="01C6674D">
      <w:pPr>
        <w:pStyle w:val="55"/>
        <w:rPr>
          <w:rFonts w:hint="eastAsia"/>
          <w:lang w:val="en-US" w:eastAsia="zh-CN"/>
        </w:rPr>
      </w:pPr>
    </w:p>
    <w:p w14:paraId="186A9D7D">
      <w:pPr>
        <w:pStyle w:val="31"/>
        <w:bidi w:val="0"/>
        <w:spacing w:line="360" w:lineRule="auto"/>
        <w:ind w:left="0" w:leftChars="0" w:firstLine="0" w:firstLineChars="0"/>
        <w:jc w:val="center"/>
        <w:outlineLvl w:val="1"/>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六、服务承诺</w:t>
      </w:r>
    </w:p>
    <w:p w14:paraId="271ABC8F">
      <w:pPr>
        <w:pStyle w:val="31"/>
        <w:bidi w:val="0"/>
        <w:spacing w:line="360" w:lineRule="auto"/>
        <w:ind w:left="0" w:leftChars="0" w:firstLine="0" w:firstLineChars="0"/>
        <w:jc w:val="center"/>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（根据本项目采购内容情况及评分办法编写格式自拟）</w:t>
      </w:r>
    </w:p>
    <w:p w14:paraId="0A4ED8CC">
      <w:pPr>
        <w:rPr>
          <w:rFonts w:hint="eastAsia" w:ascii="宋体" w:hAnsi="宋体" w:eastAsia="宋体" w:cs="宋体"/>
          <w:b/>
          <w:color w:val="000000"/>
          <w:sz w:val="24"/>
          <w:szCs w:val="24"/>
          <w:lang w:val="en-US" w:eastAsia="zh-CN"/>
        </w:rPr>
      </w:pPr>
    </w:p>
    <w:p w14:paraId="483DC1CA">
      <w:pPr>
        <w:pStyle w:val="31"/>
        <w:rPr>
          <w:rFonts w:hint="eastAsia" w:ascii="宋体" w:hAnsi="宋体" w:eastAsia="宋体" w:cs="宋体"/>
          <w:b/>
          <w:color w:val="000000"/>
          <w:sz w:val="24"/>
          <w:szCs w:val="24"/>
          <w:lang w:val="en-US" w:eastAsia="zh-CN"/>
        </w:rPr>
      </w:pPr>
    </w:p>
    <w:p w14:paraId="6A1DE008">
      <w:pPr>
        <w:pStyle w:val="31"/>
        <w:rPr>
          <w:rFonts w:hint="eastAsia" w:ascii="宋体" w:hAnsi="宋体" w:eastAsia="宋体" w:cs="宋体"/>
          <w:lang w:val="en-US" w:eastAsia="zh-CN"/>
        </w:rPr>
      </w:pPr>
    </w:p>
    <w:p w14:paraId="6EB5A9A1">
      <w:pPr>
        <w:pStyle w:val="32"/>
        <w:rPr>
          <w:rFonts w:hint="eastAsia" w:ascii="宋体" w:hAnsi="宋体" w:eastAsia="宋体" w:cs="宋体"/>
          <w:lang w:val="en-US" w:eastAsia="zh-CN"/>
        </w:rPr>
      </w:pPr>
    </w:p>
    <w:p w14:paraId="0E6538A2">
      <w:pPr>
        <w:rPr>
          <w:rFonts w:hint="eastAsia" w:ascii="宋体" w:hAnsi="宋体" w:eastAsia="宋体" w:cs="宋体"/>
          <w:lang w:val="en-US" w:eastAsia="zh-CN"/>
        </w:rPr>
      </w:pPr>
    </w:p>
    <w:p w14:paraId="2D935FB5">
      <w:pPr>
        <w:pStyle w:val="31"/>
        <w:rPr>
          <w:rFonts w:hint="eastAsia" w:ascii="宋体" w:hAnsi="宋体" w:eastAsia="宋体" w:cs="宋体"/>
          <w:lang w:val="en-US" w:eastAsia="zh-CN"/>
        </w:rPr>
      </w:pPr>
    </w:p>
    <w:p w14:paraId="22DBD8C1">
      <w:pPr>
        <w:pStyle w:val="32"/>
        <w:rPr>
          <w:rFonts w:hint="eastAsia" w:ascii="宋体" w:hAnsi="宋体" w:eastAsia="宋体" w:cs="宋体"/>
          <w:lang w:val="en-US" w:eastAsia="zh-CN"/>
        </w:rPr>
      </w:pPr>
    </w:p>
    <w:p w14:paraId="47340F27">
      <w:pPr>
        <w:rPr>
          <w:rFonts w:hint="eastAsia" w:ascii="宋体" w:hAnsi="宋体" w:eastAsia="宋体" w:cs="宋体"/>
          <w:lang w:val="en-US" w:eastAsia="zh-CN"/>
        </w:rPr>
      </w:pPr>
    </w:p>
    <w:p w14:paraId="33E2C806">
      <w:pPr>
        <w:pStyle w:val="31"/>
        <w:rPr>
          <w:rFonts w:hint="eastAsia" w:ascii="宋体" w:hAnsi="宋体" w:eastAsia="宋体" w:cs="宋体"/>
          <w:lang w:val="en-US" w:eastAsia="zh-CN"/>
        </w:rPr>
      </w:pPr>
    </w:p>
    <w:p w14:paraId="0C07B945">
      <w:pPr>
        <w:pStyle w:val="32"/>
        <w:rPr>
          <w:rFonts w:hint="eastAsia" w:ascii="宋体" w:hAnsi="宋体" w:eastAsia="宋体" w:cs="宋体"/>
          <w:lang w:val="en-US" w:eastAsia="zh-CN"/>
        </w:rPr>
      </w:pPr>
    </w:p>
    <w:p w14:paraId="74B05538">
      <w:pPr>
        <w:rPr>
          <w:rFonts w:hint="eastAsia" w:ascii="宋体" w:hAnsi="宋体" w:eastAsia="宋体" w:cs="宋体"/>
          <w:lang w:val="en-US" w:eastAsia="zh-CN"/>
        </w:rPr>
      </w:pPr>
    </w:p>
    <w:p w14:paraId="0CBFACE6">
      <w:pPr>
        <w:pStyle w:val="31"/>
        <w:rPr>
          <w:rFonts w:hint="eastAsia" w:ascii="宋体" w:hAnsi="宋体" w:eastAsia="宋体" w:cs="宋体"/>
          <w:lang w:val="en-US" w:eastAsia="zh-CN"/>
        </w:rPr>
      </w:pPr>
    </w:p>
    <w:p w14:paraId="6361C3FB">
      <w:pPr>
        <w:pStyle w:val="32"/>
        <w:rPr>
          <w:rFonts w:hint="eastAsia" w:ascii="宋体" w:hAnsi="宋体" w:eastAsia="宋体" w:cs="宋体"/>
          <w:lang w:val="en-US" w:eastAsia="zh-CN"/>
        </w:rPr>
      </w:pPr>
    </w:p>
    <w:p w14:paraId="53C53266">
      <w:pPr>
        <w:rPr>
          <w:rFonts w:hint="eastAsia" w:ascii="宋体" w:hAnsi="宋体" w:eastAsia="宋体" w:cs="宋体"/>
          <w:lang w:val="en-US" w:eastAsia="zh-CN"/>
        </w:rPr>
      </w:pPr>
    </w:p>
    <w:p w14:paraId="27FD5543">
      <w:pPr>
        <w:pStyle w:val="31"/>
        <w:rPr>
          <w:rFonts w:hint="eastAsia" w:ascii="宋体" w:hAnsi="宋体" w:eastAsia="宋体" w:cs="宋体"/>
          <w:lang w:val="en-US" w:eastAsia="zh-CN"/>
        </w:rPr>
      </w:pPr>
    </w:p>
    <w:p w14:paraId="42321F48">
      <w:pPr>
        <w:pStyle w:val="32"/>
        <w:rPr>
          <w:rFonts w:hint="eastAsia" w:ascii="宋体" w:hAnsi="宋体" w:eastAsia="宋体" w:cs="宋体"/>
          <w:lang w:val="en-US" w:eastAsia="zh-CN"/>
        </w:rPr>
      </w:pPr>
    </w:p>
    <w:p w14:paraId="7B9CF62C">
      <w:pPr>
        <w:rPr>
          <w:rFonts w:hint="eastAsia" w:ascii="宋体" w:hAnsi="宋体" w:eastAsia="宋体" w:cs="宋体"/>
          <w:lang w:val="en-US" w:eastAsia="zh-CN"/>
        </w:rPr>
      </w:pPr>
    </w:p>
    <w:p w14:paraId="43DB96F2">
      <w:pPr>
        <w:pStyle w:val="31"/>
        <w:rPr>
          <w:rFonts w:hint="eastAsia" w:ascii="宋体" w:hAnsi="宋体" w:eastAsia="宋体" w:cs="宋体"/>
          <w:lang w:val="en-US" w:eastAsia="zh-CN"/>
        </w:rPr>
      </w:pPr>
    </w:p>
    <w:p w14:paraId="21AB6B04">
      <w:pPr>
        <w:pStyle w:val="32"/>
        <w:rPr>
          <w:rFonts w:hint="eastAsia" w:ascii="宋体" w:hAnsi="宋体" w:eastAsia="宋体" w:cs="宋体"/>
          <w:lang w:val="en-US" w:eastAsia="zh-CN"/>
        </w:rPr>
      </w:pPr>
    </w:p>
    <w:p w14:paraId="41F45F11">
      <w:pPr>
        <w:rPr>
          <w:rFonts w:hint="eastAsia" w:ascii="宋体" w:hAnsi="宋体" w:eastAsia="宋体" w:cs="宋体"/>
          <w:lang w:val="en-US" w:eastAsia="zh-CN"/>
        </w:rPr>
      </w:pPr>
    </w:p>
    <w:p w14:paraId="10BBD137">
      <w:pPr>
        <w:pStyle w:val="31"/>
        <w:rPr>
          <w:rFonts w:hint="eastAsia" w:ascii="宋体" w:hAnsi="宋体" w:eastAsia="宋体" w:cs="宋体"/>
          <w:lang w:val="en-US" w:eastAsia="zh-CN"/>
        </w:rPr>
      </w:pPr>
    </w:p>
    <w:p w14:paraId="3E11E977">
      <w:pPr>
        <w:pStyle w:val="32"/>
        <w:rPr>
          <w:rFonts w:hint="eastAsia" w:ascii="宋体" w:hAnsi="宋体" w:eastAsia="宋体" w:cs="宋体"/>
          <w:lang w:val="en-US" w:eastAsia="zh-CN"/>
        </w:rPr>
      </w:pPr>
    </w:p>
    <w:p w14:paraId="6C0D532D">
      <w:pPr>
        <w:rPr>
          <w:rFonts w:hint="eastAsia" w:ascii="宋体" w:hAnsi="宋体" w:eastAsia="宋体" w:cs="宋体"/>
          <w:lang w:val="en-US" w:eastAsia="zh-CN"/>
        </w:rPr>
      </w:pPr>
    </w:p>
    <w:p w14:paraId="7A956719">
      <w:pPr>
        <w:pStyle w:val="31"/>
        <w:rPr>
          <w:rFonts w:hint="eastAsia" w:ascii="宋体" w:hAnsi="宋体" w:eastAsia="宋体" w:cs="宋体"/>
          <w:lang w:val="en-US" w:eastAsia="zh-CN"/>
        </w:rPr>
      </w:pPr>
    </w:p>
    <w:p w14:paraId="08485B59">
      <w:pPr>
        <w:pStyle w:val="32"/>
        <w:rPr>
          <w:rFonts w:hint="eastAsia" w:ascii="宋体" w:hAnsi="宋体" w:eastAsia="宋体" w:cs="宋体"/>
          <w:lang w:val="en-US" w:eastAsia="zh-CN"/>
        </w:rPr>
      </w:pPr>
    </w:p>
    <w:p w14:paraId="18C9B13E">
      <w:pPr>
        <w:rPr>
          <w:rFonts w:hint="eastAsia" w:ascii="宋体" w:hAnsi="宋体" w:eastAsia="宋体" w:cs="宋体"/>
          <w:lang w:val="en-US" w:eastAsia="zh-CN"/>
        </w:rPr>
      </w:pPr>
    </w:p>
    <w:p w14:paraId="75846216">
      <w:pPr>
        <w:pStyle w:val="31"/>
        <w:rPr>
          <w:rFonts w:hint="eastAsia" w:ascii="宋体" w:hAnsi="宋体" w:eastAsia="宋体" w:cs="宋体"/>
          <w:lang w:val="en-US" w:eastAsia="zh-CN"/>
        </w:rPr>
      </w:pPr>
    </w:p>
    <w:p w14:paraId="75E7A85D">
      <w:pPr>
        <w:pStyle w:val="32"/>
        <w:rPr>
          <w:rFonts w:hint="eastAsia" w:ascii="宋体" w:hAnsi="宋体" w:eastAsia="宋体" w:cs="宋体"/>
          <w:lang w:val="en-US" w:eastAsia="zh-CN"/>
        </w:rPr>
      </w:pPr>
    </w:p>
    <w:p w14:paraId="6A62197D">
      <w:pPr>
        <w:rPr>
          <w:rFonts w:hint="eastAsia" w:ascii="宋体" w:hAnsi="宋体" w:eastAsia="宋体" w:cs="宋体"/>
          <w:lang w:val="en-US" w:eastAsia="zh-CN"/>
        </w:rPr>
      </w:pPr>
    </w:p>
    <w:p w14:paraId="4CB9B235">
      <w:pPr>
        <w:pStyle w:val="31"/>
        <w:rPr>
          <w:rFonts w:hint="eastAsia" w:ascii="宋体" w:hAnsi="宋体" w:eastAsia="宋体" w:cs="宋体"/>
          <w:lang w:val="en-US" w:eastAsia="zh-CN"/>
        </w:rPr>
      </w:pPr>
    </w:p>
    <w:p w14:paraId="26963B90">
      <w:pPr>
        <w:pStyle w:val="32"/>
        <w:rPr>
          <w:rFonts w:hint="eastAsia" w:ascii="宋体" w:hAnsi="宋体" w:eastAsia="宋体" w:cs="宋体"/>
          <w:lang w:val="en-US" w:eastAsia="zh-CN"/>
        </w:rPr>
      </w:pPr>
    </w:p>
    <w:p w14:paraId="03FD53A5">
      <w:pPr>
        <w:rPr>
          <w:rFonts w:hint="eastAsia" w:ascii="宋体" w:hAnsi="宋体" w:eastAsia="宋体" w:cs="宋体"/>
          <w:lang w:val="en-US" w:eastAsia="zh-CN"/>
        </w:rPr>
      </w:pPr>
    </w:p>
    <w:p w14:paraId="2DCD4E9B">
      <w:pPr>
        <w:pStyle w:val="31"/>
        <w:rPr>
          <w:rFonts w:hint="eastAsia" w:ascii="宋体" w:hAnsi="宋体" w:eastAsia="宋体" w:cs="宋体"/>
          <w:lang w:val="en-US" w:eastAsia="zh-CN"/>
        </w:rPr>
      </w:pPr>
    </w:p>
    <w:p w14:paraId="0B4578CE">
      <w:pPr>
        <w:pStyle w:val="32"/>
        <w:rPr>
          <w:rFonts w:hint="eastAsia" w:ascii="宋体" w:hAnsi="宋体" w:eastAsia="宋体" w:cs="宋体"/>
          <w:lang w:val="en-US" w:eastAsia="zh-CN"/>
        </w:rPr>
      </w:pPr>
    </w:p>
    <w:p w14:paraId="48F01D9F">
      <w:pPr>
        <w:rPr>
          <w:rFonts w:hint="eastAsia" w:ascii="宋体" w:hAnsi="宋体" w:eastAsia="宋体" w:cs="宋体"/>
          <w:lang w:val="en-US" w:eastAsia="zh-CN"/>
        </w:rPr>
      </w:pPr>
    </w:p>
    <w:p w14:paraId="028AB23F">
      <w:pPr>
        <w:pStyle w:val="31"/>
        <w:rPr>
          <w:rFonts w:hint="eastAsia" w:ascii="宋体" w:hAnsi="宋体" w:eastAsia="宋体" w:cs="宋体"/>
          <w:lang w:val="en-US" w:eastAsia="zh-CN"/>
        </w:rPr>
      </w:pPr>
    </w:p>
    <w:p w14:paraId="7F5E8962">
      <w:pPr>
        <w:pStyle w:val="32"/>
        <w:rPr>
          <w:rFonts w:hint="eastAsia" w:ascii="宋体" w:hAnsi="宋体" w:eastAsia="宋体" w:cs="宋体"/>
          <w:lang w:val="en-US" w:eastAsia="zh-CN"/>
        </w:rPr>
      </w:pPr>
    </w:p>
    <w:p w14:paraId="79B876E8">
      <w:pPr>
        <w:rPr>
          <w:rFonts w:hint="eastAsia" w:ascii="宋体" w:hAnsi="宋体" w:eastAsia="宋体" w:cs="宋体"/>
          <w:lang w:val="en-US" w:eastAsia="zh-CN"/>
        </w:rPr>
      </w:pPr>
    </w:p>
    <w:p w14:paraId="62E05A4B">
      <w:pPr>
        <w:pStyle w:val="31"/>
        <w:rPr>
          <w:rFonts w:hint="eastAsia" w:ascii="宋体" w:hAnsi="宋体" w:eastAsia="宋体" w:cs="宋体"/>
          <w:lang w:val="en-US" w:eastAsia="zh-CN"/>
        </w:rPr>
      </w:pPr>
    </w:p>
    <w:p w14:paraId="20A0EFA3">
      <w:pPr>
        <w:pStyle w:val="31"/>
        <w:bidi w:val="0"/>
        <w:ind w:left="0" w:leftChars="0" w:firstLine="0" w:firstLineChars="0"/>
        <w:jc w:val="both"/>
        <w:rPr>
          <w:rFonts w:hint="eastAsia" w:ascii="宋体" w:hAnsi="宋体" w:eastAsia="宋体" w:cs="宋体"/>
          <w:b/>
          <w:color w:val="000000"/>
          <w:sz w:val="28"/>
          <w:szCs w:val="28"/>
          <w:lang w:val="en-US" w:eastAsia="zh-CN"/>
        </w:rPr>
      </w:pPr>
    </w:p>
    <w:p w14:paraId="740BA98F">
      <w:pPr>
        <w:pStyle w:val="31"/>
        <w:bidi w:val="0"/>
        <w:spacing w:line="360" w:lineRule="auto"/>
        <w:ind w:left="0" w:leftChars="0" w:firstLine="0" w:firstLineChars="0"/>
        <w:jc w:val="center"/>
        <w:outlineLvl w:val="1"/>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七、资格审查资料</w:t>
      </w:r>
    </w:p>
    <w:p w14:paraId="157B2F1C">
      <w:pPr>
        <w:bidi w:val="0"/>
        <w:spacing w:line="360" w:lineRule="auto"/>
        <w:jc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（附资格性审查要求的所有资料）</w:t>
      </w:r>
    </w:p>
    <w:p w14:paraId="02DC3240">
      <w:pPr>
        <w:bidi w:val="0"/>
        <w:spacing w:line="360" w:lineRule="auto"/>
        <w:jc w:val="center"/>
        <w:rPr>
          <w:rFonts w:hint="eastAsia" w:ascii="宋体" w:hAnsi="宋体" w:eastAsia="宋体" w:cs="宋体"/>
          <w:b/>
          <w:bCs/>
          <w:color w:val="000000"/>
          <w:sz w:val="28"/>
          <w:szCs w:val="28"/>
          <w:lang w:eastAsia="zh-CN"/>
        </w:rPr>
      </w:pPr>
    </w:p>
    <w:p w14:paraId="3E00417D">
      <w:pPr>
        <w:pStyle w:val="55"/>
        <w:rPr>
          <w:rFonts w:hint="eastAsia" w:ascii="宋体" w:hAnsi="宋体" w:eastAsia="宋体" w:cs="宋体"/>
          <w:b/>
          <w:bCs/>
          <w:color w:val="000000"/>
          <w:sz w:val="28"/>
          <w:szCs w:val="28"/>
          <w:lang w:eastAsia="zh-CN"/>
        </w:rPr>
      </w:pPr>
    </w:p>
    <w:p w14:paraId="59E6142D">
      <w:pPr>
        <w:pStyle w:val="8"/>
        <w:rPr>
          <w:rFonts w:hint="eastAsia" w:ascii="宋体" w:hAnsi="宋体" w:eastAsia="宋体" w:cs="宋体"/>
          <w:b/>
          <w:bCs/>
          <w:color w:val="000000"/>
          <w:sz w:val="28"/>
          <w:szCs w:val="28"/>
          <w:lang w:eastAsia="zh-CN"/>
        </w:rPr>
      </w:pPr>
    </w:p>
    <w:p w14:paraId="0693075B">
      <w:pPr>
        <w:rPr>
          <w:rFonts w:hint="eastAsia" w:ascii="宋体" w:hAnsi="宋体" w:eastAsia="宋体" w:cs="宋体"/>
          <w:b/>
          <w:bCs/>
          <w:color w:val="000000"/>
          <w:sz w:val="28"/>
          <w:szCs w:val="28"/>
          <w:lang w:eastAsia="zh-CN"/>
        </w:rPr>
      </w:pPr>
    </w:p>
    <w:p w14:paraId="20BEA415">
      <w:pPr>
        <w:pStyle w:val="55"/>
        <w:rPr>
          <w:rFonts w:hint="eastAsia" w:ascii="宋体" w:hAnsi="宋体" w:eastAsia="宋体" w:cs="宋体"/>
          <w:b/>
          <w:bCs/>
          <w:color w:val="000000"/>
          <w:sz w:val="28"/>
          <w:szCs w:val="28"/>
          <w:lang w:eastAsia="zh-CN"/>
        </w:rPr>
      </w:pPr>
    </w:p>
    <w:p w14:paraId="7970B962">
      <w:pPr>
        <w:pStyle w:val="8"/>
        <w:rPr>
          <w:rFonts w:hint="eastAsia" w:ascii="宋体" w:hAnsi="宋体" w:eastAsia="宋体" w:cs="宋体"/>
          <w:b/>
          <w:bCs/>
          <w:color w:val="000000"/>
          <w:sz w:val="28"/>
          <w:szCs w:val="28"/>
          <w:lang w:eastAsia="zh-CN"/>
        </w:rPr>
      </w:pPr>
    </w:p>
    <w:p w14:paraId="4E20BD29">
      <w:pPr>
        <w:rPr>
          <w:rFonts w:hint="eastAsia" w:ascii="宋体" w:hAnsi="宋体" w:eastAsia="宋体" w:cs="宋体"/>
          <w:b/>
          <w:bCs/>
          <w:color w:val="000000"/>
          <w:sz w:val="28"/>
          <w:szCs w:val="28"/>
          <w:lang w:eastAsia="zh-CN"/>
        </w:rPr>
      </w:pPr>
    </w:p>
    <w:p w14:paraId="198C2C73">
      <w:pPr>
        <w:pStyle w:val="55"/>
        <w:rPr>
          <w:rFonts w:hint="eastAsia" w:ascii="宋体" w:hAnsi="宋体" w:eastAsia="宋体" w:cs="宋体"/>
          <w:b/>
          <w:bCs/>
          <w:color w:val="000000"/>
          <w:sz w:val="28"/>
          <w:szCs w:val="28"/>
          <w:lang w:eastAsia="zh-CN"/>
        </w:rPr>
      </w:pPr>
    </w:p>
    <w:p w14:paraId="7422A038">
      <w:pPr>
        <w:pStyle w:val="8"/>
        <w:rPr>
          <w:rFonts w:hint="eastAsia" w:ascii="宋体" w:hAnsi="宋体" w:eastAsia="宋体" w:cs="宋体"/>
          <w:b/>
          <w:bCs/>
          <w:color w:val="000000"/>
          <w:sz w:val="28"/>
          <w:szCs w:val="28"/>
          <w:lang w:eastAsia="zh-CN"/>
        </w:rPr>
      </w:pPr>
    </w:p>
    <w:p w14:paraId="0C5E0607">
      <w:pPr>
        <w:rPr>
          <w:rFonts w:hint="eastAsia" w:ascii="宋体" w:hAnsi="宋体" w:eastAsia="宋体" w:cs="宋体"/>
          <w:b/>
          <w:bCs/>
          <w:color w:val="000000"/>
          <w:sz w:val="28"/>
          <w:szCs w:val="28"/>
          <w:lang w:eastAsia="zh-CN"/>
        </w:rPr>
      </w:pPr>
    </w:p>
    <w:p w14:paraId="4D503137">
      <w:pPr>
        <w:pStyle w:val="55"/>
        <w:rPr>
          <w:rFonts w:hint="eastAsia" w:ascii="宋体" w:hAnsi="宋体" w:eastAsia="宋体" w:cs="宋体"/>
          <w:b/>
          <w:bCs/>
          <w:color w:val="000000"/>
          <w:sz w:val="28"/>
          <w:szCs w:val="28"/>
          <w:lang w:eastAsia="zh-CN"/>
        </w:rPr>
      </w:pPr>
    </w:p>
    <w:p w14:paraId="7841976E">
      <w:pPr>
        <w:pStyle w:val="8"/>
        <w:rPr>
          <w:rFonts w:hint="eastAsia" w:ascii="宋体" w:hAnsi="宋体" w:eastAsia="宋体" w:cs="宋体"/>
          <w:b/>
          <w:bCs/>
          <w:color w:val="000000"/>
          <w:sz w:val="28"/>
          <w:szCs w:val="28"/>
          <w:lang w:eastAsia="zh-CN"/>
        </w:rPr>
      </w:pPr>
    </w:p>
    <w:p w14:paraId="79504D31">
      <w:pPr>
        <w:rPr>
          <w:rFonts w:hint="eastAsia" w:ascii="宋体" w:hAnsi="宋体" w:eastAsia="宋体" w:cs="宋体"/>
          <w:b/>
          <w:bCs/>
          <w:color w:val="000000"/>
          <w:sz w:val="28"/>
          <w:szCs w:val="28"/>
          <w:lang w:eastAsia="zh-CN"/>
        </w:rPr>
      </w:pPr>
    </w:p>
    <w:p w14:paraId="57CBE7EF">
      <w:pPr>
        <w:pStyle w:val="55"/>
        <w:rPr>
          <w:rFonts w:hint="eastAsia" w:ascii="宋体" w:hAnsi="宋体" w:eastAsia="宋体" w:cs="宋体"/>
          <w:b/>
          <w:bCs/>
          <w:color w:val="000000"/>
          <w:sz w:val="28"/>
          <w:szCs w:val="28"/>
          <w:lang w:eastAsia="zh-CN"/>
        </w:rPr>
      </w:pPr>
    </w:p>
    <w:p w14:paraId="27D47D7C">
      <w:pPr>
        <w:pStyle w:val="8"/>
        <w:rPr>
          <w:rFonts w:hint="eastAsia" w:ascii="宋体" w:hAnsi="宋体" w:eastAsia="宋体" w:cs="宋体"/>
          <w:b/>
          <w:bCs/>
          <w:color w:val="000000"/>
          <w:sz w:val="28"/>
          <w:szCs w:val="28"/>
          <w:lang w:eastAsia="zh-CN"/>
        </w:rPr>
      </w:pPr>
    </w:p>
    <w:p w14:paraId="1999CF72">
      <w:pPr>
        <w:rPr>
          <w:rFonts w:hint="eastAsia" w:ascii="宋体" w:hAnsi="宋体" w:eastAsia="宋体" w:cs="宋体"/>
          <w:b/>
          <w:bCs/>
          <w:color w:val="000000"/>
          <w:sz w:val="28"/>
          <w:szCs w:val="28"/>
          <w:lang w:eastAsia="zh-CN"/>
        </w:rPr>
      </w:pPr>
    </w:p>
    <w:p w14:paraId="20CF5D58">
      <w:pPr>
        <w:pStyle w:val="55"/>
        <w:rPr>
          <w:rFonts w:hint="eastAsia" w:ascii="宋体" w:hAnsi="宋体" w:eastAsia="宋体" w:cs="宋体"/>
          <w:b/>
          <w:bCs/>
          <w:color w:val="000000"/>
          <w:sz w:val="28"/>
          <w:szCs w:val="28"/>
          <w:lang w:eastAsia="zh-CN"/>
        </w:rPr>
      </w:pPr>
    </w:p>
    <w:p w14:paraId="2D1E5657">
      <w:pPr>
        <w:pStyle w:val="8"/>
        <w:rPr>
          <w:rFonts w:hint="eastAsia" w:ascii="宋体" w:hAnsi="宋体" w:eastAsia="宋体" w:cs="宋体"/>
          <w:b/>
          <w:bCs/>
          <w:color w:val="000000"/>
          <w:sz w:val="28"/>
          <w:szCs w:val="28"/>
          <w:lang w:eastAsia="zh-CN"/>
        </w:rPr>
      </w:pPr>
    </w:p>
    <w:p w14:paraId="019233C0">
      <w:pPr>
        <w:rPr>
          <w:rFonts w:hint="eastAsia" w:ascii="宋体" w:hAnsi="宋体" w:eastAsia="宋体" w:cs="宋体"/>
          <w:b/>
          <w:bCs/>
          <w:color w:val="000000"/>
          <w:sz w:val="28"/>
          <w:szCs w:val="28"/>
          <w:lang w:eastAsia="zh-CN"/>
        </w:rPr>
      </w:pPr>
    </w:p>
    <w:p w14:paraId="4E094EE6">
      <w:pPr>
        <w:pStyle w:val="55"/>
        <w:rPr>
          <w:rFonts w:hint="eastAsia" w:ascii="宋体" w:hAnsi="宋体" w:eastAsia="宋体" w:cs="宋体"/>
          <w:b/>
          <w:bCs/>
          <w:color w:val="000000"/>
          <w:sz w:val="28"/>
          <w:szCs w:val="28"/>
          <w:lang w:eastAsia="zh-CN"/>
        </w:rPr>
      </w:pPr>
    </w:p>
    <w:p w14:paraId="61C621D6">
      <w:pPr>
        <w:pStyle w:val="8"/>
        <w:rPr>
          <w:rFonts w:hint="eastAsia" w:ascii="宋体" w:hAnsi="宋体" w:eastAsia="宋体" w:cs="宋体"/>
          <w:b/>
          <w:bCs/>
          <w:color w:val="000000"/>
          <w:sz w:val="28"/>
          <w:szCs w:val="28"/>
          <w:lang w:eastAsia="zh-CN"/>
        </w:rPr>
      </w:pPr>
    </w:p>
    <w:p w14:paraId="6643F25F">
      <w:pPr>
        <w:rPr>
          <w:rFonts w:hint="eastAsia" w:ascii="宋体" w:hAnsi="宋体" w:eastAsia="宋体" w:cs="宋体"/>
          <w:b/>
          <w:bCs/>
          <w:color w:val="000000"/>
          <w:sz w:val="28"/>
          <w:szCs w:val="28"/>
          <w:lang w:eastAsia="zh-CN"/>
        </w:rPr>
      </w:pPr>
    </w:p>
    <w:p w14:paraId="0A6A37CB">
      <w:pPr>
        <w:pStyle w:val="55"/>
        <w:rPr>
          <w:rFonts w:hint="eastAsia" w:ascii="宋体" w:hAnsi="宋体" w:eastAsia="宋体" w:cs="宋体"/>
          <w:b/>
          <w:bCs/>
          <w:color w:val="000000"/>
          <w:sz w:val="28"/>
          <w:szCs w:val="28"/>
          <w:lang w:eastAsia="zh-CN"/>
        </w:rPr>
      </w:pPr>
    </w:p>
    <w:p w14:paraId="4277AEF8">
      <w:pPr>
        <w:pStyle w:val="8"/>
        <w:rPr>
          <w:rFonts w:hint="eastAsia" w:ascii="宋体" w:hAnsi="宋体" w:eastAsia="宋体" w:cs="宋体"/>
          <w:b/>
          <w:bCs/>
          <w:color w:val="000000"/>
          <w:sz w:val="28"/>
          <w:szCs w:val="28"/>
          <w:lang w:eastAsia="zh-CN"/>
        </w:rPr>
      </w:pPr>
    </w:p>
    <w:p w14:paraId="590FC7A1">
      <w:pPr>
        <w:rPr>
          <w:rFonts w:hint="eastAsia" w:ascii="宋体" w:hAnsi="宋体" w:eastAsia="宋体" w:cs="宋体"/>
          <w:b/>
          <w:bCs/>
          <w:color w:val="000000"/>
          <w:sz w:val="28"/>
          <w:szCs w:val="28"/>
          <w:lang w:eastAsia="zh-CN"/>
        </w:rPr>
      </w:pPr>
    </w:p>
    <w:p w14:paraId="0A306254">
      <w:pPr>
        <w:pStyle w:val="55"/>
        <w:rPr>
          <w:rFonts w:hint="eastAsia" w:ascii="宋体" w:hAnsi="宋体" w:eastAsia="宋体" w:cs="宋体"/>
          <w:b/>
          <w:bCs/>
          <w:color w:val="000000"/>
          <w:sz w:val="28"/>
          <w:szCs w:val="28"/>
          <w:lang w:eastAsia="zh-CN"/>
        </w:rPr>
      </w:pPr>
    </w:p>
    <w:p w14:paraId="5375DFD9">
      <w:pPr>
        <w:pStyle w:val="8"/>
        <w:rPr>
          <w:rFonts w:hint="eastAsia" w:ascii="宋体" w:hAnsi="宋体" w:eastAsia="宋体" w:cs="宋体"/>
          <w:b/>
          <w:bCs/>
          <w:color w:val="000000"/>
          <w:sz w:val="28"/>
          <w:szCs w:val="28"/>
          <w:lang w:eastAsia="zh-CN"/>
        </w:rPr>
      </w:pPr>
    </w:p>
    <w:p w14:paraId="6035FD4D">
      <w:pPr>
        <w:rPr>
          <w:rFonts w:hint="eastAsia" w:ascii="宋体" w:hAnsi="宋体" w:eastAsia="宋体" w:cs="宋体"/>
          <w:b/>
          <w:bCs/>
          <w:color w:val="000000"/>
          <w:sz w:val="28"/>
          <w:szCs w:val="28"/>
          <w:lang w:eastAsia="zh-CN"/>
        </w:rPr>
      </w:pPr>
    </w:p>
    <w:p w14:paraId="4A6CBCCA">
      <w:pPr>
        <w:pStyle w:val="55"/>
        <w:rPr>
          <w:rFonts w:hint="eastAsia" w:ascii="宋体" w:hAnsi="宋体" w:eastAsia="宋体" w:cs="宋体"/>
          <w:b/>
          <w:bCs/>
          <w:color w:val="000000"/>
          <w:sz w:val="28"/>
          <w:szCs w:val="28"/>
          <w:lang w:eastAsia="zh-CN"/>
        </w:rPr>
      </w:pPr>
    </w:p>
    <w:p w14:paraId="6424A972">
      <w:pPr>
        <w:pStyle w:val="8"/>
        <w:rPr>
          <w:rFonts w:hint="eastAsia" w:ascii="宋体" w:hAnsi="宋体" w:eastAsia="宋体" w:cs="宋体"/>
          <w:b/>
          <w:bCs/>
          <w:color w:val="000000"/>
          <w:sz w:val="28"/>
          <w:szCs w:val="28"/>
          <w:lang w:eastAsia="zh-CN"/>
        </w:rPr>
      </w:pPr>
    </w:p>
    <w:p w14:paraId="73ED5BD3">
      <w:pPr>
        <w:rPr>
          <w:rFonts w:hint="eastAsia" w:ascii="宋体" w:hAnsi="宋体" w:eastAsia="宋体" w:cs="宋体"/>
          <w:b/>
          <w:bCs/>
          <w:color w:val="000000"/>
          <w:sz w:val="28"/>
          <w:szCs w:val="28"/>
          <w:lang w:eastAsia="zh-CN"/>
        </w:rPr>
      </w:pPr>
    </w:p>
    <w:p w14:paraId="7CC47CF0">
      <w:pPr>
        <w:pStyle w:val="55"/>
        <w:rPr>
          <w:rFonts w:hint="eastAsia" w:ascii="宋体" w:hAnsi="宋体" w:eastAsia="宋体" w:cs="宋体"/>
          <w:b/>
          <w:bCs/>
          <w:color w:val="000000"/>
          <w:sz w:val="28"/>
          <w:szCs w:val="28"/>
          <w:lang w:eastAsia="zh-CN"/>
        </w:rPr>
      </w:pPr>
    </w:p>
    <w:p w14:paraId="2324ECEB">
      <w:pPr>
        <w:pStyle w:val="8"/>
        <w:rPr>
          <w:rFonts w:hint="eastAsia" w:ascii="宋体" w:hAnsi="宋体" w:eastAsia="宋体" w:cs="宋体"/>
          <w:b/>
          <w:bCs/>
          <w:color w:val="000000"/>
          <w:sz w:val="28"/>
          <w:szCs w:val="28"/>
          <w:lang w:eastAsia="zh-CN"/>
        </w:rPr>
      </w:pPr>
    </w:p>
    <w:p w14:paraId="3074C7E2">
      <w:pPr>
        <w:rPr>
          <w:rFonts w:hint="eastAsia" w:ascii="宋体" w:hAnsi="宋体" w:eastAsia="宋体" w:cs="宋体"/>
          <w:b/>
          <w:bCs/>
          <w:color w:val="000000"/>
          <w:sz w:val="28"/>
          <w:szCs w:val="28"/>
          <w:lang w:eastAsia="zh-CN"/>
        </w:rPr>
      </w:pPr>
    </w:p>
    <w:p w14:paraId="1BCAE1B7">
      <w:pPr>
        <w:pStyle w:val="55"/>
        <w:rPr>
          <w:rFonts w:hint="eastAsia" w:ascii="宋体" w:hAnsi="宋体" w:eastAsia="宋体" w:cs="宋体"/>
          <w:b/>
          <w:bCs/>
          <w:color w:val="000000"/>
          <w:sz w:val="28"/>
          <w:szCs w:val="28"/>
          <w:lang w:eastAsia="zh-CN"/>
        </w:rPr>
      </w:pPr>
    </w:p>
    <w:p w14:paraId="6541A933">
      <w:pPr>
        <w:pStyle w:val="8"/>
        <w:rPr>
          <w:rFonts w:hint="eastAsia"/>
          <w:lang w:eastAsia="zh-CN"/>
        </w:rPr>
      </w:pPr>
    </w:p>
    <w:p w14:paraId="0310523E">
      <w:pPr>
        <w:bidi w:val="0"/>
        <w:spacing w:line="360" w:lineRule="auto"/>
        <w:jc w:val="center"/>
        <w:outlineLvl w:val="1"/>
        <w:rPr>
          <w:rFonts w:hint="eastAsia" w:ascii="宋体" w:hAnsi="宋体" w:eastAsia="宋体" w:cs="宋体"/>
          <w:color w:val="000000"/>
          <w:sz w:val="28"/>
          <w:szCs w:val="28"/>
          <w:lang w:eastAsia="zh-CN"/>
        </w:rPr>
      </w:pPr>
      <w:r>
        <w:rPr>
          <w:rFonts w:hint="eastAsia" w:ascii="宋体" w:hAnsi="宋体" w:cs="宋体"/>
          <w:b/>
          <w:bCs/>
          <w:color w:val="000000"/>
          <w:sz w:val="28"/>
          <w:szCs w:val="28"/>
          <w:lang w:val="en-US" w:eastAsia="zh-CN"/>
        </w:rPr>
        <w:t>八</w:t>
      </w:r>
      <w:r>
        <w:rPr>
          <w:rFonts w:hint="eastAsia" w:ascii="宋体" w:hAnsi="宋体" w:eastAsia="宋体" w:cs="宋体"/>
          <w:b/>
          <w:bCs/>
          <w:color w:val="000000"/>
          <w:sz w:val="28"/>
          <w:szCs w:val="28"/>
          <w:lang w:eastAsia="zh-CN"/>
        </w:rPr>
        <w:t>、</w:t>
      </w:r>
      <w:bookmarkStart w:id="776" w:name="_Toc523494085"/>
      <w:bookmarkStart w:id="777" w:name="_Toc525210051"/>
      <w:r>
        <w:rPr>
          <w:rFonts w:hint="eastAsia" w:ascii="宋体" w:hAnsi="宋体" w:eastAsia="宋体" w:cs="宋体"/>
          <w:b/>
          <w:bCs/>
          <w:color w:val="000000"/>
          <w:sz w:val="28"/>
          <w:szCs w:val="28"/>
          <w:lang w:eastAsia="zh-CN"/>
        </w:rPr>
        <w:t>中小企业声明函</w:t>
      </w:r>
      <w:bookmarkEnd w:id="776"/>
      <w:bookmarkEnd w:id="777"/>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lang w:val="en-US" w:eastAsia="zh-CN"/>
        </w:rPr>
        <w:t>服务</w:t>
      </w:r>
      <w:r>
        <w:rPr>
          <w:rFonts w:hint="eastAsia" w:ascii="宋体" w:hAnsi="宋体" w:eastAsia="宋体" w:cs="宋体"/>
          <w:b/>
          <w:bCs/>
          <w:color w:val="000000"/>
          <w:sz w:val="28"/>
          <w:szCs w:val="28"/>
          <w:lang w:eastAsia="zh-CN"/>
        </w:rPr>
        <w:t>）</w:t>
      </w:r>
    </w:p>
    <w:p w14:paraId="1490B39D">
      <w:pPr>
        <w:pStyle w:val="31"/>
        <w:bidi w:val="0"/>
        <w:ind w:left="0" w:leftChars="0" w:firstLine="0" w:firstLineChars="0"/>
        <w:rPr>
          <w:rFonts w:hint="eastAsia" w:ascii="宋体" w:hAnsi="宋体" w:eastAsia="宋体" w:cs="宋体"/>
          <w:color w:val="000000"/>
          <w:sz w:val="21"/>
          <w:szCs w:val="21"/>
          <w:lang w:val="en-US" w:eastAsia="zh-CN"/>
        </w:rPr>
      </w:pPr>
    </w:p>
    <w:p w14:paraId="43429DCB">
      <w:pPr>
        <w:spacing w:after="120" w:afterLines="50" w:line="360" w:lineRule="auto"/>
        <w:jc w:val="center"/>
        <w:rPr>
          <w:rFonts w:hint="eastAsia" w:ascii="宋体" w:hAnsi="宋体" w:cs="宋体"/>
          <w:b/>
          <w:sz w:val="24"/>
        </w:rPr>
      </w:pPr>
      <w:r>
        <w:rPr>
          <w:rFonts w:hint="eastAsia" w:ascii="宋体" w:hAnsi="宋体" w:cs="宋体"/>
          <w:b/>
          <w:sz w:val="24"/>
        </w:rPr>
        <w:t>中小企业声明函（</w:t>
      </w:r>
      <w:r>
        <w:rPr>
          <w:rFonts w:hint="eastAsia" w:ascii="宋体" w:hAnsi="宋体" w:eastAsia="宋体" w:cs="宋体"/>
          <w:b/>
          <w:sz w:val="24"/>
          <w:lang w:eastAsia="zh-CN"/>
        </w:rPr>
        <w:t>服务</w:t>
      </w:r>
      <w:r>
        <w:rPr>
          <w:rFonts w:hint="eastAsia" w:ascii="宋体" w:hAnsi="宋体" w:cs="宋体"/>
          <w:b/>
          <w:sz w:val="24"/>
        </w:rPr>
        <w:t>）</w:t>
      </w:r>
    </w:p>
    <w:p w14:paraId="36F539E3">
      <w:pPr>
        <w:spacing w:line="360" w:lineRule="auto"/>
        <w:ind w:firstLine="480" w:firstLineChars="200"/>
        <w:rPr>
          <w:rFonts w:hint="eastAsia" w:ascii="宋体" w:hAnsi="宋体"/>
          <w:color w:val="000000"/>
          <w:sz w:val="24"/>
        </w:rPr>
      </w:pPr>
      <w:r>
        <w:rPr>
          <w:rFonts w:hint="eastAsia" w:ascii="宋体" w:hAnsi="宋体"/>
          <w:color w:val="000000"/>
          <w:sz w:val="24"/>
        </w:rPr>
        <w:t>本公司郑重声明 ，根据《政府采购促进中小企业发展管理办法》（财库﹝2020﹞46号）的规定，本公司参加</w:t>
      </w:r>
      <w:r>
        <w:rPr>
          <w:rFonts w:hint="eastAsia" w:ascii="宋体" w:hAnsi="宋体"/>
          <w:color w:val="000000"/>
          <w:sz w:val="24"/>
          <w:u w:val="single"/>
        </w:rPr>
        <w:t xml:space="preserve"> </w:t>
      </w:r>
      <w:r>
        <w:rPr>
          <w:rFonts w:hint="eastAsia" w:ascii="宋体" w:hAnsi="宋体" w:eastAsia="宋体"/>
          <w:color w:val="000000"/>
          <w:sz w:val="24"/>
          <w:u w:val="single"/>
          <w:lang w:val="en-US" w:eastAsia="zh-CN"/>
        </w:rPr>
        <w:t xml:space="preserve">  （采购人名称）  </w:t>
      </w:r>
      <w:r>
        <w:rPr>
          <w:rFonts w:hint="eastAsia" w:ascii="宋体" w:hAnsi="宋体"/>
          <w:color w:val="000000"/>
          <w:sz w:val="24"/>
        </w:rPr>
        <w:t>的</w:t>
      </w:r>
      <w:r>
        <w:rPr>
          <w:rFonts w:hint="eastAsia" w:ascii="宋体" w:hAnsi="宋体"/>
          <w:color w:val="000000"/>
          <w:sz w:val="24"/>
          <w:u w:val="single"/>
        </w:rPr>
        <w:t xml:space="preserve"> </w:t>
      </w:r>
      <w:r>
        <w:rPr>
          <w:rFonts w:hint="eastAsia" w:ascii="宋体" w:hAnsi="宋体" w:eastAsia="宋体"/>
          <w:color w:val="000000"/>
          <w:sz w:val="24"/>
          <w:u w:val="single"/>
          <w:lang w:val="en-US" w:eastAsia="zh-CN"/>
        </w:rPr>
        <w:t xml:space="preserve">        </w:t>
      </w:r>
      <w:r>
        <w:rPr>
          <w:rFonts w:hint="eastAsia" w:ascii="宋体" w:hAnsi="宋体"/>
          <w:color w:val="000000"/>
          <w:sz w:val="24"/>
          <w:u w:val="none"/>
        </w:rPr>
        <w:t>（项目名称）</w:t>
      </w:r>
      <w:r>
        <w:rPr>
          <w:rFonts w:hint="eastAsia" w:ascii="宋体" w:hAnsi="宋体"/>
          <w:color w:val="000000"/>
          <w:sz w:val="24"/>
        </w:rPr>
        <w:t>采购活动</w:t>
      </w:r>
      <w:r>
        <w:rPr>
          <w:rFonts w:hint="eastAsia" w:ascii="宋体" w:hAnsi="宋体" w:eastAsia="宋体"/>
          <w:color w:val="000000"/>
          <w:sz w:val="24"/>
          <w:lang w:eastAsia="zh-CN"/>
        </w:rPr>
        <w:t>，服务全部由符合政策要求的中小企业承接</w:t>
      </w:r>
      <w:r>
        <w:rPr>
          <w:rFonts w:hint="eastAsia" w:ascii="宋体" w:hAnsi="宋体"/>
          <w:color w:val="000000"/>
          <w:sz w:val="24"/>
        </w:rPr>
        <w:t>。相关企业的具体情况如下 ：</w:t>
      </w:r>
    </w:p>
    <w:p w14:paraId="7F938B18">
      <w:pPr>
        <w:spacing w:line="360" w:lineRule="auto"/>
        <w:ind w:firstLine="480" w:firstLineChars="200"/>
        <w:rPr>
          <w:rFonts w:hint="eastAsia" w:ascii="宋体" w:hAnsi="宋体"/>
          <w:color w:val="000000"/>
          <w:sz w:val="24"/>
        </w:rPr>
      </w:pPr>
      <w:r>
        <w:rPr>
          <w:rFonts w:hint="eastAsia" w:ascii="宋体" w:hAnsi="宋体"/>
          <w:color w:val="000000"/>
          <w:sz w:val="24"/>
        </w:rPr>
        <w:t>1</w:t>
      </w:r>
      <w:r>
        <w:rPr>
          <w:rFonts w:hint="eastAsia" w:ascii="宋体" w:hAnsi="宋体" w:eastAsia="宋体"/>
          <w:color w:val="000000"/>
          <w:sz w:val="24"/>
          <w:lang w:val="en-US" w:eastAsia="zh-CN"/>
        </w:rPr>
        <w:t>.</w:t>
      </w:r>
      <w:r>
        <w:rPr>
          <w:rFonts w:hint="eastAsia" w:ascii="宋体" w:hAnsi="宋体"/>
          <w:color w:val="000000"/>
          <w:sz w:val="24"/>
          <w:u w:val="single"/>
        </w:rPr>
        <w:t>（标的名称）</w:t>
      </w:r>
      <w:r>
        <w:rPr>
          <w:rFonts w:hint="eastAsia" w:ascii="宋体" w:hAnsi="宋体" w:eastAsia="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，属于</w:t>
      </w:r>
      <w:r>
        <w:rPr>
          <w:rFonts w:hint="eastAsia" w:ascii="宋体" w:hAnsi="宋体"/>
          <w:color w:val="000000"/>
          <w:sz w:val="24"/>
          <w:u w:val="single"/>
        </w:rPr>
        <w:t>（</w:t>
      </w:r>
      <w:r>
        <w:rPr>
          <w:rFonts w:hint="eastAsia" w:ascii="宋体" w:hAnsi="宋体"/>
          <w:color w:val="000000"/>
          <w:sz w:val="24"/>
          <w:u w:val="single"/>
          <w:lang w:eastAsia="zh-CN"/>
        </w:rPr>
        <w:t>招标</w:t>
      </w:r>
      <w:r>
        <w:rPr>
          <w:rFonts w:hint="eastAsia" w:ascii="宋体" w:hAnsi="宋体"/>
          <w:color w:val="000000"/>
          <w:sz w:val="24"/>
          <w:u w:val="single"/>
        </w:rPr>
        <w:t>文件中明确的所属行业）行业</w:t>
      </w:r>
      <w:r>
        <w:rPr>
          <w:rFonts w:hint="eastAsia" w:ascii="宋体" w:hAnsi="宋体"/>
          <w:color w:val="000000"/>
          <w:sz w:val="24"/>
        </w:rPr>
        <w:t>；承接企业为</w:t>
      </w:r>
      <w:r>
        <w:rPr>
          <w:rFonts w:hint="eastAsia" w:ascii="宋体" w:hAnsi="宋体"/>
          <w:color w:val="000000"/>
          <w:sz w:val="24"/>
          <w:u w:val="single"/>
        </w:rPr>
        <w:t xml:space="preserve"> （企业名称）</w:t>
      </w:r>
      <w:r>
        <w:rPr>
          <w:rFonts w:hint="eastAsia" w:ascii="宋体" w:hAnsi="宋体"/>
          <w:color w:val="000000"/>
          <w:sz w:val="24"/>
        </w:rPr>
        <w:t>，从业人员</w:t>
      </w:r>
      <w:r>
        <w:rPr>
          <w:rFonts w:hint="eastAsia" w:ascii="宋体" w:hAnsi="宋体"/>
          <w:color w:val="000000"/>
          <w:sz w:val="24"/>
          <w:u w:val="single"/>
        </w:rPr>
        <w:t xml:space="preserve">      </w:t>
      </w:r>
      <w:r>
        <w:rPr>
          <w:rFonts w:hint="eastAsia" w:ascii="宋体" w:hAnsi="宋体"/>
          <w:color w:val="000000"/>
          <w:sz w:val="24"/>
        </w:rPr>
        <w:t>人 ， 营业收入为</w:t>
      </w:r>
      <w:r>
        <w:rPr>
          <w:rFonts w:hint="eastAsia" w:ascii="宋体" w:hAnsi="宋体"/>
          <w:color w:val="000000"/>
          <w:sz w:val="24"/>
          <w:u w:val="single"/>
        </w:rPr>
        <w:t xml:space="preserve">   </w:t>
      </w:r>
      <w:r>
        <w:rPr>
          <w:rFonts w:hint="eastAsia" w:ascii="宋体" w:hAnsi="宋体" w:eastAsia="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万元 ，资产总额为</w:t>
      </w:r>
      <w:r>
        <w:rPr>
          <w:rFonts w:hint="eastAsia" w:ascii="宋体" w:hAnsi="宋体"/>
          <w:color w:val="000000"/>
          <w:sz w:val="24"/>
          <w:u w:val="single"/>
        </w:rPr>
        <w:t xml:space="preserve">  </w:t>
      </w:r>
      <w:r>
        <w:rPr>
          <w:rFonts w:hint="eastAsia" w:ascii="宋体" w:hAnsi="宋体" w:eastAsia="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 xml:space="preserve">万元 ，属于 </w:t>
      </w:r>
      <w:r>
        <w:rPr>
          <w:rFonts w:hint="eastAsia" w:ascii="宋体" w:hAnsi="宋体"/>
          <w:color w:val="000000"/>
          <w:sz w:val="24"/>
          <w:u w:val="single"/>
        </w:rPr>
        <w:t>（中型企业、小型企业、微型企业）</w:t>
      </w:r>
      <w:r>
        <w:rPr>
          <w:rFonts w:hint="eastAsia" w:ascii="宋体" w:hAnsi="宋体" w:eastAsia="宋体"/>
          <w:color w:val="000000"/>
          <w:sz w:val="24"/>
          <w:u w:val="single"/>
          <w:lang w:val="en-US" w:eastAsia="zh-CN"/>
        </w:rPr>
        <w:t xml:space="preserve">  </w:t>
      </w:r>
      <w:r>
        <w:rPr>
          <w:rFonts w:hint="eastAsia" w:ascii="宋体" w:hAnsi="宋体"/>
          <w:color w:val="000000"/>
          <w:sz w:val="24"/>
        </w:rPr>
        <w:t>；</w:t>
      </w:r>
    </w:p>
    <w:p w14:paraId="2797A8DB">
      <w:pPr>
        <w:spacing w:line="360" w:lineRule="auto"/>
        <w:ind w:firstLine="480" w:firstLineChars="200"/>
        <w:rPr>
          <w:rFonts w:hint="eastAsia" w:ascii="宋体" w:hAnsi="宋体"/>
          <w:color w:val="000000"/>
          <w:sz w:val="24"/>
        </w:rPr>
      </w:pPr>
      <w:r>
        <w:rPr>
          <w:rFonts w:hint="eastAsia" w:ascii="宋体" w:hAnsi="宋体"/>
          <w:color w:val="000000"/>
          <w:sz w:val="24"/>
        </w:rPr>
        <w:t>……</w:t>
      </w:r>
    </w:p>
    <w:p w14:paraId="20AE03D1">
      <w:pPr>
        <w:spacing w:line="360" w:lineRule="auto"/>
        <w:ind w:firstLine="480" w:firstLineChars="200"/>
        <w:rPr>
          <w:rFonts w:hint="eastAsia" w:ascii="宋体" w:hAnsi="宋体"/>
          <w:color w:val="000000"/>
          <w:sz w:val="24"/>
        </w:rPr>
      </w:pPr>
      <w:r>
        <w:rPr>
          <w:rFonts w:hint="eastAsia" w:ascii="宋体" w:hAnsi="宋体"/>
          <w:color w:val="000000"/>
          <w:sz w:val="24"/>
        </w:rPr>
        <w:t>以上企业</w:t>
      </w:r>
      <w:r>
        <w:rPr>
          <w:rFonts w:hint="eastAsia" w:ascii="宋体" w:hAnsi="宋体" w:eastAsia="宋体"/>
          <w:color w:val="000000"/>
          <w:sz w:val="24"/>
          <w:lang w:eastAsia="zh-CN"/>
        </w:rPr>
        <w:t>，</w:t>
      </w:r>
      <w:r>
        <w:rPr>
          <w:rFonts w:hint="eastAsia" w:ascii="宋体" w:hAnsi="宋体"/>
          <w:color w:val="000000"/>
          <w:sz w:val="24"/>
        </w:rPr>
        <w:t>不属于大企业的分支机构</w:t>
      </w:r>
      <w:r>
        <w:rPr>
          <w:rFonts w:hint="eastAsia" w:ascii="宋体" w:hAnsi="宋体" w:eastAsia="宋体"/>
          <w:color w:val="000000"/>
          <w:sz w:val="24"/>
          <w:lang w:eastAsia="zh-CN"/>
        </w:rPr>
        <w:t>，</w:t>
      </w:r>
      <w:r>
        <w:rPr>
          <w:rFonts w:hint="eastAsia" w:ascii="宋体" w:hAnsi="宋体"/>
          <w:color w:val="000000"/>
          <w:sz w:val="24"/>
        </w:rPr>
        <w:t>不存在控股股东为大企业的情形</w:t>
      </w:r>
      <w:r>
        <w:rPr>
          <w:rFonts w:hint="eastAsia" w:ascii="宋体" w:hAnsi="宋体" w:eastAsia="宋体"/>
          <w:color w:val="000000"/>
          <w:sz w:val="24"/>
          <w:lang w:eastAsia="zh-CN"/>
        </w:rPr>
        <w:t>，</w:t>
      </w:r>
      <w:r>
        <w:rPr>
          <w:rFonts w:hint="eastAsia" w:ascii="宋体" w:hAnsi="宋体"/>
          <w:color w:val="000000"/>
          <w:sz w:val="24"/>
        </w:rPr>
        <w:t>也不存在与大企业的负责人为同一人的情形 。</w:t>
      </w:r>
    </w:p>
    <w:p w14:paraId="7D8D47FD">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本企业对上述声明内容的真实性负责</w:t>
      </w:r>
      <w:r>
        <w:rPr>
          <w:rFonts w:hint="eastAsia" w:ascii="宋体" w:hAnsi="宋体" w:eastAsia="宋体"/>
          <w:color w:val="000000"/>
          <w:sz w:val="24"/>
          <w:lang w:eastAsia="zh-CN"/>
        </w:rPr>
        <w:t>。</w:t>
      </w:r>
      <w:r>
        <w:rPr>
          <w:rFonts w:hint="eastAsia" w:ascii="宋体" w:hAnsi="宋体"/>
          <w:color w:val="000000"/>
          <w:sz w:val="24"/>
        </w:rPr>
        <w:t>如有虚假</w:t>
      </w:r>
      <w:r>
        <w:rPr>
          <w:rFonts w:hint="eastAsia" w:ascii="宋体" w:hAnsi="宋体" w:eastAsia="宋体"/>
          <w:color w:val="000000"/>
          <w:sz w:val="24"/>
          <w:lang w:eastAsia="zh-CN"/>
        </w:rPr>
        <w:t>，</w:t>
      </w:r>
      <w:r>
        <w:rPr>
          <w:rFonts w:hint="eastAsia" w:ascii="宋体" w:hAnsi="宋体"/>
          <w:color w:val="000000"/>
          <w:sz w:val="24"/>
        </w:rPr>
        <w:t>将依法承担相应责任</w:t>
      </w:r>
      <w:r>
        <w:rPr>
          <w:rFonts w:hint="eastAsia" w:ascii="宋体" w:hAnsi="宋体" w:eastAsia="宋体"/>
          <w:color w:val="000000"/>
          <w:sz w:val="24"/>
          <w:lang w:eastAsia="zh-CN"/>
        </w:rPr>
        <w:t>。</w:t>
      </w:r>
    </w:p>
    <w:p w14:paraId="1026D231">
      <w:pPr>
        <w:spacing w:line="360" w:lineRule="auto"/>
        <w:ind w:firstLine="480" w:firstLineChars="200"/>
        <w:jc w:val="right"/>
        <w:rPr>
          <w:rFonts w:hint="eastAsia" w:ascii="宋体" w:hAnsi="宋体"/>
          <w:color w:val="000000"/>
          <w:sz w:val="24"/>
        </w:rPr>
      </w:pPr>
    </w:p>
    <w:p w14:paraId="1F87DACB">
      <w:pPr>
        <w:spacing w:line="360" w:lineRule="auto"/>
        <w:ind w:firstLine="480" w:firstLineChars="200"/>
        <w:jc w:val="right"/>
        <w:rPr>
          <w:rFonts w:hint="eastAsia" w:ascii="宋体" w:hAnsi="宋体"/>
          <w:color w:val="000000"/>
          <w:sz w:val="24"/>
        </w:rPr>
      </w:pPr>
    </w:p>
    <w:p w14:paraId="5408DBCC">
      <w:pPr>
        <w:wordWrap w:val="0"/>
        <w:spacing w:line="360" w:lineRule="auto"/>
        <w:ind w:firstLine="480" w:firstLineChars="200"/>
        <w:jc w:val="right"/>
        <w:rPr>
          <w:rFonts w:hint="default" w:ascii="宋体" w:hAnsi="宋体" w:eastAsia="宋体"/>
          <w:color w:val="000000"/>
          <w:sz w:val="24"/>
          <w:u w:val="single"/>
          <w:lang w:val="en-US" w:eastAsia="zh-CN"/>
        </w:rPr>
      </w:pPr>
      <w:r>
        <w:rPr>
          <w:rFonts w:hint="eastAsia" w:ascii="宋体" w:hAnsi="宋体"/>
          <w:color w:val="000000"/>
          <w:sz w:val="24"/>
        </w:rPr>
        <w:t>企业名称：</w:t>
      </w:r>
      <w:r>
        <w:rPr>
          <w:rFonts w:hint="eastAsia" w:ascii="宋体" w:hAnsi="宋体" w:eastAsia="宋体"/>
          <w:color w:val="000000"/>
          <w:sz w:val="24"/>
          <w:u w:val="single"/>
          <w:lang w:val="en-US" w:eastAsia="zh-CN"/>
        </w:rPr>
        <w:t xml:space="preserve">                 </w:t>
      </w:r>
      <w:r>
        <w:rPr>
          <w:rFonts w:hint="eastAsia" w:ascii="宋体" w:hAnsi="宋体"/>
          <w:color w:val="000000"/>
          <w:sz w:val="24"/>
        </w:rPr>
        <w:t>（单位电子签章）</w:t>
      </w:r>
    </w:p>
    <w:p w14:paraId="444BBD3F">
      <w:pPr>
        <w:spacing w:line="480" w:lineRule="auto"/>
        <w:ind w:firstLine="480" w:firstLineChars="200"/>
        <w:jc w:val="center"/>
        <w:rPr>
          <w:rFonts w:hint="eastAsia" w:ascii="宋体" w:hAnsi="宋体"/>
          <w:color w:val="000000"/>
          <w:sz w:val="24"/>
        </w:rPr>
      </w:pPr>
      <w:r>
        <w:rPr>
          <w:rFonts w:hint="eastAsia" w:ascii="宋体" w:hAnsi="宋体"/>
          <w:color w:val="000000"/>
          <w:sz w:val="24"/>
          <w:lang w:val="en-US" w:eastAsia="zh-CN"/>
        </w:rPr>
        <w:t xml:space="preserve">                    </w:t>
      </w:r>
      <w:r>
        <w:rPr>
          <w:rFonts w:hint="eastAsia" w:ascii="宋体" w:hAnsi="宋体"/>
          <w:color w:val="000000"/>
          <w:sz w:val="24"/>
        </w:rPr>
        <w:t>日</w:t>
      </w:r>
      <w:r>
        <w:rPr>
          <w:rFonts w:hint="eastAsia" w:ascii="宋体" w:hAnsi="宋体"/>
          <w:color w:val="000000"/>
          <w:sz w:val="24"/>
          <w:lang w:val="en-US" w:eastAsia="zh-CN"/>
        </w:rPr>
        <w:t xml:space="preserve">    </w:t>
      </w:r>
      <w:r>
        <w:rPr>
          <w:rFonts w:hint="eastAsia" w:ascii="宋体" w:hAnsi="宋体"/>
          <w:color w:val="000000"/>
          <w:sz w:val="24"/>
        </w:rPr>
        <w:t>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14:paraId="5550FA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bCs/>
          <w:color w:val="000000"/>
          <w:sz w:val="24"/>
        </w:rPr>
      </w:pPr>
      <w:r>
        <w:rPr>
          <w:rFonts w:hint="eastAsia" w:ascii="宋体" w:hAnsi="宋体"/>
          <w:b/>
          <w:bCs/>
          <w:color w:val="000000"/>
          <w:sz w:val="24"/>
        </w:rPr>
        <w:t>注：</w:t>
      </w:r>
      <w:r>
        <w:rPr>
          <w:rFonts w:hint="eastAsia" w:ascii="宋体" w:hAnsi="宋体"/>
          <w:color w:val="000000"/>
          <w:sz w:val="24"/>
        </w:rPr>
        <w:t>（1）从业人员、营业收入、资产总额填报上一年度数据，无上一年度数据的新成立企业可不填报 。</w:t>
      </w:r>
    </w:p>
    <w:p w14:paraId="1A4C656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b/>
          <w:bCs/>
          <w:color w:val="000000"/>
          <w:sz w:val="24"/>
        </w:rPr>
      </w:pPr>
      <w:r>
        <w:rPr>
          <w:rFonts w:hint="eastAsia" w:ascii="宋体" w:hAnsi="宋体"/>
          <w:b/>
          <w:bCs/>
          <w:color w:val="000000"/>
          <w:sz w:val="24"/>
        </w:rPr>
        <w:t>（2）</w:t>
      </w:r>
      <w:r>
        <w:rPr>
          <w:rFonts w:hint="eastAsia" w:ascii="宋体" w:hAnsi="宋体"/>
          <w:b/>
          <w:bCs/>
          <w:color w:val="000000"/>
          <w:sz w:val="24"/>
          <w:u w:val="single"/>
        </w:rPr>
        <w:t>本采购项目中采购标的属于：其他未列明行业；</w:t>
      </w:r>
    </w:p>
    <w:p w14:paraId="15BA564A">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color w:val="000000"/>
          <w:sz w:val="24"/>
        </w:rPr>
      </w:pPr>
      <w:r>
        <w:rPr>
          <w:rFonts w:hint="eastAsia" w:ascii="宋体" w:hAnsi="宋体"/>
          <w:color w:val="000000"/>
          <w:sz w:val="24"/>
        </w:rPr>
        <w:t>（3）如需填写，各供应商务必严格按照承诺函提示要求填写，由错填、虚假填写、不按要求填写引起的相关责任后果自行承担。</w:t>
      </w:r>
    </w:p>
    <w:p w14:paraId="2EDAD684">
      <w:pPr>
        <w:rPr>
          <w:rFonts w:hint="eastAsia" w:ascii="宋体" w:hAnsi="宋体" w:eastAsia="宋体" w:cs="宋体"/>
          <w:b/>
          <w:kern w:val="2"/>
          <w:sz w:val="24"/>
          <w:szCs w:val="24"/>
          <w:lang w:eastAsia="zh-CN"/>
        </w:rPr>
      </w:pPr>
    </w:p>
    <w:p w14:paraId="0D286F5A">
      <w:pPr>
        <w:rPr>
          <w:rFonts w:hint="eastAsia" w:ascii="宋体" w:hAnsi="宋体" w:eastAsia="宋体" w:cs="宋体"/>
          <w:b/>
          <w:kern w:val="2"/>
          <w:sz w:val="24"/>
          <w:szCs w:val="24"/>
          <w:lang w:eastAsia="zh-CN"/>
        </w:rPr>
      </w:pPr>
    </w:p>
    <w:p w14:paraId="7577D047">
      <w:pPr>
        <w:rPr>
          <w:rFonts w:hint="eastAsia" w:ascii="宋体" w:hAnsi="宋体" w:eastAsia="宋体" w:cs="宋体"/>
          <w:b/>
          <w:kern w:val="2"/>
          <w:sz w:val="24"/>
          <w:szCs w:val="24"/>
          <w:lang w:eastAsia="zh-CN"/>
        </w:rPr>
      </w:pPr>
    </w:p>
    <w:p w14:paraId="00F4AFC2">
      <w:pPr>
        <w:rPr>
          <w:rFonts w:hint="eastAsia" w:ascii="宋体" w:hAnsi="宋体" w:eastAsia="宋体" w:cs="宋体"/>
          <w:b/>
          <w:kern w:val="2"/>
          <w:sz w:val="24"/>
          <w:szCs w:val="24"/>
          <w:lang w:eastAsia="zh-CN"/>
        </w:rPr>
      </w:pPr>
    </w:p>
    <w:p w14:paraId="13DA5D98">
      <w:pPr>
        <w:rPr>
          <w:rFonts w:hint="eastAsia" w:ascii="宋体" w:hAnsi="宋体" w:eastAsia="宋体" w:cs="宋体"/>
          <w:b/>
          <w:kern w:val="2"/>
          <w:sz w:val="24"/>
          <w:szCs w:val="24"/>
          <w:lang w:eastAsia="zh-CN"/>
        </w:rPr>
      </w:pPr>
    </w:p>
    <w:p w14:paraId="5056766A">
      <w:pPr>
        <w:rPr>
          <w:rFonts w:hint="eastAsia" w:ascii="宋体" w:hAnsi="宋体" w:eastAsia="宋体" w:cs="宋体"/>
          <w:b/>
          <w:kern w:val="2"/>
          <w:sz w:val="24"/>
          <w:szCs w:val="24"/>
          <w:lang w:eastAsia="zh-CN"/>
        </w:rPr>
      </w:pPr>
    </w:p>
    <w:p w14:paraId="3E6B423B">
      <w:pPr>
        <w:rPr>
          <w:rFonts w:hint="eastAsia" w:ascii="宋体" w:hAnsi="宋体" w:eastAsia="宋体" w:cs="宋体"/>
          <w:b/>
          <w:kern w:val="2"/>
          <w:sz w:val="24"/>
          <w:szCs w:val="24"/>
          <w:lang w:eastAsia="zh-CN"/>
        </w:rPr>
      </w:pPr>
    </w:p>
    <w:p w14:paraId="7F84E207">
      <w:pPr>
        <w:rPr>
          <w:rFonts w:hint="eastAsia" w:ascii="宋体" w:hAnsi="宋体" w:eastAsia="宋体" w:cs="宋体"/>
          <w:b/>
          <w:kern w:val="2"/>
          <w:sz w:val="24"/>
          <w:szCs w:val="24"/>
          <w:lang w:eastAsia="zh-CN"/>
        </w:rPr>
      </w:pPr>
    </w:p>
    <w:p w14:paraId="74C8A5E5">
      <w:pPr>
        <w:rPr>
          <w:rFonts w:hint="eastAsia" w:ascii="宋体" w:hAnsi="宋体" w:eastAsia="宋体" w:cs="宋体"/>
          <w:b/>
          <w:kern w:val="2"/>
          <w:sz w:val="24"/>
          <w:szCs w:val="24"/>
          <w:lang w:eastAsia="zh-CN"/>
        </w:rPr>
      </w:pPr>
    </w:p>
    <w:p w14:paraId="5D9AD506">
      <w:pPr>
        <w:rPr>
          <w:rFonts w:hint="eastAsia" w:ascii="宋体" w:hAnsi="宋体" w:eastAsia="宋体" w:cs="宋体"/>
          <w:b/>
          <w:kern w:val="2"/>
          <w:sz w:val="24"/>
          <w:szCs w:val="24"/>
          <w:lang w:eastAsia="zh-CN"/>
        </w:rPr>
      </w:pPr>
    </w:p>
    <w:p w14:paraId="74F81F69">
      <w:pPr>
        <w:rPr>
          <w:rFonts w:hint="eastAsia" w:ascii="宋体" w:hAnsi="宋体" w:eastAsia="宋体" w:cs="宋体"/>
          <w:b/>
          <w:kern w:val="2"/>
          <w:sz w:val="24"/>
          <w:szCs w:val="24"/>
          <w:lang w:eastAsia="zh-CN"/>
        </w:rPr>
      </w:pPr>
    </w:p>
    <w:p w14:paraId="41B28AE1">
      <w:pPr>
        <w:pStyle w:val="54"/>
        <w:rPr>
          <w:rFonts w:hint="eastAsia" w:ascii="宋体" w:hAnsi="宋体" w:eastAsia="宋体" w:cs="宋体"/>
          <w:b/>
          <w:kern w:val="2"/>
          <w:sz w:val="24"/>
          <w:szCs w:val="24"/>
          <w:lang w:eastAsia="zh-CN"/>
        </w:rPr>
      </w:pPr>
    </w:p>
    <w:p w14:paraId="14047844">
      <w:pPr>
        <w:rPr>
          <w:rFonts w:hint="eastAsia"/>
          <w:lang w:eastAsia="zh-CN"/>
        </w:rPr>
      </w:pPr>
    </w:p>
    <w:p w14:paraId="00EB5A83">
      <w:pPr>
        <w:rPr>
          <w:rFonts w:hint="eastAsia" w:ascii="宋体" w:hAnsi="宋体" w:eastAsia="宋体" w:cs="宋体"/>
          <w:b/>
          <w:kern w:val="2"/>
          <w:sz w:val="24"/>
          <w:szCs w:val="24"/>
          <w:lang w:eastAsia="zh-CN"/>
        </w:rPr>
      </w:pPr>
    </w:p>
    <w:p w14:paraId="79EC21FF">
      <w:pPr>
        <w:rPr>
          <w:rFonts w:hint="eastAsia" w:ascii="宋体" w:hAnsi="宋体" w:eastAsia="宋体" w:cs="宋体"/>
          <w:b/>
          <w:kern w:val="2"/>
          <w:sz w:val="24"/>
          <w:szCs w:val="24"/>
          <w:lang w:eastAsia="zh-CN"/>
        </w:rPr>
      </w:pPr>
    </w:p>
    <w:p w14:paraId="52696E9F">
      <w:pPr>
        <w:rPr>
          <w:rFonts w:hint="eastAsia" w:ascii="宋体" w:hAnsi="宋体" w:eastAsia="宋体" w:cs="宋体"/>
          <w:sz w:val="24"/>
          <w:szCs w:val="24"/>
        </w:rPr>
      </w:pPr>
      <w:r>
        <w:rPr>
          <w:rFonts w:hint="eastAsia" w:ascii="宋体" w:hAnsi="宋体" w:eastAsia="宋体" w:cs="宋体"/>
          <w:b/>
          <w:kern w:val="2"/>
          <w:sz w:val="24"/>
          <w:szCs w:val="24"/>
          <w:lang w:eastAsia="zh-CN"/>
        </w:rPr>
        <w:t>附件：</w:t>
      </w:r>
      <w:r>
        <w:rPr>
          <w:rFonts w:hint="eastAsia" w:ascii="宋体" w:hAnsi="宋体" w:eastAsia="宋体" w:cs="宋体"/>
          <w:sz w:val="24"/>
          <w:szCs w:val="24"/>
        </w:rPr>
        <w:t xml:space="preserve"> </w:t>
      </w:r>
    </w:p>
    <w:p w14:paraId="1A6715BE">
      <w:pPr>
        <w:widowControl/>
        <w:spacing w:line="330" w:lineRule="atLeast"/>
        <w:jc w:val="center"/>
        <w:rPr>
          <w:rFonts w:hint="eastAsia" w:ascii="宋体" w:hAnsi="宋体" w:eastAsia="宋体" w:cs="宋体"/>
          <w:b/>
          <w:bCs/>
          <w:color w:val="000000"/>
          <w:kern w:val="0"/>
          <w:sz w:val="28"/>
          <w:szCs w:val="24"/>
        </w:rPr>
      </w:pPr>
      <w:r>
        <w:rPr>
          <w:rFonts w:hint="eastAsia" w:ascii="宋体" w:hAnsi="宋体" w:eastAsia="宋体" w:cs="宋体"/>
          <w:b/>
          <w:bCs/>
          <w:color w:val="000000"/>
          <w:kern w:val="0"/>
          <w:sz w:val="28"/>
          <w:szCs w:val="24"/>
        </w:rPr>
        <w:t>国家统计局《统计上大中小微型企业划分标准》</w:t>
      </w:r>
    </w:p>
    <w:tbl>
      <w:tblPr>
        <w:tblStyle w:val="33"/>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064D8C0E">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noWrap w:val="0"/>
            <w:vAlign w:val="center"/>
          </w:tcPr>
          <w:p w14:paraId="44AFEBFF">
            <w:pPr>
              <w:widowControl/>
              <w:spacing w:line="240" w:lineRule="exact"/>
              <w:jc w:val="center"/>
              <w:rPr>
                <w:rFonts w:hint="eastAsia" w:ascii="宋体" w:hAnsi="宋体" w:eastAsia="宋体" w:cs="宋体"/>
                <w:b/>
                <w:bCs/>
                <w:color w:val="000000"/>
                <w:kern w:val="0"/>
                <w:sz w:val="18"/>
                <w:szCs w:val="21"/>
              </w:rPr>
            </w:pPr>
            <w:r>
              <w:rPr>
                <w:rFonts w:hint="eastAsia" w:ascii="宋体" w:hAnsi="宋体" w:eastAsia="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noWrap w:val="0"/>
            <w:vAlign w:val="center"/>
          </w:tcPr>
          <w:p w14:paraId="094D5EA2">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noWrap w:val="0"/>
            <w:vAlign w:val="center"/>
          </w:tcPr>
          <w:p w14:paraId="4D3043FA">
            <w:pPr>
              <w:widowControl/>
              <w:jc w:val="center"/>
              <w:rPr>
                <w:rFonts w:hint="eastAsia" w:ascii="宋体" w:hAnsi="宋体" w:eastAsia="宋体" w:cs="宋体"/>
                <w:b/>
                <w:bCs/>
                <w:color w:val="000000"/>
                <w:kern w:val="0"/>
                <w:sz w:val="18"/>
                <w:szCs w:val="18"/>
                <w:lang w:eastAsia="zh-CN"/>
              </w:rPr>
            </w:pPr>
            <w:r>
              <w:rPr>
                <w:rFonts w:hint="eastAsia" w:ascii="宋体" w:hAnsi="宋体" w:eastAsia="宋体" w:cs="宋体"/>
                <w:b/>
                <w:bCs/>
                <w:color w:val="000000"/>
                <w:kern w:val="0"/>
                <w:sz w:val="18"/>
                <w:szCs w:val="18"/>
              </w:rPr>
              <w:t>计量</w:t>
            </w:r>
          </w:p>
          <w:p w14:paraId="1AF1FB89">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noWrap w:val="0"/>
            <w:vAlign w:val="center"/>
          </w:tcPr>
          <w:p w14:paraId="3902F750">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noWrap w:val="0"/>
            <w:vAlign w:val="center"/>
          </w:tcPr>
          <w:p w14:paraId="6E1C6E4F">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noWrap w:val="0"/>
            <w:vAlign w:val="center"/>
          </w:tcPr>
          <w:p w14:paraId="0805ACAC">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小型</w:t>
            </w:r>
          </w:p>
        </w:tc>
        <w:tc>
          <w:tcPr>
            <w:tcW w:w="992" w:type="dxa"/>
            <w:tcBorders>
              <w:top w:val="single" w:color="auto" w:sz="4" w:space="0"/>
              <w:left w:val="nil"/>
              <w:bottom w:val="single" w:color="auto" w:sz="4" w:space="0"/>
              <w:right w:val="nil"/>
            </w:tcBorders>
            <w:noWrap w:val="0"/>
            <w:vAlign w:val="center"/>
          </w:tcPr>
          <w:p w14:paraId="325812A9">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微型</w:t>
            </w:r>
          </w:p>
        </w:tc>
      </w:tr>
      <w:tr w14:paraId="19A6B507">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noWrap w:val="0"/>
            <w:vAlign w:val="center"/>
          </w:tcPr>
          <w:p w14:paraId="6A6BB22D">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农、林、牧、渔业</w:t>
            </w:r>
          </w:p>
        </w:tc>
        <w:tc>
          <w:tcPr>
            <w:tcW w:w="1369" w:type="dxa"/>
            <w:tcBorders>
              <w:top w:val="nil"/>
              <w:left w:val="nil"/>
              <w:bottom w:val="single" w:color="auto" w:sz="4" w:space="0"/>
              <w:right w:val="single" w:color="auto" w:sz="4" w:space="0"/>
            </w:tcBorders>
            <w:noWrap w:val="0"/>
            <w:vAlign w:val="center"/>
          </w:tcPr>
          <w:p w14:paraId="1AC8715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508055E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7110B80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Y≥20000</w:t>
            </w:r>
          </w:p>
        </w:tc>
        <w:tc>
          <w:tcPr>
            <w:tcW w:w="1701" w:type="dxa"/>
            <w:tcBorders>
              <w:top w:val="nil"/>
              <w:left w:val="nil"/>
              <w:bottom w:val="single" w:color="auto" w:sz="4" w:space="0"/>
              <w:right w:val="single" w:color="auto" w:sz="4" w:space="0"/>
            </w:tcBorders>
            <w:noWrap w:val="0"/>
            <w:vAlign w:val="center"/>
          </w:tcPr>
          <w:p w14:paraId="0C3F6B3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noWrap w:val="0"/>
            <w:vAlign w:val="center"/>
          </w:tcPr>
          <w:p w14:paraId="7EF6A4D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50≤Y＜500</w:t>
            </w:r>
          </w:p>
        </w:tc>
        <w:tc>
          <w:tcPr>
            <w:tcW w:w="992" w:type="dxa"/>
            <w:tcBorders>
              <w:top w:val="nil"/>
              <w:left w:val="nil"/>
              <w:bottom w:val="single" w:color="auto" w:sz="4" w:space="0"/>
              <w:right w:val="nil"/>
            </w:tcBorders>
            <w:noWrap w:val="0"/>
            <w:vAlign w:val="center"/>
          </w:tcPr>
          <w:p w14:paraId="048A363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Y＜50</w:t>
            </w:r>
          </w:p>
        </w:tc>
      </w:tr>
      <w:tr w14:paraId="6993558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09E20F3F">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工业 *</w:t>
            </w:r>
          </w:p>
        </w:tc>
        <w:tc>
          <w:tcPr>
            <w:tcW w:w="1369" w:type="dxa"/>
            <w:tcBorders>
              <w:top w:val="nil"/>
              <w:left w:val="nil"/>
              <w:bottom w:val="nil"/>
              <w:right w:val="single" w:color="auto" w:sz="4" w:space="0"/>
            </w:tcBorders>
            <w:noWrap w:val="0"/>
            <w:vAlign w:val="center"/>
          </w:tcPr>
          <w:p w14:paraId="49F44B2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149C3F8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39B18FD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X≥1000</w:t>
            </w:r>
          </w:p>
        </w:tc>
        <w:tc>
          <w:tcPr>
            <w:tcW w:w="1701" w:type="dxa"/>
            <w:tcBorders>
              <w:top w:val="nil"/>
              <w:left w:val="nil"/>
              <w:bottom w:val="nil"/>
              <w:right w:val="single" w:color="auto" w:sz="4" w:space="0"/>
            </w:tcBorders>
            <w:noWrap w:val="0"/>
            <w:vAlign w:val="center"/>
          </w:tcPr>
          <w:p w14:paraId="4FFA0EA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300≤X＜1000</w:t>
            </w:r>
          </w:p>
        </w:tc>
        <w:tc>
          <w:tcPr>
            <w:tcW w:w="1426" w:type="dxa"/>
            <w:tcBorders>
              <w:top w:val="nil"/>
              <w:left w:val="nil"/>
              <w:bottom w:val="nil"/>
              <w:right w:val="single" w:color="auto" w:sz="4" w:space="0"/>
            </w:tcBorders>
            <w:noWrap w:val="0"/>
            <w:vAlign w:val="center"/>
          </w:tcPr>
          <w:p w14:paraId="24257C9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20≤X＜300</w:t>
            </w:r>
          </w:p>
        </w:tc>
        <w:tc>
          <w:tcPr>
            <w:tcW w:w="992" w:type="dxa"/>
            <w:tcBorders>
              <w:top w:val="nil"/>
              <w:left w:val="nil"/>
              <w:bottom w:val="nil"/>
              <w:right w:val="nil"/>
            </w:tcBorders>
            <w:noWrap w:val="0"/>
            <w:vAlign w:val="center"/>
          </w:tcPr>
          <w:p w14:paraId="4F8EAC8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w:t>
            </w:r>
          </w:p>
        </w:tc>
      </w:tr>
      <w:tr w14:paraId="00C56F1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41973183">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1F5A0453">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4F40DD4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2038687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Y≥40000</w:t>
            </w:r>
          </w:p>
        </w:tc>
        <w:tc>
          <w:tcPr>
            <w:tcW w:w="1701" w:type="dxa"/>
            <w:tcBorders>
              <w:top w:val="nil"/>
              <w:left w:val="nil"/>
              <w:bottom w:val="single" w:color="auto" w:sz="4" w:space="0"/>
              <w:right w:val="single" w:color="auto" w:sz="4" w:space="0"/>
            </w:tcBorders>
            <w:noWrap w:val="0"/>
            <w:vAlign w:val="center"/>
          </w:tcPr>
          <w:p w14:paraId="24B2267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2000≤Y＜40000</w:t>
            </w:r>
          </w:p>
        </w:tc>
        <w:tc>
          <w:tcPr>
            <w:tcW w:w="1426" w:type="dxa"/>
            <w:tcBorders>
              <w:top w:val="nil"/>
              <w:left w:val="nil"/>
              <w:bottom w:val="single" w:color="auto" w:sz="4" w:space="0"/>
              <w:right w:val="single" w:color="auto" w:sz="4" w:space="0"/>
            </w:tcBorders>
            <w:noWrap w:val="0"/>
            <w:vAlign w:val="center"/>
          </w:tcPr>
          <w:p w14:paraId="23EF49A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300≤Y＜2000</w:t>
            </w:r>
          </w:p>
        </w:tc>
        <w:tc>
          <w:tcPr>
            <w:tcW w:w="992" w:type="dxa"/>
            <w:tcBorders>
              <w:top w:val="nil"/>
              <w:left w:val="nil"/>
              <w:bottom w:val="single" w:color="auto" w:sz="4" w:space="0"/>
              <w:right w:val="nil"/>
            </w:tcBorders>
            <w:noWrap w:val="0"/>
            <w:vAlign w:val="center"/>
          </w:tcPr>
          <w:p w14:paraId="535CA1E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Y＜300</w:t>
            </w:r>
          </w:p>
        </w:tc>
      </w:tr>
      <w:tr w14:paraId="64B0E27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032E5E9D">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建筑业</w:t>
            </w:r>
          </w:p>
        </w:tc>
        <w:tc>
          <w:tcPr>
            <w:tcW w:w="1369" w:type="dxa"/>
            <w:tcBorders>
              <w:top w:val="nil"/>
              <w:left w:val="nil"/>
              <w:bottom w:val="nil"/>
              <w:right w:val="single" w:color="auto" w:sz="4" w:space="0"/>
            </w:tcBorders>
            <w:noWrap w:val="0"/>
            <w:vAlign w:val="center"/>
          </w:tcPr>
          <w:p w14:paraId="1DF1447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nil"/>
              <w:right w:val="single" w:color="auto" w:sz="4" w:space="0"/>
            </w:tcBorders>
            <w:noWrap w:val="0"/>
            <w:vAlign w:val="center"/>
          </w:tcPr>
          <w:p w14:paraId="7F90DA4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nil"/>
              <w:right w:val="single" w:color="auto" w:sz="4" w:space="0"/>
            </w:tcBorders>
            <w:noWrap w:val="0"/>
            <w:vAlign w:val="center"/>
          </w:tcPr>
          <w:p w14:paraId="1B3DD74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Y≥80000</w:t>
            </w:r>
          </w:p>
        </w:tc>
        <w:tc>
          <w:tcPr>
            <w:tcW w:w="1701" w:type="dxa"/>
            <w:tcBorders>
              <w:top w:val="nil"/>
              <w:left w:val="nil"/>
              <w:bottom w:val="nil"/>
              <w:right w:val="single" w:color="auto" w:sz="4" w:space="0"/>
            </w:tcBorders>
            <w:noWrap w:val="0"/>
            <w:vAlign w:val="center"/>
          </w:tcPr>
          <w:p w14:paraId="730DB31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6000≤Y＜80000</w:t>
            </w:r>
          </w:p>
        </w:tc>
        <w:tc>
          <w:tcPr>
            <w:tcW w:w="1426" w:type="dxa"/>
            <w:tcBorders>
              <w:top w:val="nil"/>
              <w:left w:val="nil"/>
              <w:bottom w:val="nil"/>
              <w:right w:val="single" w:color="auto" w:sz="4" w:space="0"/>
            </w:tcBorders>
            <w:noWrap w:val="0"/>
            <w:vAlign w:val="center"/>
          </w:tcPr>
          <w:p w14:paraId="6D7F2DA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300≤Y＜6000</w:t>
            </w:r>
          </w:p>
        </w:tc>
        <w:tc>
          <w:tcPr>
            <w:tcW w:w="992" w:type="dxa"/>
            <w:tcBorders>
              <w:top w:val="nil"/>
              <w:left w:val="nil"/>
              <w:bottom w:val="nil"/>
              <w:right w:val="nil"/>
            </w:tcBorders>
            <w:noWrap w:val="0"/>
            <w:vAlign w:val="center"/>
          </w:tcPr>
          <w:p w14:paraId="10FD29A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Y＜300</w:t>
            </w:r>
          </w:p>
        </w:tc>
      </w:tr>
      <w:tr w14:paraId="2713DA0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6C128789">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6B42A734">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资产总额(Z)</w:t>
            </w:r>
          </w:p>
        </w:tc>
        <w:tc>
          <w:tcPr>
            <w:tcW w:w="709" w:type="dxa"/>
            <w:tcBorders>
              <w:top w:val="nil"/>
              <w:left w:val="nil"/>
              <w:bottom w:val="single" w:color="auto" w:sz="4" w:space="0"/>
              <w:right w:val="single" w:color="auto" w:sz="4" w:space="0"/>
            </w:tcBorders>
            <w:noWrap w:val="0"/>
            <w:vAlign w:val="center"/>
          </w:tcPr>
          <w:p w14:paraId="3CC8E8D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1A74A39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Z≥80000</w:t>
            </w:r>
          </w:p>
        </w:tc>
        <w:tc>
          <w:tcPr>
            <w:tcW w:w="1701" w:type="dxa"/>
            <w:tcBorders>
              <w:top w:val="nil"/>
              <w:left w:val="nil"/>
              <w:bottom w:val="single" w:color="auto" w:sz="4" w:space="0"/>
              <w:right w:val="single" w:color="auto" w:sz="4" w:space="0"/>
            </w:tcBorders>
            <w:noWrap w:val="0"/>
            <w:vAlign w:val="center"/>
          </w:tcPr>
          <w:p w14:paraId="6376CE0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5000≤Z＜80000</w:t>
            </w:r>
          </w:p>
        </w:tc>
        <w:tc>
          <w:tcPr>
            <w:tcW w:w="1426" w:type="dxa"/>
            <w:tcBorders>
              <w:top w:val="nil"/>
              <w:left w:val="nil"/>
              <w:bottom w:val="single" w:color="auto" w:sz="4" w:space="0"/>
              <w:right w:val="single" w:color="auto" w:sz="4" w:space="0"/>
            </w:tcBorders>
            <w:noWrap w:val="0"/>
            <w:vAlign w:val="center"/>
          </w:tcPr>
          <w:p w14:paraId="0CAD17B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300≤Z＜5000</w:t>
            </w:r>
          </w:p>
        </w:tc>
        <w:tc>
          <w:tcPr>
            <w:tcW w:w="992" w:type="dxa"/>
            <w:tcBorders>
              <w:top w:val="nil"/>
              <w:left w:val="nil"/>
              <w:bottom w:val="single" w:color="auto" w:sz="4" w:space="0"/>
              <w:right w:val="nil"/>
            </w:tcBorders>
            <w:noWrap w:val="0"/>
            <w:vAlign w:val="center"/>
          </w:tcPr>
          <w:p w14:paraId="2A9F424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Z＜300</w:t>
            </w:r>
          </w:p>
        </w:tc>
      </w:tr>
      <w:tr w14:paraId="5E875E5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1AF2704D">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批发业</w:t>
            </w:r>
          </w:p>
        </w:tc>
        <w:tc>
          <w:tcPr>
            <w:tcW w:w="1369" w:type="dxa"/>
            <w:tcBorders>
              <w:top w:val="nil"/>
              <w:left w:val="nil"/>
              <w:bottom w:val="nil"/>
              <w:right w:val="single" w:color="auto" w:sz="4" w:space="0"/>
            </w:tcBorders>
            <w:noWrap w:val="0"/>
            <w:vAlign w:val="center"/>
          </w:tcPr>
          <w:p w14:paraId="2BA5478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334EDAE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2404C09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X≥200</w:t>
            </w:r>
          </w:p>
        </w:tc>
        <w:tc>
          <w:tcPr>
            <w:tcW w:w="1701" w:type="dxa"/>
            <w:tcBorders>
              <w:top w:val="nil"/>
              <w:left w:val="nil"/>
              <w:bottom w:val="nil"/>
              <w:right w:val="single" w:color="auto" w:sz="4" w:space="0"/>
            </w:tcBorders>
            <w:noWrap w:val="0"/>
            <w:vAlign w:val="center"/>
          </w:tcPr>
          <w:p w14:paraId="5A8E40B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20≤X＜200</w:t>
            </w:r>
          </w:p>
        </w:tc>
        <w:tc>
          <w:tcPr>
            <w:tcW w:w="1426" w:type="dxa"/>
            <w:tcBorders>
              <w:top w:val="nil"/>
              <w:left w:val="nil"/>
              <w:bottom w:val="nil"/>
              <w:right w:val="single" w:color="auto" w:sz="4" w:space="0"/>
            </w:tcBorders>
            <w:noWrap w:val="0"/>
            <w:vAlign w:val="center"/>
          </w:tcPr>
          <w:p w14:paraId="438FE56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5≤X＜20</w:t>
            </w:r>
          </w:p>
        </w:tc>
        <w:tc>
          <w:tcPr>
            <w:tcW w:w="992" w:type="dxa"/>
            <w:tcBorders>
              <w:top w:val="nil"/>
              <w:left w:val="nil"/>
              <w:bottom w:val="nil"/>
              <w:right w:val="nil"/>
            </w:tcBorders>
            <w:noWrap w:val="0"/>
            <w:vAlign w:val="center"/>
          </w:tcPr>
          <w:p w14:paraId="12CB310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X＜5</w:t>
            </w:r>
          </w:p>
        </w:tc>
      </w:tr>
      <w:tr w14:paraId="7C21AFB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7F0123F4">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11418AE2">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2D1A19D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4DCDC2A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Y≥40000</w:t>
            </w:r>
          </w:p>
        </w:tc>
        <w:tc>
          <w:tcPr>
            <w:tcW w:w="1701" w:type="dxa"/>
            <w:tcBorders>
              <w:top w:val="nil"/>
              <w:left w:val="nil"/>
              <w:bottom w:val="single" w:color="auto" w:sz="4" w:space="0"/>
              <w:right w:val="single" w:color="auto" w:sz="4" w:space="0"/>
            </w:tcBorders>
            <w:noWrap w:val="0"/>
            <w:vAlign w:val="center"/>
          </w:tcPr>
          <w:p w14:paraId="45F89CE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5000≤Y＜40000</w:t>
            </w:r>
          </w:p>
        </w:tc>
        <w:tc>
          <w:tcPr>
            <w:tcW w:w="1426" w:type="dxa"/>
            <w:tcBorders>
              <w:top w:val="nil"/>
              <w:left w:val="nil"/>
              <w:bottom w:val="single" w:color="auto" w:sz="4" w:space="0"/>
              <w:right w:val="single" w:color="auto" w:sz="4" w:space="0"/>
            </w:tcBorders>
            <w:noWrap w:val="0"/>
            <w:vAlign w:val="center"/>
          </w:tcPr>
          <w:p w14:paraId="77BFED40">
            <w:pPr>
              <w:widowControl/>
              <w:ind w:left="-1" w:leftChars="-1" w:hanging="1"/>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1000≤Y＜5000</w:t>
            </w:r>
          </w:p>
        </w:tc>
        <w:tc>
          <w:tcPr>
            <w:tcW w:w="992" w:type="dxa"/>
            <w:tcBorders>
              <w:top w:val="nil"/>
              <w:left w:val="nil"/>
              <w:bottom w:val="single" w:color="auto" w:sz="4" w:space="0"/>
              <w:right w:val="nil"/>
            </w:tcBorders>
            <w:noWrap w:val="0"/>
            <w:vAlign w:val="center"/>
          </w:tcPr>
          <w:p w14:paraId="7F95D3F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Y＜1000</w:t>
            </w:r>
          </w:p>
        </w:tc>
      </w:tr>
      <w:tr w14:paraId="04C9543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6C1DFED6">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零售业</w:t>
            </w:r>
          </w:p>
        </w:tc>
        <w:tc>
          <w:tcPr>
            <w:tcW w:w="1369" w:type="dxa"/>
            <w:tcBorders>
              <w:top w:val="nil"/>
              <w:left w:val="nil"/>
              <w:bottom w:val="nil"/>
              <w:right w:val="single" w:color="auto" w:sz="4" w:space="0"/>
            </w:tcBorders>
            <w:noWrap w:val="0"/>
            <w:vAlign w:val="center"/>
          </w:tcPr>
          <w:p w14:paraId="0881671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7F01190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1393931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X≥300</w:t>
            </w:r>
          </w:p>
        </w:tc>
        <w:tc>
          <w:tcPr>
            <w:tcW w:w="1701" w:type="dxa"/>
            <w:tcBorders>
              <w:top w:val="nil"/>
              <w:left w:val="nil"/>
              <w:bottom w:val="nil"/>
              <w:right w:val="single" w:color="auto" w:sz="4" w:space="0"/>
            </w:tcBorders>
            <w:noWrap w:val="0"/>
            <w:vAlign w:val="center"/>
          </w:tcPr>
          <w:p w14:paraId="16FFFEC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50≤X＜300</w:t>
            </w:r>
          </w:p>
        </w:tc>
        <w:tc>
          <w:tcPr>
            <w:tcW w:w="1426" w:type="dxa"/>
            <w:tcBorders>
              <w:top w:val="nil"/>
              <w:left w:val="nil"/>
              <w:bottom w:val="nil"/>
              <w:right w:val="single" w:color="auto" w:sz="4" w:space="0"/>
            </w:tcBorders>
            <w:noWrap w:val="0"/>
            <w:vAlign w:val="center"/>
          </w:tcPr>
          <w:p w14:paraId="22F62E55">
            <w:pPr>
              <w:widowControl/>
              <w:ind w:left="-1" w:leftChars="-1" w:hanging="1"/>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10≤X＜50 </w:t>
            </w:r>
          </w:p>
        </w:tc>
        <w:tc>
          <w:tcPr>
            <w:tcW w:w="992" w:type="dxa"/>
            <w:tcBorders>
              <w:top w:val="nil"/>
              <w:left w:val="nil"/>
              <w:bottom w:val="nil"/>
              <w:right w:val="nil"/>
            </w:tcBorders>
            <w:noWrap w:val="0"/>
            <w:vAlign w:val="center"/>
          </w:tcPr>
          <w:p w14:paraId="06031A7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r w14:paraId="6AE38B62">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24BCEB7B">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6FA4615A">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5665B8C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61792A7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Y≥20000</w:t>
            </w:r>
          </w:p>
        </w:tc>
        <w:tc>
          <w:tcPr>
            <w:tcW w:w="1701" w:type="dxa"/>
            <w:tcBorders>
              <w:top w:val="nil"/>
              <w:left w:val="nil"/>
              <w:bottom w:val="single" w:color="auto" w:sz="4" w:space="0"/>
              <w:right w:val="single" w:color="auto" w:sz="4" w:space="0"/>
            </w:tcBorders>
            <w:noWrap w:val="0"/>
            <w:vAlign w:val="center"/>
          </w:tcPr>
          <w:p w14:paraId="315F7EA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noWrap w:val="0"/>
            <w:vAlign w:val="center"/>
          </w:tcPr>
          <w:p w14:paraId="499F92BD">
            <w:pPr>
              <w:widowControl/>
              <w:ind w:left="-1" w:leftChars="-1" w:hanging="1"/>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100≤Y＜500 </w:t>
            </w:r>
          </w:p>
        </w:tc>
        <w:tc>
          <w:tcPr>
            <w:tcW w:w="992" w:type="dxa"/>
            <w:tcBorders>
              <w:top w:val="nil"/>
              <w:left w:val="nil"/>
              <w:bottom w:val="single" w:color="auto" w:sz="4" w:space="0"/>
              <w:right w:val="nil"/>
            </w:tcBorders>
            <w:noWrap w:val="0"/>
            <w:vAlign w:val="center"/>
          </w:tcPr>
          <w:p w14:paraId="0778373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3FFB261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34923BB1">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交通运输业 *</w:t>
            </w:r>
          </w:p>
        </w:tc>
        <w:tc>
          <w:tcPr>
            <w:tcW w:w="1369" w:type="dxa"/>
            <w:tcBorders>
              <w:top w:val="nil"/>
              <w:left w:val="nil"/>
              <w:bottom w:val="nil"/>
              <w:right w:val="single" w:color="auto" w:sz="4" w:space="0"/>
            </w:tcBorders>
            <w:noWrap w:val="0"/>
            <w:vAlign w:val="center"/>
          </w:tcPr>
          <w:p w14:paraId="3B956CD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6FCD4D0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02F7F1E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X≥1000</w:t>
            </w:r>
          </w:p>
        </w:tc>
        <w:tc>
          <w:tcPr>
            <w:tcW w:w="1701" w:type="dxa"/>
            <w:tcBorders>
              <w:top w:val="nil"/>
              <w:left w:val="nil"/>
              <w:bottom w:val="nil"/>
              <w:right w:val="single" w:color="auto" w:sz="4" w:space="0"/>
            </w:tcBorders>
            <w:noWrap w:val="0"/>
            <w:vAlign w:val="center"/>
          </w:tcPr>
          <w:p w14:paraId="62F57E1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300≤X＜1000</w:t>
            </w:r>
          </w:p>
        </w:tc>
        <w:tc>
          <w:tcPr>
            <w:tcW w:w="1426" w:type="dxa"/>
            <w:tcBorders>
              <w:top w:val="nil"/>
              <w:left w:val="nil"/>
              <w:bottom w:val="nil"/>
              <w:right w:val="single" w:color="auto" w:sz="4" w:space="0"/>
            </w:tcBorders>
            <w:noWrap w:val="0"/>
            <w:vAlign w:val="center"/>
          </w:tcPr>
          <w:p w14:paraId="5450BB8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20≤X＜300</w:t>
            </w:r>
          </w:p>
        </w:tc>
        <w:tc>
          <w:tcPr>
            <w:tcW w:w="992" w:type="dxa"/>
            <w:tcBorders>
              <w:top w:val="nil"/>
              <w:left w:val="nil"/>
              <w:bottom w:val="nil"/>
              <w:right w:val="nil"/>
            </w:tcBorders>
            <w:noWrap w:val="0"/>
            <w:vAlign w:val="center"/>
          </w:tcPr>
          <w:p w14:paraId="49DEA18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w:t>
            </w:r>
          </w:p>
        </w:tc>
      </w:tr>
      <w:tr w14:paraId="09A44D8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3786FD4B">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11FA48A4">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6EE093F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5ED01BA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Y≥30000</w:t>
            </w:r>
          </w:p>
        </w:tc>
        <w:tc>
          <w:tcPr>
            <w:tcW w:w="1701" w:type="dxa"/>
            <w:tcBorders>
              <w:top w:val="nil"/>
              <w:left w:val="nil"/>
              <w:bottom w:val="single" w:color="auto" w:sz="4" w:space="0"/>
              <w:right w:val="single" w:color="auto" w:sz="4" w:space="0"/>
            </w:tcBorders>
            <w:noWrap w:val="0"/>
            <w:vAlign w:val="center"/>
          </w:tcPr>
          <w:p w14:paraId="25F3E74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3000≤Y＜30000</w:t>
            </w:r>
          </w:p>
        </w:tc>
        <w:tc>
          <w:tcPr>
            <w:tcW w:w="1426" w:type="dxa"/>
            <w:tcBorders>
              <w:top w:val="nil"/>
              <w:left w:val="nil"/>
              <w:bottom w:val="single" w:color="auto" w:sz="4" w:space="0"/>
              <w:right w:val="single" w:color="auto" w:sz="4" w:space="0"/>
            </w:tcBorders>
            <w:noWrap w:val="0"/>
            <w:vAlign w:val="center"/>
          </w:tcPr>
          <w:p w14:paraId="1BAC19D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200≤Y＜3000</w:t>
            </w:r>
          </w:p>
        </w:tc>
        <w:tc>
          <w:tcPr>
            <w:tcW w:w="992" w:type="dxa"/>
            <w:tcBorders>
              <w:top w:val="nil"/>
              <w:left w:val="nil"/>
              <w:bottom w:val="single" w:color="auto" w:sz="4" w:space="0"/>
              <w:right w:val="nil"/>
            </w:tcBorders>
            <w:noWrap w:val="0"/>
            <w:vAlign w:val="center"/>
          </w:tcPr>
          <w:p w14:paraId="0210D87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Y＜200</w:t>
            </w:r>
          </w:p>
        </w:tc>
      </w:tr>
      <w:tr w14:paraId="2725C4C4">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171A04B0">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仓储业*</w:t>
            </w:r>
          </w:p>
        </w:tc>
        <w:tc>
          <w:tcPr>
            <w:tcW w:w="1369" w:type="dxa"/>
            <w:tcBorders>
              <w:top w:val="nil"/>
              <w:left w:val="nil"/>
              <w:bottom w:val="nil"/>
              <w:right w:val="single" w:color="auto" w:sz="4" w:space="0"/>
            </w:tcBorders>
            <w:noWrap w:val="0"/>
            <w:vAlign w:val="center"/>
          </w:tcPr>
          <w:p w14:paraId="3B68EF4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1CF5E3B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7186907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X≥200</w:t>
            </w:r>
          </w:p>
        </w:tc>
        <w:tc>
          <w:tcPr>
            <w:tcW w:w="1701" w:type="dxa"/>
            <w:tcBorders>
              <w:top w:val="nil"/>
              <w:left w:val="nil"/>
              <w:bottom w:val="nil"/>
              <w:right w:val="single" w:color="auto" w:sz="4" w:space="0"/>
            </w:tcBorders>
            <w:noWrap w:val="0"/>
            <w:vAlign w:val="center"/>
          </w:tcPr>
          <w:p w14:paraId="2A7239CE">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100≤X＜200</w:t>
            </w:r>
          </w:p>
        </w:tc>
        <w:tc>
          <w:tcPr>
            <w:tcW w:w="1426" w:type="dxa"/>
            <w:tcBorders>
              <w:top w:val="nil"/>
              <w:left w:val="nil"/>
              <w:bottom w:val="nil"/>
              <w:right w:val="single" w:color="auto" w:sz="4" w:space="0"/>
            </w:tcBorders>
            <w:noWrap w:val="0"/>
            <w:vAlign w:val="center"/>
          </w:tcPr>
          <w:p w14:paraId="7319AA4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20≤X＜100</w:t>
            </w:r>
          </w:p>
        </w:tc>
        <w:tc>
          <w:tcPr>
            <w:tcW w:w="992" w:type="dxa"/>
            <w:tcBorders>
              <w:top w:val="nil"/>
              <w:left w:val="nil"/>
              <w:bottom w:val="nil"/>
              <w:right w:val="nil"/>
            </w:tcBorders>
            <w:noWrap w:val="0"/>
            <w:vAlign w:val="center"/>
          </w:tcPr>
          <w:p w14:paraId="2CD87EC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w:t>
            </w:r>
          </w:p>
        </w:tc>
      </w:tr>
      <w:tr w14:paraId="2B1F8CC6">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21FA4BD3">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4E38914B">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7A32DCB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636D987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Y≥30000</w:t>
            </w:r>
          </w:p>
        </w:tc>
        <w:tc>
          <w:tcPr>
            <w:tcW w:w="1701" w:type="dxa"/>
            <w:tcBorders>
              <w:top w:val="nil"/>
              <w:left w:val="nil"/>
              <w:bottom w:val="single" w:color="auto" w:sz="4" w:space="0"/>
              <w:right w:val="single" w:color="auto" w:sz="4" w:space="0"/>
            </w:tcBorders>
            <w:noWrap w:val="0"/>
            <w:vAlign w:val="center"/>
          </w:tcPr>
          <w:p w14:paraId="2091112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1000≤Y＜30000</w:t>
            </w:r>
          </w:p>
        </w:tc>
        <w:tc>
          <w:tcPr>
            <w:tcW w:w="1426" w:type="dxa"/>
            <w:tcBorders>
              <w:top w:val="nil"/>
              <w:left w:val="nil"/>
              <w:bottom w:val="single" w:color="auto" w:sz="4" w:space="0"/>
              <w:right w:val="single" w:color="auto" w:sz="4" w:space="0"/>
            </w:tcBorders>
            <w:noWrap w:val="0"/>
            <w:vAlign w:val="center"/>
          </w:tcPr>
          <w:p w14:paraId="22E138B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100≤Y＜1000</w:t>
            </w:r>
          </w:p>
        </w:tc>
        <w:tc>
          <w:tcPr>
            <w:tcW w:w="992" w:type="dxa"/>
            <w:tcBorders>
              <w:top w:val="nil"/>
              <w:left w:val="nil"/>
              <w:bottom w:val="single" w:color="auto" w:sz="4" w:space="0"/>
              <w:right w:val="nil"/>
            </w:tcBorders>
            <w:noWrap w:val="0"/>
            <w:vAlign w:val="center"/>
          </w:tcPr>
          <w:p w14:paraId="3351BBD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2A438474">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228F75DA">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邮政业</w:t>
            </w:r>
          </w:p>
        </w:tc>
        <w:tc>
          <w:tcPr>
            <w:tcW w:w="1369" w:type="dxa"/>
            <w:tcBorders>
              <w:top w:val="nil"/>
              <w:left w:val="nil"/>
              <w:bottom w:val="nil"/>
              <w:right w:val="single" w:color="auto" w:sz="4" w:space="0"/>
            </w:tcBorders>
            <w:noWrap w:val="0"/>
            <w:vAlign w:val="center"/>
          </w:tcPr>
          <w:p w14:paraId="5657B5D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1C6D74D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7B86EA7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X≥1000</w:t>
            </w:r>
          </w:p>
        </w:tc>
        <w:tc>
          <w:tcPr>
            <w:tcW w:w="1701" w:type="dxa"/>
            <w:tcBorders>
              <w:top w:val="nil"/>
              <w:left w:val="nil"/>
              <w:bottom w:val="nil"/>
              <w:right w:val="single" w:color="auto" w:sz="4" w:space="0"/>
            </w:tcBorders>
            <w:noWrap w:val="0"/>
            <w:vAlign w:val="center"/>
          </w:tcPr>
          <w:p w14:paraId="271C1E0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300≤X＜1000</w:t>
            </w:r>
          </w:p>
        </w:tc>
        <w:tc>
          <w:tcPr>
            <w:tcW w:w="1426" w:type="dxa"/>
            <w:tcBorders>
              <w:top w:val="nil"/>
              <w:left w:val="nil"/>
              <w:bottom w:val="nil"/>
              <w:right w:val="single" w:color="auto" w:sz="4" w:space="0"/>
            </w:tcBorders>
            <w:noWrap w:val="0"/>
            <w:vAlign w:val="center"/>
          </w:tcPr>
          <w:p w14:paraId="234E238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20≤X＜300</w:t>
            </w:r>
          </w:p>
        </w:tc>
        <w:tc>
          <w:tcPr>
            <w:tcW w:w="992" w:type="dxa"/>
            <w:tcBorders>
              <w:top w:val="nil"/>
              <w:left w:val="nil"/>
              <w:bottom w:val="nil"/>
              <w:right w:val="nil"/>
            </w:tcBorders>
            <w:noWrap w:val="0"/>
            <w:vAlign w:val="center"/>
          </w:tcPr>
          <w:p w14:paraId="5BAE691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w:t>
            </w:r>
          </w:p>
        </w:tc>
      </w:tr>
      <w:tr w14:paraId="4E897C7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39FF28C8">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28206A8E">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09E353C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3934C2B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Y≥30000</w:t>
            </w:r>
          </w:p>
        </w:tc>
        <w:tc>
          <w:tcPr>
            <w:tcW w:w="1701" w:type="dxa"/>
            <w:tcBorders>
              <w:top w:val="nil"/>
              <w:left w:val="nil"/>
              <w:bottom w:val="single" w:color="auto" w:sz="4" w:space="0"/>
              <w:right w:val="single" w:color="auto" w:sz="4" w:space="0"/>
            </w:tcBorders>
            <w:noWrap w:val="0"/>
            <w:vAlign w:val="center"/>
          </w:tcPr>
          <w:p w14:paraId="7455CAF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2000≤Y＜30000</w:t>
            </w:r>
          </w:p>
        </w:tc>
        <w:tc>
          <w:tcPr>
            <w:tcW w:w="1426" w:type="dxa"/>
            <w:tcBorders>
              <w:top w:val="nil"/>
              <w:left w:val="nil"/>
              <w:bottom w:val="single" w:color="auto" w:sz="4" w:space="0"/>
              <w:right w:val="single" w:color="auto" w:sz="4" w:space="0"/>
            </w:tcBorders>
            <w:noWrap w:val="0"/>
            <w:vAlign w:val="center"/>
          </w:tcPr>
          <w:p w14:paraId="02BCE5A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100≤Y＜2000</w:t>
            </w:r>
          </w:p>
        </w:tc>
        <w:tc>
          <w:tcPr>
            <w:tcW w:w="992" w:type="dxa"/>
            <w:tcBorders>
              <w:top w:val="nil"/>
              <w:left w:val="nil"/>
              <w:bottom w:val="single" w:color="auto" w:sz="4" w:space="0"/>
              <w:right w:val="nil"/>
            </w:tcBorders>
            <w:noWrap w:val="0"/>
            <w:vAlign w:val="center"/>
          </w:tcPr>
          <w:p w14:paraId="7199AC1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438BFB0D">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249F2B6F">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住宿业</w:t>
            </w:r>
          </w:p>
        </w:tc>
        <w:tc>
          <w:tcPr>
            <w:tcW w:w="1369" w:type="dxa"/>
            <w:tcBorders>
              <w:top w:val="nil"/>
              <w:left w:val="nil"/>
              <w:bottom w:val="nil"/>
              <w:right w:val="single" w:color="auto" w:sz="4" w:space="0"/>
            </w:tcBorders>
            <w:noWrap w:val="0"/>
            <w:vAlign w:val="center"/>
          </w:tcPr>
          <w:p w14:paraId="23CE8C9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19763D3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25B06D1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X≥300</w:t>
            </w:r>
          </w:p>
        </w:tc>
        <w:tc>
          <w:tcPr>
            <w:tcW w:w="1701" w:type="dxa"/>
            <w:tcBorders>
              <w:top w:val="nil"/>
              <w:left w:val="nil"/>
              <w:bottom w:val="nil"/>
              <w:right w:val="single" w:color="auto" w:sz="4" w:space="0"/>
            </w:tcBorders>
            <w:noWrap w:val="0"/>
            <w:vAlign w:val="center"/>
          </w:tcPr>
          <w:p w14:paraId="2B92FD28">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100≤X＜300 </w:t>
            </w:r>
          </w:p>
        </w:tc>
        <w:tc>
          <w:tcPr>
            <w:tcW w:w="1426" w:type="dxa"/>
            <w:tcBorders>
              <w:top w:val="nil"/>
              <w:left w:val="nil"/>
              <w:bottom w:val="nil"/>
              <w:right w:val="single" w:color="auto" w:sz="4" w:space="0"/>
            </w:tcBorders>
            <w:noWrap w:val="0"/>
            <w:vAlign w:val="center"/>
          </w:tcPr>
          <w:p w14:paraId="59B09BD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10≤X＜100</w:t>
            </w:r>
          </w:p>
        </w:tc>
        <w:tc>
          <w:tcPr>
            <w:tcW w:w="992" w:type="dxa"/>
            <w:tcBorders>
              <w:top w:val="nil"/>
              <w:left w:val="nil"/>
              <w:bottom w:val="nil"/>
              <w:right w:val="nil"/>
            </w:tcBorders>
            <w:noWrap w:val="0"/>
            <w:vAlign w:val="center"/>
          </w:tcPr>
          <w:p w14:paraId="028B098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r w14:paraId="4A9C5AC1">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7E5F5842">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24D8B20F">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60BC2F1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2430D30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Y≥10000</w:t>
            </w:r>
          </w:p>
        </w:tc>
        <w:tc>
          <w:tcPr>
            <w:tcW w:w="1701" w:type="dxa"/>
            <w:tcBorders>
              <w:top w:val="nil"/>
              <w:left w:val="nil"/>
              <w:bottom w:val="single" w:color="auto" w:sz="4" w:space="0"/>
              <w:right w:val="single" w:color="auto" w:sz="4" w:space="0"/>
            </w:tcBorders>
            <w:noWrap w:val="0"/>
            <w:vAlign w:val="center"/>
          </w:tcPr>
          <w:p w14:paraId="0C30D54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2000≤Y＜10000</w:t>
            </w:r>
          </w:p>
        </w:tc>
        <w:tc>
          <w:tcPr>
            <w:tcW w:w="1426" w:type="dxa"/>
            <w:tcBorders>
              <w:top w:val="nil"/>
              <w:left w:val="nil"/>
              <w:bottom w:val="single" w:color="auto" w:sz="4" w:space="0"/>
              <w:right w:val="single" w:color="auto" w:sz="4" w:space="0"/>
            </w:tcBorders>
            <w:noWrap w:val="0"/>
            <w:vAlign w:val="center"/>
          </w:tcPr>
          <w:p w14:paraId="6401510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100≤Y＜2000</w:t>
            </w:r>
          </w:p>
        </w:tc>
        <w:tc>
          <w:tcPr>
            <w:tcW w:w="992" w:type="dxa"/>
            <w:tcBorders>
              <w:top w:val="nil"/>
              <w:left w:val="nil"/>
              <w:bottom w:val="single" w:color="auto" w:sz="4" w:space="0"/>
              <w:right w:val="nil"/>
            </w:tcBorders>
            <w:noWrap w:val="0"/>
            <w:vAlign w:val="center"/>
          </w:tcPr>
          <w:p w14:paraId="7327190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72CFB0F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4884FE6B">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餐饮业</w:t>
            </w:r>
          </w:p>
        </w:tc>
        <w:tc>
          <w:tcPr>
            <w:tcW w:w="1369" w:type="dxa"/>
            <w:tcBorders>
              <w:top w:val="nil"/>
              <w:left w:val="nil"/>
              <w:bottom w:val="nil"/>
              <w:right w:val="single" w:color="auto" w:sz="4" w:space="0"/>
            </w:tcBorders>
            <w:noWrap w:val="0"/>
            <w:vAlign w:val="center"/>
          </w:tcPr>
          <w:p w14:paraId="474829F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02D40E6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7EA9E5C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X≥300</w:t>
            </w:r>
          </w:p>
        </w:tc>
        <w:tc>
          <w:tcPr>
            <w:tcW w:w="1701" w:type="dxa"/>
            <w:tcBorders>
              <w:top w:val="nil"/>
              <w:left w:val="nil"/>
              <w:bottom w:val="nil"/>
              <w:right w:val="single" w:color="auto" w:sz="4" w:space="0"/>
            </w:tcBorders>
            <w:noWrap w:val="0"/>
            <w:vAlign w:val="center"/>
          </w:tcPr>
          <w:p w14:paraId="24D15125">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100≤X＜300 </w:t>
            </w:r>
          </w:p>
        </w:tc>
        <w:tc>
          <w:tcPr>
            <w:tcW w:w="1426" w:type="dxa"/>
            <w:tcBorders>
              <w:top w:val="nil"/>
              <w:left w:val="nil"/>
              <w:bottom w:val="nil"/>
              <w:right w:val="single" w:color="auto" w:sz="4" w:space="0"/>
            </w:tcBorders>
            <w:noWrap w:val="0"/>
            <w:vAlign w:val="center"/>
          </w:tcPr>
          <w:p w14:paraId="3EC21EC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10≤X＜100</w:t>
            </w:r>
          </w:p>
        </w:tc>
        <w:tc>
          <w:tcPr>
            <w:tcW w:w="992" w:type="dxa"/>
            <w:tcBorders>
              <w:top w:val="nil"/>
              <w:left w:val="nil"/>
              <w:bottom w:val="nil"/>
              <w:right w:val="nil"/>
            </w:tcBorders>
            <w:noWrap w:val="0"/>
            <w:vAlign w:val="center"/>
          </w:tcPr>
          <w:p w14:paraId="47DC000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r w14:paraId="1A5E9473">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13C18DC9">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7DFBE1E6">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490280E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387CB24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Y≥10000</w:t>
            </w:r>
          </w:p>
        </w:tc>
        <w:tc>
          <w:tcPr>
            <w:tcW w:w="1701" w:type="dxa"/>
            <w:tcBorders>
              <w:top w:val="nil"/>
              <w:left w:val="nil"/>
              <w:bottom w:val="single" w:color="auto" w:sz="4" w:space="0"/>
              <w:right w:val="single" w:color="auto" w:sz="4" w:space="0"/>
            </w:tcBorders>
            <w:noWrap w:val="0"/>
            <w:vAlign w:val="center"/>
          </w:tcPr>
          <w:p w14:paraId="11F8E72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2000≤Y＜10000</w:t>
            </w:r>
          </w:p>
        </w:tc>
        <w:tc>
          <w:tcPr>
            <w:tcW w:w="1426" w:type="dxa"/>
            <w:tcBorders>
              <w:top w:val="nil"/>
              <w:left w:val="nil"/>
              <w:bottom w:val="single" w:color="auto" w:sz="4" w:space="0"/>
              <w:right w:val="single" w:color="auto" w:sz="4" w:space="0"/>
            </w:tcBorders>
            <w:noWrap w:val="0"/>
            <w:vAlign w:val="center"/>
          </w:tcPr>
          <w:p w14:paraId="0F05EC2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100≤Y＜2000</w:t>
            </w:r>
          </w:p>
        </w:tc>
        <w:tc>
          <w:tcPr>
            <w:tcW w:w="992" w:type="dxa"/>
            <w:tcBorders>
              <w:top w:val="nil"/>
              <w:left w:val="nil"/>
              <w:bottom w:val="single" w:color="auto" w:sz="4" w:space="0"/>
              <w:right w:val="nil"/>
            </w:tcBorders>
            <w:noWrap w:val="0"/>
            <w:vAlign w:val="center"/>
          </w:tcPr>
          <w:p w14:paraId="7050349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2F609A47">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noWrap w:val="0"/>
            <w:vAlign w:val="center"/>
          </w:tcPr>
          <w:p w14:paraId="417AE910">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信息传输业 *</w:t>
            </w:r>
          </w:p>
        </w:tc>
        <w:tc>
          <w:tcPr>
            <w:tcW w:w="1369" w:type="dxa"/>
            <w:tcBorders>
              <w:top w:val="nil"/>
              <w:left w:val="nil"/>
              <w:bottom w:val="nil"/>
              <w:right w:val="single" w:color="auto" w:sz="4" w:space="0"/>
            </w:tcBorders>
            <w:noWrap w:val="0"/>
            <w:vAlign w:val="center"/>
          </w:tcPr>
          <w:p w14:paraId="53EEE57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28987A7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5826E6B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X≥2000</w:t>
            </w:r>
          </w:p>
        </w:tc>
        <w:tc>
          <w:tcPr>
            <w:tcW w:w="1701" w:type="dxa"/>
            <w:tcBorders>
              <w:top w:val="nil"/>
              <w:left w:val="nil"/>
              <w:bottom w:val="nil"/>
              <w:right w:val="single" w:color="auto" w:sz="4" w:space="0"/>
            </w:tcBorders>
            <w:noWrap w:val="0"/>
            <w:vAlign w:val="center"/>
          </w:tcPr>
          <w:p w14:paraId="536E9AB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100≤X＜2000</w:t>
            </w:r>
          </w:p>
        </w:tc>
        <w:tc>
          <w:tcPr>
            <w:tcW w:w="1426" w:type="dxa"/>
            <w:tcBorders>
              <w:top w:val="nil"/>
              <w:left w:val="nil"/>
              <w:bottom w:val="nil"/>
              <w:right w:val="single" w:color="auto" w:sz="4" w:space="0"/>
            </w:tcBorders>
            <w:noWrap w:val="0"/>
            <w:vAlign w:val="center"/>
          </w:tcPr>
          <w:p w14:paraId="6B90587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10≤X＜100</w:t>
            </w:r>
          </w:p>
        </w:tc>
        <w:tc>
          <w:tcPr>
            <w:tcW w:w="992" w:type="dxa"/>
            <w:tcBorders>
              <w:top w:val="nil"/>
              <w:left w:val="nil"/>
              <w:bottom w:val="nil"/>
              <w:right w:val="nil"/>
            </w:tcBorders>
            <w:noWrap w:val="0"/>
            <w:vAlign w:val="center"/>
          </w:tcPr>
          <w:p w14:paraId="10C2AD7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r w14:paraId="3F1FB7A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noWrap w:val="0"/>
            <w:vAlign w:val="center"/>
          </w:tcPr>
          <w:p w14:paraId="10099C0E">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2B1E3C6F">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7C9EA81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18BBFA6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Y≥100000</w:t>
            </w:r>
          </w:p>
        </w:tc>
        <w:tc>
          <w:tcPr>
            <w:tcW w:w="1701" w:type="dxa"/>
            <w:tcBorders>
              <w:top w:val="nil"/>
              <w:left w:val="nil"/>
              <w:bottom w:val="single" w:color="auto" w:sz="4" w:space="0"/>
              <w:right w:val="single" w:color="auto" w:sz="4" w:space="0"/>
            </w:tcBorders>
            <w:noWrap w:val="0"/>
            <w:vAlign w:val="center"/>
          </w:tcPr>
          <w:p w14:paraId="566A101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noWrap w:val="0"/>
            <w:vAlign w:val="center"/>
          </w:tcPr>
          <w:p w14:paraId="1833962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100≤Y＜1000</w:t>
            </w:r>
          </w:p>
        </w:tc>
        <w:tc>
          <w:tcPr>
            <w:tcW w:w="992" w:type="dxa"/>
            <w:tcBorders>
              <w:top w:val="nil"/>
              <w:left w:val="nil"/>
              <w:bottom w:val="single" w:color="auto" w:sz="4" w:space="0"/>
              <w:right w:val="nil"/>
            </w:tcBorders>
            <w:noWrap w:val="0"/>
            <w:vAlign w:val="center"/>
          </w:tcPr>
          <w:p w14:paraId="6EF0897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63EA7F3E">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noWrap w:val="0"/>
            <w:vAlign w:val="center"/>
          </w:tcPr>
          <w:p w14:paraId="7347DD4E">
            <w:pPr>
              <w:widowControl/>
              <w:spacing w:line="240" w:lineRule="exact"/>
              <w:jc w:val="left"/>
              <w:rPr>
                <w:rFonts w:hint="eastAsia" w:ascii="宋体" w:hAnsi="宋体" w:eastAsia="宋体" w:cs="宋体"/>
                <w:color w:val="000000"/>
                <w:spacing w:val="-12"/>
                <w:kern w:val="0"/>
                <w:sz w:val="18"/>
                <w:szCs w:val="18"/>
              </w:rPr>
            </w:pPr>
            <w:r>
              <w:rPr>
                <w:rFonts w:hint="eastAsia" w:ascii="宋体" w:hAnsi="宋体" w:eastAsia="宋体" w:cs="宋体"/>
                <w:color w:val="000000"/>
                <w:spacing w:val="-12"/>
                <w:kern w:val="0"/>
                <w:sz w:val="18"/>
                <w:szCs w:val="18"/>
              </w:rPr>
              <w:t>软件和信息技术服</w:t>
            </w:r>
            <w:r>
              <w:rPr>
                <w:rFonts w:hint="eastAsia" w:ascii="宋体" w:hAnsi="宋体" w:eastAsia="宋体" w:cs="宋体"/>
                <w:color w:val="000000"/>
                <w:kern w:val="0"/>
                <w:sz w:val="18"/>
                <w:szCs w:val="18"/>
              </w:rPr>
              <w:t>务业</w:t>
            </w:r>
          </w:p>
        </w:tc>
        <w:tc>
          <w:tcPr>
            <w:tcW w:w="1369" w:type="dxa"/>
            <w:tcBorders>
              <w:top w:val="nil"/>
              <w:left w:val="nil"/>
              <w:bottom w:val="nil"/>
              <w:right w:val="single" w:color="auto" w:sz="4" w:space="0"/>
            </w:tcBorders>
            <w:noWrap w:val="0"/>
            <w:vAlign w:val="center"/>
          </w:tcPr>
          <w:p w14:paraId="00EF49D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32C91DA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5BED2E1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X≥300</w:t>
            </w:r>
          </w:p>
        </w:tc>
        <w:tc>
          <w:tcPr>
            <w:tcW w:w="1701" w:type="dxa"/>
            <w:tcBorders>
              <w:top w:val="nil"/>
              <w:left w:val="nil"/>
              <w:bottom w:val="nil"/>
              <w:right w:val="single" w:color="auto" w:sz="4" w:space="0"/>
            </w:tcBorders>
            <w:noWrap w:val="0"/>
            <w:vAlign w:val="center"/>
          </w:tcPr>
          <w:p w14:paraId="58D17290">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100≤X＜300 </w:t>
            </w:r>
          </w:p>
        </w:tc>
        <w:tc>
          <w:tcPr>
            <w:tcW w:w="1426" w:type="dxa"/>
            <w:tcBorders>
              <w:top w:val="nil"/>
              <w:left w:val="nil"/>
              <w:bottom w:val="nil"/>
              <w:right w:val="single" w:color="auto" w:sz="4" w:space="0"/>
            </w:tcBorders>
            <w:noWrap w:val="0"/>
            <w:vAlign w:val="center"/>
          </w:tcPr>
          <w:p w14:paraId="59FF047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10≤X＜100</w:t>
            </w:r>
          </w:p>
        </w:tc>
        <w:tc>
          <w:tcPr>
            <w:tcW w:w="992" w:type="dxa"/>
            <w:tcBorders>
              <w:top w:val="nil"/>
              <w:left w:val="nil"/>
              <w:bottom w:val="nil"/>
              <w:right w:val="nil"/>
            </w:tcBorders>
            <w:noWrap w:val="0"/>
            <w:vAlign w:val="center"/>
          </w:tcPr>
          <w:p w14:paraId="0E0AFF9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r w14:paraId="227F5F3E">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noWrap w:val="0"/>
            <w:vAlign w:val="center"/>
          </w:tcPr>
          <w:p w14:paraId="3BB77C77">
            <w:pPr>
              <w:widowControl/>
              <w:jc w:val="left"/>
              <w:rPr>
                <w:rFonts w:hint="eastAsia" w:ascii="宋体" w:hAnsi="宋体" w:eastAsia="宋体" w:cs="宋体"/>
                <w:color w:val="000000"/>
                <w:spacing w:val="-12"/>
                <w:kern w:val="0"/>
                <w:sz w:val="18"/>
                <w:szCs w:val="18"/>
              </w:rPr>
            </w:pPr>
          </w:p>
        </w:tc>
        <w:tc>
          <w:tcPr>
            <w:tcW w:w="1369" w:type="dxa"/>
            <w:tcBorders>
              <w:top w:val="nil"/>
              <w:left w:val="nil"/>
              <w:bottom w:val="single" w:color="auto" w:sz="4" w:space="0"/>
              <w:right w:val="single" w:color="auto" w:sz="4" w:space="0"/>
            </w:tcBorders>
            <w:noWrap w:val="0"/>
            <w:vAlign w:val="center"/>
          </w:tcPr>
          <w:p w14:paraId="39AA171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7FC5EA8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7D6D49D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Y≥10000</w:t>
            </w:r>
          </w:p>
        </w:tc>
        <w:tc>
          <w:tcPr>
            <w:tcW w:w="1701" w:type="dxa"/>
            <w:tcBorders>
              <w:top w:val="nil"/>
              <w:left w:val="nil"/>
              <w:bottom w:val="single" w:color="auto" w:sz="4" w:space="0"/>
              <w:right w:val="single" w:color="auto" w:sz="4" w:space="0"/>
            </w:tcBorders>
            <w:noWrap w:val="0"/>
            <w:vAlign w:val="center"/>
          </w:tcPr>
          <w:p w14:paraId="559D043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1000≤Y＜10000</w:t>
            </w:r>
          </w:p>
        </w:tc>
        <w:tc>
          <w:tcPr>
            <w:tcW w:w="1426" w:type="dxa"/>
            <w:tcBorders>
              <w:top w:val="nil"/>
              <w:left w:val="nil"/>
              <w:bottom w:val="single" w:color="auto" w:sz="4" w:space="0"/>
              <w:right w:val="single" w:color="auto" w:sz="4" w:space="0"/>
            </w:tcBorders>
            <w:noWrap w:val="0"/>
            <w:vAlign w:val="center"/>
          </w:tcPr>
          <w:p w14:paraId="6949902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50≤Y＜1000</w:t>
            </w:r>
          </w:p>
        </w:tc>
        <w:tc>
          <w:tcPr>
            <w:tcW w:w="992" w:type="dxa"/>
            <w:tcBorders>
              <w:top w:val="nil"/>
              <w:left w:val="nil"/>
              <w:bottom w:val="single" w:color="auto" w:sz="4" w:space="0"/>
              <w:right w:val="nil"/>
            </w:tcBorders>
            <w:noWrap w:val="0"/>
            <w:vAlign w:val="center"/>
          </w:tcPr>
          <w:p w14:paraId="60D6B6A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Y＜50</w:t>
            </w:r>
          </w:p>
        </w:tc>
      </w:tr>
      <w:tr w14:paraId="32295058">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noWrap w:val="0"/>
            <w:vAlign w:val="center"/>
          </w:tcPr>
          <w:p w14:paraId="520565BB">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房地产开发经营</w:t>
            </w:r>
          </w:p>
        </w:tc>
        <w:tc>
          <w:tcPr>
            <w:tcW w:w="1369" w:type="dxa"/>
            <w:tcBorders>
              <w:top w:val="nil"/>
              <w:left w:val="nil"/>
              <w:bottom w:val="nil"/>
              <w:right w:val="single" w:color="auto" w:sz="4" w:space="0"/>
            </w:tcBorders>
            <w:noWrap w:val="0"/>
            <w:vAlign w:val="center"/>
          </w:tcPr>
          <w:p w14:paraId="5C5A7D8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nil"/>
              <w:right w:val="single" w:color="auto" w:sz="4" w:space="0"/>
            </w:tcBorders>
            <w:noWrap w:val="0"/>
            <w:vAlign w:val="center"/>
          </w:tcPr>
          <w:p w14:paraId="759C041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nil"/>
              <w:right w:val="single" w:color="auto" w:sz="4" w:space="0"/>
            </w:tcBorders>
            <w:noWrap w:val="0"/>
            <w:vAlign w:val="center"/>
          </w:tcPr>
          <w:p w14:paraId="24C4CE8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Y≥200000</w:t>
            </w:r>
          </w:p>
        </w:tc>
        <w:tc>
          <w:tcPr>
            <w:tcW w:w="1701" w:type="dxa"/>
            <w:tcBorders>
              <w:top w:val="nil"/>
              <w:left w:val="nil"/>
              <w:bottom w:val="nil"/>
              <w:right w:val="single" w:color="auto" w:sz="4" w:space="0"/>
            </w:tcBorders>
            <w:noWrap w:val="0"/>
            <w:vAlign w:val="center"/>
          </w:tcPr>
          <w:p w14:paraId="00995C1B">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1000≤Y＜200000</w:t>
            </w:r>
          </w:p>
        </w:tc>
        <w:tc>
          <w:tcPr>
            <w:tcW w:w="1426" w:type="dxa"/>
            <w:tcBorders>
              <w:top w:val="nil"/>
              <w:left w:val="nil"/>
              <w:bottom w:val="nil"/>
              <w:right w:val="single" w:color="auto" w:sz="4" w:space="0"/>
            </w:tcBorders>
            <w:noWrap w:val="0"/>
            <w:vAlign w:val="center"/>
          </w:tcPr>
          <w:p w14:paraId="58F9506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100≤Y＜1000</w:t>
            </w:r>
          </w:p>
        </w:tc>
        <w:tc>
          <w:tcPr>
            <w:tcW w:w="992" w:type="dxa"/>
            <w:tcBorders>
              <w:top w:val="nil"/>
              <w:left w:val="nil"/>
              <w:bottom w:val="nil"/>
              <w:right w:val="nil"/>
            </w:tcBorders>
            <w:noWrap w:val="0"/>
            <w:vAlign w:val="center"/>
          </w:tcPr>
          <w:p w14:paraId="5B3F6D3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Y＜100</w:t>
            </w:r>
          </w:p>
        </w:tc>
      </w:tr>
      <w:tr w14:paraId="3924C487">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noWrap w:val="0"/>
            <w:vAlign w:val="center"/>
          </w:tcPr>
          <w:p w14:paraId="132431B3">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73B65DE9">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资产总额(Z)</w:t>
            </w:r>
          </w:p>
        </w:tc>
        <w:tc>
          <w:tcPr>
            <w:tcW w:w="709" w:type="dxa"/>
            <w:tcBorders>
              <w:top w:val="nil"/>
              <w:left w:val="nil"/>
              <w:bottom w:val="single" w:color="auto" w:sz="4" w:space="0"/>
              <w:right w:val="single" w:color="auto" w:sz="4" w:space="0"/>
            </w:tcBorders>
            <w:noWrap w:val="0"/>
            <w:vAlign w:val="center"/>
          </w:tcPr>
          <w:p w14:paraId="443D4E7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2EC58A1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Z≥10000</w:t>
            </w:r>
          </w:p>
        </w:tc>
        <w:tc>
          <w:tcPr>
            <w:tcW w:w="1701" w:type="dxa"/>
            <w:tcBorders>
              <w:top w:val="nil"/>
              <w:left w:val="nil"/>
              <w:bottom w:val="single" w:color="auto" w:sz="4" w:space="0"/>
              <w:right w:val="single" w:color="auto" w:sz="4" w:space="0"/>
            </w:tcBorders>
            <w:noWrap w:val="0"/>
            <w:vAlign w:val="center"/>
          </w:tcPr>
          <w:p w14:paraId="6B587DE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5000≤Z＜10000</w:t>
            </w:r>
          </w:p>
        </w:tc>
        <w:tc>
          <w:tcPr>
            <w:tcW w:w="1426" w:type="dxa"/>
            <w:tcBorders>
              <w:top w:val="nil"/>
              <w:left w:val="nil"/>
              <w:bottom w:val="single" w:color="auto" w:sz="4" w:space="0"/>
              <w:right w:val="single" w:color="auto" w:sz="4" w:space="0"/>
            </w:tcBorders>
            <w:noWrap w:val="0"/>
            <w:vAlign w:val="center"/>
          </w:tcPr>
          <w:p w14:paraId="3F4E41A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2000≤Z＜5000   </w:t>
            </w:r>
          </w:p>
        </w:tc>
        <w:tc>
          <w:tcPr>
            <w:tcW w:w="992" w:type="dxa"/>
            <w:tcBorders>
              <w:top w:val="nil"/>
              <w:left w:val="nil"/>
              <w:bottom w:val="single" w:color="auto" w:sz="4" w:space="0"/>
              <w:right w:val="nil"/>
            </w:tcBorders>
            <w:noWrap w:val="0"/>
            <w:vAlign w:val="center"/>
          </w:tcPr>
          <w:p w14:paraId="04535C1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Z＜2000</w:t>
            </w:r>
          </w:p>
        </w:tc>
      </w:tr>
      <w:tr w14:paraId="57E2C7FA">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noWrap w:val="0"/>
            <w:vAlign w:val="center"/>
          </w:tcPr>
          <w:p w14:paraId="562C83F1">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物业管理</w:t>
            </w:r>
          </w:p>
        </w:tc>
        <w:tc>
          <w:tcPr>
            <w:tcW w:w="1369" w:type="dxa"/>
            <w:tcBorders>
              <w:top w:val="nil"/>
              <w:left w:val="nil"/>
              <w:bottom w:val="nil"/>
              <w:right w:val="single" w:color="auto" w:sz="4" w:space="0"/>
            </w:tcBorders>
            <w:noWrap w:val="0"/>
            <w:vAlign w:val="center"/>
          </w:tcPr>
          <w:p w14:paraId="7352C0B3">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0E618B8E">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2B118A5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X≥1000</w:t>
            </w:r>
          </w:p>
        </w:tc>
        <w:tc>
          <w:tcPr>
            <w:tcW w:w="1701" w:type="dxa"/>
            <w:tcBorders>
              <w:top w:val="nil"/>
              <w:left w:val="nil"/>
              <w:bottom w:val="nil"/>
              <w:right w:val="single" w:color="auto" w:sz="4" w:space="0"/>
            </w:tcBorders>
            <w:noWrap w:val="0"/>
            <w:vAlign w:val="center"/>
          </w:tcPr>
          <w:p w14:paraId="371C386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300≤X＜1000</w:t>
            </w:r>
          </w:p>
        </w:tc>
        <w:tc>
          <w:tcPr>
            <w:tcW w:w="1426" w:type="dxa"/>
            <w:tcBorders>
              <w:top w:val="nil"/>
              <w:left w:val="nil"/>
              <w:bottom w:val="nil"/>
              <w:right w:val="single" w:color="auto" w:sz="4" w:space="0"/>
            </w:tcBorders>
            <w:noWrap w:val="0"/>
            <w:vAlign w:val="center"/>
          </w:tcPr>
          <w:p w14:paraId="0225DF4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100≤X＜300 </w:t>
            </w:r>
          </w:p>
        </w:tc>
        <w:tc>
          <w:tcPr>
            <w:tcW w:w="992" w:type="dxa"/>
            <w:tcBorders>
              <w:top w:val="nil"/>
              <w:left w:val="nil"/>
              <w:bottom w:val="nil"/>
              <w:right w:val="nil"/>
            </w:tcBorders>
            <w:noWrap w:val="0"/>
            <w:vAlign w:val="center"/>
          </w:tcPr>
          <w:p w14:paraId="009316F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X＜100</w:t>
            </w:r>
          </w:p>
        </w:tc>
      </w:tr>
      <w:tr w14:paraId="0F8E9EBD">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noWrap w:val="0"/>
            <w:vAlign w:val="center"/>
          </w:tcPr>
          <w:p w14:paraId="1AED8590">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09C5277C">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营业收入(Y)</w:t>
            </w:r>
          </w:p>
        </w:tc>
        <w:tc>
          <w:tcPr>
            <w:tcW w:w="709" w:type="dxa"/>
            <w:tcBorders>
              <w:top w:val="nil"/>
              <w:left w:val="nil"/>
              <w:bottom w:val="single" w:color="auto" w:sz="4" w:space="0"/>
              <w:right w:val="single" w:color="auto" w:sz="4" w:space="0"/>
            </w:tcBorders>
            <w:noWrap w:val="0"/>
            <w:vAlign w:val="center"/>
          </w:tcPr>
          <w:p w14:paraId="222E7515">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63079EE0">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Y≥5000</w:t>
            </w:r>
          </w:p>
        </w:tc>
        <w:tc>
          <w:tcPr>
            <w:tcW w:w="1701" w:type="dxa"/>
            <w:tcBorders>
              <w:top w:val="nil"/>
              <w:left w:val="nil"/>
              <w:bottom w:val="single" w:color="auto" w:sz="4" w:space="0"/>
              <w:right w:val="single" w:color="auto" w:sz="4" w:space="0"/>
            </w:tcBorders>
            <w:noWrap w:val="0"/>
            <w:vAlign w:val="center"/>
          </w:tcPr>
          <w:p w14:paraId="5310B040">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noWrap w:val="0"/>
            <w:vAlign w:val="center"/>
          </w:tcPr>
          <w:p w14:paraId="06EDE3F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500≤Y＜1000</w:t>
            </w:r>
          </w:p>
        </w:tc>
        <w:tc>
          <w:tcPr>
            <w:tcW w:w="992" w:type="dxa"/>
            <w:tcBorders>
              <w:top w:val="nil"/>
              <w:left w:val="nil"/>
              <w:bottom w:val="single" w:color="auto" w:sz="4" w:space="0"/>
              <w:right w:val="nil"/>
            </w:tcBorders>
            <w:noWrap w:val="0"/>
            <w:vAlign w:val="center"/>
          </w:tcPr>
          <w:p w14:paraId="1658E89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Y＜500</w:t>
            </w:r>
          </w:p>
        </w:tc>
      </w:tr>
      <w:tr w14:paraId="55C952AC">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noWrap w:val="0"/>
            <w:vAlign w:val="center"/>
          </w:tcPr>
          <w:p w14:paraId="693A7FC9">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租赁和商务服务业</w:t>
            </w:r>
          </w:p>
        </w:tc>
        <w:tc>
          <w:tcPr>
            <w:tcW w:w="1369" w:type="dxa"/>
            <w:tcBorders>
              <w:top w:val="nil"/>
              <w:left w:val="nil"/>
              <w:bottom w:val="nil"/>
              <w:right w:val="single" w:color="auto" w:sz="4" w:space="0"/>
            </w:tcBorders>
            <w:noWrap w:val="0"/>
            <w:vAlign w:val="center"/>
          </w:tcPr>
          <w:p w14:paraId="58D2B402">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nil"/>
              <w:right w:val="single" w:color="auto" w:sz="4" w:space="0"/>
            </w:tcBorders>
            <w:noWrap w:val="0"/>
            <w:vAlign w:val="center"/>
          </w:tcPr>
          <w:p w14:paraId="3BCCB591">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nil"/>
              <w:right w:val="single" w:color="auto" w:sz="4" w:space="0"/>
            </w:tcBorders>
            <w:noWrap w:val="0"/>
            <w:vAlign w:val="center"/>
          </w:tcPr>
          <w:p w14:paraId="2553FF0C">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X≥300</w:t>
            </w:r>
          </w:p>
        </w:tc>
        <w:tc>
          <w:tcPr>
            <w:tcW w:w="1701" w:type="dxa"/>
            <w:tcBorders>
              <w:top w:val="nil"/>
              <w:left w:val="nil"/>
              <w:bottom w:val="nil"/>
              <w:right w:val="single" w:color="auto" w:sz="4" w:space="0"/>
            </w:tcBorders>
            <w:noWrap w:val="0"/>
            <w:vAlign w:val="center"/>
          </w:tcPr>
          <w:p w14:paraId="551E8950">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100≤X＜300 </w:t>
            </w:r>
          </w:p>
        </w:tc>
        <w:tc>
          <w:tcPr>
            <w:tcW w:w="1426" w:type="dxa"/>
            <w:tcBorders>
              <w:top w:val="nil"/>
              <w:left w:val="nil"/>
              <w:bottom w:val="nil"/>
              <w:right w:val="single" w:color="auto" w:sz="4" w:space="0"/>
            </w:tcBorders>
            <w:noWrap w:val="0"/>
            <w:vAlign w:val="center"/>
          </w:tcPr>
          <w:p w14:paraId="40799896">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10≤X＜100</w:t>
            </w:r>
          </w:p>
        </w:tc>
        <w:tc>
          <w:tcPr>
            <w:tcW w:w="992" w:type="dxa"/>
            <w:tcBorders>
              <w:top w:val="nil"/>
              <w:left w:val="nil"/>
              <w:bottom w:val="nil"/>
              <w:right w:val="nil"/>
            </w:tcBorders>
            <w:noWrap w:val="0"/>
            <w:vAlign w:val="center"/>
          </w:tcPr>
          <w:p w14:paraId="34A43964">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r w14:paraId="729B8B86">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noWrap w:val="0"/>
            <w:vAlign w:val="center"/>
          </w:tcPr>
          <w:p w14:paraId="5DAE40B1">
            <w:pPr>
              <w:widowControl/>
              <w:jc w:val="left"/>
              <w:rPr>
                <w:rFonts w:hint="eastAsia" w:ascii="宋体" w:hAnsi="宋体" w:eastAsia="宋体" w:cs="宋体"/>
                <w:color w:val="000000"/>
                <w:kern w:val="0"/>
                <w:sz w:val="18"/>
                <w:szCs w:val="18"/>
              </w:rPr>
            </w:pPr>
          </w:p>
        </w:tc>
        <w:tc>
          <w:tcPr>
            <w:tcW w:w="1369" w:type="dxa"/>
            <w:tcBorders>
              <w:top w:val="nil"/>
              <w:left w:val="nil"/>
              <w:bottom w:val="single" w:color="auto" w:sz="4" w:space="0"/>
              <w:right w:val="single" w:color="auto" w:sz="4" w:space="0"/>
            </w:tcBorders>
            <w:noWrap w:val="0"/>
            <w:vAlign w:val="center"/>
          </w:tcPr>
          <w:p w14:paraId="63DC5C8E">
            <w:pPr>
              <w:widowControl/>
              <w:spacing w:line="240" w:lineRule="exact"/>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资产总额(Z)</w:t>
            </w:r>
          </w:p>
        </w:tc>
        <w:tc>
          <w:tcPr>
            <w:tcW w:w="709" w:type="dxa"/>
            <w:tcBorders>
              <w:top w:val="nil"/>
              <w:left w:val="nil"/>
              <w:bottom w:val="single" w:color="auto" w:sz="4" w:space="0"/>
              <w:right w:val="single" w:color="auto" w:sz="4" w:space="0"/>
            </w:tcBorders>
            <w:noWrap w:val="0"/>
            <w:vAlign w:val="center"/>
          </w:tcPr>
          <w:p w14:paraId="75ADE71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1125" w:type="dxa"/>
            <w:tcBorders>
              <w:top w:val="nil"/>
              <w:left w:val="nil"/>
              <w:bottom w:val="single" w:color="auto" w:sz="4" w:space="0"/>
              <w:right w:val="single" w:color="auto" w:sz="4" w:space="0"/>
            </w:tcBorders>
            <w:noWrap w:val="0"/>
            <w:vAlign w:val="center"/>
          </w:tcPr>
          <w:p w14:paraId="38032C2F">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Z≥120000</w:t>
            </w:r>
          </w:p>
        </w:tc>
        <w:tc>
          <w:tcPr>
            <w:tcW w:w="1701" w:type="dxa"/>
            <w:tcBorders>
              <w:top w:val="nil"/>
              <w:left w:val="nil"/>
              <w:bottom w:val="single" w:color="auto" w:sz="4" w:space="0"/>
              <w:right w:val="single" w:color="auto" w:sz="4" w:space="0"/>
            </w:tcBorders>
            <w:noWrap w:val="0"/>
            <w:vAlign w:val="center"/>
          </w:tcPr>
          <w:p w14:paraId="2068BBC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noWrap w:val="0"/>
            <w:vAlign w:val="center"/>
          </w:tcPr>
          <w:p w14:paraId="6639816A">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100≤Z＜8000</w:t>
            </w:r>
          </w:p>
        </w:tc>
        <w:tc>
          <w:tcPr>
            <w:tcW w:w="992" w:type="dxa"/>
            <w:tcBorders>
              <w:top w:val="nil"/>
              <w:left w:val="nil"/>
              <w:bottom w:val="single" w:color="auto" w:sz="4" w:space="0"/>
              <w:right w:val="nil"/>
            </w:tcBorders>
            <w:noWrap w:val="0"/>
            <w:vAlign w:val="center"/>
          </w:tcPr>
          <w:p w14:paraId="0C6D7B6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Z＜100</w:t>
            </w:r>
          </w:p>
        </w:tc>
      </w:tr>
      <w:tr w14:paraId="51E43FD2">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noWrap w:val="0"/>
            <w:vAlign w:val="center"/>
          </w:tcPr>
          <w:p w14:paraId="042B8BFA">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其他未列明行业 *</w:t>
            </w:r>
          </w:p>
        </w:tc>
        <w:tc>
          <w:tcPr>
            <w:tcW w:w="1369" w:type="dxa"/>
            <w:tcBorders>
              <w:top w:val="nil"/>
              <w:left w:val="nil"/>
              <w:bottom w:val="single" w:color="auto" w:sz="4" w:space="0"/>
              <w:right w:val="single" w:color="auto" w:sz="4" w:space="0"/>
            </w:tcBorders>
            <w:noWrap w:val="0"/>
            <w:vAlign w:val="center"/>
          </w:tcPr>
          <w:p w14:paraId="1B9ACD79">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从业人员(X)</w:t>
            </w:r>
          </w:p>
        </w:tc>
        <w:tc>
          <w:tcPr>
            <w:tcW w:w="709" w:type="dxa"/>
            <w:tcBorders>
              <w:top w:val="nil"/>
              <w:left w:val="nil"/>
              <w:bottom w:val="single" w:color="auto" w:sz="4" w:space="0"/>
              <w:right w:val="single" w:color="auto" w:sz="4" w:space="0"/>
            </w:tcBorders>
            <w:noWrap w:val="0"/>
            <w:vAlign w:val="center"/>
          </w:tcPr>
          <w:p w14:paraId="02D8080D">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1125" w:type="dxa"/>
            <w:tcBorders>
              <w:top w:val="nil"/>
              <w:left w:val="nil"/>
              <w:bottom w:val="single" w:color="auto" w:sz="4" w:space="0"/>
              <w:right w:val="single" w:color="auto" w:sz="4" w:space="0"/>
            </w:tcBorders>
            <w:noWrap w:val="0"/>
            <w:vAlign w:val="center"/>
          </w:tcPr>
          <w:p w14:paraId="0C312A57">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X≥300</w:t>
            </w:r>
          </w:p>
        </w:tc>
        <w:tc>
          <w:tcPr>
            <w:tcW w:w="1701" w:type="dxa"/>
            <w:tcBorders>
              <w:top w:val="nil"/>
              <w:left w:val="nil"/>
              <w:bottom w:val="single" w:color="auto" w:sz="4" w:space="0"/>
              <w:right w:val="single" w:color="auto" w:sz="4" w:space="0"/>
            </w:tcBorders>
            <w:noWrap w:val="0"/>
            <w:vAlign w:val="center"/>
          </w:tcPr>
          <w:p w14:paraId="4BCDAD5E">
            <w:pPr>
              <w:widowControl/>
              <w:ind w:left="1" w:leftChars="-51" w:hanging="108" w:hangingChars="6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noWrap w:val="0"/>
            <w:vAlign w:val="center"/>
          </w:tcPr>
          <w:p w14:paraId="2F372AB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 xml:space="preserve"> 10≤X＜100</w:t>
            </w:r>
          </w:p>
        </w:tc>
        <w:tc>
          <w:tcPr>
            <w:tcW w:w="992" w:type="dxa"/>
            <w:tcBorders>
              <w:top w:val="nil"/>
              <w:left w:val="nil"/>
              <w:bottom w:val="single" w:color="auto" w:sz="4" w:space="0"/>
              <w:right w:val="nil"/>
            </w:tcBorders>
            <w:noWrap w:val="0"/>
            <w:vAlign w:val="center"/>
          </w:tcPr>
          <w:p w14:paraId="052147D8">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X＜10</w:t>
            </w:r>
          </w:p>
        </w:tc>
      </w:tr>
    </w:tbl>
    <w:p w14:paraId="07F9063B">
      <w:pPr>
        <w:spacing w:line="540" w:lineRule="exact"/>
        <w:rPr>
          <w:rFonts w:hint="eastAsia" w:ascii="宋体" w:hAnsi="宋体" w:eastAsia="宋体" w:cs="宋体"/>
          <w:color w:val="000000"/>
          <w:spacing w:val="8"/>
          <w:kern w:val="0"/>
          <w:sz w:val="24"/>
          <w:szCs w:val="24"/>
        </w:rPr>
      </w:pPr>
    </w:p>
    <w:p w14:paraId="68C9A1AF">
      <w:pPr>
        <w:spacing w:line="540" w:lineRule="exact"/>
        <w:rPr>
          <w:rFonts w:hint="eastAsia" w:ascii="宋体" w:hAnsi="宋体" w:eastAsia="宋体" w:cs="宋体"/>
          <w:color w:val="000000"/>
          <w:spacing w:val="8"/>
          <w:kern w:val="0"/>
          <w:sz w:val="24"/>
          <w:szCs w:val="24"/>
        </w:rPr>
      </w:pPr>
    </w:p>
    <w:p w14:paraId="69A82139">
      <w:pPr>
        <w:spacing w:line="540" w:lineRule="exact"/>
        <w:rPr>
          <w:rFonts w:hint="eastAsia" w:ascii="宋体" w:hAnsi="宋体" w:eastAsia="宋体" w:cs="宋体"/>
          <w:color w:val="000000"/>
          <w:spacing w:val="8"/>
          <w:kern w:val="0"/>
          <w:sz w:val="24"/>
          <w:szCs w:val="24"/>
        </w:rPr>
      </w:pPr>
      <w:r>
        <w:rPr>
          <w:rFonts w:hint="eastAsia" w:ascii="宋体" w:hAnsi="宋体" w:eastAsia="宋体" w:cs="宋体"/>
          <w:color w:val="000000"/>
          <w:spacing w:val="8"/>
          <w:kern w:val="0"/>
          <w:sz w:val="24"/>
          <w:szCs w:val="24"/>
        </w:rPr>
        <w:t>说明：</w:t>
      </w:r>
    </w:p>
    <w:p w14:paraId="0F7B2980">
      <w:pPr>
        <w:spacing w:line="540" w:lineRule="exact"/>
        <w:rPr>
          <w:rFonts w:hint="eastAsia" w:ascii="宋体" w:hAnsi="宋体" w:eastAsia="宋体" w:cs="宋体"/>
          <w:color w:val="000000"/>
          <w:spacing w:val="8"/>
          <w:kern w:val="0"/>
          <w:sz w:val="24"/>
          <w:szCs w:val="24"/>
        </w:rPr>
      </w:pPr>
      <w:r>
        <w:rPr>
          <w:rFonts w:hint="eastAsia" w:ascii="宋体" w:hAnsi="宋体" w:eastAsia="宋体" w:cs="宋体"/>
          <w:color w:val="000000"/>
          <w:spacing w:val="8"/>
          <w:kern w:val="0"/>
          <w:sz w:val="24"/>
          <w:szCs w:val="24"/>
        </w:rPr>
        <w:t>　　1.大型、中型和小型企业须同时满足所列指标的下限，否则下划一档；微型企业只</w:t>
      </w:r>
      <w:r>
        <w:rPr>
          <w:rFonts w:hint="eastAsia" w:ascii="宋体" w:hAnsi="宋体" w:cs="宋体"/>
          <w:color w:val="000000"/>
          <w:spacing w:val="8"/>
          <w:kern w:val="0"/>
          <w:sz w:val="24"/>
          <w:szCs w:val="24"/>
          <w:lang w:eastAsia="zh-CN"/>
        </w:rPr>
        <w:t>需</w:t>
      </w:r>
      <w:r>
        <w:rPr>
          <w:rFonts w:hint="eastAsia" w:ascii="宋体" w:hAnsi="宋体" w:eastAsia="宋体" w:cs="宋体"/>
          <w:color w:val="000000"/>
          <w:spacing w:val="8"/>
          <w:kern w:val="0"/>
          <w:sz w:val="24"/>
          <w:szCs w:val="24"/>
        </w:rPr>
        <w:t>满足所列指标中的一项即可。</w:t>
      </w:r>
    </w:p>
    <w:p w14:paraId="55BC42E4">
      <w:pPr>
        <w:spacing w:line="540" w:lineRule="exact"/>
        <w:rPr>
          <w:rFonts w:hint="eastAsia" w:ascii="宋体" w:hAnsi="宋体" w:eastAsia="宋体" w:cs="宋体"/>
          <w:color w:val="000000"/>
          <w:spacing w:val="8"/>
          <w:kern w:val="0"/>
          <w:sz w:val="24"/>
          <w:szCs w:val="24"/>
        </w:rPr>
      </w:pPr>
      <w:r>
        <w:rPr>
          <w:rFonts w:hint="eastAsia" w:ascii="宋体" w:hAnsi="宋体" w:eastAsia="宋体" w:cs="宋体"/>
          <w:color w:val="000000"/>
          <w:spacing w:val="8"/>
          <w:kern w:val="0"/>
          <w:sz w:val="24"/>
          <w:szCs w:val="24"/>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06FB070">
      <w:pPr>
        <w:spacing w:line="540" w:lineRule="exact"/>
        <w:rPr>
          <w:rFonts w:hint="eastAsia" w:ascii="宋体" w:hAnsi="宋体" w:eastAsia="宋体" w:cs="宋体"/>
          <w:color w:val="000000"/>
          <w:sz w:val="24"/>
          <w:szCs w:val="24"/>
        </w:rPr>
      </w:pPr>
      <w:r>
        <w:rPr>
          <w:rFonts w:hint="eastAsia" w:ascii="宋体" w:hAnsi="宋体" w:eastAsia="宋体" w:cs="宋体"/>
          <w:color w:val="000000"/>
          <w:spacing w:val="8"/>
          <w:kern w:val="0"/>
          <w:sz w:val="24"/>
          <w:szCs w:val="24"/>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341E64C">
      <w:pPr>
        <w:pStyle w:val="31"/>
        <w:bidi w:val="0"/>
        <w:ind w:left="0" w:leftChars="0" w:firstLine="0" w:firstLineChars="0"/>
        <w:jc w:val="center"/>
        <w:rPr>
          <w:rFonts w:hint="eastAsia" w:ascii="宋体" w:hAnsi="宋体" w:eastAsia="宋体" w:cs="宋体"/>
          <w:b/>
          <w:color w:val="000000"/>
          <w:sz w:val="28"/>
          <w:szCs w:val="28"/>
          <w:lang w:val="en-US" w:eastAsia="zh-CN"/>
        </w:rPr>
      </w:pPr>
      <w:bookmarkStart w:id="778" w:name="_Toc525210052"/>
    </w:p>
    <w:p w14:paraId="7F1FD1C3">
      <w:pPr>
        <w:pStyle w:val="31"/>
        <w:bidi w:val="0"/>
        <w:ind w:left="0" w:leftChars="0" w:firstLine="0" w:firstLineChars="0"/>
        <w:jc w:val="center"/>
        <w:rPr>
          <w:rFonts w:hint="eastAsia" w:ascii="宋体" w:hAnsi="宋体" w:eastAsia="宋体" w:cs="宋体"/>
          <w:b/>
          <w:color w:val="000000"/>
          <w:sz w:val="28"/>
          <w:szCs w:val="28"/>
          <w:lang w:val="en-US" w:eastAsia="zh-CN"/>
        </w:rPr>
      </w:pPr>
    </w:p>
    <w:p w14:paraId="754E3CF5">
      <w:pPr>
        <w:pStyle w:val="31"/>
        <w:bidi w:val="0"/>
        <w:ind w:left="0" w:leftChars="0" w:firstLine="0" w:firstLineChars="0"/>
        <w:jc w:val="center"/>
        <w:rPr>
          <w:rFonts w:hint="eastAsia" w:ascii="宋体" w:hAnsi="宋体" w:eastAsia="宋体" w:cs="宋体"/>
          <w:b/>
          <w:color w:val="000000"/>
          <w:sz w:val="28"/>
          <w:szCs w:val="28"/>
          <w:lang w:val="en-US" w:eastAsia="zh-CN"/>
        </w:rPr>
      </w:pPr>
    </w:p>
    <w:p w14:paraId="576ED69F">
      <w:pPr>
        <w:pStyle w:val="31"/>
        <w:bidi w:val="0"/>
        <w:ind w:left="0" w:leftChars="0" w:firstLine="0" w:firstLineChars="0"/>
        <w:jc w:val="center"/>
        <w:rPr>
          <w:rFonts w:hint="eastAsia" w:ascii="宋体" w:hAnsi="宋体" w:eastAsia="宋体" w:cs="宋体"/>
          <w:b/>
          <w:color w:val="000000"/>
          <w:sz w:val="28"/>
          <w:szCs w:val="28"/>
          <w:lang w:val="en-US" w:eastAsia="zh-CN"/>
        </w:rPr>
      </w:pPr>
    </w:p>
    <w:p w14:paraId="62B10F34">
      <w:pPr>
        <w:pStyle w:val="31"/>
        <w:bidi w:val="0"/>
        <w:ind w:left="0" w:leftChars="0" w:firstLine="0" w:firstLineChars="0"/>
        <w:jc w:val="center"/>
        <w:rPr>
          <w:rFonts w:hint="eastAsia" w:ascii="宋体" w:hAnsi="宋体" w:eastAsia="宋体" w:cs="宋体"/>
          <w:b/>
          <w:color w:val="000000"/>
          <w:sz w:val="28"/>
          <w:szCs w:val="28"/>
          <w:lang w:val="en-US" w:eastAsia="zh-CN"/>
        </w:rPr>
      </w:pPr>
    </w:p>
    <w:p w14:paraId="0DFFEEBF">
      <w:pPr>
        <w:pStyle w:val="31"/>
        <w:bidi w:val="0"/>
        <w:ind w:left="0" w:leftChars="0" w:firstLine="0" w:firstLineChars="0"/>
        <w:jc w:val="center"/>
        <w:rPr>
          <w:rFonts w:hint="eastAsia" w:ascii="宋体" w:hAnsi="宋体" w:eastAsia="宋体" w:cs="宋体"/>
          <w:b/>
          <w:color w:val="000000"/>
          <w:sz w:val="28"/>
          <w:szCs w:val="28"/>
          <w:lang w:val="en-US" w:eastAsia="zh-CN"/>
        </w:rPr>
      </w:pPr>
    </w:p>
    <w:p w14:paraId="1124CF13">
      <w:pPr>
        <w:pStyle w:val="31"/>
        <w:bidi w:val="0"/>
        <w:ind w:left="0" w:leftChars="0" w:firstLine="0" w:firstLineChars="0"/>
        <w:jc w:val="center"/>
        <w:rPr>
          <w:rFonts w:hint="eastAsia" w:ascii="宋体" w:hAnsi="宋体" w:eastAsia="宋体" w:cs="宋体"/>
          <w:b/>
          <w:color w:val="000000"/>
          <w:sz w:val="28"/>
          <w:szCs w:val="28"/>
          <w:lang w:val="en-US" w:eastAsia="zh-CN"/>
        </w:rPr>
      </w:pPr>
    </w:p>
    <w:p w14:paraId="79D88512">
      <w:pPr>
        <w:pStyle w:val="31"/>
        <w:bidi w:val="0"/>
        <w:ind w:left="0" w:leftChars="0" w:firstLine="0" w:firstLineChars="0"/>
        <w:jc w:val="center"/>
        <w:rPr>
          <w:rFonts w:hint="eastAsia" w:ascii="宋体" w:hAnsi="宋体" w:eastAsia="宋体" w:cs="宋体"/>
          <w:b/>
          <w:color w:val="000000"/>
          <w:sz w:val="28"/>
          <w:szCs w:val="28"/>
          <w:lang w:val="en-US" w:eastAsia="zh-CN"/>
        </w:rPr>
      </w:pPr>
    </w:p>
    <w:p w14:paraId="6F9C08A8">
      <w:pPr>
        <w:pStyle w:val="31"/>
        <w:bidi w:val="0"/>
        <w:ind w:left="0" w:leftChars="0" w:firstLine="0" w:firstLineChars="0"/>
        <w:jc w:val="center"/>
        <w:rPr>
          <w:rFonts w:hint="eastAsia" w:ascii="宋体" w:hAnsi="宋体" w:eastAsia="宋体" w:cs="宋体"/>
          <w:b/>
          <w:color w:val="000000"/>
          <w:sz w:val="28"/>
          <w:szCs w:val="28"/>
          <w:lang w:val="en-US" w:eastAsia="zh-CN"/>
        </w:rPr>
      </w:pPr>
    </w:p>
    <w:p w14:paraId="18BD581A">
      <w:pPr>
        <w:pStyle w:val="31"/>
        <w:bidi w:val="0"/>
        <w:spacing w:line="360" w:lineRule="auto"/>
        <w:ind w:left="0" w:leftChars="0" w:firstLine="0" w:firstLineChars="0"/>
        <w:jc w:val="center"/>
        <w:outlineLvl w:val="1"/>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九、残疾人福利性单位声明函</w:t>
      </w:r>
      <w:bookmarkEnd w:id="778"/>
    </w:p>
    <w:p w14:paraId="4536046F">
      <w:pPr>
        <w:bidi w:val="0"/>
        <w:spacing w:line="360" w:lineRule="auto"/>
        <w:ind w:firstLine="480" w:firstLineChars="200"/>
        <w:jc w:val="center"/>
        <w:rPr>
          <w:rFonts w:hint="eastAsia" w:ascii="宋体" w:hAnsi="宋体" w:eastAsia="宋体" w:cs="宋体"/>
          <w:color w:val="000000"/>
          <w:sz w:val="21"/>
          <w:szCs w:val="21"/>
        </w:rPr>
      </w:pPr>
      <w:r>
        <w:rPr>
          <w:rFonts w:hint="eastAsia" w:ascii="宋体" w:hAnsi="宋体" w:eastAsia="宋体" w:cs="宋体"/>
          <w:color w:val="000000"/>
          <w:sz w:val="24"/>
          <w:szCs w:val="24"/>
        </w:rPr>
        <w:t>（属于残疾人福利企业的填写，不属于的无需填写此项内容）</w:t>
      </w:r>
    </w:p>
    <w:p w14:paraId="51960096">
      <w:pPr>
        <w:spacing w:line="588" w:lineRule="exact"/>
        <w:ind w:firstLine="504" w:firstLineChars="200"/>
        <w:rPr>
          <w:rFonts w:ascii="宋体" w:hAnsi="宋体"/>
          <w:spacing w:val="6"/>
          <w:sz w:val="24"/>
        </w:rPr>
      </w:pPr>
      <w:r>
        <w:rPr>
          <w:rFonts w:hint="eastAsia" w:ascii="宋体" w:hAnsi="宋体"/>
          <w:spacing w:val="6"/>
          <w:sz w:val="24"/>
        </w:rPr>
        <w:t>本单位郑重声明，根据《财政部 民政部 中国残疾人联合会关于促进残疾人就业政府采购政策的通知》（财库</w:t>
      </w:r>
      <w:r>
        <w:rPr>
          <w:rFonts w:hint="eastAsia" w:ascii="宋体" w:hAnsi="宋体"/>
          <w:sz w:val="24"/>
        </w:rPr>
        <w:t>〔2017〕 141</w:t>
      </w:r>
      <w:r>
        <w:rPr>
          <w:rFonts w:hint="eastAsia" w:ascii="宋体" w:hAnsi="宋体"/>
          <w:spacing w:val="6"/>
          <w:sz w:val="24"/>
        </w:rPr>
        <w:t>号）的规定，本单位为符合条件的残疾人福利性单位，且本单位参加</w:t>
      </w:r>
      <w:r>
        <w:rPr>
          <w:rFonts w:hint="eastAsia" w:ascii="宋体" w:hAnsi="宋体"/>
          <w:spacing w:val="6"/>
          <w:sz w:val="24"/>
          <w:u w:val="single"/>
        </w:rPr>
        <w:t xml:space="preserve">    </w:t>
      </w:r>
      <w:r>
        <w:rPr>
          <w:rFonts w:hint="eastAsia" w:ascii="宋体" w:hAnsi="宋体"/>
          <w:color w:val="333333"/>
          <w:kern w:val="0"/>
          <w:sz w:val="24"/>
          <w:u w:val="single"/>
          <w:shd w:val="clear" w:color="auto" w:fill="FFFFFF"/>
        </w:rPr>
        <w:t>（采购人名称）</w:t>
      </w:r>
      <w:r>
        <w:rPr>
          <w:rFonts w:hint="eastAsia" w:ascii="宋体" w:hAnsi="宋体"/>
          <w:spacing w:val="6"/>
          <w:sz w:val="24"/>
        </w:rPr>
        <w:t>的</w:t>
      </w:r>
      <w:r>
        <w:rPr>
          <w:rFonts w:hint="eastAsia" w:ascii="宋体" w:hAnsi="宋体"/>
          <w:spacing w:val="6"/>
          <w:sz w:val="24"/>
          <w:u w:val="single"/>
        </w:rPr>
        <w:t xml:space="preserve">    </w:t>
      </w:r>
      <w:r>
        <w:rPr>
          <w:rFonts w:hint="eastAsia" w:ascii="宋体" w:hAnsi="宋体"/>
          <w:spacing w:val="6"/>
          <w:sz w:val="24"/>
          <w:u w:val="none"/>
          <w:lang w:eastAsia="zh-CN"/>
        </w:rPr>
        <w:t>（项目名称）</w:t>
      </w:r>
      <w:r>
        <w:rPr>
          <w:rFonts w:hint="eastAsia" w:ascii="宋体" w:hAnsi="宋体"/>
          <w:spacing w:val="6"/>
          <w:sz w:val="24"/>
        </w:rPr>
        <w:t>采购活动提供本单位制造的货物（由本单位承担工程/提供服务）。</w:t>
      </w:r>
    </w:p>
    <w:p w14:paraId="350D9795">
      <w:pPr>
        <w:spacing w:line="588" w:lineRule="exact"/>
        <w:ind w:firstLine="504" w:firstLineChars="200"/>
        <w:rPr>
          <w:rFonts w:ascii="宋体" w:hAnsi="宋体"/>
          <w:spacing w:val="6"/>
          <w:sz w:val="24"/>
        </w:rPr>
      </w:pPr>
      <w:r>
        <w:rPr>
          <w:rFonts w:hint="eastAsia" w:ascii="宋体" w:hAnsi="宋体"/>
          <w:spacing w:val="6"/>
          <w:sz w:val="24"/>
        </w:rPr>
        <w:t>本单位对上述声明的真实性负责。如有虚假，将依法承担相应责任。</w:t>
      </w:r>
    </w:p>
    <w:p w14:paraId="3E665771">
      <w:pPr>
        <w:bidi w:val="0"/>
        <w:spacing w:line="360" w:lineRule="auto"/>
        <w:ind w:firstLine="420" w:firstLineChars="200"/>
        <w:rPr>
          <w:rFonts w:hint="eastAsia" w:ascii="宋体" w:hAnsi="宋体" w:eastAsia="宋体" w:cs="宋体"/>
          <w:color w:val="000000"/>
          <w:sz w:val="21"/>
          <w:szCs w:val="21"/>
        </w:rPr>
      </w:pPr>
    </w:p>
    <w:p w14:paraId="2309243B">
      <w:pPr>
        <w:spacing w:line="360" w:lineRule="auto"/>
        <w:jc w:val="right"/>
        <w:rPr>
          <w:rFonts w:hint="eastAsia" w:ascii="宋体" w:hAnsi="宋体" w:eastAsia="宋体" w:cs="宋体"/>
          <w:color w:val="000000"/>
          <w:sz w:val="24"/>
          <w:u w:val="single"/>
        </w:rPr>
      </w:pPr>
      <w:r>
        <w:rPr>
          <w:rFonts w:hint="eastAsia" w:ascii="宋体" w:hAnsi="宋体" w:eastAsia="宋体" w:cs="宋体"/>
          <w:color w:val="000000"/>
          <w:sz w:val="24"/>
        </w:rPr>
        <w:t xml:space="preserve"> </w:t>
      </w:r>
      <w:r>
        <w:rPr>
          <w:rFonts w:hint="eastAsia" w:ascii="宋体" w:hAnsi="宋体" w:eastAsia="宋体" w:cs="宋体"/>
          <w:color w:val="000000"/>
          <w:sz w:val="24"/>
          <w:lang w:val="en-US"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w:t>
      </w:r>
      <w:r>
        <w:rPr>
          <w:rFonts w:hint="eastAsia" w:ascii="宋体" w:hAnsi="宋体" w:eastAsia="宋体" w:cs="宋体"/>
          <w:color w:val="000000"/>
          <w:sz w:val="24"/>
          <w:u w:val="none"/>
        </w:rPr>
        <w:t>单位电子签章</w:t>
      </w:r>
      <w:r>
        <w:rPr>
          <w:rFonts w:hint="eastAsia" w:ascii="宋体" w:hAnsi="宋体" w:eastAsia="宋体" w:cs="宋体"/>
          <w:color w:val="000000"/>
          <w:sz w:val="24"/>
        </w:rPr>
        <w:t>）</w:t>
      </w:r>
    </w:p>
    <w:p w14:paraId="63457E76">
      <w:pPr>
        <w:spacing w:line="360" w:lineRule="auto"/>
        <w:ind w:firstLine="4440" w:firstLineChars="1850"/>
        <w:jc w:val="right"/>
        <w:rPr>
          <w:rFonts w:hint="eastAsia" w:ascii="宋体" w:hAnsi="宋体" w:eastAsia="宋体" w:cs="宋体"/>
          <w:b/>
          <w:bCs/>
          <w:color w:val="000000"/>
          <w:sz w:val="22"/>
          <w:szCs w:val="28"/>
        </w:rPr>
      </w:pPr>
      <w:r>
        <w:rPr>
          <w:rFonts w:hint="eastAsia" w:ascii="宋体" w:hAnsi="宋体" w:eastAsia="宋体" w:cs="宋体"/>
          <w:color w:val="000000"/>
          <w:sz w:val="24"/>
        </w:rPr>
        <w:t>日</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rPr>
        <w:t>日</w:t>
      </w:r>
    </w:p>
    <w:p w14:paraId="08B6B898">
      <w:pPr>
        <w:pStyle w:val="30"/>
        <w:widowControl w:val="0"/>
        <w:spacing w:before="0" w:beforeAutospacing="0" w:after="0" w:afterAutospacing="0" w:line="360" w:lineRule="auto"/>
        <w:jc w:val="both"/>
        <w:rPr>
          <w:rFonts w:hint="eastAsia" w:ascii="宋体" w:hAnsi="宋体" w:eastAsia="宋体" w:cs="宋体"/>
          <w:b w:val="0"/>
          <w:bCs w:val="0"/>
          <w:color w:val="000000"/>
          <w:lang w:val="en-US"/>
        </w:rPr>
      </w:pPr>
      <w:r>
        <w:rPr>
          <w:rFonts w:hint="eastAsia" w:ascii="宋体" w:hAnsi="宋体" w:eastAsia="宋体" w:cs="宋体"/>
          <w:b/>
          <w:bCs/>
          <w:color w:val="000000"/>
          <w:lang w:val="en-US"/>
        </w:rPr>
        <w:t>注：</w:t>
      </w:r>
      <w:r>
        <w:rPr>
          <w:rFonts w:hint="eastAsia" w:ascii="宋体" w:hAnsi="宋体" w:eastAsia="宋体" w:cs="宋体"/>
          <w:b/>
          <w:bCs/>
          <w:color w:val="000000"/>
          <w:lang w:val="en-US" w:eastAsia="zh-CN"/>
        </w:rPr>
        <w:t>1、</w:t>
      </w:r>
      <w:r>
        <w:rPr>
          <w:rFonts w:hint="eastAsia" w:ascii="宋体" w:hAnsi="宋体" w:eastAsia="宋体" w:cs="宋体"/>
          <w:color w:val="000000"/>
          <w:kern w:val="2"/>
        </w:rPr>
        <w:t>根据企业自身情况，填写此表。</w:t>
      </w:r>
    </w:p>
    <w:p w14:paraId="5C3294FF">
      <w:pPr>
        <w:pStyle w:val="30"/>
        <w:widowControl w:val="0"/>
        <w:spacing w:before="0" w:beforeAutospacing="0" w:after="0" w:afterAutospacing="0" w:line="360" w:lineRule="auto"/>
        <w:jc w:val="both"/>
        <w:rPr>
          <w:rFonts w:hint="eastAsia" w:ascii="宋体" w:hAnsi="宋体" w:eastAsia="宋体" w:cs="宋体"/>
          <w:b w:val="0"/>
          <w:bCs w:val="0"/>
          <w:color w:val="000000"/>
        </w:rPr>
      </w:pPr>
      <w:r>
        <w:rPr>
          <w:rFonts w:hint="eastAsia" w:ascii="宋体" w:hAnsi="宋体" w:eastAsia="宋体" w:cs="宋体"/>
          <w:b/>
          <w:bCs/>
          <w:color w:val="000000"/>
          <w:lang w:val="en-US" w:eastAsia="zh-CN"/>
        </w:rPr>
        <w:t>2、</w:t>
      </w:r>
      <w:r>
        <w:rPr>
          <w:rFonts w:hint="eastAsia" w:ascii="宋体" w:hAnsi="宋体" w:eastAsia="宋体" w:cs="宋体"/>
          <w:b w:val="0"/>
          <w:bCs w:val="0"/>
          <w:color w:val="000000"/>
        </w:rPr>
        <w:t>《财政部民政部中国残疾人联合会关于促进残疾人就业政府采购政策的通知》（财库（2017〔141〕号）的规定</w:t>
      </w:r>
      <w:r>
        <w:rPr>
          <w:rFonts w:hint="eastAsia" w:ascii="宋体" w:hAnsi="宋体" w:eastAsia="宋体" w:cs="宋体"/>
          <w:b w:val="0"/>
          <w:bCs w:val="0"/>
          <w:color w:val="000000"/>
          <w:lang w:val="en-US" w:eastAsia="zh-CN"/>
        </w:rPr>
        <w:t>如下</w:t>
      </w:r>
      <w:r>
        <w:rPr>
          <w:rFonts w:hint="eastAsia" w:ascii="宋体" w:hAnsi="宋体" w:eastAsia="宋体" w:cs="宋体"/>
          <w:b w:val="0"/>
          <w:bCs w:val="0"/>
          <w:color w:val="000000"/>
        </w:rPr>
        <w:t>：</w:t>
      </w:r>
    </w:p>
    <w:p w14:paraId="25092744">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rPr>
      </w:pPr>
      <w:r>
        <w:rPr>
          <w:rFonts w:hint="eastAsia" w:ascii="宋体" w:hAnsi="宋体" w:eastAsia="宋体" w:cs="宋体"/>
          <w:b w:val="0"/>
          <w:bCs w:val="0"/>
          <w:color w:val="000000"/>
        </w:rPr>
        <w:t>一、享受政府采购支持政策的残疾人福利性单位应当同时满足以下条件：</w:t>
      </w:r>
    </w:p>
    <w:p w14:paraId="19A7651A">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rPr>
      </w:pPr>
      <w:r>
        <w:rPr>
          <w:rFonts w:hint="eastAsia" w:ascii="宋体" w:hAnsi="宋体" w:eastAsia="宋体" w:cs="宋体"/>
          <w:b w:val="0"/>
          <w:bCs w:val="0"/>
          <w:color w:val="000000"/>
        </w:rPr>
        <w:t>（一）安置的残疾人占本单位在职职工人数的比例不低于25%（含25%），并且安置的残疾人人数不少于10人（含10人）；</w:t>
      </w:r>
    </w:p>
    <w:p w14:paraId="4C1545DA">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rPr>
      </w:pPr>
      <w:r>
        <w:rPr>
          <w:rFonts w:hint="eastAsia" w:ascii="宋体" w:hAnsi="宋体" w:eastAsia="宋体" w:cs="宋体"/>
          <w:b w:val="0"/>
          <w:bCs w:val="0"/>
          <w:color w:val="000000"/>
        </w:rPr>
        <w:t>（二）依法与安置的每位残疾人签订了一年以上（含一年）的劳动合同或服务协议；</w:t>
      </w:r>
    </w:p>
    <w:p w14:paraId="18E863B2">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rPr>
      </w:pPr>
      <w:r>
        <w:rPr>
          <w:rFonts w:hint="eastAsia" w:ascii="宋体" w:hAnsi="宋体" w:eastAsia="宋体" w:cs="宋体"/>
          <w:b w:val="0"/>
          <w:bCs w:val="0"/>
          <w:color w:val="000000"/>
        </w:rPr>
        <w:t>（三）为安置的每位残疾人按月足额缴纳了基本养老保险、基本医疗保险、失业保险、工伤保险和生育保险等社会保险费；</w:t>
      </w:r>
    </w:p>
    <w:p w14:paraId="0FAEBC34">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rPr>
      </w:pPr>
      <w:r>
        <w:rPr>
          <w:rFonts w:hint="eastAsia" w:ascii="宋体" w:hAnsi="宋体" w:eastAsia="宋体" w:cs="宋体"/>
          <w:b w:val="0"/>
          <w:bCs w:val="0"/>
          <w:color w:val="000000"/>
        </w:rPr>
        <w:t>（四）通过银行等金融机构向安置的每位残疾人，按月支付了不低于单位所在区县适用的经省级人民政府批准的月最低工资标准的工资；</w:t>
      </w:r>
    </w:p>
    <w:p w14:paraId="36D67CBB">
      <w:pPr>
        <w:pStyle w:val="3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000000"/>
          <w:lang w:val="en-US" w:eastAsia="zh-CN"/>
        </w:rPr>
      </w:pPr>
      <w:r>
        <w:rPr>
          <w:rFonts w:hint="eastAsia" w:ascii="宋体" w:hAnsi="宋体" w:eastAsia="宋体" w:cs="宋体"/>
          <w:b w:val="0"/>
          <w:bCs w:val="0"/>
          <w:color w:val="000000"/>
        </w:rPr>
        <w:t>（五）提供本单位制造的货物、承担的工程或者服务（以下简称产品），或者提供其他残疾人福利性单位制造的货物（不包括使用非残疾人福利性单位注册商标的货物）。</w:t>
      </w:r>
    </w:p>
    <w:p w14:paraId="0E363D58">
      <w:pPr>
        <w:spacing w:line="360" w:lineRule="auto"/>
        <w:jc w:val="center"/>
        <w:outlineLvl w:val="9"/>
        <w:rPr>
          <w:rFonts w:hint="eastAsia" w:ascii="宋体" w:hAnsi="宋体" w:eastAsia="宋体" w:cs="宋体"/>
          <w:sz w:val="30"/>
          <w:szCs w:val="30"/>
        </w:rPr>
      </w:pPr>
    </w:p>
    <w:p w14:paraId="437C1CED">
      <w:pPr>
        <w:outlineLvl w:val="9"/>
        <w:rPr>
          <w:rFonts w:hint="eastAsia" w:ascii="宋体" w:hAnsi="宋体" w:eastAsia="宋体" w:cs="宋体"/>
        </w:rPr>
      </w:pPr>
    </w:p>
    <w:p w14:paraId="17C44FEC">
      <w:pPr>
        <w:pStyle w:val="31"/>
        <w:outlineLvl w:val="9"/>
        <w:rPr>
          <w:rFonts w:hint="eastAsia" w:ascii="宋体" w:hAnsi="宋体" w:eastAsia="宋体" w:cs="宋体"/>
        </w:rPr>
      </w:pPr>
    </w:p>
    <w:p w14:paraId="098C463D">
      <w:pPr>
        <w:pStyle w:val="32"/>
        <w:outlineLvl w:val="9"/>
        <w:rPr>
          <w:rFonts w:hint="eastAsia" w:ascii="宋体" w:hAnsi="宋体" w:eastAsia="宋体" w:cs="宋体"/>
        </w:rPr>
      </w:pPr>
    </w:p>
    <w:p w14:paraId="2B947D96">
      <w:pPr>
        <w:rPr>
          <w:rFonts w:hint="eastAsia" w:ascii="宋体" w:hAnsi="宋体" w:eastAsia="宋体" w:cs="宋体"/>
        </w:rPr>
      </w:pPr>
    </w:p>
    <w:p w14:paraId="14A4B575">
      <w:pPr>
        <w:pStyle w:val="2"/>
        <w:rPr>
          <w:rFonts w:hint="eastAsia"/>
        </w:rPr>
      </w:pPr>
    </w:p>
    <w:p w14:paraId="3039441E">
      <w:pPr>
        <w:pStyle w:val="31"/>
        <w:bidi w:val="0"/>
        <w:spacing w:line="360" w:lineRule="auto"/>
        <w:ind w:left="0" w:leftChars="0" w:firstLine="0" w:firstLineChars="0"/>
        <w:jc w:val="center"/>
        <w:outlineLvl w:val="9"/>
        <w:rPr>
          <w:rFonts w:hint="eastAsia" w:ascii="宋体" w:hAnsi="宋体" w:eastAsia="宋体" w:cs="宋体"/>
          <w:b/>
          <w:color w:val="000000"/>
          <w:sz w:val="28"/>
          <w:szCs w:val="28"/>
          <w:lang w:val="en-US" w:eastAsia="zh-CN"/>
        </w:rPr>
      </w:pPr>
    </w:p>
    <w:p w14:paraId="4931813F">
      <w:pPr>
        <w:pStyle w:val="31"/>
        <w:bidi w:val="0"/>
        <w:spacing w:line="360" w:lineRule="auto"/>
        <w:ind w:left="0" w:leftChars="0" w:firstLine="0" w:firstLineChars="0"/>
        <w:jc w:val="center"/>
        <w:outlineLvl w:val="1"/>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十、监狱企业证明文件</w:t>
      </w:r>
    </w:p>
    <w:p w14:paraId="6C746277">
      <w:pPr>
        <w:spacing w:line="360" w:lineRule="auto"/>
        <w:jc w:val="center"/>
        <w:rPr>
          <w:rFonts w:hint="eastAsia" w:ascii="宋体" w:hAnsi="宋体" w:eastAsia="宋体" w:cs="宋体"/>
          <w:color w:val="000000"/>
          <w:sz w:val="24"/>
          <w:szCs w:val="24"/>
        </w:rPr>
      </w:pPr>
      <w:r>
        <w:rPr>
          <w:rFonts w:hint="eastAsia" w:ascii="宋体" w:hAnsi="宋体" w:eastAsia="宋体" w:cs="宋体"/>
          <w:b w:val="0"/>
          <w:bCs w:val="0"/>
          <w:sz w:val="24"/>
          <w:szCs w:val="32"/>
          <w:lang w:val="en-US" w:eastAsia="zh-CN"/>
        </w:rPr>
        <w:t>（如有）</w:t>
      </w:r>
    </w:p>
    <w:p w14:paraId="528C9433">
      <w:pPr>
        <w:bidi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ascii="宋体" w:hAnsi="宋体" w:eastAsia="宋体" w:cs="宋体"/>
          <w:color w:val="000000"/>
          <w:sz w:val="24"/>
          <w:szCs w:val="24"/>
          <w:lang w:val="en-US" w:eastAsia="zh-CN"/>
        </w:rPr>
        <w:t>20</w:t>
      </w:r>
      <w:r>
        <w:rPr>
          <w:rFonts w:hint="eastAsia" w:ascii="宋体" w:hAnsi="宋体" w:eastAsia="宋体" w:cs="宋体"/>
          <w:color w:val="000000"/>
          <w:sz w:val="24"/>
          <w:szCs w:val="24"/>
        </w:rPr>
        <w:t>%的价格扣除，但必须提供由省级以上监狱管理局、戒毒管理局（含新疆生产建设兵团）出具的属于监狱企业的证明文件，否则评审时不予价格扣除优惠。</w:t>
      </w:r>
    </w:p>
    <w:p w14:paraId="2A2EF165">
      <w:pPr>
        <w:bidi w:val="0"/>
        <w:spacing w:line="360" w:lineRule="auto"/>
        <w:ind w:firstLine="480" w:firstLineChars="200"/>
        <w:rPr>
          <w:rFonts w:hint="eastAsia" w:ascii="宋体" w:hAnsi="宋体" w:eastAsia="宋体" w:cs="宋体"/>
          <w:color w:val="000000"/>
          <w:sz w:val="24"/>
          <w:szCs w:val="24"/>
          <w:u w:val="none"/>
          <w:lang w:val="en-US" w:eastAsia="zh-CN"/>
        </w:rPr>
      </w:pPr>
      <w:r>
        <w:rPr>
          <w:rFonts w:hint="eastAsia" w:ascii="宋体" w:hAnsi="宋体" w:eastAsia="宋体" w:cs="宋体"/>
          <w:color w:val="000000"/>
          <w:sz w:val="24"/>
          <w:szCs w:val="24"/>
          <w:u w:val="none"/>
          <w:lang w:val="en-US"/>
        </w:rPr>
        <w:t>注：在</w:t>
      </w:r>
      <w:r>
        <w:rPr>
          <w:rFonts w:hint="eastAsia" w:ascii="宋体" w:hAnsi="宋体" w:eastAsia="宋体" w:cs="宋体"/>
          <w:color w:val="000000"/>
          <w:sz w:val="24"/>
          <w:szCs w:val="24"/>
          <w:u w:val="none"/>
          <w:lang w:val="en-US" w:eastAsia="zh-CN"/>
        </w:rPr>
        <w:t>响应</w:t>
      </w:r>
      <w:r>
        <w:rPr>
          <w:rFonts w:hint="eastAsia" w:ascii="宋体" w:hAnsi="宋体" w:eastAsia="宋体" w:cs="宋体"/>
          <w:color w:val="000000"/>
          <w:sz w:val="24"/>
          <w:szCs w:val="24"/>
          <w:u w:val="none"/>
          <w:lang w:val="en-US"/>
        </w:rPr>
        <w:t>文件中附扫描件</w:t>
      </w:r>
      <w:r>
        <w:rPr>
          <w:rFonts w:hint="eastAsia" w:ascii="宋体" w:hAnsi="宋体" w:eastAsia="宋体" w:cs="宋体"/>
          <w:color w:val="000000"/>
          <w:sz w:val="24"/>
          <w:szCs w:val="24"/>
          <w:u w:val="none"/>
          <w:lang w:val="en-US" w:eastAsia="zh-CN"/>
        </w:rPr>
        <w:t>。</w:t>
      </w:r>
    </w:p>
    <w:p w14:paraId="5B6B98C2">
      <w:pPr>
        <w:rPr>
          <w:rFonts w:hint="eastAsia" w:ascii="宋体" w:hAnsi="宋体" w:eastAsia="宋体" w:cs="宋体"/>
        </w:rPr>
      </w:pPr>
    </w:p>
    <w:p w14:paraId="6529D731">
      <w:pPr>
        <w:spacing w:line="360" w:lineRule="auto"/>
        <w:jc w:val="center"/>
        <w:outlineLvl w:val="9"/>
        <w:rPr>
          <w:rFonts w:hint="eastAsia" w:ascii="宋体" w:hAnsi="宋体" w:eastAsia="宋体" w:cs="宋体"/>
          <w:sz w:val="30"/>
          <w:szCs w:val="30"/>
        </w:rPr>
      </w:pPr>
    </w:p>
    <w:p w14:paraId="65EDD3AF">
      <w:pPr>
        <w:spacing w:line="360" w:lineRule="auto"/>
        <w:jc w:val="center"/>
        <w:outlineLvl w:val="9"/>
        <w:rPr>
          <w:rFonts w:hint="eastAsia" w:ascii="宋体" w:hAnsi="宋体" w:eastAsia="宋体" w:cs="宋体"/>
          <w:sz w:val="30"/>
          <w:szCs w:val="30"/>
        </w:rPr>
      </w:pPr>
    </w:p>
    <w:p w14:paraId="60D5BAC4">
      <w:pPr>
        <w:spacing w:line="360" w:lineRule="auto"/>
        <w:jc w:val="center"/>
        <w:outlineLvl w:val="9"/>
        <w:rPr>
          <w:rFonts w:hint="eastAsia" w:ascii="宋体" w:hAnsi="宋体" w:eastAsia="宋体" w:cs="宋体"/>
          <w:sz w:val="30"/>
          <w:szCs w:val="30"/>
        </w:rPr>
      </w:pPr>
    </w:p>
    <w:p w14:paraId="74402372">
      <w:pPr>
        <w:spacing w:line="360" w:lineRule="auto"/>
        <w:jc w:val="center"/>
        <w:outlineLvl w:val="9"/>
        <w:rPr>
          <w:rFonts w:hint="eastAsia" w:ascii="宋体" w:hAnsi="宋体" w:eastAsia="宋体" w:cs="宋体"/>
          <w:sz w:val="30"/>
          <w:szCs w:val="30"/>
        </w:rPr>
      </w:pPr>
    </w:p>
    <w:p w14:paraId="4E051BA7">
      <w:pPr>
        <w:spacing w:line="360" w:lineRule="auto"/>
        <w:jc w:val="center"/>
        <w:outlineLvl w:val="9"/>
        <w:rPr>
          <w:rFonts w:hint="eastAsia" w:ascii="宋体" w:hAnsi="宋体" w:eastAsia="宋体" w:cs="宋体"/>
          <w:sz w:val="30"/>
          <w:szCs w:val="30"/>
        </w:rPr>
      </w:pPr>
    </w:p>
    <w:p w14:paraId="30A7F040">
      <w:pPr>
        <w:spacing w:line="360" w:lineRule="auto"/>
        <w:jc w:val="center"/>
        <w:outlineLvl w:val="9"/>
        <w:rPr>
          <w:rFonts w:hint="eastAsia" w:ascii="宋体" w:hAnsi="宋体" w:eastAsia="宋体" w:cs="宋体"/>
          <w:sz w:val="30"/>
          <w:szCs w:val="30"/>
        </w:rPr>
      </w:pPr>
    </w:p>
    <w:p w14:paraId="664618B2">
      <w:pPr>
        <w:spacing w:line="360" w:lineRule="auto"/>
        <w:jc w:val="center"/>
        <w:outlineLvl w:val="9"/>
        <w:rPr>
          <w:rFonts w:hint="eastAsia" w:ascii="宋体" w:hAnsi="宋体" w:eastAsia="宋体" w:cs="宋体"/>
          <w:sz w:val="30"/>
          <w:szCs w:val="30"/>
        </w:rPr>
      </w:pPr>
    </w:p>
    <w:p w14:paraId="609E3266">
      <w:pPr>
        <w:spacing w:line="360" w:lineRule="auto"/>
        <w:jc w:val="center"/>
        <w:outlineLvl w:val="9"/>
        <w:rPr>
          <w:rFonts w:hint="eastAsia" w:ascii="宋体" w:hAnsi="宋体" w:eastAsia="宋体" w:cs="宋体"/>
          <w:sz w:val="30"/>
          <w:szCs w:val="30"/>
        </w:rPr>
      </w:pPr>
    </w:p>
    <w:p w14:paraId="52E4252B">
      <w:pPr>
        <w:spacing w:line="360" w:lineRule="auto"/>
        <w:jc w:val="center"/>
        <w:outlineLvl w:val="9"/>
        <w:rPr>
          <w:rFonts w:hint="eastAsia" w:ascii="宋体" w:hAnsi="宋体" w:eastAsia="宋体" w:cs="宋体"/>
          <w:sz w:val="30"/>
          <w:szCs w:val="30"/>
        </w:rPr>
      </w:pPr>
    </w:p>
    <w:bookmarkEnd w:id="756"/>
    <w:bookmarkEnd w:id="757"/>
    <w:bookmarkEnd w:id="758"/>
    <w:bookmarkEnd w:id="759"/>
    <w:bookmarkEnd w:id="760"/>
    <w:bookmarkEnd w:id="761"/>
    <w:bookmarkEnd w:id="762"/>
    <w:bookmarkEnd w:id="763"/>
    <w:bookmarkEnd w:id="764"/>
    <w:bookmarkEnd w:id="766"/>
    <w:p w14:paraId="2DA9D2CD">
      <w:pPr>
        <w:spacing w:line="240" w:lineRule="auto"/>
        <w:jc w:val="center"/>
        <w:outlineLvl w:val="9"/>
        <w:rPr>
          <w:rFonts w:hint="eastAsia" w:ascii="宋体" w:hAnsi="宋体" w:eastAsia="宋体" w:cs="宋体"/>
          <w:sz w:val="30"/>
          <w:szCs w:val="30"/>
          <w:lang w:val="en-US" w:eastAsia="zh-CN"/>
        </w:rPr>
      </w:pPr>
    </w:p>
    <w:p w14:paraId="7DAA4631">
      <w:pPr>
        <w:outlineLvl w:val="9"/>
        <w:rPr>
          <w:rFonts w:hint="eastAsia" w:ascii="宋体" w:hAnsi="宋体" w:eastAsia="宋体" w:cs="宋体"/>
          <w:sz w:val="30"/>
          <w:szCs w:val="30"/>
          <w:lang w:val="en-US" w:eastAsia="zh-CN"/>
        </w:rPr>
      </w:pPr>
    </w:p>
    <w:p w14:paraId="7180A1DF">
      <w:pPr>
        <w:pStyle w:val="2"/>
        <w:rPr>
          <w:rFonts w:hint="eastAsia" w:ascii="宋体" w:hAnsi="宋体" w:eastAsia="宋体" w:cs="宋体"/>
          <w:sz w:val="30"/>
          <w:szCs w:val="30"/>
          <w:lang w:val="en-US" w:eastAsia="zh-CN"/>
        </w:rPr>
      </w:pPr>
    </w:p>
    <w:p w14:paraId="54DC1EE2">
      <w:pPr>
        <w:pStyle w:val="49"/>
        <w:rPr>
          <w:rFonts w:hint="eastAsia" w:ascii="宋体" w:hAnsi="宋体" w:eastAsia="宋体" w:cs="宋体"/>
          <w:sz w:val="30"/>
          <w:szCs w:val="30"/>
          <w:lang w:val="en-US" w:eastAsia="zh-CN"/>
        </w:rPr>
      </w:pPr>
    </w:p>
    <w:p w14:paraId="2F6801F7">
      <w:pPr>
        <w:rPr>
          <w:rFonts w:hint="eastAsia" w:ascii="宋体" w:hAnsi="宋体" w:eastAsia="宋体" w:cs="宋体"/>
          <w:sz w:val="30"/>
          <w:szCs w:val="30"/>
          <w:lang w:val="en-US" w:eastAsia="zh-CN"/>
        </w:rPr>
      </w:pPr>
    </w:p>
    <w:p w14:paraId="43C146C0">
      <w:pPr>
        <w:pStyle w:val="2"/>
        <w:rPr>
          <w:rFonts w:hint="eastAsia" w:ascii="宋体" w:hAnsi="宋体" w:eastAsia="宋体" w:cs="宋体"/>
          <w:sz w:val="30"/>
          <w:szCs w:val="30"/>
          <w:lang w:val="en-US" w:eastAsia="zh-CN"/>
        </w:rPr>
      </w:pPr>
    </w:p>
    <w:p w14:paraId="597F3576">
      <w:pPr>
        <w:pStyle w:val="49"/>
        <w:rPr>
          <w:rFonts w:hint="eastAsia"/>
          <w:lang w:val="en-US" w:eastAsia="zh-CN"/>
        </w:rPr>
      </w:pPr>
    </w:p>
    <w:p w14:paraId="5262DAC7">
      <w:pPr>
        <w:pStyle w:val="31"/>
        <w:outlineLvl w:val="9"/>
        <w:rPr>
          <w:rFonts w:hint="eastAsia" w:ascii="宋体" w:hAnsi="宋体" w:eastAsia="宋体" w:cs="宋体"/>
          <w:sz w:val="30"/>
          <w:szCs w:val="30"/>
          <w:lang w:val="en-US" w:eastAsia="zh-CN"/>
        </w:rPr>
      </w:pPr>
    </w:p>
    <w:p w14:paraId="1A3AF415">
      <w:pPr>
        <w:pStyle w:val="32"/>
        <w:outlineLvl w:val="9"/>
        <w:rPr>
          <w:rFonts w:hint="eastAsia" w:ascii="宋体" w:hAnsi="宋体" w:eastAsia="宋体" w:cs="宋体"/>
          <w:sz w:val="30"/>
          <w:szCs w:val="30"/>
          <w:lang w:val="en-US" w:eastAsia="zh-CN"/>
        </w:rPr>
      </w:pPr>
    </w:p>
    <w:p w14:paraId="7C80FF01">
      <w:pPr>
        <w:pStyle w:val="31"/>
        <w:ind w:left="0" w:leftChars="0" w:firstLine="0" w:firstLineChars="0"/>
        <w:rPr>
          <w:rFonts w:hint="eastAsia" w:ascii="宋体" w:hAnsi="宋体" w:eastAsia="宋体" w:cs="宋体"/>
          <w:lang w:val="en-US" w:eastAsia="zh-CN"/>
        </w:rPr>
      </w:pPr>
    </w:p>
    <w:p w14:paraId="61C0DE4C">
      <w:pPr>
        <w:jc w:val="center"/>
        <w:outlineLvl w:val="1"/>
        <w:rPr>
          <w:rFonts w:hint="eastAsia" w:ascii="宋体" w:hAnsi="宋体" w:eastAsia="宋体" w:cs="宋体"/>
          <w:b/>
          <w:bCs/>
          <w:sz w:val="30"/>
          <w:szCs w:val="30"/>
        </w:rPr>
      </w:pPr>
      <w:r>
        <w:rPr>
          <w:rFonts w:hint="eastAsia" w:ascii="宋体" w:hAnsi="宋体" w:eastAsia="宋体" w:cs="宋体"/>
          <w:b/>
          <w:bCs/>
          <w:sz w:val="30"/>
          <w:szCs w:val="30"/>
          <w:lang w:val="en-US" w:eastAsia="zh-CN"/>
        </w:rPr>
        <w:t>十</w:t>
      </w:r>
      <w:r>
        <w:rPr>
          <w:rFonts w:hint="eastAsia" w:ascii="宋体" w:hAnsi="宋体" w:cs="宋体"/>
          <w:b/>
          <w:bCs/>
          <w:sz w:val="30"/>
          <w:szCs w:val="30"/>
          <w:lang w:val="en-US" w:eastAsia="zh-CN"/>
        </w:rPr>
        <w:t>一</w:t>
      </w:r>
      <w:r>
        <w:rPr>
          <w:rFonts w:hint="eastAsia" w:ascii="宋体" w:hAnsi="宋体" w:eastAsia="宋体" w:cs="宋体"/>
          <w:b/>
          <w:bCs/>
          <w:sz w:val="30"/>
          <w:szCs w:val="30"/>
          <w:lang w:val="en-US" w:eastAsia="zh-CN"/>
        </w:rPr>
        <w:t>、反商业贿赂承诺书</w:t>
      </w:r>
    </w:p>
    <w:p w14:paraId="7A2904D8">
      <w:pPr>
        <w:autoSpaceDE w:val="0"/>
        <w:autoSpaceDN w:val="0"/>
        <w:bidi w:val="0"/>
        <w:adjustRightInd w:val="0"/>
        <w:spacing w:line="360" w:lineRule="auto"/>
        <w:jc w:val="left"/>
        <w:rPr>
          <w:rFonts w:hint="eastAsia" w:ascii="宋体" w:hAnsi="宋体" w:eastAsia="宋体" w:cs="宋体"/>
          <w:color w:val="000000"/>
          <w:sz w:val="24"/>
          <w:szCs w:val="24"/>
          <w:lang w:val="zh-CN"/>
        </w:rPr>
      </w:pPr>
    </w:p>
    <w:p w14:paraId="17E2F474">
      <w:pPr>
        <w:autoSpaceDE w:val="0"/>
        <w:autoSpaceDN w:val="0"/>
        <w:bidi w:val="0"/>
        <w:adjustRightInd w:val="0"/>
        <w:spacing w:line="36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我方承诺：</w:t>
      </w:r>
    </w:p>
    <w:p w14:paraId="32D799A2">
      <w:pPr>
        <w:autoSpaceDE w:val="0"/>
        <w:autoSpaceDN w:val="0"/>
        <w:bidi w:val="0"/>
        <w:adjustRightInd w:val="0"/>
        <w:spacing w:line="36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none"/>
          <w:lang w:val="zh-CN"/>
        </w:rPr>
        <w:t>（项目名称）</w:t>
      </w:r>
      <w:r>
        <w:rPr>
          <w:rFonts w:hint="eastAsia" w:ascii="宋体" w:hAnsi="宋体" w:eastAsia="宋体" w:cs="宋体"/>
          <w:color w:val="000000"/>
          <w:sz w:val="24"/>
          <w:szCs w:val="24"/>
          <w:u w:val="single"/>
          <w:lang w:val="zh-CN"/>
        </w:rPr>
        <w:t xml:space="preserve">（项目编号：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lang w:val="zh-CN"/>
        </w:rPr>
        <w:t xml:space="preserve"> ）</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lang w:val="zh-CN"/>
        </w:rPr>
        <w:t>活动中，我方保证做到：</w:t>
      </w:r>
    </w:p>
    <w:p w14:paraId="10772133">
      <w:pPr>
        <w:autoSpaceDE w:val="0"/>
        <w:autoSpaceDN w:val="0"/>
        <w:bidi w:val="0"/>
        <w:adjustRightInd w:val="0"/>
        <w:spacing w:line="36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一、公平竞争参加本次公开采购活动。</w:t>
      </w:r>
    </w:p>
    <w:p w14:paraId="10958E1F">
      <w:pPr>
        <w:autoSpaceDE w:val="0"/>
        <w:autoSpaceDN w:val="0"/>
        <w:bidi w:val="0"/>
        <w:adjustRightInd w:val="0"/>
        <w:spacing w:line="36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4BA796AA">
      <w:pPr>
        <w:autoSpaceDE w:val="0"/>
        <w:autoSpaceDN w:val="0"/>
        <w:bidi w:val="0"/>
        <w:adjustRightInd w:val="0"/>
        <w:spacing w:line="360" w:lineRule="auto"/>
        <w:ind w:firstLine="720" w:firstLineChars="300"/>
        <w:jc w:val="left"/>
        <w:rPr>
          <w:rFonts w:hint="eastAsia" w:ascii="宋体" w:hAnsi="宋体" w:eastAsia="宋体" w:cs="宋体"/>
          <w:color w:val="000000"/>
          <w:sz w:val="24"/>
          <w:szCs w:val="24"/>
          <w:lang w:val="zh-CN"/>
        </w:rPr>
      </w:pPr>
      <w:r>
        <w:rPr>
          <w:rFonts w:hint="eastAsia" w:ascii="宋体" w:hAnsi="宋体" w:eastAsia="宋体" w:cs="宋体"/>
          <w:color w:val="000000"/>
          <w:sz w:val="24"/>
          <w:szCs w:val="24"/>
          <w:lang w:val="zh-CN"/>
        </w:rPr>
        <w:t>三、若出现上述行为，我方及参与投标的工作人员愿意接受按照国家法律法规等有关规定给予的处罚。</w:t>
      </w:r>
    </w:p>
    <w:p w14:paraId="58F7EF51">
      <w:pPr>
        <w:bidi w:val="0"/>
        <w:spacing w:line="360" w:lineRule="auto"/>
        <w:ind w:left="645"/>
        <w:outlineLvl w:val="9"/>
        <w:rPr>
          <w:rFonts w:hint="eastAsia" w:ascii="宋体" w:hAnsi="宋体" w:eastAsia="宋体" w:cs="宋体"/>
          <w:color w:val="000000"/>
          <w:sz w:val="24"/>
          <w:szCs w:val="24"/>
        </w:rPr>
      </w:pPr>
    </w:p>
    <w:p w14:paraId="362B9A93">
      <w:pPr>
        <w:bidi w:val="0"/>
        <w:spacing w:line="360" w:lineRule="auto"/>
        <w:ind w:left="645"/>
        <w:outlineLvl w:val="9"/>
        <w:rPr>
          <w:rFonts w:hint="eastAsia" w:ascii="宋体" w:hAnsi="宋体" w:eastAsia="宋体" w:cs="宋体"/>
          <w:color w:val="000000"/>
          <w:sz w:val="24"/>
          <w:szCs w:val="24"/>
        </w:rPr>
      </w:pPr>
    </w:p>
    <w:p w14:paraId="385F60FC">
      <w:pPr>
        <w:bidi w:val="0"/>
        <w:spacing w:line="360" w:lineRule="auto"/>
        <w:ind w:left="645"/>
        <w:outlineLvl w:val="9"/>
        <w:rPr>
          <w:rFonts w:hint="eastAsia" w:ascii="宋体" w:hAnsi="宋体" w:eastAsia="宋体" w:cs="宋体"/>
          <w:color w:val="000000"/>
          <w:sz w:val="24"/>
          <w:szCs w:val="24"/>
        </w:rPr>
      </w:pPr>
    </w:p>
    <w:p w14:paraId="7E054528">
      <w:pPr>
        <w:bidi w:val="0"/>
        <w:spacing w:line="360" w:lineRule="auto"/>
        <w:ind w:left="645"/>
        <w:outlineLvl w:val="9"/>
        <w:rPr>
          <w:rFonts w:hint="eastAsia" w:ascii="宋体" w:hAnsi="宋体" w:eastAsia="宋体" w:cs="宋体"/>
          <w:color w:val="000000"/>
          <w:sz w:val="24"/>
          <w:szCs w:val="24"/>
        </w:rPr>
      </w:pPr>
    </w:p>
    <w:p w14:paraId="0401D44D">
      <w:pPr>
        <w:bidi w:val="0"/>
        <w:spacing w:line="360" w:lineRule="auto"/>
        <w:ind w:left="645"/>
        <w:outlineLvl w:val="9"/>
        <w:rPr>
          <w:rFonts w:hint="eastAsia" w:ascii="宋体" w:hAnsi="宋体" w:eastAsia="宋体" w:cs="宋体"/>
          <w:color w:val="000000"/>
          <w:sz w:val="24"/>
          <w:szCs w:val="24"/>
        </w:rPr>
      </w:pPr>
    </w:p>
    <w:p w14:paraId="076BAA65">
      <w:pPr>
        <w:bidi w:val="0"/>
        <w:spacing w:line="400" w:lineRule="exact"/>
        <w:ind w:firstLine="3840" w:firstLineChars="16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7DDFC1FC">
      <w:pPr>
        <w:bidi w:val="0"/>
        <w:spacing w:line="400" w:lineRule="exact"/>
        <w:ind w:firstLine="4440" w:firstLineChars="1850"/>
        <w:rPr>
          <w:rFonts w:hint="eastAsia" w:ascii="宋体" w:hAnsi="宋体" w:eastAsia="宋体" w:cs="宋体"/>
          <w:color w:val="000000"/>
          <w:sz w:val="24"/>
          <w:szCs w:val="24"/>
        </w:rPr>
      </w:pPr>
    </w:p>
    <w:p w14:paraId="12F2905D">
      <w:pPr>
        <w:bidi w:val="0"/>
        <w:spacing w:line="360" w:lineRule="auto"/>
        <w:jc w:val="right"/>
        <w:rPr>
          <w:rFonts w:hint="eastAsia"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u w:val="none"/>
        </w:rPr>
        <w:t>法定代表人电子签名</w:t>
      </w:r>
      <w:r>
        <w:rPr>
          <w:rFonts w:hint="eastAsia" w:ascii="宋体" w:hAnsi="宋体" w:eastAsia="宋体" w:cs="宋体"/>
          <w:color w:val="000000"/>
          <w:sz w:val="24"/>
          <w:szCs w:val="24"/>
          <w:u w:val="none"/>
          <w:lang w:val="en-US" w:eastAsia="zh-CN"/>
        </w:rPr>
        <w:t>或签章</w:t>
      </w:r>
      <w:r>
        <w:rPr>
          <w:rFonts w:hint="eastAsia" w:ascii="宋体" w:hAnsi="宋体" w:eastAsia="宋体" w:cs="宋体"/>
          <w:color w:val="000000"/>
          <w:sz w:val="24"/>
          <w:szCs w:val="24"/>
          <w:lang w:eastAsia="zh-CN"/>
        </w:rPr>
        <w:t>）</w:t>
      </w:r>
    </w:p>
    <w:p w14:paraId="06A2BBB1">
      <w:pPr>
        <w:bidi w:val="0"/>
        <w:spacing w:line="400" w:lineRule="exact"/>
        <w:ind w:firstLine="4440" w:firstLineChars="1850"/>
        <w:rPr>
          <w:rFonts w:hint="eastAsia" w:ascii="宋体" w:hAnsi="宋体" w:eastAsia="宋体" w:cs="宋体"/>
          <w:color w:val="000000"/>
          <w:sz w:val="24"/>
          <w:szCs w:val="24"/>
        </w:rPr>
      </w:pPr>
    </w:p>
    <w:p w14:paraId="26D19488">
      <w:pPr>
        <w:bidi w:val="0"/>
        <w:spacing w:line="400" w:lineRule="exact"/>
        <w:ind w:firstLine="4560" w:firstLineChars="1900"/>
        <w:jc w:val="right"/>
        <w:rPr>
          <w:rFonts w:hint="eastAsia" w:ascii="宋体" w:hAnsi="宋体" w:eastAsia="宋体" w:cs="宋体"/>
          <w:color w:val="000000"/>
          <w:sz w:val="24"/>
          <w:szCs w:val="24"/>
        </w:rPr>
      </w:pPr>
      <w:r>
        <w:rPr>
          <w:rFonts w:hint="eastAsia" w:ascii="宋体" w:hAnsi="宋体" w:eastAsia="宋体" w:cs="宋体"/>
          <w:color w:val="000000"/>
          <w:sz w:val="24"/>
        </w:rPr>
        <w:t>日      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2A7E19F5">
      <w:pPr>
        <w:rPr>
          <w:rFonts w:hint="eastAsia" w:ascii="宋体" w:hAnsi="宋体" w:eastAsia="宋体" w:cs="宋体"/>
        </w:rPr>
      </w:pPr>
    </w:p>
    <w:p w14:paraId="1A9DB91F">
      <w:pPr>
        <w:jc w:val="center"/>
        <w:rPr>
          <w:rFonts w:hint="eastAsia" w:ascii="宋体" w:hAnsi="宋体" w:eastAsia="宋体" w:cs="宋体"/>
          <w:b/>
          <w:color w:val="000000"/>
          <w:kern w:val="0"/>
          <w:sz w:val="28"/>
          <w:szCs w:val="20"/>
        </w:rPr>
      </w:pPr>
    </w:p>
    <w:p w14:paraId="2772FFE6">
      <w:pPr>
        <w:jc w:val="center"/>
        <w:rPr>
          <w:rFonts w:hint="eastAsia" w:ascii="宋体" w:hAnsi="宋体" w:eastAsia="宋体" w:cs="宋体"/>
          <w:b/>
          <w:color w:val="000000"/>
          <w:kern w:val="0"/>
          <w:sz w:val="28"/>
          <w:szCs w:val="20"/>
        </w:rPr>
      </w:pPr>
    </w:p>
    <w:p w14:paraId="4FA34E9A">
      <w:pPr>
        <w:jc w:val="center"/>
        <w:rPr>
          <w:rFonts w:hint="eastAsia" w:ascii="宋体" w:hAnsi="宋体" w:eastAsia="宋体" w:cs="宋体"/>
          <w:b/>
          <w:color w:val="000000"/>
          <w:kern w:val="0"/>
          <w:sz w:val="28"/>
          <w:szCs w:val="20"/>
        </w:rPr>
      </w:pPr>
    </w:p>
    <w:p w14:paraId="14995DF3">
      <w:pPr>
        <w:jc w:val="center"/>
        <w:rPr>
          <w:rFonts w:hint="eastAsia" w:ascii="宋体" w:hAnsi="宋体" w:eastAsia="宋体" w:cs="宋体"/>
          <w:b/>
          <w:color w:val="000000"/>
          <w:kern w:val="0"/>
          <w:sz w:val="28"/>
          <w:szCs w:val="20"/>
        </w:rPr>
      </w:pPr>
    </w:p>
    <w:p w14:paraId="5082EFF5">
      <w:pPr>
        <w:jc w:val="center"/>
        <w:rPr>
          <w:rFonts w:hint="eastAsia" w:ascii="宋体" w:hAnsi="宋体" w:eastAsia="宋体" w:cs="宋体"/>
          <w:b/>
          <w:color w:val="000000"/>
          <w:kern w:val="0"/>
          <w:sz w:val="28"/>
          <w:szCs w:val="20"/>
        </w:rPr>
      </w:pPr>
    </w:p>
    <w:p w14:paraId="11C08718">
      <w:pPr>
        <w:jc w:val="center"/>
        <w:rPr>
          <w:rFonts w:hint="eastAsia" w:ascii="宋体" w:hAnsi="宋体" w:eastAsia="宋体" w:cs="宋体"/>
          <w:b/>
          <w:color w:val="000000"/>
          <w:kern w:val="0"/>
          <w:sz w:val="28"/>
          <w:szCs w:val="20"/>
        </w:rPr>
      </w:pPr>
    </w:p>
    <w:p w14:paraId="1D268100">
      <w:pPr>
        <w:jc w:val="center"/>
        <w:rPr>
          <w:rFonts w:hint="eastAsia" w:ascii="宋体" w:hAnsi="宋体" w:eastAsia="宋体" w:cs="宋体"/>
          <w:b/>
          <w:color w:val="000000"/>
          <w:kern w:val="0"/>
          <w:sz w:val="28"/>
          <w:szCs w:val="20"/>
        </w:rPr>
      </w:pPr>
    </w:p>
    <w:p w14:paraId="649BA413">
      <w:pPr>
        <w:jc w:val="center"/>
        <w:rPr>
          <w:rFonts w:hint="eastAsia" w:ascii="宋体" w:hAnsi="宋体" w:eastAsia="宋体" w:cs="宋体"/>
          <w:b/>
          <w:color w:val="000000"/>
          <w:kern w:val="0"/>
          <w:sz w:val="28"/>
          <w:szCs w:val="20"/>
        </w:rPr>
      </w:pPr>
    </w:p>
    <w:p w14:paraId="283075EF">
      <w:pPr>
        <w:jc w:val="center"/>
        <w:rPr>
          <w:rFonts w:hint="eastAsia" w:ascii="宋体" w:hAnsi="宋体" w:eastAsia="宋体" w:cs="宋体"/>
          <w:b/>
          <w:color w:val="000000"/>
          <w:kern w:val="0"/>
          <w:sz w:val="28"/>
          <w:szCs w:val="20"/>
        </w:rPr>
      </w:pPr>
    </w:p>
    <w:p w14:paraId="78AE6AA0">
      <w:pPr>
        <w:jc w:val="center"/>
        <w:rPr>
          <w:rFonts w:hint="eastAsia" w:ascii="宋体" w:hAnsi="宋体" w:eastAsia="宋体" w:cs="宋体"/>
          <w:b/>
          <w:color w:val="000000"/>
          <w:kern w:val="0"/>
          <w:sz w:val="28"/>
          <w:szCs w:val="20"/>
        </w:rPr>
      </w:pPr>
    </w:p>
    <w:p w14:paraId="31500549">
      <w:pPr>
        <w:jc w:val="center"/>
        <w:rPr>
          <w:rFonts w:hint="eastAsia" w:ascii="宋体" w:hAnsi="宋体" w:eastAsia="宋体" w:cs="宋体"/>
          <w:b/>
          <w:color w:val="000000"/>
          <w:kern w:val="0"/>
          <w:sz w:val="28"/>
          <w:szCs w:val="20"/>
        </w:rPr>
      </w:pPr>
    </w:p>
    <w:p w14:paraId="37CFF70C">
      <w:pPr>
        <w:pStyle w:val="2"/>
        <w:rPr>
          <w:rFonts w:hint="eastAsia"/>
        </w:rPr>
      </w:pPr>
    </w:p>
    <w:p w14:paraId="1744D739">
      <w:pPr>
        <w:pStyle w:val="54"/>
        <w:rPr>
          <w:rFonts w:hint="eastAsia"/>
        </w:rPr>
      </w:pPr>
    </w:p>
    <w:p w14:paraId="42954F8A">
      <w:pPr>
        <w:jc w:val="both"/>
        <w:rPr>
          <w:rFonts w:hint="eastAsia" w:ascii="宋体" w:hAnsi="宋体" w:eastAsia="宋体" w:cs="宋体"/>
          <w:b/>
          <w:color w:val="000000"/>
          <w:kern w:val="0"/>
          <w:sz w:val="28"/>
          <w:szCs w:val="20"/>
        </w:rPr>
      </w:pPr>
    </w:p>
    <w:p w14:paraId="4A8FAF80">
      <w:pPr>
        <w:spacing w:line="360" w:lineRule="auto"/>
        <w:jc w:val="center"/>
        <w:outlineLvl w:val="1"/>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十</w:t>
      </w:r>
      <w:r>
        <w:rPr>
          <w:rFonts w:hint="eastAsia" w:ascii="宋体" w:hAnsi="宋体" w:cs="宋体"/>
          <w:b/>
          <w:bCs/>
          <w:sz w:val="30"/>
          <w:szCs w:val="30"/>
          <w:lang w:val="en-US" w:eastAsia="zh-CN"/>
        </w:rPr>
        <w:t>二</w:t>
      </w:r>
      <w:r>
        <w:rPr>
          <w:rFonts w:hint="eastAsia" w:ascii="宋体" w:hAnsi="宋体" w:eastAsia="宋体" w:cs="宋体"/>
          <w:b/>
          <w:bCs/>
          <w:sz w:val="30"/>
          <w:szCs w:val="30"/>
          <w:lang w:val="en-US" w:eastAsia="zh-CN"/>
        </w:rPr>
        <w:t>、其他材料</w:t>
      </w:r>
    </w:p>
    <w:p w14:paraId="2F1B4ACD">
      <w:pPr>
        <w:bidi w:val="0"/>
        <w:spacing w:line="360" w:lineRule="auto"/>
        <w:jc w:val="center"/>
        <w:outlineLvl w:val="2"/>
        <w:rPr>
          <w:rFonts w:hint="eastAsia" w:ascii="宋体" w:hAnsi="宋体" w:eastAsia="宋体" w:cs="宋体"/>
          <w:b/>
          <w:color w:val="000000"/>
          <w:sz w:val="28"/>
          <w:szCs w:val="28"/>
        </w:rPr>
      </w:pPr>
      <w:r>
        <w:rPr>
          <w:rFonts w:hint="eastAsia" w:ascii="宋体" w:hAnsi="宋体" w:eastAsia="宋体" w:cs="宋体"/>
          <w:b/>
          <w:color w:val="000000"/>
          <w:sz w:val="28"/>
          <w:szCs w:val="28"/>
          <w:lang w:val="en-US" w:eastAsia="zh-CN"/>
        </w:rPr>
        <w:t>1</w:t>
      </w:r>
      <w:r>
        <w:rPr>
          <w:rFonts w:hint="eastAsia" w:ascii="宋体" w:hAnsi="宋体" w:eastAsia="宋体" w:cs="宋体"/>
          <w:b/>
          <w:color w:val="000000"/>
          <w:sz w:val="28"/>
          <w:szCs w:val="28"/>
        </w:rPr>
        <w:t>、</w:t>
      </w:r>
      <w:r>
        <w:rPr>
          <w:rFonts w:hint="eastAsia" w:ascii="宋体" w:hAnsi="宋体" w:eastAsia="宋体" w:cs="宋体"/>
          <w:b/>
          <w:color w:val="000000"/>
          <w:sz w:val="28"/>
          <w:szCs w:val="28"/>
          <w:lang w:eastAsia="zh-CN"/>
        </w:rPr>
        <w:t>磋商</w:t>
      </w:r>
      <w:r>
        <w:rPr>
          <w:rFonts w:hint="eastAsia" w:ascii="宋体" w:hAnsi="宋体" w:eastAsia="宋体" w:cs="宋体"/>
          <w:b/>
          <w:color w:val="000000"/>
          <w:sz w:val="28"/>
          <w:szCs w:val="28"/>
        </w:rPr>
        <w:t>承诺函</w:t>
      </w:r>
    </w:p>
    <w:p w14:paraId="215CBE1B">
      <w:pPr>
        <w:pStyle w:val="30"/>
        <w:shd w:val="clear" w:color="auto" w:fill="FFFFFF"/>
        <w:bidi w:val="0"/>
        <w:spacing w:before="0" w:beforeLines="0" w:beforeAutospacing="0" w:after="0" w:afterLines="0" w:afterAutospacing="0" w:line="360" w:lineRule="auto"/>
        <w:jc w:val="both"/>
        <w:rPr>
          <w:rFonts w:hint="eastAsia" w:ascii="宋体" w:hAnsi="宋体" w:eastAsia="宋体" w:cs="宋体"/>
          <w:color w:val="000000"/>
          <w:spacing w:val="8"/>
          <w:sz w:val="24"/>
          <w:szCs w:val="24"/>
          <w:lang w:val="en-US" w:eastAsia="zh-CN"/>
        </w:rPr>
      </w:pPr>
      <w:r>
        <w:rPr>
          <w:rFonts w:hint="eastAsia" w:ascii="宋体" w:hAnsi="宋体" w:eastAsia="宋体" w:cs="宋体"/>
          <w:color w:val="000000"/>
          <w:sz w:val="24"/>
          <w:szCs w:val="24"/>
          <w:shd w:val="clear" w:color="auto" w:fill="FFFFFF"/>
        </w:rPr>
        <w:t>致</w:t>
      </w:r>
      <w:r>
        <w:rPr>
          <w:rFonts w:hint="eastAsia" w:ascii="宋体" w:hAnsi="宋体" w:eastAsia="宋体" w:cs="宋体"/>
          <w:color w:val="000000"/>
          <w:spacing w:val="8"/>
          <w:sz w:val="24"/>
          <w:szCs w:val="24"/>
          <w:shd w:val="clear" w:color="auto" w:fill="FFFFFF"/>
        </w:rPr>
        <w:t>：</w:t>
      </w:r>
      <w:r>
        <w:rPr>
          <w:rFonts w:hint="eastAsia" w:ascii="宋体" w:hAnsi="宋体" w:eastAsia="宋体" w:cs="宋体"/>
          <w:color w:val="000000"/>
          <w:sz w:val="24"/>
          <w:szCs w:val="24"/>
          <w:u w:val="single"/>
          <w:shd w:val="clear" w:color="auto" w:fill="FFFFFF"/>
        </w:rPr>
        <w:t>（采购人及采购代理机构）</w:t>
      </w:r>
      <w:r>
        <w:rPr>
          <w:rFonts w:hint="eastAsia" w:ascii="宋体" w:hAnsi="宋体" w:eastAsia="宋体" w:cs="宋体"/>
          <w:color w:val="000000"/>
          <w:sz w:val="24"/>
          <w:szCs w:val="24"/>
          <w:u w:val="single"/>
          <w:shd w:val="clear" w:color="auto" w:fill="FFFFFF"/>
          <w:lang w:val="en-US" w:eastAsia="zh-CN"/>
        </w:rPr>
        <w:t xml:space="preserve"> </w:t>
      </w:r>
    </w:p>
    <w:p w14:paraId="6A89AEFB">
      <w:pPr>
        <w:bidi w:val="0"/>
        <w:spacing w:line="360" w:lineRule="auto"/>
        <w:ind w:firstLine="512" w:firstLineChars="200"/>
        <w:rPr>
          <w:rFonts w:hint="eastAsia" w:ascii="宋体" w:hAnsi="宋体" w:eastAsia="宋体" w:cs="宋体"/>
          <w:color w:val="000000"/>
          <w:sz w:val="24"/>
          <w:szCs w:val="24"/>
        </w:rPr>
      </w:pPr>
      <w:r>
        <w:rPr>
          <w:rFonts w:hint="eastAsia" w:ascii="宋体" w:hAnsi="宋体" w:eastAsia="宋体" w:cs="宋体"/>
          <w:color w:val="000000"/>
          <w:spacing w:val="8"/>
          <w:sz w:val="24"/>
          <w:szCs w:val="24"/>
          <w:shd w:val="clear" w:color="auto" w:fill="FFFFFF"/>
        </w:rPr>
        <w:t>我</w:t>
      </w:r>
      <w:r>
        <w:rPr>
          <w:rFonts w:hint="eastAsia" w:ascii="宋体" w:hAnsi="宋体" w:eastAsia="宋体" w:cs="宋体"/>
          <w:color w:val="000000"/>
          <w:sz w:val="24"/>
          <w:szCs w:val="24"/>
        </w:rPr>
        <w:t>公司作为本次采购项目的供应商，根据</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文件要求，现郑重承诺如下：</w:t>
      </w:r>
    </w:p>
    <w:p w14:paraId="35D49D7F">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一、具备《中华人民共和国政府采购法》第二十二条第一款和本项目规定的条件：</w:t>
      </w:r>
    </w:p>
    <w:p w14:paraId="2EF590EB">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（一）具有独立承担民事责任的能力； 　　</w:t>
      </w:r>
    </w:p>
    <w:p w14:paraId="77A1983C">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（二）具有良好的商业信誉和健全的财务会计制度； 　</w:t>
      </w:r>
    </w:p>
    <w:p w14:paraId="79C6C730">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（三）具有履行合同所必需的设备和专业技术能力； 　　</w:t>
      </w:r>
    </w:p>
    <w:p w14:paraId="08F066FF">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（四）有依法缴纳税收和社会保障资金的良好记录； 　　</w:t>
      </w:r>
    </w:p>
    <w:p w14:paraId="5B6C8CB7">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（五）参加政府采购活动前三年内，在经营活动中没有重大违法记录；</w:t>
      </w:r>
    </w:p>
    <w:p w14:paraId="1682A793">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（六）法律、行政法规规定的其他条件；</w:t>
      </w:r>
    </w:p>
    <w:p w14:paraId="6876306B">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（七）根据采购项目提出的特殊条件。</w:t>
      </w:r>
    </w:p>
    <w:p w14:paraId="02AA5B22">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二、完全接受和满足本项目</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文件中规定的实质性要求，如对</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文件有异议，已经在</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截止时间届满前依法进行维权救济，不存在对</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文件有异议的同时又参加</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以求侥幸</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或者为实现其他非法目的的行为。</w:t>
      </w:r>
    </w:p>
    <w:p w14:paraId="342EA8C0">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三、参加本次</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采购活动，不存在与单位负责人为同一人或者存在直接控股、管理关系的其他供应商参与同一合同项下的政府采购活动的行为。    </w:t>
      </w:r>
    </w:p>
    <w:p w14:paraId="20FF9628">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四、参加本次</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采购活动，不存在为采购项目提供整体设计、规范编制或者项目管理、监理、检测等服务的行为。</w:t>
      </w:r>
    </w:p>
    <w:p w14:paraId="3B9A9EAE">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五、参加本次</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采购活动，不存在和其他供应商在同一合同项下的采购项目中，同时委托同一个自然人、同一家庭的人员、同一单位的人员作为代理人的行为。</w:t>
      </w:r>
    </w:p>
    <w:p w14:paraId="1DC85321">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六、供应商参加本次</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采购活动要求在近三年内供应商和其法定代表人没有行贿犯罪行为。</w:t>
      </w:r>
    </w:p>
    <w:p w14:paraId="2C94BF05">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七、参加本次</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采购活动，不存在联合体</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w:t>
      </w:r>
    </w:p>
    <w:p w14:paraId="06CEBB24">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八、</w:t>
      </w:r>
      <w:r>
        <w:rPr>
          <w:rFonts w:hint="eastAsia" w:ascii="宋体" w:hAnsi="宋体" w:eastAsia="宋体" w:cs="宋体"/>
          <w:color w:val="000000"/>
          <w:sz w:val="24"/>
          <w:szCs w:val="24"/>
          <w:lang w:eastAsia="zh-CN"/>
        </w:rPr>
        <w:t>响应文件</w:t>
      </w:r>
      <w:r>
        <w:rPr>
          <w:rFonts w:hint="eastAsia" w:ascii="宋体" w:hAnsi="宋体" w:eastAsia="宋体" w:cs="宋体"/>
          <w:color w:val="000000"/>
          <w:sz w:val="24"/>
          <w:szCs w:val="24"/>
        </w:rPr>
        <w:t>中提供的能够给予我公司带来优惠、好处的任何材料资料和技术、服务、商务等</w:t>
      </w:r>
      <w:r>
        <w:rPr>
          <w:rFonts w:hint="eastAsia" w:ascii="宋体" w:hAnsi="宋体" w:eastAsia="宋体" w:cs="宋体"/>
          <w:color w:val="000000"/>
          <w:sz w:val="24"/>
          <w:szCs w:val="24"/>
          <w:lang w:eastAsia="zh-CN"/>
        </w:rPr>
        <w:t>相应</w:t>
      </w:r>
      <w:r>
        <w:rPr>
          <w:rFonts w:hint="eastAsia" w:ascii="宋体" w:hAnsi="宋体" w:eastAsia="宋体" w:cs="宋体"/>
          <w:color w:val="000000"/>
          <w:sz w:val="24"/>
          <w:szCs w:val="24"/>
        </w:rPr>
        <w:t>承诺情况都是真实的、有效的、合法的。</w:t>
      </w:r>
    </w:p>
    <w:p w14:paraId="51A04DF5">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九、如本项目</w:t>
      </w:r>
      <w:r>
        <w:rPr>
          <w:rFonts w:hint="eastAsia" w:ascii="宋体" w:hAnsi="宋体" w:eastAsia="宋体" w:cs="宋体"/>
          <w:color w:val="000000"/>
          <w:sz w:val="24"/>
          <w:szCs w:val="24"/>
          <w:lang w:eastAsia="zh-CN"/>
        </w:rPr>
        <w:t>磋商</w:t>
      </w:r>
      <w:r>
        <w:rPr>
          <w:rFonts w:hint="eastAsia" w:ascii="宋体" w:hAnsi="宋体" w:eastAsia="宋体" w:cs="宋体"/>
          <w:color w:val="000000"/>
          <w:sz w:val="24"/>
          <w:szCs w:val="24"/>
        </w:rPr>
        <w:t>过程中需要提供样品，则我公司提供的样品即为</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后将要提供的</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产品，我公司对提供样品的性能和质量负责，因样品存在缺陷或者不符合</w:t>
      </w:r>
      <w:r>
        <w:rPr>
          <w:rFonts w:hint="eastAsia" w:ascii="宋体" w:hAnsi="宋体" w:eastAsia="宋体" w:cs="宋体"/>
          <w:color w:val="000000"/>
          <w:sz w:val="24"/>
          <w:szCs w:val="24"/>
          <w:lang w:val="en-US" w:eastAsia="zh-CN"/>
        </w:rPr>
        <w:t>采购</w:t>
      </w:r>
      <w:r>
        <w:rPr>
          <w:rFonts w:hint="eastAsia" w:ascii="宋体" w:hAnsi="宋体" w:eastAsia="宋体" w:cs="宋体"/>
          <w:color w:val="000000"/>
          <w:sz w:val="24"/>
          <w:szCs w:val="24"/>
        </w:rPr>
        <w:t>文件要求导致未能</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的，我公司愿意承担相应不利后果。（如提供样品）    </w:t>
      </w:r>
    </w:p>
    <w:p w14:paraId="0C691D77">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十、存在以下行为之一的愿意接受相关部门的处理：</w:t>
      </w:r>
    </w:p>
    <w:p w14:paraId="2FA9A7B1">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eastAsia="宋体" w:cs="宋体"/>
          <w:sz w:val="24"/>
          <w:szCs w:val="24"/>
          <w:lang w:eastAsia="zh-CN"/>
        </w:rPr>
        <w:t>磋商</w:t>
      </w:r>
      <w:r>
        <w:rPr>
          <w:rFonts w:hint="eastAsia" w:ascii="宋体" w:hAnsi="宋体" w:eastAsia="宋体" w:cs="宋体"/>
          <w:sz w:val="24"/>
          <w:szCs w:val="24"/>
        </w:rPr>
        <w:t>有效期内撤销</w:t>
      </w:r>
      <w:r>
        <w:rPr>
          <w:rFonts w:hint="eastAsia" w:ascii="宋体" w:hAnsi="宋体" w:eastAsia="宋体" w:cs="宋体"/>
          <w:sz w:val="24"/>
          <w:szCs w:val="24"/>
          <w:lang w:eastAsia="zh-CN"/>
        </w:rPr>
        <w:t>响应文件</w:t>
      </w:r>
      <w:r>
        <w:rPr>
          <w:rFonts w:hint="eastAsia" w:ascii="宋体" w:hAnsi="宋体" w:eastAsia="宋体" w:cs="宋体"/>
          <w:sz w:val="24"/>
          <w:szCs w:val="24"/>
        </w:rPr>
        <w:t>的；</w:t>
      </w:r>
    </w:p>
    <w:p w14:paraId="46DA1EFD">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（二）在采购人确定成交人以前放弃</w:t>
      </w:r>
      <w:r>
        <w:rPr>
          <w:rFonts w:hint="eastAsia" w:ascii="宋体" w:hAnsi="宋体" w:eastAsia="宋体" w:cs="宋体"/>
          <w:sz w:val="24"/>
          <w:szCs w:val="24"/>
          <w:lang w:eastAsia="zh-CN"/>
        </w:rPr>
        <w:t>成交</w:t>
      </w:r>
      <w:r>
        <w:rPr>
          <w:rFonts w:hint="eastAsia" w:ascii="宋体" w:hAnsi="宋体" w:eastAsia="宋体" w:cs="宋体"/>
          <w:sz w:val="24"/>
          <w:szCs w:val="24"/>
        </w:rPr>
        <w:t>候选资格的；</w:t>
      </w:r>
    </w:p>
    <w:p w14:paraId="32A6B6BB">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（三）由于成交人的原因未能按照</w:t>
      </w:r>
      <w:r>
        <w:rPr>
          <w:rFonts w:hint="eastAsia" w:ascii="宋体" w:hAnsi="宋体" w:eastAsia="宋体" w:cs="宋体"/>
          <w:sz w:val="24"/>
          <w:szCs w:val="24"/>
          <w:lang w:val="en-US" w:eastAsia="zh-CN"/>
        </w:rPr>
        <w:t>采购</w:t>
      </w:r>
      <w:r>
        <w:rPr>
          <w:rFonts w:hint="eastAsia" w:ascii="宋体" w:hAnsi="宋体" w:eastAsia="宋体" w:cs="宋体"/>
          <w:sz w:val="24"/>
          <w:szCs w:val="24"/>
        </w:rPr>
        <w:t>文件的规定与采购人签订合同；</w:t>
      </w:r>
    </w:p>
    <w:p w14:paraId="419C8025">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四</w:t>
      </w:r>
      <w:r>
        <w:rPr>
          <w:rFonts w:hint="eastAsia" w:ascii="宋体" w:hAnsi="宋体" w:eastAsia="宋体" w:cs="宋体"/>
          <w:sz w:val="24"/>
          <w:szCs w:val="24"/>
        </w:rPr>
        <w:t>）在</w:t>
      </w:r>
      <w:r>
        <w:rPr>
          <w:rFonts w:hint="eastAsia" w:ascii="宋体" w:hAnsi="宋体" w:eastAsia="宋体" w:cs="宋体"/>
          <w:sz w:val="24"/>
          <w:szCs w:val="24"/>
          <w:lang w:eastAsia="zh-CN"/>
        </w:rPr>
        <w:t>响应文件</w:t>
      </w:r>
      <w:r>
        <w:rPr>
          <w:rFonts w:hint="eastAsia" w:ascii="宋体" w:hAnsi="宋体" w:eastAsia="宋体" w:cs="宋体"/>
          <w:sz w:val="24"/>
          <w:szCs w:val="24"/>
        </w:rPr>
        <w:t>中提供虚假材料谋取</w:t>
      </w:r>
      <w:r>
        <w:rPr>
          <w:rFonts w:hint="eastAsia" w:ascii="宋体" w:hAnsi="宋体" w:eastAsia="宋体" w:cs="宋体"/>
          <w:sz w:val="24"/>
          <w:szCs w:val="24"/>
          <w:lang w:val="en-US" w:eastAsia="zh-CN"/>
        </w:rPr>
        <w:t>成交</w:t>
      </w:r>
      <w:r>
        <w:rPr>
          <w:rFonts w:hint="eastAsia" w:ascii="宋体" w:hAnsi="宋体" w:eastAsia="宋体" w:cs="宋体"/>
          <w:sz w:val="24"/>
          <w:szCs w:val="24"/>
        </w:rPr>
        <w:t>；</w:t>
      </w:r>
    </w:p>
    <w:p w14:paraId="7792A954">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五</w:t>
      </w:r>
      <w:r>
        <w:rPr>
          <w:rFonts w:hint="eastAsia" w:ascii="宋体" w:hAnsi="宋体" w:eastAsia="宋体" w:cs="宋体"/>
          <w:sz w:val="24"/>
          <w:szCs w:val="24"/>
        </w:rPr>
        <w:t>）与采购人、其他供应商或者采购代理机构恶意串通的；</w:t>
      </w:r>
    </w:p>
    <w:p w14:paraId="03FC027C">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六</w:t>
      </w:r>
      <w:r>
        <w:rPr>
          <w:rFonts w:hint="eastAsia" w:ascii="宋体" w:hAnsi="宋体" w:eastAsia="宋体" w:cs="宋体"/>
          <w:sz w:val="24"/>
          <w:szCs w:val="24"/>
        </w:rPr>
        <w:t>）</w:t>
      </w:r>
      <w:r>
        <w:rPr>
          <w:rFonts w:hint="eastAsia" w:ascii="宋体" w:hAnsi="宋体" w:eastAsia="宋体" w:cs="宋体"/>
          <w:sz w:val="24"/>
          <w:szCs w:val="24"/>
          <w:lang w:eastAsia="zh-CN"/>
        </w:rPr>
        <w:t>磋商</w:t>
      </w:r>
      <w:r>
        <w:rPr>
          <w:rFonts w:hint="eastAsia" w:ascii="宋体" w:hAnsi="宋体" w:eastAsia="宋体" w:cs="宋体"/>
          <w:sz w:val="24"/>
          <w:szCs w:val="24"/>
        </w:rPr>
        <w:t>有效期内，供应商在政府采购活动中有违法、违规、违纪行为。</w:t>
      </w:r>
    </w:p>
    <w:p w14:paraId="1FF02901">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由此产生的一切法律后果和责任由我公司承担。我公司声明放弃对此提出任何异议和追索的权利。</w:t>
      </w:r>
    </w:p>
    <w:p w14:paraId="23397F5A">
      <w:pPr>
        <w:bidi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本公司对上述承诺的内容事项真实性负责。如经查实上述承诺的内容事项存在虚假，我公司愿意接受以提供虚假材料谋取</w:t>
      </w:r>
      <w:r>
        <w:rPr>
          <w:rFonts w:hint="eastAsia" w:ascii="宋体" w:hAnsi="宋体" w:eastAsia="宋体" w:cs="宋体"/>
          <w:color w:val="000000"/>
          <w:sz w:val="24"/>
          <w:szCs w:val="24"/>
          <w:lang w:val="en-US" w:eastAsia="zh-CN"/>
        </w:rPr>
        <w:t>成交</w:t>
      </w:r>
      <w:r>
        <w:rPr>
          <w:rFonts w:hint="eastAsia" w:ascii="宋体" w:hAnsi="宋体" w:eastAsia="宋体" w:cs="宋体"/>
          <w:color w:val="000000"/>
          <w:sz w:val="24"/>
          <w:szCs w:val="24"/>
        </w:rPr>
        <w:t>追究法律责任。</w:t>
      </w:r>
    </w:p>
    <w:p w14:paraId="6C20B06F">
      <w:pPr>
        <w:jc w:val="both"/>
        <w:rPr>
          <w:rFonts w:hint="eastAsia" w:ascii="宋体" w:hAnsi="宋体" w:eastAsia="宋体" w:cs="宋体"/>
          <w:b/>
          <w:color w:val="000000"/>
          <w:kern w:val="0"/>
          <w:sz w:val="28"/>
          <w:szCs w:val="20"/>
        </w:rPr>
      </w:pPr>
    </w:p>
    <w:p w14:paraId="0701869B">
      <w:pPr>
        <w:jc w:val="center"/>
        <w:rPr>
          <w:rFonts w:hint="eastAsia" w:ascii="宋体" w:hAnsi="宋体" w:eastAsia="宋体" w:cs="宋体"/>
          <w:b/>
          <w:color w:val="000000"/>
          <w:kern w:val="0"/>
          <w:sz w:val="28"/>
          <w:szCs w:val="20"/>
        </w:rPr>
      </w:pPr>
    </w:p>
    <w:p w14:paraId="144E5440">
      <w:pPr>
        <w:jc w:val="center"/>
        <w:rPr>
          <w:rFonts w:hint="eastAsia" w:ascii="宋体" w:hAnsi="宋体" w:eastAsia="宋体" w:cs="宋体"/>
          <w:b/>
          <w:color w:val="000000"/>
          <w:kern w:val="0"/>
          <w:sz w:val="28"/>
          <w:szCs w:val="20"/>
        </w:rPr>
      </w:pPr>
    </w:p>
    <w:p w14:paraId="62F42BC9">
      <w:pPr>
        <w:jc w:val="center"/>
        <w:rPr>
          <w:rFonts w:hint="eastAsia" w:ascii="宋体" w:hAnsi="宋体" w:eastAsia="宋体" w:cs="宋体"/>
          <w:b/>
          <w:color w:val="000000"/>
          <w:kern w:val="0"/>
          <w:sz w:val="28"/>
          <w:szCs w:val="20"/>
        </w:rPr>
      </w:pPr>
    </w:p>
    <w:p w14:paraId="0D54BB67">
      <w:pPr>
        <w:jc w:val="center"/>
        <w:rPr>
          <w:rFonts w:hint="eastAsia" w:ascii="宋体" w:hAnsi="宋体" w:eastAsia="宋体" w:cs="宋体"/>
          <w:b/>
          <w:color w:val="000000"/>
          <w:kern w:val="0"/>
          <w:sz w:val="28"/>
          <w:szCs w:val="20"/>
        </w:rPr>
      </w:pPr>
    </w:p>
    <w:p w14:paraId="616B0294">
      <w:pPr>
        <w:bidi w:val="0"/>
        <w:spacing w:line="400" w:lineRule="exact"/>
        <w:ind w:firstLine="3840" w:firstLineChars="16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379A40F3">
      <w:pPr>
        <w:bidi w:val="0"/>
        <w:spacing w:line="400" w:lineRule="exact"/>
        <w:ind w:firstLine="4440" w:firstLineChars="1850"/>
        <w:rPr>
          <w:rFonts w:hint="eastAsia" w:ascii="宋体" w:hAnsi="宋体" w:eastAsia="宋体" w:cs="宋体"/>
          <w:color w:val="000000"/>
          <w:sz w:val="24"/>
          <w:szCs w:val="24"/>
        </w:rPr>
      </w:pPr>
    </w:p>
    <w:p w14:paraId="16D4AC7B">
      <w:pPr>
        <w:bidi w:val="0"/>
        <w:spacing w:line="360" w:lineRule="auto"/>
        <w:jc w:val="right"/>
        <w:rPr>
          <w:rFonts w:hint="eastAsia"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u w:val="none"/>
        </w:rPr>
        <w:t>法定代表人电子签名</w:t>
      </w:r>
      <w:r>
        <w:rPr>
          <w:rFonts w:hint="eastAsia" w:ascii="宋体" w:hAnsi="宋体" w:eastAsia="宋体" w:cs="宋体"/>
          <w:color w:val="000000"/>
          <w:sz w:val="24"/>
          <w:szCs w:val="24"/>
          <w:u w:val="none"/>
          <w:lang w:val="en-US" w:eastAsia="zh-CN"/>
        </w:rPr>
        <w:t>或签章</w:t>
      </w:r>
      <w:r>
        <w:rPr>
          <w:rFonts w:hint="eastAsia" w:ascii="宋体" w:hAnsi="宋体" w:eastAsia="宋体" w:cs="宋体"/>
          <w:color w:val="000000"/>
          <w:sz w:val="24"/>
          <w:szCs w:val="24"/>
          <w:lang w:eastAsia="zh-CN"/>
        </w:rPr>
        <w:t>）</w:t>
      </w:r>
    </w:p>
    <w:p w14:paraId="0DBC79AE">
      <w:pPr>
        <w:bidi w:val="0"/>
        <w:spacing w:line="400" w:lineRule="exact"/>
        <w:ind w:firstLine="4440" w:firstLineChars="1850"/>
        <w:rPr>
          <w:rFonts w:hint="eastAsia" w:ascii="宋体" w:hAnsi="宋体" w:eastAsia="宋体" w:cs="宋体"/>
          <w:color w:val="000000"/>
          <w:sz w:val="24"/>
          <w:szCs w:val="24"/>
        </w:rPr>
      </w:pPr>
    </w:p>
    <w:p w14:paraId="4440E7A4">
      <w:pPr>
        <w:bidi w:val="0"/>
        <w:spacing w:line="400" w:lineRule="exact"/>
        <w:ind w:firstLine="4560" w:firstLineChars="1900"/>
        <w:jc w:val="right"/>
        <w:rPr>
          <w:rFonts w:hint="eastAsia" w:ascii="宋体" w:hAnsi="宋体" w:eastAsia="宋体" w:cs="宋体"/>
          <w:color w:val="000000"/>
          <w:sz w:val="24"/>
          <w:szCs w:val="24"/>
        </w:rPr>
      </w:pPr>
      <w:r>
        <w:rPr>
          <w:rFonts w:hint="eastAsia" w:ascii="宋体" w:hAnsi="宋体" w:eastAsia="宋体" w:cs="宋体"/>
          <w:color w:val="000000"/>
          <w:sz w:val="24"/>
        </w:rPr>
        <w:t>日      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5D46E051">
      <w:pPr>
        <w:jc w:val="center"/>
        <w:rPr>
          <w:rFonts w:hint="eastAsia" w:ascii="宋体" w:hAnsi="宋体" w:eastAsia="宋体" w:cs="宋体"/>
          <w:b/>
          <w:color w:val="000000"/>
          <w:kern w:val="0"/>
          <w:sz w:val="28"/>
          <w:szCs w:val="20"/>
        </w:rPr>
      </w:pPr>
    </w:p>
    <w:p w14:paraId="751E2E55">
      <w:pPr>
        <w:jc w:val="center"/>
        <w:rPr>
          <w:rFonts w:hint="eastAsia" w:ascii="宋体" w:hAnsi="宋体" w:eastAsia="宋体" w:cs="宋体"/>
          <w:b/>
          <w:color w:val="000000"/>
          <w:kern w:val="0"/>
          <w:sz w:val="28"/>
          <w:szCs w:val="20"/>
        </w:rPr>
      </w:pPr>
    </w:p>
    <w:p w14:paraId="343F167A">
      <w:pPr>
        <w:jc w:val="center"/>
        <w:rPr>
          <w:rFonts w:hint="eastAsia" w:ascii="宋体" w:hAnsi="宋体" w:eastAsia="宋体" w:cs="宋体"/>
          <w:b/>
          <w:color w:val="000000"/>
          <w:kern w:val="0"/>
          <w:sz w:val="28"/>
          <w:szCs w:val="20"/>
        </w:rPr>
      </w:pPr>
    </w:p>
    <w:p w14:paraId="7CCBDF15">
      <w:pPr>
        <w:jc w:val="center"/>
        <w:rPr>
          <w:rFonts w:hint="eastAsia" w:ascii="宋体" w:hAnsi="宋体" w:eastAsia="宋体" w:cs="宋体"/>
          <w:b/>
          <w:color w:val="000000"/>
          <w:kern w:val="0"/>
          <w:sz w:val="28"/>
          <w:szCs w:val="20"/>
        </w:rPr>
      </w:pPr>
    </w:p>
    <w:p w14:paraId="5FC5852C">
      <w:pPr>
        <w:jc w:val="center"/>
        <w:rPr>
          <w:rFonts w:hint="eastAsia" w:ascii="宋体" w:hAnsi="宋体" w:eastAsia="宋体" w:cs="宋体"/>
          <w:b/>
          <w:color w:val="000000"/>
          <w:kern w:val="0"/>
          <w:sz w:val="28"/>
          <w:szCs w:val="20"/>
        </w:rPr>
      </w:pPr>
    </w:p>
    <w:p w14:paraId="4A2FC7B2">
      <w:pPr>
        <w:jc w:val="center"/>
        <w:rPr>
          <w:rFonts w:hint="eastAsia" w:ascii="宋体" w:hAnsi="宋体" w:eastAsia="宋体" w:cs="宋体"/>
          <w:b/>
          <w:color w:val="000000"/>
          <w:kern w:val="0"/>
          <w:sz w:val="28"/>
          <w:szCs w:val="20"/>
        </w:rPr>
      </w:pPr>
    </w:p>
    <w:p w14:paraId="1C7337FB">
      <w:pPr>
        <w:jc w:val="center"/>
        <w:rPr>
          <w:rFonts w:hint="eastAsia" w:ascii="宋体" w:hAnsi="宋体" w:eastAsia="宋体" w:cs="宋体"/>
          <w:b/>
          <w:color w:val="000000"/>
          <w:kern w:val="0"/>
          <w:sz w:val="28"/>
          <w:szCs w:val="20"/>
        </w:rPr>
      </w:pPr>
    </w:p>
    <w:p w14:paraId="24150106">
      <w:pPr>
        <w:jc w:val="center"/>
        <w:rPr>
          <w:rFonts w:hint="eastAsia" w:ascii="宋体" w:hAnsi="宋体" w:eastAsia="宋体" w:cs="宋体"/>
          <w:b/>
          <w:color w:val="000000"/>
          <w:kern w:val="0"/>
          <w:sz w:val="28"/>
          <w:szCs w:val="20"/>
        </w:rPr>
      </w:pPr>
    </w:p>
    <w:p w14:paraId="4BDF12F8">
      <w:pPr>
        <w:jc w:val="center"/>
        <w:rPr>
          <w:rFonts w:hint="eastAsia" w:ascii="宋体" w:hAnsi="宋体" w:eastAsia="宋体" w:cs="宋体"/>
          <w:b/>
          <w:color w:val="000000"/>
          <w:kern w:val="0"/>
          <w:sz w:val="28"/>
          <w:szCs w:val="20"/>
        </w:rPr>
      </w:pPr>
    </w:p>
    <w:p w14:paraId="5287ABEE">
      <w:pPr>
        <w:jc w:val="center"/>
        <w:rPr>
          <w:rFonts w:hint="eastAsia" w:ascii="宋体" w:hAnsi="宋体" w:eastAsia="宋体" w:cs="宋体"/>
          <w:b/>
          <w:color w:val="000000"/>
          <w:kern w:val="0"/>
          <w:sz w:val="28"/>
          <w:szCs w:val="20"/>
        </w:rPr>
      </w:pPr>
    </w:p>
    <w:p w14:paraId="1C371C17">
      <w:pPr>
        <w:jc w:val="center"/>
        <w:rPr>
          <w:rFonts w:hint="eastAsia" w:ascii="宋体" w:hAnsi="宋体" w:eastAsia="宋体" w:cs="宋体"/>
          <w:b/>
          <w:color w:val="000000"/>
          <w:kern w:val="0"/>
          <w:sz w:val="28"/>
          <w:szCs w:val="20"/>
        </w:rPr>
      </w:pPr>
    </w:p>
    <w:p w14:paraId="06CC44FE">
      <w:pPr>
        <w:jc w:val="center"/>
        <w:rPr>
          <w:rFonts w:hint="eastAsia" w:ascii="宋体" w:hAnsi="宋体" w:eastAsia="宋体" w:cs="宋体"/>
          <w:b/>
          <w:color w:val="000000"/>
          <w:kern w:val="0"/>
          <w:sz w:val="28"/>
          <w:szCs w:val="20"/>
        </w:rPr>
      </w:pPr>
    </w:p>
    <w:p w14:paraId="26F55BC6">
      <w:pPr>
        <w:jc w:val="center"/>
        <w:rPr>
          <w:rFonts w:hint="eastAsia" w:ascii="宋体" w:hAnsi="宋体" w:eastAsia="宋体" w:cs="宋体"/>
          <w:b/>
          <w:color w:val="000000"/>
          <w:kern w:val="0"/>
          <w:sz w:val="28"/>
          <w:szCs w:val="20"/>
        </w:rPr>
      </w:pPr>
    </w:p>
    <w:p w14:paraId="323E02CD">
      <w:pPr>
        <w:jc w:val="center"/>
        <w:rPr>
          <w:rFonts w:hint="eastAsia" w:ascii="宋体" w:hAnsi="宋体" w:eastAsia="宋体" w:cs="宋体"/>
          <w:b/>
          <w:color w:val="000000"/>
          <w:kern w:val="0"/>
          <w:sz w:val="28"/>
          <w:szCs w:val="20"/>
        </w:rPr>
      </w:pPr>
    </w:p>
    <w:p w14:paraId="69E974C8">
      <w:pPr>
        <w:bidi w:val="0"/>
        <w:spacing w:line="360" w:lineRule="auto"/>
        <w:jc w:val="both"/>
        <w:rPr>
          <w:rFonts w:hint="eastAsia" w:ascii="宋体" w:hAnsi="宋体" w:eastAsia="宋体" w:cs="宋体"/>
          <w:b/>
          <w:color w:val="000000"/>
          <w:sz w:val="24"/>
          <w:szCs w:val="24"/>
          <w:lang w:val="en-US" w:eastAsia="zh-CN"/>
        </w:rPr>
      </w:pPr>
    </w:p>
    <w:p w14:paraId="77D8D12E">
      <w:pPr>
        <w:bidi w:val="0"/>
        <w:spacing w:line="360" w:lineRule="auto"/>
        <w:jc w:val="center"/>
        <w:outlineLvl w:val="2"/>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2、采购代理服务费承诺函</w:t>
      </w:r>
    </w:p>
    <w:p w14:paraId="6D0419CC">
      <w:pPr>
        <w:pStyle w:val="30"/>
        <w:shd w:val="clear" w:color="auto" w:fill="FFFFFF"/>
        <w:bidi w:val="0"/>
        <w:spacing w:before="0" w:beforeLines="0" w:beforeAutospacing="0" w:after="0" w:afterLines="0" w:afterAutospacing="0"/>
        <w:jc w:val="both"/>
        <w:rPr>
          <w:rFonts w:hint="eastAsia" w:ascii="宋体" w:hAnsi="宋体" w:eastAsia="宋体" w:cs="宋体"/>
          <w:color w:val="000000"/>
          <w:spacing w:val="8"/>
          <w:sz w:val="21"/>
          <w:szCs w:val="21"/>
        </w:rPr>
      </w:pPr>
      <w:r>
        <w:rPr>
          <w:rFonts w:hint="eastAsia" w:ascii="宋体" w:hAnsi="宋体" w:eastAsia="宋体" w:cs="宋体"/>
          <w:color w:val="000000"/>
          <w:spacing w:val="8"/>
          <w:sz w:val="21"/>
          <w:szCs w:val="21"/>
          <w:shd w:val="clear" w:color="auto" w:fill="FFFFFF"/>
        </w:rPr>
        <w:t> </w:t>
      </w:r>
    </w:p>
    <w:p w14:paraId="03EB8AE2">
      <w:pPr>
        <w:pStyle w:val="30"/>
        <w:shd w:val="clear" w:color="auto" w:fill="FFFFFF"/>
        <w:bidi w:val="0"/>
        <w:spacing w:before="0" w:beforeLines="0" w:beforeAutospacing="0" w:after="0" w:afterLines="0" w:afterAutospacing="0" w:line="360" w:lineRule="auto"/>
        <w:jc w:val="both"/>
        <w:rPr>
          <w:rFonts w:hint="eastAsia" w:ascii="宋体" w:hAnsi="宋体" w:eastAsia="宋体" w:cs="宋体"/>
          <w:color w:val="000000"/>
          <w:spacing w:val="8"/>
          <w:sz w:val="24"/>
          <w:szCs w:val="24"/>
        </w:rPr>
      </w:pPr>
      <w:r>
        <w:rPr>
          <w:rFonts w:hint="eastAsia" w:ascii="宋体" w:hAnsi="宋体" w:eastAsia="宋体" w:cs="宋体"/>
          <w:color w:val="000000"/>
          <w:spacing w:val="8"/>
          <w:sz w:val="24"/>
          <w:szCs w:val="24"/>
          <w:shd w:val="clear" w:color="auto" w:fill="FFFFFF"/>
        </w:rPr>
        <w:t>致：</w:t>
      </w:r>
      <w:r>
        <w:rPr>
          <w:rFonts w:hint="eastAsia" w:ascii="宋体" w:hAnsi="宋体" w:eastAsia="宋体" w:cs="宋体"/>
          <w:color w:val="000000"/>
          <w:spacing w:val="8"/>
          <w:sz w:val="24"/>
          <w:szCs w:val="24"/>
          <w:u w:val="single"/>
          <w:shd w:val="clear" w:color="auto" w:fill="FFFFFF"/>
        </w:rPr>
        <w:t>（采购人及采购代理机构） </w:t>
      </w:r>
    </w:p>
    <w:p w14:paraId="3A0CFA5F">
      <w:pPr>
        <w:pStyle w:val="30"/>
        <w:shd w:val="clear" w:color="auto" w:fill="FFFFFF"/>
        <w:bidi w:val="0"/>
        <w:spacing w:before="0" w:beforeLines="0" w:beforeAutospacing="0" w:after="0" w:afterLines="0" w:afterAutospacing="0" w:line="360" w:lineRule="auto"/>
        <w:ind w:firstLine="480"/>
        <w:jc w:val="both"/>
        <w:rPr>
          <w:rFonts w:hint="eastAsia" w:ascii="宋体" w:hAnsi="宋体" w:eastAsia="宋体" w:cs="宋体"/>
          <w:color w:val="000000"/>
          <w:spacing w:val="8"/>
          <w:sz w:val="24"/>
          <w:szCs w:val="24"/>
        </w:rPr>
      </w:pPr>
      <w:r>
        <w:rPr>
          <w:rFonts w:hint="eastAsia" w:ascii="宋体" w:hAnsi="宋体" w:eastAsia="宋体" w:cs="宋体"/>
          <w:color w:val="000000"/>
          <w:spacing w:val="8"/>
          <w:sz w:val="24"/>
          <w:szCs w:val="24"/>
          <w:shd w:val="clear" w:color="auto" w:fill="FFFFFF"/>
        </w:rPr>
        <w:t>我们在贵公司组织的（</w:t>
      </w:r>
      <w:r>
        <w:rPr>
          <w:rFonts w:hint="eastAsia" w:eastAsia="宋体" w:cs="宋体"/>
          <w:color w:val="000000"/>
          <w:spacing w:val="8"/>
          <w:sz w:val="24"/>
          <w:szCs w:val="24"/>
          <w:u w:val="single"/>
          <w:shd w:val="clear" w:color="auto" w:fill="FFFFFF"/>
          <w:lang w:val="en-US" w:eastAsia="zh-CN"/>
        </w:rPr>
        <w:t xml:space="preserve">       </w:t>
      </w:r>
      <w:r>
        <w:rPr>
          <w:rFonts w:hint="eastAsia" w:eastAsia="宋体" w:cs="宋体"/>
          <w:color w:val="000000"/>
          <w:spacing w:val="8"/>
          <w:sz w:val="24"/>
          <w:szCs w:val="24"/>
          <w:shd w:val="clear" w:color="auto" w:fill="FFFFFF"/>
          <w:lang w:eastAsia="zh-CN"/>
        </w:rPr>
        <w:t>（</w:t>
      </w:r>
      <w:r>
        <w:rPr>
          <w:rFonts w:hint="eastAsia" w:eastAsia="宋体" w:cs="宋体"/>
          <w:color w:val="000000"/>
          <w:spacing w:val="8"/>
          <w:sz w:val="24"/>
          <w:szCs w:val="24"/>
          <w:shd w:val="clear" w:color="auto" w:fill="FFFFFF"/>
          <w:lang w:val="en-US" w:eastAsia="zh-CN"/>
        </w:rPr>
        <w:t>项目名称</w:t>
      </w:r>
      <w:r>
        <w:rPr>
          <w:rFonts w:hint="eastAsia" w:eastAsia="宋体" w:cs="宋体"/>
          <w:color w:val="000000"/>
          <w:spacing w:val="8"/>
          <w:sz w:val="24"/>
          <w:szCs w:val="24"/>
          <w:shd w:val="clear" w:color="auto" w:fill="FFFFFF"/>
          <w:lang w:eastAsia="zh-CN"/>
        </w:rPr>
        <w:t>）</w:t>
      </w:r>
      <w:r>
        <w:rPr>
          <w:rFonts w:hint="eastAsia" w:cs="宋体"/>
          <w:color w:val="000000"/>
          <w:spacing w:val="8"/>
          <w:sz w:val="24"/>
          <w:szCs w:val="24"/>
          <w:shd w:val="clear" w:color="auto" w:fill="FFFFFF"/>
          <w:lang w:eastAsia="zh-CN"/>
        </w:rPr>
        <w:t>，</w:t>
      </w:r>
      <w:r>
        <w:rPr>
          <w:rFonts w:hint="eastAsia" w:ascii="宋体" w:hAnsi="宋体" w:eastAsia="宋体" w:cs="宋体"/>
          <w:color w:val="000000"/>
          <w:spacing w:val="8"/>
          <w:sz w:val="24"/>
          <w:szCs w:val="24"/>
          <w:shd w:val="clear" w:color="auto" w:fill="FFFFFF"/>
        </w:rPr>
        <w:t>采购编号：</w:t>
      </w:r>
      <w:r>
        <w:rPr>
          <w:rFonts w:hint="eastAsia" w:ascii="宋体" w:hAnsi="宋体" w:eastAsia="宋体" w:cs="宋体"/>
          <w:color w:val="000000"/>
          <w:spacing w:val="8"/>
          <w:sz w:val="24"/>
          <w:szCs w:val="24"/>
          <w:u w:val="single"/>
          <w:shd w:val="clear" w:color="auto" w:fill="FFFFFF"/>
        </w:rPr>
        <w:t xml:space="preserve">     </w:t>
      </w:r>
      <w:r>
        <w:rPr>
          <w:rFonts w:hint="eastAsia" w:ascii="宋体" w:hAnsi="宋体" w:eastAsia="宋体" w:cs="宋体"/>
          <w:color w:val="000000"/>
          <w:spacing w:val="8"/>
          <w:sz w:val="24"/>
          <w:szCs w:val="24"/>
          <w:shd w:val="clear" w:color="auto" w:fill="FFFFFF"/>
        </w:rPr>
        <w:t>）采购中若获成交，我们保证在成交结果公告发布后5个工作日内，按</w:t>
      </w:r>
      <w:r>
        <w:rPr>
          <w:rFonts w:hint="eastAsia" w:ascii="宋体" w:hAnsi="宋体" w:eastAsia="宋体" w:cs="宋体"/>
          <w:color w:val="000000"/>
          <w:spacing w:val="8"/>
          <w:sz w:val="24"/>
          <w:szCs w:val="24"/>
          <w:shd w:val="clear" w:color="auto" w:fill="FFFFFF"/>
          <w:lang w:val="en-US" w:eastAsia="zh-CN"/>
        </w:rPr>
        <w:t>采购</w:t>
      </w:r>
      <w:r>
        <w:rPr>
          <w:rFonts w:hint="eastAsia" w:ascii="宋体" w:hAnsi="宋体" w:eastAsia="宋体" w:cs="宋体"/>
          <w:color w:val="000000"/>
          <w:spacing w:val="8"/>
          <w:sz w:val="24"/>
          <w:szCs w:val="24"/>
          <w:shd w:val="clear" w:color="auto" w:fill="FFFFFF"/>
        </w:rPr>
        <w:t>文件的规定，向贵公司一次性支付</w:t>
      </w:r>
      <w:r>
        <w:rPr>
          <w:rFonts w:hint="eastAsia" w:ascii="宋体" w:hAnsi="宋体" w:eastAsia="宋体" w:cs="宋体"/>
          <w:color w:val="000000"/>
          <w:spacing w:val="8"/>
          <w:sz w:val="24"/>
          <w:szCs w:val="24"/>
          <w:shd w:val="clear" w:color="auto" w:fill="FFFFFF"/>
          <w:lang w:eastAsia="zh-CN"/>
        </w:rPr>
        <w:t>采购代理</w:t>
      </w:r>
      <w:r>
        <w:rPr>
          <w:rFonts w:hint="eastAsia" w:ascii="宋体" w:hAnsi="宋体" w:eastAsia="宋体" w:cs="宋体"/>
          <w:color w:val="000000"/>
          <w:spacing w:val="8"/>
          <w:sz w:val="24"/>
          <w:szCs w:val="24"/>
          <w:shd w:val="clear" w:color="auto" w:fill="FFFFFF"/>
        </w:rPr>
        <w:t>服务费用。否则，由此产生的一切法律后果和责任由我公司承担。我公司声明放弃对此提出任何异议和追索的权利。</w:t>
      </w:r>
    </w:p>
    <w:p w14:paraId="61D48F1B">
      <w:pPr>
        <w:pStyle w:val="30"/>
        <w:shd w:val="clear" w:color="auto" w:fill="FFFFFF"/>
        <w:bidi w:val="0"/>
        <w:spacing w:before="0" w:beforeLines="0" w:beforeAutospacing="0" w:after="0" w:afterLines="0" w:afterAutospacing="0" w:line="360" w:lineRule="auto"/>
        <w:ind w:firstLine="512" w:firstLineChars="200"/>
        <w:jc w:val="both"/>
        <w:rPr>
          <w:rFonts w:hint="eastAsia" w:ascii="宋体" w:hAnsi="宋体" w:eastAsia="宋体" w:cs="宋体"/>
          <w:color w:val="000000"/>
          <w:spacing w:val="8"/>
          <w:sz w:val="24"/>
          <w:szCs w:val="24"/>
        </w:rPr>
      </w:pPr>
      <w:r>
        <w:rPr>
          <w:rFonts w:hint="eastAsia" w:ascii="宋体" w:hAnsi="宋体" w:eastAsia="宋体" w:cs="宋体"/>
          <w:color w:val="000000"/>
          <w:spacing w:val="8"/>
          <w:sz w:val="24"/>
          <w:szCs w:val="24"/>
          <w:shd w:val="clear" w:color="auto" w:fill="FFFFFF"/>
        </w:rPr>
        <w:t>特此承诺。</w:t>
      </w:r>
    </w:p>
    <w:p w14:paraId="360063A4">
      <w:pPr>
        <w:spacing w:line="360" w:lineRule="auto"/>
        <w:jc w:val="left"/>
        <w:rPr>
          <w:rFonts w:hint="eastAsia" w:ascii="宋体" w:hAnsi="宋体" w:eastAsia="宋体" w:cs="宋体"/>
          <w:color w:val="000000"/>
          <w:sz w:val="24"/>
        </w:rPr>
      </w:pPr>
    </w:p>
    <w:p w14:paraId="79E69BCE">
      <w:pPr>
        <w:bidi w:val="0"/>
        <w:spacing w:line="400" w:lineRule="exact"/>
        <w:ind w:firstLine="3840" w:firstLineChars="16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单位电子签章</w:t>
      </w:r>
      <w:r>
        <w:rPr>
          <w:rFonts w:hint="eastAsia" w:ascii="宋体" w:hAnsi="宋体" w:eastAsia="宋体" w:cs="宋体"/>
          <w:color w:val="000000"/>
          <w:sz w:val="24"/>
          <w:szCs w:val="24"/>
          <w:lang w:eastAsia="zh-CN"/>
        </w:rPr>
        <w:t>）</w:t>
      </w:r>
    </w:p>
    <w:p w14:paraId="3ED38C86">
      <w:pPr>
        <w:bidi w:val="0"/>
        <w:spacing w:line="400" w:lineRule="exact"/>
        <w:ind w:firstLine="4440" w:firstLineChars="1850"/>
        <w:rPr>
          <w:rFonts w:hint="eastAsia" w:ascii="宋体" w:hAnsi="宋体" w:eastAsia="宋体" w:cs="宋体"/>
          <w:color w:val="000000"/>
          <w:sz w:val="24"/>
          <w:szCs w:val="24"/>
        </w:rPr>
      </w:pPr>
    </w:p>
    <w:p w14:paraId="50AA5DAC">
      <w:pPr>
        <w:bidi w:val="0"/>
        <w:spacing w:line="360" w:lineRule="auto"/>
        <w:jc w:val="right"/>
        <w:rPr>
          <w:rFonts w:hint="eastAsia"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u w:val="none"/>
        </w:rPr>
        <w:t>法定代表人电子签名</w:t>
      </w:r>
      <w:r>
        <w:rPr>
          <w:rFonts w:hint="eastAsia" w:ascii="宋体" w:hAnsi="宋体" w:eastAsia="宋体" w:cs="宋体"/>
          <w:color w:val="000000"/>
          <w:sz w:val="24"/>
          <w:szCs w:val="24"/>
          <w:u w:val="none"/>
          <w:lang w:val="en-US" w:eastAsia="zh-CN"/>
        </w:rPr>
        <w:t>或签章</w:t>
      </w:r>
      <w:r>
        <w:rPr>
          <w:rFonts w:hint="eastAsia" w:ascii="宋体" w:hAnsi="宋体" w:eastAsia="宋体" w:cs="宋体"/>
          <w:color w:val="000000"/>
          <w:sz w:val="24"/>
          <w:szCs w:val="24"/>
          <w:lang w:eastAsia="zh-CN"/>
        </w:rPr>
        <w:t>）</w:t>
      </w:r>
    </w:p>
    <w:p w14:paraId="583D95AA">
      <w:pPr>
        <w:bidi w:val="0"/>
        <w:spacing w:line="400" w:lineRule="exact"/>
        <w:ind w:firstLine="4440" w:firstLineChars="1850"/>
        <w:rPr>
          <w:rFonts w:hint="eastAsia" w:ascii="宋体" w:hAnsi="宋体" w:eastAsia="宋体" w:cs="宋体"/>
          <w:color w:val="000000"/>
          <w:sz w:val="24"/>
          <w:szCs w:val="24"/>
        </w:rPr>
      </w:pPr>
    </w:p>
    <w:p w14:paraId="74FFC30A">
      <w:pPr>
        <w:bidi w:val="0"/>
        <w:spacing w:line="400" w:lineRule="exact"/>
        <w:ind w:firstLine="4560" w:firstLineChars="1900"/>
        <w:jc w:val="right"/>
        <w:rPr>
          <w:rFonts w:hint="eastAsia" w:ascii="宋体" w:hAnsi="宋体" w:eastAsia="宋体" w:cs="宋体"/>
          <w:color w:val="000000"/>
          <w:sz w:val="24"/>
          <w:szCs w:val="24"/>
        </w:rPr>
      </w:pPr>
      <w:r>
        <w:rPr>
          <w:rFonts w:hint="eastAsia" w:ascii="宋体" w:hAnsi="宋体" w:eastAsia="宋体" w:cs="宋体"/>
          <w:color w:val="000000"/>
          <w:sz w:val="24"/>
        </w:rPr>
        <w:t>日      期：</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日</w:t>
      </w:r>
    </w:p>
    <w:p w14:paraId="05FCA2DA">
      <w:pPr>
        <w:spacing w:line="360" w:lineRule="auto"/>
        <w:jc w:val="left"/>
        <w:rPr>
          <w:rFonts w:hint="eastAsia" w:ascii="宋体" w:hAnsi="宋体" w:eastAsia="宋体" w:cs="宋体"/>
          <w:color w:val="000000"/>
          <w:sz w:val="24"/>
        </w:rPr>
      </w:pPr>
    </w:p>
    <w:p w14:paraId="3214C72B">
      <w:pPr>
        <w:pStyle w:val="32"/>
        <w:ind w:firstLine="482"/>
        <w:rPr>
          <w:rFonts w:hint="eastAsia" w:ascii="宋体" w:hAnsi="宋体" w:eastAsia="宋体" w:cs="宋体"/>
          <w:b/>
          <w:color w:val="000000"/>
          <w:kern w:val="0"/>
          <w:szCs w:val="18"/>
        </w:rPr>
      </w:pPr>
    </w:p>
    <w:p w14:paraId="385F571E">
      <w:pPr>
        <w:bidi w:val="0"/>
        <w:spacing w:line="360" w:lineRule="auto"/>
        <w:jc w:val="center"/>
        <w:rPr>
          <w:rFonts w:hint="eastAsia" w:ascii="宋体" w:hAnsi="宋体" w:eastAsia="宋体" w:cs="宋体"/>
          <w:b/>
          <w:color w:val="000000"/>
          <w:sz w:val="28"/>
          <w:szCs w:val="28"/>
          <w:lang w:val="en-US" w:eastAsia="zh-CN"/>
        </w:rPr>
      </w:pPr>
    </w:p>
    <w:p w14:paraId="59BA0161">
      <w:pPr>
        <w:bidi w:val="0"/>
        <w:spacing w:line="360" w:lineRule="auto"/>
        <w:jc w:val="center"/>
        <w:rPr>
          <w:rFonts w:hint="eastAsia" w:ascii="宋体" w:hAnsi="宋体" w:eastAsia="宋体" w:cs="宋体"/>
          <w:b/>
          <w:color w:val="000000"/>
          <w:sz w:val="28"/>
          <w:szCs w:val="28"/>
          <w:lang w:val="en-US" w:eastAsia="zh-CN"/>
        </w:rPr>
      </w:pPr>
    </w:p>
    <w:p w14:paraId="56987541">
      <w:pPr>
        <w:rPr>
          <w:rFonts w:hint="eastAsia" w:ascii="宋体" w:hAnsi="宋体" w:eastAsia="宋体" w:cs="宋体"/>
          <w:lang w:val="en-US" w:eastAsia="zh-CN"/>
        </w:rPr>
      </w:pPr>
    </w:p>
    <w:p w14:paraId="2F3B7A9F">
      <w:pPr>
        <w:rPr>
          <w:rFonts w:hint="eastAsia" w:ascii="宋体" w:hAnsi="宋体" w:eastAsia="宋体" w:cs="宋体"/>
          <w:lang w:val="en-US" w:eastAsia="zh-CN"/>
        </w:rPr>
      </w:pPr>
    </w:p>
    <w:p w14:paraId="3FA243FD">
      <w:pPr>
        <w:rPr>
          <w:rFonts w:hint="eastAsia" w:ascii="宋体" w:hAnsi="宋体" w:eastAsia="宋体" w:cs="宋体"/>
          <w:lang w:val="en-US" w:eastAsia="zh-CN"/>
        </w:rPr>
      </w:pPr>
    </w:p>
    <w:p w14:paraId="67AE215C">
      <w:pPr>
        <w:rPr>
          <w:rFonts w:hint="eastAsia" w:ascii="宋体" w:hAnsi="宋体" w:eastAsia="宋体" w:cs="宋体"/>
          <w:lang w:val="en-US" w:eastAsia="zh-CN"/>
        </w:rPr>
      </w:pPr>
    </w:p>
    <w:p w14:paraId="5BFFD04B">
      <w:pPr>
        <w:rPr>
          <w:rFonts w:hint="eastAsia" w:ascii="宋体" w:hAnsi="宋体" w:eastAsia="宋体" w:cs="宋体"/>
          <w:lang w:val="en-US" w:eastAsia="zh-CN"/>
        </w:rPr>
      </w:pPr>
    </w:p>
    <w:p w14:paraId="24CCDEE2">
      <w:pPr>
        <w:rPr>
          <w:rFonts w:hint="eastAsia" w:ascii="宋体" w:hAnsi="宋体" w:eastAsia="宋体" w:cs="宋体"/>
          <w:lang w:val="en-US" w:eastAsia="zh-CN"/>
        </w:rPr>
      </w:pPr>
    </w:p>
    <w:p w14:paraId="43B3E5DC">
      <w:pPr>
        <w:rPr>
          <w:rFonts w:hint="eastAsia" w:ascii="宋体" w:hAnsi="宋体" w:eastAsia="宋体" w:cs="宋体"/>
          <w:lang w:val="en-US" w:eastAsia="zh-CN"/>
        </w:rPr>
      </w:pPr>
    </w:p>
    <w:p w14:paraId="5BAC7E98">
      <w:pPr>
        <w:rPr>
          <w:rFonts w:hint="eastAsia" w:ascii="宋体" w:hAnsi="宋体" w:eastAsia="宋体" w:cs="宋体"/>
          <w:lang w:val="en-US" w:eastAsia="zh-CN"/>
        </w:rPr>
      </w:pPr>
    </w:p>
    <w:p w14:paraId="1D2600D1">
      <w:pPr>
        <w:rPr>
          <w:rFonts w:hint="eastAsia" w:ascii="宋体" w:hAnsi="宋体" w:eastAsia="宋体" w:cs="宋体"/>
          <w:lang w:val="en-US" w:eastAsia="zh-CN"/>
        </w:rPr>
      </w:pPr>
    </w:p>
    <w:p w14:paraId="43BD2038">
      <w:pPr>
        <w:bidi w:val="0"/>
        <w:spacing w:line="360" w:lineRule="auto"/>
        <w:jc w:val="center"/>
        <w:rPr>
          <w:rFonts w:hint="eastAsia" w:ascii="宋体" w:hAnsi="宋体" w:eastAsia="宋体" w:cs="宋体"/>
          <w:b/>
          <w:color w:val="000000"/>
          <w:sz w:val="28"/>
          <w:szCs w:val="28"/>
          <w:lang w:val="en-US" w:eastAsia="zh-CN"/>
        </w:rPr>
      </w:pPr>
    </w:p>
    <w:p w14:paraId="1EEDC9C9">
      <w:pPr>
        <w:bidi w:val="0"/>
        <w:spacing w:line="360" w:lineRule="auto"/>
        <w:jc w:val="center"/>
        <w:rPr>
          <w:rFonts w:hint="eastAsia" w:ascii="宋体" w:hAnsi="宋体" w:eastAsia="宋体" w:cs="宋体"/>
          <w:b/>
          <w:color w:val="000000"/>
          <w:sz w:val="28"/>
          <w:szCs w:val="28"/>
          <w:lang w:val="en-US" w:eastAsia="zh-CN"/>
        </w:rPr>
      </w:pPr>
    </w:p>
    <w:p w14:paraId="7BF84ABF">
      <w:pPr>
        <w:bidi w:val="0"/>
        <w:spacing w:line="360" w:lineRule="auto"/>
        <w:jc w:val="center"/>
        <w:rPr>
          <w:rFonts w:hint="eastAsia" w:ascii="宋体" w:hAnsi="宋体" w:eastAsia="宋体" w:cs="宋体"/>
          <w:b/>
          <w:color w:val="000000"/>
          <w:sz w:val="28"/>
          <w:szCs w:val="28"/>
          <w:lang w:val="en-US" w:eastAsia="zh-CN"/>
        </w:rPr>
      </w:pPr>
    </w:p>
    <w:p w14:paraId="4E6BC147">
      <w:pPr>
        <w:bidi w:val="0"/>
        <w:spacing w:line="360" w:lineRule="auto"/>
        <w:jc w:val="center"/>
        <w:rPr>
          <w:rFonts w:hint="eastAsia" w:ascii="宋体" w:hAnsi="宋体" w:eastAsia="宋体" w:cs="宋体"/>
          <w:b/>
          <w:color w:val="000000"/>
          <w:sz w:val="28"/>
          <w:szCs w:val="28"/>
          <w:lang w:val="en-US" w:eastAsia="zh-CN"/>
        </w:rPr>
      </w:pPr>
    </w:p>
    <w:p w14:paraId="0A403774">
      <w:pPr>
        <w:bidi w:val="0"/>
        <w:spacing w:line="360" w:lineRule="auto"/>
        <w:jc w:val="both"/>
        <w:rPr>
          <w:rFonts w:hint="eastAsia" w:ascii="宋体" w:hAnsi="宋体" w:eastAsia="宋体" w:cs="宋体"/>
          <w:b/>
          <w:color w:val="000000"/>
          <w:sz w:val="28"/>
          <w:szCs w:val="28"/>
          <w:lang w:val="en-US" w:eastAsia="zh-CN"/>
        </w:rPr>
      </w:pPr>
    </w:p>
    <w:p w14:paraId="786229DD">
      <w:pPr>
        <w:pStyle w:val="54"/>
        <w:rPr>
          <w:rFonts w:hint="eastAsia" w:ascii="宋体" w:hAnsi="宋体" w:eastAsia="宋体" w:cs="宋体"/>
          <w:b/>
          <w:color w:val="000000"/>
          <w:sz w:val="28"/>
          <w:szCs w:val="28"/>
          <w:lang w:val="en-US" w:eastAsia="zh-CN"/>
        </w:rPr>
      </w:pPr>
    </w:p>
    <w:p w14:paraId="15F85998">
      <w:pPr>
        <w:rPr>
          <w:rFonts w:hint="eastAsia"/>
          <w:lang w:val="en-US" w:eastAsia="zh-CN"/>
        </w:rPr>
      </w:pPr>
    </w:p>
    <w:p w14:paraId="2B027644">
      <w:pPr>
        <w:pStyle w:val="55"/>
        <w:rPr>
          <w:rFonts w:hint="eastAsia"/>
          <w:lang w:val="en-US" w:eastAsia="zh-CN"/>
        </w:rPr>
      </w:pPr>
    </w:p>
    <w:p w14:paraId="130E79B1">
      <w:pPr>
        <w:bidi w:val="0"/>
        <w:spacing w:line="360" w:lineRule="auto"/>
        <w:jc w:val="center"/>
        <w:outlineLvl w:val="2"/>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3、</w:t>
      </w:r>
      <w:r>
        <w:rPr>
          <w:rFonts w:hint="eastAsia" w:ascii="宋体" w:hAnsi="宋体" w:eastAsia="宋体" w:cs="宋体"/>
          <w:b/>
          <w:color w:val="000000"/>
          <w:sz w:val="28"/>
          <w:szCs w:val="28"/>
          <w:lang w:val="en-US" w:eastAsia="zh-CN"/>
        </w:rPr>
        <w:t>供应商认为需要的其他资料</w:t>
      </w:r>
    </w:p>
    <w:p w14:paraId="00AEACAF">
      <w:pPr>
        <w:pStyle w:val="54"/>
        <w:rPr>
          <w:rFonts w:hint="eastAsia" w:ascii="宋体" w:hAnsi="宋体" w:eastAsia="宋体" w:cs="宋体"/>
        </w:rPr>
      </w:pPr>
    </w:p>
    <w:sectPr>
      <w:footerReference r:id="rId6" w:type="default"/>
      <w:pgSz w:w="11906" w:h="16838"/>
      <w:pgMar w:top="1247" w:right="1247" w:bottom="1247" w:left="1247" w:header="680" w:footer="964" w:gutter="0"/>
      <w:pgBorders>
        <w:top w:val="none" w:sz="0" w:space="0"/>
        <w:left w:val="none" w:sz="0" w:space="0"/>
        <w:bottom w:val="none" w:sz="0" w:space="0"/>
        <w:right w:val="none" w:sz="0" w:space="0"/>
      </w:pgBorders>
      <w:pgNumType w:fmt="decimal"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
    <w:altName w:val="Arial"/>
    <w:panose1 w:val="000000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07509">
    <w:pPr>
      <w:pStyle w:val="2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44BA2">
    <w:pPr>
      <w:pStyle w:val="22"/>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B3EA28">
                          <w:pPr>
                            <w:pStyle w:val="2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FfGOD3o&#10;AQAAyQMAAA4AAAAAAAAAAQAgAAAAIgEAAGRycy9lMm9Eb2MueG1sUEsFBgAAAAAGAAYAWQEAAHwF&#10;AAAAAA==&#10;">
              <v:fill on="f" focussize="0,0"/>
              <v:stroke on="f" weight="1.25pt"/>
              <v:imagedata o:title=""/>
              <o:lock v:ext="edit" aspectratio="f"/>
              <v:textbox inset="0mm,0mm,0mm,0mm" style="mso-fit-shape-to-text:t;">
                <w:txbxContent>
                  <w:p w14:paraId="55B3EA28">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61074">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9D3FC">
    <w:pPr>
      <w:pStyle w:val="23"/>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55A25"/>
    <w:multiLevelType w:val="singleLevel"/>
    <w:tmpl w:val="80655A25"/>
    <w:lvl w:ilvl="0" w:tentative="0">
      <w:start w:val="2"/>
      <w:numFmt w:val="decimal"/>
      <w:suff w:val="nothing"/>
      <w:lvlText w:val="%1、"/>
      <w:lvlJc w:val="left"/>
    </w:lvl>
  </w:abstractNum>
  <w:abstractNum w:abstractNumId="1">
    <w:nsid w:val="8381E531"/>
    <w:multiLevelType w:val="singleLevel"/>
    <w:tmpl w:val="8381E531"/>
    <w:lvl w:ilvl="0" w:tentative="0">
      <w:start w:val="1"/>
      <w:numFmt w:val="bullet"/>
      <w:pStyle w:val="16"/>
      <w:lvlText w:val=""/>
      <w:lvlJc w:val="left"/>
      <w:pPr>
        <w:tabs>
          <w:tab w:val="left" w:pos="780"/>
        </w:tabs>
        <w:ind w:left="780" w:hanging="360"/>
      </w:pPr>
      <w:rPr>
        <w:rFonts w:hint="default" w:ascii="Wingdings" w:hAnsi="Wingdings"/>
      </w:rPr>
    </w:lvl>
  </w:abstractNum>
  <w:abstractNum w:abstractNumId="2">
    <w:nsid w:val="00000004"/>
    <w:multiLevelType w:val="singleLevel"/>
    <w:tmpl w:val="0000000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4ZmMyMjNlOTE4ZDJhYzA2OTNiZmRiYmViYjg2YWMifQ=="/>
    <w:docVar w:name="KSO_WPS_MARK_KEY" w:val="d421721b-4902-4801-9fc0-6dd8ea87d7e0"/>
  </w:docVars>
  <w:rsids>
    <w:rsidRoot w:val="00172A27"/>
    <w:rsid w:val="0006031A"/>
    <w:rsid w:val="00066A61"/>
    <w:rsid w:val="000A5AE0"/>
    <w:rsid w:val="000B3566"/>
    <w:rsid w:val="000F1653"/>
    <w:rsid w:val="00121FCC"/>
    <w:rsid w:val="0013160A"/>
    <w:rsid w:val="001669D4"/>
    <w:rsid w:val="001C7AD4"/>
    <w:rsid w:val="002278DF"/>
    <w:rsid w:val="00230616"/>
    <w:rsid w:val="002A54D2"/>
    <w:rsid w:val="002C3D49"/>
    <w:rsid w:val="00302A32"/>
    <w:rsid w:val="00310EBE"/>
    <w:rsid w:val="00367507"/>
    <w:rsid w:val="00382A66"/>
    <w:rsid w:val="003931D8"/>
    <w:rsid w:val="003D7912"/>
    <w:rsid w:val="003E4465"/>
    <w:rsid w:val="00462BF7"/>
    <w:rsid w:val="00484CC6"/>
    <w:rsid w:val="004A58FE"/>
    <w:rsid w:val="004A6F13"/>
    <w:rsid w:val="004B2291"/>
    <w:rsid w:val="004E6AF4"/>
    <w:rsid w:val="00505485"/>
    <w:rsid w:val="00515DD4"/>
    <w:rsid w:val="00533946"/>
    <w:rsid w:val="00545F88"/>
    <w:rsid w:val="0056615B"/>
    <w:rsid w:val="005E02C3"/>
    <w:rsid w:val="00601B84"/>
    <w:rsid w:val="00621F39"/>
    <w:rsid w:val="00682136"/>
    <w:rsid w:val="006C72A4"/>
    <w:rsid w:val="00755751"/>
    <w:rsid w:val="007B69F8"/>
    <w:rsid w:val="007E21F0"/>
    <w:rsid w:val="008071E3"/>
    <w:rsid w:val="008311AD"/>
    <w:rsid w:val="00955E40"/>
    <w:rsid w:val="00956C48"/>
    <w:rsid w:val="009D719E"/>
    <w:rsid w:val="009E2C56"/>
    <w:rsid w:val="00A952BC"/>
    <w:rsid w:val="00AD2A10"/>
    <w:rsid w:val="00AD613F"/>
    <w:rsid w:val="00AE596D"/>
    <w:rsid w:val="00B01F61"/>
    <w:rsid w:val="00B36414"/>
    <w:rsid w:val="00B41522"/>
    <w:rsid w:val="00B7445C"/>
    <w:rsid w:val="00B80714"/>
    <w:rsid w:val="00C46E91"/>
    <w:rsid w:val="00C66699"/>
    <w:rsid w:val="00CA093E"/>
    <w:rsid w:val="00CC25A5"/>
    <w:rsid w:val="00CC6899"/>
    <w:rsid w:val="00D11D9A"/>
    <w:rsid w:val="00D24441"/>
    <w:rsid w:val="00D5193D"/>
    <w:rsid w:val="00DC7209"/>
    <w:rsid w:val="00DD579E"/>
    <w:rsid w:val="00DD680C"/>
    <w:rsid w:val="00DF522D"/>
    <w:rsid w:val="00E17397"/>
    <w:rsid w:val="00E2227B"/>
    <w:rsid w:val="00E22387"/>
    <w:rsid w:val="00E42E7F"/>
    <w:rsid w:val="00E6311D"/>
    <w:rsid w:val="00E85E8C"/>
    <w:rsid w:val="00EC180B"/>
    <w:rsid w:val="00F13674"/>
    <w:rsid w:val="00F253C6"/>
    <w:rsid w:val="00F431C8"/>
    <w:rsid w:val="01394E88"/>
    <w:rsid w:val="01477B79"/>
    <w:rsid w:val="015631D3"/>
    <w:rsid w:val="016814B1"/>
    <w:rsid w:val="016A5229"/>
    <w:rsid w:val="019B1DBC"/>
    <w:rsid w:val="01D4178E"/>
    <w:rsid w:val="01FF1BF6"/>
    <w:rsid w:val="023D551C"/>
    <w:rsid w:val="024B63AD"/>
    <w:rsid w:val="026C7F1F"/>
    <w:rsid w:val="03440E40"/>
    <w:rsid w:val="035937A7"/>
    <w:rsid w:val="036372EF"/>
    <w:rsid w:val="037A0CCF"/>
    <w:rsid w:val="037A6C86"/>
    <w:rsid w:val="038E787A"/>
    <w:rsid w:val="03D47308"/>
    <w:rsid w:val="04323E6E"/>
    <w:rsid w:val="0447078E"/>
    <w:rsid w:val="0460421D"/>
    <w:rsid w:val="04792207"/>
    <w:rsid w:val="04980272"/>
    <w:rsid w:val="04C56B32"/>
    <w:rsid w:val="05194C1B"/>
    <w:rsid w:val="0526083B"/>
    <w:rsid w:val="058F098D"/>
    <w:rsid w:val="05961901"/>
    <w:rsid w:val="05AF6788"/>
    <w:rsid w:val="05BE77A5"/>
    <w:rsid w:val="05C05219"/>
    <w:rsid w:val="05CC4A2E"/>
    <w:rsid w:val="05D37841"/>
    <w:rsid w:val="06E93094"/>
    <w:rsid w:val="07102423"/>
    <w:rsid w:val="07294629"/>
    <w:rsid w:val="07504EC1"/>
    <w:rsid w:val="076F5347"/>
    <w:rsid w:val="07AC1B62"/>
    <w:rsid w:val="08017F69"/>
    <w:rsid w:val="080A6BFC"/>
    <w:rsid w:val="081E0F2F"/>
    <w:rsid w:val="084E4A2D"/>
    <w:rsid w:val="0867382E"/>
    <w:rsid w:val="088277B1"/>
    <w:rsid w:val="090037B8"/>
    <w:rsid w:val="09532A47"/>
    <w:rsid w:val="09BA2A9E"/>
    <w:rsid w:val="09CB71F2"/>
    <w:rsid w:val="09CF7992"/>
    <w:rsid w:val="09E3201C"/>
    <w:rsid w:val="0A4912D5"/>
    <w:rsid w:val="0A6A4A7C"/>
    <w:rsid w:val="0A7A674F"/>
    <w:rsid w:val="0AE44A0C"/>
    <w:rsid w:val="0B6B75BD"/>
    <w:rsid w:val="0BBC06CC"/>
    <w:rsid w:val="0BCF77DA"/>
    <w:rsid w:val="0BFE488E"/>
    <w:rsid w:val="0C1604D1"/>
    <w:rsid w:val="0C432492"/>
    <w:rsid w:val="0C4333D2"/>
    <w:rsid w:val="0C6311F3"/>
    <w:rsid w:val="0C753ED6"/>
    <w:rsid w:val="0C9B3A39"/>
    <w:rsid w:val="0CBD321A"/>
    <w:rsid w:val="0CCE0D62"/>
    <w:rsid w:val="0CF40420"/>
    <w:rsid w:val="0D3D37F2"/>
    <w:rsid w:val="0D7551D8"/>
    <w:rsid w:val="0DBA12E6"/>
    <w:rsid w:val="0DCF007B"/>
    <w:rsid w:val="0DD462F6"/>
    <w:rsid w:val="0DD7622B"/>
    <w:rsid w:val="0DE2796D"/>
    <w:rsid w:val="0DE32642"/>
    <w:rsid w:val="0DEE5150"/>
    <w:rsid w:val="0DF40A1E"/>
    <w:rsid w:val="0DFB534A"/>
    <w:rsid w:val="0E122ED0"/>
    <w:rsid w:val="0E5F2629"/>
    <w:rsid w:val="0F021F40"/>
    <w:rsid w:val="0F2A19BE"/>
    <w:rsid w:val="0F355C93"/>
    <w:rsid w:val="0F3D5D2B"/>
    <w:rsid w:val="0F491E09"/>
    <w:rsid w:val="0F4F226D"/>
    <w:rsid w:val="0F5128C3"/>
    <w:rsid w:val="0F5672D6"/>
    <w:rsid w:val="0FC834CA"/>
    <w:rsid w:val="0FCE2642"/>
    <w:rsid w:val="0FD04BDC"/>
    <w:rsid w:val="10295C23"/>
    <w:rsid w:val="10437371"/>
    <w:rsid w:val="106A030A"/>
    <w:rsid w:val="10965C3A"/>
    <w:rsid w:val="1097590F"/>
    <w:rsid w:val="10BD2872"/>
    <w:rsid w:val="10FB1646"/>
    <w:rsid w:val="11716D92"/>
    <w:rsid w:val="11823286"/>
    <w:rsid w:val="11877731"/>
    <w:rsid w:val="11A83320"/>
    <w:rsid w:val="12045226"/>
    <w:rsid w:val="12192A7F"/>
    <w:rsid w:val="125E58A5"/>
    <w:rsid w:val="125E6D60"/>
    <w:rsid w:val="127E6A6D"/>
    <w:rsid w:val="12E110C3"/>
    <w:rsid w:val="12EC5387"/>
    <w:rsid w:val="12F0432E"/>
    <w:rsid w:val="12F926CC"/>
    <w:rsid w:val="12FB4D13"/>
    <w:rsid w:val="131C0E00"/>
    <w:rsid w:val="13525B1D"/>
    <w:rsid w:val="135861E7"/>
    <w:rsid w:val="13A06637"/>
    <w:rsid w:val="13BB1DF4"/>
    <w:rsid w:val="13C67017"/>
    <w:rsid w:val="13ED55A8"/>
    <w:rsid w:val="13F0090B"/>
    <w:rsid w:val="1404591B"/>
    <w:rsid w:val="147E2339"/>
    <w:rsid w:val="14A76F2E"/>
    <w:rsid w:val="14B51D8E"/>
    <w:rsid w:val="14F0339D"/>
    <w:rsid w:val="15204125"/>
    <w:rsid w:val="156313AF"/>
    <w:rsid w:val="1563684E"/>
    <w:rsid w:val="159C0252"/>
    <w:rsid w:val="15AF6EE5"/>
    <w:rsid w:val="15C71D62"/>
    <w:rsid w:val="15D66407"/>
    <w:rsid w:val="15E42958"/>
    <w:rsid w:val="15EC794B"/>
    <w:rsid w:val="163A0674"/>
    <w:rsid w:val="163D5A06"/>
    <w:rsid w:val="164A75BB"/>
    <w:rsid w:val="168323E5"/>
    <w:rsid w:val="16A2493E"/>
    <w:rsid w:val="16CB527B"/>
    <w:rsid w:val="16DE476A"/>
    <w:rsid w:val="16EA3C96"/>
    <w:rsid w:val="16F60275"/>
    <w:rsid w:val="16F8363C"/>
    <w:rsid w:val="170D258D"/>
    <w:rsid w:val="173C58DF"/>
    <w:rsid w:val="176C53FF"/>
    <w:rsid w:val="17CD6944"/>
    <w:rsid w:val="18241E34"/>
    <w:rsid w:val="18445C63"/>
    <w:rsid w:val="18792E7E"/>
    <w:rsid w:val="18AA18DB"/>
    <w:rsid w:val="18B57A0D"/>
    <w:rsid w:val="18CE2AA5"/>
    <w:rsid w:val="18DC5AC5"/>
    <w:rsid w:val="18F02D65"/>
    <w:rsid w:val="19017FDB"/>
    <w:rsid w:val="19063631"/>
    <w:rsid w:val="19483E8D"/>
    <w:rsid w:val="19C43A33"/>
    <w:rsid w:val="1A080577"/>
    <w:rsid w:val="1A497867"/>
    <w:rsid w:val="1A7125E7"/>
    <w:rsid w:val="1A7218CB"/>
    <w:rsid w:val="1A875DD3"/>
    <w:rsid w:val="1A9E46F8"/>
    <w:rsid w:val="1AC1240C"/>
    <w:rsid w:val="1AC96109"/>
    <w:rsid w:val="1AD11A1D"/>
    <w:rsid w:val="1B11676E"/>
    <w:rsid w:val="1B136D43"/>
    <w:rsid w:val="1B244CD8"/>
    <w:rsid w:val="1B392961"/>
    <w:rsid w:val="1B4B710C"/>
    <w:rsid w:val="1B5D6CA7"/>
    <w:rsid w:val="1B6264C1"/>
    <w:rsid w:val="1B6E1964"/>
    <w:rsid w:val="1B7A75C6"/>
    <w:rsid w:val="1B8C3E1F"/>
    <w:rsid w:val="1B9E4930"/>
    <w:rsid w:val="1BB27AA1"/>
    <w:rsid w:val="1BFB5FAC"/>
    <w:rsid w:val="1BFF4BB3"/>
    <w:rsid w:val="1C026332"/>
    <w:rsid w:val="1C300EC7"/>
    <w:rsid w:val="1C3E6A0B"/>
    <w:rsid w:val="1CD53AA7"/>
    <w:rsid w:val="1D054FDC"/>
    <w:rsid w:val="1D392227"/>
    <w:rsid w:val="1D570900"/>
    <w:rsid w:val="1D5A219E"/>
    <w:rsid w:val="1D60162B"/>
    <w:rsid w:val="1DA653E3"/>
    <w:rsid w:val="1DB25B36"/>
    <w:rsid w:val="1DBE4E50"/>
    <w:rsid w:val="1DC3160A"/>
    <w:rsid w:val="1DC36941"/>
    <w:rsid w:val="1E291ADF"/>
    <w:rsid w:val="1E350B73"/>
    <w:rsid w:val="1EB06519"/>
    <w:rsid w:val="1EC93490"/>
    <w:rsid w:val="1ED43166"/>
    <w:rsid w:val="1F0418E4"/>
    <w:rsid w:val="1F3D079B"/>
    <w:rsid w:val="1F645556"/>
    <w:rsid w:val="1F695677"/>
    <w:rsid w:val="1F762130"/>
    <w:rsid w:val="1FAF394A"/>
    <w:rsid w:val="1FC102B2"/>
    <w:rsid w:val="1FF93FEF"/>
    <w:rsid w:val="20047018"/>
    <w:rsid w:val="200D519B"/>
    <w:rsid w:val="201C31DE"/>
    <w:rsid w:val="20484530"/>
    <w:rsid w:val="20984237"/>
    <w:rsid w:val="209B2C72"/>
    <w:rsid w:val="210F0816"/>
    <w:rsid w:val="216058A9"/>
    <w:rsid w:val="216F2EED"/>
    <w:rsid w:val="21737E1E"/>
    <w:rsid w:val="21897A83"/>
    <w:rsid w:val="21DF0CC5"/>
    <w:rsid w:val="21EE7601"/>
    <w:rsid w:val="21F244C9"/>
    <w:rsid w:val="221B014E"/>
    <w:rsid w:val="226C4EFF"/>
    <w:rsid w:val="22844702"/>
    <w:rsid w:val="22C42120"/>
    <w:rsid w:val="22CE51C0"/>
    <w:rsid w:val="232F7EC0"/>
    <w:rsid w:val="2342795C"/>
    <w:rsid w:val="235979EB"/>
    <w:rsid w:val="2365696D"/>
    <w:rsid w:val="23790966"/>
    <w:rsid w:val="23B60BE1"/>
    <w:rsid w:val="23D04D2E"/>
    <w:rsid w:val="23FA3B7B"/>
    <w:rsid w:val="24071ECB"/>
    <w:rsid w:val="241B1885"/>
    <w:rsid w:val="24406316"/>
    <w:rsid w:val="245242FF"/>
    <w:rsid w:val="246D645F"/>
    <w:rsid w:val="24A81CD2"/>
    <w:rsid w:val="24B94E35"/>
    <w:rsid w:val="24EF6B3A"/>
    <w:rsid w:val="25A86574"/>
    <w:rsid w:val="25C242B4"/>
    <w:rsid w:val="25CF7FBB"/>
    <w:rsid w:val="25D4414A"/>
    <w:rsid w:val="262A3DD8"/>
    <w:rsid w:val="266C44DA"/>
    <w:rsid w:val="269424E9"/>
    <w:rsid w:val="26B75F6B"/>
    <w:rsid w:val="26B97F35"/>
    <w:rsid w:val="26BA6123"/>
    <w:rsid w:val="27204881"/>
    <w:rsid w:val="278519EE"/>
    <w:rsid w:val="27A04C51"/>
    <w:rsid w:val="27E02F6A"/>
    <w:rsid w:val="27E84AAA"/>
    <w:rsid w:val="27F97454"/>
    <w:rsid w:val="28053A43"/>
    <w:rsid w:val="28072F22"/>
    <w:rsid w:val="284B5177"/>
    <w:rsid w:val="28770012"/>
    <w:rsid w:val="28981765"/>
    <w:rsid w:val="28CC38CF"/>
    <w:rsid w:val="28F50BD5"/>
    <w:rsid w:val="28FB24A2"/>
    <w:rsid w:val="2906012E"/>
    <w:rsid w:val="290C6A42"/>
    <w:rsid w:val="291F28E4"/>
    <w:rsid w:val="293E2465"/>
    <w:rsid w:val="29712D49"/>
    <w:rsid w:val="2979665D"/>
    <w:rsid w:val="29806252"/>
    <w:rsid w:val="29857EEF"/>
    <w:rsid w:val="29D15EBB"/>
    <w:rsid w:val="2A2969A6"/>
    <w:rsid w:val="2A2D2D2C"/>
    <w:rsid w:val="2A4D10C0"/>
    <w:rsid w:val="2A5360B6"/>
    <w:rsid w:val="2A5A7483"/>
    <w:rsid w:val="2A800AC4"/>
    <w:rsid w:val="2B3D31D3"/>
    <w:rsid w:val="2B6C1A1A"/>
    <w:rsid w:val="2BA20FFF"/>
    <w:rsid w:val="2BB84DBA"/>
    <w:rsid w:val="2BC854A9"/>
    <w:rsid w:val="2C0E57BF"/>
    <w:rsid w:val="2C182311"/>
    <w:rsid w:val="2C4B1870"/>
    <w:rsid w:val="2C7F1CDF"/>
    <w:rsid w:val="2C824D0A"/>
    <w:rsid w:val="2CAA5E21"/>
    <w:rsid w:val="2CDC1D24"/>
    <w:rsid w:val="2CFF5344"/>
    <w:rsid w:val="2D3B440B"/>
    <w:rsid w:val="2D464CEF"/>
    <w:rsid w:val="2D6F45E8"/>
    <w:rsid w:val="2D7449E9"/>
    <w:rsid w:val="2D7A61F4"/>
    <w:rsid w:val="2DF42105"/>
    <w:rsid w:val="2DF572C5"/>
    <w:rsid w:val="2E0A1677"/>
    <w:rsid w:val="2E2537FC"/>
    <w:rsid w:val="2E310CF9"/>
    <w:rsid w:val="2E436E03"/>
    <w:rsid w:val="2E63744B"/>
    <w:rsid w:val="2E8D50D8"/>
    <w:rsid w:val="2ECB5E46"/>
    <w:rsid w:val="2EEB70FA"/>
    <w:rsid w:val="2F5A3E02"/>
    <w:rsid w:val="2F981737"/>
    <w:rsid w:val="2F9B48E5"/>
    <w:rsid w:val="2FC57247"/>
    <w:rsid w:val="301B4BDC"/>
    <w:rsid w:val="3029612C"/>
    <w:rsid w:val="308E1D12"/>
    <w:rsid w:val="309E3CCC"/>
    <w:rsid w:val="30BD7BDC"/>
    <w:rsid w:val="30E20834"/>
    <w:rsid w:val="30E47487"/>
    <w:rsid w:val="310A7E08"/>
    <w:rsid w:val="31215055"/>
    <w:rsid w:val="314174A5"/>
    <w:rsid w:val="316B2774"/>
    <w:rsid w:val="317F7D0B"/>
    <w:rsid w:val="31A00873"/>
    <w:rsid w:val="31CD0D39"/>
    <w:rsid w:val="320004AD"/>
    <w:rsid w:val="320B5097"/>
    <w:rsid w:val="320F7907"/>
    <w:rsid w:val="32407409"/>
    <w:rsid w:val="32560D2E"/>
    <w:rsid w:val="325B2EC3"/>
    <w:rsid w:val="326D1CBA"/>
    <w:rsid w:val="326E0FBE"/>
    <w:rsid w:val="32921AF1"/>
    <w:rsid w:val="329A50BF"/>
    <w:rsid w:val="32CA4E86"/>
    <w:rsid w:val="33064502"/>
    <w:rsid w:val="33160808"/>
    <w:rsid w:val="33303942"/>
    <w:rsid w:val="335913F8"/>
    <w:rsid w:val="33AF2786"/>
    <w:rsid w:val="33B62560"/>
    <w:rsid w:val="33D45261"/>
    <w:rsid w:val="33D57E6D"/>
    <w:rsid w:val="33DA2F8C"/>
    <w:rsid w:val="33F407FF"/>
    <w:rsid w:val="34111296"/>
    <w:rsid w:val="342B3CDF"/>
    <w:rsid w:val="347E711B"/>
    <w:rsid w:val="34A42273"/>
    <w:rsid w:val="34A460C4"/>
    <w:rsid w:val="34CF75E5"/>
    <w:rsid w:val="34F251B7"/>
    <w:rsid w:val="350E789D"/>
    <w:rsid w:val="354F6756"/>
    <w:rsid w:val="359B0BD8"/>
    <w:rsid w:val="359B155F"/>
    <w:rsid w:val="35DC34F8"/>
    <w:rsid w:val="36227B06"/>
    <w:rsid w:val="363F7524"/>
    <w:rsid w:val="366E4D55"/>
    <w:rsid w:val="367F6A63"/>
    <w:rsid w:val="37446F8C"/>
    <w:rsid w:val="377C2DEE"/>
    <w:rsid w:val="37802305"/>
    <w:rsid w:val="37A322C6"/>
    <w:rsid w:val="37CB34A9"/>
    <w:rsid w:val="37D94172"/>
    <w:rsid w:val="38103E8B"/>
    <w:rsid w:val="382947EF"/>
    <w:rsid w:val="383A5168"/>
    <w:rsid w:val="38C146E1"/>
    <w:rsid w:val="397650C3"/>
    <w:rsid w:val="39B202EA"/>
    <w:rsid w:val="39EA14BC"/>
    <w:rsid w:val="39FE425B"/>
    <w:rsid w:val="3A043EF8"/>
    <w:rsid w:val="3A133AAF"/>
    <w:rsid w:val="3A1C5565"/>
    <w:rsid w:val="3A6D7A92"/>
    <w:rsid w:val="3AA45613"/>
    <w:rsid w:val="3ABF2191"/>
    <w:rsid w:val="3B6D1E52"/>
    <w:rsid w:val="3BC05287"/>
    <w:rsid w:val="3BCB4190"/>
    <w:rsid w:val="3BD37450"/>
    <w:rsid w:val="3C0628E8"/>
    <w:rsid w:val="3C0E4427"/>
    <w:rsid w:val="3C3E664F"/>
    <w:rsid w:val="3C487939"/>
    <w:rsid w:val="3CC571DC"/>
    <w:rsid w:val="3CE21B3C"/>
    <w:rsid w:val="3CE37662"/>
    <w:rsid w:val="3CFD0F58"/>
    <w:rsid w:val="3D3048BC"/>
    <w:rsid w:val="3D422D97"/>
    <w:rsid w:val="3D5F08FC"/>
    <w:rsid w:val="3D7A320C"/>
    <w:rsid w:val="3D8D34ED"/>
    <w:rsid w:val="3DB00EAB"/>
    <w:rsid w:val="3DD27DC4"/>
    <w:rsid w:val="3DF064DB"/>
    <w:rsid w:val="3E410AE4"/>
    <w:rsid w:val="3E5D33CF"/>
    <w:rsid w:val="3E6E1153"/>
    <w:rsid w:val="3E9B4698"/>
    <w:rsid w:val="3EA212E2"/>
    <w:rsid w:val="3EAB41B0"/>
    <w:rsid w:val="3EBB7ECD"/>
    <w:rsid w:val="3ED01A59"/>
    <w:rsid w:val="3EF83A0C"/>
    <w:rsid w:val="3EF84464"/>
    <w:rsid w:val="3EF868CF"/>
    <w:rsid w:val="3F136D5D"/>
    <w:rsid w:val="3F4C0293"/>
    <w:rsid w:val="3F4E4076"/>
    <w:rsid w:val="3F625B35"/>
    <w:rsid w:val="3F712CCA"/>
    <w:rsid w:val="3F984212"/>
    <w:rsid w:val="3F9C2EFE"/>
    <w:rsid w:val="3FAE55EA"/>
    <w:rsid w:val="3FE27341"/>
    <w:rsid w:val="3FF322B2"/>
    <w:rsid w:val="3FFC7A33"/>
    <w:rsid w:val="400A2891"/>
    <w:rsid w:val="402B1A4C"/>
    <w:rsid w:val="404401F2"/>
    <w:rsid w:val="404960FF"/>
    <w:rsid w:val="405E2F5C"/>
    <w:rsid w:val="406E3627"/>
    <w:rsid w:val="40723D81"/>
    <w:rsid w:val="407C4A95"/>
    <w:rsid w:val="409673B0"/>
    <w:rsid w:val="409E0428"/>
    <w:rsid w:val="40B01CBD"/>
    <w:rsid w:val="40B167A0"/>
    <w:rsid w:val="40BA1902"/>
    <w:rsid w:val="40E3409D"/>
    <w:rsid w:val="410A11BA"/>
    <w:rsid w:val="41126768"/>
    <w:rsid w:val="413369FE"/>
    <w:rsid w:val="413B5CBF"/>
    <w:rsid w:val="41463559"/>
    <w:rsid w:val="415723CD"/>
    <w:rsid w:val="415E024D"/>
    <w:rsid w:val="41613CD8"/>
    <w:rsid w:val="41916141"/>
    <w:rsid w:val="41FA565F"/>
    <w:rsid w:val="423638A4"/>
    <w:rsid w:val="425C4756"/>
    <w:rsid w:val="42892A5A"/>
    <w:rsid w:val="42A20D62"/>
    <w:rsid w:val="42C7049C"/>
    <w:rsid w:val="42E31ED7"/>
    <w:rsid w:val="43173ADE"/>
    <w:rsid w:val="43344580"/>
    <w:rsid w:val="436B215F"/>
    <w:rsid w:val="436D0D42"/>
    <w:rsid w:val="439022B6"/>
    <w:rsid w:val="43A15B81"/>
    <w:rsid w:val="43A16DE2"/>
    <w:rsid w:val="43FF6CB2"/>
    <w:rsid w:val="44052BE6"/>
    <w:rsid w:val="441C79BF"/>
    <w:rsid w:val="44246C38"/>
    <w:rsid w:val="445A46AE"/>
    <w:rsid w:val="446B4420"/>
    <w:rsid w:val="44703A8A"/>
    <w:rsid w:val="44AD41D2"/>
    <w:rsid w:val="44C578EC"/>
    <w:rsid w:val="44DB7445"/>
    <w:rsid w:val="45004FCE"/>
    <w:rsid w:val="455602AA"/>
    <w:rsid w:val="45893DDB"/>
    <w:rsid w:val="459C36A0"/>
    <w:rsid w:val="45CB2A30"/>
    <w:rsid w:val="45EE31C2"/>
    <w:rsid w:val="45FD54EB"/>
    <w:rsid w:val="462D71DE"/>
    <w:rsid w:val="46310D39"/>
    <w:rsid w:val="464A1333"/>
    <w:rsid w:val="46601D24"/>
    <w:rsid w:val="46657D4C"/>
    <w:rsid w:val="46706AC2"/>
    <w:rsid w:val="468020EF"/>
    <w:rsid w:val="46AA2F9F"/>
    <w:rsid w:val="46B55B4D"/>
    <w:rsid w:val="46C45B69"/>
    <w:rsid w:val="46D020B6"/>
    <w:rsid w:val="46D70238"/>
    <w:rsid w:val="46F72913"/>
    <w:rsid w:val="474C6615"/>
    <w:rsid w:val="479223B1"/>
    <w:rsid w:val="47B02837"/>
    <w:rsid w:val="47BF0150"/>
    <w:rsid w:val="48004BE1"/>
    <w:rsid w:val="48142DC6"/>
    <w:rsid w:val="48444146"/>
    <w:rsid w:val="485A0FFB"/>
    <w:rsid w:val="485E5ED7"/>
    <w:rsid w:val="486B6955"/>
    <w:rsid w:val="48E857AF"/>
    <w:rsid w:val="49012E87"/>
    <w:rsid w:val="494C21E0"/>
    <w:rsid w:val="494D47E1"/>
    <w:rsid w:val="495B7ECC"/>
    <w:rsid w:val="49944B8C"/>
    <w:rsid w:val="49C83E68"/>
    <w:rsid w:val="4A196A5F"/>
    <w:rsid w:val="4A480C4B"/>
    <w:rsid w:val="4A5D0A54"/>
    <w:rsid w:val="4A7A22B5"/>
    <w:rsid w:val="4AD33BBB"/>
    <w:rsid w:val="4B141254"/>
    <w:rsid w:val="4B2E23F0"/>
    <w:rsid w:val="4B5A2126"/>
    <w:rsid w:val="4B6151FB"/>
    <w:rsid w:val="4B633C5C"/>
    <w:rsid w:val="4B7E3796"/>
    <w:rsid w:val="4B874756"/>
    <w:rsid w:val="4B9F32EE"/>
    <w:rsid w:val="4B9F6C7C"/>
    <w:rsid w:val="4BC24778"/>
    <w:rsid w:val="4C48536F"/>
    <w:rsid w:val="4C54716C"/>
    <w:rsid w:val="4C643B5A"/>
    <w:rsid w:val="4CA03E60"/>
    <w:rsid w:val="4CA5092F"/>
    <w:rsid w:val="4CBE5E71"/>
    <w:rsid w:val="4CD754F1"/>
    <w:rsid w:val="4D0C36AA"/>
    <w:rsid w:val="4D205258"/>
    <w:rsid w:val="4D221AE1"/>
    <w:rsid w:val="4D573E80"/>
    <w:rsid w:val="4D6764A9"/>
    <w:rsid w:val="4D7509BA"/>
    <w:rsid w:val="4DA04B81"/>
    <w:rsid w:val="4DBA7F6B"/>
    <w:rsid w:val="4DCE1C69"/>
    <w:rsid w:val="4DD2753E"/>
    <w:rsid w:val="4DD94895"/>
    <w:rsid w:val="4E2102A7"/>
    <w:rsid w:val="4E54216E"/>
    <w:rsid w:val="4E724CEA"/>
    <w:rsid w:val="4EA81029"/>
    <w:rsid w:val="4EBB3F9B"/>
    <w:rsid w:val="4EEE310B"/>
    <w:rsid w:val="4EF37BD9"/>
    <w:rsid w:val="4F075A14"/>
    <w:rsid w:val="4F0F25C2"/>
    <w:rsid w:val="4F1C2DDC"/>
    <w:rsid w:val="4F4E4E0F"/>
    <w:rsid w:val="4F847BF7"/>
    <w:rsid w:val="4F936CC6"/>
    <w:rsid w:val="4FF21832"/>
    <w:rsid w:val="503A7A3F"/>
    <w:rsid w:val="506C5330"/>
    <w:rsid w:val="508C0FD3"/>
    <w:rsid w:val="50B60AA4"/>
    <w:rsid w:val="50C86E43"/>
    <w:rsid w:val="50ED7686"/>
    <w:rsid w:val="512135A5"/>
    <w:rsid w:val="51441378"/>
    <w:rsid w:val="516E191F"/>
    <w:rsid w:val="51892D67"/>
    <w:rsid w:val="51D709F0"/>
    <w:rsid w:val="51E53FFB"/>
    <w:rsid w:val="52092C3A"/>
    <w:rsid w:val="521768C3"/>
    <w:rsid w:val="521A6B4C"/>
    <w:rsid w:val="52397048"/>
    <w:rsid w:val="526F0461"/>
    <w:rsid w:val="52B92EE7"/>
    <w:rsid w:val="52BE04FE"/>
    <w:rsid w:val="52F420A1"/>
    <w:rsid w:val="5390431F"/>
    <w:rsid w:val="53AB390D"/>
    <w:rsid w:val="53C2401E"/>
    <w:rsid w:val="53C31E59"/>
    <w:rsid w:val="53E046FC"/>
    <w:rsid w:val="53EA0E7E"/>
    <w:rsid w:val="53F978BD"/>
    <w:rsid w:val="53FB308C"/>
    <w:rsid w:val="542601C8"/>
    <w:rsid w:val="547A3043"/>
    <w:rsid w:val="54B54870"/>
    <w:rsid w:val="54E571CC"/>
    <w:rsid w:val="54E96A60"/>
    <w:rsid w:val="55012924"/>
    <w:rsid w:val="55083CB2"/>
    <w:rsid w:val="55326F81"/>
    <w:rsid w:val="556C7FA3"/>
    <w:rsid w:val="557254BA"/>
    <w:rsid w:val="557F4356"/>
    <w:rsid w:val="55861739"/>
    <w:rsid w:val="55DB5C60"/>
    <w:rsid w:val="5630526E"/>
    <w:rsid w:val="563263D1"/>
    <w:rsid w:val="563B7B04"/>
    <w:rsid w:val="568B6CD2"/>
    <w:rsid w:val="56CB196F"/>
    <w:rsid w:val="56F3629C"/>
    <w:rsid w:val="57A30B62"/>
    <w:rsid w:val="57C353C8"/>
    <w:rsid w:val="57C80C74"/>
    <w:rsid w:val="57DE4B47"/>
    <w:rsid w:val="580730DA"/>
    <w:rsid w:val="588E02D3"/>
    <w:rsid w:val="58F73E56"/>
    <w:rsid w:val="590314B6"/>
    <w:rsid w:val="59C075C1"/>
    <w:rsid w:val="59F842F5"/>
    <w:rsid w:val="5A117D34"/>
    <w:rsid w:val="5AAE70AA"/>
    <w:rsid w:val="5AC95113"/>
    <w:rsid w:val="5AD47365"/>
    <w:rsid w:val="5AEA0974"/>
    <w:rsid w:val="5B2D4D65"/>
    <w:rsid w:val="5B2E0CC8"/>
    <w:rsid w:val="5B372BFB"/>
    <w:rsid w:val="5B612C78"/>
    <w:rsid w:val="5B727B4C"/>
    <w:rsid w:val="5B8C0D40"/>
    <w:rsid w:val="5B921ADA"/>
    <w:rsid w:val="5B9710F8"/>
    <w:rsid w:val="5BB27C1F"/>
    <w:rsid w:val="5BCB1125"/>
    <w:rsid w:val="5C004A87"/>
    <w:rsid w:val="5C0B5202"/>
    <w:rsid w:val="5C3B496D"/>
    <w:rsid w:val="5C622FF0"/>
    <w:rsid w:val="5C7B15E4"/>
    <w:rsid w:val="5CA13D93"/>
    <w:rsid w:val="5CAB391D"/>
    <w:rsid w:val="5D16392B"/>
    <w:rsid w:val="5D167E3E"/>
    <w:rsid w:val="5D504448"/>
    <w:rsid w:val="5D644924"/>
    <w:rsid w:val="5D6A7A61"/>
    <w:rsid w:val="5D727E1D"/>
    <w:rsid w:val="5DA21D13"/>
    <w:rsid w:val="5DC50992"/>
    <w:rsid w:val="5DCF4E9B"/>
    <w:rsid w:val="5DDE46CF"/>
    <w:rsid w:val="5DEE1A78"/>
    <w:rsid w:val="5E1A44CF"/>
    <w:rsid w:val="5E432B21"/>
    <w:rsid w:val="5E5A7C06"/>
    <w:rsid w:val="5E6A1442"/>
    <w:rsid w:val="5E7552EC"/>
    <w:rsid w:val="5E837981"/>
    <w:rsid w:val="5E867889"/>
    <w:rsid w:val="5E971910"/>
    <w:rsid w:val="5EB24909"/>
    <w:rsid w:val="5ECF75EF"/>
    <w:rsid w:val="5F5B2F96"/>
    <w:rsid w:val="6003117F"/>
    <w:rsid w:val="603344AC"/>
    <w:rsid w:val="60410A08"/>
    <w:rsid w:val="604B2431"/>
    <w:rsid w:val="6060299A"/>
    <w:rsid w:val="607867C7"/>
    <w:rsid w:val="609135BC"/>
    <w:rsid w:val="609D66E4"/>
    <w:rsid w:val="60A51347"/>
    <w:rsid w:val="60DB04CD"/>
    <w:rsid w:val="60E770BE"/>
    <w:rsid w:val="611D0AE5"/>
    <w:rsid w:val="611E3321"/>
    <w:rsid w:val="61590278"/>
    <w:rsid w:val="618C5F4B"/>
    <w:rsid w:val="619D55D8"/>
    <w:rsid w:val="61C97437"/>
    <w:rsid w:val="61E178EC"/>
    <w:rsid w:val="61E75FC1"/>
    <w:rsid w:val="625240A6"/>
    <w:rsid w:val="62B61B9D"/>
    <w:rsid w:val="62BD7E9D"/>
    <w:rsid w:val="62E13D6C"/>
    <w:rsid w:val="62E726AE"/>
    <w:rsid w:val="62E80C7F"/>
    <w:rsid w:val="62E904DC"/>
    <w:rsid w:val="6321335F"/>
    <w:rsid w:val="635A73BD"/>
    <w:rsid w:val="638D45C8"/>
    <w:rsid w:val="63AE1B87"/>
    <w:rsid w:val="63B40C07"/>
    <w:rsid w:val="63B56258"/>
    <w:rsid w:val="63B86F9D"/>
    <w:rsid w:val="63FE43E4"/>
    <w:rsid w:val="640F1B91"/>
    <w:rsid w:val="644E1BE0"/>
    <w:rsid w:val="64602BB1"/>
    <w:rsid w:val="6462388A"/>
    <w:rsid w:val="6496750A"/>
    <w:rsid w:val="64A42F55"/>
    <w:rsid w:val="64D63485"/>
    <w:rsid w:val="64DC5EFB"/>
    <w:rsid w:val="64FB72AB"/>
    <w:rsid w:val="651368A6"/>
    <w:rsid w:val="653D1756"/>
    <w:rsid w:val="657038D9"/>
    <w:rsid w:val="65821697"/>
    <w:rsid w:val="65A3781A"/>
    <w:rsid w:val="65A53FDF"/>
    <w:rsid w:val="65BE26CC"/>
    <w:rsid w:val="66212E26"/>
    <w:rsid w:val="66BB5028"/>
    <w:rsid w:val="66D40487"/>
    <w:rsid w:val="67151A41"/>
    <w:rsid w:val="67283727"/>
    <w:rsid w:val="67472418"/>
    <w:rsid w:val="674B277C"/>
    <w:rsid w:val="67995DC9"/>
    <w:rsid w:val="679C4C2F"/>
    <w:rsid w:val="67B040BC"/>
    <w:rsid w:val="681F4A41"/>
    <w:rsid w:val="6872683E"/>
    <w:rsid w:val="68914293"/>
    <w:rsid w:val="68E02BDA"/>
    <w:rsid w:val="68E35834"/>
    <w:rsid w:val="68F309F7"/>
    <w:rsid w:val="69006D22"/>
    <w:rsid w:val="69180D13"/>
    <w:rsid w:val="691B78DF"/>
    <w:rsid w:val="691F59AD"/>
    <w:rsid w:val="69601EB7"/>
    <w:rsid w:val="69780C95"/>
    <w:rsid w:val="699E0CA5"/>
    <w:rsid w:val="69A33F72"/>
    <w:rsid w:val="69B503C5"/>
    <w:rsid w:val="69CA47C5"/>
    <w:rsid w:val="69EB5EC4"/>
    <w:rsid w:val="6A1B1DC5"/>
    <w:rsid w:val="6A305E70"/>
    <w:rsid w:val="6A6F0018"/>
    <w:rsid w:val="6A8E1555"/>
    <w:rsid w:val="6AC2575E"/>
    <w:rsid w:val="6AD506B9"/>
    <w:rsid w:val="6AD6279C"/>
    <w:rsid w:val="6B12219B"/>
    <w:rsid w:val="6B282560"/>
    <w:rsid w:val="6B417BAA"/>
    <w:rsid w:val="6B443A01"/>
    <w:rsid w:val="6B9D4CFC"/>
    <w:rsid w:val="6BA73DCD"/>
    <w:rsid w:val="6C0F6E65"/>
    <w:rsid w:val="6C155018"/>
    <w:rsid w:val="6C3175D6"/>
    <w:rsid w:val="6C373338"/>
    <w:rsid w:val="6C4258A4"/>
    <w:rsid w:val="6C606865"/>
    <w:rsid w:val="6C7C0DB6"/>
    <w:rsid w:val="6C8378C3"/>
    <w:rsid w:val="6C8D4AFB"/>
    <w:rsid w:val="6C9C5A58"/>
    <w:rsid w:val="6CF972E4"/>
    <w:rsid w:val="6D132535"/>
    <w:rsid w:val="6D3C0299"/>
    <w:rsid w:val="6D80389F"/>
    <w:rsid w:val="6D8524D2"/>
    <w:rsid w:val="6DA5433C"/>
    <w:rsid w:val="6DAB690F"/>
    <w:rsid w:val="6DB27C3F"/>
    <w:rsid w:val="6DD469CF"/>
    <w:rsid w:val="6E167216"/>
    <w:rsid w:val="6E587601"/>
    <w:rsid w:val="6E922B12"/>
    <w:rsid w:val="6E926BD8"/>
    <w:rsid w:val="6EB3713F"/>
    <w:rsid w:val="6EBA3E17"/>
    <w:rsid w:val="6ECC5B67"/>
    <w:rsid w:val="6F0B0F17"/>
    <w:rsid w:val="6F217EFC"/>
    <w:rsid w:val="6F305E87"/>
    <w:rsid w:val="6F4158DC"/>
    <w:rsid w:val="6F555FAE"/>
    <w:rsid w:val="6F567CE0"/>
    <w:rsid w:val="6FAB1E00"/>
    <w:rsid w:val="6FB379B7"/>
    <w:rsid w:val="6FCB59B1"/>
    <w:rsid w:val="6FEE6DD6"/>
    <w:rsid w:val="701E3F32"/>
    <w:rsid w:val="7049276B"/>
    <w:rsid w:val="705D2CAC"/>
    <w:rsid w:val="707024CA"/>
    <w:rsid w:val="70763D6E"/>
    <w:rsid w:val="709E3013"/>
    <w:rsid w:val="70C765DA"/>
    <w:rsid w:val="70EB5A09"/>
    <w:rsid w:val="71121CE9"/>
    <w:rsid w:val="7131578F"/>
    <w:rsid w:val="71341ADC"/>
    <w:rsid w:val="713944D5"/>
    <w:rsid w:val="717E3429"/>
    <w:rsid w:val="71AA1F21"/>
    <w:rsid w:val="71AD2317"/>
    <w:rsid w:val="71B320EB"/>
    <w:rsid w:val="723948E4"/>
    <w:rsid w:val="72574327"/>
    <w:rsid w:val="726B4BC3"/>
    <w:rsid w:val="727A1734"/>
    <w:rsid w:val="72906290"/>
    <w:rsid w:val="72DA6EF7"/>
    <w:rsid w:val="7304762D"/>
    <w:rsid w:val="73704E3E"/>
    <w:rsid w:val="73EB6228"/>
    <w:rsid w:val="7419700F"/>
    <w:rsid w:val="743E0948"/>
    <w:rsid w:val="74647A24"/>
    <w:rsid w:val="74991B42"/>
    <w:rsid w:val="749B29EF"/>
    <w:rsid w:val="74E41BEE"/>
    <w:rsid w:val="75161A3A"/>
    <w:rsid w:val="752F2159"/>
    <w:rsid w:val="756E3266"/>
    <w:rsid w:val="75711E57"/>
    <w:rsid w:val="75796918"/>
    <w:rsid w:val="75B733C9"/>
    <w:rsid w:val="75F93477"/>
    <w:rsid w:val="761400D4"/>
    <w:rsid w:val="761F2CDB"/>
    <w:rsid w:val="76297B0C"/>
    <w:rsid w:val="76622C6F"/>
    <w:rsid w:val="766B2D06"/>
    <w:rsid w:val="767216A4"/>
    <w:rsid w:val="768C534D"/>
    <w:rsid w:val="76A21419"/>
    <w:rsid w:val="76B719E1"/>
    <w:rsid w:val="76D04B88"/>
    <w:rsid w:val="76E22B8A"/>
    <w:rsid w:val="76F71FA2"/>
    <w:rsid w:val="77075720"/>
    <w:rsid w:val="770F4077"/>
    <w:rsid w:val="777A76C6"/>
    <w:rsid w:val="778C0B71"/>
    <w:rsid w:val="77A0187C"/>
    <w:rsid w:val="77B55D41"/>
    <w:rsid w:val="77B75398"/>
    <w:rsid w:val="77F65107"/>
    <w:rsid w:val="780B7492"/>
    <w:rsid w:val="780D6D66"/>
    <w:rsid w:val="78144598"/>
    <w:rsid w:val="786F02B8"/>
    <w:rsid w:val="78713718"/>
    <w:rsid w:val="78801765"/>
    <w:rsid w:val="78807FAB"/>
    <w:rsid w:val="7892341F"/>
    <w:rsid w:val="789A4628"/>
    <w:rsid w:val="78AE1D61"/>
    <w:rsid w:val="78C655F6"/>
    <w:rsid w:val="78D41F79"/>
    <w:rsid w:val="79584F37"/>
    <w:rsid w:val="79624D56"/>
    <w:rsid w:val="79662415"/>
    <w:rsid w:val="79665F74"/>
    <w:rsid w:val="7985365C"/>
    <w:rsid w:val="79AB6356"/>
    <w:rsid w:val="79AD4AA0"/>
    <w:rsid w:val="79B023A6"/>
    <w:rsid w:val="79BC6814"/>
    <w:rsid w:val="79C22D70"/>
    <w:rsid w:val="79DA5722"/>
    <w:rsid w:val="7A48677B"/>
    <w:rsid w:val="7A592736"/>
    <w:rsid w:val="7A5E18B6"/>
    <w:rsid w:val="7A5E5F71"/>
    <w:rsid w:val="7A644FAE"/>
    <w:rsid w:val="7A923E9A"/>
    <w:rsid w:val="7A9B68AB"/>
    <w:rsid w:val="7AC54D17"/>
    <w:rsid w:val="7ACF4455"/>
    <w:rsid w:val="7AF44E64"/>
    <w:rsid w:val="7B261FC1"/>
    <w:rsid w:val="7B2C7E4B"/>
    <w:rsid w:val="7B600121"/>
    <w:rsid w:val="7B82325E"/>
    <w:rsid w:val="7BB816DF"/>
    <w:rsid w:val="7BBA1159"/>
    <w:rsid w:val="7BDD1145"/>
    <w:rsid w:val="7C3A02ED"/>
    <w:rsid w:val="7C466CEA"/>
    <w:rsid w:val="7C9D2298"/>
    <w:rsid w:val="7CA67213"/>
    <w:rsid w:val="7CB9570E"/>
    <w:rsid w:val="7CBF7F26"/>
    <w:rsid w:val="7CC23740"/>
    <w:rsid w:val="7CCA6DEA"/>
    <w:rsid w:val="7CCB2C90"/>
    <w:rsid w:val="7CCF1BCB"/>
    <w:rsid w:val="7D4E5A6F"/>
    <w:rsid w:val="7DC32BB3"/>
    <w:rsid w:val="7DDA5AFF"/>
    <w:rsid w:val="7DE561BE"/>
    <w:rsid w:val="7DF80A70"/>
    <w:rsid w:val="7E025909"/>
    <w:rsid w:val="7E505F96"/>
    <w:rsid w:val="7E5C3CEC"/>
    <w:rsid w:val="7E723DC7"/>
    <w:rsid w:val="7E7F6689"/>
    <w:rsid w:val="7E8D1E54"/>
    <w:rsid w:val="7EC25EB2"/>
    <w:rsid w:val="7FCB472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qFormat/>
    <w:uiPriority w:val="0"/>
    <w:pPr>
      <w:keepNext/>
      <w:keepLines/>
      <w:spacing w:line="360" w:lineRule="auto"/>
      <w:outlineLvl w:val="1"/>
    </w:pPr>
    <w:rPr>
      <w:rFonts w:ascii="Arial" w:hAnsi="Arial"/>
      <w:b/>
      <w:bCs/>
      <w:sz w:val="24"/>
      <w:szCs w:val="32"/>
    </w:rPr>
  </w:style>
  <w:style w:type="paragraph" w:styleId="5">
    <w:name w:val="heading 3"/>
    <w:basedOn w:val="1"/>
    <w:next w:val="1"/>
    <w:link w:val="50"/>
    <w:qFormat/>
    <w:uiPriority w:val="0"/>
    <w:pPr>
      <w:keepNext/>
      <w:keepLines/>
      <w:spacing w:before="260" w:beforeLines="0" w:after="260" w:afterLines="0" w:line="413" w:lineRule="auto"/>
      <w:outlineLvl w:val="2"/>
    </w:pPr>
    <w:rPr>
      <w:b/>
      <w:bCs/>
      <w:sz w:val="32"/>
      <w:szCs w:val="32"/>
    </w:rPr>
  </w:style>
  <w:style w:type="paragraph" w:styleId="6">
    <w:name w:val="heading 4"/>
    <w:basedOn w:val="1"/>
    <w:next w:val="1"/>
    <w:qFormat/>
    <w:uiPriority w:val="99"/>
    <w:pPr>
      <w:keepNext/>
      <w:keepLines/>
      <w:spacing w:before="280" w:beforeLines="0" w:after="290" w:afterLines="0" w:line="372" w:lineRule="auto"/>
      <w:outlineLvl w:val="3"/>
    </w:pPr>
    <w:rPr>
      <w:rFonts w:ascii="Arial" w:hAnsi="Arial" w:eastAsia="黑体"/>
      <w:b/>
      <w:bCs/>
      <w:sz w:val="28"/>
      <w:szCs w:val="28"/>
    </w:rPr>
  </w:style>
  <w:style w:type="character" w:default="1" w:styleId="35">
    <w:name w:val="Default Paragraph Font"/>
    <w:qFormat/>
    <w:uiPriority w:val="0"/>
  </w:style>
  <w:style w:type="table" w:default="1" w:styleId="33">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eastAsia="仿宋_GB2312"/>
      <w:sz w:val="32"/>
      <w:szCs w:val="20"/>
    </w:rPr>
  </w:style>
  <w:style w:type="paragraph" w:styleId="7">
    <w:name w:val="Normal Indent"/>
    <w:basedOn w:val="1"/>
    <w:qFormat/>
    <w:uiPriority w:val="0"/>
    <w:pPr>
      <w:ind w:firstLine="420" w:firstLineChars="200"/>
    </w:pPr>
  </w:style>
  <w:style w:type="paragraph" w:styleId="8">
    <w:name w:val="caption"/>
    <w:basedOn w:val="1"/>
    <w:next w:val="1"/>
    <w:qFormat/>
    <w:uiPriority w:val="0"/>
    <w:rPr>
      <w:rFonts w:ascii="Cambria" w:hAnsi="Cambria" w:eastAsia="黑体"/>
      <w:sz w:val="20"/>
    </w:rPr>
  </w:style>
  <w:style w:type="paragraph" w:styleId="9">
    <w:name w:val="Document Map"/>
    <w:basedOn w:val="1"/>
    <w:qFormat/>
    <w:uiPriority w:val="0"/>
    <w:pPr>
      <w:shd w:val="clear" w:color="auto" w:fill="000080"/>
    </w:pPr>
  </w:style>
  <w:style w:type="paragraph" w:styleId="10">
    <w:name w:val="toa heading"/>
    <w:basedOn w:val="1"/>
    <w:next w:val="1"/>
    <w:qFormat/>
    <w:uiPriority w:val="0"/>
    <w:pPr>
      <w:spacing w:before="120"/>
    </w:pPr>
    <w:rPr>
      <w:rFonts w:ascii="Arial" w:hAnsi="Arial"/>
      <w:sz w:val="24"/>
      <w:szCs w:val="20"/>
    </w:rPr>
  </w:style>
  <w:style w:type="paragraph" w:styleId="11">
    <w:name w:val="annotation text"/>
    <w:basedOn w:val="1"/>
    <w:qFormat/>
    <w:uiPriority w:val="0"/>
    <w:pPr>
      <w:jc w:val="left"/>
    </w:pPr>
  </w:style>
  <w:style w:type="paragraph" w:styleId="12">
    <w:name w:val="Body Text 3"/>
    <w:basedOn w:val="1"/>
    <w:qFormat/>
    <w:uiPriority w:val="0"/>
    <w:rPr>
      <w:rFonts w:hAnsi="Times New Roman"/>
      <w:kern w:val="0"/>
      <w:sz w:val="24"/>
      <w:szCs w:val="20"/>
    </w:rPr>
  </w:style>
  <w:style w:type="paragraph" w:styleId="13">
    <w:name w:val="Body Text Indent"/>
    <w:basedOn w:val="1"/>
    <w:next w:val="14"/>
    <w:qFormat/>
    <w:uiPriority w:val="0"/>
    <w:pPr>
      <w:tabs>
        <w:tab w:val="left" w:pos="945"/>
        <w:tab w:val="left" w:pos="1155"/>
      </w:tabs>
      <w:ind w:firstLine="435"/>
    </w:pPr>
    <w:rPr>
      <w:rFonts w:ascii="Ari"/>
      <w:sz w:val="24"/>
      <w:szCs w:val="20"/>
    </w:rPr>
  </w:style>
  <w:style w:type="paragraph" w:styleId="14">
    <w:name w:val="envelope return"/>
    <w:basedOn w:val="1"/>
    <w:unhideWhenUsed/>
    <w:qFormat/>
    <w:uiPriority w:val="99"/>
    <w:pPr>
      <w:snapToGrid w:val="0"/>
    </w:pPr>
    <w:rPr>
      <w:rFonts w:ascii="Arial" w:hAnsi="Arial"/>
    </w:rPr>
  </w:style>
  <w:style w:type="paragraph" w:styleId="15">
    <w:name w:val="List 2"/>
    <w:basedOn w:val="1"/>
    <w:qFormat/>
    <w:uiPriority w:val="0"/>
    <w:pPr>
      <w:ind w:left="100" w:leftChars="200" w:hanging="200" w:hangingChars="200"/>
      <w:contextualSpacing/>
    </w:pPr>
  </w:style>
  <w:style w:type="paragraph" w:styleId="16">
    <w:name w:val="List Bullet 2"/>
    <w:basedOn w:val="1"/>
    <w:qFormat/>
    <w:uiPriority w:val="0"/>
    <w:pPr>
      <w:numPr>
        <w:ilvl w:val="0"/>
        <w:numId w:val="1"/>
      </w:numPr>
    </w:pPr>
  </w:style>
  <w:style w:type="paragraph" w:styleId="17">
    <w:name w:val="toc 3"/>
    <w:basedOn w:val="1"/>
    <w:next w:val="1"/>
    <w:qFormat/>
    <w:uiPriority w:val="0"/>
    <w:pPr>
      <w:tabs>
        <w:tab w:val="right" w:leader="dot" w:pos="9061"/>
      </w:tabs>
      <w:spacing w:line="400" w:lineRule="exact"/>
      <w:ind w:left="420"/>
      <w:jc w:val="center"/>
    </w:pPr>
    <w:rPr>
      <w:rFonts w:ascii="宋体" w:hAnsi="宋体"/>
      <w:b/>
      <w:iCs/>
      <w:sz w:val="36"/>
      <w:szCs w:val="36"/>
    </w:rPr>
  </w:style>
  <w:style w:type="paragraph" w:styleId="18">
    <w:name w:val="Plain Text"/>
    <w:basedOn w:val="1"/>
    <w:next w:val="2"/>
    <w:qFormat/>
    <w:uiPriority w:val="0"/>
    <w:rPr>
      <w:rFonts w:ascii="宋体" w:hAnsi="Courier New"/>
      <w:szCs w:val="20"/>
    </w:rPr>
  </w:style>
  <w:style w:type="paragraph" w:styleId="19">
    <w:name w:val="Date"/>
    <w:basedOn w:val="1"/>
    <w:next w:val="1"/>
    <w:link w:val="51"/>
    <w:qFormat/>
    <w:uiPriority w:val="0"/>
    <w:pPr>
      <w:ind w:left="100" w:leftChars="2500"/>
    </w:pPr>
  </w:style>
  <w:style w:type="paragraph" w:styleId="20">
    <w:name w:val="Body Text Indent 2"/>
    <w:basedOn w:val="1"/>
    <w:qFormat/>
    <w:uiPriority w:val="0"/>
    <w:pPr>
      <w:adjustRightInd w:val="0"/>
      <w:snapToGrid w:val="0"/>
      <w:spacing w:line="480" w:lineRule="exact"/>
      <w:ind w:firstLine="480" w:firstLineChars="200"/>
    </w:pPr>
    <w:rPr>
      <w:rFonts w:ascii="仿宋_GB2312" w:hAnsi="宋体" w:eastAsia="仿宋_GB2312"/>
      <w:sz w:val="24"/>
    </w:rPr>
  </w:style>
  <w:style w:type="paragraph" w:styleId="21">
    <w:name w:val="Balloon Text"/>
    <w:basedOn w:val="1"/>
    <w:qFormat/>
    <w:uiPriority w:val="0"/>
    <w:rPr>
      <w:sz w:val="18"/>
      <w:szCs w:val="18"/>
    </w:rPr>
  </w:style>
  <w:style w:type="paragraph" w:styleId="22">
    <w:name w:val="footer"/>
    <w:basedOn w:val="1"/>
    <w:link w:val="52"/>
    <w:qFormat/>
    <w:uiPriority w:val="99"/>
    <w:pPr>
      <w:tabs>
        <w:tab w:val="center" w:pos="4153"/>
        <w:tab w:val="right" w:pos="8306"/>
      </w:tabs>
      <w:snapToGrid w:val="0"/>
      <w:jc w:val="left"/>
    </w:pPr>
    <w:rPr>
      <w:rFonts w:eastAsia="仿宋_GB2312"/>
      <w:sz w:val="18"/>
      <w:szCs w:val="20"/>
    </w:rPr>
  </w:style>
  <w:style w:type="paragraph" w:styleId="23">
    <w:name w:val="header"/>
    <w:basedOn w:val="1"/>
    <w:link w:val="53"/>
    <w:qFormat/>
    <w:uiPriority w:val="99"/>
    <w:pPr>
      <w:pBdr>
        <w:bottom w:val="single" w:color="auto" w:sz="6" w:space="1"/>
      </w:pBdr>
      <w:tabs>
        <w:tab w:val="center" w:pos="4153"/>
        <w:tab w:val="right" w:pos="8306"/>
      </w:tabs>
      <w:snapToGrid w:val="0"/>
      <w:jc w:val="center"/>
    </w:pPr>
    <w:rPr>
      <w:rFonts w:eastAsia="仿宋_GB2312"/>
      <w:sz w:val="18"/>
      <w:szCs w:val="20"/>
    </w:rPr>
  </w:style>
  <w:style w:type="paragraph" w:styleId="24">
    <w:name w:val="toc 1"/>
    <w:basedOn w:val="1"/>
    <w:next w:val="1"/>
    <w:qFormat/>
    <w:uiPriority w:val="0"/>
  </w:style>
  <w:style w:type="paragraph" w:styleId="25">
    <w:name w:val="footnote text"/>
    <w:basedOn w:val="1"/>
    <w:qFormat/>
    <w:uiPriority w:val="0"/>
    <w:pPr>
      <w:snapToGrid w:val="0"/>
      <w:jc w:val="left"/>
    </w:pPr>
    <w:rPr>
      <w:sz w:val="18"/>
      <w:szCs w:val="18"/>
    </w:rPr>
  </w:style>
  <w:style w:type="paragraph" w:styleId="26">
    <w:name w:val="Body Text Indent 3"/>
    <w:basedOn w:val="1"/>
    <w:qFormat/>
    <w:uiPriority w:val="0"/>
    <w:pPr>
      <w:spacing w:after="120" w:afterLines="0"/>
      <w:ind w:left="420" w:leftChars="200"/>
    </w:pPr>
    <w:rPr>
      <w:sz w:val="16"/>
      <w:szCs w:val="16"/>
    </w:rPr>
  </w:style>
  <w:style w:type="paragraph" w:styleId="27">
    <w:name w:val="toc 2"/>
    <w:basedOn w:val="1"/>
    <w:next w:val="1"/>
    <w:qFormat/>
    <w:uiPriority w:val="0"/>
    <w:pPr>
      <w:ind w:left="420" w:leftChars="200"/>
    </w:pPr>
  </w:style>
  <w:style w:type="paragraph" w:styleId="28">
    <w:name w:val="Body Text 2"/>
    <w:basedOn w:val="1"/>
    <w:next w:val="1"/>
    <w:qFormat/>
    <w:uiPriority w:val="0"/>
    <w:pPr>
      <w:spacing w:line="360" w:lineRule="auto"/>
    </w:pPr>
    <w:rPr>
      <w:rFonts w:ascii="仿宋_GB2312" w:hAnsi="宋体" w:eastAsia="仿宋_GB2312"/>
      <w:b/>
      <w:bCs/>
      <w:sz w:val="24"/>
    </w:rPr>
  </w:style>
  <w:style w:type="paragraph" w:styleId="29">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0">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31">
    <w:name w:val="Body Text First Indent"/>
    <w:basedOn w:val="2"/>
    <w:next w:val="1"/>
    <w:qFormat/>
    <w:uiPriority w:val="0"/>
    <w:pPr>
      <w:spacing w:before="0" w:beforeLines="0"/>
      <w:ind w:firstLine="420" w:firstLineChars="100"/>
    </w:pPr>
    <w:rPr>
      <w:rFonts w:hint="eastAsia"/>
      <w:sz w:val="21"/>
    </w:rPr>
  </w:style>
  <w:style w:type="paragraph" w:styleId="32">
    <w:name w:val="Body Text First Indent 2"/>
    <w:basedOn w:val="13"/>
    <w:next w:val="1"/>
    <w:qFormat/>
    <w:uiPriority w:val="0"/>
    <w:pPr>
      <w:spacing w:after="120" w:afterLines="0" w:line="240" w:lineRule="auto"/>
      <w:ind w:left="420" w:leftChars="200" w:firstLine="420" w:firstLineChars="200"/>
    </w:pPr>
    <w:rPr>
      <w:rFonts w:ascii="Times New Roman" w:hAnsi="Times New Roman" w:eastAsia="宋体" w:cs="Times New Roman"/>
    </w:rPr>
  </w:style>
  <w:style w:type="table" w:styleId="34">
    <w:name w:val="Table Grid"/>
    <w:basedOn w:val="33"/>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style>
  <w:style w:type="character" w:styleId="37">
    <w:name w:val="page number"/>
    <w:basedOn w:val="35"/>
    <w:qFormat/>
    <w:uiPriority w:val="0"/>
  </w:style>
  <w:style w:type="character" w:styleId="38">
    <w:name w:val="FollowedHyperlink"/>
    <w:qFormat/>
    <w:uiPriority w:val="0"/>
    <w:rPr>
      <w:color w:val="333333"/>
      <w:sz w:val="18"/>
      <w:szCs w:val="18"/>
      <w:u w:val="none"/>
    </w:rPr>
  </w:style>
  <w:style w:type="character" w:styleId="39">
    <w:name w:val="Emphasis"/>
    <w:qFormat/>
    <w:uiPriority w:val="0"/>
  </w:style>
  <w:style w:type="character" w:styleId="40">
    <w:name w:val="HTML Definition"/>
    <w:qFormat/>
    <w:uiPriority w:val="0"/>
  </w:style>
  <w:style w:type="character" w:styleId="41">
    <w:name w:val="HTML Typewriter"/>
    <w:qFormat/>
    <w:uiPriority w:val="0"/>
    <w:rPr>
      <w:rFonts w:hint="default" w:ascii="monospace" w:hAnsi="monospace" w:eastAsia="monospace" w:cs="monospace"/>
      <w:sz w:val="20"/>
    </w:rPr>
  </w:style>
  <w:style w:type="character" w:styleId="42">
    <w:name w:val="HTML Acronym"/>
    <w:qFormat/>
    <w:uiPriority w:val="0"/>
  </w:style>
  <w:style w:type="character" w:styleId="43">
    <w:name w:val="HTML Variable"/>
    <w:qFormat/>
    <w:uiPriority w:val="0"/>
  </w:style>
  <w:style w:type="character" w:styleId="44">
    <w:name w:val="Hyperlink"/>
    <w:qFormat/>
    <w:uiPriority w:val="0"/>
    <w:rPr>
      <w:color w:val="333333"/>
      <w:sz w:val="18"/>
      <w:szCs w:val="18"/>
      <w:u w:val="none"/>
    </w:rPr>
  </w:style>
  <w:style w:type="character" w:styleId="45">
    <w:name w:val="HTML Code"/>
    <w:qFormat/>
    <w:uiPriority w:val="0"/>
    <w:rPr>
      <w:rFonts w:hint="default" w:ascii="monospace" w:hAnsi="monospace" w:eastAsia="monospace" w:cs="monospace"/>
      <w:sz w:val="20"/>
    </w:rPr>
  </w:style>
  <w:style w:type="character" w:styleId="46">
    <w:name w:val="HTML Cite"/>
    <w:qFormat/>
    <w:uiPriority w:val="0"/>
  </w:style>
  <w:style w:type="character" w:styleId="47">
    <w:name w:val="HTML Keyboard"/>
    <w:qFormat/>
    <w:uiPriority w:val="0"/>
    <w:rPr>
      <w:rFonts w:ascii="monospace" w:hAnsi="monospace" w:eastAsia="monospace" w:cs="monospace"/>
      <w:sz w:val="20"/>
    </w:rPr>
  </w:style>
  <w:style w:type="character" w:styleId="48">
    <w:name w:val="HTML Sample"/>
    <w:qFormat/>
    <w:uiPriority w:val="0"/>
    <w:rPr>
      <w:rFonts w:hint="default" w:ascii="monospace" w:hAnsi="monospace" w:eastAsia="monospace" w:cs="monospace"/>
    </w:rPr>
  </w:style>
  <w:style w:type="paragraph" w:customStyle="1" w:styleId="49">
    <w:name w:val="style4"/>
    <w:basedOn w:val="1"/>
    <w:next w:val="1"/>
    <w:unhideWhenUsed/>
    <w:qFormat/>
    <w:uiPriority w:val="0"/>
    <w:pPr>
      <w:widowControl/>
      <w:spacing w:before="100" w:beforeLines="0" w:beforeAutospacing="1" w:after="100" w:afterLines="0" w:afterAutospacing="1"/>
      <w:jc w:val="left"/>
    </w:pPr>
    <w:rPr>
      <w:rFonts w:hint="eastAsia" w:ascii="宋体" w:hAnsi="宋体"/>
      <w:kern w:val="0"/>
      <w:sz w:val="18"/>
    </w:rPr>
  </w:style>
  <w:style w:type="character" w:customStyle="1" w:styleId="50">
    <w:name w:val="标题 3 字符"/>
    <w:link w:val="5"/>
    <w:qFormat/>
    <w:uiPriority w:val="0"/>
    <w:rPr>
      <w:rFonts w:eastAsia="宋体"/>
      <w:b/>
      <w:bCs/>
      <w:kern w:val="2"/>
      <w:sz w:val="32"/>
      <w:szCs w:val="32"/>
      <w:lang w:val="en-US" w:eastAsia="zh-CN" w:bidi="ar-SA"/>
    </w:rPr>
  </w:style>
  <w:style w:type="character" w:customStyle="1" w:styleId="51">
    <w:name w:val="日期 字符"/>
    <w:link w:val="19"/>
    <w:qFormat/>
    <w:uiPriority w:val="0"/>
    <w:rPr>
      <w:kern w:val="2"/>
      <w:sz w:val="21"/>
      <w:szCs w:val="24"/>
    </w:rPr>
  </w:style>
  <w:style w:type="character" w:customStyle="1" w:styleId="52">
    <w:name w:val="页脚 字符"/>
    <w:link w:val="22"/>
    <w:qFormat/>
    <w:uiPriority w:val="99"/>
    <w:rPr>
      <w:rFonts w:eastAsia="仿宋_GB2312"/>
      <w:kern w:val="2"/>
      <w:sz w:val="18"/>
    </w:rPr>
  </w:style>
  <w:style w:type="character" w:customStyle="1" w:styleId="53">
    <w:name w:val="页眉 字符"/>
    <w:link w:val="23"/>
    <w:qFormat/>
    <w:uiPriority w:val="99"/>
    <w:rPr>
      <w:rFonts w:eastAsia="仿宋_GB2312"/>
      <w:kern w:val="2"/>
      <w:sz w:val="18"/>
    </w:rPr>
  </w:style>
  <w:style w:type="paragraph" w:customStyle="1" w:styleId="54">
    <w:name w:val="Default"/>
    <w:basedOn w:val="18"/>
    <w:next w:val="23"/>
    <w:qFormat/>
    <w:uiPriority w:val="0"/>
    <w:pPr>
      <w:autoSpaceDE w:val="0"/>
      <w:autoSpaceDN w:val="0"/>
      <w:adjustRightInd w:val="0"/>
      <w:jc w:val="left"/>
    </w:pPr>
    <w:rPr>
      <w:rFonts w:ascii="宋体" w:hAnsi="Times New Roman" w:cs="宋体"/>
      <w:color w:val="000000"/>
      <w:kern w:val="0"/>
      <w:sz w:val="24"/>
      <w:szCs w:val="24"/>
    </w:rPr>
  </w:style>
  <w:style w:type="paragraph" w:customStyle="1" w:styleId="55">
    <w:name w:val="无间隔1"/>
    <w:next w:val="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56">
    <w:name w:val="样式 正文首行缩进 2 + Arial"/>
    <w:basedOn w:val="1"/>
    <w:next w:val="1"/>
    <w:qFormat/>
    <w:uiPriority w:val="0"/>
    <w:pPr>
      <w:spacing w:after="120" w:line="320" w:lineRule="atLeast"/>
      <w:ind w:firstLine="200" w:firstLineChars="200"/>
    </w:pPr>
    <w:rPr>
      <w:rFonts w:ascii="Arial" w:hAnsi="Arial"/>
      <w:szCs w:val="21"/>
    </w:rPr>
  </w:style>
  <w:style w:type="character" w:customStyle="1" w:styleId="57">
    <w:name w:val="font11"/>
    <w:basedOn w:val="35"/>
    <w:qFormat/>
    <w:uiPriority w:val="0"/>
    <w:rPr>
      <w:kern w:val="2"/>
      <w:sz w:val="21"/>
      <w:szCs w:val="24"/>
      <w:lang w:val="en-US" w:eastAsia="zh-CN" w:bidi="ar-SA"/>
    </w:rPr>
  </w:style>
  <w:style w:type="paragraph" w:customStyle="1" w:styleId="58">
    <w:name w:val="大标题"/>
    <w:basedOn w:val="1"/>
    <w:next w:val="32"/>
    <w:qFormat/>
    <w:uiPriority w:val="0"/>
    <w:pPr>
      <w:jc w:val="center"/>
    </w:pPr>
    <w:rPr>
      <w:rFonts w:ascii="Arial" w:hAnsi="Arial"/>
      <w:b/>
      <w:sz w:val="28"/>
      <w:szCs w:val="24"/>
    </w:rPr>
  </w:style>
  <w:style w:type="paragraph" w:customStyle="1" w:styleId="59">
    <w:name w:val="2"/>
    <w:next w:val="1"/>
    <w:unhideWhenUsed/>
    <w:qFormat/>
    <w:uiPriority w:val="0"/>
    <w:pPr>
      <w:widowControl w:val="0"/>
      <w:jc w:val="both"/>
    </w:pPr>
    <w:rPr>
      <w:rFonts w:ascii="Times New Roman" w:hAnsi="Times New Roman" w:eastAsia="宋体" w:cs="Times New Roman"/>
      <w:sz w:val="21"/>
      <w:lang w:val="en-US" w:eastAsia="zh-CN" w:bidi="ar-SA"/>
    </w:rPr>
  </w:style>
  <w:style w:type="paragraph" w:customStyle="1" w:styleId="60">
    <w:name w:val="表格文字"/>
    <w:basedOn w:val="1"/>
    <w:next w:val="2"/>
    <w:qFormat/>
    <w:uiPriority w:val="0"/>
    <w:pPr>
      <w:wordWrap w:val="0"/>
      <w:ind w:firstLine="0" w:firstLineChars="0"/>
    </w:pPr>
    <w:rPr>
      <w:sz w:val="18"/>
    </w:rPr>
  </w:style>
  <w:style w:type="character" w:customStyle="1" w:styleId="61">
    <w:name w:val="_Style 3"/>
    <w:qFormat/>
    <w:uiPriority w:val="33"/>
    <w:rPr>
      <w:b/>
      <w:bCs/>
      <w:smallCaps/>
      <w:spacing w:val="5"/>
    </w:rPr>
  </w:style>
  <w:style w:type="character" w:customStyle="1" w:styleId="62">
    <w:name w:val="hover14"/>
    <w:qFormat/>
    <w:uiPriority w:val="0"/>
  </w:style>
  <w:style w:type="character" w:customStyle="1" w:styleId="63">
    <w:name w:val="font01"/>
    <w:qFormat/>
    <w:uiPriority w:val="0"/>
    <w:rPr>
      <w:rFonts w:hint="eastAsia" w:ascii="宋体" w:hAnsi="宋体" w:eastAsia="宋体" w:cs="宋体"/>
      <w:color w:val="000000"/>
      <w:sz w:val="18"/>
      <w:szCs w:val="18"/>
      <w:u w:val="none"/>
    </w:rPr>
  </w:style>
  <w:style w:type="character" w:customStyle="1" w:styleId="64">
    <w:name w:val="hover15"/>
    <w:qFormat/>
    <w:uiPriority w:val="0"/>
  </w:style>
  <w:style w:type="character" w:customStyle="1" w:styleId="65">
    <w:name w:val="hover16"/>
    <w:qFormat/>
    <w:uiPriority w:val="0"/>
  </w:style>
  <w:style w:type="character" w:customStyle="1" w:styleId="66">
    <w:name w:val="font21"/>
    <w:qFormat/>
    <w:uiPriority w:val="0"/>
    <w:rPr>
      <w:rFonts w:hint="default" w:ascii="Times New Roman" w:hAnsi="Times New Roman" w:cs="Times New Roman"/>
      <w:color w:val="000000"/>
      <w:sz w:val="22"/>
      <w:szCs w:val="22"/>
      <w:u w:val="none"/>
    </w:rPr>
  </w:style>
  <w:style w:type="character" w:customStyle="1" w:styleId="67">
    <w:name w:val="font51"/>
    <w:basedOn w:val="35"/>
    <w:qFormat/>
    <w:uiPriority w:val="0"/>
    <w:rPr>
      <w:rFonts w:hint="eastAsia" w:ascii="宋体" w:hAnsi="宋体" w:eastAsia="宋体" w:cs="宋体"/>
      <w:color w:val="000000"/>
      <w:sz w:val="22"/>
      <w:szCs w:val="22"/>
      <w:u w:val="none"/>
    </w:rPr>
  </w:style>
  <w:style w:type="paragraph" w:customStyle="1" w:styleId="68">
    <w:name w:val="Table Paragraph"/>
    <w:basedOn w:val="1"/>
    <w:qFormat/>
    <w:uiPriority w:val="1"/>
  </w:style>
  <w:style w:type="paragraph" w:customStyle="1" w:styleId="69">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paragraph" w:styleId="70">
    <w:name w:val="List Paragraph"/>
    <w:basedOn w:val="1"/>
    <w:qFormat/>
    <w:uiPriority w:val="34"/>
    <w:pPr>
      <w:ind w:firstLine="420" w:firstLineChars="200"/>
    </w:pPr>
  </w:style>
  <w:style w:type="paragraph" w:customStyle="1" w:styleId="71">
    <w:name w:val="样式 首行缩进:  2 字符"/>
    <w:basedOn w:val="1"/>
    <w:qFormat/>
    <w:uiPriority w:val="0"/>
    <w:pPr>
      <w:spacing w:line="400" w:lineRule="exact"/>
      <w:ind w:firstLine="200" w:firstLineChars="200"/>
    </w:pPr>
    <w:rPr>
      <w:rFonts w:cs="宋体"/>
      <w:sz w:val="24"/>
    </w:rPr>
  </w:style>
  <w:style w:type="paragraph" w:customStyle="1" w:styleId="72">
    <w:name w:val="p0"/>
    <w:basedOn w:val="1"/>
    <w:qFormat/>
    <w:uiPriority w:val="0"/>
    <w:pPr>
      <w:widowControl/>
    </w:pPr>
    <w:rPr>
      <w:kern w:val="0"/>
      <w:szCs w:val="21"/>
    </w:rPr>
  </w:style>
  <w:style w:type="paragraph" w:customStyle="1" w:styleId="73">
    <w:name w:val="列出段落1"/>
    <w:basedOn w:val="1"/>
    <w:qFormat/>
    <w:uiPriority w:val="0"/>
    <w:pPr>
      <w:ind w:firstLine="420" w:firstLineChars="200"/>
    </w:pPr>
    <w:rPr>
      <w:sz w:val="21"/>
    </w:rPr>
  </w:style>
  <w:style w:type="paragraph" w:customStyle="1" w:styleId="74">
    <w:name w:val="垃圾运输车"/>
    <w:basedOn w:val="1"/>
    <w:qFormat/>
    <w:uiPriority w:val="0"/>
    <w:pPr>
      <w:jc w:val="center"/>
    </w:pPr>
    <w:rPr>
      <w:rFonts w:ascii="宋体" w:hAnsi="宋体"/>
      <w:szCs w:val="21"/>
    </w:rPr>
  </w:style>
  <w:style w:type="paragraph" w:customStyle="1" w:styleId="75">
    <w:name w:val="简单回函地址"/>
    <w:basedOn w:val="1"/>
    <w:qFormat/>
    <w:uiPriority w:val="0"/>
    <w:rPr>
      <w:rFonts w:ascii="宋体" w:hAnsi="宋体"/>
      <w:bCs/>
      <w:color w:val="000000"/>
      <w:sz w:val="24"/>
      <w:szCs w:val="21"/>
    </w:rPr>
  </w:style>
  <w:style w:type="paragraph" w:customStyle="1" w:styleId="76">
    <w:name w:val="样式"/>
    <w:qFormat/>
    <w:uiPriority w:val="99"/>
    <w:pPr>
      <w:widowControl w:val="0"/>
      <w:autoSpaceDE w:val="0"/>
      <w:autoSpaceDN w:val="0"/>
      <w:adjustRightInd w:val="0"/>
    </w:pPr>
    <w:rPr>
      <w:rFonts w:ascii="宋体" w:hAnsi="宋体" w:eastAsia="宋体" w:cs="Times New Roman"/>
      <w:sz w:val="24"/>
      <w:szCs w:val="24"/>
      <w:lang w:val="en-US" w:eastAsia="zh-CN" w:bidi="ar-SA"/>
    </w:rPr>
  </w:style>
  <w:style w:type="paragraph" w:customStyle="1" w:styleId="77">
    <w:name w:val="标书-正文"/>
    <w:basedOn w:val="1"/>
    <w:qFormat/>
    <w:uiPriority w:val="0"/>
    <w:pPr>
      <w:spacing w:before="56" w:beforeLines="0" w:after="113" w:afterLines="0" w:line="360" w:lineRule="auto"/>
      <w:ind w:firstLine="200" w:firstLineChars="200"/>
    </w:pPr>
    <w:rPr>
      <w:rFonts w:ascii="Arial" w:hAnsi="Arial" w:eastAsia="宋体" w:cs="Arial"/>
      <w:sz w:val="24"/>
      <w:szCs w:val="20"/>
    </w:rPr>
  </w:style>
  <w:style w:type="paragraph" w:customStyle="1" w:styleId="78">
    <w:name w:val=" Char"/>
    <w:basedOn w:val="1"/>
    <w:qFormat/>
    <w:uiPriority w:val="0"/>
  </w:style>
  <w:style w:type="character" w:customStyle="1" w:styleId="79">
    <w:name w:val="hover17"/>
    <w:qFormat/>
    <w:uiPriority w:val="0"/>
  </w:style>
  <w:style w:type="character" w:customStyle="1" w:styleId="80">
    <w:name w:val="font91"/>
    <w:qFormat/>
    <w:uiPriority w:val="0"/>
    <w:rPr>
      <w:rFonts w:hint="eastAsia" w:ascii="宋体" w:hAnsi="宋体" w:eastAsia="宋体" w:cs="宋体"/>
      <w:color w:val="000000"/>
      <w:sz w:val="22"/>
      <w:szCs w:val="22"/>
      <w:u w:val="none"/>
    </w:rPr>
  </w:style>
  <w:style w:type="paragraph" w:customStyle="1" w:styleId="81">
    <w:name w:val="*正文"/>
    <w:basedOn w:val="1"/>
    <w:next w:val="1"/>
    <w:qFormat/>
    <w:uiPriority w:val="0"/>
    <w:pPr>
      <w:spacing w:line="360" w:lineRule="auto"/>
    </w:pPr>
    <w:rPr>
      <w:rFonts w:hAnsi="宋体"/>
      <w:kern w:val="0"/>
      <w:lang w:val="zh-CN"/>
    </w:rPr>
  </w:style>
  <w:style w:type="table" w:customStyle="1" w:styleId="82">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83">
    <w:name w:val="fontstyle01"/>
    <w:basedOn w:val="35"/>
    <w:qFormat/>
    <w:uiPriority w:val="0"/>
    <w:rPr>
      <w:rFonts w:hint="eastAsia" w:ascii="宋体" w:hAnsi="宋体" w:eastAsia="宋体"/>
      <w:color w:val="000000"/>
      <w:sz w:val="24"/>
      <w:szCs w:val="24"/>
    </w:rPr>
  </w:style>
  <w:style w:type="character" w:customStyle="1" w:styleId="84">
    <w:name w:val="font41"/>
    <w:basedOn w:val="35"/>
    <w:qFormat/>
    <w:uiPriority w:val="0"/>
    <w:rPr>
      <w:rFonts w:hint="eastAsia" w:ascii="宋体" w:hAnsi="宋体" w:eastAsia="宋体"/>
      <w:color w:val="000000"/>
      <w:sz w:val="18"/>
      <w:u w:val="single"/>
    </w:rPr>
  </w:style>
  <w:style w:type="paragraph" w:customStyle="1" w:styleId="85">
    <w:name w:val="二级条标题"/>
    <w:basedOn w:val="1"/>
    <w:qFormat/>
    <w:uiPriority w:val="0"/>
    <w:pPr>
      <w:widowControl/>
      <w:numPr>
        <w:ilvl w:val="2"/>
        <w:numId w:val="2"/>
      </w:numPr>
      <w:spacing w:before="50" w:beforeLines="50" w:beforeAutospacing="0" w:after="50" w:afterLines="50" w:afterAutospacing="0"/>
      <w:jc w:val="left"/>
      <w:outlineLvl w:val="3"/>
    </w:pPr>
    <w:rPr>
      <w:rFonts w:ascii="黑体" w:eastAsia="黑体"/>
      <w:kern w:val="0"/>
      <w:szCs w:val="21"/>
    </w:rPr>
  </w:style>
  <w:style w:type="table" w:customStyle="1" w:styleId="86">
    <w:name w:val="网格型1"/>
    <w:basedOn w:val="87"/>
    <w:qFormat/>
    <w:uiPriority w:val="0"/>
    <w:pPr>
      <w:widowControl w:val="0"/>
      <w:jc w:val="both"/>
    </w:pPr>
  </w:style>
  <w:style w:type="table" w:customStyle="1" w:styleId="87">
    <w:name w:val="普通表格1"/>
    <w:qFormat/>
    <w:uiPriority w:val="0"/>
  </w:style>
  <w:style w:type="paragraph" w:customStyle="1" w:styleId="88">
    <w:name w:val="样式 标题 2 + Times New Roman 四号 非加粗 段前: 5 磅 段后: 0 磅 行距: 固定值 20..."/>
    <w:basedOn w:val="4"/>
    <w:qFormat/>
    <w:uiPriority w:val="0"/>
    <w:pPr>
      <w:numPr>
        <w:ilvl w:val="1"/>
        <w:numId w:val="0"/>
      </w:numPr>
      <w:spacing w:before="100" w:beforeLines="0" w:after="0" w:afterLines="0" w:line="400" w:lineRule="exact"/>
    </w:pPr>
    <w:rPr>
      <w:rFonts w:ascii="Times New Roman" w:hAnsi="Times New Roman" w:cs="宋体"/>
      <w:b w:val="0"/>
      <w:sz w:val="28"/>
      <w:szCs w:val="20"/>
    </w:rPr>
  </w:style>
  <w:style w:type="paragraph" w:customStyle="1" w:styleId="89">
    <w:name w:val="样式 标题 3 + (中文) 黑体 小四 非加粗 段前: 7.8 磅 段后: 0 磅 行距: 固定值 20 磅"/>
    <w:basedOn w:val="5"/>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90">
    <w:name w:val="Normal_5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91">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正文_5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93">
    <w:name w:val="hover18"/>
    <w:basedOn w:val="35"/>
    <w:qFormat/>
    <w:uiPriority w:val="0"/>
  </w:style>
  <w:style w:type="paragraph" w:customStyle="1" w:styleId="94">
    <w:name w:val="正文内容"/>
    <w:autoRedefine/>
    <w:qFormat/>
    <w:uiPriority w:val="0"/>
    <w:pPr>
      <w:widowControl w:val="0"/>
      <w:jc w:val="center"/>
    </w:pPr>
    <w:rPr>
      <w:rFonts w:ascii="宋体" w:hAnsi="宋体" w:eastAsia="宋体" w:cs="Times New Roman"/>
      <w:b/>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57</Pages>
  <Words>21424</Words>
  <Characters>23759</Characters>
  <Lines>359</Lines>
  <Paragraphs>101</Paragraphs>
  <TotalTime>53</TotalTime>
  <ScaleCrop>false</ScaleCrop>
  <LinksUpToDate>false</LinksUpToDate>
  <CharactersWithSpaces>24582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2020-01-10T13:45:00Z</dcterms:created>
  <dc:creator>USER</dc:creator>
  <cp:lastModifiedBy>mhw</cp:lastModifiedBy>
  <cp:lastPrinted>2026-05-29T10:33:00Z</cp:lastPrinted>
  <dcterms:modified xsi:type="dcterms:W3CDTF">2026-09-29T07:14:17Z</dcterms:modified>
  <dc:title>山东省公路高级技工学校新校区消火栓箱采购</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2F45D3041D6549E88F3F356B8048D82B_13</vt:lpwstr>
  </property>
  <property fmtid="{D5CDD505-2E9C-101B-9397-08002B2CF9AE}" pid="4" name="KSOTemplateDocerSaveRecord">
    <vt:lpwstr>eyJoZGlkIjoiNTIyZWRhMGQzNGVjYzNhNTFhNDczZTQ4YWUzYjc2ZTAiLCJ1c2VySWQiOiI0MTc4MDM4ODMifQ==</vt:lpwstr>
  </property>
</Properties>
</file>