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3534F">
      <w:pPr>
        <w:pStyle w:val="31"/>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color w:val="000000"/>
          <w:kern w:val="2"/>
          <w:sz w:val="52"/>
          <w:szCs w:val="52"/>
          <w:lang w:val="en-US" w:eastAsia="zh-CN" w:bidi="ar-SA"/>
        </w:rPr>
      </w:pPr>
      <w:r>
        <w:rPr>
          <w:rFonts w:hint="eastAsia" w:ascii="宋体" w:hAnsi="宋体" w:eastAsia="宋体" w:cs="宋体"/>
          <w:b/>
          <w:color w:val="000000"/>
          <w:kern w:val="2"/>
          <w:sz w:val="52"/>
          <w:szCs w:val="52"/>
          <w:lang w:val="en-US" w:eastAsia="zh-CN" w:bidi="ar-SA"/>
        </w:rPr>
        <w:t>信阳市羊山新区住房建设和交通运输局羊山新区水环境数字化监测监管体系项目</w:t>
      </w:r>
    </w:p>
    <w:p w14:paraId="4EB3E45C">
      <w:pPr>
        <w:pStyle w:val="2"/>
        <w:jc w:val="both"/>
        <w:rPr>
          <w:rFonts w:hint="eastAsia" w:ascii="宋体" w:hAnsi="宋体" w:eastAsia="宋体" w:cs="宋体"/>
          <w:lang w:val="en-US" w:eastAsia="zh-CN"/>
        </w:rPr>
      </w:pPr>
    </w:p>
    <w:p w14:paraId="22B1BD4E">
      <w:pPr>
        <w:rPr>
          <w:rFonts w:hint="eastAsia" w:ascii="宋体" w:hAnsi="宋体" w:eastAsia="宋体" w:cs="宋体"/>
          <w:lang w:val="en-US" w:eastAsia="zh-CN"/>
        </w:rPr>
      </w:pPr>
    </w:p>
    <w:p w14:paraId="7C7422F1">
      <w:pPr>
        <w:pStyle w:val="20"/>
        <w:rPr>
          <w:rFonts w:hint="eastAsia" w:ascii="宋体" w:hAnsi="宋体" w:eastAsia="宋体" w:cs="宋体"/>
          <w:lang w:val="en-US" w:eastAsia="zh-CN"/>
        </w:rPr>
      </w:pPr>
    </w:p>
    <w:p w14:paraId="1E4CB90C">
      <w:pPr>
        <w:spacing w:line="240" w:lineRule="auto"/>
        <w:jc w:val="center"/>
        <w:rPr>
          <w:rFonts w:hint="eastAsia" w:ascii="宋体" w:hAnsi="宋体" w:eastAsia="宋体" w:cs="宋体"/>
          <w:b/>
          <w:color w:val="000000"/>
          <w:sz w:val="112"/>
          <w:szCs w:val="112"/>
        </w:rPr>
      </w:pPr>
      <w:r>
        <w:rPr>
          <w:rFonts w:hint="eastAsia" w:ascii="宋体" w:hAnsi="宋体" w:eastAsia="宋体" w:cs="宋体"/>
          <w:b/>
          <w:color w:val="000000"/>
          <w:sz w:val="112"/>
          <w:szCs w:val="112"/>
        </w:rPr>
        <w:t>招</w:t>
      </w:r>
      <w:r>
        <w:rPr>
          <w:rFonts w:hint="eastAsia" w:ascii="宋体" w:hAnsi="宋体" w:eastAsia="宋体" w:cs="宋体"/>
          <w:b/>
          <w:color w:val="000000"/>
          <w:sz w:val="112"/>
          <w:szCs w:val="112"/>
          <w:lang w:val="en-US" w:eastAsia="zh-CN"/>
        </w:rPr>
        <w:t xml:space="preserve"> </w:t>
      </w:r>
      <w:r>
        <w:rPr>
          <w:rFonts w:hint="eastAsia" w:ascii="宋体" w:hAnsi="宋体" w:eastAsia="宋体" w:cs="宋体"/>
          <w:b/>
          <w:color w:val="000000"/>
          <w:sz w:val="112"/>
          <w:szCs w:val="112"/>
        </w:rPr>
        <w:t>标</w:t>
      </w:r>
      <w:r>
        <w:rPr>
          <w:rFonts w:hint="eastAsia" w:ascii="宋体" w:hAnsi="宋体" w:eastAsia="宋体" w:cs="宋体"/>
          <w:b/>
          <w:color w:val="000000"/>
          <w:sz w:val="112"/>
          <w:szCs w:val="112"/>
          <w:lang w:val="en-US" w:eastAsia="zh-CN"/>
        </w:rPr>
        <w:t xml:space="preserve"> </w:t>
      </w:r>
      <w:r>
        <w:rPr>
          <w:rFonts w:hint="eastAsia" w:ascii="宋体" w:hAnsi="宋体" w:eastAsia="宋体" w:cs="宋体"/>
          <w:b/>
          <w:color w:val="000000"/>
          <w:sz w:val="112"/>
          <w:szCs w:val="112"/>
        </w:rPr>
        <w:t>文</w:t>
      </w:r>
      <w:r>
        <w:rPr>
          <w:rFonts w:hint="eastAsia" w:ascii="宋体" w:hAnsi="宋体" w:eastAsia="宋体" w:cs="宋体"/>
          <w:b/>
          <w:color w:val="000000"/>
          <w:sz w:val="112"/>
          <w:szCs w:val="112"/>
          <w:lang w:val="en-US" w:eastAsia="zh-CN"/>
        </w:rPr>
        <w:t xml:space="preserve"> </w:t>
      </w:r>
      <w:r>
        <w:rPr>
          <w:rFonts w:hint="eastAsia" w:ascii="宋体" w:hAnsi="宋体" w:eastAsia="宋体" w:cs="宋体"/>
          <w:b/>
          <w:color w:val="000000"/>
          <w:sz w:val="112"/>
          <w:szCs w:val="112"/>
        </w:rPr>
        <w:t>件</w:t>
      </w:r>
    </w:p>
    <w:p w14:paraId="6D027588">
      <w:pPr>
        <w:widowControl/>
        <w:jc w:val="center"/>
        <w:rPr>
          <w:rFonts w:hint="eastAsia" w:ascii="宋体" w:hAnsi="宋体" w:eastAsia="宋体" w:cs="宋体"/>
          <w:b/>
          <w:color w:val="000000"/>
          <w:sz w:val="28"/>
          <w:szCs w:val="28"/>
        </w:rPr>
      </w:pPr>
    </w:p>
    <w:p w14:paraId="480A74FE">
      <w:pPr>
        <w:spacing w:line="360" w:lineRule="auto"/>
        <w:ind w:firstLine="2256" w:firstLineChars="940"/>
        <w:rPr>
          <w:rFonts w:hint="eastAsia" w:ascii="宋体" w:hAnsi="宋体" w:eastAsia="宋体" w:cs="宋体"/>
          <w:color w:val="000000"/>
          <w:sz w:val="24"/>
          <w:highlight w:val="yellow"/>
        </w:rPr>
      </w:pPr>
    </w:p>
    <w:p w14:paraId="28B02471">
      <w:pPr>
        <w:spacing w:line="360" w:lineRule="auto"/>
        <w:ind w:firstLine="480" w:firstLineChars="200"/>
        <w:rPr>
          <w:rFonts w:hint="eastAsia" w:ascii="宋体" w:hAnsi="宋体" w:eastAsia="宋体" w:cs="宋体"/>
          <w:color w:val="000000"/>
          <w:sz w:val="24"/>
        </w:rPr>
      </w:pPr>
    </w:p>
    <w:p w14:paraId="14B76DDA">
      <w:pPr>
        <w:widowControl/>
        <w:spacing w:before="120" w:beforeLines="50" w:line="360" w:lineRule="auto"/>
        <w:rPr>
          <w:rFonts w:hint="eastAsia" w:ascii="宋体" w:hAnsi="宋体" w:eastAsia="宋体" w:cs="宋体"/>
          <w:b/>
          <w:bCs/>
          <w:color w:val="000000"/>
          <w:sz w:val="32"/>
          <w:szCs w:val="32"/>
        </w:rPr>
      </w:pPr>
    </w:p>
    <w:p w14:paraId="7C6DA22B">
      <w:pPr>
        <w:pStyle w:val="26"/>
        <w:rPr>
          <w:rFonts w:hint="eastAsia" w:ascii="宋体" w:hAnsi="宋体" w:eastAsia="宋体" w:cs="宋体"/>
          <w:b/>
          <w:bCs/>
          <w:color w:val="000000"/>
          <w:sz w:val="32"/>
          <w:szCs w:val="32"/>
        </w:rPr>
      </w:pPr>
    </w:p>
    <w:p w14:paraId="3EB01ECC">
      <w:pPr>
        <w:pStyle w:val="26"/>
        <w:rPr>
          <w:rFonts w:hint="eastAsia" w:ascii="宋体" w:hAnsi="宋体" w:eastAsia="宋体" w:cs="宋体"/>
          <w:b/>
          <w:bCs/>
          <w:color w:val="000000"/>
          <w:sz w:val="32"/>
          <w:szCs w:val="32"/>
        </w:rPr>
      </w:pPr>
    </w:p>
    <w:p w14:paraId="70D37BBB">
      <w:pPr>
        <w:pStyle w:val="26"/>
        <w:ind w:left="0" w:leftChars="0" w:firstLine="0" w:firstLineChars="0"/>
        <w:rPr>
          <w:rFonts w:hint="eastAsia" w:ascii="宋体" w:hAnsi="宋体" w:eastAsia="宋体" w:cs="宋体"/>
          <w:b/>
          <w:bCs/>
          <w:color w:val="000000"/>
          <w:sz w:val="32"/>
          <w:szCs w:val="32"/>
        </w:rPr>
      </w:pPr>
    </w:p>
    <w:p w14:paraId="251A627C">
      <w:pPr>
        <w:widowControl/>
        <w:spacing w:before="120" w:beforeLines="50" w:line="360" w:lineRule="auto"/>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        </w:t>
      </w:r>
    </w:p>
    <w:p w14:paraId="06F1733E">
      <w:pPr>
        <w:pStyle w:val="20"/>
        <w:ind w:left="0" w:leftChars="0" w:firstLine="0" w:firstLineChars="0"/>
        <w:rPr>
          <w:rFonts w:hint="eastAsia" w:ascii="宋体" w:hAnsi="宋体" w:eastAsia="宋体" w:cs="宋体"/>
          <w:b/>
          <w:bCs/>
          <w:color w:val="000000"/>
          <w:sz w:val="32"/>
          <w:szCs w:val="32"/>
          <w:lang w:val="en-US" w:eastAsia="zh-CN"/>
        </w:rPr>
      </w:pPr>
    </w:p>
    <w:p w14:paraId="03387F29">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904" w:firstLineChars="250"/>
        <w:jc w:val="both"/>
        <w:textAlignment w:val="auto"/>
        <w:rPr>
          <w:rFonts w:hint="eastAsia" w:ascii="宋体" w:hAnsi="宋体" w:eastAsia="宋体" w:cs="宋体"/>
          <w:b/>
          <w:kern w:val="0"/>
          <w:sz w:val="36"/>
          <w:szCs w:val="36"/>
          <w:lang w:val="zh-CN"/>
        </w:rPr>
      </w:pPr>
    </w:p>
    <w:p w14:paraId="6D94A998">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904" w:firstLineChars="250"/>
        <w:jc w:val="both"/>
        <w:textAlignment w:val="auto"/>
        <w:rPr>
          <w:rFonts w:hint="eastAsia" w:ascii="宋体" w:hAnsi="宋体" w:eastAsia="宋体" w:cs="宋体"/>
          <w:b/>
          <w:kern w:val="0"/>
          <w:sz w:val="36"/>
          <w:szCs w:val="36"/>
          <w:lang w:val="zh-CN"/>
        </w:rPr>
      </w:pPr>
      <w:r>
        <w:rPr>
          <w:rFonts w:hint="eastAsia" w:ascii="宋体" w:hAnsi="宋体" w:eastAsia="宋体" w:cs="宋体"/>
          <w:b/>
          <w:kern w:val="0"/>
          <w:sz w:val="36"/>
          <w:szCs w:val="36"/>
          <w:lang w:val="zh-CN"/>
        </w:rPr>
        <w:t>采</w:t>
      </w:r>
      <w:r>
        <w:rPr>
          <w:rFonts w:hint="eastAsia" w:ascii="宋体" w:hAnsi="宋体" w:eastAsia="宋体" w:cs="宋体"/>
          <w:b/>
          <w:kern w:val="0"/>
          <w:sz w:val="36"/>
          <w:szCs w:val="36"/>
          <w:lang w:val="en-US" w:eastAsia="zh-CN"/>
        </w:rPr>
        <w:t xml:space="preserve"> </w:t>
      </w:r>
      <w:r>
        <w:rPr>
          <w:rFonts w:hint="eastAsia" w:ascii="宋体" w:hAnsi="宋体" w:eastAsia="宋体" w:cs="宋体"/>
          <w:b/>
          <w:kern w:val="0"/>
          <w:sz w:val="36"/>
          <w:szCs w:val="36"/>
          <w:lang w:val="zh-CN"/>
        </w:rPr>
        <w:t>购</w:t>
      </w:r>
      <w:r>
        <w:rPr>
          <w:rFonts w:hint="eastAsia" w:ascii="宋体" w:hAnsi="宋体" w:eastAsia="宋体" w:cs="宋体"/>
          <w:b/>
          <w:kern w:val="0"/>
          <w:sz w:val="36"/>
          <w:szCs w:val="36"/>
          <w:lang w:val="en-US" w:eastAsia="zh-CN"/>
        </w:rPr>
        <w:t xml:space="preserve"> 人</w:t>
      </w:r>
      <w:r>
        <w:rPr>
          <w:rFonts w:hint="eastAsia" w:ascii="宋体" w:hAnsi="宋体" w:eastAsia="宋体" w:cs="宋体"/>
          <w:b/>
          <w:kern w:val="0"/>
          <w:sz w:val="36"/>
          <w:szCs w:val="36"/>
          <w:lang w:val="zh-CN"/>
        </w:rPr>
        <w:t xml:space="preserve">：信阳市羊山新区住房建设和交通运输局               </w:t>
      </w:r>
    </w:p>
    <w:p w14:paraId="23AB2D5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904" w:firstLineChars="250"/>
        <w:jc w:val="both"/>
        <w:textAlignment w:val="auto"/>
        <w:rPr>
          <w:rFonts w:hint="eastAsia" w:ascii="宋体" w:hAnsi="宋体" w:eastAsia="宋体" w:cs="宋体"/>
          <w:b/>
          <w:kern w:val="0"/>
          <w:sz w:val="36"/>
          <w:szCs w:val="36"/>
          <w:lang w:val="zh-CN"/>
        </w:rPr>
      </w:pPr>
      <w:bookmarkStart w:id="0" w:name="_Toc7139"/>
      <w:r>
        <w:rPr>
          <w:rFonts w:hint="eastAsia" w:ascii="宋体" w:hAnsi="宋体" w:eastAsia="宋体" w:cs="宋体"/>
          <w:b/>
          <w:kern w:val="0"/>
          <w:sz w:val="36"/>
          <w:szCs w:val="36"/>
          <w:lang w:val="zh-CN"/>
        </w:rPr>
        <w:t>代理机构：</w:t>
      </w:r>
      <w:bookmarkEnd w:id="0"/>
      <w:r>
        <w:rPr>
          <w:rFonts w:hint="eastAsia" w:ascii="宋体" w:hAnsi="宋体" w:eastAsia="宋体" w:cs="宋体"/>
          <w:b/>
          <w:kern w:val="0"/>
          <w:sz w:val="36"/>
          <w:szCs w:val="36"/>
          <w:lang w:val="zh-CN"/>
        </w:rPr>
        <w:t>河南奥量项目管理有限公司</w:t>
      </w:r>
    </w:p>
    <w:p w14:paraId="28AD0FCB">
      <w:pPr>
        <w:keepNext w:val="0"/>
        <w:keepLines w:val="0"/>
        <w:pageBreakBefore w:val="0"/>
        <w:widowControl w:val="0"/>
        <w:kinsoku/>
        <w:wordWrap/>
        <w:overflowPunct/>
        <w:topLinePunct w:val="0"/>
        <w:bidi w:val="0"/>
        <w:spacing w:line="360" w:lineRule="auto"/>
        <w:ind w:left="0" w:leftChars="0" w:firstLine="904" w:firstLineChars="250"/>
        <w:jc w:val="both"/>
        <w:textAlignment w:val="auto"/>
        <w:rPr>
          <w:rFonts w:hint="eastAsia" w:ascii="宋体" w:hAnsi="宋体" w:eastAsia="宋体" w:cs="宋体"/>
          <w:b/>
          <w:bCs/>
          <w:sz w:val="36"/>
          <w:szCs w:val="36"/>
        </w:rPr>
      </w:pPr>
      <w:bookmarkStart w:id="1" w:name="_Toc10520"/>
      <w:r>
        <w:rPr>
          <w:rFonts w:hint="eastAsia" w:ascii="宋体" w:hAnsi="宋体" w:eastAsia="宋体" w:cs="宋体"/>
          <w:b/>
          <w:kern w:val="0"/>
          <w:sz w:val="36"/>
          <w:szCs w:val="36"/>
        </w:rPr>
        <w:t>日    期：二〇二</w:t>
      </w:r>
      <w:r>
        <w:rPr>
          <w:rFonts w:hint="eastAsia" w:ascii="宋体" w:hAnsi="宋体" w:eastAsia="宋体" w:cs="宋体"/>
          <w:b/>
          <w:kern w:val="0"/>
          <w:sz w:val="36"/>
          <w:szCs w:val="36"/>
          <w:lang w:val="en-US" w:eastAsia="zh-CN"/>
        </w:rPr>
        <w:t>六</w:t>
      </w:r>
      <w:r>
        <w:rPr>
          <w:rFonts w:hint="eastAsia" w:ascii="宋体" w:hAnsi="宋体" w:eastAsia="宋体" w:cs="宋体"/>
          <w:b/>
          <w:kern w:val="0"/>
          <w:sz w:val="36"/>
          <w:szCs w:val="36"/>
        </w:rPr>
        <w:t>年</w:t>
      </w:r>
      <w:r>
        <w:rPr>
          <w:rFonts w:hint="eastAsia" w:ascii="宋体" w:hAnsi="宋体" w:cs="宋体"/>
          <w:b/>
          <w:kern w:val="0"/>
          <w:sz w:val="36"/>
          <w:szCs w:val="36"/>
          <w:lang w:val="en-US" w:eastAsia="zh-CN"/>
        </w:rPr>
        <w:t>九</w:t>
      </w:r>
      <w:r>
        <w:rPr>
          <w:rFonts w:hint="eastAsia" w:ascii="宋体" w:hAnsi="宋体" w:eastAsia="宋体" w:cs="宋体"/>
          <w:b/>
          <w:kern w:val="0"/>
          <w:sz w:val="36"/>
          <w:szCs w:val="36"/>
        </w:rPr>
        <w:t>月</w:t>
      </w:r>
      <w:bookmarkEnd w:id="1"/>
    </w:p>
    <w:p w14:paraId="08DD613C">
      <w:pPr>
        <w:autoSpaceDE/>
        <w:autoSpaceDN/>
        <w:spacing w:line="520" w:lineRule="exact"/>
        <w:jc w:val="center"/>
        <w:rPr>
          <w:rFonts w:hint="eastAsia" w:ascii="宋体" w:hAnsi="宋体" w:eastAsia="宋体" w:cs="宋体"/>
          <w:sz w:val="24"/>
          <w:szCs w:val="24"/>
        </w:rPr>
      </w:pPr>
      <w:r>
        <w:rPr>
          <w:rFonts w:hint="eastAsia" w:ascii="宋体" w:hAnsi="宋体" w:eastAsia="宋体" w:cs="宋体"/>
          <w:b/>
          <w:bCs/>
          <w:sz w:val="36"/>
          <w:szCs w:val="36"/>
        </w:rPr>
        <w:t>致政府采购供应商和代理机构的一封信</w:t>
      </w:r>
    </w:p>
    <w:p w14:paraId="7D44883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highlight w:val="none"/>
        </w:rPr>
      </w:pPr>
    </w:p>
    <w:p w14:paraId="0A484983">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尊敬的政府采购供应商、代理机构：</w:t>
      </w:r>
    </w:p>
    <w:p w14:paraId="05F2D96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您好！非常感谢您一直以来对</w:t>
      </w:r>
      <w:r>
        <w:rPr>
          <w:rFonts w:hint="eastAsia" w:ascii="宋体" w:hAnsi="宋体" w:eastAsia="宋体" w:cs="宋体"/>
          <w:sz w:val="24"/>
          <w:szCs w:val="24"/>
          <w:highlight w:val="none"/>
          <w:lang w:eastAsia="zh-CN"/>
        </w:rPr>
        <w:t>信阳市</w:t>
      </w:r>
      <w:r>
        <w:rPr>
          <w:rFonts w:hint="eastAsia" w:ascii="宋体" w:hAnsi="宋体" w:eastAsia="宋体" w:cs="宋体"/>
          <w:sz w:val="24"/>
          <w:szCs w:val="24"/>
          <w:highlight w:val="none"/>
        </w:rPr>
        <w:t>政府采购活动的关心和支持！</w:t>
      </w:r>
    </w:p>
    <w:p w14:paraId="2E56F156">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近年来，</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153BB2FD">
      <w:pPr>
        <w:pStyle w:val="2"/>
        <w:keepNext w:val="0"/>
        <w:keepLines w:val="0"/>
        <w:pageBreakBefore w:val="0"/>
        <w:widowControl/>
        <w:tabs>
          <w:tab w:val="left" w:pos="2712"/>
          <w:tab w:val="left" w:pos="4658"/>
          <w:tab w:val="left" w:pos="5157"/>
          <w:tab w:val="left" w:pos="6554"/>
        </w:tabs>
        <w:kinsoku/>
        <w:wordWrap/>
        <w:overflowPunct/>
        <w:topLinePunct w:val="0"/>
        <w:autoSpaceDE/>
        <w:autoSpaceDN/>
        <w:bidi w:val="0"/>
        <w:adjustRightInd/>
        <w:snapToGrid/>
        <w:spacing w:before="0" w:beforeAutospacing="0" w:after="0" w:afterAutospacing="0" w:line="460" w:lineRule="exact"/>
        <w:ind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7935FAA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尽管做了一些工作，但我们深知，离贵公司的期望还有差距。恳请贵公司对我们的工作提出宝贵意见，并持续给予关注、支持和监督！</w:t>
      </w:r>
    </w:p>
    <w:p w14:paraId="24356CE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sz w:val="24"/>
          <w:szCs w:val="24"/>
          <w:highlight w:val="none"/>
          <w:lang w:eastAsia="zh-CN"/>
        </w:rPr>
        <w:t>凡涉及信阳市政府采购领域营商环境的任何问题，贵公司均可通过专线电话03</w:t>
      </w:r>
      <w:r>
        <w:rPr>
          <w:rFonts w:hint="eastAsia" w:ascii="宋体" w:hAnsi="宋体" w:eastAsia="宋体" w:cs="宋体"/>
          <w:sz w:val="24"/>
          <w:szCs w:val="24"/>
          <w:highlight w:val="none"/>
          <w:lang w:val="en-US" w:eastAsia="zh-CN"/>
        </w:rPr>
        <w:t>76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6699123</w:t>
      </w:r>
      <w:r>
        <w:rPr>
          <w:rFonts w:hint="eastAsia" w:ascii="宋体" w:hAnsi="宋体" w:eastAsia="宋体" w:cs="宋体"/>
          <w:sz w:val="24"/>
          <w:szCs w:val="24"/>
          <w:highlight w:val="none"/>
          <w:lang w:eastAsia="zh-CN"/>
        </w:rPr>
        <w:t>、电子邮箱</w:t>
      </w:r>
      <w:r>
        <w:rPr>
          <w:rFonts w:hint="eastAsia" w:ascii="宋体" w:hAnsi="宋体" w:eastAsia="宋体" w:cs="宋体"/>
          <w:sz w:val="24"/>
          <w:szCs w:val="24"/>
          <w:highlight w:val="none"/>
          <w:lang w:val="en-US" w:eastAsia="zh-CN"/>
        </w:rPr>
        <w:t>czyszb228</w:t>
      </w:r>
      <w:r>
        <w:rPr>
          <w:rFonts w:hint="eastAsia" w:ascii="宋体" w:hAnsi="宋体" w:eastAsia="宋体" w:cs="宋体"/>
          <w:sz w:val="24"/>
          <w:szCs w:val="24"/>
          <w:highlight w:val="none"/>
          <w:lang w:eastAsia="zh-CN"/>
        </w:rPr>
        <w:t>@163.com，与信阳市财政</w:t>
      </w:r>
      <w:r>
        <w:rPr>
          <w:rFonts w:hint="eastAsia" w:ascii="宋体" w:hAnsi="宋体" w:eastAsia="宋体" w:cs="宋体"/>
          <w:b w:val="0"/>
          <w:bCs w:val="0"/>
          <w:kern w:val="2"/>
          <w:sz w:val="24"/>
          <w:szCs w:val="24"/>
          <w:highlight w:val="none"/>
          <w:lang w:val="en-US" w:eastAsia="zh-CN" w:bidi="ar-SA"/>
        </w:rPr>
        <w:t>局优化营商环境办公室</w:t>
      </w:r>
      <w:r>
        <w:rPr>
          <w:rFonts w:hint="eastAsia" w:ascii="宋体" w:hAnsi="宋体" w:eastAsia="宋体" w:cs="宋体"/>
          <w:sz w:val="24"/>
          <w:szCs w:val="24"/>
          <w:highlight w:val="none"/>
          <w:lang w:eastAsia="zh-CN"/>
        </w:rPr>
        <w:t>随时沟通交流</w:t>
      </w:r>
      <w:r>
        <w:rPr>
          <w:rFonts w:hint="eastAsia" w:ascii="宋体" w:hAnsi="宋体" w:eastAsia="宋体" w:cs="宋体"/>
          <w:b w:val="0"/>
          <w:bCs w:val="0"/>
          <w:kern w:val="2"/>
          <w:sz w:val="24"/>
          <w:szCs w:val="24"/>
          <w:highlight w:val="none"/>
          <w:lang w:val="en-US" w:eastAsia="zh-CN" w:bidi="ar-SA"/>
        </w:rPr>
        <w:t>，我们将竭诚为各位供应商服务，全力解决贵公司遇到的困难。</w:t>
      </w:r>
    </w:p>
    <w:p w14:paraId="720E05AB">
      <w:pPr>
        <w:keepNext w:val="0"/>
        <w:keepLines w:val="0"/>
        <w:pageBreakBefore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highlight w:val="none"/>
        </w:rPr>
        <w:t>再次感谢贵公司对</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市政府采购工作的关心和支持！</w:t>
      </w:r>
    </w:p>
    <w:p w14:paraId="31C962AC">
      <w:pPr>
        <w:keepNext w:val="0"/>
        <w:keepLines w:val="0"/>
        <w:pageBreakBefore w:val="0"/>
        <w:kinsoku/>
        <w:wordWrap/>
        <w:overflowPunct/>
        <w:topLinePunct w:val="0"/>
        <w:autoSpaceDE/>
        <w:autoSpaceDN/>
        <w:bidi w:val="0"/>
        <w:adjustRightInd/>
        <w:snapToGrid/>
        <w:spacing w:line="400" w:lineRule="exact"/>
        <w:ind w:right="0" w:firstLine="480" w:firstLineChars="200"/>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                                                              </w:t>
      </w:r>
    </w:p>
    <w:p w14:paraId="089AC609">
      <w:pPr>
        <w:spacing w:before="0" w:beforeLines="0" w:after="0" w:afterLines="0" w:line="480" w:lineRule="auto"/>
        <w:ind w:left="0" w:leftChars="0" w:right="0" w:rightChars="0" w:firstLine="0" w:firstLineChars="0"/>
        <w:jc w:val="both"/>
        <w:rPr>
          <w:rFonts w:hint="eastAsia" w:ascii="宋体" w:hAnsi="宋体" w:eastAsia="宋体" w:cs="宋体"/>
          <w:b/>
          <w:bCs/>
          <w:kern w:val="2"/>
          <w:sz w:val="56"/>
          <w:szCs w:val="52"/>
          <w:lang w:val="en-US" w:eastAsia="zh-CN" w:bidi="ar-SA"/>
        </w:rPr>
        <w:sectPr>
          <w:headerReference r:id="rId4" w:type="first"/>
          <w:footerReference r:id="rId5" w:type="first"/>
          <w:headerReference r:id="rId3" w:type="default"/>
          <w:pgSz w:w="11906" w:h="16838"/>
          <w:pgMar w:top="1440" w:right="1080" w:bottom="1440" w:left="1080" w:header="851" w:footer="992" w:gutter="0"/>
          <w:pgNumType w:fmt="numberInDash"/>
          <w:cols w:space="425" w:num="1"/>
          <w:docGrid w:type="lines" w:linePitch="312" w:charSpace="0"/>
        </w:sectPr>
      </w:pPr>
      <w:bookmarkStart w:id="2" w:name="_Toc12706"/>
    </w:p>
    <w:sdt>
      <w:sdtPr>
        <w:rPr>
          <w:rFonts w:hint="eastAsia" w:ascii="宋体" w:hAnsi="宋体" w:eastAsia="宋体" w:cs="宋体"/>
          <w:b/>
          <w:bCs/>
          <w:kern w:val="2"/>
          <w:sz w:val="56"/>
          <w:szCs w:val="52"/>
          <w:lang w:val="en-US" w:eastAsia="zh-CN" w:bidi="ar-SA"/>
        </w:rPr>
        <w:id w:val="147482698"/>
        <w15:color w:val="DBDBDB"/>
        <w:docPartObj>
          <w:docPartGallery w:val="Table of Contents"/>
          <w:docPartUnique/>
        </w:docPartObj>
      </w:sdtPr>
      <w:sdtEndPr>
        <w:rPr>
          <w:rFonts w:hint="eastAsia" w:ascii="宋体" w:hAnsi="宋体" w:eastAsia="宋体" w:cs="宋体"/>
          <w:b/>
          <w:bCs/>
          <w:kern w:val="2"/>
          <w:sz w:val="28"/>
          <w:szCs w:val="28"/>
          <w:lang w:val="en-US" w:eastAsia="zh-CN" w:bidi="ar-SA"/>
        </w:rPr>
      </w:sdtEndPr>
      <w:sdtContent>
        <w:p w14:paraId="2AE05C4B">
          <w:pPr>
            <w:spacing w:before="0" w:beforeLines="0" w:after="0" w:afterLines="0" w:line="480" w:lineRule="auto"/>
            <w:ind w:left="0" w:leftChars="0" w:right="0" w:rightChars="0" w:firstLine="0" w:firstLineChars="0"/>
            <w:jc w:val="center"/>
            <w:rPr>
              <w:rFonts w:hint="eastAsia" w:ascii="宋体" w:hAnsi="宋体" w:eastAsia="宋体" w:cs="宋体"/>
              <w:b/>
              <w:bCs/>
              <w:sz w:val="40"/>
              <w:szCs w:val="40"/>
            </w:rPr>
          </w:pPr>
          <w:r>
            <w:rPr>
              <w:rFonts w:hint="eastAsia" w:ascii="宋体" w:hAnsi="宋体" w:eastAsia="宋体" w:cs="宋体"/>
              <w:b/>
              <w:bCs/>
              <w:sz w:val="44"/>
              <w:szCs w:val="44"/>
            </w:rPr>
            <w:t>目</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录</w:t>
          </w:r>
        </w:p>
        <w:p w14:paraId="7047DFF6">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TOC \o "1-1" \h \u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_Toc26338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电子招投标特别提示</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_Toc26338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２</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14A113CC">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_Toc19621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val="en-US" w:eastAsia="zh-CN"/>
            </w:rPr>
            <w:t xml:space="preserve">第一章 </w:t>
          </w:r>
          <w:r>
            <w:rPr>
              <w:rFonts w:hint="eastAsia" w:ascii="宋体" w:hAnsi="宋体" w:eastAsia="宋体" w:cs="宋体"/>
              <w:b/>
              <w:bCs/>
              <w:sz w:val="28"/>
              <w:szCs w:val="28"/>
            </w:rPr>
            <w:t>招标公告</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_Toc19621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４</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71D10BAC">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_Toc16438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第二章 投标人须知</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_Toc16438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８</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6ADAF985">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_Toc13606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第三章 评标办法</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综合评估法</w:t>
          </w:r>
          <w:r>
            <w:rPr>
              <w:rFonts w:hint="eastAsia" w:ascii="宋体" w:hAnsi="宋体" w:eastAsia="宋体" w:cs="宋体"/>
              <w:b/>
              <w:bCs/>
              <w:sz w:val="28"/>
              <w:szCs w:val="28"/>
              <w:lang w:eastAsia="zh-CN"/>
            </w:rPr>
            <w:t>）</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_Toc13606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２７</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32490613">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_Toc27871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 xml:space="preserve">第四章 </w:t>
          </w:r>
          <w:r>
            <w:rPr>
              <w:rFonts w:hint="eastAsia" w:ascii="宋体" w:hAnsi="宋体" w:eastAsia="宋体" w:cs="宋体"/>
              <w:b/>
              <w:bCs/>
              <w:sz w:val="28"/>
              <w:szCs w:val="28"/>
              <w:lang w:val="en-US" w:eastAsia="zh-CN"/>
            </w:rPr>
            <w:t>采购内容及要求</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_Toc27871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３４</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4DC9B5F6">
          <w:pPr>
            <w:pStyle w:val="15"/>
            <w:tabs>
              <w:tab w:val="right" w:leader="dot" w:pos="9746"/>
            </w:tabs>
            <w:spacing w:line="600" w:lineRule="auto"/>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_Toc12748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val="en-US" w:eastAsia="zh-CN"/>
            </w:rPr>
            <w:t>第五章 合同主要条款及格式</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_Toc12748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４９</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p w14:paraId="372819D0">
          <w:pPr>
            <w:pStyle w:val="15"/>
            <w:tabs>
              <w:tab w:val="right" w:leader="dot" w:pos="9746"/>
            </w:tabs>
            <w:spacing w:line="600" w:lineRule="auto"/>
            <w:rPr>
              <w:rFonts w:hint="eastAsia" w:ascii="宋体" w:hAnsi="宋体" w:eastAsia="宋体" w:cs="宋体"/>
              <w:b/>
              <w:bCs/>
              <w:sz w:val="36"/>
              <w:szCs w:val="36"/>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_Toc20398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val="en-US" w:eastAsia="zh-CN"/>
            </w:rPr>
            <w:t xml:space="preserve">第六章 </w:t>
          </w:r>
          <w:r>
            <w:rPr>
              <w:rFonts w:hint="eastAsia" w:ascii="宋体" w:hAnsi="宋体" w:eastAsia="宋体" w:cs="宋体"/>
              <w:b/>
              <w:bCs/>
              <w:sz w:val="28"/>
              <w:szCs w:val="28"/>
            </w:rPr>
            <w:t>投标文件格式</w:t>
          </w:r>
          <w:r>
            <w:rPr>
              <w:rFonts w:hint="eastAsia" w:ascii="宋体" w:hAnsi="宋体" w:eastAsia="宋体" w:cs="宋体"/>
              <w:b/>
              <w:bCs/>
              <w:sz w:val="28"/>
              <w:szCs w:val="28"/>
            </w:rPr>
            <w:tab/>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PAGEREF _Toc20398 \h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t>５５</w:t>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r>
            <w:rPr>
              <w:rFonts w:hint="eastAsia" w:ascii="宋体" w:hAnsi="宋体" w:eastAsia="宋体" w:cs="宋体"/>
              <w:b/>
              <w:bCs/>
              <w:sz w:val="28"/>
              <w:szCs w:val="28"/>
            </w:rPr>
            <w:fldChar w:fldCharType="end"/>
          </w:r>
        </w:p>
      </w:sdtContent>
    </w:sdt>
    <w:p w14:paraId="76564A46">
      <w:pPr>
        <w:autoSpaceDE/>
        <w:autoSpaceDN/>
        <w:spacing w:line="520" w:lineRule="exact"/>
        <w:jc w:val="center"/>
        <w:rPr>
          <w:rFonts w:hint="eastAsia" w:ascii="宋体" w:hAnsi="宋体" w:eastAsia="宋体" w:cs="宋体"/>
          <w:b/>
          <w:bCs/>
          <w:sz w:val="36"/>
          <w:szCs w:val="36"/>
        </w:rPr>
      </w:pPr>
    </w:p>
    <w:p w14:paraId="67D96F9B">
      <w:pPr>
        <w:bidi w:val="0"/>
        <w:rPr>
          <w:rFonts w:hint="eastAsia" w:ascii="宋体" w:hAnsi="宋体" w:eastAsia="宋体" w:cs="宋体"/>
          <w:kern w:val="2"/>
          <w:sz w:val="30"/>
          <w:lang w:val="en-US" w:eastAsia="zh-CN" w:bidi="ar-SA"/>
        </w:rPr>
      </w:pPr>
    </w:p>
    <w:p w14:paraId="16B8D317">
      <w:pPr>
        <w:bidi w:val="0"/>
        <w:rPr>
          <w:rFonts w:hint="eastAsia" w:ascii="宋体" w:hAnsi="宋体" w:eastAsia="宋体" w:cs="宋体"/>
          <w:lang w:val="en-US" w:eastAsia="zh-CN"/>
        </w:rPr>
      </w:pPr>
    </w:p>
    <w:p w14:paraId="6A199787">
      <w:pPr>
        <w:tabs>
          <w:tab w:val="left" w:pos="7735"/>
        </w:tabs>
        <w:bidi w:val="0"/>
        <w:jc w:val="left"/>
        <w:rPr>
          <w:rFonts w:hint="eastAsia" w:ascii="宋体" w:hAnsi="宋体" w:eastAsia="宋体" w:cs="宋体"/>
          <w:lang w:val="en-US" w:eastAsia="zh-CN"/>
        </w:rPr>
        <w:sectPr>
          <w:headerReference r:id="rId7" w:type="first"/>
          <w:footerReference r:id="rId9" w:type="first"/>
          <w:headerReference r:id="rId6" w:type="default"/>
          <w:footerReference r:id="rId8" w:type="default"/>
          <w:pgSz w:w="11906" w:h="16838"/>
          <w:pgMar w:top="1440" w:right="1080" w:bottom="1440" w:left="1080" w:header="851" w:footer="992" w:gutter="0"/>
          <w:pgNumType w:fmt="decimalFullWidth" w:start="1"/>
          <w:cols w:space="425" w:num="1"/>
          <w:titlePg/>
          <w:docGrid w:type="lines" w:linePitch="312" w:charSpace="0"/>
        </w:sectPr>
      </w:pPr>
      <w:r>
        <w:rPr>
          <w:rFonts w:hint="eastAsia" w:ascii="宋体" w:hAnsi="宋体" w:eastAsia="宋体" w:cs="宋体"/>
          <w:lang w:val="en-US" w:eastAsia="zh-CN"/>
        </w:rPr>
        <w:tab/>
      </w:r>
    </w:p>
    <w:p w14:paraId="2B7C3C9B">
      <w:pPr>
        <w:pStyle w:val="2"/>
        <w:keepNext/>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宋体" w:hAnsi="宋体" w:eastAsia="宋体" w:cs="宋体"/>
          <w:b/>
          <w:sz w:val="24"/>
          <w:szCs w:val="24"/>
        </w:rPr>
      </w:pPr>
      <w:bookmarkStart w:id="3" w:name="_Toc26338"/>
      <w:r>
        <w:rPr>
          <w:rFonts w:hint="eastAsia" w:ascii="宋体" w:hAnsi="宋体" w:eastAsia="宋体" w:cs="宋体"/>
          <w:sz w:val="36"/>
          <w:szCs w:val="36"/>
        </w:rPr>
        <w:t>电子招投标特别提示</w:t>
      </w:r>
      <w:bookmarkEnd w:id="3"/>
    </w:p>
    <w:p w14:paraId="2883C00D">
      <w:pPr>
        <w:keepNext w:val="0"/>
        <w:keepLines w:val="0"/>
        <w:pageBreakBefore w:val="0"/>
        <w:kinsoku/>
        <w:wordWrap/>
        <w:overflowPunct/>
        <w:topLinePunct w:val="0"/>
        <w:autoSpaceDE/>
        <w:autoSpaceDN/>
        <w:bidi w:val="0"/>
        <w:spacing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一、投标人（供应商）注册</w:t>
      </w:r>
    </w:p>
    <w:p w14:paraId="41919E13">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凡有意参加本项目的投标人（供应商），请</w:t>
      </w:r>
      <w:r>
        <w:rPr>
          <w:rFonts w:hint="eastAsia" w:ascii="宋体" w:hAnsi="宋体" w:eastAsia="宋体" w:cs="宋体"/>
          <w:sz w:val="24"/>
          <w:szCs w:val="24"/>
          <w:lang w:eastAsia="zh-CN"/>
        </w:rPr>
        <w:t>登录</w:t>
      </w:r>
      <w:r>
        <w:rPr>
          <w:rFonts w:hint="eastAsia" w:ascii="宋体" w:hAnsi="宋体" w:eastAsia="宋体" w:cs="宋体"/>
          <w:sz w:val="24"/>
          <w:szCs w:val="24"/>
        </w:rPr>
        <w:t>“信阳市公共资源交易中心（</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"https://ggzyjy.xinyang.gov.cn/"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https://ggzyjy.xinyang.gov.cn</w:t>
      </w:r>
      <w:r>
        <w:rPr>
          <w:rFonts w:hint="eastAsia" w:ascii="宋体" w:hAnsi="宋体" w:eastAsia="宋体" w:cs="宋体"/>
          <w:sz w:val="24"/>
          <w:szCs w:val="24"/>
        </w:rPr>
        <w:fldChar w:fldCharType="end"/>
      </w:r>
      <w:r>
        <w:rPr>
          <w:rFonts w:hint="eastAsia" w:ascii="宋体" w:hAnsi="宋体" w:eastAsia="宋体" w:cs="宋体"/>
          <w:sz w:val="24"/>
          <w:szCs w:val="24"/>
        </w:rPr>
        <w:t>）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18D5FE69">
      <w:pPr>
        <w:keepNext w:val="0"/>
        <w:keepLines w:val="0"/>
        <w:pageBreakBefore w:val="0"/>
        <w:kinsoku/>
        <w:wordWrap/>
        <w:overflowPunct/>
        <w:topLinePunct w:val="0"/>
        <w:autoSpaceDE/>
        <w:autoSpaceDN/>
        <w:bidi w:val="0"/>
        <w:spacing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二、办理CA数字证书</w:t>
      </w:r>
    </w:p>
    <w:p w14:paraId="729AEF76">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完成企业诚信库注册后，必须办理CA数字证书方可在网上办理招投标相关业务。投标人根据信阳市公共资源交易网通知公告栏目中《关于信阳市公共资源交易平台数字证书（CA）互</w:t>
      </w:r>
      <w:r>
        <w:rPr>
          <w:rFonts w:hint="eastAsia" w:ascii="宋体" w:hAnsi="宋体" w:eastAsia="宋体" w:cs="宋体"/>
          <w:spacing w:val="-6"/>
          <w:sz w:val="24"/>
          <w:szCs w:val="24"/>
        </w:rPr>
        <w:t>认系统正式上线运行的通知》要求，自行选择CA数字证书服务商，线上、线下办理CA数字证书</w:t>
      </w:r>
      <w:r>
        <w:rPr>
          <w:rFonts w:hint="eastAsia" w:ascii="宋体" w:hAnsi="宋体" w:eastAsia="宋体" w:cs="宋体"/>
          <w:sz w:val="24"/>
          <w:szCs w:val="24"/>
        </w:rPr>
        <w:t>。</w:t>
      </w:r>
    </w:p>
    <w:p w14:paraId="46ECFAD8">
      <w:pPr>
        <w:keepNext w:val="0"/>
        <w:keepLines w:val="0"/>
        <w:pageBreakBefore w:val="0"/>
        <w:kinsoku/>
        <w:wordWrap/>
        <w:overflowPunct/>
        <w:topLinePunct w:val="0"/>
        <w:autoSpaceDE/>
        <w:autoSpaceDN/>
        <w:bidi w:val="0"/>
        <w:spacing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三、招标（采购）文件获取方式</w:t>
      </w:r>
    </w:p>
    <w:p w14:paraId="544955AF">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投标人（供应商）凭CA数字证书</w:t>
      </w:r>
      <w:r>
        <w:rPr>
          <w:rFonts w:hint="eastAsia" w:ascii="宋体" w:hAnsi="宋体" w:eastAsia="宋体" w:cs="宋体"/>
          <w:sz w:val="24"/>
          <w:szCs w:val="24"/>
          <w:lang w:eastAsia="zh-CN"/>
        </w:rPr>
        <w:t>登录</w:t>
      </w:r>
      <w:r>
        <w:rPr>
          <w:rFonts w:hint="eastAsia" w:ascii="宋体" w:hAnsi="宋体" w:eastAsia="宋体" w:cs="宋体"/>
          <w:sz w:val="24"/>
          <w:szCs w:val="24"/>
        </w:rPr>
        <w:t>会员系统后，即可按网上提示免费下载招标（采购）文件及资料（操作程序详见信阳市公共资源交易中心网站下载中心栏目里投标人操作手册）。招标文件(*.XYZF格式)下载后需使用“信阳市投标文件制作工具软件”打开（该工具软件可在“信阳市公共资源交易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"https://ggzyjy.xinyang.gov.cn/"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https://ggzyjy.xinyang.gov.cn</w:t>
      </w:r>
      <w:r>
        <w:rPr>
          <w:rFonts w:hint="eastAsia" w:ascii="宋体" w:hAnsi="宋体" w:eastAsia="宋体" w:cs="宋体"/>
          <w:sz w:val="24"/>
          <w:szCs w:val="24"/>
        </w:rPr>
        <w:fldChar w:fldCharType="end"/>
      </w:r>
      <w:r>
        <w:rPr>
          <w:rFonts w:hint="eastAsia" w:ascii="宋体" w:hAnsi="宋体" w:eastAsia="宋体" w:cs="宋体"/>
          <w:sz w:val="24"/>
          <w:szCs w:val="24"/>
        </w:rPr>
        <w:t>）”网站下载中心栏目内下载或在招标文件领取页面下载）。</w:t>
      </w:r>
    </w:p>
    <w:p w14:paraId="55E24B51">
      <w:pPr>
        <w:keepNext w:val="0"/>
        <w:keepLines w:val="0"/>
        <w:pageBreakBefore w:val="0"/>
        <w:tabs>
          <w:tab w:val="left" w:pos="0"/>
        </w:tabs>
        <w:kinsoku/>
        <w:wordWrap/>
        <w:overflowPunct/>
        <w:topLinePunct w:val="0"/>
        <w:autoSpaceDE/>
        <w:autoSpaceDN/>
        <w:bidi w:val="0"/>
        <w:spacing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四、投标（响应）文件制作</w:t>
      </w:r>
    </w:p>
    <w:p w14:paraId="723058F5">
      <w:pPr>
        <w:keepNext w:val="0"/>
        <w:keepLines w:val="0"/>
        <w:pageBreakBefore w:val="0"/>
        <w:tabs>
          <w:tab w:val="left" w:pos="0"/>
        </w:tabs>
        <w:kinsoku/>
        <w:wordWrap/>
        <w:overflowPunct/>
        <w:topLinePunct w:val="0"/>
        <w:autoSpaceDE/>
        <w:autoSpaceDN/>
        <w:bidi w:val="0"/>
        <w:spacing w:line="440" w:lineRule="exact"/>
        <w:ind w:left="0" w:leftChars="0" w:firstLine="436" w:firstLineChars="200"/>
        <w:textAlignment w:val="auto"/>
        <w:rPr>
          <w:rFonts w:hint="eastAsia" w:ascii="宋体" w:hAnsi="宋体" w:eastAsia="宋体" w:cs="宋体"/>
          <w:sz w:val="24"/>
          <w:szCs w:val="24"/>
        </w:rPr>
      </w:pPr>
      <w:r>
        <w:rPr>
          <w:rFonts w:hint="eastAsia" w:ascii="宋体" w:hAnsi="宋体" w:eastAsia="宋体" w:cs="宋体"/>
          <w:spacing w:val="-11"/>
          <w:sz w:val="24"/>
          <w:szCs w:val="24"/>
        </w:rPr>
        <w:t>投标（响应）文件应使用信阳市公共资源交易系统投标文件制作专用工具软件编制，投标（响应）文件格式为“*.XYTF”。投标人（供应商）须在投标（响应）文件递交截止时间前制作并提交。</w:t>
      </w:r>
    </w:p>
    <w:p w14:paraId="1E4F1A40">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u w:val="double"/>
        </w:rPr>
        <w:t>五、投标（响应）文件的签字和盖章要求</w:t>
      </w:r>
    </w:p>
    <w:p w14:paraId="1C4AD3FE">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1、投标文件（响应）格式中所有要求投标人（供应商）加盖公章的地方都须加盖投标人（供应商）的 CA 印章。</w:t>
      </w:r>
    </w:p>
    <w:p w14:paraId="48782886">
      <w:pPr>
        <w:keepNext w:val="0"/>
        <w:keepLines w:val="0"/>
        <w:pageBreakBefore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宋体" w:hAnsi="宋体" w:eastAsia="宋体" w:cs="宋体"/>
          <w:b/>
          <w:bCs/>
          <w:color w:val="auto"/>
          <w:sz w:val="24"/>
          <w:szCs w:val="24"/>
        </w:rPr>
      </w:pPr>
      <w:r>
        <w:rPr>
          <w:rFonts w:hint="eastAsia" w:ascii="宋体" w:hAnsi="宋体" w:eastAsia="宋体" w:cs="宋体"/>
          <w:sz w:val="24"/>
          <w:szCs w:val="24"/>
        </w:rPr>
        <w:t>2、投标文件（响应）格式中所有要求法定代表人或其委托代理人签字或盖章的</w:t>
      </w:r>
      <w:r>
        <w:rPr>
          <w:rFonts w:hint="eastAsia" w:ascii="宋体" w:hAnsi="宋体" w:eastAsia="宋体" w:cs="宋体"/>
          <w:color w:val="auto"/>
          <w:sz w:val="24"/>
          <w:szCs w:val="24"/>
        </w:rPr>
        <w:t>地方</w:t>
      </w:r>
      <w:r>
        <w:rPr>
          <w:rFonts w:hint="eastAsia" w:ascii="宋体" w:hAnsi="宋体" w:eastAsia="宋体" w:cs="宋体"/>
          <w:b/>
          <w:bCs/>
          <w:color w:val="auto"/>
          <w:sz w:val="24"/>
          <w:szCs w:val="24"/>
        </w:rPr>
        <w:t>（不含授权委托书委托人签字）</w:t>
      </w:r>
      <w:r>
        <w:rPr>
          <w:rFonts w:hint="eastAsia" w:ascii="宋体" w:hAnsi="宋体" w:eastAsia="宋体" w:cs="宋体"/>
          <w:color w:val="auto"/>
          <w:sz w:val="24"/>
          <w:szCs w:val="24"/>
        </w:rPr>
        <w:t>都须加盖法定代表人</w:t>
      </w:r>
      <w:r>
        <w:rPr>
          <w:rFonts w:hint="eastAsia" w:ascii="宋体" w:hAnsi="宋体" w:eastAsia="宋体" w:cs="宋体"/>
          <w:b/>
          <w:bCs/>
          <w:color w:val="auto"/>
          <w:sz w:val="24"/>
          <w:szCs w:val="24"/>
        </w:rPr>
        <w:t>CA 印章。</w:t>
      </w:r>
    </w:p>
    <w:p w14:paraId="104EBAF8">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六、投标文件份数</w:t>
      </w:r>
    </w:p>
    <w:p w14:paraId="19EDF23F">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加密的电子投标（响应）文件壹份（*.XYTF 格式，在会员系统指定位置上传）</w:t>
      </w:r>
      <w:r>
        <w:rPr>
          <w:rFonts w:hint="eastAsia" w:ascii="宋体" w:hAnsi="宋体" w:eastAsia="宋体" w:cs="宋体"/>
          <w:sz w:val="24"/>
          <w:szCs w:val="24"/>
          <w:lang w:eastAsia="zh-CN"/>
        </w:rPr>
        <w:t>。</w:t>
      </w:r>
    </w:p>
    <w:p w14:paraId="290A3E0F">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七、投标（响应）文件的递交</w:t>
      </w:r>
    </w:p>
    <w:p w14:paraId="02D74332">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1、电子投标（响应）文件的递交</w:t>
      </w:r>
    </w:p>
    <w:p w14:paraId="407ED620">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各投标人（供应商）应在投标截止时间前上传加密的电子投标（响应）文件（*.XYTF）到会员系统的指定位置。上传的电子投标文件应使用</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CA数字证书认证并加密。上传时必须得到交易系统“上传成功”的确认回复后方为上传成功。请</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（供应商）在上传前务必认真检查上传投标（响应）文件是否完整、正确。</w:t>
      </w:r>
    </w:p>
    <w:p w14:paraId="0D56C504">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、除电子投标（响应）文件外，不再接受任何纸质文件、资料原件等。</w:t>
      </w:r>
    </w:p>
    <w:p w14:paraId="7E0C755D">
      <w:pPr>
        <w:keepNext w:val="0"/>
        <w:keepLines w:val="0"/>
        <w:pageBreakBefore w:val="0"/>
        <w:kinsoku/>
        <w:wordWrap/>
        <w:overflowPunct/>
        <w:topLinePunct w:val="0"/>
        <w:autoSpaceDE/>
        <w:autoSpaceDN/>
        <w:bidi w:val="0"/>
        <w:spacing w:line="440" w:lineRule="exact"/>
        <w:ind w:left="0" w:leftChars="0" w:firstLine="482" w:firstLineChars="200"/>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八、澄清与变更</w:t>
      </w:r>
    </w:p>
    <w:p w14:paraId="5877861F">
      <w:pPr>
        <w:keepNext w:val="0"/>
        <w:keepLines w:val="0"/>
        <w:pageBreakBefore w:val="0"/>
        <w:kinsoku/>
        <w:wordWrap/>
        <w:overflowPunct/>
        <w:topLinePunct w:val="0"/>
        <w:autoSpaceDE/>
        <w:autoSpaceDN/>
        <w:bidi w:val="0"/>
        <w:spacing w:line="44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采购人）未及时查看而造成的后果自负。</w:t>
      </w:r>
    </w:p>
    <w:p w14:paraId="08D8654D">
      <w:pPr>
        <w:keepNext w:val="0"/>
        <w:keepLines w:val="0"/>
        <w:pageBreakBefore w:val="0"/>
        <w:widowControl/>
        <w:kinsoku/>
        <w:wordWrap/>
        <w:overflowPunct/>
        <w:topLinePunct w:val="0"/>
        <w:autoSpaceDE/>
        <w:autoSpaceDN/>
        <w:bidi w:val="0"/>
        <w:spacing w:line="440" w:lineRule="exact"/>
        <w:ind w:left="0" w:leftChars="0" w:firstLine="482" w:firstLineChars="200"/>
        <w:jc w:val="left"/>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 xml:space="preserve">九、其他注意事项 </w:t>
      </w:r>
    </w:p>
    <w:p w14:paraId="0E5A63E5">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 xml:space="preserve">1、供应商编制投标文件时，涉及的营业执照、资质、获奖、社保、纳税等固定内容可在交易中心主体信用信息中录入。 </w:t>
      </w:r>
    </w:p>
    <w:p w14:paraId="049B8834">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0D2EA647">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3、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2D5FACE3">
      <w:pPr>
        <w:keepNext w:val="0"/>
        <w:keepLines w:val="0"/>
        <w:pageBreakBefore w:val="0"/>
        <w:widowControl/>
        <w:kinsoku/>
        <w:wordWrap/>
        <w:overflowPunct/>
        <w:topLinePunct w:val="0"/>
        <w:autoSpaceDE/>
        <w:autoSpaceDN/>
        <w:bidi w:val="0"/>
        <w:spacing w:line="440" w:lineRule="exact"/>
        <w:ind w:left="0" w:leftChars="0" w:firstLine="482" w:firstLineChars="200"/>
        <w:jc w:val="left"/>
        <w:textAlignment w:val="auto"/>
        <w:rPr>
          <w:rFonts w:hint="eastAsia" w:ascii="宋体" w:hAnsi="宋体" w:eastAsia="宋体" w:cs="宋体"/>
          <w:b/>
          <w:bCs/>
          <w:sz w:val="24"/>
          <w:szCs w:val="24"/>
          <w:u w:val="double"/>
        </w:rPr>
      </w:pPr>
      <w:r>
        <w:rPr>
          <w:rFonts w:hint="eastAsia" w:ascii="宋体" w:hAnsi="宋体" w:eastAsia="宋体" w:cs="宋体"/>
          <w:b/>
          <w:bCs/>
          <w:sz w:val="24"/>
          <w:szCs w:val="24"/>
          <w:u w:val="double"/>
        </w:rPr>
        <w:t>十、特别提醒</w:t>
      </w:r>
    </w:p>
    <w:p w14:paraId="762E1F4E">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投标文件中的扫描件，在确保清晰的前提下，每张最好控制在500kb内，生成的加密电子投标文件最好不要超过50MB。</w:t>
      </w:r>
    </w:p>
    <w:p w14:paraId="2A6E7E93">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招标（响应）文件与此内容不符的，以此内容为准。</w:t>
      </w:r>
      <w:r>
        <w:rPr>
          <w:rFonts w:hint="eastAsia" w:ascii="宋体" w:hAnsi="宋体" w:eastAsia="宋体" w:cs="宋体"/>
          <w:sz w:val="24"/>
          <w:szCs w:val="24"/>
        </w:rPr>
        <w:tab/>
      </w:r>
    </w:p>
    <w:p w14:paraId="29F0360F">
      <w:pPr>
        <w:rPr>
          <w:rFonts w:hint="eastAsia" w:ascii="宋体" w:hAnsi="宋体" w:eastAsia="宋体" w:cs="宋体"/>
          <w:sz w:val="24"/>
          <w:szCs w:val="24"/>
        </w:rPr>
      </w:pPr>
      <w:r>
        <w:rPr>
          <w:rFonts w:hint="eastAsia" w:ascii="宋体" w:hAnsi="宋体" w:eastAsia="宋体" w:cs="宋体"/>
          <w:sz w:val="24"/>
          <w:szCs w:val="24"/>
        </w:rPr>
        <w:br w:type="page"/>
      </w:r>
    </w:p>
    <w:p w14:paraId="353E18BF">
      <w:pPr>
        <w:pStyle w:val="2"/>
        <w:keepNext/>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color w:val="000000"/>
          <w:sz w:val="21"/>
          <w:szCs w:val="21"/>
        </w:rPr>
      </w:pPr>
      <w:bookmarkStart w:id="4" w:name="_Toc19621"/>
      <w:r>
        <w:rPr>
          <w:rFonts w:hint="eastAsia" w:ascii="宋体" w:hAnsi="宋体" w:eastAsia="宋体" w:cs="宋体"/>
          <w:lang w:val="en-US" w:eastAsia="zh-CN"/>
        </w:rPr>
        <w:t xml:space="preserve">第一章 </w:t>
      </w:r>
      <w:r>
        <w:rPr>
          <w:rFonts w:hint="eastAsia" w:ascii="宋体" w:hAnsi="宋体" w:eastAsia="宋体" w:cs="宋体"/>
        </w:rPr>
        <w:t>招标公告</w:t>
      </w:r>
      <w:bookmarkEnd w:id="2"/>
      <w:bookmarkEnd w:id="4"/>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0"/>
      </w:tblGrid>
      <w:tr w14:paraId="26A4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9840" w:type="dxa"/>
            <w:noWrap w:val="0"/>
            <w:vAlign w:val="top"/>
          </w:tcPr>
          <w:p w14:paraId="530BB627">
            <w:pPr>
              <w:keepNext w:val="0"/>
              <w:keepLines w:val="0"/>
              <w:pageBreakBefore w:val="0"/>
              <w:widowControl w:val="0"/>
              <w:kinsoku/>
              <w:wordWrap/>
              <w:overflowPunct/>
              <w:topLinePunct w:val="0"/>
              <w:autoSpaceDE w:val="0"/>
              <w:autoSpaceDN w:val="0"/>
              <w:bidi w:val="0"/>
              <w:adjustRightInd/>
              <w:snapToGrid/>
              <w:spacing w:line="500" w:lineRule="exact"/>
              <w:ind w:firstLine="482" w:firstLineChars="200"/>
              <w:jc w:val="left"/>
              <w:textAlignment w:val="auto"/>
              <w:rPr>
                <w:rFonts w:hint="eastAsia" w:ascii="宋体" w:hAnsi="宋体" w:eastAsia="宋体" w:cs="宋体"/>
                <w:color w:val="auto"/>
                <w:sz w:val="24"/>
                <w:szCs w:val="24"/>
                <w:highlight w:val="none"/>
                <w:lang w:val="zh-CN" w:bidi="zh-CN"/>
              </w:rPr>
            </w:pPr>
            <w:r>
              <w:rPr>
                <w:rFonts w:hint="eastAsia" w:ascii="宋体" w:hAnsi="宋体" w:eastAsia="宋体" w:cs="宋体"/>
                <w:b/>
                <w:bCs/>
                <w:color w:val="auto"/>
                <w:sz w:val="24"/>
                <w:szCs w:val="24"/>
                <w:highlight w:val="none"/>
                <w:lang w:val="zh-CN" w:bidi="zh-CN"/>
              </w:rPr>
              <w:t>项目概况</w:t>
            </w:r>
            <w:r>
              <w:rPr>
                <w:rFonts w:hint="eastAsia" w:ascii="宋体" w:hAnsi="宋体" w:eastAsia="宋体" w:cs="宋体"/>
                <w:color w:val="auto"/>
                <w:sz w:val="24"/>
                <w:szCs w:val="24"/>
                <w:highlight w:val="none"/>
                <w:lang w:val="zh-CN" w:bidi="zh-CN"/>
              </w:rPr>
              <w:t xml:space="preserve"> </w:t>
            </w:r>
          </w:p>
          <w:p w14:paraId="4AE8C2CD">
            <w:pPr>
              <w:pStyle w:val="18"/>
              <w:keepNext w:val="0"/>
              <w:keepLines w:val="0"/>
              <w:pageBreakBefore w:val="0"/>
              <w:widowControl w:val="0"/>
              <w:tabs>
                <w:tab w:val="left" w:pos="210"/>
                <w:tab w:val="left" w:pos="420"/>
              </w:tabs>
              <w:kinsoku/>
              <w:wordWrap/>
              <w:overflowPunct/>
              <w:topLinePunct w:val="0"/>
              <w:bidi w:val="0"/>
              <w:adjustRightInd/>
              <w:snapToGrid/>
              <w:spacing w:before="0" w:beforeLines="0" w:beforeAutospacing="0" w:after="0" w:afterLines="0" w:afterAutospacing="0" w:line="500" w:lineRule="exact"/>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snapToGrid w:val="0"/>
                <w:color w:val="auto"/>
                <w:spacing w:val="0"/>
                <w:sz w:val="24"/>
                <w:szCs w:val="24"/>
                <w:highlight w:val="none"/>
                <w:u w:val="single"/>
                <w:lang w:val="zh-CN" w:bidi="zh-CN"/>
              </w:rPr>
              <w:t>信阳市羊山新区住房建设和交通运输局羊山新区水环境数字化监测监管体系项目</w:t>
            </w:r>
            <w:r>
              <w:rPr>
                <w:rFonts w:hint="eastAsia" w:ascii="宋体" w:hAnsi="宋体" w:eastAsia="宋体" w:cs="宋体"/>
                <w:snapToGrid w:val="0"/>
                <w:color w:val="auto"/>
                <w:spacing w:val="0"/>
                <w:sz w:val="24"/>
                <w:szCs w:val="24"/>
                <w:highlight w:val="none"/>
                <w:lang w:val="zh-CN" w:bidi="zh-CN"/>
              </w:rPr>
              <w:t>的潜在投标人应在</w:t>
            </w:r>
            <w:r>
              <w:rPr>
                <w:rFonts w:hint="eastAsia" w:ascii="宋体" w:hAnsi="宋体" w:eastAsia="宋体" w:cs="宋体"/>
                <w:snapToGrid w:val="0"/>
                <w:color w:val="auto"/>
                <w:spacing w:val="0"/>
                <w:sz w:val="24"/>
                <w:szCs w:val="24"/>
                <w:highlight w:val="none"/>
                <w:lang w:val="zh-CN" w:eastAsia="zh-CN" w:bidi="zh-CN"/>
              </w:rPr>
              <w:t>“</w:t>
            </w:r>
            <w:r>
              <w:rPr>
                <w:rFonts w:hint="eastAsia" w:ascii="宋体" w:hAnsi="宋体" w:eastAsia="宋体" w:cs="宋体"/>
                <w:snapToGrid w:val="0"/>
                <w:color w:val="auto"/>
                <w:spacing w:val="0"/>
                <w:sz w:val="24"/>
                <w:szCs w:val="24"/>
                <w:highlight w:val="none"/>
                <w:lang w:val="zh-CN" w:bidi="zh-CN"/>
              </w:rPr>
              <w:t>全国公共资源交易平台（河南省·</w:t>
            </w:r>
            <w:r>
              <w:rPr>
                <w:rFonts w:hint="eastAsia" w:ascii="宋体" w:hAnsi="宋体" w:eastAsia="宋体" w:cs="宋体"/>
                <w:snapToGrid w:val="0"/>
                <w:color w:val="auto"/>
                <w:spacing w:val="0"/>
                <w:sz w:val="24"/>
                <w:szCs w:val="24"/>
                <w:highlight w:val="none"/>
                <w:lang w:val="en-US" w:eastAsia="zh-CN" w:bidi="zh-CN"/>
              </w:rPr>
              <w:t>信阳市</w:t>
            </w:r>
            <w:r>
              <w:rPr>
                <w:rFonts w:hint="eastAsia" w:ascii="宋体" w:hAnsi="宋体" w:eastAsia="宋体" w:cs="宋体"/>
                <w:snapToGrid w:val="0"/>
                <w:color w:val="auto"/>
                <w:spacing w:val="0"/>
                <w:sz w:val="24"/>
                <w:szCs w:val="24"/>
                <w:highlight w:val="none"/>
                <w:lang w:val="zh-CN" w:bidi="zh-CN"/>
              </w:rPr>
              <w:t>）（https://ggzyjy.xinyang.gov.cn）</w:t>
            </w:r>
            <w:r>
              <w:rPr>
                <w:rFonts w:hint="eastAsia" w:ascii="宋体" w:hAnsi="宋体" w:eastAsia="宋体" w:cs="宋体"/>
                <w:color w:val="auto"/>
                <w:spacing w:val="0"/>
                <w:sz w:val="24"/>
                <w:szCs w:val="24"/>
                <w:highlight w:val="none"/>
                <w:lang w:val="zh-CN" w:bidi="zh-CN"/>
              </w:rPr>
              <w:t>获取</w:t>
            </w:r>
            <w:r>
              <w:rPr>
                <w:rFonts w:hint="eastAsia" w:ascii="宋体" w:hAnsi="宋体" w:eastAsia="宋体" w:cs="宋体"/>
                <w:color w:val="auto"/>
                <w:spacing w:val="0"/>
                <w:sz w:val="24"/>
                <w:szCs w:val="24"/>
                <w:highlight w:val="none"/>
                <w:lang w:val="en-US" w:bidi="zh-CN"/>
              </w:rPr>
              <w:t>采购</w:t>
            </w:r>
            <w:r>
              <w:rPr>
                <w:rFonts w:hint="eastAsia" w:ascii="宋体" w:hAnsi="宋体" w:eastAsia="宋体" w:cs="宋体"/>
                <w:color w:val="auto"/>
                <w:spacing w:val="0"/>
                <w:sz w:val="24"/>
                <w:szCs w:val="24"/>
                <w:highlight w:val="none"/>
                <w:lang w:val="zh-CN" w:bidi="zh-CN"/>
              </w:rPr>
              <w:t>文件，并于202</w:t>
            </w:r>
            <w:r>
              <w:rPr>
                <w:rFonts w:hint="eastAsia" w:ascii="宋体" w:hAnsi="宋体" w:eastAsia="宋体" w:cs="宋体"/>
                <w:color w:val="auto"/>
                <w:spacing w:val="0"/>
                <w:sz w:val="24"/>
                <w:szCs w:val="24"/>
                <w:highlight w:val="none"/>
                <w:lang w:val="en-US" w:bidi="zh-CN"/>
              </w:rPr>
              <w:t>6</w:t>
            </w:r>
            <w:r>
              <w:rPr>
                <w:rFonts w:hint="eastAsia" w:ascii="宋体" w:hAnsi="宋体" w:eastAsia="宋体" w:cs="宋体"/>
                <w:color w:val="auto"/>
                <w:spacing w:val="0"/>
                <w:sz w:val="24"/>
                <w:szCs w:val="24"/>
                <w:highlight w:val="none"/>
                <w:lang w:val="zh-CN" w:bidi="zh-CN"/>
              </w:rPr>
              <w:t>年</w:t>
            </w:r>
            <w:r>
              <w:rPr>
                <w:rFonts w:hint="eastAsia" w:ascii="宋体" w:hAnsi="宋体" w:eastAsia="宋体" w:cs="宋体"/>
                <w:color w:val="auto"/>
                <w:spacing w:val="0"/>
                <w:sz w:val="24"/>
                <w:szCs w:val="24"/>
                <w:highlight w:val="none"/>
                <w:lang w:val="en-US" w:bidi="zh-CN"/>
              </w:rPr>
              <w:t>10</w:t>
            </w:r>
            <w:r>
              <w:rPr>
                <w:rFonts w:hint="eastAsia" w:ascii="宋体" w:hAnsi="宋体" w:eastAsia="宋体" w:cs="宋体"/>
                <w:color w:val="auto"/>
                <w:spacing w:val="0"/>
                <w:sz w:val="24"/>
                <w:szCs w:val="24"/>
                <w:highlight w:val="none"/>
                <w:lang w:val="zh-CN" w:bidi="zh-CN"/>
              </w:rPr>
              <w:t>月</w:t>
            </w:r>
            <w:r>
              <w:rPr>
                <w:rFonts w:hint="eastAsia" w:ascii="宋体" w:hAnsi="宋体" w:eastAsia="宋体" w:cs="宋体"/>
                <w:color w:val="auto"/>
                <w:spacing w:val="0"/>
                <w:sz w:val="24"/>
                <w:szCs w:val="24"/>
                <w:highlight w:val="none"/>
                <w:shd w:val="clear"/>
                <w:lang w:val="en-US" w:bidi="zh-CN"/>
              </w:rPr>
              <w:t>15</w:t>
            </w:r>
            <w:r>
              <w:rPr>
                <w:rFonts w:hint="eastAsia" w:ascii="宋体" w:hAnsi="宋体" w:eastAsia="宋体" w:cs="宋体"/>
                <w:color w:val="auto"/>
                <w:spacing w:val="0"/>
                <w:sz w:val="24"/>
                <w:szCs w:val="24"/>
                <w:highlight w:val="none"/>
                <w:shd w:val="clear"/>
                <w:lang w:val="zh-CN" w:bidi="zh-CN"/>
              </w:rPr>
              <w:t>日0</w:t>
            </w:r>
            <w:r>
              <w:rPr>
                <w:rFonts w:hint="eastAsia" w:ascii="宋体" w:hAnsi="宋体" w:eastAsia="宋体" w:cs="宋体"/>
                <w:color w:val="auto"/>
                <w:spacing w:val="0"/>
                <w:sz w:val="24"/>
                <w:szCs w:val="24"/>
                <w:highlight w:val="none"/>
                <w:lang w:val="zh-CN" w:bidi="zh-CN"/>
              </w:rPr>
              <w:t>9时</w:t>
            </w:r>
            <w:r>
              <w:rPr>
                <w:rFonts w:hint="eastAsia" w:ascii="宋体" w:hAnsi="宋体" w:eastAsia="宋体" w:cs="宋体"/>
                <w:color w:val="auto"/>
                <w:spacing w:val="0"/>
                <w:sz w:val="24"/>
                <w:szCs w:val="24"/>
                <w:highlight w:val="none"/>
                <w:lang w:val="en-US" w:bidi="zh-CN"/>
              </w:rPr>
              <w:t>0</w:t>
            </w:r>
            <w:r>
              <w:rPr>
                <w:rFonts w:hint="eastAsia" w:ascii="宋体" w:hAnsi="宋体" w:eastAsia="宋体" w:cs="宋体"/>
                <w:color w:val="auto"/>
                <w:spacing w:val="0"/>
                <w:sz w:val="24"/>
                <w:szCs w:val="24"/>
                <w:highlight w:val="none"/>
                <w:lang w:val="zh-CN" w:bidi="zh-CN"/>
              </w:rPr>
              <w:t>0分（北京时间）前递交投标文件。</w:t>
            </w:r>
          </w:p>
        </w:tc>
      </w:tr>
    </w:tbl>
    <w:p w14:paraId="727DF94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一、项目基本情况</w:t>
      </w:r>
    </w:p>
    <w:p w14:paraId="3303FA5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1、采购编号：羊财公开招标-2026-11</w:t>
      </w:r>
    </w:p>
    <w:p w14:paraId="5C24C7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2、项目名称：</w:t>
      </w:r>
      <w:r>
        <w:rPr>
          <w:rFonts w:hint="eastAsia" w:ascii="宋体" w:hAnsi="宋体" w:eastAsia="宋体" w:cs="宋体"/>
          <w:b w:val="0"/>
          <w:bCs w:val="0"/>
          <w:spacing w:val="-11"/>
          <w:kern w:val="2"/>
          <w:sz w:val="24"/>
          <w:szCs w:val="24"/>
          <w:lang w:val="en-US" w:eastAsia="zh-CN" w:bidi="ar-SA"/>
        </w:rPr>
        <w:t>信阳市羊山新区住房建设和交通运输局羊山新区水环境数字化监测监管体系项目</w:t>
      </w:r>
    </w:p>
    <w:p w14:paraId="527BEE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3、采购方式：公开招标</w:t>
      </w:r>
    </w:p>
    <w:p w14:paraId="0D54F00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lang w:val="en-US" w:eastAsia="zh-CN" w:bidi="ar-SA"/>
        </w:rPr>
        <w:t>4、</w:t>
      </w:r>
      <w:r>
        <w:rPr>
          <w:rFonts w:hint="eastAsia" w:ascii="宋体" w:hAnsi="宋体" w:eastAsia="宋体" w:cs="宋体"/>
          <w:b w:val="0"/>
          <w:bCs w:val="0"/>
          <w:kern w:val="2"/>
          <w:sz w:val="24"/>
          <w:szCs w:val="24"/>
          <w:highlight w:val="none"/>
          <w:lang w:val="en-US" w:eastAsia="zh-CN" w:bidi="ar-SA"/>
        </w:rPr>
        <w:t>预算金额：1843572.00元</w:t>
      </w:r>
      <w:r>
        <w:rPr>
          <w:rFonts w:hint="eastAsia" w:ascii="宋体" w:hAnsi="宋体" w:cs="宋体"/>
          <w:b w:val="0"/>
          <w:bCs w:val="0"/>
          <w:kern w:val="2"/>
          <w:sz w:val="24"/>
          <w:szCs w:val="24"/>
          <w:highlight w:val="none"/>
          <w:lang w:val="en-US" w:eastAsia="zh-CN" w:bidi="ar-SA"/>
        </w:rPr>
        <w:t>/年</w:t>
      </w:r>
      <w:r>
        <w:rPr>
          <w:rFonts w:hint="eastAsia" w:ascii="宋体" w:hAnsi="宋体" w:eastAsia="宋体" w:cs="宋体"/>
          <w:b w:val="0"/>
          <w:bCs w:val="0"/>
          <w:kern w:val="2"/>
          <w:sz w:val="24"/>
          <w:szCs w:val="24"/>
          <w:highlight w:val="none"/>
          <w:lang w:val="en-US" w:eastAsia="zh-CN" w:bidi="ar-SA"/>
        </w:rPr>
        <w:t xml:space="preserve">     最高限价：1843572.00元</w:t>
      </w:r>
      <w:r>
        <w:rPr>
          <w:rFonts w:hint="eastAsia" w:ascii="宋体" w:hAnsi="宋体" w:cs="宋体"/>
          <w:b w:val="0"/>
          <w:bCs w:val="0"/>
          <w:kern w:val="2"/>
          <w:sz w:val="24"/>
          <w:szCs w:val="24"/>
          <w:highlight w:val="none"/>
          <w:lang w:val="en-US" w:eastAsia="zh-CN" w:bidi="ar-SA"/>
        </w:rPr>
        <w:t>/年</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516"/>
        <w:gridCol w:w="1964"/>
        <w:gridCol w:w="1359"/>
        <w:gridCol w:w="1435"/>
        <w:gridCol w:w="1501"/>
        <w:gridCol w:w="1529"/>
      </w:tblGrid>
      <w:tr w14:paraId="7D10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666" w:type="dxa"/>
            <w:vAlign w:val="center"/>
          </w:tcPr>
          <w:p w14:paraId="53DBF2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vertAlign w:val="baseline"/>
                <w:lang w:val="en-US" w:eastAsia="zh-CN" w:bidi="ar-SA"/>
              </w:rPr>
              <w:t>序号</w:t>
            </w:r>
          </w:p>
        </w:tc>
        <w:tc>
          <w:tcPr>
            <w:tcW w:w="1524" w:type="dxa"/>
            <w:vAlign w:val="center"/>
          </w:tcPr>
          <w:p w14:paraId="346BAE4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highlight w:val="none"/>
                <w:lang w:val="en-US" w:eastAsia="zh-CN" w:bidi="ar-SA"/>
              </w:rPr>
              <w:t>包号</w:t>
            </w:r>
          </w:p>
        </w:tc>
        <w:tc>
          <w:tcPr>
            <w:tcW w:w="2015" w:type="dxa"/>
            <w:vAlign w:val="center"/>
          </w:tcPr>
          <w:p w14:paraId="114E70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kern w:val="2"/>
                <w:sz w:val="21"/>
                <w:szCs w:val="21"/>
                <w:lang w:val="en-US" w:eastAsia="zh-CN" w:bidi="ar-SA"/>
              </w:rPr>
              <w:t>包名称</w:t>
            </w:r>
          </w:p>
        </w:tc>
        <w:tc>
          <w:tcPr>
            <w:tcW w:w="1362" w:type="dxa"/>
            <w:vAlign w:val="center"/>
          </w:tcPr>
          <w:p w14:paraId="28B9722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包预算</w:t>
            </w:r>
          </w:p>
          <w:p w14:paraId="3158B53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highlight w:val="none"/>
                <w:vertAlign w:val="baseline"/>
                <w:lang w:val="en-US" w:eastAsia="zh-CN" w:bidi="ar-SA"/>
              </w:rPr>
            </w:pPr>
            <w:r>
              <w:rPr>
                <w:rFonts w:hint="eastAsia" w:ascii="宋体" w:hAnsi="宋体" w:eastAsia="宋体" w:cs="宋体"/>
                <w:b/>
                <w:bCs/>
                <w:kern w:val="2"/>
                <w:sz w:val="21"/>
                <w:szCs w:val="21"/>
                <w:highlight w:val="none"/>
                <w:lang w:val="en-US" w:eastAsia="zh-CN" w:bidi="ar-SA"/>
              </w:rPr>
              <w:t>（元/年）</w:t>
            </w:r>
          </w:p>
        </w:tc>
        <w:tc>
          <w:tcPr>
            <w:tcW w:w="1441" w:type="dxa"/>
            <w:vAlign w:val="center"/>
          </w:tcPr>
          <w:p w14:paraId="4A9EAB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kern w:val="2"/>
                <w:sz w:val="21"/>
                <w:szCs w:val="21"/>
                <w:highlight w:val="none"/>
                <w:vertAlign w:val="baseline"/>
                <w:lang w:val="en-US" w:eastAsia="zh-CN" w:bidi="ar-SA"/>
              </w:rPr>
            </w:pPr>
            <w:r>
              <w:rPr>
                <w:rFonts w:hint="eastAsia" w:ascii="宋体" w:hAnsi="宋体" w:eastAsia="宋体" w:cs="宋体"/>
                <w:b/>
                <w:bCs/>
                <w:kern w:val="2"/>
                <w:sz w:val="21"/>
                <w:szCs w:val="21"/>
                <w:highlight w:val="none"/>
                <w:lang w:val="en-US" w:eastAsia="zh-CN" w:bidi="ar-SA"/>
              </w:rPr>
              <w:t>包最高限价（元/年）</w:t>
            </w:r>
          </w:p>
        </w:tc>
        <w:tc>
          <w:tcPr>
            <w:tcW w:w="1537" w:type="dxa"/>
            <w:vAlign w:val="center"/>
          </w:tcPr>
          <w:p w14:paraId="665B9E7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b/>
                <w:bCs/>
                <w:kern w:val="2"/>
                <w:sz w:val="21"/>
                <w:szCs w:val="21"/>
                <w:highlight w:val="none"/>
                <w:lang w:val="en-US" w:eastAsia="zh-CN" w:bidi="ar-SA"/>
              </w:rPr>
            </w:pPr>
            <w:r>
              <w:rPr>
                <w:rFonts w:hint="eastAsia" w:ascii="宋体" w:hAnsi="宋体" w:cs="宋体"/>
                <w:b/>
                <w:bCs/>
                <w:kern w:val="2"/>
                <w:sz w:val="21"/>
                <w:szCs w:val="21"/>
                <w:highlight w:val="none"/>
                <w:lang w:val="en-US" w:eastAsia="zh-CN" w:bidi="ar-SA"/>
              </w:rPr>
              <w:t>是否专门面向中小企业</w:t>
            </w:r>
          </w:p>
        </w:tc>
        <w:tc>
          <w:tcPr>
            <w:tcW w:w="1537" w:type="dxa"/>
            <w:vAlign w:val="center"/>
          </w:tcPr>
          <w:p w14:paraId="37BB1E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b/>
                <w:bCs/>
                <w:kern w:val="2"/>
                <w:sz w:val="21"/>
                <w:szCs w:val="21"/>
                <w:highlight w:val="none"/>
                <w:lang w:val="en-US" w:eastAsia="zh-CN" w:bidi="ar-SA"/>
              </w:rPr>
            </w:pPr>
            <w:r>
              <w:rPr>
                <w:rFonts w:hint="eastAsia" w:ascii="宋体" w:hAnsi="宋体" w:cs="宋体"/>
                <w:b/>
                <w:bCs/>
                <w:kern w:val="2"/>
                <w:sz w:val="21"/>
                <w:szCs w:val="21"/>
                <w:highlight w:val="none"/>
                <w:lang w:val="en-US" w:eastAsia="zh-CN" w:bidi="ar-SA"/>
              </w:rPr>
              <w:t>采购预留金额（元）</w:t>
            </w:r>
          </w:p>
        </w:tc>
      </w:tr>
      <w:tr w14:paraId="0171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6" w:type="dxa"/>
            <w:vAlign w:val="center"/>
          </w:tcPr>
          <w:p w14:paraId="73B04E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w:t>
            </w:r>
          </w:p>
        </w:tc>
        <w:tc>
          <w:tcPr>
            <w:tcW w:w="1524" w:type="dxa"/>
            <w:vAlign w:val="center"/>
          </w:tcPr>
          <w:p w14:paraId="57B5121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lang w:val="en-US" w:eastAsia="zh-CN" w:bidi="ar-SA"/>
              </w:rPr>
              <w:t>羊财公开招标-2026-11-1</w:t>
            </w:r>
          </w:p>
        </w:tc>
        <w:tc>
          <w:tcPr>
            <w:tcW w:w="2015" w:type="dxa"/>
            <w:vAlign w:val="center"/>
          </w:tcPr>
          <w:p w14:paraId="68E1BAE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lang w:val="en-US" w:eastAsia="zh-CN" w:bidi="ar-SA"/>
              </w:rPr>
              <w:t>信阳市羊山新区住房建设和交通运输局羊山新区水环境数字化监测监管体系项目</w:t>
            </w:r>
          </w:p>
        </w:tc>
        <w:tc>
          <w:tcPr>
            <w:tcW w:w="1362" w:type="dxa"/>
            <w:vAlign w:val="center"/>
          </w:tcPr>
          <w:p w14:paraId="484106C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1843572.00</w:t>
            </w:r>
          </w:p>
        </w:tc>
        <w:tc>
          <w:tcPr>
            <w:tcW w:w="1441" w:type="dxa"/>
            <w:vAlign w:val="center"/>
          </w:tcPr>
          <w:p w14:paraId="6F256E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1843572.00</w:t>
            </w:r>
          </w:p>
        </w:tc>
        <w:tc>
          <w:tcPr>
            <w:tcW w:w="1537" w:type="dxa"/>
            <w:vAlign w:val="center"/>
          </w:tcPr>
          <w:p w14:paraId="51E6487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cs="宋体"/>
                <w:b w:val="0"/>
                <w:bCs w:val="0"/>
                <w:kern w:val="2"/>
                <w:sz w:val="21"/>
                <w:szCs w:val="21"/>
                <w:vertAlign w:val="baseline"/>
                <w:lang w:val="en-US" w:eastAsia="zh-CN" w:bidi="ar-SA"/>
              </w:rPr>
              <w:t>是</w:t>
            </w:r>
          </w:p>
        </w:tc>
        <w:tc>
          <w:tcPr>
            <w:tcW w:w="1537" w:type="dxa"/>
            <w:vAlign w:val="center"/>
          </w:tcPr>
          <w:p w14:paraId="352211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bidi="ar-SA"/>
              </w:rPr>
              <w:t>1843572.00</w:t>
            </w:r>
          </w:p>
        </w:tc>
      </w:tr>
    </w:tbl>
    <w:p w14:paraId="67AA558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spacing w:val="0"/>
          <w:kern w:val="2"/>
          <w:sz w:val="24"/>
          <w:szCs w:val="24"/>
          <w:lang w:val="en-US" w:eastAsia="zh-CN" w:bidi="ar-SA"/>
        </w:rPr>
      </w:pPr>
      <w:r>
        <w:rPr>
          <w:rFonts w:hint="eastAsia" w:ascii="宋体" w:hAnsi="宋体" w:eastAsia="宋体" w:cs="宋体"/>
          <w:b w:val="0"/>
          <w:bCs w:val="0"/>
          <w:kern w:val="2"/>
          <w:sz w:val="24"/>
          <w:szCs w:val="24"/>
          <w:lang w:val="en-US" w:eastAsia="zh-CN" w:bidi="ar-SA"/>
        </w:rPr>
        <w:t>5、</w:t>
      </w:r>
      <w:r>
        <w:rPr>
          <w:rFonts w:hint="eastAsia" w:ascii="宋体" w:hAnsi="宋体" w:eastAsia="宋体" w:cs="宋体"/>
          <w:b w:val="0"/>
          <w:bCs w:val="0"/>
          <w:spacing w:val="0"/>
          <w:kern w:val="2"/>
          <w:sz w:val="24"/>
          <w:szCs w:val="24"/>
          <w:lang w:val="en-US" w:eastAsia="zh-CN" w:bidi="ar-SA"/>
        </w:rPr>
        <w:t>采购需求（包括但不限于标的的名称、数量、简要技术需求或服务要求等）</w:t>
      </w:r>
    </w:p>
    <w:p w14:paraId="091093E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5.1 采购内容：</w:t>
      </w:r>
      <w:r>
        <w:rPr>
          <w:rFonts w:hint="eastAsia" w:ascii="宋体" w:hAnsi="宋体" w:eastAsia="宋体" w:cs="宋体"/>
          <w:b w:val="0"/>
          <w:bCs w:val="0"/>
          <w:spacing w:val="0"/>
          <w:kern w:val="2"/>
          <w:sz w:val="24"/>
          <w:szCs w:val="24"/>
          <w:lang w:val="en-US" w:eastAsia="zh-CN" w:bidi="ar-SA"/>
        </w:rPr>
        <w:t>本项目主要内容包括AI水检系统租赁、智能管控终端租赁、流量监测设备租赁、智慧监测监管平台租赁及配套的运行维护服务和综合服务</w:t>
      </w:r>
      <w:r>
        <w:rPr>
          <w:rFonts w:hint="eastAsia" w:ascii="宋体" w:hAnsi="宋体" w:eastAsia="宋体" w:cs="宋体"/>
          <w:b w:val="0"/>
          <w:bCs w:val="0"/>
          <w:kern w:val="2"/>
          <w:sz w:val="24"/>
          <w:szCs w:val="24"/>
          <w:highlight w:val="none"/>
          <w:lang w:val="en-US" w:eastAsia="zh-CN" w:bidi="ar-SA"/>
        </w:rPr>
        <w:t>（具体内容详见第</w:t>
      </w:r>
      <w:r>
        <w:rPr>
          <w:rFonts w:hint="eastAsia" w:ascii="宋体" w:hAnsi="宋体" w:cs="宋体"/>
          <w:b w:val="0"/>
          <w:bCs w:val="0"/>
          <w:kern w:val="2"/>
          <w:sz w:val="24"/>
          <w:szCs w:val="24"/>
          <w:highlight w:val="none"/>
          <w:lang w:val="en-US" w:eastAsia="zh-CN" w:bidi="ar-SA"/>
        </w:rPr>
        <w:t>四</w:t>
      </w:r>
      <w:r>
        <w:rPr>
          <w:rFonts w:hint="eastAsia" w:ascii="宋体" w:hAnsi="宋体" w:eastAsia="宋体" w:cs="宋体"/>
          <w:b w:val="0"/>
          <w:bCs w:val="0"/>
          <w:kern w:val="2"/>
          <w:sz w:val="24"/>
          <w:szCs w:val="24"/>
          <w:highlight w:val="none"/>
          <w:lang w:val="en-US" w:eastAsia="zh-CN" w:bidi="ar-SA"/>
        </w:rPr>
        <w:t>章采购内容及要求）。</w:t>
      </w:r>
    </w:p>
    <w:p w14:paraId="7DD04F5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5.2 资金来源：财政资金。</w:t>
      </w:r>
    </w:p>
    <w:p w14:paraId="7E8D05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5.3 服务地点：</w:t>
      </w:r>
      <w:r>
        <w:rPr>
          <w:rFonts w:hint="eastAsia" w:ascii="宋体" w:hAnsi="宋体" w:cs="宋体"/>
          <w:b w:val="0"/>
          <w:bCs w:val="0"/>
          <w:kern w:val="2"/>
          <w:sz w:val="24"/>
          <w:szCs w:val="24"/>
          <w:lang w:val="en-US" w:eastAsia="zh-CN" w:bidi="ar-SA"/>
        </w:rPr>
        <w:t>信阳市羊山新区</w:t>
      </w:r>
      <w:r>
        <w:rPr>
          <w:rFonts w:hint="eastAsia" w:ascii="宋体" w:hAnsi="宋体" w:eastAsia="宋体" w:cs="宋体"/>
          <w:b w:val="0"/>
          <w:bCs w:val="0"/>
          <w:kern w:val="2"/>
          <w:sz w:val="24"/>
          <w:szCs w:val="24"/>
          <w:lang w:val="en-US" w:eastAsia="zh-CN" w:bidi="ar-SA"/>
        </w:rPr>
        <w:t>。</w:t>
      </w:r>
    </w:p>
    <w:p w14:paraId="55452A2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kern w:val="2"/>
          <w:sz w:val="24"/>
          <w:szCs w:val="24"/>
          <w:lang w:val="en-US" w:eastAsia="zh-CN" w:bidi="ar-SA"/>
        </w:rPr>
        <w:t>5.4 服务期限：</w:t>
      </w:r>
      <w:r>
        <w:rPr>
          <w:rFonts w:hint="eastAsia" w:ascii="宋体" w:hAnsi="宋体" w:cs="宋体"/>
          <w:b w:val="0"/>
          <w:bCs w:val="0"/>
          <w:kern w:val="2"/>
          <w:sz w:val="24"/>
          <w:szCs w:val="24"/>
          <w:highlight w:val="none"/>
          <w:lang w:val="en-US" w:eastAsia="zh-CN" w:bidi="ar-SA"/>
        </w:rPr>
        <w:t>三年（一年合同期满后，经采购人考核合格后可续签）。</w:t>
      </w:r>
    </w:p>
    <w:p w14:paraId="5DD939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5.5 服务要求：</w:t>
      </w:r>
      <w:r>
        <w:rPr>
          <w:rFonts w:hint="eastAsia" w:ascii="宋体" w:hAnsi="宋体" w:cs="宋体"/>
          <w:b w:val="0"/>
          <w:bCs w:val="0"/>
          <w:kern w:val="2"/>
          <w:sz w:val="24"/>
          <w:szCs w:val="24"/>
          <w:lang w:val="en-US" w:eastAsia="zh-CN" w:bidi="ar-SA"/>
        </w:rPr>
        <w:t>符合国家相关规范和标准要求，满足采购人要求</w:t>
      </w:r>
      <w:r>
        <w:rPr>
          <w:rFonts w:hint="eastAsia" w:ascii="宋体" w:hAnsi="宋体" w:eastAsia="宋体" w:cs="宋体"/>
          <w:b w:val="0"/>
          <w:bCs w:val="0"/>
          <w:kern w:val="2"/>
          <w:sz w:val="24"/>
          <w:szCs w:val="24"/>
          <w:lang w:val="en-US" w:eastAsia="zh-CN" w:bidi="ar-SA"/>
        </w:rPr>
        <w:t>。</w:t>
      </w:r>
    </w:p>
    <w:p w14:paraId="3E11802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Cs/>
          <w:color w:val="auto"/>
          <w:sz w:val="24"/>
          <w:szCs w:val="24"/>
          <w:highlight w:val="none"/>
          <w:lang w:val="en-US" w:eastAsia="zh-CN"/>
        </w:rPr>
        <w:t>5.6 标段划分：1个标段。</w:t>
      </w:r>
    </w:p>
    <w:p w14:paraId="486A0E5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6、合同履行期限：同服务期限。</w:t>
      </w:r>
    </w:p>
    <w:p w14:paraId="5DCA13B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7、本项目是否接受联合体投标：否</w:t>
      </w:r>
    </w:p>
    <w:p w14:paraId="1EF3BF1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8、是否接受进口产品：否</w:t>
      </w:r>
    </w:p>
    <w:p w14:paraId="40A3781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9、是否专门面向中小企业：</w:t>
      </w:r>
      <w:r>
        <w:rPr>
          <w:rFonts w:hint="eastAsia" w:ascii="宋体" w:hAnsi="宋体" w:cs="宋体"/>
          <w:b w:val="0"/>
          <w:bCs w:val="0"/>
          <w:kern w:val="2"/>
          <w:sz w:val="24"/>
          <w:szCs w:val="24"/>
          <w:highlight w:val="none"/>
          <w:lang w:val="en-US" w:eastAsia="zh-CN" w:bidi="ar-SA"/>
        </w:rPr>
        <w:t>是</w:t>
      </w:r>
    </w:p>
    <w:p w14:paraId="0DAAAC6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二、申请人资格要求：</w:t>
      </w:r>
    </w:p>
    <w:p w14:paraId="360764F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1、满足《中华人民共和国政府采购法》第二十二条规定；</w:t>
      </w:r>
    </w:p>
    <w:p w14:paraId="5841E0D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2、落实政府采购政策满足的资格要求：</w:t>
      </w:r>
      <w:r>
        <w:rPr>
          <w:rFonts w:hint="eastAsia" w:ascii="宋体" w:hAnsi="宋体" w:eastAsia="宋体" w:cs="宋体"/>
          <w:b/>
          <w:bCs/>
          <w:color w:val="auto"/>
          <w:sz w:val="24"/>
          <w:szCs w:val="24"/>
          <w:lang w:val="en-US" w:eastAsia="zh-CN"/>
        </w:rPr>
        <w:t>本项目专门面向中小企业。</w:t>
      </w:r>
      <w:r>
        <w:rPr>
          <w:rFonts w:hint="eastAsia" w:ascii="宋体" w:hAnsi="宋体" w:eastAsia="宋体" w:cs="宋体"/>
          <w:color w:val="auto"/>
          <w:sz w:val="24"/>
          <w:szCs w:val="24"/>
          <w:lang w:val="en-US" w:eastAsia="zh-CN"/>
        </w:rPr>
        <w:t>参加本项目的中小企业须提供《中小企业声明函》（格式详见磋商文件内《中小企业声明函》样本），不符合要求的声明函或未提供的将视为不符合资格要求。本项目落实自主创新产业发展、绿色发展、节能环保、保护环境、扶持不发达地区和少数民族地区、促进中小微企业、监狱企业及残疾人福利性单位发展等政府采购政策</w:t>
      </w:r>
      <w:r>
        <w:rPr>
          <w:rFonts w:hint="eastAsia" w:ascii="宋体" w:hAnsi="宋体" w:eastAsia="宋体" w:cs="宋体"/>
          <w:color w:val="auto"/>
          <w:spacing w:val="0"/>
          <w:sz w:val="24"/>
          <w:szCs w:val="24"/>
          <w:lang w:val="en-US" w:eastAsia="zh-CN"/>
        </w:rPr>
        <w:t>。</w:t>
      </w:r>
    </w:p>
    <w:p w14:paraId="6A87779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3、本项目的特定资格要求：</w:t>
      </w:r>
    </w:p>
    <w:p w14:paraId="0B8DEE3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3.1 </w:t>
      </w:r>
      <w:r>
        <w:rPr>
          <w:rFonts w:hint="eastAsia" w:ascii="宋体" w:hAnsi="宋体" w:eastAsia="宋体" w:cs="宋体"/>
          <w:color w:val="auto"/>
          <w:sz w:val="24"/>
          <w:szCs w:val="24"/>
          <w:lang w:val="en-US" w:eastAsia="zh-CN"/>
        </w:rPr>
        <w:t>具有独立承担民事责任的能力（提供有效的营业执照或其他组织证明文件）</w:t>
      </w:r>
      <w:r>
        <w:rPr>
          <w:rFonts w:hint="eastAsia" w:ascii="宋体" w:hAnsi="宋体" w:eastAsia="宋体" w:cs="宋体"/>
          <w:b w:val="0"/>
          <w:bCs w:val="0"/>
          <w:color w:val="auto"/>
          <w:kern w:val="2"/>
          <w:sz w:val="24"/>
          <w:szCs w:val="24"/>
          <w:highlight w:val="none"/>
          <w:lang w:val="en-US" w:eastAsia="zh-CN" w:bidi="ar-SA"/>
        </w:rPr>
        <w:t>。</w:t>
      </w:r>
    </w:p>
    <w:p w14:paraId="5C7FC73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3.2 具有良好的商业信誉和健全的财务会计制度（提供2025年度经审计的财务审计报告，若企业成立年份不足，则需提供开户行出具的资信证明）。</w:t>
      </w:r>
    </w:p>
    <w:p w14:paraId="4377955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3.3 有依法缴纳税收和社会保障资金的良好记录（提供近十二个月中任意三个月依法缴纳税收和社会保障金的证明材料，依法不需要缴纳税收和社会保障资金的投标人，应提供相应文件证明）。</w:t>
      </w:r>
    </w:p>
    <w:p w14:paraId="049F828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lang w:val="en-US" w:eastAsia="zh-CN" w:bidi="ar-SA"/>
        </w:rPr>
        <w:t>3.4具备履行政府采购合同所必需的设备和专业技术能力的证明材料</w:t>
      </w:r>
      <w:r>
        <w:rPr>
          <w:rFonts w:hint="eastAsia" w:ascii="宋体" w:hAnsi="宋体" w:eastAsia="宋体" w:cs="宋体"/>
          <w:b w:val="0"/>
          <w:bCs w:val="0"/>
          <w:kern w:val="2"/>
          <w:sz w:val="24"/>
          <w:szCs w:val="24"/>
          <w:highlight w:val="none"/>
          <w:lang w:val="en-US" w:eastAsia="zh-CN" w:bidi="ar-SA"/>
        </w:rPr>
        <w:t>（</w:t>
      </w:r>
      <w:r>
        <w:rPr>
          <w:rFonts w:hint="eastAsia" w:ascii="宋体" w:hAnsi="宋体" w:eastAsia="宋体" w:cs="宋体"/>
          <w:b w:val="0"/>
          <w:bCs w:val="0"/>
          <w:kern w:val="2"/>
          <w:sz w:val="24"/>
          <w:szCs w:val="24"/>
          <w:lang w:val="en-US" w:eastAsia="zh-CN" w:bidi="ar-SA"/>
        </w:rPr>
        <w:t>提供书面承诺书</w:t>
      </w:r>
      <w:r>
        <w:rPr>
          <w:rFonts w:hint="eastAsia" w:ascii="宋体" w:hAnsi="宋体" w:eastAsia="宋体" w:cs="宋体"/>
          <w:b w:val="0"/>
          <w:bCs w:val="0"/>
          <w:kern w:val="2"/>
          <w:sz w:val="24"/>
          <w:szCs w:val="24"/>
          <w:highlight w:val="none"/>
          <w:lang w:val="en-US" w:eastAsia="zh-CN" w:bidi="ar-SA"/>
        </w:rPr>
        <w:t>）。</w:t>
      </w:r>
    </w:p>
    <w:p w14:paraId="17F026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3.5</w:t>
      </w:r>
      <w:r>
        <w:rPr>
          <w:rFonts w:hint="eastAsia" w:ascii="宋体" w:hAnsi="宋体" w:eastAsia="宋体" w:cs="宋体"/>
          <w:b w:val="0"/>
          <w:bCs w:val="0"/>
          <w:spacing w:val="-11"/>
          <w:kern w:val="2"/>
          <w:sz w:val="24"/>
          <w:szCs w:val="24"/>
          <w:lang w:val="en-US" w:eastAsia="zh-CN" w:bidi="ar-SA"/>
        </w:rPr>
        <w:t>参加政府采购活动前三年内在经营活动中没有重大违法记录的证明材料（提供书面承诺书）。</w:t>
      </w:r>
    </w:p>
    <w:p w14:paraId="0B1C491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3.6根据《关于在政府采购活动中查询及使用信用记录有关问题的通知》财库[2016]125号文件和豫财购【2016】15号文件的规定，投标人应提供“信用中国”网站（www.creditchina.gov.cn）查询“失信被执行人”（跳转至中国执行信息公开网）、“重大税收违法失信主体”和“政府采购严重违法失信行为记录名单”；中国政府采购网（www.ccgp.gov.cn）查询“政府采购严重违法失信行为记录名单”渠道查询自身信用记录（提供查询网页截图，查询截止时点为：从公告发布之日起至投标截止之日止）。</w:t>
      </w:r>
    </w:p>
    <w:p w14:paraId="2B8D21C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3.7 </w:t>
      </w:r>
      <w:r>
        <w:rPr>
          <w:rFonts w:hint="eastAsia" w:ascii="宋体" w:hAnsi="宋体" w:eastAsia="宋体" w:cs="宋体"/>
          <w:b w:val="0"/>
          <w:bCs w:val="0"/>
          <w:spacing w:val="-11"/>
          <w:kern w:val="2"/>
          <w:sz w:val="24"/>
          <w:szCs w:val="24"/>
          <w:lang w:val="en-US" w:eastAsia="zh-CN" w:bidi="ar-SA"/>
        </w:rPr>
        <w:t>单位负责人为同一人或者存在控股、管理关系的不同单位，不得同时参加同一合同项下的政府采购活动（提供加盖投标人公章的“国家企业信用信息公示系统”中公示的公司基础信息、股东及出资信息的截图，投标人若为事业单位无法在该公示系统查询的，则针对此项做出书面承诺，格式自拟并加盖公章，查询截止时点为：从公告发布之日起至投标截止之日止）。</w:t>
      </w:r>
    </w:p>
    <w:p w14:paraId="3CD847F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三、获取招标文件</w:t>
      </w:r>
    </w:p>
    <w:p w14:paraId="220DA6D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1、时间：2026年</w:t>
      </w:r>
      <w:r>
        <w:rPr>
          <w:rFonts w:hint="eastAsia" w:ascii="宋体" w:hAnsi="宋体" w:cs="宋体"/>
          <w:b w:val="0"/>
          <w:bCs w:val="0"/>
          <w:kern w:val="2"/>
          <w:sz w:val="24"/>
          <w:szCs w:val="24"/>
          <w:highlight w:val="none"/>
          <w:lang w:val="en-US" w:eastAsia="zh-CN" w:bidi="ar-SA"/>
        </w:rPr>
        <w:t>09</w:t>
      </w:r>
      <w:r>
        <w:rPr>
          <w:rFonts w:hint="eastAsia" w:ascii="宋体" w:hAnsi="宋体" w:eastAsia="宋体" w:cs="宋体"/>
          <w:b w:val="0"/>
          <w:bCs w:val="0"/>
          <w:kern w:val="2"/>
          <w:sz w:val="24"/>
          <w:szCs w:val="24"/>
          <w:highlight w:val="none"/>
          <w:lang w:val="en-US" w:eastAsia="zh-CN" w:bidi="ar-SA"/>
        </w:rPr>
        <w:t>月</w:t>
      </w:r>
      <w:r>
        <w:rPr>
          <w:rFonts w:hint="eastAsia" w:ascii="宋体" w:hAnsi="宋体" w:cs="宋体"/>
          <w:b w:val="0"/>
          <w:bCs w:val="0"/>
          <w:kern w:val="2"/>
          <w:sz w:val="24"/>
          <w:szCs w:val="24"/>
          <w:highlight w:val="none"/>
          <w:lang w:val="en-US" w:eastAsia="zh-CN" w:bidi="ar-SA"/>
        </w:rPr>
        <w:t>22</w:t>
      </w:r>
      <w:r>
        <w:rPr>
          <w:rFonts w:hint="eastAsia" w:ascii="宋体" w:hAnsi="宋体" w:eastAsia="宋体" w:cs="宋体"/>
          <w:b w:val="0"/>
          <w:bCs w:val="0"/>
          <w:kern w:val="2"/>
          <w:sz w:val="24"/>
          <w:szCs w:val="24"/>
          <w:highlight w:val="none"/>
          <w:lang w:val="en-US" w:eastAsia="zh-CN" w:bidi="ar-SA"/>
        </w:rPr>
        <w:t>日至2026年</w:t>
      </w:r>
      <w:r>
        <w:rPr>
          <w:rFonts w:hint="eastAsia" w:ascii="宋体" w:hAnsi="宋体" w:cs="宋体"/>
          <w:b w:val="0"/>
          <w:bCs w:val="0"/>
          <w:kern w:val="2"/>
          <w:sz w:val="24"/>
          <w:szCs w:val="24"/>
          <w:highlight w:val="none"/>
          <w:lang w:val="en-US" w:eastAsia="zh-CN" w:bidi="ar-SA"/>
        </w:rPr>
        <w:t>09</w:t>
      </w:r>
      <w:r>
        <w:rPr>
          <w:rFonts w:hint="eastAsia" w:ascii="宋体" w:hAnsi="宋体" w:eastAsia="宋体" w:cs="宋体"/>
          <w:b w:val="0"/>
          <w:bCs w:val="0"/>
          <w:kern w:val="2"/>
          <w:sz w:val="24"/>
          <w:szCs w:val="24"/>
          <w:highlight w:val="none"/>
          <w:lang w:val="en-US" w:eastAsia="zh-CN" w:bidi="ar-SA"/>
        </w:rPr>
        <w:t>月</w:t>
      </w:r>
      <w:r>
        <w:rPr>
          <w:rFonts w:hint="eastAsia" w:ascii="宋体" w:hAnsi="宋体" w:cs="宋体"/>
          <w:b w:val="0"/>
          <w:bCs w:val="0"/>
          <w:kern w:val="2"/>
          <w:sz w:val="24"/>
          <w:szCs w:val="24"/>
          <w:highlight w:val="none"/>
          <w:lang w:val="en-US" w:eastAsia="zh-CN" w:bidi="ar-SA"/>
        </w:rPr>
        <w:t>29</w:t>
      </w:r>
      <w:r>
        <w:rPr>
          <w:rFonts w:hint="eastAsia" w:ascii="宋体" w:hAnsi="宋体" w:eastAsia="宋体" w:cs="宋体"/>
          <w:b w:val="0"/>
          <w:bCs w:val="0"/>
          <w:kern w:val="2"/>
          <w:sz w:val="24"/>
          <w:szCs w:val="24"/>
          <w:highlight w:val="none"/>
          <w:lang w:val="en-US" w:eastAsia="zh-CN" w:bidi="ar-SA"/>
        </w:rPr>
        <w:t>日，每天上午00:00至11:59，下午12:00至23:59（北京时间，法定节假日除外）。</w:t>
      </w:r>
    </w:p>
    <w:p w14:paraId="72A40A8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2、地点：</w:t>
      </w:r>
      <w:r>
        <w:rPr>
          <w:rFonts w:hint="eastAsia" w:ascii="宋体" w:hAnsi="宋体" w:eastAsia="宋体" w:cs="宋体"/>
          <w:b w:val="0"/>
          <w:bCs w:val="0"/>
          <w:spacing w:val="-11"/>
          <w:kern w:val="2"/>
          <w:sz w:val="24"/>
          <w:szCs w:val="24"/>
          <w:highlight w:val="none"/>
          <w:lang w:val="en-US" w:eastAsia="zh-CN" w:bidi="ar-SA"/>
        </w:rPr>
        <w:t>登录“全国公共资源交易平台（河南省·信阳市）（</w:t>
      </w:r>
      <w:r>
        <w:rPr>
          <w:rFonts w:hint="eastAsia" w:ascii="宋体" w:hAnsi="宋体" w:eastAsia="宋体" w:cs="宋体"/>
          <w:b w:val="0"/>
          <w:bCs w:val="0"/>
          <w:spacing w:val="-11"/>
          <w:kern w:val="2"/>
          <w:sz w:val="24"/>
          <w:szCs w:val="24"/>
          <w:highlight w:val="none"/>
          <w:lang w:val="zh-CN" w:eastAsia="zh-CN" w:bidi="ar-SA"/>
        </w:rPr>
        <w:t>https://ggzyjy.xinyang.gov.cn</w:t>
      </w:r>
      <w:r>
        <w:rPr>
          <w:rFonts w:hint="eastAsia" w:ascii="宋体" w:hAnsi="宋体" w:eastAsia="宋体" w:cs="宋体"/>
          <w:b w:val="0"/>
          <w:bCs w:val="0"/>
          <w:spacing w:val="-11"/>
          <w:kern w:val="2"/>
          <w:sz w:val="24"/>
          <w:szCs w:val="24"/>
          <w:highlight w:val="none"/>
          <w:lang w:val="en-US" w:eastAsia="zh-CN" w:bidi="ar-SA"/>
        </w:rPr>
        <w:t>）”</w:t>
      </w:r>
      <w:r>
        <w:rPr>
          <w:rFonts w:hint="eastAsia" w:ascii="宋体" w:hAnsi="宋体" w:eastAsia="宋体" w:cs="宋体"/>
          <w:b w:val="0"/>
          <w:bCs w:val="0"/>
          <w:kern w:val="2"/>
          <w:sz w:val="24"/>
          <w:szCs w:val="24"/>
          <w:highlight w:val="none"/>
          <w:lang w:val="en-US" w:eastAsia="zh-CN" w:bidi="ar-SA"/>
        </w:rPr>
        <w:t>网站，凭办理的企业身份认证锁（CA 数字证书）登录会员系统获取招标文件。</w:t>
      </w:r>
    </w:p>
    <w:p w14:paraId="6804798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方式：潜在投标人凭CA数字证书登录会员系统后，即可按网上提示下载招标文件(*.XYZF格式)及资料，操作程序详见信阳市公共资源交易中心网站下载中心栏目里投标人操作手册。招标文件(*.XYZF格式)下载后需使用“信阳市投标文件制作工具软件”打开（该工具软件可在“全国公共资源交易平台（河南省·信阳市）（</w:t>
      </w:r>
      <w:r>
        <w:rPr>
          <w:rFonts w:hint="eastAsia" w:ascii="宋体" w:hAnsi="宋体" w:eastAsia="宋体" w:cs="宋体"/>
          <w:b w:val="0"/>
          <w:bCs w:val="0"/>
          <w:kern w:val="2"/>
          <w:sz w:val="24"/>
          <w:szCs w:val="24"/>
          <w:highlight w:val="none"/>
          <w:lang w:val="zh-CN" w:eastAsia="zh-CN" w:bidi="ar-SA"/>
        </w:rPr>
        <w:t>https://ggzyjy.xinyang.gov.cn</w:t>
      </w:r>
      <w:r>
        <w:rPr>
          <w:rFonts w:hint="eastAsia" w:ascii="宋体" w:hAnsi="宋体" w:eastAsia="宋体" w:cs="宋体"/>
          <w:b w:val="0"/>
          <w:bCs w:val="0"/>
          <w:kern w:val="2"/>
          <w:sz w:val="24"/>
          <w:szCs w:val="24"/>
          <w:highlight w:val="none"/>
          <w:lang w:val="en-US" w:eastAsia="zh-CN" w:bidi="ar-SA"/>
        </w:rPr>
        <w:t>）”网站下载中心栏目内下载或在招标文件领取页面下载）。</w:t>
      </w:r>
    </w:p>
    <w:p w14:paraId="6A8737C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4、售价：0元</w:t>
      </w:r>
    </w:p>
    <w:p w14:paraId="7A6F3BC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四、投标截止时间及地点</w:t>
      </w:r>
    </w:p>
    <w:p w14:paraId="7FD590E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1、时间：2026年</w:t>
      </w:r>
      <w:r>
        <w:rPr>
          <w:rFonts w:hint="eastAsia" w:ascii="宋体" w:hAnsi="宋体" w:cs="宋体"/>
          <w:b w:val="0"/>
          <w:bCs w:val="0"/>
          <w:kern w:val="2"/>
          <w:sz w:val="24"/>
          <w:szCs w:val="24"/>
          <w:highlight w:val="none"/>
          <w:lang w:val="en-US" w:eastAsia="zh-CN" w:bidi="ar-SA"/>
        </w:rPr>
        <w:t>10</w:t>
      </w:r>
      <w:r>
        <w:rPr>
          <w:rFonts w:hint="eastAsia" w:ascii="宋体" w:hAnsi="宋体" w:eastAsia="宋体" w:cs="宋体"/>
          <w:b w:val="0"/>
          <w:bCs w:val="0"/>
          <w:kern w:val="2"/>
          <w:sz w:val="24"/>
          <w:szCs w:val="24"/>
          <w:highlight w:val="none"/>
          <w:lang w:val="en-US" w:eastAsia="zh-CN" w:bidi="ar-SA"/>
        </w:rPr>
        <w:t>月</w:t>
      </w:r>
      <w:r>
        <w:rPr>
          <w:rFonts w:hint="eastAsia" w:ascii="宋体" w:hAnsi="宋体" w:cs="宋体"/>
          <w:b w:val="0"/>
          <w:bCs w:val="0"/>
          <w:kern w:val="2"/>
          <w:sz w:val="24"/>
          <w:szCs w:val="24"/>
          <w:highlight w:val="none"/>
          <w:lang w:val="en-US" w:eastAsia="zh-CN" w:bidi="ar-SA"/>
        </w:rPr>
        <w:t>15</w:t>
      </w:r>
      <w:r>
        <w:rPr>
          <w:rFonts w:hint="eastAsia" w:ascii="宋体" w:hAnsi="宋体" w:eastAsia="宋体" w:cs="宋体"/>
          <w:b w:val="0"/>
          <w:bCs w:val="0"/>
          <w:kern w:val="2"/>
          <w:sz w:val="24"/>
          <w:szCs w:val="24"/>
          <w:highlight w:val="none"/>
          <w:lang w:val="en-US" w:eastAsia="zh-CN" w:bidi="ar-SA"/>
        </w:rPr>
        <w:t>日09时00分（北京时间）</w:t>
      </w:r>
    </w:p>
    <w:p w14:paraId="2559726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2、地点：</w:t>
      </w:r>
      <w:r>
        <w:rPr>
          <w:rFonts w:hint="eastAsia" w:ascii="宋体" w:hAnsi="宋体" w:eastAsia="宋体" w:cs="宋体"/>
          <w:bCs/>
          <w:color w:val="auto"/>
          <w:spacing w:val="-6"/>
          <w:kern w:val="2"/>
          <w:sz w:val="24"/>
          <w:szCs w:val="24"/>
          <w:highlight w:val="none"/>
        </w:rPr>
        <w:t>本项目为不见面开标项目，</w:t>
      </w:r>
      <w:r>
        <w:rPr>
          <w:rFonts w:hint="eastAsia" w:ascii="宋体" w:hAnsi="宋体" w:eastAsia="宋体" w:cs="宋体"/>
          <w:bCs/>
          <w:color w:val="auto"/>
          <w:spacing w:val="-6"/>
          <w:kern w:val="2"/>
          <w:sz w:val="24"/>
          <w:szCs w:val="24"/>
          <w:highlight w:val="none"/>
          <w:lang w:val="en-US" w:eastAsia="zh-CN"/>
        </w:rPr>
        <w:t>潜在投标</w:t>
      </w:r>
      <w:r>
        <w:rPr>
          <w:rFonts w:hint="eastAsia" w:ascii="宋体" w:hAnsi="宋体" w:eastAsia="宋体" w:cs="宋体"/>
          <w:color w:val="auto"/>
          <w:kern w:val="0"/>
          <w:sz w:val="24"/>
          <w:szCs w:val="24"/>
          <w:highlight w:val="none"/>
          <w:lang w:val="en-US" w:eastAsia="zh-CN"/>
        </w:rPr>
        <w:t>人</w:t>
      </w:r>
      <w:r>
        <w:rPr>
          <w:rFonts w:hint="eastAsia" w:ascii="宋体" w:hAnsi="宋体" w:eastAsia="宋体" w:cs="宋体"/>
          <w:color w:val="auto"/>
          <w:kern w:val="0"/>
          <w:sz w:val="24"/>
          <w:szCs w:val="24"/>
          <w:highlight w:val="none"/>
        </w:rPr>
        <w:t>必须在投标截止时间前通过</w:t>
      </w:r>
      <w:r>
        <w:rPr>
          <w:rFonts w:hint="eastAsia" w:ascii="宋体" w:hAnsi="宋体" w:eastAsia="宋体" w:cs="宋体"/>
          <w:color w:val="auto"/>
          <w:sz w:val="24"/>
          <w:szCs w:val="24"/>
          <w:highlight w:val="none"/>
        </w:rPr>
        <w:t>《全国公共资源交易平台（河南省·</w:t>
      </w:r>
      <w:r>
        <w:rPr>
          <w:rFonts w:hint="eastAsia" w:ascii="宋体" w:hAnsi="宋体" w:eastAsia="宋体" w:cs="宋体"/>
          <w:color w:val="auto"/>
          <w:sz w:val="24"/>
          <w:szCs w:val="24"/>
          <w:highlight w:val="none"/>
          <w:lang w:val="en-US" w:eastAsia="zh-CN"/>
        </w:rPr>
        <w:t>信阳市</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电子招投标系统上传加密的电子响应文件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*.XYTF格式</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bCs/>
          <w:color w:val="auto"/>
          <w:kern w:val="2"/>
          <w:sz w:val="24"/>
          <w:szCs w:val="24"/>
          <w:highlight w:val="none"/>
          <w:lang w:val="en-US" w:eastAsia="zh-CN"/>
        </w:rPr>
        <w:t>注：加密电子投标文件逾期上传采购人不予受理。</w:t>
      </w:r>
    </w:p>
    <w:p w14:paraId="7E05C78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五、开标时间及地点</w:t>
      </w:r>
    </w:p>
    <w:p w14:paraId="765F099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1、时间：2026年</w:t>
      </w:r>
      <w:r>
        <w:rPr>
          <w:rFonts w:hint="eastAsia" w:ascii="宋体" w:hAnsi="宋体" w:cs="宋体"/>
          <w:b w:val="0"/>
          <w:bCs w:val="0"/>
          <w:kern w:val="2"/>
          <w:sz w:val="24"/>
          <w:szCs w:val="24"/>
          <w:highlight w:val="none"/>
          <w:lang w:val="en-US" w:eastAsia="zh-CN" w:bidi="ar-SA"/>
        </w:rPr>
        <w:t>10</w:t>
      </w:r>
      <w:r>
        <w:rPr>
          <w:rFonts w:hint="eastAsia" w:ascii="宋体" w:hAnsi="宋体" w:eastAsia="宋体" w:cs="宋体"/>
          <w:b w:val="0"/>
          <w:bCs w:val="0"/>
          <w:kern w:val="2"/>
          <w:sz w:val="24"/>
          <w:szCs w:val="24"/>
          <w:highlight w:val="none"/>
          <w:lang w:val="en-US" w:eastAsia="zh-CN" w:bidi="ar-SA"/>
        </w:rPr>
        <w:t>月</w:t>
      </w:r>
      <w:r>
        <w:rPr>
          <w:rFonts w:hint="eastAsia" w:ascii="宋体" w:hAnsi="宋体" w:cs="宋体"/>
          <w:b w:val="0"/>
          <w:bCs w:val="0"/>
          <w:kern w:val="2"/>
          <w:sz w:val="24"/>
          <w:szCs w:val="24"/>
          <w:highlight w:val="none"/>
          <w:lang w:val="en-US" w:eastAsia="zh-CN" w:bidi="ar-SA"/>
        </w:rPr>
        <w:t>15</w:t>
      </w:r>
      <w:r>
        <w:rPr>
          <w:rFonts w:hint="eastAsia" w:ascii="宋体" w:hAnsi="宋体" w:eastAsia="宋体" w:cs="宋体"/>
          <w:b w:val="0"/>
          <w:bCs w:val="0"/>
          <w:kern w:val="2"/>
          <w:sz w:val="24"/>
          <w:szCs w:val="24"/>
          <w:highlight w:val="none"/>
          <w:lang w:val="en-US" w:eastAsia="zh-CN" w:bidi="ar-SA"/>
        </w:rPr>
        <w:t>日09 时00分（北京时间）</w:t>
      </w:r>
    </w:p>
    <w:p w14:paraId="4FA285F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2、地点：</w:t>
      </w:r>
      <w:r>
        <w:rPr>
          <w:rFonts w:hint="eastAsia" w:ascii="宋体" w:hAnsi="宋体" w:eastAsia="宋体" w:cs="宋体"/>
          <w:kern w:val="0"/>
          <w:sz w:val="24"/>
          <w:szCs w:val="24"/>
          <w:highlight w:val="none"/>
        </w:rPr>
        <w:t>信阳市公共资源交易中心AI机器人开标</w:t>
      </w:r>
      <w:r>
        <w:rPr>
          <w:rFonts w:hint="eastAsia" w:ascii="宋体" w:hAnsi="宋体" w:eastAsia="宋体" w:cs="宋体"/>
          <w:color w:val="auto"/>
          <w:kern w:val="0"/>
          <w:sz w:val="24"/>
          <w:szCs w:val="24"/>
          <w:highlight w:val="none"/>
        </w:rPr>
        <w:t>虚拟</w:t>
      </w:r>
      <w:r>
        <w:rPr>
          <w:rFonts w:hint="eastAsia" w:ascii="宋体" w:hAnsi="宋体" w:cs="宋体"/>
          <w:color w:val="auto"/>
          <w:kern w:val="0"/>
          <w:sz w:val="24"/>
          <w:szCs w:val="24"/>
          <w:highlight w:val="none"/>
          <w:lang w:val="en-US" w:eastAsia="zh-CN"/>
        </w:rPr>
        <w:t>六</w:t>
      </w:r>
      <w:r>
        <w:rPr>
          <w:rFonts w:hint="eastAsia" w:ascii="宋体" w:hAnsi="宋体" w:eastAsia="宋体" w:cs="宋体"/>
          <w:color w:val="auto"/>
          <w:kern w:val="0"/>
          <w:sz w:val="24"/>
          <w:szCs w:val="24"/>
          <w:highlight w:val="none"/>
        </w:rPr>
        <w:t>厅</w:t>
      </w:r>
    </w:p>
    <w:p w14:paraId="0A283C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2" w:firstLineChars="200"/>
        <w:jc w:val="left"/>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六、发布公告的媒介及招标公告期限</w:t>
      </w:r>
    </w:p>
    <w:p w14:paraId="1A726FB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本次招标公告在《河南省政府采购网》、《全国公共资源交易平台（河南省·信阳市）》上发布，招标公告期限为五个工作日。</w:t>
      </w:r>
    </w:p>
    <w:p w14:paraId="5D9A021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七、其他补充事宜</w:t>
      </w:r>
    </w:p>
    <w:p w14:paraId="791E638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1、本项目采用“不见面开标”交易方式，不见面开标大厅网址为 https://ggzyjy.xinyang.gov.cn/BidOpening/bidhall/xinyang/login.html，投标人无需寄送和递交非加密的电子投标文件，无需到现场参加开标会议，无需到达现场提交原件资料。不见面开标服务的具体事宜，请查阅信阳市公共资源交易中心网站首页—下载中心—信阳市不见面开标大厅系统操作手册。</w:t>
      </w:r>
    </w:p>
    <w:p w14:paraId="7D4DEF3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spacing w:val="0"/>
          <w:kern w:val="2"/>
          <w:sz w:val="24"/>
          <w:szCs w:val="24"/>
          <w:lang w:val="en-US" w:eastAsia="zh-CN" w:bidi="ar-SA"/>
        </w:rPr>
      </w:pPr>
      <w:r>
        <w:rPr>
          <w:rFonts w:hint="eastAsia" w:ascii="宋体" w:hAnsi="宋体" w:eastAsia="宋体" w:cs="宋体"/>
          <w:b w:val="0"/>
          <w:bCs w:val="0"/>
          <w:kern w:val="2"/>
          <w:sz w:val="24"/>
          <w:szCs w:val="24"/>
          <w:lang w:val="en-US" w:eastAsia="zh-CN" w:bidi="ar-SA"/>
        </w:rPr>
        <w:t>2、</w:t>
      </w:r>
      <w:r>
        <w:rPr>
          <w:rFonts w:hint="eastAsia" w:ascii="宋体" w:hAnsi="宋体" w:eastAsia="宋体" w:cs="宋体"/>
          <w:b w:val="0"/>
          <w:bCs w:val="0"/>
          <w:spacing w:val="0"/>
          <w:kern w:val="2"/>
          <w:sz w:val="24"/>
          <w:szCs w:val="24"/>
          <w:lang w:val="en-US" w:eastAsia="zh-CN" w:bidi="ar-SA"/>
        </w:rPr>
        <w:t>潜在投标人应当在投标文件截止时间前，使用投标人 CA 数字证书登录不见面开标大厅，在线签到并准时参加开标活动，并在规定时间内完成投标文件解密、答疑澄清等。</w:t>
      </w:r>
    </w:p>
    <w:p w14:paraId="07C3F66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val="0"/>
          <w:bCs w:val="0"/>
          <w:kern w:val="2"/>
          <w:sz w:val="24"/>
          <w:szCs w:val="24"/>
          <w:lang w:val="en-US" w:eastAsia="zh-CN" w:bidi="ar-SA"/>
        </w:rPr>
        <w:t>3、</w:t>
      </w:r>
      <w:r>
        <w:rPr>
          <w:rFonts w:hint="eastAsia" w:ascii="宋体" w:hAnsi="宋体" w:eastAsia="宋体" w:cs="宋体"/>
          <w:b w:val="0"/>
          <w:bCs w:val="0"/>
          <w:spacing w:val="-6"/>
          <w:kern w:val="2"/>
          <w:sz w:val="24"/>
          <w:szCs w:val="24"/>
          <w:lang w:val="en-US" w:eastAsia="zh-CN" w:bidi="ar-SA"/>
        </w:rPr>
        <w:t>逾期解密或者没有准时在线参加开标活动导致的一切后果投标人自行承担。</w:t>
      </w:r>
    </w:p>
    <w:p w14:paraId="44EBDE24">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color w:val="000000"/>
          <w:sz w:val="24"/>
          <w:szCs w:val="24"/>
        </w:rPr>
      </w:pPr>
      <w:bookmarkStart w:id="5" w:name="_Toc25308"/>
      <w:bookmarkStart w:id="6" w:name="_Toc23741"/>
      <w:bookmarkStart w:id="7" w:name="_Toc18211"/>
      <w:bookmarkStart w:id="8" w:name="_Toc492202318"/>
      <w:bookmarkStart w:id="9" w:name="_Toc492203228"/>
      <w:bookmarkStart w:id="10" w:name="_Toc24279"/>
      <w:bookmarkStart w:id="11" w:name="_Toc492203057"/>
      <w:bookmarkStart w:id="12" w:name="_Toc13316"/>
      <w:bookmarkStart w:id="13" w:name="_Toc16529"/>
      <w:bookmarkStart w:id="14" w:name="_Toc3018"/>
      <w:bookmarkStart w:id="15" w:name="_Toc31416"/>
      <w:bookmarkStart w:id="16" w:name="_Toc27887"/>
      <w:r>
        <w:rPr>
          <w:rFonts w:hint="eastAsia" w:ascii="宋体" w:hAnsi="宋体" w:eastAsia="宋体" w:cs="宋体"/>
          <w:sz w:val="24"/>
          <w:szCs w:val="24"/>
          <w:lang w:val="en-US" w:eastAsia="zh-CN"/>
        </w:rPr>
        <w:t>4、</w:t>
      </w:r>
      <w:r>
        <w:rPr>
          <w:rFonts w:hint="eastAsia" w:ascii="宋体" w:hAnsi="宋体" w:eastAsia="宋体" w:cs="宋体"/>
          <w:spacing w:val="-11"/>
          <w:sz w:val="24"/>
          <w:szCs w:val="24"/>
          <w:lang w:val="en-US" w:eastAsia="zh-CN"/>
        </w:rPr>
        <w:t>请潜在投标人下载招标文件后及时关注系统业务菜单（“答疑澄清文件领取”，“控制价文件领取”）内该项目是否有新的答疑澄清文件或控制价文件。如有请直接下载，不再另行通知。</w:t>
      </w:r>
    </w:p>
    <w:p w14:paraId="54BC0D43">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5、监督部门：信阳市羊山新区财政金融局  监督电话：0376-6651556</w:t>
      </w:r>
    </w:p>
    <w:p w14:paraId="1F99DC41">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textAlignment w:val="auto"/>
        <w:rPr>
          <w:rFonts w:hint="eastAsia" w:ascii="宋体" w:hAnsi="宋体" w:eastAsia="宋体" w:cs="宋体"/>
          <w:b/>
          <w:color w:val="000000"/>
          <w:sz w:val="24"/>
          <w:szCs w:val="24"/>
        </w:rPr>
      </w:pPr>
      <w:r>
        <w:rPr>
          <w:rFonts w:hint="eastAsia" w:ascii="宋体" w:hAnsi="宋体" w:eastAsia="宋体" w:cs="宋体"/>
          <w:b w:val="0"/>
          <w:bCs/>
          <w:color w:val="000000"/>
          <w:sz w:val="24"/>
          <w:szCs w:val="24"/>
          <w:lang w:val="en-US" w:eastAsia="zh-CN"/>
        </w:rPr>
        <w:t>6、本项目代理服务费按“豫招协〔2023〕002号”规定的收费标准收取，收费金额不高于</w:t>
      </w:r>
      <w:r>
        <w:rPr>
          <w:rFonts w:hint="eastAsia" w:ascii="宋体" w:hAnsi="宋体" w:eastAsia="宋体" w:cs="宋体"/>
          <w:b w:val="0"/>
          <w:bCs/>
          <w:color w:val="000000"/>
          <w:sz w:val="24"/>
          <w:szCs w:val="24"/>
          <w:highlight w:val="none"/>
          <w:lang w:val="en-US" w:eastAsia="zh-CN"/>
        </w:rPr>
        <w:t>27122元</w:t>
      </w:r>
      <w:r>
        <w:rPr>
          <w:rFonts w:hint="eastAsia" w:ascii="宋体" w:hAnsi="宋体" w:cs="宋体"/>
          <w:b w:val="0"/>
          <w:bCs/>
          <w:color w:val="000000"/>
          <w:sz w:val="24"/>
          <w:szCs w:val="24"/>
          <w:highlight w:val="none"/>
          <w:lang w:val="en-US" w:eastAsia="zh-CN"/>
        </w:rPr>
        <w:t>，中标人领取中标通知书时向采购代理机构一次性付清</w:t>
      </w:r>
      <w:r>
        <w:rPr>
          <w:rFonts w:hint="eastAsia" w:ascii="宋体" w:hAnsi="宋体" w:eastAsia="宋体" w:cs="宋体"/>
          <w:b w:val="0"/>
          <w:bCs/>
          <w:color w:val="000000"/>
          <w:sz w:val="24"/>
          <w:szCs w:val="24"/>
          <w:lang w:val="en-US" w:eastAsia="zh-CN"/>
        </w:rPr>
        <w:t>。</w:t>
      </w:r>
      <w:bookmarkEnd w:id="5"/>
      <w:bookmarkEnd w:id="6"/>
      <w:bookmarkEnd w:id="7"/>
      <w:bookmarkEnd w:id="8"/>
      <w:bookmarkEnd w:id="9"/>
      <w:bookmarkEnd w:id="10"/>
      <w:bookmarkEnd w:id="11"/>
      <w:bookmarkEnd w:id="12"/>
      <w:bookmarkEnd w:id="13"/>
      <w:bookmarkEnd w:id="14"/>
      <w:bookmarkEnd w:id="15"/>
    </w:p>
    <w:p w14:paraId="634417F4">
      <w:pPr>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特别提示：投标人在线签到时，应如实准确地填写授权委托人的联系电话，开标当天请务必保证电话保持畅通。</w:t>
      </w:r>
    </w:p>
    <w:p w14:paraId="310CF8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八、凡对本次招标提出询问，请按照以下方式联系：</w:t>
      </w:r>
    </w:p>
    <w:p w14:paraId="5D367D32">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344E894C">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人：</w:t>
      </w:r>
      <w:r>
        <w:rPr>
          <w:rFonts w:hint="eastAsia" w:ascii="宋体" w:hAnsi="宋体" w:eastAsia="宋体" w:cs="宋体"/>
          <w:sz w:val="24"/>
          <w:szCs w:val="24"/>
          <w:lang w:val="zh-CN"/>
        </w:rPr>
        <w:t>信阳市羊山新区住房建设和交通运输局</w:t>
      </w:r>
    </w:p>
    <w:p w14:paraId="01F75C7C">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 xml:space="preserve">地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址：</w:t>
      </w:r>
      <w:r>
        <w:rPr>
          <w:rFonts w:hint="eastAsia" w:ascii="宋体" w:hAnsi="宋体" w:eastAsia="宋体" w:cs="宋体"/>
          <w:sz w:val="24"/>
          <w:szCs w:val="24"/>
          <w:lang w:eastAsia="zh-CN"/>
        </w:rPr>
        <w:t>信阳市羊山新区招商大厦</w:t>
      </w:r>
      <w:r>
        <w:rPr>
          <w:rFonts w:hint="eastAsia" w:ascii="宋体" w:hAnsi="宋体" w:cs="宋体"/>
          <w:sz w:val="24"/>
          <w:szCs w:val="24"/>
          <w:lang w:val="en-US" w:eastAsia="zh-CN"/>
        </w:rPr>
        <w:t>12楼</w:t>
      </w:r>
    </w:p>
    <w:p w14:paraId="20F80420">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系</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人：</w:t>
      </w:r>
      <w:r>
        <w:rPr>
          <w:rFonts w:hint="eastAsia" w:ascii="宋体" w:hAnsi="宋体" w:eastAsia="宋体" w:cs="宋体"/>
          <w:sz w:val="24"/>
          <w:szCs w:val="24"/>
          <w:lang w:val="zh-CN" w:eastAsia="zh-CN"/>
        </w:rPr>
        <w:t>胡祖彬</w:t>
      </w:r>
    </w:p>
    <w:p w14:paraId="092A3DC2">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联系方式</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zh-CN" w:eastAsia="zh-CN"/>
        </w:rPr>
        <w:t>18637620012</w:t>
      </w:r>
    </w:p>
    <w:p w14:paraId="497627A2">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71B2C961">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名    称：河南奥量项目管理有限公司 </w:t>
      </w:r>
    </w:p>
    <w:p w14:paraId="50980B2F">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w:t>
      </w:r>
      <w:r>
        <w:rPr>
          <w:rFonts w:hint="eastAsia" w:ascii="宋体" w:hAnsi="宋体" w:eastAsia="宋体" w:cs="宋体"/>
          <w:spacing w:val="-6"/>
          <w:sz w:val="24"/>
          <w:szCs w:val="24"/>
          <w:lang w:val="en-US" w:eastAsia="zh-CN"/>
        </w:rPr>
        <w:t>河南省信阳市新县云端产业园H座028室</w:t>
      </w:r>
    </w:p>
    <w:p w14:paraId="66D29957">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 系 人：</w:t>
      </w:r>
      <w:r>
        <w:rPr>
          <w:rFonts w:hint="eastAsia" w:ascii="宋体" w:hAnsi="宋体" w:cs="宋体"/>
          <w:sz w:val="24"/>
          <w:szCs w:val="24"/>
          <w:lang w:val="en-US" w:eastAsia="zh-CN"/>
        </w:rPr>
        <w:t>李婷</w:t>
      </w:r>
    </w:p>
    <w:p w14:paraId="557E1C9E">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default" w:ascii="宋体" w:hAnsi="宋体" w:eastAsia="宋体" w:cs="宋体"/>
          <w:sz w:val="24"/>
          <w:szCs w:val="24"/>
          <w:lang w:val="en-US"/>
        </w:rPr>
      </w:pPr>
      <w:r>
        <w:rPr>
          <w:rFonts w:hint="eastAsia" w:ascii="宋体" w:hAnsi="宋体" w:eastAsia="宋体" w:cs="宋体"/>
          <w:sz w:val="24"/>
          <w:szCs w:val="24"/>
          <w:lang w:val="en-US" w:eastAsia="zh-CN"/>
        </w:rPr>
        <w:t>联系方式：18937665585</w:t>
      </w:r>
    </w:p>
    <w:p w14:paraId="03AFD4B9">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3、项目联系方式</w:t>
      </w:r>
    </w:p>
    <w:p w14:paraId="67F4774C">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cs="宋体"/>
          <w:sz w:val="24"/>
          <w:szCs w:val="24"/>
          <w:lang w:val="en-US" w:eastAsia="zh-CN"/>
        </w:rPr>
        <w:t>李婷</w:t>
      </w:r>
    </w:p>
    <w:p w14:paraId="0D2818E9">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left"/>
        <w:textAlignment w:val="auto"/>
        <w:rPr>
          <w:rFonts w:hint="eastAsia" w:ascii="宋体" w:hAnsi="宋体" w:eastAsia="宋体" w:cs="宋体"/>
        </w:rPr>
      </w:pPr>
      <w:r>
        <w:rPr>
          <w:rFonts w:hint="eastAsia" w:ascii="宋体" w:hAnsi="宋体" w:eastAsia="宋体" w:cs="宋体"/>
          <w:sz w:val="24"/>
          <w:szCs w:val="24"/>
          <w:lang w:val="en-US" w:eastAsia="zh-CN"/>
        </w:rPr>
        <w:t>联系方式</w:t>
      </w:r>
      <w:r>
        <w:rPr>
          <w:rFonts w:hint="eastAsia" w:ascii="宋体" w:hAnsi="宋体" w:eastAsia="宋体" w:cs="宋体"/>
          <w:sz w:val="24"/>
          <w:szCs w:val="24"/>
        </w:rPr>
        <w:t>：</w:t>
      </w:r>
      <w:r>
        <w:rPr>
          <w:rFonts w:hint="eastAsia" w:ascii="宋体" w:hAnsi="宋体" w:eastAsia="宋体" w:cs="宋体"/>
          <w:sz w:val="24"/>
          <w:szCs w:val="24"/>
          <w:lang w:val="en-US" w:eastAsia="zh-CN"/>
        </w:rPr>
        <w:t>18937665585</w:t>
      </w:r>
    </w:p>
    <w:p w14:paraId="4DF81747">
      <w:pPr>
        <w:pStyle w:val="2"/>
        <w:keepNext/>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lang w:val="en-US" w:eastAsia="zh-CN"/>
        </w:rPr>
      </w:pPr>
      <w:bookmarkStart w:id="17" w:name="_Toc16438"/>
      <w:r>
        <w:rPr>
          <w:rFonts w:hint="eastAsia" w:ascii="宋体" w:hAnsi="宋体" w:eastAsia="宋体" w:cs="宋体"/>
          <w:lang w:val="en-US" w:eastAsia="zh-CN"/>
        </w:rPr>
        <w:t>第二章 投标人须知</w:t>
      </w:r>
      <w:bookmarkEnd w:id="16"/>
      <w:bookmarkEnd w:id="17"/>
    </w:p>
    <w:p w14:paraId="2C703394">
      <w:pPr>
        <w:spacing w:line="360" w:lineRule="auto"/>
        <w:jc w:val="center"/>
        <w:outlineLvl w:val="1"/>
        <w:rPr>
          <w:rFonts w:hint="eastAsia" w:ascii="宋体" w:hAnsi="宋体" w:eastAsia="宋体" w:cs="宋体"/>
          <w:b/>
          <w:bCs/>
          <w:sz w:val="24"/>
          <w:szCs w:val="24"/>
        </w:rPr>
      </w:pPr>
      <w:bookmarkStart w:id="18" w:name="_Toc15527"/>
      <w:r>
        <w:rPr>
          <w:rFonts w:hint="eastAsia" w:ascii="宋体" w:hAnsi="宋体" w:eastAsia="宋体" w:cs="宋体"/>
          <w:b/>
          <w:bCs/>
          <w:color w:val="000000"/>
          <w:sz w:val="32"/>
          <w:szCs w:val="32"/>
        </w:rPr>
        <w:t>投标</w:t>
      </w:r>
      <w:r>
        <w:rPr>
          <w:rFonts w:hint="eastAsia" w:ascii="宋体" w:hAnsi="宋体" w:eastAsia="宋体" w:cs="宋体"/>
          <w:b/>
          <w:bCs/>
          <w:color w:val="000000"/>
          <w:sz w:val="32"/>
          <w:szCs w:val="32"/>
          <w:lang w:val="en-US" w:eastAsia="zh-CN"/>
        </w:rPr>
        <w:t>人</w:t>
      </w:r>
      <w:r>
        <w:rPr>
          <w:rFonts w:hint="eastAsia" w:ascii="宋体" w:hAnsi="宋体" w:eastAsia="宋体" w:cs="宋体"/>
          <w:b/>
          <w:bCs/>
          <w:color w:val="000000"/>
          <w:sz w:val="32"/>
          <w:szCs w:val="32"/>
        </w:rPr>
        <w:t>须知前附表</w:t>
      </w:r>
      <w:bookmarkEnd w:id="18"/>
      <w:bookmarkStart w:id="19" w:name="_Toc244935173"/>
      <w:bookmarkStart w:id="20" w:name="_Toc234213538"/>
    </w:p>
    <w:tbl>
      <w:tblPr>
        <w:tblStyle w:val="22"/>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864"/>
        <w:gridCol w:w="7132"/>
      </w:tblGrid>
      <w:tr w14:paraId="5C75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80" w:type="dxa"/>
            <w:shd w:val="clear" w:color="auto" w:fill="E3F2D9" w:themeFill="accent4" w:themeFillTint="32"/>
            <w:noWrap w:val="0"/>
            <w:vAlign w:val="center"/>
          </w:tcPr>
          <w:p w14:paraId="23399781">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
                <w:kern w:val="0"/>
                <w:sz w:val="21"/>
                <w:szCs w:val="21"/>
              </w:rPr>
            </w:pPr>
            <w:r>
              <w:rPr>
                <w:rFonts w:hint="eastAsia" w:asciiTheme="majorEastAsia" w:hAnsiTheme="majorEastAsia" w:eastAsiaTheme="majorEastAsia" w:cstheme="majorEastAsia"/>
                <w:b/>
                <w:kern w:val="0"/>
                <w:sz w:val="21"/>
                <w:szCs w:val="21"/>
              </w:rPr>
              <w:t>条款号</w:t>
            </w:r>
          </w:p>
        </w:tc>
        <w:tc>
          <w:tcPr>
            <w:tcW w:w="1864" w:type="dxa"/>
            <w:shd w:val="clear" w:color="auto" w:fill="E3F2D9" w:themeFill="accent4" w:themeFillTint="32"/>
            <w:noWrap w:val="0"/>
            <w:vAlign w:val="center"/>
          </w:tcPr>
          <w:p w14:paraId="470F04F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
                <w:kern w:val="0"/>
                <w:sz w:val="21"/>
                <w:szCs w:val="21"/>
              </w:rPr>
            </w:pPr>
            <w:r>
              <w:rPr>
                <w:rFonts w:hint="eastAsia" w:asciiTheme="majorEastAsia" w:hAnsiTheme="majorEastAsia" w:eastAsiaTheme="majorEastAsia" w:cstheme="majorEastAsia"/>
                <w:b/>
                <w:kern w:val="0"/>
                <w:sz w:val="21"/>
                <w:szCs w:val="21"/>
              </w:rPr>
              <w:t>条 款 名 称</w:t>
            </w:r>
          </w:p>
        </w:tc>
        <w:tc>
          <w:tcPr>
            <w:tcW w:w="7132" w:type="dxa"/>
            <w:shd w:val="clear" w:color="auto" w:fill="E3F2D9" w:themeFill="accent4" w:themeFillTint="32"/>
            <w:noWrap w:val="0"/>
            <w:vAlign w:val="center"/>
          </w:tcPr>
          <w:p w14:paraId="4F0C5065">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
                <w:kern w:val="0"/>
                <w:sz w:val="21"/>
                <w:szCs w:val="21"/>
              </w:rPr>
            </w:pPr>
            <w:r>
              <w:rPr>
                <w:rFonts w:hint="eastAsia" w:asciiTheme="majorEastAsia" w:hAnsiTheme="majorEastAsia" w:eastAsiaTheme="majorEastAsia" w:cstheme="majorEastAsia"/>
                <w:b/>
                <w:kern w:val="0"/>
                <w:sz w:val="21"/>
                <w:szCs w:val="21"/>
              </w:rPr>
              <w:t>编 列 内 容</w:t>
            </w:r>
          </w:p>
        </w:tc>
      </w:tr>
      <w:tr w14:paraId="5940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noWrap w:val="0"/>
            <w:vAlign w:val="center"/>
          </w:tcPr>
          <w:p w14:paraId="5E4E090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1.1.2</w:t>
            </w:r>
          </w:p>
        </w:tc>
        <w:tc>
          <w:tcPr>
            <w:tcW w:w="1864" w:type="dxa"/>
            <w:noWrap w:val="0"/>
            <w:vAlign w:val="center"/>
          </w:tcPr>
          <w:p w14:paraId="37F88BD1">
            <w:pPr>
              <w:keepNext w:val="0"/>
              <w:keepLines w:val="0"/>
              <w:pageBreakBefore w:val="0"/>
              <w:widowControl w:val="0"/>
              <w:kinsoku/>
              <w:overflowPunct/>
              <w:topLinePunct w:val="0"/>
              <w:bidi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z w:val="21"/>
                <w:szCs w:val="21"/>
              </w:rPr>
              <w:t>采购人</w:t>
            </w:r>
          </w:p>
        </w:tc>
        <w:tc>
          <w:tcPr>
            <w:tcW w:w="7132" w:type="dxa"/>
            <w:noWrap w:val="0"/>
            <w:vAlign w:val="center"/>
          </w:tcPr>
          <w:p w14:paraId="282EA0A1">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lang w:eastAsia="zh-CN"/>
              </w:rPr>
            </w:pPr>
            <w:r>
              <w:rPr>
                <w:rFonts w:hint="eastAsia" w:asciiTheme="majorEastAsia" w:hAnsiTheme="majorEastAsia" w:eastAsiaTheme="majorEastAsia" w:cstheme="majorEastAsia"/>
                <w:kern w:val="0"/>
                <w:sz w:val="21"/>
                <w:szCs w:val="21"/>
              </w:rPr>
              <w:t>采 购 人：</w:t>
            </w:r>
            <w:r>
              <w:rPr>
                <w:rFonts w:hint="eastAsia" w:asciiTheme="majorEastAsia" w:hAnsiTheme="majorEastAsia" w:eastAsiaTheme="majorEastAsia" w:cstheme="majorEastAsia"/>
                <w:kern w:val="0"/>
                <w:sz w:val="21"/>
                <w:szCs w:val="21"/>
                <w:lang w:eastAsia="zh-CN"/>
              </w:rPr>
              <w:t>信阳市羊山新区住房建设和交通运输局</w:t>
            </w:r>
          </w:p>
          <w:p w14:paraId="3585368B">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default"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rPr>
              <w:t>地    址：</w:t>
            </w:r>
            <w:r>
              <w:rPr>
                <w:rFonts w:hint="eastAsia" w:asciiTheme="majorEastAsia" w:hAnsiTheme="majorEastAsia" w:eastAsiaTheme="majorEastAsia" w:cstheme="majorEastAsia"/>
                <w:kern w:val="0"/>
                <w:sz w:val="21"/>
                <w:szCs w:val="21"/>
                <w:lang w:eastAsia="zh-CN"/>
              </w:rPr>
              <w:t>信阳市羊山新区招商大厦</w:t>
            </w:r>
            <w:r>
              <w:rPr>
                <w:rFonts w:hint="eastAsia" w:asciiTheme="majorEastAsia" w:hAnsiTheme="majorEastAsia" w:eastAsiaTheme="majorEastAsia" w:cstheme="majorEastAsia"/>
                <w:kern w:val="0"/>
                <w:sz w:val="21"/>
                <w:szCs w:val="21"/>
                <w:lang w:val="en-US" w:eastAsia="zh-CN"/>
              </w:rPr>
              <w:t>12楼</w:t>
            </w:r>
          </w:p>
          <w:p w14:paraId="5E666FED">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联 系 人：</w:t>
            </w:r>
            <w:r>
              <w:rPr>
                <w:rFonts w:hint="eastAsia" w:asciiTheme="majorEastAsia" w:hAnsiTheme="majorEastAsia" w:eastAsiaTheme="majorEastAsia" w:cstheme="majorEastAsia"/>
                <w:kern w:val="0"/>
                <w:sz w:val="21"/>
                <w:szCs w:val="21"/>
                <w:lang w:val="zh-CN" w:eastAsia="zh-CN"/>
              </w:rPr>
              <w:t>胡祖彬</w:t>
            </w:r>
          </w:p>
          <w:p w14:paraId="6C296F02">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000000" w:themeColor="text1"/>
                <w:kern w:val="0"/>
                <w:sz w:val="21"/>
                <w:szCs w:val="21"/>
                <w:highlight w:val="none"/>
                <w14:textFill>
                  <w14:solidFill>
                    <w14:schemeClr w14:val="tx1"/>
                  </w14:solidFill>
                </w14:textFill>
              </w:rPr>
              <w:t>联系方式：18637620012</w:t>
            </w:r>
          </w:p>
        </w:tc>
      </w:tr>
      <w:tr w14:paraId="374C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980" w:type="dxa"/>
            <w:noWrap w:val="0"/>
            <w:vAlign w:val="center"/>
          </w:tcPr>
          <w:p w14:paraId="6A3E1B07">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1.1.3</w:t>
            </w:r>
          </w:p>
        </w:tc>
        <w:tc>
          <w:tcPr>
            <w:tcW w:w="1864" w:type="dxa"/>
            <w:noWrap w:val="0"/>
            <w:vAlign w:val="center"/>
          </w:tcPr>
          <w:p w14:paraId="21CCCCD4">
            <w:pPr>
              <w:keepNext w:val="0"/>
              <w:keepLines w:val="0"/>
              <w:pageBreakBefore w:val="0"/>
              <w:widowControl w:val="0"/>
              <w:kinsoku/>
              <w:overflowPunct/>
              <w:topLinePunct w:val="0"/>
              <w:bidi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z w:val="21"/>
                <w:szCs w:val="21"/>
              </w:rPr>
              <w:t>采购代理机构</w:t>
            </w:r>
          </w:p>
        </w:tc>
        <w:tc>
          <w:tcPr>
            <w:tcW w:w="7132" w:type="dxa"/>
            <w:noWrap w:val="0"/>
            <w:vAlign w:val="center"/>
          </w:tcPr>
          <w:p w14:paraId="01B2AE10">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 xml:space="preserve">名    称：河南奥量项目管理有限公司 </w:t>
            </w:r>
          </w:p>
          <w:p w14:paraId="57CA1D4C">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地    址：河南省信阳市新县云端产业园H座028室</w:t>
            </w:r>
          </w:p>
          <w:p w14:paraId="67AB5DE0">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联 系 人：李婷</w:t>
            </w:r>
          </w:p>
          <w:p w14:paraId="07808C94">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lang w:val="en-US" w:eastAsia="zh-CN"/>
              </w:rPr>
              <w:t>联系方式：18937665585</w:t>
            </w:r>
          </w:p>
        </w:tc>
      </w:tr>
      <w:tr w14:paraId="4E5E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980" w:type="dxa"/>
            <w:noWrap w:val="0"/>
            <w:vAlign w:val="center"/>
          </w:tcPr>
          <w:p w14:paraId="2DE6CFDE">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1.1.4</w:t>
            </w:r>
          </w:p>
        </w:tc>
        <w:tc>
          <w:tcPr>
            <w:tcW w:w="1864" w:type="dxa"/>
            <w:noWrap w:val="0"/>
            <w:vAlign w:val="center"/>
          </w:tcPr>
          <w:p w14:paraId="1BC70B0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项目名称</w:t>
            </w:r>
          </w:p>
        </w:tc>
        <w:tc>
          <w:tcPr>
            <w:tcW w:w="7132" w:type="dxa"/>
            <w:noWrap w:val="0"/>
            <w:vAlign w:val="center"/>
          </w:tcPr>
          <w:p w14:paraId="70271C54">
            <w:pPr>
              <w:pStyle w:val="11"/>
              <w:keepNext w:val="0"/>
              <w:keepLines w:val="0"/>
              <w:pageBreakBefore w:val="0"/>
              <w:widowControl w:val="0"/>
              <w:kinsoku/>
              <w:overflowPunct/>
              <w:topLinePunct w:val="0"/>
              <w:bidi w:val="0"/>
              <w:spacing w:line="400" w:lineRule="exact"/>
              <w:ind w:left="0" w:leftChars="0" w:right="0" w:rightChars="0" w:firstLine="0" w:firstLine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pacing w:val="0"/>
                <w:sz w:val="21"/>
                <w:szCs w:val="21"/>
                <w:lang w:eastAsia="zh-CN"/>
              </w:rPr>
              <w:t>信阳市羊山新区住房建设和交通运输局羊山新区水环境数字化监测监管体系项目</w:t>
            </w:r>
          </w:p>
        </w:tc>
      </w:tr>
      <w:tr w14:paraId="04F1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980" w:type="dxa"/>
            <w:noWrap w:val="0"/>
            <w:vAlign w:val="center"/>
          </w:tcPr>
          <w:p w14:paraId="7CF0AAD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1.1.5</w:t>
            </w:r>
          </w:p>
        </w:tc>
        <w:tc>
          <w:tcPr>
            <w:tcW w:w="1864" w:type="dxa"/>
            <w:noWrap w:val="0"/>
            <w:vAlign w:val="center"/>
          </w:tcPr>
          <w:p w14:paraId="322DDEBC">
            <w:pPr>
              <w:keepNext w:val="0"/>
              <w:keepLines w:val="0"/>
              <w:pageBreakBefore w:val="0"/>
              <w:kinsoku/>
              <w:overflowPunct/>
              <w:topLinePunct w:val="0"/>
              <w:autoSpaceDE w:val="0"/>
              <w:autoSpaceDN w:val="0"/>
              <w:bidi w:val="0"/>
              <w:adjustRightInd w:val="0"/>
              <w:spacing w:line="400" w:lineRule="exact"/>
              <w:ind w:right="0" w:firstLine="0" w:firstLineChars="0"/>
              <w:jc w:val="center"/>
              <w:rPr>
                <w:rFonts w:hint="eastAsia" w:asciiTheme="majorEastAsia" w:hAnsiTheme="majorEastAsia" w:eastAsiaTheme="majorEastAsia" w:cstheme="majorEastAsia"/>
                <w:color w:val="auto"/>
                <w:kern w:val="0"/>
                <w:sz w:val="21"/>
                <w:szCs w:val="21"/>
              </w:rPr>
            </w:pPr>
            <w:r>
              <w:rPr>
                <w:rFonts w:hint="eastAsia" w:asciiTheme="majorEastAsia" w:hAnsiTheme="majorEastAsia" w:eastAsiaTheme="majorEastAsia" w:cstheme="majorEastAsia"/>
                <w:color w:val="auto"/>
                <w:kern w:val="0"/>
                <w:sz w:val="21"/>
                <w:szCs w:val="21"/>
                <w:lang w:val="en-US" w:eastAsia="zh-CN"/>
              </w:rPr>
              <w:t>包</w:t>
            </w:r>
            <w:r>
              <w:rPr>
                <w:rFonts w:hint="eastAsia" w:asciiTheme="majorEastAsia" w:hAnsiTheme="majorEastAsia" w:eastAsiaTheme="majorEastAsia" w:cstheme="majorEastAsia"/>
                <w:color w:val="auto"/>
                <w:kern w:val="0"/>
                <w:sz w:val="21"/>
                <w:szCs w:val="21"/>
              </w:rPr>
              <w:t>段划分及</w:t>
            </w:r>
          </w:p>
          <w:p w14:paraId="2996D5B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pacing w:val="1"/>
                <w:kern w:val="0"/>
                <w:sz w:val="21"/>
                <w:szCs w:val="21"/>
              </w:rPr>
            </w:pPr>
            <w:r>
              <w:rPr>
                <w:rFonts w:hint="eastAsia" w:asciiTheme="majorEastAsia" w:hAnsiTheme="majorEastAsia" w:eastAsiaTheme="majorEastAsia" w:cstheme="majorEastAsia"/>
                <w:color w:val="auto"/>
                <w:sz w:val="21"/>
                <w:szCs w:val="21"/>
              </w:rPr>
              <w:t>最高限价</w:t>
            </w:r>
          </w:p>
        </w:tc>
        <w:tc>
          <w:tcPr>
            <w:tcW w:w="7132" w:type="dxa"/>
            <w:noWrap w:val="0"/>
            <w:vAlign w:val="center"/>
          </w:tcPr>
          <w:p w14:paraId="31A01494">
            <w:pPr>
              <w:keepNext w:val="0"/>
              <w:keepLines w:val="0"/>
              <w:pageBreakBefore w:val="0"/>
              <w:kinsoku/>
              <w:overflowPunct/>
              <w:topLinePunct w:val="0"/>
              <w:autoSpaceDE w:val="0"/>
              <w:autoSpaceDN w:val="0"/>
              <w:bidi w:val="0"/>
              <w:adjustRightInd w:val="0"/>
              <w:spacing w:line="400" w:lineRule="exact"/>
              <w:ind w:right="0" w:firstLine="0" w:firstLineChars="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lang w:val="en-US" w:eastAsia="zh-CN"/>
              </w:rPr>
              <w:t>包</w:t>
            </w:r>
            <w:r>
              <w:rPr>
                <w:rFonts w:hint="eastAsia" w:asciiTheme="majorEastAsia" w:hAnsiTheme="majorEastAsia" w:eastAsiaTheme="majorEastAsia" w:cstheme="majorEastAsia"/>
                <w:color w:val="auto"/>
                <w:sz w:val="21"/>
                <w:szCs w:val="21"/>
              </w:rPr>
              <w:t>段划分：共分为</w:t>
            </w:r>
            <w:r>
              <w:rPr>
                <w:rFonts w:hint="eastAsia" w:asciiTheme="majorEastAsia" w:hAnsiTheme="majorEastAsia" w:eastAsiaTheme="majorEastAsia" w:cstheme="majorEastAsia"/>
                <w:color w:val="auto"/>
                <w:sz w:val="21"/>
                <w:szCs w:val="21"/>
                <w:lang w:val="en-US" w:eastAsia="zh-CN"/>
              </w:rPr>
              <w:t>1个包</w:t>
            </w:r>
            <w:r>
              <w:rPr>
                <w:rFonts w:hint="eastAsia" w:asciiTheme="majorEastAsia" w:hAnsiTheme="majorEastAsia" w:eastAsiaTheme="majorEastAsia" w:cstheme="majorEastAsia"/>
                <w:color w:val="auto"/>
                <w:sz w:val="21"/>
                <w:szCs w:val="21"/>
              </w:rPr>
              <w:t>段。</w:t>
            </w:r>
          </w:p>
          <w:p w14:paraId="000FBC03">
            <w:pPr>
              <w:pStyle w:val="20"/>
              <w:keepNext w:val="0"/>
              <w:keepLines w:val="0"/>
              <w:pageBreakBefore w:val="0"/>
              <w:kinsoku/>
              <w:overflowPunct/>
              <w:topLinePunct w:val="0"/>
              <w:bidi w:val="0"/>
              <w:spacing w:after="0" w:afterLines="0" w:line="400" w:lineRule="exact"/>
              <w:ind w:left="0" w:leftChars="0" w:right="0" w:firstLine="0" w:firstLineChars="0"/>
              <w:rPr>
                <w:rFonts w:hint="default"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kern w:val="0"/>
                <w:sz w:val="21"/>
                <w:szCs w:val="21"/>
                <w:highlight w:val="none"/>
                <w:lang w:val="en-US" w:eastAsia="zh-CN"/>
              </w:rPr>
              <w:t>最高限价：1843572.00元/年</w:t>
            </w:r>
          </w:p>
          <w:p w14:paraId="726C7F8D">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left"/>
              <w:rPr>
                <w:rFonts w:hint="eastAsia" w:asciiTheme="majorEastAsia" w:hAnsiTheme="majorEastAsia" w:eastAsiaTheme="majorEastAsia" w:cstheme="majorEastAsia"/>
                <w:spacing w:val="1"/>
                <w:kern w:val="0"/>
                <w:sz w:val="21"/>
                <w:szCs w:val="21"/>
                <w:lang w:val="en-US" w:eastAsia="zh-CN"/>
              </w:rPr>
            </w:pPr>
            <w:r>
              <w:rPr>
                <w:rFonts w:hint="eastAsia" w:asciiTheme="majorEastAsia" w:hAnsiTheme="majorEastAsia" w:eastAsiaTheme="majorEastAsia" w:cstheme="majorEastAsia"/>
                <w:b/>
                <w:bCs/>
                <w:color w:val="auto"/>
                <w:kern w:val="0"/>
                <w:sz w:val="21"/>
                <w:szCs w:val="21"/>
                <w:lang w:eastAsia="zh-CN"/>
              </w:rPr>
              <w:t>投标人</w:t>
            </w:r>
            <w:r>
              <w:rPr>
                <w:rFonts w:hint="eastAsia" w:asciiTheme="majorEastAsia" w:hAnsiTheme="majorEastAsia" w:eastAsiaTheme="majorEastAsia" w:cstheme="majorEastAsia"/>
                <w:b/>
                <w:bCs/>
                <w:color w:val="auto"/>
                <w:kern w:val="0"/>
                <w:sz w:val="21"/>
                <w:szCs w:val="21"/>
                <w:lang w:val="en-US" w:eastAsia="zh-CN"/>
              </w:rPr>
              <w:t>投标函中填写的</w:t>
            </w:r>
            <w:r>
              <w:rPr>
                <w:rFonts w:hint="eastAsia" w:asciiTheme="majorEastAsia" w:hAnsiTheme="majorEastAsia" w:eastAsiaTheme="majorEastAsia" w:cstheme="majorEastAsia"/>
                <w:b/>
                <w:bCs/>
                <w:color w:val="auto"/>
                <w:kern w:val="0"/>
                <w:sz w:val="21"/>
                <w:szCs w:val="21"/>
              </w:rPr>
              <w:t>投标报价不得超出</w:t>
            </w:r>
            <w:r>
              <w:rPr>
                <w:rFonts w:hint="eastAsia" w:asciiTheme="majorEastAsia" w:hAnsiTheme="majorEastAsia" w:eastAsiaTheme="majorEastAsia" w:cstheme="majorEastAsia"/>
                <w:b/>
                <w:bCs/>
                <w:color w:val="auto"/>
                <w:kern w:val="0"/>
                <w:sz w:val="21"/>
                <w:szCs w:val="21"/>
                <w:lang w:val="en-US" w:eastAsia="zh-CN"/>
              </w:rPr>
              <w:t>招标文件规定的</w:t>
            </w:r>
            <w:r>
              <w:rPr>
                <w:rFonts w:hint="eastAsia" w:asciiTheme="majorEastAsia" w:hAnsiTheme="majorEastAsia" w:eastAsiaTheme="majorEastAsia" w:cstheme="majorEastAsia"/>
                <w:b/>
                <w:bCs/>
                <w:color w:val="auto"/>
                <w:kern w:val="0"/>
                <w:sz w:val="21"/>
                <w:szCs w:val="21"/>
              </w:rPr>
              <w:t>最高限价，否则投标无效。</w:t>
            </w:r>
          </w:p>
        </w:tc>
      </w:tr>
      <w:tr w14:paraId="4D3D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80" w:type="dxa"/>
            <w:noWrap w:val="0"/>
            <w:vAlign w:val="center"/>
          </w:tcPr>
          <w:p w14:paraId="44EFA3D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1.1.6</w:t>
            </w:r>
          </w:p>
        </w:tc>
        <w:tc>
          <w:tcPr>
            <w:tcW w:w="1864" w:type="dxa"/>
            <w:noWrap w:val="0"/>
            <w:vAlign w:val="center"/>
          </w:tcPr>
          <w:p w14:paraId="0A45C0ED">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spacing w:val="1"/>
                <w:kern w:val="0"/>
                <w:sz w:val="21"/>
                <w:szCs w:val="21"/>
              </w:rPr>
              <w:t>采购方式</w:t>
            </w:r>
          </w:p>
        </w:tc>
        <w:tc>
          <w:tcPr>
            <w:tcW w:w="7132" w:type="dxa"/>
            <w:noWrap w:val="0"/>
            <w:vAlign w:val="center"/>
          </w:tcPr>
          <w:p w14:paraId="79A9E3C4">
            <w:pPr>
              <w:keepNext w:val="0"/>
              <w:keepLines w:val="0"/>
              <w:pageBreakBefore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pacing w:val="1"/>
                <w:kern w:val="0"/>
                <w:sz w:val="21"/>
                <w:szCs w:val="21"/>
              </w:rPr>
              <w:t>公开招标</w:t>
            </w:r>
          </w:p>
        </w:tc>
      </w:tr>
      <w:tr w14:paraId="784E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0" w:type="dxa"/>
            <w:noWrap w:val="0"/>
            <w:vAlign w:val="center"/>
          </w:tcPr>
          <w:p w14:paraId="2F318B5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1.2.1</w:t>
            </w:r>
          </w:p>
        </w:tc>
        <w:tc>
          <w:tcPr>
            <w:tcW w:w="1864" w:type="dxa"/>
            <w:noWrap w:val="0"/>
            <w:vAlign w:val="center"/>
          </w:tcPr>
          <w:p w14:paraId="2A809D07">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rPr>
              <w:t>资金来源</w:t>
            </w:r>
          </w:p>
        </w:tc>
        <w:tc>
          <w:tcPr>
            <w:tcW w:w="7132" w:type="dxa"/>
            <w:noWrap w:val="0"/>
            <w:vAlign w:val="center"/>
          </w:tcPr>
          <w:p w14:paraId="48274BA1">
            <w:pPr>
              <w:pStyle w:val="25"/>
              <w:keepNext w:val="0"/>
              <w:keepLines w:val="0"/>
              <w:pageBreakBefore w:val="0"/>
              <w:widowControl w:val="0"/>
              <w:kinsoku/>
              <w:overflowPunct/>
              <w:topLinePunct w:val="0"/>
              <w:bidi w:val="0"/>
              <w:spacing w:line="400" w:lineRule="exact"/>
              <w:ind w:right="0" w:rightChars="0" w:firstLine="0" w:firstLineChars="0"/>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财政资金</w:t>
            </w:r>
          </w:p>
        </w:tc>
      </w:tr>
      <w:tr w14:paraId="3B43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80" w:type="dxa"/>
            <w:noWrap w:val="0"/>
            <w:vAlign w:val="center"/>
          </w:tcPr>
          <w:p w14:paraId="2C5527DF">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1.2.2</w:t>
            </w:r>
          </w:p>
        </w:tc>
        <w:tc>
          <w:tcPr>
            <w:tcW w:w="1864" w:type="dxa"/>
            <w:noWrap w:val="0"/>
            <w:vAlign w:val="center"/>
          </w:tcPr>
          <w:p w14:paraId="29ADA2F5">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z w:val="21"/>
                <w:szCs w:val="21"/>
              </w:rPr>
              <w:t>出资比例</w:t>
            </w:r>
          </w:p>
        </w:tc>
        <w:tc>
          <w:tcPr>
            <w:tcW w:w="7132" w:type="dxa"/>
            <w:noWrap w:val="0"/>
            <w:vAlign w:val="center"/>
          </w:tcPr>
          <w:p w14:paraId="1C95E0FF">
            <w:pPr>
              <w:pStyle w:val="25"/>
              <w:keepNext w:val="0"/>
              <w:keepLines w:val="0"/>
              <w:pageBreakBefore w:val="0"/>
              <w:widowControl w:val="0"/>
              <w:kinsoku/>
              <w:overflowPunct/>
              <w:topLinePunct w:val="0"/>
              <w:bidi w:val="0"/>
              <w:spacing w:line="400" w:lineRule="exact"/>
              <w:ind w:right="0" w:rightChars="0" w:firstLine="0" w:firstLineChars="0"/>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100%</w:t>
            </w:r>
          </w:p>
        </w:tc>
      </w:tr>
      <w:tr w14:paraId="17CE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80" w:type="dxa"/>
            <w:noWrap w:val="0"/>
            <w:vAlign w:val="center"/>
          </w:tcPr>
          <w:p w14:paraId="54BB7A0D">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1.3.1</w:t>
            </w:r>
          </w:p>
        </w:tc>
        <w:tc>
          <w:tcPr>
            <w:tcW w:w="1864" w:type="dxa"/>
            <w:noWrap w:val="0"/>
            <w:vAlign w:val="center"/>
          </w:tcPr>
          <w:p w14:paraId="6786EC4F">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color w:val="auto"/>
                <w:kern w:val="0"/>
                <w:sz w:val="21"/>
                <w:szCs w:val="21"/>
              </w:rPr>
            </w:pPr>
            <w:r>
              <w:rPr>
                <w:rFonts w:hint="eastAsia" w:asciiTheme="majorEastAsia" w:hAnsiTheme="majorEastAsia" w:eastAsiaTheme="majorEastAsia" w:cstheme="majorEastAsia"/>
                <w:color w:val="auto"/>
                <w:kern w:val="0"/>
                <w:sz w:val="21"/>
                <w:szCs w:val="21"/>
              </w:rPr>
              <w:t>采购内容</w:t>
            </w:r>
          </w:p>
        </w:tc>
        <w:tc>
          <w:tcPr>
            <w:tcW w:w="7132" w:type="dxa"/>
            <w:noWrap w:val="0"/>
            <w:vAlign w:val="center"/>
          </w:tcPr>
          <w:p w14:paraId="74E50332">
            <w:pPr>
              <w:pStyle w:val="11"/>
              <w:keepNext w:val="0"/>
              <w:keepLines w:val="0"/>
              <w:pageBreakBefore w:val="0"/>
              <w:widowControl w:val="0"/>
              <w:kinsoku/>
              <w:overflowPunct/>
              <w:topLinePunct w:val="0"/>
              <w:bidi w:val="0"/>
              <w:spacing w:line="400" w:lineRule="exact"/>
              <w:ind w:left="0" w:leftChars="0" w:right="0" w:rightChars="0" w:firstLine="0" w:firstLineChars="0"/>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b w:val="0"/>
                <w:bCs w:val="0"/>
                <w:spacing w:val="0"/>
                <w:kern w:val="2"/>
                <w:sz w:val="21"/>
                <w:szCs w:val="21"/>
                <w:lang w:val="en-US" w:eastAsia="zh-CN" w:bidi="ar-SA"/>
              </w:rPr>
              <w:t>本项目主要内容包括AI水检系统租赁、智能管控终端租赁、流量监测设备租赁、智慧监测监管平台租赁及配套的运行维护服务和综合服务</w:t>
            </w:r>
            <w:r>
              <w:rPr>
                <w:rFonts w:hint="eastAsia" w:asciiTheme="majorEastAsia" w:hAnsiTheme="majorEastAsia" w:eastAsiaTheme="majorEastAsia" w:cstheme="majorEastAsia"/>
                <w:b w:val="0"/>
                <w:bCs w:val="0"/>
                <w:kern w:val="2"/>
                <w:sz w:val="21"/>
                <w:szCs w:val="21"/>
                <w:highlight w:val="none"/>
                <w:lang w:val="en-US" w:eastAsia="zh-CN" w:bidi="ar-SA"/>
              </w:rPr>
              <w:t>（具体内容详见第四章采购内容及要求）。</w:t>
            </w:r>
          </w:p>
        </w:tc>
      </w:tr>
      <w:tr w14:paraId="2007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0" w:type="dxa"/>
            <w:noWrap w:val="0"/>
            <w:vAlign w:val="center"/>
          </w:tcPr>
          <w:p w14:paraId="0CFBE758">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1.3.2</w:t>
            </w:r>
          </w:p>
        </w:tc>
        <w:tc>
          <w:tcPr>
            <w:tcW w:w="1864" w:type="dxa"/>
            <w:noWrap w:val="0"/>
            <w:vAlign w:val="center"/>
          </w:tcPr>
          <w:p w14:paraId="4BA57521">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Cs/>
                <w:kern w:val="0"/>
                <w:sz w:val="21"/>
                <w:szCs w:val="21"/>
                <w:shd w:val="clear" w:color="auto" w:fill="FFFFFF"/>
                <w:lang w:val="zh-CN"/>
              </w:rPr>
            </w:pPr>
            <w:r>
              <w:rPr>
                <w:rFonts w:hint="eastAsia" w:asciiTheme="majorEastAsia" w:hAnsiTheme="majorEastAsia" w:eastAsiaTheme="majorEastAsia" w:cstheme="majorEastAsia"/>
                <w:bCs/>
                <w:kern w:val="0"/>
                <w:sz w:val="21"/>
                <w:szCs w:val="21"/>
                <w:shd w:val="clear" w:color="auto" w:fill="FFFFFF"/>
                <w:lang w:val="en-US" w:eastAsia="zh-CN"/>
              </w:rPr>
              <w:t>服务期限</w:t>
            </w:r>
          </w:p>
        </w:tc>
        <w:tc>
          <w:tcPr>
            <w:tcW w:w="7132" w:type="dxa"/>
            <w:noWrap w:val="0"/>
            <w:vAlign w:val="center"/>
          </w:tcPr>
          <w:p w14:paraId="3DC88594">
            <w:pPr>
              <w:pStyle w:val="25"/>
              <w:keepNext w:val="0"/>
              <w:keepLines w:val="0"/>
              <w:pageBreakBefore w:val="0"/>
              <w:widowControl w:val="0"/>
              <w:kinsoku/>
              <w:overflowPunct/>
              <w:topLinePunct w:val="0"/>
              <w:bidi w:val="0"/>
              <w:spacing w:line="400" w:lineRule="exact"/>
              <w:ind w:left="0" w:leftChars="0" w:right="0" w:rightChars="0" w:firstLine="0" w:firstLineChars="0"/>
              <w:rPr>
                <w:rFonts w:hint="default" w:asciiTheme="majorEastAsia" w:hAnsiTheme="majorEastAsia" w:eastAsiaTheme="majorEastAsia" w:cstheme="majorEastAsia"/>
                <w:bCs/>
                <w:color w:val="auto"/>
                <w:sz w:val="21"/>
                <w:szCs w:val="21"/>
                <w:shd w:val="clear" w:color="auto" w:fill="FFFFFF"/>
                <w:lang w:val="en-US" w:eastAsia="zh-CN"/>
              </w:rPr>
            </w:pPr>
            <w:r>
              <w:rPr>
                <w:rFonts w:hint="eastAsia" w:asciiTheme="majorEastAsia" w:hAnsiTheme="majorEastAsia" w:eastAsiaTheme="majorEastAsia" w:cstheme="majorEastAsia"/>
                <w:bCs/>
                <w:color w:val="auto"/>
                <w:sz w:val="21"/>
                <w:szCs w:val="21"/>
                <w:highlight w:val="none"/>
                <w:shd w:val="clear" w:color="auto" w:fill="FFFFFF"/>
                <w:lang w:val="en-US" w:eastAsia="zh-CN"/>
              </w:rPr>
              <w:t>三年（一年合同期满后，经采购人考核合格后可续签）。</w:t>
            </w:r>
          </w:p>
        </w:tc>
      </w:tr>
      <w:tr w14:paraId="4352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80" w:type="dxa"/>
            <w:noWrap w:val="0"/>
            <w:vAlign w:val="center"/>
          </w:tcPr>
          <w:p w14:paraId="33CD877A">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1.3.3</w:t>
            </w:r>
          </w:p>
        </w:tc>
        <w:tc>
          <w:tcPr>
            <w:tcW w:w="1864" w:type="dxa"/>
            <w:noWrap w:val="0"/>
            <w:vAlign w:val="center"/>
          </w:tcPr>
          <w:p w14:paraId="75FA2FE6">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Cs/>
                <w:color w:val="auto"/>
                <w:kern w:val="0"/>
                <w:sz w:val="21"/>
                <w:szCs w:val="21"/>
                <w:shd w:val="clear" w:color="auto" w:fill="FFFFFF"/>
                <w:lang w:val="en-US" w:eastAsia="zh-CN"/>
              </w:rPr>
            </w:pPr>
            <w:r>
              <w:rPr>
                <w:rFonts w:hint="eastAsia" w:asciiTheme="majorEastAsia" w:hAnsiTheme="majorEastAsia" w:eastAsiaTheme="majorEastAsia" w:cstheme="majorEastAsia"/>
                <w:bCs/>
                <w:color w:val="auto"/>
                <w:kern w:val="0"/>
                <w:sz w:val="21"/>
                <w:szCs w:val="21"/>
                <w:shd w:val="clear" w:color="auto" w:fill="FFFFFF"/>
                <w:lang w:val="en-US" w:eastAsia="zh-CN"/>
              </w:rPr>
              <w:t>服务地点</w:t>
            </w:r>
          </w:p>
        </w:tc>
        <w:tc>
          <w:tcPr>
            <w:tcW w:w="7132" w:type="dxa"/>
            <w:noWrap w:val="0"/>
            <w:vAlign w:val="center"/>
          </w:tcPr>
          <w:p w14:paraId="50FFD099">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color w:val="auto"/>
                <w:kern w:val="0"/>
                <w:sz w:val="21"/>
                <w:szCs w:val="21"/>
                <w:lang w:val="en-US" w:eastAsia="zh-CN"/>
              </w:rPr>
            </w:pPr>
            <w:r>
              <w:rPr>
                <w:rFonts w:hint="eastAsia" w:asciiTheme="majorEastAsia" w:hAnsiTheme="majorEastAsia" w:eastAsiaTheme="majorEastAsia" w:cstheme="majorEastAsia"/>
                <w:color w:val="auto"/>
                <w:kern w:val="0"/>
                <w:sz w:val="21"/>
                <w:szCs w:val="21"/>
                <w:lang w:val="en-US" w:eastAsia="zh-CN"/>
              </w:rPr>
              <w:t>信阳市羊山新区。</w:t>
            </w:r>
          </w:p>
        </w:tc>
      </w:tr>
      <w:tr w14:paraId="28B4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0" w:type="dxa"/>
            <w:noWrap w:val="0"/>
            <w:vAlign w:val="center"/>
          </w:tcPr>
          <w:p w14:paraId="28A76E33">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1.3.4</w:t>
            </w:r>
          </w:p>
        </w:tc>
        <w:tc>
          <w:tcPr>
            <w:tcW w:w="1864" w:type="dxa"/>
            <w:noWrap w:val="0"/>
            <w:vAlign w:val="center"/>
          </w:tcPr>
          <w:p w14:paraId="54BD962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bCs/>
                <w:kern w:val="0"/>
                <w:sz w:val="21"/>
                <w:szCs w:val="21"/>
                <w:shd w:val="clear" w:color="auto" w:fill="FFFFFF"/>
                <w:lang w:val="zh-CN"/>
              </w:rPr>
              <w:t>服务要求</w:t>
            </w:r>
          </w:p>
        </w:tc>
        <w:tc>
          <w:tcPr>
            <w:tcW w:w="7132" w:type="dxa"/>
            <w:noWrap w:val="0"/>
            <w:vAlign w:val="center"/>
          </w:tcPr>
          <w:p w14:paraId="68D3B2DA">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color w:val="auto"/>
                <w:kern w:val="0"/>
                <w:sz w:val="21"/>
                <w:szCs w:val="21"/>
                <w:highlight w:val="yellow"/>
                <w:lang w:val="en-US" w:eastAsia="zh-CN"/>
              </w:rPr>
            </w:pPr>
            <w:r>
              <w:rPr>
                <w:rFonts w:hint="eastAsia" w:asciiTheme="majorEastAsia" w:hAnsiTheme="majorEastAsia" w:eastAsiaTheme="majorEastAsia" w:cstheme="majorEastAsia"/>
                <w:color w:val="auto"/>
                <w:kern w:val="0"/>
                <w:sz w:val="21"/>
                <w:szCs w:val="21"/>
                <w:lang w:val="en-US" w:eastAsia="zh-CN"/>
              </w:rPr>
              <w:t>符合国家相关规范和标准要求，满足采购人要求</w:t>
            </w:r>
            <w:r>
              <w:rPr>
                <w:rFonts w:hint="eastAsia" w:asciiTheme="majorEastAsia" w:hAnsiTheme="majorEastAsia" w:eastAsiaTheme="majorEastAsia" w:cstheme="majorEastAsia"/>
                <w:color w:val="auto"/>
                <w:kern w:val="0"/>
                <w:sz w:val="21"/>
                <w:szCs w:val="21"/>
                <w:lang w:eastAsia="zh-CN"/>
              </w:rPr>
              <w:t>。</w:t>
            </w:r>
          </w:p>
        </w:tc>
      </w:tr>
      <w:tr w14:paraId="3142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80" w:type="dxa"/>
            <w:tcBorders>
              <w:top w:val="single" w:color="auto" w:sz="4" w:space="0"/>
            </w:tcBorders>
            <w:noWrap w:val="0"/>
            <w:vAlign w:val="center"/>
          </w:tcPr>
          <w:p w14:paraId="17163E3E">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1.4.1</w:t>
            </w:r>
          </w:p>
        </w:tc>
        <w:tc>
          <w:tcPr>
            <w:tcW w:w="1864" w:type="dxa"/>
            <w:tcBorders>
              <w:top w:val="single" w:color="auto" w:sz="4" w:space="0"/>
            </w:tcBorders>
            <w:noWrap w:val="0"/>
            <w:vAlign w:val="center"/>
          </w:tcPr>
          <w:p w14:paraId="65D25F7E">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pacing w:val="-6"/>
                <w:kern w:val="0"/>
                <w:sz w:val="21"/>
                <w:szCs w:val="21"/>
              </w:rPr>
              <w:t>投标人资格要求</w:t>
            </w:r>
          </w:p>
        </w:tc>
        <w:tc>
          <w:tcPr>
            <w:tcW w:w="7132" w:type="dxa"/>
            <w:tcBorders>
              <w:top w:val="single" w:color="auto" w:sz="4" w:space="0"/>
            </w:tcBorders>
            <w:noWrap w:val="0"/>
            <w:vAlign w:val="center"/>
          </w:tcPr>
          <w:p w14:paraId="02D77133">
            <w:pPr>
              <w:keepNext w:val="0"/>
              <w:keepLines w:val="0"/>
              <w:pageBreakBefore w:val="0"/>
              <w:widowControl w:val="0"/>
              <w:tabs>
                <w:tab w:val="left" w:pos="709"/>
              </w:tabs>
              <w:kinsoku/>
              <w:wordWrap w:val="0"/>
              <w:overflowPunct/>
              <w:topLinePunct w:val="0"/>
              <w:autoSpaceDE w:val="0"/>
              <w:autoSpaceDN w:val="0"/>
              <w:bidi w:val="0"/>
              <w:adjustRightInd w:val="0"/>
              <w:snapToGrid w:val="0"/>
              <w:spacing w:line="400" w:lineRule="exact"/>
              <w:ind w:right="0" w:rightChars="0" w:firstLine="0" w:firstLineChars="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详见第一章 招标公告“二、申请人资格要求”</w:t>
            </w:r>
          </w:p>
        </w:tc>
      </w:tr>
      <w:tr w14:paraId="4532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980" w:type="dxa"/>
            <w:tcBorders>
              <w:top w:val="single" w:color="auto" w:sz="4" w:space="0"/>
            </w:tcBorders>
            <w:noWrap w:val="0"/>
            <w:vAlign w:val="center"/>
          </w:tcPr>
          <w:p w14:paraId="66B1F05C">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1.4.2</w:t>
            </w:r>
          </w:p>
        </w:tc>
        <w:tc>
          <w:tcPr>
            <w:tcW w:w="1864" w:type="dxa"/>
            <w:tcBorders>
              <w:top w:val="single" w:color="auto" w:sz="4" w:space="0"/>
            </w:tcBorders>
            <w:noWrap w:val="0"/>
            <w:vAlign w:val="center"/>
          </w:tcPr>
          <w:p w14:paraId="2B6D28D1">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pacing w:val="0"/>
                <w:sz w:val="21"/>
                <w:szCs w:val="21"/>
              </w:rPr>
              <w:t>是否接受联合体</w:t>
            </w:r>
            <w:r>
              <w:rPr>
                <w:rFonts w:hint="eastAsia" w:asciiTheme="majorEastAsia" w:hAnsiTheme="majorEastAsia" w:eastAsiaTheme="majorEastAsia" w:cstheme="majorEastAsia"/>
                <w:spacing w:val="0"/>
                <w:sz w:val="21"/>
                <w:szCs w:val="21"/>
                <w:lang w:val="en-US" w:eastAsia="zh-CN"/>
              </w:rPr>
              <w:t>投标</w:t>
            </w:r>
          </w:p>
        </w:tc>
        <w:tc>
          <w:tcPr>
            <w:tcW w:w="7132" w:type="dxa"/>
            <w:tcBorders>
              <w:top w:val="single" w:color="auto" w:sz="4" w:space="0"/>
            </w:tcBorders>
            <w:noWrap w:val="0"/>
            <w:vAlign w:val="center"/>
          </w:tcPr>
          <w:p w14:paraId="0E9A743F">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auto"/>
                <w:sz w:val="21"/>
                <w:szCs w:val="21"/>
                <w:lang w:val="en-US" w:eastAsia="zh-CN"/>
              </w:rPr>
              <w:t>本项目不接受联合体投标。</w:t>
            </w:r>
          </w:p>
        </w:tc>
      </w:tr>
      <w:tr w14:paraId="064E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80" w:type="dxa"/>
            <w:tcBorders>
              <w:top w:val="single" w:color="auto" w:sz="4" w:space="0"/>
            </w:tcBorders>
            <w:noWrap w:val="0"/>
            <w:vAlign w:val="center"/>
          </w:tcPr>
          <w:p w14:paraId="034DEC3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1.5</w:t>
            </w:r>
          </w:p>
        </w:tc>
        <w:tc>
          <w:tcPr>
            <w:tcW w:w="1864" w:type="dxa"/>
            <w:tcBorders>
              <w:top w:val="single" w:color="auto" w:sz="4" w:space="0"/>
            </w:tcBorders>
            <w:noWrap w:val="0"/>
            <w:vAlign w:val="center"/>
          </w:tcPr>
          <w:p w14:paraId="44966B58">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付款方式</w:t>
            </w:r>
          </w:p>
        </w:tc>
        <w:tc>
          <w:tcPr>
            <w:tcW w:w="7132" w:type="dxa"/>
            <w:tcBorders>
              <w:top w:val="single" w:color="auto" w:sz="4" w:space="0"/>
            </w:tcBorders>
            <w:noWrap w:val="0"/>
            <w:vAlign w:val="center"/>
          </w:tcPr>
          <w:p w14:paraId="7662B305">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auto"/>
                <w:sz w:val="21"/>
                <w:szCs w:val="21"/>
                <w:highlight w:val="none"/>
              </w:rPr>
              <w:t>由</w:t>
            </w:r>
            <w:r>
              <w:rPr>
                <w:rFonts w:hint="eastAsia" w:asciiTheme="majorEastAsia" w:hAnsiTheme="majorEastAsia" w:eastAsiaTheme="majorEastAsia" w:cstheme="majorEastAsia"/>
                <w:color w:val="auto"/>
                <w:sz w:val="21"/>
                <w:szCs w:val="21"/>
                <w:highlight w:val="none"/>
                <w:lang w:val="en-US" w:eastAsia="zh-CN"/>
              </w:rPr>
              <w:t>采购</w:t>
            </w:r>
            <w:r>
              <w:rPr>
                <w:rFonts w:hint="eastAsia" w:asciiTheme="majorEastAsia" w:hAnsiTheme="majorEastAsia" w:eastAsiaTheme="majorEastAsia" w:cstheme="majorEastAsia"/>
                <w:color w:val="auto"/>
                <w:sz w:val="21"/>
                <w:szCs w:val="21"/>
                <w:highlight w:val="none"/>
              </w:rPr>
              <w:t>人与中标</w:t>
            </w:r>
            <w:r>
              <w:rPr>
                <w:rFonts w:hint="eastAsia" w:asciiTheme="majorEastAsia" w:hAnsiTheme="majorEastAsia" w:eastAsiaTheme="majorEastAsia" w:cstheme="majorEastAsia"/>
                <w:color w:val="auto"/>
                <w:sz w:val="21"/>
                <w:szCs w:val="21"/>
                <w:highlight w:val="none"/>
                <w:lang w:val="en-US" w:eastAsia="zh-CN"/>
              </w:rPr>
              <w:t>人</w:t>
            </w:r>
            <w:r>
              <w:rPr>
                <w:rFonts w:hint="eastAsia" w:asciiTheme="majorEastAsia" w:hAnsiTheme="majorEastAsia" w:eastAsiaTheme="majorEastAsia" w:cstheme="majorEastAsia"/>
                <w:color w:val="auto"/>
                <w:sz w:val="21"/>
                <w:szCs w:val="21"/>
                <w:highlight w:val="none"/>
              </w:rPr>
              <w:t>协商，以签订合同为准</w:t>
            </w:r>
            <w:r>
              <w:rPr>
                <w:rFonts w:hint="eastAsia" w:asciiTheme="majorEastAsia" w:hAnsiTheme="majorEastAsia" w:eastAsiaTheme="majorEastAsia" w:cstheme="majorEastAsia"/>
                <w:color w:val="auto"/>
                <w:sz w:val="21"/>
                <w:szCs w:val="21"/>
                <w:highlight w:val="none"/>
                <w:lang w:eastAsia="zh-CN"/>
              </w:rPr>
              <w:t>。</w:t>
            </w:r>
          </w:p>
        </w:tc>
      </w:tr>
      <w:tr w14:paraId="6C02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980" w:type="dxa"/>
            <w:tcBorders>
              <w:top w:val="single" w:color="auto" w:sz="4" w:space="0"/>
            </w:tcBorders>
            <w:noWrap w:val="0"/>
            <w:vAlign w:val="center"/>
          </w:tcPr>
          <w:p w14:paraId="72D4146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lang w:val="en-US" w:eastAsia="zh-CN"/>
              </w:rPr>
              <w:t>1.10</w:t>
            </w:r>
          </w:p>
        </w:tc>
        <w:tc>
          <w:tcPr>
            <w:tcW w:w="1864" w:type="dxa"/>
            <w:tcBorders>
              <w:top w:val="single" w:color="auto" w:sz="4" w:space="0"/>
            </w:tcBorders>
            <w:noWrap w:val="0"/>
            <w:vAlign w:val="center"/>
          </w:tcPr>
          <w:p w14:paraId="3BB2FEE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color w:val="auto"/>
                <w:kern w:val="0"/>
                <w:sz w:val="21"/>
                <w:szCs w:val="21"/>
              </w:rPr>
              <w:t>投标预备会</w:t>
            </w:r>
          </w:p>
        </w:tc>
        <w:tc>
          <w:tcPr>
            <w:tcW w:w="7132" w:type="dxa"/>
            <w:tcBorders>
              <w:top w:val="single" w:color="auto" w:sz="4" w:space="0"/>
            </w:tcBorders>
            <w:noWrap w:val="0"/>
            <w:vAlign w:val="center"/>
          </w:tcPr>
          <w:p w14:paraId="1A45D12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color w:val="auto"/>
                <w:spacing w:val="0"/>
                <w:kern w:val="0"/>
                <w:sz w:val="21"/>
                <w:szCs w:val="21"/>
              </w:rPr>
              <w:t>采购人不再统一组织投标预备会。</w:t>
            </w:r>
          </w:p>
        </w:tc>
      </w:tr>
      <w:tr w14:paraId="366E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980" w:type="dxa"/>
            <w:noWrap w:val="0"/>
            <w:vAlign w:val="center"/>
          </w:tcPr>
          <w:p w14:paraId="31BF32F8">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kern w:val="0"/>
                <w:sz w:val="21"/>
                <w:szCs w:val="21"/>
              </w:rPr>
              <w:t>2.2.1</w:t>
            </w:r>
          </w:p>
        </w:tc>
        <w:tc>
          <w:tcPr>
            <w:tcW w:w="1864" w:type="dxa"/>
            <w:noWrap w:val="0"/>
            <w:vAlign w:val="center"/>
          </w:tcPr>
          <w:p w14:paraId="0D65D6C7">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pacing w:val="-6"/>
                <w:kern w:val="0"/>
                <w:sz w:val="21"/>
                <w:szCs w:val="21"/>
                <w:highlight w:val="none"/>
              </w:rPr>
            </w:pPr>
            <w:r>
              <w:rPr>
                <w:rFonts w:hint="eastAsia" w:asciiTheme="majorEastAsia" w:hAnsiTheme="majorEastAsia" w:eastAsiaTheme="majorEastAsia" w:cstheme="majorEastAsia"/>
                <w:color w:val="auto"/>
                <w:spacing w:val="-6"/>
                <w:kern w:val="0"/>
                <w:sz w:val="21"/>
                <w:szCs w:val="21"/>
                <w:lang w:eastAsia="zh-CN"/>
              </w:rPr>
              <w:t>投标人</w:t>
            </w:r>
            <w:r>
              <w:rPr>
                <w:rFonts w:hint="eastAsia" w:asciiTheme="majorEastAsia" w:hAnsiTheme="majorEastAsia" w:eastAsiaTheme="majorEastAsia" w:cstheme="majorEastAsia"/>
                <w:color w:val="auto"/>
                <w:spacing w:val="-6"/>
                <w:kern w:val="0"/>
                <w:sz w:val="21"/>
                <w:szCs w:val="21"/>
              </w:rPr>
              <w:t>提出问题的截止时间</w:t>
            </w:r>
          </w:p>
        </w:tc>
        <w:tc>
          <w:tcPr>
            <w:tcW w:w="7132" w:type="dxa"/>
            <w:noWrap w:val="0"/>
            <w:vAlign w:val="center"/>
          </w:tcPr>
          <w:p w14:paraId="4EEAE7FB">
            <w:pPr>
              <w:keepNext w:val="0"/>
              <w:keepLines w:val="0"/>
              <w:pageBreakBefore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pacing w:val="0"/>
                <w:kern w:val="0"/>
                <w:sz w:val="21"/>
                <w:szCs w:val="21"/>
                <w:highlight w:val="none"/>
                <w:lang w:val="en-US" w:eastAsia="zh-CN"/>
              </w:rPr>
            </w:pPr>
            <w:r>
              <w:rPr>
                <w:rFonts w:hint="eastAsia" w:asciiTheme="majorEastAsia" w:hAnsiTheme="majorEastAsia" w:eastAsiaTheme="majorEastAsia" w:cstheme="majorEastAsia"/>
                <w:color w:val="auto"/>
                <w:sz w:val="21"/>
                <w:szCs w:val="21"/>
              </w:rPr>
              <w:t>递交投标文件的截止之日10日前</w:t>
            </w:r>
          </w:p>
        </w:tc>
      </w:tr>
      <w:tr w14:paraId="7A5F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980" w:type="dxa"/>
            <w:noWrap w:val="0"/>
            <w:vAlign w:val="center"/>
          </w:tcPr>
          <w:p w14:paraId="789FB49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2.2.2</w:t>
            </w:r>
          </w:p>
        </w:tc>
        <w:tc>
          <w:tcPr>
            <w:tcW w:w="1864" w:type="dxa"/>
            <w:noWrap w:val="0"/>
            <w:vAlign w:val="center"/>
          </w:tcPr>
          <w:p w14:paraId="118C0C53">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pacing w:val="-6"/>
                <w:kern w:val="0"/>
                <w:sz w:val="21"/>
                <w:szCs w:val="21"/>
                <w:highlight w:val="none"/>
              </w:rPr>
            </w:pPr>
            <w:r>
              <w:rPr>
                <w:rFonts w:hint="eastAsia" w:asciiTheme="majorEastAsia" w:hAnsiTheme="majorEastAsia" w:eastAsiaTheme="majorEastAsia" w:cstheme="majorEastAsia"/>
                <w:color w:val="auto"/>
                <w:kern w:val="0"/>
                <w:sz w:val="21"/>
                <w:szCs w:val="21"/>
              </w:rPr>
              <w:t>采购人书面澄清的时间</w:t>
            </w:r>
          </w:p>
        </w:tc>
        <w:tc>
          <w:tcPr>
            <w:tcW w:w="7132" w:type="dxa"/>
            <w:noWrap w:val="0"/>
            <w:vAlign w:val="center"/>
          </w:tcPr>
          <w:p w14:paraId="31C95AD1">
            <w:pPr>
              <w:keepNext w:val="0"/>
              <w:keepLines w:val="0"/>
              <w:pageBreakBefore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pacing w:val="-6"/>
                <w:kern w:val="0"/>
                <w:sz w:val="21"/>
                <w:szCs w:val="21"/>
                <w:highlight w:val="none"/>
                <w:lang w:val="en-US" w:eastAsia="zh-CN"/>
              </w:rPr>
            </w:pPr>
            <w:r>
              <w:rPr>
                <w:rFonts w:hint="eastAsia" w:asciiTheme="majorEastAsia" w:hAnsiTheme="majorEastAsia" w:eastAsiaTheme="majorEastAsia" w:cstheme="majorEastAsia"/>
                <w:color w:val="auto"/>
                <w:sz w:val="21"/>
                <w:szCs w:val="21"/>
              </w:rPr>
              <w:t>递交投标文件的截止之日15日前</w:t>
            </w:r>
          </w:p>
        </w:tc>
      </w:tr>
      <w:tr w14:paraId="291F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80" w:type="dxa"/>
            <w:noWrap w:val="0"/>
            <w:vAlign w:val="center"/>
          </w:tcPr>
          <w:p w14:paraId="6BB388FD">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2.</w:t>
            </w:r>
            <w:r>
              <w:rPr>
                <w:rFonts w:hint="eastAsia" w:asciiTheme="majorEastAsia" w:hAnsiTheme="majorEastAsia" w:eastAsiaTheme="majorEastAsia" w:cstheme="majorEastAsia"/>
                <w:kern w:val="0"/>
                <w:sz w:val="21"/>
                <w:szCs w:val="21"/>
                <w:lang w:val="en-US" w:eastAsia="zh-CN"/>
              </w:rPr>
              <w:t>2.</w:t>
            </w:r>
            <w:r>
              <w:rPr>
                <w:rFonts w:hint="eastAsia" w:asciiTheme="majorEastAsia" w:hAnsiTheme="majorEastAsia" w:eastAsiaTheme="majorEastAsia" w:cstheme="majorEastAsia"/>
                <w:kern w:val="0"/>
                <w:sz w:val="21"/>
                <w:szCs w:val="21"/>
              </w:rPr>
              <w:t>3</w:t>
            </w:r>
          </w:p>
        </w:tc>
        <w:tc>
          <w:tcPr>
            <w:tcW w:w="1864" w:type="dxa"/>
            <w:noWrap w:val="0"/>
            <w:vAlign w:val="center"/>
          </w:tcPr>
          <w:p w14:paraId="7A72C54E">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pacing w:val="0"/>
                <w:sz w:val="21"/>
                <w:szCs w:val="21"/>
              </w:rPr>
            </w:pPr>
            <w:r>
              <w:rPr>
                <w:rFonts w:hint="eastAsia" w:asciiTheme="majorEastAsia" w:hAnsiTheme="majorEastAsia" w:eastAsiaTheme="majorEastAsia" w:cstheme="majorEastAsia"/>
                <w:spacing w:val="0"/>
                <w:sz w:val="21"/>
                <w:szCs w:val="21"/>
              </w:rPr>
              <w:t>采购人澄清的</w:t>
            </w:r>
          </w:p>
          <w:p w14:paraId="0AC6C9D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pacing w:val="0"/>
                <w:sz w:val="21"/>
                <w:szCs w:val="21"/>
              </w:rPr>
              <w:t>时间</w:t>
            </w:r>
          </w:p>
        </w:tc>
        <w:tc>
          <w:tcPr>
            <w:tcW w:w="7132" w:type="dxa"/>
            <w:noWrap w:val="0"/>
            <w:vAlign w:val="center"/>
          </w:tcPr>
          <w:p w14:paraId="6707DE43">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提交投标文件截止时间15日前</w:t>
            </w:r>
          </w:p>
        </w:tc>
      </w:tr>
      <w:tr w14:paraId="3639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80" w:type="dxa"/>
            <w:tcBorders>
              <w:bottom w:val="single" w:color="auto" w:sz="4" w:space="0"/>
            </w:tcBorders>
            <w:noWrap w:val="0"/>
            <w:vAlign w:val="center"/>
          </w:tcPr>
          <w:p w14:paraId="5C12F2F5">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3.1</w:t>
            </w:r>
          </w:p>
        </w:tc>
        <w:tc>
          <w:tcPr>
            <w:tcW w:w="1864" w:type="dxa"/>
            <w:tcBorders>
              <w:bottom w:val="single" w:color="auto" w:sz="4" w:space="0"/>
            </w:tcBorders>
            <w:noWrap w:val="0"/>
            <w:vAlign w:val="center"/>
          </w:tcPr>
          <w:p w14:paraId="35DC96E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pacing w:val="-6"/>
                <w:kern w:val="0"/>
                <w:sz w:val="21"/>
                <w:szCs w:val="21"/>
              </w:rPr>
            </w:pPr>
            <w:r>
              <w:rPr>
                <w:rFonts w:hint="eastAsia" w:asciiTheme="majorEastAsia" w:hAnsiTheme="majorEastAsia" w:eastAsiaTheme="majorEastAsia" w:cstheme="majorEastAsia"/>
                <w:spacing w:val="-6"/>
                <w:kern w:val="0"/>
                <w:sz w:val="21"/>
                <w:szCs w:val="21"/>
              </w:rPr>
              <w:t>构成投标文件的其他材料</w:t>
            </w:r>
          </w:p>
        </w:tc>
        <w:tc>
          <w:tcPr>
            <w:tcW w:w="7132" w:type="dxa"/>
            <w:tcBorders>
              <w:bottom w:val="single" w:color="auto" w:sz="4" w:space="0"/>
            </w:tcBorders>
            <w:noWrap w:val="0"/>
            <w:vAlign w:val="center"/>
          </w:tcPr>
          <w:p w14:paraId="7DCE90D1">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sz w:val="21"/>
                <w:szCs w:val="21"/>
                <w:highlight w:val="none"/>
                <w:lang w:val="en-US" w:eastAsia="zh-CN"/>
              </w:rPr>
              <w:t>投标人</w:t>
            </w:r>
            <w:r>
              <w:rPr>
                <w:rFonts w:hint="eastAsia" w:asciiTheme="majorEastAsia" w:hAnsiTheme="majorEastAsia" w:eastAsiaTheme="majorEastAsia" w:cstheme="majorEastAsia"/>
                <w:color w:val="auto"/>
                <w:sz w:val="21"/>
                <w:szCs w:val="21"/>
                <w:highlight w:val="none"/>
              </w:rPr>
              <w:t>认为需要提交的其他证明材料</w:t>
            </w:r>
          </w:p>
        </w:tc>
      </w:tr>
      <w:tr w14:paraId="3DF0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980" w:type="dxa"/>
            <w:noWrap w:val="0"/>
            <w:vAlign w:val="center"/>
          </w:tcPr>
          <w:p w14:paraId="07FE758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3.4.1</w:t>
            </w:r>
          </w:p>
        </w:tc>
        <w:tc>
          <w:tcPr>
            <w:tcW w:w="1864" w:type="dxa"/>
            <w:noWrap w:val="0"/>
            <w:vAlign w:val="center"/>
          </w:tcPr>
          <w:p w14:paraId="1EAB82E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投标有效期</w:t>
            </w:r>
          </w:p>
        </w:tc>
        <w:tc>
          <w:tcPr>
            <w:tcW w:w="7132" w:type="dxa"/>
            <w:noWrap w:val="0"/>
            <w:vAlign w:val="center"/>
          </w:tcPr>
          <w:p w14:paraId="508FE692">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lang w:val="en-US" w:eastAsia="zh-CN"/>
              </w:rPr>
              <w:t>90</w:t>
            </w:r>
            <w:r>
              <w:rPr>
                <w:rFonts w:hint="eastAsia" w:asciiTheme="majorEastAsia" w:hAnsiTheme="majorEastAsia" w:eastAsiaTheme="majorEastAsia" w:cstheme="majorEastAsia"/>
                <w:kern w:val="0"/>
                <w:sz w:val="21"/>
                <w:szCs w:val="21"/>
              </w:rPr>
              <w:t>日历天（从投标截止之日算起）</w:t>
            </w:r>
          </w:p>
        </w:tc>
      </w:tr>
      <w:tr w14:paraId="204F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980" w:type="dxa"/>
            <w:noWrap w:val="0"/>
            <w:vAlign w:val="center"/>
          </w:tcPr>
          <w:p w14:paraId="4D65460D">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eastAsia="zh-CN"/>
              </w:rPr>
            </w:pPr>
            <w:r>
              <w:rPr>
                <w:rFonts w:hint="eastAsia" w:asciiTheme="majorEastAsia" w:hAnsiTheme="majorEastAsia" w:eastAsiaTheme="majorEastAsia" w:cstheme="majorEastAsia"/>
                <w:kern w:val="0"/>
                <w:sz w:val="21"/>
                <w:szCs w:val="21"/>
              </w:rPr>
              <w:t>3.</w:t>
            </w:r>
            <w:r>
              <w:rPr>
                <w:rFonts w:hint="eastAsia" w:asciiTheme="majorEastAsia" w:hAnsiTheme="majorEastAsia" w:eastAsiaTheme="majorEastAsia" w:cstheme="majorEastAsia"/>
                <w:kern w:val="0"/>
                <w:sz w:val="21"/>
                <w:szCs w:val="21"/>
                <w:lang w:val="en-US" w:eastAsia="zh-CN"/>
              </w:rPr>
              <w:t>6</w:t>
            </w:r>
            <w:r>
              <w:rPr>
                <w:rFonts w:hint="eastAsia" w:asciiTheme="majorEastAsia" w:hAnsiTheme="majorEastAsia" w:eastAsiaTheme="majorEastAsia" w:cstheme="majorEastAsia"/>
                <w:kern w:val="0"/>
                <w:sz w:val="21"/>
                <w:szCs w:val="21"/>
              </w:rPr>
              <w:t>.</w:t>
            </w:r>
            <w:r>
              <w:rPr>
                <w:rFonts w:hint="eastAsia" w:asciiTheme="majorEastAsia" w:hAnsiTheme="majorEastAsia" w:eastAsiaTheme="majorEastAsia" w:cstheme="majorEastAsia"/>
                <w:kern w:val="0"/>
                <w:sz w:val="21"/>
                <w:szCs w:val="21"/>
                <w:lang w:val="en-US" w:eastAsia="zh-CN"/>
              </w:rPr>
              <w:t>3</w:t>
            </w:r>
          </w:p>
        </w:tc>
        <w:tc>
          <w:tcPr>
            <w:tcW w:w="1864" w:type="dxa"/>
            <w:noWrap w:val="0"/>
            <w:vAlign w:val="center"/>
          </w:tcPr>
          <w:p w14:paraId="6DB89A53">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投标文件签字和盖章要求</w:t>
            </w:r>
          </w:p>
        </w:tc>
        <w:tc>
          <w:tcPr>
            <w:tcW w:w="7132" w:type="dxa"/>
            <w:noWrap w:val="0"/>
            <w:vAlign w:val="center"/>
          </w:tcPr>
          <w:p w14:paraId="61F876AA">
            <w:pPr>
              <w:keepNext w:val="0"/>
              <w:keepLines w:val="0"/>
              <w:pageBreakBefore w:val="0"/>
              <w:widowControl/>
              <w:kinsoku/>
              <w:wordWrap w:val="0"/>
              <w:overflowPunct/>
              <w:topLinePunct w:val="0"/>
              <w:bidi w:val="0"/>
              <w:spacing w:line="400" w:lineRule="exact"/>
              <w:ind w:right="0" w:firstLine="0" w:firstLineChars="0"/>
              <w:jc w:val="left"/>
              <w:textAlignment w:val="bottom"/>
              <w:rPr>
                <w:rFonts w:hint="eastAsia" w:asciiTheme="majorEastAsia" w:hAnsiTheme="majorEastAsia" w:eastAsiaTheme="majorEastAsia" w:cstheme="majorEastAsia"/>
                <w:color w:val="auto"/>
                <w:spacing w:val="0"/>
                <w:sz w:val="21"/>
                <w:szCs w:val="21"/>
              </w:rPr>
            </w:pPr>
            <w:r>
              <w:rPr>
                <w:rFonts w:hint="eastAsia" w:asciiTheme="majorEastAsia" w:hAnsiTheme="majorEastAsia" w:eastAsiaTheme="majorEastAsia" w:cstheme="majorEastAsia"/>
                <w:color w:val="auto"/>
                <w:spacing w:val="0"/>
                <w:sz w:val="21"/>
                <w:szCs w:val="21"/>
              </w:rPr>
              <w:t>（1）所有要求</w:t>
            </w:r>
            <w:r>
              <w:rPr>
                <w:rFonts w:hint="eastAsia" w:asciiTheme="majorEastAsia" w:hAnsiTheme="majorEastAsia" w:eastAsiaTheme="majorEastAsia" w:cstheme="majorEastAsia"/>
                <w:color w:val="auto"/>
                <w:spacing w:val="0"/>
                <w:sz w:val="21"/>
                <w:szCs w:val="21"/>
                <w:lang w:eastAsia="zh-CN"/>
              </w:rPr>
              <w:t>投标人</w:t>
            </w:r>
            <w:r>
              <w:rPr>
                <w:rFonts w:hint="eastAsia" w:asciiTheme="majorEastAsia" w:hAnsiTheme="majorEastAsia" w:eastAsiaTheme="majorEastAsia" w:cstheme="majorEastAsia"/>
                <w:color w:val="auto"/>
                <w:spacing w:val="0"/>
                <w:sz w:val="21"/>
                <w:szCs w:val="21"/>
              </w:rPr>
              <w:t>加盖公章的地方都须加盖</w:t>
            </w:r>
            <w:r>
              <w:rPr>
                <w:rFonts w:hint="eastAsia" w:asciiTheme="majorEastAsia" w:hAnsiTheme="majorEastAsia" w:eastAsiaTheme="majorEastAsia" w:cstheme="majorEastAsia"/>
                <w:color w:val="auto"/>
                <w:spacing w:val="0"/>
                <w:sz w:val="21"/>
                <w:szCs w:val="21"/>
                <w:lang w:eastAsia="zh-CN"/>
              </w:rPr>
              <w:t>投标人</w:t>
            </w:r>
            <w:r>
              <w:rPr>
                <w:rFonts w:hint="eastAsia" w:asciiTheme="majorEastAsia" w:hAnsiTheme="majorEastAsia" w:eastAsiaTheme="majorEastAsia" w:cstheme="majorEastAsia"/>
                <w:color w:val="auto"/>
                <w:spacing w:val="0"/>
                <w:sz w:val="21"/>
                <w:szCs w:val="21"/>
              </w:rPr>
              <w:t>的 CA 印章。</w:t>
            </w:r>
          </w:p>
          <w:p w14:paraId="2500F66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color w:val="auto"/>
                <w:spacing w:val="0"/>
                <w:sz w:val="21"/>
                <w:szCs w:val="21"/>
              </w:rPr>
              <w:t>（2）所有要求法定代表人或其委托代理人签字的地方都须加盖法定代表人或其委托代理人的CA印章</w:t>
            </w:r>
            <w:r>
              <w:rPr>
                <w:rFonts w:hint="eastAsia" w:asciiTheme="majorEastAsia" w:hAnsiTheme="majorEastAsia" w:eastAsiaTheme="majorEastAsia" w:cstheme="majorEastAsia"/>
                <w:color w:val="auto"/>
                <w:spacing w:val="0"/>
                <w:sz w:val="21"/>
                <w:szCs w:val="21"/>
                <w:lang w:val="en-US" w:eastAsia="zh-CN"/>
              </w:rPr>
              <w:t>或签字</w:t>
            </w:r>
            <w:r>
              <w:rPr>
                <w:rFonts w:hint="eastAsia" w:asciiTheme="majorEastAsia" w:hAnsiTheme="majorEastAsia" w:eastAsiaTheme="majorEastAsia" w:cstheme="majorEastAsia"/>
                <w:color w:val="auto"/>
                <w:spacing w:val="0"/>
                <w:sz w:val="21"/>
                <w:szCs w:val="21"/>
              </w:rPr>
              <w:t>。</w:t>
            </w:r>
          </w:p>
        </w:tc>
      </w:tr>
      <w:tr w14:paraId="2963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noWrap w:val="0"/>
            <w:vAlign w:val="center"/>
          </w:tcPr>
          <w:p w14:paraId="431B7CE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rPr>
              <w:t>5.1</w:t>
            </w:r>
            <w:r>
              <w:rPr>
                <w:rFonts w:hint="eastAsia" w:asciiTheme="majorEastAsia" w:hAnsiTheme="majorEastAsia" w:eastAsiaTheme="majorEastAsia" w:cstheme="majorEastAsia"/>
                <w:kern w:val="0"/>
                <w:sz w:val="21"/>
                <w:szCs w:val="21"/>
                <w:lang w:val="en-US" w:eastAsia="zh-CN"/>
              </w:rPr>
              <w:t>.1</w:t>
            </w:r>
          </w:p>
        </w:tc>
        <w:tc>
          <w:tcPr>
            <w:tcW w:w="1864" w:type="dxa"/>
            <w:noWrap w:val="0"/>
            <w:vAlign w:val="center"/>
          </w:tcPr>
          <w:p w14:paraId="0620FC69">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pacing w:val="-6"/>
                <w:kern w:val="0"/>
                <w:sz w:val="21"/>
                <w:szCs w:val="21"/>
              </w:rPr>
              <w:t>开标时间和地点</w:t>
            </w:r>
          </w:p>
        </w:tc>
        <w:tc>
          <w:tcPr>
            <w:tcW w:w="7132" w:type="dxa"/>
            <w:noWrap w:val="0"/>
            <w:vAlign w:val="center"/>
          </w:tcPr>
          <w:p w14:paraId="4089136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highlight w:val="none"/>
              </w:rPr>
            </w:pPr>
            <w:r>
              <w:rPr>
                <w:rFonts w:hint="eastAsia" w:asciiTheme="majorEastAsia" w:hAnsiTheme="majorEastAsia" w:eastAsiaTheme="majorEastAsia" w:cstheme="majorEastAsia"/>
                <w:kern w:val="0"/>
                <w:sz w:val="21"/>
                <w:szCs w:val="21"/>
                <w:highlight w:val="none"/>
              </w:rPr>
              <w:t>开标时间：</w:t>
            </w:r>
            <w:r>
              <w:rPr>
                <w:rFonts w:hint="eastAsia" w:asciiTheme="majorEastAsia" w:hAnsiTheme="majorEastAsia" w:eastAsiaTheme="majorEastAsia" w:cstheme="majorEastAsia"/>
                <w:kern w:val="0"/>
                <w:sz w:val="21"/>
                <w:szCs w:val="21"/>
                <w:highlight w:val="none"/>
                <w:lang w:val="en-US" w:eastAsia="zh-CN"/>
              </w:rPr>
              <w:t>同公告开标时间</w:t>
            </w:r>
          </w:p>
          <w:p w14:paraId="12EA4A0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highlight w:val="none"/>
              </w:rPr>
              <w:t>开标地点：</w:t>
            </w:r>
            <w:r>
              <w:rPr>
                <w:rFonts w:hint="eastAsia" w:asciiTheme="majorEastAsia" w:hAnsiTheme="majorEastAsia" w:eastAsiaTheme="majorEastAsia" w:cstheme="majorEastAsia"/>
                <w:kern w:val="0"/>
                <w:sz w:val="21"/>
                <w:szCs w:val="21"/>
                <w:highlight w:val="none"/>
                <w:lang w:val="en-US" w:eastAsia="zh-CN"/>
              </w:rPr>
              <w:t>同公告开标地点</w:t>
            </w:r>
          </w:p>
        </w:tc>
      </w:tr>
      <w:tr w14:paraId="5EB4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noWrap w:val="0"/>
            <w:vAlign w:val="center"/>
          </w:tcPr>
          <w:p w14:paraId="7A67B086">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kern w:val="0"/>
                <w:sz w:val="21"/>
                <w:szCs w:val="21"/>
              </w:rPr>
              <w:t xml:space="preserve">5.2 </w:t>
            </w:r>
          </w:p>
        </w:tc>
        <w:tc>
          <w:tcPr>
            <w:tcW w:w="1864" w:type="dxa"/>
            <w:noWrap w:val="0"/>
            <w:vAlign w:val="center"/>
          </w:tcPr>
          <w:p w14:paraId="7880570F">
            <w:pPr>
              <w:keepNext w:val="0"/>
              <w:keepLines w:val="0"/>
              <w:pageBreakBefore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kern w:val="0"/>
                <w:sz w:val="21"/>
                <w:szCs w:val="21"/>
              </w:rPr>
              <w:t>开标程序</w:t>
            </w:r>
          </w:p>
        </w:tc>
        <w:tc>
          <w:tcPr>
            <w:tcW w:w="7132" w:type="dxa"/>
            <w:noWrap w:val="0"/>
            <w:vAlign w:val="center"/>
          </w:tcPr>
          <w:p w14:paraId="0B4AA54F">
            <w:pPr>
              <w:keepNext w:val="0"/>
              <w:keepLines w:val="0"/>
              <w:pageBreakBefore w:val="0"/>
              <w:kinsoku/>
              <w:overflowPunct/>
              <w:topLinePunct w:val="0"/>
              <w:bidi w:val="0"/>
              <w:spacing w:line="400" w:lineRule="exact"/>
              <w:ind w:right="0" w:firstLine="0" w:firstLineChars="0"/>
              <w:rPr>
                <w:rFonts w:hint="eastAsia" w:asciiTheme="majorEastAsia" w:hAnsiTheme="majorEastAsia" w:eastAsiaTheme="majorEastAsia" w:cstheme="majorEastAsia"/>
                <w:bCs/>
                <w:color w:val="auto"/>
                <w:sz w:val="21"/>
                <w:szCs w:val="21"/>
              </w:rPr>
            </w:pPr>
            <w:r>
              <w:rPr>
                <w:rFonts w:hint="eastAsia" w:asciiTheme="majorEastAsia" w:hAnsiTheme="majorEastAsia" w:eastAsiaTheme="majorEastAsia" w:cstheme="majorEastAsia"/>
                <w:bCs/>
                <w:color w:val="auto"/>
                <w:sz w:val="21"/>
                <w:szCs w:val="21"/>
              </w:rPr>
              <w:t>1.各</w:t>
            </w:r>
            <w:r>
              <w:rPr>
                <w:rFonts w:hint="eastAsia" w:asciiTheme="majorEastAsia" w:hAnsiTheme="majorEastAsia" w:eastAsiaTheme="majorEastAsia" w:cstheme="majorEastAsia"/>
                <w:bCs/>
                <w:color w:val="auto"/>
                <w:sz w:val="21"/>
                <w:szCs w:val="21"/>
                <w:lang w:eastAsia="zh-CN"/>
              </w:rPr>
              <w:t>投标人</w:t>
            </w:r>
            <w:r>
              <w:rPr>
                <w:rFonts w:hint="eastAsia" w:asciiTheme="majorEastAsia" w:hAnsiTheme="majorEastAsia" w:eastAsiaTheme="majorEastAsia" w:cstheme="majorEastAsia"/>
                <w:bCs/>
                <w:color w:val="auto"/>
                <w:sz w:val="21"/>
                <w:szCs w:val="21"/>
              </w:rPr>
              <w:t>应在投标截止时间前上传加密的电子投标文件（*.XYTF）到会员系统的指定位置。上传的电子投标文件应使用</w:t>
            </w:r>
            <w:r>
              <w:rPr>
                <w:rFonts w:hint="eastAsia" w:asciiTheme="majorEastAsia" w:hAnsiTheme="majorEastAsia" w:eastAsiaTheme="majorEastAsia" w:cstheme="majorEastAsia"/>
                <w:bCs/>
                <w:color w:val="auto"/>
                <w:sz w:val="21"/>
                <w:szCs w:val="21"/>
                <w:lang w:eastAsia="zh-CN"/>
              </w:rPr>
              <w:t>投标人</w:t>
            </w:r>
            <w:r>
              <w:rPr>
                <w:rFonts w:hint="eastAsia" w:asciiTheme="majorEastAsia" w:hAnsiTheme="majorEastAsia" w:eastAsiaTheme="majorEastAsia" w:cstheme="majorEastAsia"/>
                <w:bCs/>
                <w:color w:val="auto"/>
                <w:sz w:val="21"/>
                <w:szCs w:val="21"/>
              </w:rPr>
              <w:t>CA数字证书认证并加密。上传时必须得到交易系统“上传成功”的确认回复后方为上传成功。请</w:t>
            </w:r>
            <w:r>
              <w:rPr>
                <w:rFonts w:hint="eastAsia" w:asciiTheme="majorEastAsia" w:hAnsiTheme="majorEastAsia" w:eastAsiaTheme="majorEastAsia" w:cstheme="majorEastAsia"/>
                <w:bCs/>
                <w:color w:val="auto"/>
                <w:sz w:val="21"/>
                <w:szCs w:val="21"/>
                <w:lang w:eastAsia="zh-CN"/>
              </w:rPr>
              <w:t>投标人</w:t>
            </w:r>
            <w:r>
              <w:rPr>
                <w:rFonts w:hint="eastAsia" w:asciiTheme="majorEastAsia" w:hAnsiTheme="majorEastAsia" w:eastAsiaTheme="majorEastAsia" w:cstheme="majorEastAsia"/>
                <w:bCs/>
                <w:color w:val="auto"/>
                <w:sz w:val="21"/>
                <w:szCs w:val="21"/>
              </w:rPr>
              <w:t>在上传前务必认真检查上传</w:t>
            </w:r>
            <w:r>
              <w:rPr>
                <w:rFonts w:hint="eastAsia" w:asciiTheme="majorEastAsia" w:hAnsiTheme="majorEastAsia" w:eastAsiaTheme="majorEastAsia" w:cstheme="majorEastAsia"/>
                <w:bCs/>
                <w:color w:val="auto"/>
                <w:sz w:val="21"/>
                <w:szCs w:val="21"/>
                <w:lang w:eastAsia="zh-CN"/>
              </w:rPr>
              <w:t>投标文件</w:t>
            </w:r>
            <w:r>
              <w:rPr>
                <w:rFonts w:hint="eastAsia" w:asciiTheme="majorEastAsia" w:hAnsiTheme="majorEastAsia" w:eastAsiaTheme="majorEastAsia" w:cstheme="majorEastAsia"/>
                <w:bCs/>
                <w:color w:val="auto"/>
                <w:sz w:val="21"/>
                <w:szCs w:val="21"/>
              </w:rPr>
              <w:t>是否完整、正确。</w:t>
            </w:r>
          </w:p>
          <w:p w14:paraId="3BD59685">
            <w:pPr>
              <w:keepNext w:val="0"/>
              <w:keepLines w:val="0"/>
              <w:pageBreakBefore w:val="0"/>
              <w:kinsoku/>
              <w:overflowPunct/>
              <w:topLinePunct w:val="0"/>
              <w:bidi w:val="0"/>
              <w:spacing w:line="400" w:lineRule="exact"/>
              <w:ind w:right="0" w:firstLine="0" w:firstLineChars="0"/>
              <w:rPr>
                <w:rFonts w:hint="eastAsia" w:asciiTheme="majorEastAsia" w:hAnsiTheme="majorEastAsia" w:eastAsiaTheme="majorEastAsia" w:cstheme="majorEastAsia"/>
                <w:b/>
                <w:color w:val="auto"/>
                <w:sz w:val="21"/>
                <w:szCs w:val="21"/>
              </w:rPr>
            </w:pPr>
            <w:r>
              <w:rPr>
                <w:rFonts w:hint="eastAsia" w:asciiTheme="majorEastAsia" w:hAnsiTheme="majorEastAsia" w:eastAsiaTheme="majorEastAsia" w:cstheme="majorEastAsia"/>
                <w:b/>
                <w:color w:val="auto"/>
                <w:sz w:val="21"/>
                <w:szCs w:val="21"/>
              </w:rPr>
              <w:t>加密电子投标文件逾期上传，采购人不予受理</w:t>
            </w:r>
          </w:p>
          <w:p w14:paraId="17537215">
            <w:pPr>
              <w:keepNext w:val="0"/>
              <w:keepLines w:val="0"/>
              <w:pageBreakBefore w:val="0"/>
              <w:kinsoku/>
              <w:overflowPunct/>
              <w:topLinePunct w:val="0"/>
              <w:bidi w:val="0"/>
              <w:spacing w:line="400" w:lineRule="exact"/>
              <w:ind w:right="0" w:firstLine="0" w:firstLineChars="0"/>
              <w:rPr>
                <w:rFonts w:hint="eastAsia" w:asciiTheme="majorEastAsia" w:hAnsiTheme="majorEastAsia" w:eastAsiaTheme="majorEastAsia" w:cstheme="majorEastAsia"/>
                <w:bCs/>
                <w:color w:val="auto"/>
                <w:spacing w:val="0"/>
                <w:sz w:val="21"/>
                <w:szCs w:val="21"/>
              </w:rPr>
            </w:pPr>
            <w:r>
              <w:rPr>
                <w:rFonts w:hint="eastAsia" w:asciiTheme="majorEastAsia" w:hAnsiTheme="majorEastAsia" w:eastAsiaTheme="majorEastAsia" w:cstheme="majorEastAsia"/>
                <w:bCs/>
                <w:color w:val="auto"/>
                <w:spacing w:val="0"/>
                <w:sz w:val="21"/>
                <w:szCs w:val="21"/>
              </w:rPr>
              <w:t>2.本项目采用“不见面开标”交易方式，不见面开标大厅网址为 https://ggzyjy.xinyang.gov.cn/BidOpening/，</w:t>
            </w:r>
            <w:r>
              <w:rPr>
                <w:rFonts w:hint="eastAsia" w:asciiTheme="majorEastAsia" w:hAnsiTheme="majorEastAsia" w:eastAsiaTheme="majorEastAsia" w:cstheme="majorEastAsia"/>
                <w:bCs/>
                <w:color w:val="auto"/>
                <w:spacing w:val="0"/>
                <w:sz w:val="21"/>
                <w:szCs w:val="21"/>
                <w:lang w:eastAsia="zh-CN"/>
              </w:rPr>
              <w:t>投标人</w:t>
            </w:r>
            <w:r>
              <w:rPr>
                <w:rFonts w:hint="eastAsia" w:asciiTheme="majorEastAsia" w:hAnsiTheme="majorEastAsia" w:eastAsiaTheme="majorEastAsia" w:cstheme="majorEastAsia"/>
                <w:bCs/>
                <w:color w:val="auto"/>
                <w:spacing w:val="0"/>
                <w:sz w:val="21"/>
                <w:szCs w:val="21"/>
              </w:rPr>
              <w:t>无需寄送和递交非加密的电子投标文件，无需到现场参加开标会议，无需到达现场提交原件资料。</w:t>
            </w:r>
            <w:r>
              <w:rPr>
                <w:rFonts w:hint="eastAsia" w:asciiTheme="majorEastAsia" w:hAnsiTheme="majorEastAsia" w:eastAsiaTheme="majorEastAsia" w:cstheme="majorEastAsia"/>
                <w:bCs/>
                <w:color w:val="auto"/>
                <w:spacing w:val="0"/>
                <w:sz w:val="21"/>
                <w:szCs w:val="21"/>
                <w:lang w:eastAsia="zh-CN"/>
              </w:rPr>
              <w:t>投标人</w:t>
            </w:r>
            <w:r>
              <w:rPr>
                <w:rFonts w:hint="eastAsia" w:asciiTheme="majorEastAsia" w:hAnsiTheme="majorEastAsia" w:eastAsiaTheme="majorEastAsia" w:cstheme="majorEastAsia"/>
                <w:bCs/>
                <w:color w:val="auto"/>
                <w:spacing w:val="0"/>
                <w:sz w:val="21"/>
                <w:szCs w:val="21"/>
              </w:rPr>
              <w:t>应当在投标截止时间前，使用</w:t>
            </w:r>
            <w:r>
              <w:rPr>
                <w:rFonts w:hint="eastAsia" w:asciiTheme="majorEastAsia" w:hAnsiTheme="majorEastAsia" w:eastAsiaTheme="majorEastAsia" w:cstheme="majorEastAsia"/>
                <w:bCs/>
                <w:color w:val="auto"/>
                <w:spacing w:val="0"/>
                <w:sz w:val="21"/>
                <w:szCs w:val="21"/>
                <w:lang w:eastAsia="zh-CN"/>
              </w:rPr>
              <w:t>投标人</w:t>
            </w:r>
            <w:r>
              <w:rPr>
                <w:rFonts w:hint="eastAsia" w:asciiTheme="majorEastAsia" w:hAnsiTheme="majorEastAsia" w:eastAsiaTheme="majorEastAsia" w:cstheme="majorEastAsia"/>
                <w:bCs/>
                <w:color w:val="auto"/>
                <w:spacing w:val="0"/>
                <w:sz w:val="21"/>
                <w:szCs w:val="21"/>
              </w:rPr>
              <w:t>CA数字证书登录不见面开标大厅，在线签到并准时参加开标活动，并在规定时间内完成投标文件解密、答疑澄清等。</w:t>
            </w:r>
          </w:p>
          <w:p w14:paraId="2D12186E">
            <w:pPr>
              <w:keepNext w:val="0"/>
              <w:keepLines w:val="0"/>
              <w:pageBreakBefore w:val="0"/>
              <w:kinsoku/>
              <w:overflowPunct/>
              <w:topLinePunct w:val="0"/>
              <w:bidi w:val="0"/>
              <w:spacing w:line="400" w:lineRule="exact"/>
              <w:ind w:right="0" w:firstLine="0" w:firstLineChars="0"/>
              <w:rPr>
                <w:rFonts w:hint="eastAsia" w:asciiTheme="majorEastAsia" w:hAnsiTheme="majorEastAsia" w:eastAsiaTheme="majorEastAsia" w:cstheme="majorEastAsia"/>
                <w:bCs/>
                <w:color w:val="auto"/>
                <w:spacing w:val="0"/>
                <w:sz w:val="21"/>
                <w:szCs w:val="21"/>
              </w:rPr>
            </w:pPr>
            <w:r>
              <w:rPr>
                <w:rFonts w:hint="eastAsia" w:asciiTheme="majorEastAsia" w:hAnsiTheme="majorEastAsia" w:eastAsiaTheme="majorEastAsia" w:cstheme="majorEastAsia"/>
                <w:bCs/>
                <w:color w:val="auto"/>
                <w:spacing w:val="0"/>
                <w:sz w:val="21"/>
                <w:szCs w:val="21"/>
              </w:rPr>
              <w:t>逾期解密或者没有准时在线参加开标活动导致的一切后果</w:t>
            </w:r>
            <w:r>
              <w:rPr>
                <w:rFonts w:hint="eastAsia" w:asciiTheme="majorEastAsia" w:hAnsiTheme="majorEastAsia" w:eastAsiaTheme="majorEastAsia" w:cstheme="majorEastAsia"/>
                <w:bCs/>
                <w:color w:val="auto"/>
                <w:spacing w:val="0"/>
                <w:sz w:val="21"/>
                <w:szCs w:val="21"/>
                <w:lang w:eastAsia="zh-CN"/>
              </w:rPr>
              <w:t>投标人</w:t>
            </w:r>
            <w:r>
              <w:rPr>
                <w:rFonts w:hint="eastAsia" w:asciiTheme="majorEastAsia" w:hAnsiTheme="majorEastAsia" w:eastAsiaTheme="majorEastAsia" w:cstheme="majorEastAsia"/>
                <w:bCs/>
                <w:color w:val="auto"/>
                <w:spacing w:val="0"/>
                <w:sz w:val="21"/>
                <w:szCs w:val="21"/>
              </w:rPr>
              <w:t>自行承担。</w:t>
            </w:r>
          </w:p>
          <w:p w14:paraId="48E8F7C9">
            <w:pPr>
              <w:keepNext w:val="0"/>
              <w:keepLines w:val="0"/>
              <w:pageBreakBefore w:val="0"/>
              <w:kinsoku/>
              <w:overflowPunct/>
              <w:topLinePunct w:val="0"/>
              <w:bidi w:val="0"/>
              <w:spacing w:line="400" w:lineRule="exact"/>
              <w:ind w:right="0" w:firstLine="0" w:firstLineChars="0"/>
              <w:rPr>
                <w:rFonts w:hint="eastAsia" w:asciiTheme="majorEastAsia" w:hAnsiTheme="majorEastAsia" w:eastAsiaTheme="majorEastAsia" w:cstheme="majorEastAsia"/>
                <w:bCs/>
                <w:color w:val="auto"/>
                <w:spacing w:val="0"/>
                <w:sz w:val="21"/>
                <w:szCs w:val="21"/>
              </w:rPr>
            </w:pPr>
            <w:r>
              <w:rPr>
                <w:rFonts w:hint="eastAsia" w:asciiTheme="majorEastAsia" w:hAnsiTheme="majorEastAsia" w:eastAsiaTheme="majorEastAsia" w:cstheme="majorEastAsia"/>
                <w:bCs/>
                <w:color w:val="auto"/>
                <w:spacing w:val="0"/>
                <w:sz w:val="21"/>
                <w:szCs w:val="21"/>
              </w:rPr>
              <w:t>不见面开标服务的具体事宜，请查阅信阳市公共资源交易中心网站首页—下载中心—信阳市不见面开标大厅系统操作手册。</w:t>
            </w:r>
          </w:p>
          <w:p w14:paraId="0050C394">
            <w:pPr>
              <w:keepNext w:val="0"/>
              <w:keepLines w:val="0"/>
              <w:pageBreakBefore w:val="0"/>
              <w:kinsoku/>
              <w:overflowPunct/>
              <w:topLinePunct w:val="0"/>
              <w:bidi w:val="0"/>
              <w:spacing w:line="400" w:lineRule="exact"/>
              <w:ind w:right="0" w:rightChars="0" w:firstLine="0" w:firstLineChars="0"/>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color w:val="auto"/>
                <w:sz w:val="21"/>
                <w:szCs w:val="21"/>
              </w:rPr>
              <w:t>特别提示：</w:t>
            </w:r>
            <w:r>
              <w:rPr>
                <w:rFonts w:hint="eastAsia" w:asciiTheme="majorEastAsia" w:hAnsiTheme="majorEastAsia" w:eastAsiaTheme="majorEastAsia" w:cstheme="majorEastAsia"/>
                <w:b/>
                <w:color w:val="auto"/>
                <w:sz w:val="21"/>
                <w:szCs w:val="21"/>
                <w:lang w:eastAsia="zh-CN"/>
              </w:rPr>
              <w:t>投标人</w:t>
            </w:r>
            <w:r>
              <w:rPr>
                <w:rFonts w:hint="eastAsia" w:asciiTheme="majorEastAsia" w:hAnsiTheme="majorEastAsia" w:eastAsiaTheme="majorEastAsia" w:cstheme="majorEastAsia"/>
                <w:b/>
                <w:color w:val="auto"/>
                <w:sz w:val="21"/>
                <w:szCs w:val="21"/>
              </w:rPr>
              <w:t>在线签到时，应如实准确的填写授权委托人的联系电话，开标当天请务必保证电话保持畅通。</w:t>
            </w:r>
          </w:p>
        </w:tc>
      </w:tr>
      <w:tr w14:paraId="078B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noWrap w:val="0"/>
            <w:vAlign w:val="center"/>
          </w:tcPr>
          <w:p w14:paraId="069F62AC">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rPr>
              <w:t>6.1</w:t>
            </w:r>
            <w:r>
              <w:rPr>
                <w:rFonts w:hint="eastAsia" w:asciiTheme="majorEastAsia" w:hAnsiTheme="majorEastAsia" w:eastAsiaTheme="majorEastAsia" w:cstheme="majorEastAsia"/>
                <w:kern w:val="0"/>
                <w:sz w:val="21"/>
                <w:szCs w:val="21"/>
                <w:lang w:val="en-US" w:eastAsia="zh-CN"/>
              </w:rPr>
              <w:t>.1</w:t>
            </w:r>
          </w:p>
        </w:tc>
        <w:tc>
          <w:tcPr>
            <w:tcW w:w="1864" w:type="dxa"/>
            <w:noWrap w:val="0"/>
            <w:vAlign w:val="center"/>
          </w:tcPr>
          <w:p w14:paraId="1381756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评标委员会的</w:t>
            </w:r>
          </w:p>
          <w:p w14:paraId="04D58B3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组建</w:t>
            </w:r>
          </w:p>
        </w:tc>
        <w:tc>
          <w:tcPr>
            <w:tcW w:w="7132" w:type="dxa"/>
            <w:noWrap w:val="0"/>
            <w:vAlign w:val="center"/>
          </w:tcPr>
          <w:p w14:paraId="42E8813F">
            <w:pPr>
              <w:keepNext w:val="0"/>
              <w:keepLines w:val="0"/>
              <w:pageBreakBefore w:val="0"/>
              <w:widowControl w:val="0"/>
              <w:kinsoku/>
              <w:wordWrap/>
              <w:overflowPunct/>
              <w:topLinePunct w:val="0"/>
              <w:autoSpaceDE w:val="0"/>
              <w:autoSpaceDN w:val="0"/>
              <w:bidi w:val="0"/>
              <w:adjustRightInd w:val="0"/>
              <w:snapToGrid/>
              <w:spacing w:line="400" w:lineRule="exact"/>
              <w:ind w:right="0" w:firstLine="0" w:firstLineChars="0"/>
              <w:jc w:val="left"/>
              <w:textAlignment w:val="auto"/>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kern w:val="2"/>
                <w:sz w:val="21"/>
                <w:szCs w:val="21"/>
                <w:lang w:val="en-US" w:eastAsia="zh-CN" w:bidi="ar-SA"/>
              </w:rPr>
              <w:t>评标委员会构成：共5人组成，其中业主评委1人，评审专家4人。</w:t>
            </w:r>
          </w:p>
          <w:p w14:paraId="68C0762D">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sz w:val="21"/>
                <w:szCs w:val="21"/>
              </w:rPr>
              <w:t>专家确定方式：</w:t>
            </w:r>
            <w:r>
              <w:rPr>
                <w:rFonts w:hint="eastAsia" w:asciiTheme="majorEastAsia" w:hAnsiTheme="majorEastAsia" w:eastAsiaTheme="majorEastAsia" w:cstheme="majorEastAsia"/>
                <w:color w:val="auto"/>
                <w:sz w:val="21"/>
                <w:szCs w:val="21"/>
                <w:lang w:val="en-US" w:eastAsia="zh-CN"/>
              </w:rPr>
              <w:t>评标</w:t>
            </w:r>
            <w:r>
              <w:rPr>
                <w:rFonts w:hint="eastAsia" w:asciiTheme="majorEastAsia" w:hAnsiTheme="majorEastAsia" w:eastAsiaTheme="majorEastAsia" w:cstheme="majorEastAsia"/>
                <w:color w:val="auto"/>
                <w:sz w:val="21"/>
                <w:szCs w:val="21"/>
              </w:rPr>
              <w:t>前从政府采购专家库中随机抽取。</w:t>
            </w:r>
          </w:p>
        </w:tc>
      </w:tr>
      <w:tr w14:paraId="1ADF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80" w:type="dxa"/>
            <w:noWrap w:val="0"/>
            <w:vAlign w:val="center"/>
          </w:tcPr>
          <w:p w14:paraId="5A7F6FC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kern w:val="0"/>
                <w:sz w:val="21"/>
                <w:szCs w:val="21"/>
              </w:rPr>
              <w:t>7.1</w:t>
            </w:r>
            <w:r>
              <w:rPr>
                <w:rFonts w:hint="eastAsia" w:asciiTheme="majorEastAsia" w:hAnsiTheme="majorEastAsia" w:eastAsiaTheme="majorEastAsia" w:cstheme="majorEastAsia"/>
                <w:kern w:val="0"/>
                <w:sz w:val="21"/>
                <w:szCs w:val="21"/>
                <w:lang w:val="en-US" w:eastAsia="zh-CN"/>
              </w:rPr>
              <w:t>.1</w:t>
            </w:r>
          </w:p>
        </w:tc>
        <w:tc>
          <w:tcPr>
            <w:tcW w:w="1864" w:type="dxa"/>
            <w:noWrap w:val="0"/>
            <w:vAlign w:val="center"/>
          </w:tcPr>
          <w:p w14:paraId="78E8784E">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spacing w:val="-17"/>
                <w:kern w:val="0"/>
                <w:sz w:val="21"/>
                <w:szCs w:val="21"/>
              </w:rPr>
              <w:t>是否授权评标委员会确定中标人</w:t>
            </w:r>
          </w:p>
        </w:tc>
        <w:tc>
          <w:tcPr>
            <w:tcW w:w="7132" w:type="dxa"/>
            <w:noWrap w:val="0"/>
            <w:vAlign w:val="center"/>
          </w:tcPr>
          <w:p w14:paraId="6AA0FCE7">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kern w:val="0"/>
                <w:sz w:val="21"/>
                <w:szCs w:val="21"/>
              </w:rPr>
              <w:t>否，推荐</w:t>
            </w:r>
            <w:r>
              <w:rPr>
                <w:rFonts w:hint="eastAsia" w:asciiTheme="majorEastAsia" w:hAnsiTheme="majorEastAsia" w:eastAsiaTheme="majorEastAsia" w:cstheme="majorEastAsia"/>
                <w:color w:val="auto"/>
                <w:kern w:val="0"/>
                <w:sz w:val="21"/>
                <w:szCs w:val="21"/>
                <w:lang w:val="en-US" w:eastAsia="zh-CN"/>
              </w:rPr>
              <w:t>1-</w:t>
            </w:r>
            <w:r>
              <w:rPr>
                <w:rFonts w:hint="eastAsia" w:asciiTheme="majorEastAsia" w:hAnsiTheme="majorEastAsia" w:eastAsiaTheme="majorEastAsia" w:cstheme="majorEastAsia"/>
                <w:color w:val="auto"/>
                <w:kern w:val="0"/>
                <w:sz w:val="21"/>
                <w:szCs w:val="21"/>
              </w:rPr>
              <w:t>3名中标候选人。</w:t>
            </w:r>
          </w:p>
        </w:tc>
      </w:tr>
      <w:tr w14:paraId="51D8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80" w:type="dxa"/>
            <w:noWrap w:val="0"/>
            <w:vAlign w:val="center"/>
          </w:tcPr>
          <w:p w14:paraId="7B548ECB">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lang w:eastAsia="zh-CN"/>
              </w:rPr>
            </w:pPr>
            <w:r>
              <w:rPr>
                <w:rFonts w:hint="eastAsia" w:asciiTheme="majorEastAsia" w:hAnsiTheme="majorEastAsia" w:eastAsiaTheme="majorEastAsia" w:cstheme="majorEastAsia"/>
                <w:kern w:val="0"/>
                <w:sz w:val="21"/>
                <w:szCs w:val="21"/>
              </w:rPr>
              <w:t>7.</w:t>
            </w:r>
            <w:r>
              <w:rPr>
                <w:rFonts w:hint="eastAsia" w:asciiTheme="majorEastAsia" w:hAnsiTheme="majorEastAsia" w:eastAsiaTheme="majorEastAsia" w:cstheme="majorEastAsia"/>
                <w:kern w:val="0"/>
                <w:sz w:val="21"/>
                <w:szCs w:val="21"/>
                <w:lang w:val="en-US" w:eastAsia="zh-CN"/>
              </w:rPr>
              <w:t>3</w:t>
            </w:r>
          </w:p>
        </w:tc>
        <w:tc>
          <w:tcPr>
            <w:tcW w:w="1864" w:type="dxa"/>
            <w:noWrap w:val="0"/>
            <w:vAlign w:val="center"/>
          </w:tcPr>
          <w:p w14:paraId="09C4ADF4">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履约保证金</w:t>
            </w:r>
          </w:p>
        </w:tc>
        <w:tc>
          <w:tcPr>
            <w:tcW w:w="7132" w:type="dxa"/>
            <w:noWrap w:val="0"/>
            <w:vAlign w:val="center"/>
          </w:tcPr>
          <w:p w14:paraId="3D8F16D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lang w:val="en-US" w:eastAsia="zh-CN"/>
              </w:rPr>
            </w:pPr>
            <w:r>
              <w:rPr>
                <w:rFonts w:hint="eastAsia" w:asciiTheme="majorEastAsia" w:hAnsiTheme="majorEastAsia" w:eastAsiaTheme="majorEastAsia" w:cstheme="majorEastAsia"/>
                <w:sz w:val="21"/>
                <w:szCs w:val="21"/>
                <w:lang w:val="en-US" w:eastAsia="zh-CN"/>
              </w:rPr>
              <w:t>不收取</w:t>
            </w:r>
          </w:p>
        </w:tc>
      </w:tr>
      <w:tr w14:paraId="46F1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976" w:type="dxa"/>
            <w:gridSpan w:val="3"/>
            <w:shd w:val="clear" w:color="auto" w:fill="E3F2D9" w:themeFill="accent4" w:themeFillTint="32"/>
            <w:noWrap w:val="0"/>
            <w:vAlign w:val="center"/>
          </w:tcPr>
          <w:p w14:paraId="68AAC9E3">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kern w:val="0"/>
                <w:sz w:val="21"/>
                <w:szCs w:val="21"/>
              </w:rPr>
              <w:t>其他补充内容</w:t>
            </w:r>
          </w:p>
        </w:tc>
      </w:tr>
      <w:tr w14:paraId="2525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844" w:type="dxa"/>
            <w:gridSpan w:val="2"/>
            <w:noWrap w:val="0"/>
            <w:vAlign w:val="center"/>
          </w:tcPr>
          <w:p w14:paraId="00130F1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标书雷同性分析</w:t>
            </w:r>
          </w:p>
        </w:tc>
        <w:tc>
          <w:tcPr>
            <w:tcW w:w="7132" w:type="dxa"/>
            <w:noWrap w:val="0"/>
            <w:vAlign w:val="center"/>
          </w:tcPr>
          <w:p w14:paraId="06E91329">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文件制作机器码、文件创建标识码有相同的按废标处理。</w:t>
            </w:r>
          </w:p>
        </w:tc>
      </w:tr>
      <w:tr w14:paraId="2951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44" w:type="dxa"/>
            <w:gridSpan w:val="2"/>
            <w:noWrap w:val="0"/>
            <w:vAlign w:val="center"/>
          </w:tcPr>
          <w:p w14:paraId="3E6A9D10">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color w:val="auto"/>
                <w:kern w:val="0"/>
                <w:sz w:val="21"/>
                <w:szCs w:val="21"/>
              </w:rPr>
              <w:t>代理服务费</w:t>
            </w:r>
          </w:p>
        </w:tc>
        <w:tc>
          <w:tcPr>
            <w:tcW w:w="7132" w:type="dxa"/>
            <w:noWrap w:val="0"/>
            <w:vAlign w:val="center"/>
          </w:tcPr>
          <w:p w14:paraId="3C93DD0E">
            <w:pPr>
              <w:keepNext w:val="0"/>
              <w:keepLines w:val="0"/>
              <w:pageBreakBefore w:val="0"/>
              <w:widowControl w:val="0"/>
              <w:suppressLineNumbers w:val="0"/>
              <w:kinsoku/>
              <w:wordWrap w:val="0"/>
              <w:overflowPunct/>
              <w:topLinePunct w:val="0"/>
              <w:autoSpaceDE w:val="0"/>
              <w:autoSpaceDN w:val="0"/>
              <w:bidi w:val="0"/>
              <w:adjustRightInd w:val="0"/>
              <w:snapToGrid/>
              <w:spacing w:beforeAutospacing="0" w:afterAutospacing="0"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1.代理费收费约定：本项目代理费由中标企业支付，投标人报价应当包含该项目代理服务费。</w:t>
            </w:r>
          </w:p>
          <w:p w14:paraId="3E5286E2">
            <w:pPr>
              <w:keepNext w:val="0"/>
              <w:keepLines w:val="0"/>
              <w:pageBreakBefore w:val="0"/>
              <w:widowControl w:val="0"/>
              <w:suppressLineNumbers w:val="0"/>
              <w:kinsoku/>
              <w:wordWrap w:val="0"/>
              <w:overflowPunct/>
              <w:topLinePunct w:val="0"/>
              <w:autoSpaceDE w:val="0"/>
              <w:autoSpaceDN w:val="0"/>
              <w:bidi w:val="0"/>
              <w:adjustRightInd w:val="0"/>
              <w:snapToGrid/>
              <w:spacing w:beforeAutospacing="0" w:afterAutospacing="0"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2.本项目代理服务费按不高于“豫招协〔2023〕002号”规定的收费标准收取，中标人领取中标通知</w:t>
            </w:r>
            <w:r>
              <w:rPr>
                <w:rFonts w:hint="eastAsia" w:asciiTheme="majorEastAsia" w:hAnsiTheme="majorEastAsia" w:eastAsiaTheme="majorEastAsia" w:cstheme="majorEastAsia"/>
                <w:kern w:val="0"/>
                <w:sz w:val="21"/>
                <w:szCs w:val="21"/>
                <w:lang w:val="en-US" w:eastAsia="zh-CN"/>
              </w:rPr>
              <w:t>书</w:t>
            </w:r>
            <w:r>
              <w:rPr>
                <w:rFonts w:hint="eastAsia" w:asciiTheme="majorEastAsia" w:hAnsiTheme="majorEastAsia" w:eastAsiaTheme="majorEastAsia" w:cstheme="majorEastAsia"/>
                <w:kern w:val="0"/>
                <w:sz w:val="21"/>
                <w:szCs w:val="21"/>
              </w:rPr>
              <w:t>时向采购代理机构一次性付清。本项目中标服务费的收取按差额定率累进法计算，单标段上限不得超过10万元。</w:t>
            </w:r>
          </w:p>
          <w:p w14:paraId="01D8AB47">
            <w:pPr>
              <w:keepNext w:val="0"/>
              <w:keepLines w:val="0"/>
              <w:pageBreakBefore w:val="0"/>
              <w:widowControl w:val="0"/>
              <w:suppressLineNumbers w:val="0"/>
              <w:kinsoku/>
              <w:wordWrap w:val="0"/>
              <w:overflowPunct/>
              <w:topLinePunct w:val="0"/>
              <w:autoSpaceDE w:val="0"/>
              <w:autoSpaceDN w:val="0"/>
              <w:bidi w:val="0"/>
              <w:adjustRightInd w:val="0"/>
              <w:snapToGrid/>
              <w:spacing w:beforeAutospacing="0" w:afterAutospacing="0" w:line="400" w:lineRule="exact"/>
              <w:ind w:right="0" w:rightChars="0" w:firstLine="0" w:firstLineChars="0"/>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3.收费标准：预算金额的100万（含）以下部分费率为1.</w:t>
            </w:r>
            <w:r>
              <w:rPr>
                <w:rFonts w:hint="eastAsia" w:asciiTheme="majorEastAsia" w:hAnsiTheme="majorEastAsia" w:eastAsiaTheme="majorEastAsia" w:cstheme="majorEastAsia"/>
                <w:kern w:val="0"/>
                <w:sz w:val="21"/>
                <w:szCs w:val="21"/>
                <w:lang w:val="en-US"/>
              </w:rPr>
              <w:t>7</w:t>
            </w:r>
            <w:r>
              <w:rPr>
                <w:rFonts w:hint="eastAsia" w:asciiTheme="majorEastAsia" w:hAnsiTheme="majorEastAsia" w:eastAsiaTheme="majorEastAsia" w:cstheme="majorEastAsia"/>
                <w:kern w:val="0"/>
                <w:sz w:val="21"/>
                <w:szCs w:val="21"/>
              </w:rPr>
              <w:t>%</w:t>
            </w:r>
            <w:r>
              <w:rPr>
                <w:rFonts w:hint="eastAsia" w:asciiTheme="majorEastAsia" w:hAnsiTheme="majorEastAsia" w:eastAsiaTheme="majorEastAsia" w:cstheme="majorEastAsia"/>
                <w:kern w:val="0"/>
                <w:sz w:val="21"/>
                <w:szCs w:val="21"/>
                <w:lang w:val="en-US" w:eastAsia="zh-CN"/>
              </w:rPr>
              <w:t xml:space="preserve"> </w:t>
            </w:r>
            <w:r>
              <w:rPr>
                <w:rFonts w:hint="eastAsia" w:asciiTheme="majorEastAsia" w:hAnsiTheme="majorEastAsia" w:eastAsiaTheme="majorEastAsia" w:cstheme="majorEastAsia"/>
                <w:kern w:val="0"/>
                <w:sz w:val="21"/>
                <w:szCs w:val="21"/>
              </w:rPr>
              <w:t>；</w:t>
            </w:r>
          </w:p>
          <w:p w14:paraId="2515C7DC">
            <w:pPr>
              <w:pStyle w:val="21"/>
              <w:keepNext w:val="0"/>
              <w:keepLines w:val="0"/>
              <w:pageBreakBefore w:val="0"/>
              <w:widowControl w:val="0"/>
              <w:kinsoku/>
              <w:overflowPunct/>
              <w:topLinePunct w:val="0"/>
              <w:bidi w:val="0"/>
              <w:snapToGrid/>
              <w:spacing w:after="0" w:line="400" w:lineRule="exact"/>
              <w:ind w:left="0" w:leftChars="0" w:firstLine="0" w:firstLineChars="0"/>
              <w:textAlignment w:val="auto"/>
              <w:rPr>
                <w:rFonts w:hint="eastAsia" w:asciiTheme="majorEastAsia" w:hAnsiTheme="majorEastAsia" w:eastAsiaTheme="majorEastAsia" w:cstheme="majorEastAsia"/>
                <w:kern w:val="0"/>
                <w:sz w:val="21"/>
                <w:szCs w:val="21"/>
                <w:lang w:val="en-US" w:eastAsia="zh-CN" w:bidi="ar-SA"/>
              </w:rPr>
            </w:pPr>
            <w:r>
              <w:rPr>
                <w:rFonts w:hint="eastAsia" w:asciiTheme="majorEastAsia" w:hAnsiTheme="majorEastAsia" w:eastAsiaTheme="majorEastAsia" w:cstheme="majorEastAsia"/>
                <w:kern w:val="0"/>
                <w:sz w:val="21"/>
                <w:szCs w:val="21"/>
                <w:lang w:val="en-US" w:eastAsia="zh-CN" w:bidi="ar-SA"/>
              </w:rPr>
              <w:t>预算金额的100-500万部分费率为1.2% 。</w:t>
            </w:r>
          </w:p>
        </w:tc>
      </w:tr>
      <w:tr w14:paraId="7685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844" w:type="dxa"/>
            <w:gridSpan w:val="2"/>
            <w:noWrap w:val="0"/>
            <w:vAlign w:val="center"/>
          </w:tcPr>
          <w:p w14:paraId="1FE4C385">
            <w:pPr>
              <w:keepNext w:val="0"/>
              <w:keepLines w:val="0"/>
              <w:pageBreakBefore w:val="0"/>
              <w:widowControl w:val="0"/>
              <w:kinsoku/>
              <w:overflowPunct/>
              <w:topLinePunct w:val="0"/>
              <w:autoSpaceDE w:val="0"/>
              <w:autoSpaceDN w:val="0"/>
              <w:bidi w:val="0"/>
              <w:adjustRightInd w:val="0"/>
              <w:spacing w:line="400" w:lineRule="exact"/>
              <w:ind w:right="0" w:rightChars="0" w:firstLine="0" w:firstLineChars="0"/>
              <w:jc w:val="center"/>
              <w:rPr>
                <w:rFonts w:hint="eastAsia" w:asciiTheme="majorEastAsia" w:hAnsiTheme="majorEastAsia" w:eastAsiaTheme="majorEastAsia" w:cstheme="majorEastAsia"/>
                <w:b w:val="0"/>
                <w:bCs/>
                <w:color w:val="auto"/>
                <w:kern w:val="0"/>
                <w:sz w:val="21"/>
                <w:szCs w:val="21"/>
              </w:rPr>
            </w:pPr>
            <w:r>
              <w:rPr>
                <w:rFonts w:hint="eastAsia" w:asciiTheme="majorEastAsia" w:hAnsiTheme="majorEastAsia" w:eastAsiaTheme="majorEastAsia" w:cstheme="majorEastAsia"/>
                <w:color w:val="auto"/>
                <w:sz w:val="21"/>
                <w:szCs w:val="21"/>
              </w:rPr>
              <w:t>其他</w:t>
            </w:r>
          </w:p>
        </w:tc>
        <w:tc>
          <w:tcPr>
            <w:tcW w:w="7132" w:type="dxa"/>
            <w:noWrap w:val="0"/>
            <w:vAlign w:val="center"/>
          </w:tcPr>
          <w:p w14:paraId="346EEAAA">
            <w:pPr>
              <w:keepNext w:val="0"/>
              <w:keepLines w:val="0"/>
              <w:pageBreakBefore w:val="0"/>
              <w:widowControl w:val="0"/>
              <w:suppressLineNumbers w:val="0"/>
              <w:kinsoku/>
              <w:wordWrap w:val="0"/>
              <w:overflowPunct/>
              <w:topLinePunct w:val="0"/>
              <w:bidi w:val="0"/>
              <w:adjustRightInd w:val="0"/>
              <w:spacing w:beforeAutospacing="0" w:afterAutospacing="0" w:line="400" w:lineRule="exact"/>
              <w:ind w:right="0" w:rightChars="0" w:firstLine="0" w:firstLineChars="0"/>
              <w:jc w:val="left"/>
              <w:textAlignment w:val="baseline"/>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kern w:val="0"/>
                <w:sz w:val="21"/>
                <w:szCs w:val="21"/>
                <w:highlight w:val="none"/>
                <w:lang w:val="en-US" w:eastAsia="zh-CN" w:bidi="ar-SA"/>
              </w:rPr>
              <w:t>本项目对应的中小企业所属行业为：</w:t>
            </w:r>
            <w:r>
              <w:rPr>
                <w:rFonts w:hint="eastAsia" w:asciiTheme="majorEastAsia" w:hAnsiTheme="majorEastAsia" w:eastAsiaTheme="majorEastAsia" w:cstheme="majorEastAsia"/>
                <w:b/>
                <w:bCs w:val="0"/>
                <w:color w:val="auto"/>
                <w:kern w:val="0"/>
                <w:sz w:val="21"/>
                <w:szCs w:val="21"/>
                <w:highlight w:val="none"/>
                <w:lang w:val="en-US" w:eastAsia="zh-CN" w:bidi="ar-SA"/>
              </w:rPr>
              <w:t>租赁和商务服务业</w:t>
            </w:r>
            <w:r>
              <w:rPr>
                <w:rFonts w:hint="eastAsia" w:asciiTheme="majorEastAsia" w:hAnsiTheme="majorEastAsia" w:eastAsiaTheme="majorEastAsia" w:cstheme="majorEastAsia"/>
                <w:b w:val="0"/>
                <w:bCs/>
                <w:color w:val="auto"/>
                <w:kern w:val="0"/>
                <w:sz w:val="21"/>
                <w:szCs w:val="21"/>
                <w:highlight w:val="none"/>
                <w:lang w:val="en-US" w:eastAsia="zh-CN" w:bidi="ar-SA"/>
              </w:rPr>
              <w:t>。</w:t>
            </w:r>
          </w:p>
        </w:tc>
      </w:tr>
    </w:tbl>
    <w:p w14:paraId="12B40E97">
      <w:pPr>
        <w:rPr>
          <w:rFonts w:hint="eastAsia" w:ascii="宋体" w:hAnsi="宋体" w:eastAsia="宋体" w:cs="宋体"/>
          <w:b/>
          <w:color w:val="auto"/>
          <w:spacing w:val="0"/>
          <w:sz w:val="28"/>
          <w:szCs w:val="28"/>
          <w:lang w:val="en-US" w:eastAsia="zh-CN"/>
        </w:rPr>
      </w:pPr>
      <w:bookmarkStart w:id="21" w:name="_Toc17453"/>
      <w:r>
        <w:rPr>
          <w:rFonts w:hint="eastAsia" w:ascii="宋体" w:hAnsi="宋体" w:eastAsia="宋体" w:cs="宋体"/>
          <w:b/>
          <w:color w:val="auto"/>
          <w:spacing w:val="0"/>
          <w:sz w:val="28"/>
          <w:szCs w:val="28"/>
          <w:lang w:val="en-US" w:eastAsia="zh-CN"/>
        </w:rPr>
        <w:br w:type="page"/>
      </w:r>
    </w:p>
    <w:p w14:paraId="77EF3942">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r>
        <w:rPr>
          <w:rFonts w:hint="eastAsia" w:ascii="宋体" w:hAnsi="宋体" w:eastAsia="宋体" w:cs="宋体"/>
          <w:b/>
          <w:color w:val="auto"/>
          <w:spacing w:val="0"/>
          <w:sz w:val="24"/>
          <w:szCs w:val="24"/>
          <w:lang w:val="en-US" w:eastAsia="zh-CN"/>
        </w:rPr>
        <w:t>1.总则</w:t>
      </w:r>
      <w:bookmarkEnd w:id="21"/>
    </w:p>
    <w:p w14:paraId="1BC9CBDA">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项目概况</w:t>
      </w:r>
      <w:r>
        <w:rPr>
          <w:rFonts w:hint="eastAsia" w:ascii="宋体" w:hAnsi="宋体" w:eastAsia="宋体" w:cs="宋体"/>
          <w:b/>
          <w:bCs/>
          <w:sz w:val="24"/>
          <w:szCs w:val="24"/>
        </w:rPr>
        <w:tab/>
      </w:r>
    </w:p>
    <w:p w14:paraId="530F4124">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根据《中华人民共和国政府采购法》</w:t>
      </w:r>
      <w:r>
        <w:rPr>
          <w:rFonts w:hint="eastAsia" w:ascii="宋体" w:hAnsi="宋体" w:eastAsia="宋体" w:cs="宋体"/>
          <w:sz w:val="24"/>
          <w:szCs w:val="24"/>
          <w:lang w:eastAsia="zh-CN"/>
        </w:rPr>
        <w:t>、</w:t>
      </w:r>
      <w:r>
        <w:rPr>
          <w:rFonts w:hint="eastAsia" w:ascii="宋体" w:hAnsi="宋体" w:eastAsia="宋体" w:cs="宋体"/>
          <w:color w:val="auto"/>
          <w:spacing w:val="0"/>
          <w:sz w:val="24"/>
          <w:szCs w:val="24"/>
        </w:rPr>
        <w:t>《中华人民共和国政府采购法实施条例》等有关法律、法规和规章的规定，本招标项目已具备招标条件，现对本项目进行公开招标。</w:t>
      </w:r>
    </w:p>
    <w:p w14:paraId="60C20231">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采购人：见投标人须知前附表。</w:t>
      </w:r>
    </w:p>
    <w:p w14:paraId="2539721B">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采购代理机构：见投标人须知前附表。</w:t>
      </w:r>
    </w:p>
    <w:p w14:paraId="577DC2C0">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项目名称：见投标人须知前附表。</w:t>
      </w:r>
    </w:p>
    <w:p w14:paraId="20BE8D8A">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1.1.5</w:t>
      </w:r>
      <w:r>
        <w:rPr>
          <w:rFonts w:hint="eastAsia" w:ascii="宋体" w:hAnsi="宋体" w:eastAsia="宋体" w:cs="宋体"/>
          <w:sz w:val="24"/>
          <w:szCs w:val="24"/>
          <w:lang w:val="en-US" w:eastAsia="zh-CN"/>
        </w:rPr>
        <w:t xml:space="preserve"> </w:t>
      </w:r>
      <w:r>
        <w:rPr>
          <w:rFonts w:hint="eastAsia" w:ascii="宋体" w:hAnsi="宋体" w:eastAsia="宋体" w:cs="宋体"/>
          <w:color w:val="auto"/>
          <w:spacing w:val="0"/>
          <w:sz w:val="24"/>
          <w:szCs w:val="24"/>
          <w:lang w:val="en-US" w:eastAsia="zh-CN"/>
        </w:rPr>
        <w:t>包</w:t>
      </w:r>
      <w:r>
        <w:rPr>
          <w:rFonts w:hint="eastAsia" w:ascii="宋体" w:hAnsi="宋体" w:eastAsia="宋体" w:cs="宋体"/>
          <w:color w:val="auto"/>
          <w:spacing w:val="0"/>
          <w:sz w:val="24"/>
          <w:szCs w:val="24"/>
        </w:rPr>
        <w:t>段划分及最高限价：见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5DE30FC0">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1.1.6 采购</w:t>
      </w:r>
      <w:r>
        <w:rPr>
          <w:rFonts w:hint="eastAsia" w:ascii="宋体" w:hAnsi="宋体" w:eastAsia="宋体" w:cs="宋体"/>
          <w:sz w:val="24"/>
          <w:szCs w:val="24"/>
        </w:rPr>
        <w:t>方式：见投标人须知前附表。</w:t>
      </w:r>
    </w:p>
    <w:p w14:paraId="5C98A9A6">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1.2</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资金来源和落实情况</w:t>
      </w:r>
    </w:p>
    <w:p w14:paraId="49D459C3">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1.2.1资金来源：见投标人须知前附表。</w:t>
      </w:r>
    </w:p>
    <w:p w14:paraId="1EA69C1C">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1.2.2出资比例：见投标人须知前附表。</w:t>
      </w:r>
    </w:p>
    <w:p w14:paraId="34993562">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1.3</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采购内容、</w:t>
      </w:r>
      <w:r>
        <w:rPr>
          <w:rFonts w:hint="eastAsia" w:ascii="宋体" w:hAnsi="宋体" w:eastAsia="宋体" w:cs="宋体"/>
          <w:b/>
          <w:bCs/>
          <w:sz w:val="24"/>
          <w:szCs w:val="24"/>
          <w:lang w:eastAsia="zh-CN"/>
        </w:rPr>
        <w:t>服务</w:t>
      </w:r>
      <w:r>
        <w:rPr>
          <w:rFonts w:hint="eastAsia" w:ascii="宋体" w:hAnsi="宋体" w:eastAsia="宋体" w:cs="宋体"/>
          <w:b/>
          <w:bCs/>
          <w:sz w:val="24"/>
          <w:szCs w:val="24"/>
          <w:lang w:val="en-US" w:eastAsia="zh-CN"/>
        </w:rPr>
        <w:t>期限</w:t>
      </w:r>
      <w:r>
        <w:rPr>
          <w:rFonts w:hint="eastAsia" w:ascii="宋体" w:hAnsi="宋体" w:eastAsia="宋体" w:cs="宋体"/>
          <w:b/>
          <w:bCs/>
          <w:sz w:val="24"/>
          <w:szCs w:val="24"/>
        </w:rPr>
        <w:t>、</w:t>
      </w:r>
      <w:r>
        <w:rPr>
          <w:rFonts w:hint="eastAsia" w:ascii="宋体" w:hAnsi="宋体" w:eastAsia="宋体" w:cs="宋体"/>
          <w:b/>
          <w:color w:val="auto"/>
          <w:spacing w:val="0"/>
          <w:sz w:val="24"/>
          <w:szCs w:val="24"/>
          <w:lang w:val="en-US" w:eastAsia="zh-CN"/>
        </w:rPr>
        <w:t>服务地点</w:t>
      </w:r>
      <w:r>
        <w:rPr>
          <w:rFonts w:hint="eastAsia" w:ascii="宋体" w:hAnsi="宋体" w:eastAsia="宋体" w:cs="宋体"/>
          <w:b/>
          <w:color w:val="auto"/>
          <w:spacing w:val="0"/>
          <w:sz w:val="24"/>
          <w:szCs w:val="24"/>
        </w:rPr>
        <w:t>、</w:t>
      </w:r>
      <w:r>
        <w:rPr>
          <w:rFonts w:hint="eastAsia" w:ascii="宋体" w:hAnsi="宋体" w:eastAsia="宋体" w:cs="宋体"/>
          <w:b/>
          <w:bCs/>
          <w:sz w:val="24"/>
          <w:szCs w:val="24"/>
          <w:lang w:val="en-US" w:eastAsia="zh-CN"/>
        </w:rPr>
        <w:t>服务要求</w:t>
      </w:r>
    </w:p>
    <w:p w14:paraId="3458AEAD">
      <w:pPr>
        <w:keepNext w:val="0"/>
        <w:keepLines w:val="0"/>
        <w:pageBreakBefore w:val="0"/>
        <w:widowControl/>
        <w:tabs>
          <w:tab w:val="left" w:pos="181"/>
          <w:tab w:val="left" w:pos="350"/>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1.3.1 采购内容：见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66497FA4">
      <w:pPr>
        <w:keepNext w:val="0"/>
        <w:keepLines w:val="0"/>
        <w:pageBreakBefore w:val="0"/>
        <w:widowControl/>
        <w:tabs>
          <w:tab w:val="left" w:pos="181"/>
          <w:tab w:val="left" w:pos="350"/>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pacing w:val="0"/>
          <w:sz w:val="24"/>
          <w:szCs w:val="24"/>
          <w:lang w:eastAsia="zh-CN"/>
        </w:rPr>
      </w:pPr>
      <w:r>
        <w:rPr>
          <w:rFonts w:hint="eastAsia" w:ascii="宋体" w:hAnsi="宋体" w:eastAsia="宋体" w:cs="宋体"/>
          <w:color w:val="auto"/>
          <w:spacing w:val="0"/>
          <w:sz w:val="24"/>
          <w:szCs w:val="24"/>
        </w:rPr>
        <w:t xml:space="preserve">1.3.2 </w:t>
      </w:r>
      <w:r>
        <w:rPr>
          <w:rFonts w:hint="eastAsia" w:ascii="宋体" w:hAnsi="宋体" w:eastAsia="宋体" w:cs="宋体"/>
          <w:color w:val="auto"/>
          <w:spacing w:val="0"/>
          <w:kern w:val="0"/>
          <w:sz w:val="24"/>
          <w:szCs w:val="24"/>
          <w:lang w:val="en-US" w:eastAsia="zh-CN"/>
        </w:rPr>
        <w:t>服务</w:t>
      </w:r>
      <w:r>
        <w:rPr>
          <w:rFonts w:hint="eastAsia" w:ascii="宋体" w:hAnsi="宋体" w:eastAsia="宋体" w:cs="宋体"/>
          <w:color w:val="auto"/>
          <w:spacing w:val="0"/>
          <w:kern w:val="0"/>
          <w:sz w:val="24"/>
          <w:szCs w:val="24"/>
          <w:lang w:eastAsia="zh-CN"/>
        </w:rPr>
        <w:t>期限</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rPr>
        <w:t>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610CFBC6">
      <w:pPr>
        <w:keepNext w:val="0"/>
        <w:keepLines w:val="0"/>
        <w:pageBreakBefore w:val="0"/>
        <w:widowControl/>
        <w:tabs>
          <w:tab w:val="left" w:pos="181"/>
          <w:tab w:val="left" w:pos="350"/>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lang w:val="en-US" w:eastAsia="zh-CN"/>
        </w:rPr>
        <w:t>1.3.3 服务地点</w:t>
      </w:r>
      <w:r>
        <w:rPr>
          <w:rFonts w:hint="eastAsia" w:ascii="宋体" w:hAnsi="宋体" w:eastAsia="宋体" w:cs="宋体"/>
          <w:color w:val="auto"/>
          <w:spacing w:val="0"/>
          <w:sz w:val="24"/>
          <w:szCs w:val="24"/>
        </w:rPr>
        <w:t>：见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6F56B7E6">
      <w:pPr>
        <w:keepNext w:val="0"/>
        <w:keepLines w:val="0"/>
        <w:pageBreakBefore w:val="0"/>
        <w:widowControl/>
        <w:tabs>
          <w:tab w:val="left" w:pos="181"/>
          <w:tab w:val="left" w:pos="350"/>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1.3.</w:t>
      </w:r>
      <w:r>
        <w:rPr>
          <w:rFonts w:hint="eastAsia" w:ascii="宋体" w:hAnsi="宋体" w:eastAsia="宋体" w:cs="宋体"/>
          <w:color w:val="auto"/>
          <w:spacing w:val="0"/>
          <w:sz w:val="24"/>
          <w:szCs w:val="24"/>
          <w:lang w:val="en-US" w:eastAsia="zh-CN"/>
        </w:rPr>
        <w:t>4</w:t>
      </w:r>
      <w:r>
        <w:rPr>
          <w:rFonts w:hint="eastAsia" w:ascii="宋体" w:hAnsi="宋体" w:eastAsia="宋体" w:cs="宋体"/>
          <w:color w:val="auto"/>
          <w:spacing w:val="0"/>
          <w:sz w:val="24"/>
          <w:szCs w:val="24"/>
        </w:rPr>
        <w:t xml:space="preserve"> </w:t>
      </w:r>
      <w:r>
        <w:rPr>
          <w:rFonts w:hint="eastAsia" w:ascii="宋体" w:hAnsi="宋体" w:eastAsia="宋体" w:cs="宋体"/>
          <w:color w:val="auto"/>
          <w:spacing w:val="0"/>
          <w:sz w:val="24"/>
          <w:szCs w:val="24"/>
          <w:lang w:val="en-US" w:eastAsia="zh-CN"/>
        </w:rPr>
        <w:t>服务要求</w:t>
      </w:r>
      <w:r>
        <w:rPr>
          <w:rFonts w:hint="eastAsia" w:ascii="宋体" w:hAnsi="宋体" w:eastAsia="宋体" w:cs="宋体"/>
          <w:color w:val="auto"/>
          <w:spacing w:val="0"/>
          <w:sz w:val="24"/>
          <w:szCs w:val="24"/>
        </w:rPr>
        <w:t>：见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3F189D11">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1.4</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 xml:space="preserve">投标人资格要求 </w:t>
      </w:r>
    </w:p>
    <w:p w14:paraId="17FA7ABC">
      <w:pPr>
        <w:keepNext w:val="0"/>
        <w:keepLines w:val="0"/>
        <w:pageBreakBefore w:val="0"/>
        <w:widowControl/>
        <w:tabs>
          <w:tab w:val="left" w:pos="35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投标人资格要求：见投标人须知前附表。</w:t>
      </w:r>
    </w:p>
    <w:p w14:paraId="1D126E7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投标人须知前附表规定接受联合体投标的，除应符合本章第1.4.</w:t>
      </w:r>
      <w:r>
        <w:rPr>
          <w:rFonts w:hint="eastAsia" w:ascii="宋体" w:hAnsi="宋体" w:eastAsia="宋体" w:cs="宋体"/>
          <w:sz w:val="24"/>
          <w:szCs w:val="24"/>
          <w:lang w:val="en-US" w:eastAsia="zh-CN"/>
        </w:rPr>
        <w:t>1</w:t>
      </w:r>
      <w:r>
        <w:rPr>
          <w:rFonts w:hint="eastAsia" w:ascii="宋体" w:hAnsi="宋体" w:eastAsia="宋体" w:cs="宋体"/>
          <w:sz w:val="24"/>
          <w:szCs w:val="24"/>
        </w:rPr>
        <w:t xml:space="preserve">项和投标人须知前附表的要求外，还应遵守以下规定： </w:t>
      </w:r>
    </w:p>
    <w:p w14:paraId="1F781E6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pacing w:val="-6"/>
          <w:sz w:val="24"/>
          <w:szCs w:val="24"/>
        </w:rPr>
        <w:t>联合体各方应按招标文件</w:t>
      </w:r>
      <w:r>
        <w:rPr>
          <w:rFonts w:hint="eastAsia" w:ascii="宋体" w:hAnsi="宋体" w:eastAsia="宋体" w:cs="宋体"/>
          <w:spacing w:val="-6"/>
          <w:sz w:val="24"/>
          <w:szCs w:val="24"/>
          <w:lang w:eastAsia="zh-CN"/>
        </w:rPr>
        <w:t>的</w:t>
      </w:r>
      <w:r>
        <w:rPr>
          <w:rFonts w:hint="eastAsia" w:ascii="宋体" w:hAnsi="宋体" w:eastAsia="宋体" w:cs="宋体"/>
          <w:spacing w:val="-6"/>
          <w:sz w:val="24"/>
          <w:szCs w:val="24"/>
          <w:lang w:val="en-US" w:eastAsia="zh-CN"/>
        </w:rPr>
        <w:t>要求</w:t>
      </w:r>
      <w:r>
        <w:rPr>
          <w:rFonts w:hint="eastAsia" w:ascii="宋体" w:hAnsi="宋体" w:eastAsia="宋体" w:cs="宋体"/>
          <w:spacing w:val="-6"/>
          <w:sz w:val="24"/>
          <w:szCs w:val="24"/>
        </w:rPr>
        <w:t>签订联合体协议书，明确联合体牵头人和各方权利义务；</w:t>
      </w:r>
    </w:p>
    <w:p w14:paraId="1128BA0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pacing w:val="-6"/>
          <w:sz w:val="24"/>
          <w:szCs w:val="24"/>
        </w:rPr>
        <w:t>由同一专业的单位组成的联合体，按照资质等级较低的单位确定资质等级；</w:t>
      </w:r>
      <w:r>
        <w:rPr>
          <w:rFonts w:hint="eastAsia" w:ascii="宋体" w:hAnsi="宋体" w:eastAsia="宋体" w:cs="宋体"/>
          <w:sz w:val="24"/>
          <w:szCs w:val="24"/>
        </w:rPr>
        <w:t xml:space="preserve"> </w:t>
      </w:r>
    </w:p>
    <w:p w14:paraId="2C9B79D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pacing w:val="-6"/>
          <w:sz w:val="24"/>
          <w:szCs w:val="24"/>
        </w:rPr>
        <w:t>联合体各方不得再以自己名义单独或参加其他联合体在同一标段中投标。</w:t>
      </w:r>
    </w:p>
    <w:p w14:paraId="1B38331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val="en-US" w:eastAsia="zh-CN"/>
        </w:rPr>
        <w:t xml:space="preserve">3 </w:t>
      </w:r>
      <w:r>
        <w:rPr>
          <w:rFonts w:hint="eastAsia" w:ascii="宋体" w:hAnsi="宋体" w:eastAsia="宋体" w:cs="宋体"/>
          <w:sz w:val="24"/>
          <w:szCs w:val="24"/>
        </w:rPr>
        <w:t>投标人不得存在下列情形：　</w:t>
      </w:r>
    </w:p>
    <w:p w14:paraId="4E0242CD">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bookmarkStart w:id="22" w:name="_Toc297211670"/>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1</w:t>
      </w:r>
      <w:r>
        <w:rPr>
          <w:rFonts w:hint="eastAsia" w:ascii="宋体" w:hAnsi="宋体" w:eastAsia="宋体" w:cs="宋体"/>
          <w:color w:val="auto"/>
          <w:spacing w:val="0"/>
          <w:sz w:val="24"/>
          <w:szCs w:val="24"/>
        </w:rPr>
        <w:t>）为本项目前期准备提供咨询服务的；</w:t>
      </w:r>
    </w:p>
    <w:p w14:paraId="76D8EB50">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2</w:t>
      </w:r>
      <w:r>
        <w:rPr>
          <w:rFonts w:hint="eastAsia" w:ascii="宋体" w:hAnsi="宋体" w:eastAsia="宋体" w:cs="宋体"/>
          <w:color w:val="auto"/>
          <w:spacing w:val="0"/>
          <w:sz w:val="24"/>
          <w:szCs w:val="24"/>
        </w:rPr>
        <w:t>）为本项目提供采购代理机构服务的；</w:t>
      </w:r>
    </w:p>
    <w:p w14:paraId="770E95E2">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3</w:t>
      </w:r>
      <w:r>
        <w:rPr>
          <w:rFonts w:hint="eastAsia" w:ascii="宋体" w:hAnsi="宋体" w:eastAsia="宋体" w:cs="宋体"/>
          <w:color w:val="auto"/>
          <w:spacing w:val="0"/>
          <w:sz w:val="24"/>
          <w:szCs w:val="24"/>
        </w:rPr>
        <w:t>）与本项目的采购代理机构机构同为一个法定代表人的；</w:t>
      </w:r>
    </w:p>
    <w:p w14:paraId="79D5B808">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4</w:t>
      </w:r>
      <w:r>
        <w:rPr>
          <w:rFonts w:hint="eastAsia" w:ascii="宋体" w:hAnsi="宋体" w:eastAsia="宋体" w:cs="宋体"/>
          <w:color w:val="auto"/>
          <w:spacing w:val="0"/>
          <w:sz w:val="24"/>
          <w:szCs w:val="24"/>
        </w:rPr>
        <w:t>）与本项目的采购代理机构机构相互控股或参股的；</w:t>
      </w:r>
    </w:p>
    <w:p w14:paraId="6B6F574F">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5</w:t>
      </w:r>
      <w:r>
        <w:rPr>
          <w:rFonts w:hint="eastAsia" w:ascii="宋体" w:hAnsi="宋体" w:eastAsia="宋体" w:cs="宋体"/>
          <w:color w:val="auto"/>
          <w:spacing w:val="0"/>
          <w:sz w:val="24"/>
          <w:szCs w:val="24"/>
        </w:rPr>
        <w:t>）与本项目的采购代理机构机构相互任职或工作的；</w:t>
      </w:r>
    </w:p>
    <w:p w14:paraId="573E371B">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6</w:t>
      </w:r>
      <w:r>
        <w:rPr>
          <w:rFonts w:hint="eastAsia" w:ascii="宋体" w:hAnsi="宋体" w:eastAsia="宋体" w:cs="宋体"/>
          <w:color w:val="auto"/>
          <w:spacing w:val="0"/>
          <w:sz w:val="24"/>
          <w:szCs w:val="24"/>
        </w:rPr>
        <w:t>）被责令停业的；</w:t>
      </w:r>
    </w:p>
    <w:p w14:paraId="52748AC8">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7</w:t>
      </w:r>
      <w:r>
        <w:rPr>
          <w:rFonts w:hint="eastAsia" w:ascii="宋体" w:hAnsi="宋体" w:eastAsia="宋体" w:cs="宋体"/>
          <w:color w:val="auto"/>
          <w:spacing w:val="0"/>
          <w:sz w:val="24"/>
          <w:szCs w:val="24"/>
        </w:rPr>
        <w:t>）被暂停或取消投标资格的；</w:t>
      </w:r>
    </w:p>
    <w:p w14:paraId="774E377A">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8</w:t>
      </w:r>
      <w:r>
        <w:rPr>
          <w:rFonts w:hint="eastAsia" w:ascii="宋体" w:hAnsi="宋体" w:eastAsia="宋体" w:cs="宋体"/>
          <w:color w:val="auto"/>
          <w:spacing w:val="0"/>
          <w:sz w:val="24"/>
          <w:szCs w:val="24"/>
        </w:rPr>
        <w:t>）财产被接管或冻结的；</w:t>
      </w:r>
    </w:p>
    <w:p w14:paraId="240BF8B2">
      <w:pPr>
        <w:keepNext w:val="0"/>
        <w:keepLines w:val="0"/>
        <w:pageBreakBefore w:val="0"/>
        <w:widowControl/>
        <w:tabs>
          <w:tab w:val="left" w:pos="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lang w:val="en-US" w:eastAsia="zh-CN"/>
        </w:rPr>
        <w:t>9</w:t>
      </w:r>
      <w:r>
        <w:rPr>
          <w:rFonts w:hint="eastAsia" w:ascii="宋体" w:hAnsi="宋体" w:eastAsia="宋体" w:cs="宋体"/>
          <w:color w:val="auto"/>
          <w:spacing w:val="0"/>
          <w:sz w:val="24"/>
          <w:szCs w:val="24"/>
        </w:rPr>
        <w:t>）在最近三年内有骗取中标或严重违约情况的。</w:t>
      </w:r>
    </w:p>
    <w:p w14:paraId="6F65C4D4">
      <w:pPr>
        <w:keepNext w:val="0"/>
        <w:keepLines w:val="0"/>
        <w:pageBreakBefore w:val="0"/>
        <w:widowControl/>
        <w:tabs>
          <w:tab w:val="left" w:pos="0"/>
        </w:tabs>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sz w:val="24"/>
          <w:szCs w:val="24"/>
        </w:rPr>
      </w:pPr>
      <w:r>
        <w:rPr>
          <w:rFonts w:hint="eastAsia" w:ascii="宋体" w:hAnsi="宋体" w:eastAsia="宋体" w:cs="宋体"/>
          <w:b w:val="0"/>
          <w:bCs w:val="0"/>
          <w:color w:val="auto"/>
          <w:sz w:val="24"/>
          <w:szCs w:val="24"/>
          <w:highlight w:val="none"/>
          <w:lang w:val="en-US" w:eastAsia="zh-CN"/>
        </w:rPr>
        <w:t>1.4.4 供应商针对本项目递交的材料真实有效，若提交虚假材料将自行承担一切法律责任，提供书面承诺并加盖企业电子章，并由法定代表人及授权委托人签字，格式自拟，</w:t>
      </w:r>
      <w:r>
        <w:rPr>
          <w:rFonts w:hint="eastAsia" w:ascii="宋体" w:hAnsi="宋体" w:eastAsia="宋体" w:cs="宋体"/>
          <w:b w:val="0"/>
          <w:bCs/>
          <w:color w:val="auto"/>
          <w:spacing w:val="0"/>
          <w:sz w:val="24"/>
          <w:szCs w:val="24"/>
          <w:lang w:val="en-US" w:eastAsia="zh-CN"/>
        </w:rPr>
        <w:t>否则将不符合第三章评标方法资格评审标准中的其他要求</w:t>
      </w:r>
      <w:r>
        <w:rPr>
          <w:rFonts w:hint="eastAsia" w:ascii="宋体" w:hAnsi="宋体" w:eastAsia="宋体" w:cs="宋体"/>
          <w:b w:val="0"/>
          <w:bCs w:val="0"/>
          <w:color w:val="auto"/>
          <w:sz w:val="24"/>
          <w:szCs w:val="24"/>
          <w:highlight w:val="none"/>
          <w:lang w:val="en-US" w:eastAsia="zh-CN"/>
        </w:rPr>
        <w:t>。</w:t>
      </w:r>
    </w:p>
    <w:p w14:paraId="660A9A8A">
      <w:pPr>
        <w:keepNext w:val="0"/>
        <w:keepLines w:val="0"/>
        <w:pageBreakBefore w:val="0"/>
        <w:widowControl/>
        <w:tabs>
          <w:tab w:val="left" w:pos="0"/>
        </w:tabs>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1.5</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bookmarkEnd w:id="22"/>
    </w:p>
    <w:p w14:paraId="45727B2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见投标人须知前附表。</w:t>
      </w:r>
    </w:p>
    <w:p w14:paraId="0AB69460">
      <w:pPr>
        <w:keepNext w:val="0"/>
        <w:keepLines w:val="0"/>
        <w:pageBreakBefore w:val="0"/>
        <w:widowControl/>
        <w:numPr>
          <w:ilvl w:val="1"/>
          <w:numId w:val="0"/>
        </w:numPr>
        <w:kinsoku/>
        <w:wordWrap/>
        <w:overflowPunct/>
        <w:topLinePunct w:val="0"/>
        <w:autoSpaceDE/>
        <w:autoSpaceDN/>
        <w:bidi w:val="0"/>
        <w:adjustRightInd/>
        <w:snapToGrid/>
        <w:spacing w:line="500" w:lineRule="exact"/>
        <w:ind w:left="0" w:leftChars="0" w:firstLine="482" w:firstLineChars="200"/>
        <w:jc w:val="left"/>
        <w:textAlignment w:val="auto"/>
        <w:rPr>
          <w:rFonts w:hint="eastAsia" w:ascii="宋体" w:hAnsi="宋体" w:eastAsia="宋体" w:cs="宋体"/>
          <w:b/>
          <w:sz w:val="24"/>
          <w:szCs w:val="24"/>
        </w:rPr>
      </w:pPr>
      <w:r>
        <w:rPr>
          <w:rFonts w:hint="eastAsia" w:ascii="宋体" w:hAnsi="宋体" w:eastAsia="宋体" w:cs="宋体"/>
          <w:b/>
          <w:kern w:val="2"/>
          <w:sz w:val="24"/>
          <w:szCs w:val="24"/>
          <w:lang w:val="en-US" w:eastAsia="zh-CN" w:bidi="ar-SA"/>
        </w:rPr>
        <w:t xml:space="preserve">1.6 </w:t>
      </w:r>
      <w:r>
        <w:rPr>
          <w:rFonts w:hint="eastAsia" w:ascii="宋体" w:hAnsi="宋体" w:eastAsia="宋体" w:cs="宋体"/>
          <w:b/>
          <w:sz w:val="24"/>
          <w:szCs w:val="24"/>
        </w:rPr>
        <w:t>费用承担</w:t>
      </w:r>
    </w:p>
    <w:p w14:paraId="2D33253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投标人准备和参加投标活动发生的费用自理。</w:t>
      </w:r>
    </w:p>
    <w:p w14:paraId="021E842C">
      <w:pPr>
        <w:keepNext w:val="0"/>
        <w:keepLines w:val="0"/>
        <w:pageBreakBefore w:val="0"/>
        <w:widowControl/>
        <w:numPr>
          <w:ilvl w:val="1"/>
          <w:numId w:val="0"/>
        </w:numPr>
        <w:kinsoku/>
        <w:wordWrap/>
        <w:overflowPunct/>
        <w:topLinePunct w:val="0"/>
        <w:autoSpaceDE/>
        <w:autoSpaceDN/>
        <w:bidi w:val="0"/>
        <w:adjustRightInd/>
        <w:snapToGrid/>
        <w:spacing w:line="500" w:lineRule="exact"/>
        <w:ind w:left="0" w:leftChars="0" w:firstLine="482" w:firstLineChars="200"/>
        <w:jc w:val="left"/>
        <w:textAlignment w:val="auto"/>
        <w:rPr>
          <w:rFonts w:hint="eastAsia" w:ascii="宋体" w:hAnsi="宋体" w:eastAsia="宋体" w:cs="宋体"/>
          <w:b/>
          <w:sz w:val="24"/>
          <w:szCs w:val="24"/>
        </w:rPr>
      </w:pPr>
      <w:r>
        <w:rPr>
          <w:rFonts w:hint="eastAsia" w:ascii="宋体" w:hAnsi="宋体" w:eastAsia="宋体" w:cs="宋体"/>
          <w:b/>
          <w:kern w:val="2"/>
          <w:sz w:val="24"/>
          <w:szCs w:val="24"/>
          <w:lang w:val="en-US" w:eastAsia="zh-CN" w:bidi="ar-SA"/>
        </w:rPr>
        <w:t xml:space="preserve">1.7 </w:t>
      </w:r>
      <w:r>
        <w:rPr>
          <w:rFonts w:hint="eastAsia" w:ascii="宋体" w:hAnsi="宋体" w:eastAsia="宋体" w:cs="宋体"/>
          <w:b/>
          <w:sz w:val="24"/>
          <w:szCs w:val="24"/>
        </w:rPr>
        <w:t>保密</w:t>
      </w:r>
    </w:p>
    <w:p w14:paraId="1314719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参与招标投标活动的各方应对</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和投标文件中的商业和技术等秘密保密，违者应对由此造成的后果承担法律责任。</w:t>
      </w:r>
    </w:p>
    <w:p w14:paraId="27BBA3E3">
      <w:pPr>
        <w:keepNext w:val="0"/>
        <w:keepLines w:val="0"/>
        <w:pageBreakBefore w:val="0"/>
        <w:widowControl/>
        <w:numPr>
          <w:ilvl w:val="1"/>
          <w:numId w:val="0"/>
        </w:numPr>
        <w:kinsoku/>
        <w:wordWrap/>
        <w:overflowPunct/>
        <w:topLinePunct w:val="0"/>
        <w:autoSpaceDE/>
        <w:autoSpaceDN/>
        <w:bidi w:val="0"/>
        <w:adjustRightInd/>
        <w:snapToGrid/>
        <w:spacing w:line="500" w:lineRule="exact"/>
        <w:ind w:left="0" w:leftChars="0" w:firstLine="482" w:firstLineChars="200"/>
        <w:jc w:val="left"/>
        <w:textAlignment w:val="auto"/>
        <w:rPr>
          <w:rFonts w:hint="eastAsia" w:ascii="宋体" w:hAnsi="宋体" w:eastAsia="宋体" w:cs="宋体"/>
          <w:b/>
          <w:sz w:val="24"/>
          <w:szCs w:val="24"/>
        </w:rPr>
      </w:pPr>
      <w:r>
        <w:rPr>
          <w:rFonts w:hint="eastAsia" w:ascii="宋体" w:hAnsi="宋体" w:eastAsia="宋体" w:cs="宋体"/>
          <w:b/>
          <w:kern w:val="2"/>
          <w:sz w:val="24"/>
          <w:szCs w:val="24"/>
          <w:lang w:val="en-US" w:eastAsia="zh-CN" w:bidi="ar-SA"/>
        </w:rPr>
        <w:t xml:space="preserve">1.8 </w:t>
      </w:r>
      <w:r>
        <w:rPr>
          <w:rFonts w:hint="eastAsia" w:ascii="宋体" w:hAnsi="宋体" w:eastAsia="宋体" w:cs="宋体"/>
          <w:b/>
          <w:sz w:val="24"/>
          <w:szCs w:val="24"/>
        </w:rPr>
        <w:t>语言文字</w:t>
      </w:r>
    </w:p>
    <w:p w14:paraId="02BDC46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除专用术语外，与招标投标有关的语言均使用中文。必要时专用术语应附有中文注释。</w:t>
      </w:r>
    </w:p>
    <w:p w14:paraId="2B1C10C1">
      <w:pPr>
        <w:keepNext w:val="0"/>
        <w:keepLines w:val="0"/>
        <w:pageBreakBefore w:val="0"/>
        <w:widowControl/>
        <w:numPr>
          <w:ilvl w:val="1"/>
          <w:numId w:val="0"/>
        </w:numPr>
        <w:kinsoku/>
        <w:wordWrap/>
        <w:overflowPunct/>
        <w:topLinePunct w:val="0"/>
        <w:autoSpaceDE/>
        <w:autoSpaceDN/>
        <w:bidi w:val="0"/>
        <w:adjustRightInd/>
        <w:snapToGrid/>
        <w:spacing w:line="500" w:lineRule="exact"/>
        <w:ind w:left="0" w:leftChars="0" w:firstLine="482" w:firstLineChars="200"/>
        <w:jc w:val="left"/>
        <w:textAlignment w:val="auto"/>
        <w:rPr>
          <w:rFonts w:hint="eastAsia" w:ascii="宋体" w:hAnsi="宋体" w:eastAsia="宋体" w:cs="宋体"/>
          <w:b/>
          <w:sz w:val="24"/>
          <w:szCs w:val="24"/>
        </w:rPr>
      </w:pPr>
      <w:r>
        <w:rPr>
          <w:rFonts w:hint="eastAsia" w:ascii="宋体" w:hAnsi="宋体" w:eastAsia="宋体" w:cs="宋体"/>
          <w:b/>
          <w:kern w:val="2"/>
          <w:sz w:val="24"/>
          <w:szCs w:val="24"/>
          <w:lang w:val="en-US" w:eastAsia="zh-CN" w:bidi="ar-SA"/>
        </w:rPr>
        <w:t xml:space="preserve">1.9 </w:t>
      </w:r>
      <w:r>
        <w:rPr>
          <w:rFonts w:hint="eastAsia" w:ascii="宋体" w:hAnsi="宋体" w:eastAsia="宋体" w:cs="宋体"/>
          <w:b/>
          <w:sz w:val="24"/>
          <w:szCs w:val="24"/>
        </w:rPr>
        <w:t>计量单位</w:t>
      </w:r>
    </w:p>
    <w:p w14:paraId="71B8001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所有计量均采用中华人民共和国法定计量单位。</w:t>
      </w:r>
      <w:bookmarkStart w:id="23" w:name="_Toc455080118"/>
      <w:bookmarkStart w:id="24" w:name="_Toc18589"/>
      <w:bookmarkStart w:id="25" w:name="_Toc318450684"/>
      <w:bookmarkStart w:id="26" w:name="_Toc152045540"/>
      <w:bookmarkStart w:id="27" w:name="_Toc284"/>
      <w:bookmarkStart w:id="28" w:name="_Toc13675"/>
      <w:bookmarkStart w:id="29" w:name="_Toc19685"/>
      <w:bookmarkStart w:id="30" w:name="_Toc2508"/>
      <w:bookmarkStart w:id="31" w:name="_Toc338"/>
      <w:bookmarkStart w:id="32" w:name="_Toc16517"/>
      <w:bookmarkStart w:id="33" w:name="_Toc152042316"/>
      <w:bookmarkStart w:id="34" w:name="_Toc27570"/>
      <w:bookmarkStart w:id="35" w:name="_Toc466298101"/>
      <w:bookmarkStart w:id="36" w:name="_Toc455867778"/>
      <w:bookmarkStart w:id="37" w:name="_Toc144974508"/>
      <w:bookmarkStart w:id="38" w:name="_Toc12027"/>
      <w:bookmarkStart w:id="39" w:name="_Toc31195"/>
      <w:bookmarkStart w:id="40" w:name="_Toc490667837"/>
      <w:bookmarkStart w:id="41" w:name="_Toc29845"/>
    </w:p>
    <w:p w14:paraId="08EA536A">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1.10</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预备会</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684FD413">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color w:val="auto"/>
          <w:spacing w:val="0"/>
          <w:sz w:val="24"/>
          <w:szCs w:val="24"/>
        </w:rPr>
        <w:t>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w:t>
      </w:r>
    </w:p>
    <w:p w14:paraId="375D4CD9">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lang w:eastAsia="zh-CN"/>
        </w:rPr>
      </w:pPr>
      <w:bookmarkStart w:id="42" w:name="_Toc12838"/>
      <w:bookmarkStart w:id="43" w:name="_Toc23678"/>
      <w:bookmarkStart w:id="44" w:name="_Toc31725"/>
      <w:bookmarkStart w:id="45" w:name="_Toc152045541"/>
      <w:bookmarkStart w:id="46" w:name="_Toc3853"/>
      <w:bookmarkStart w:id="47" w:name="_Toc12562"/>
      <w:bookmarkStart w:id="48" w:name="_Toc11744"/>
      <w:bookmarkStart w:id="49" w:name="_Toc455080119"/>
      <w:bookmarkStart w:id="50" w:name="_Toc318450685"/>
      <w:bookmarkStart w:id="51" w:name="_Toc9182"/>
      <w:bookmarkStart w:id="52" w:name="_Toc455867779"/>
      <w:bookmarkStart w:id="53" w:name="_Toc152042317"/>
      <w:bookmarkStart w:id="54" w:name="_Toc25208"/>
      <w:bookmarkStart w:id="55" w:name="_Toc490667838"/>
      <w:bookmarkStart w:id="56" w:name="_Toc144974509"/>
      <w:bookmarkStart w:id="57" w:name="_Toc466298102"/>
      <w:bookmarkStart w:id="58" w:name="_Toc23635"/>
      <w:bookmarkStart w:id="59" w:name="_Toc32757"/>
      <w:bookmarkStart w:id="60" w:name="_Toc24262"/>
      <w:r>
        <w:rPr>
          <w:rFonts w:hint="eastAsia" w:ascii="宋体" w:hAnsi="宋体" w:eastAsia="宋体" w:cs="宋体"/>
          <w:b/>
          <w:bCs/>
          <w:sz w:val="24"/>
          <w:szCs w:val="24"/>
        </w:rPr>
        <w:t>1.11</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Fonts w:hint="eastAsia" w:ascii="宋体" w:hAnsi="宋体" w:eastAsia="宋体" w:cs="宋体"/>
          <w:b/>
          <w:bCs/>
          <w:sz w:val="24"/>
          <w:szCs w:val="24"/>
          <w:lang w:val="en-US" w:eastAsia="zh-CN"/>
        </w:rPr>
        <w:t xml:space="preserve"> 偏离</w:t>
      </w:r>
    </w:p>
    <w:p w14:paraId="37FBB0B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不偏离</w:t>
      </w:r>
      <w:r>
        <w:rPr>
          <w:rFonts w:hint="eastAsia" w:ascii="宋体" w:hAnsi="宋体" w:eastAsia="宋体" w:cs="宋体"/>
          <w:sz w:val="24"/>
          <w:szCs w:val="24"/>
        </w:rPr>
        <w:t>。</w:t>
      </w:r>
    </w:p>
    <w:p w14:paraId="322942FA">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61" w:name="_Toc24501"/>
      <w:bookmarkStart w:id="62" w:name="_Toc1626"/>
      <w:bookmarkStart w:id="63" w:name="_Toc14253"/>
      <w:bookmarkStart w:id="64" w:name="_Toc191983616"/>
      <w:bookmarkStart w:id="65" w:name="_Toc244935164"/>
      <w:bookmarkStart w:id="66" w:name="_Toc234213529"/>
      <w:bookmarkStart w:id="67" w:name="_Toc3751"/>
      <w:bookmarkStart w:id="68" w:name="_Toc17069"/>
      <w:bookmarkStart w:id="69" w:name="_Toc9761"/>
      <w:bookmarkStart w:id="70" w:name="_Toc244934195"/>
      <w:r>
        <w:rPr>
          <w:rFonts w:hint="eastAsia" w:ascii="宋体" w:hAnsi="宋体" w:eastAsia="宋体" w:cs="宋体"/>
          <w:b/>
          <w:color w:val="auto"/>
          <w:spacing w:val="0"/>
          <w:sz w:val="24"/>
          <w:szCs w:val="24"/>
          <w:lang w:val="en-US" w:eastAsia="zh-CN"/>
        </w:rPr>
        <w:t>2.</w:t>
      </w:r>
      <w:bookmarkEnd w:id="61"/>
      <w:bookmarkEnd w:id="62"/>
      <w:bookmarkEnd w:id="63"/>
      <w:bookmarkEnd w:id="64"/>
      <w:bookmarkEnd w:id="65"/>
      <w:bookmarkEnd w:id="66"/>
      <w:bookmarkEnd w:id="67"/>
      <w:bookmarkEnd w:id="68"/>
      <w:bookmarkEnd w:id="69"/>
      <w:bookmarkEnd w:id="70"/>
      <w:r>
        <w:rPr>
          <w:rFonts w:hint="eastAsia" w:ascii="宋体" w:hAnsi="宋体" w:eastAsia="宋体" w:cs="宋体"/>
          <w:b/>
          <w:color w:val="auto"/>
          <w:spacing w:val="0"/>
          <w:sz w:val="24"/>
          <w:szCs w:val="24"/>
          <w:lang w:val="en-US" w:eastAsia="zh-CN"/>
        </w:rPr>
        <w:t>招标文件</w:t>
      </w:r>
    </w:p>
    <w:p w14:paraId="6610C590">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bookmarkStart w:id="71" w:name="_Toc297211672"/>
      <w:r>
        <w:rPr>
          <w:rFonts w:hint="eastAsia" w:ascii="宋体" w:hAnsi="宋体" w:eastAsia="宋体" w:cs="宋体"/>
          <w:b/>
          <w:sz w:val="24"/>
          <w:szCs w:val="24"/>
        </w:rPr>
        <w:t>2.1</w:t>
      </w:r>
      <w:r>
        <w:rPr>
          <w:rFonts w:hint="eastAsia" w:ascii="宋体" w:hAnsi="宋体" w:eastAsia="宋体" w:cs="宋体"/>
          <w:b/>
          <w:sz w:val="24"/>
          <w:szCs w:val="24"/>
          <w:lang w:val="en-US" w:eastAsia="zh-CN"/>
        </w:rPr>
        <w:t xml:space="preserve"> 招标</w:t>
      </w:r>
      <w:r>
        <w:rPr>
          <w:rFonts w:hint="eastAsia" w:ascii="宋体" w:hAnsi="宋体" w:eastAsia="宋体" w:cs="宋体"/>
          <w:b/>
          <w:sz w:val="24"/>
          <w:szCs w:val="24"/>
          <w:lang w:eastAsia="zh-CN"/>
        </w:rPr>
        <w:t>文件</w:t>
      </w:r>
      <w:r>
        <w:rPr>
          <w:rFonts w:hint="eastAsia" w:ascii="宋体" w:hAnsi="宋体" w:eastAsia="宋体" w:cs="宋体"/>
          <w:b/>
          <w:sz w:val="24"/>
          <w:szCs w:val="24"/>
        </w:rPr>
        <w:t>的组成</w:t>
      </w:r>
      <w:bookmarkEnd w:id="71"/>
    </w:p>
    <w:p w14:paraId="531D4D56">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包括：</w:t>
      </w:r>
    </w:p>
    <w:p w14:paraId="24FF288F">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招标公告；</w:t>
      </w:r>
    </w:p>
    <w:p w14:paraId="3B2852CD">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rPr>
        <w:t>投标人须知；</w:t>
      </w:r>
    </w:p>
    <w:p w14:paraId="4EEA9ACF">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rPr>
        <w:t>评标办法；</w:t>
      </w:r>
    </w:p>
    <w:p w14:paraId="2ABED1D5">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sz w:val="24"/>
          <w:szCs w:val="24"/>
          <w:highlight w:val="none"/>
        </w:rPr>
        <w:t>合同主要条款及格式；</w:t>
      </w:r>
    </w:p>
    <w:p w14:paraId="54BF5BB1">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rPr>
        <w:t>采购</w:t>
      </w:r>
      <w:r>
        <w:rPr>
          <w:rFonts w:hint="eastAsia" w:ascii="宋体" w:hAnsi="宋体" w:eastAsia="宋体" w:cs="宋体"/>
          <w:color w:val="auto"/>
          <w:sz w:val="24"/>
          <w:szCs w:val="24"/>
          <w:highlight w:val="none"/>
          <w:lang w:val="en-US" w:eastAsia="zh-CN"/>
        </w:rPr>
        <w:t>内容及</w:t>
      </w:r>
      <w:r>
        <w:rPr>
          <w:rFonts w:hint="eastAsia" w:ascii="宋体" w:hAnsi="宋体" w:eastAsia="宋体" w:cs="宋体"/>
          <w:color w:val="auto"/>
          <w:sz w:val="24"/>
          <w:szCs w:val="24"/>
          <w:highlight w:val="none"/>
        </w:rPr>
        <w:t>要求；</w:t>
      </w:r>
    </w:p>
    <w:p w14:paraId="117CF97F">
      <w:pPr>
        <w:pageBreakBefore w:val="0"/>
        <w:widowControl/>
        <w:numPr>
          <w:ilvl w:val="0"/>
          <w:numId w:val="0"/>
        </w:numPr>
        <w:tabs>
          <w:tab w:val="left" w:pos="525"/>
        </w:tabs>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(6)</w:t>
      </w:r>
      <w:r>
        <w:rPr>
          <w:rFonts w:hint="eastAsia" w:ascii="宋体" w:hAnsi="宋体" w:eastAsia="宋体" w:cs="宋体"/>
          <w:sz w:val="24"/>
          <w:szCs w:val="24"/>
        </w:rPr>
        <w:t>投标文件格式；</w:t>
      </w:r>
    </w:p>
    <w:p w14:paraId="6BE8BFCE">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根据本章第 2.2.1款和第 2.2.2 款对</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所做的澄清、修改，构成</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的组成部分。</w:t>
      </w:r>
    </w:p>
    <w:p w14:paraId="76E912FE">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bookmarkStart w:id="72" w:name="_Toc472337642"/>
      <w:bookmarkStart w:id="73" w:name="_Toc472429287"/>
      <w:bookmarkStart w:id="74" w:name="_Toc30722"/>
      <w:r>
        <w:rPr>
          <w:rFonts w:hint="eastAsia" w:ascii="宋体" w:hAnsi="宋体" w:eastAsia="宋体" w:cs="宋体"/>
          <w:b/>
          <w:sz w:val="24"/>
          <w:szCs w:val="24"/>
        </w:rPr>
        <w:t>2.2</w:t>
      </w:r>
      <w:r>
        <w:rPr>
          <w:rFonts w:hint="eastAsia" w:ascii="宋体" w:hAnsi="宋体" w:eastAsia="宋体" w:cs="宋体"/>
          <w:b/>
          <w:sz w:val="24"/>
          <w:szCs w:val="24"/>
          <w:lang w:val="en-US" w:eastAsia="zh-CN"/>
        </w:rPr>
        <w:t xml:space="preserve"> 招标</w:t>
      </w:r>
      <w:r>
        <w:rPr>
          <w:rFonts w:hint="eastAsia" w:ascii="宋体" w:hAnsi="宋体" w:eastAsia="宋体" w:cs="宋体"/>
          <w:b/>
          <w:sz w:val="24"/>
          <w:szCs w:val="24"/>
          <w:lang w:eastAsia="zh-CN"/>
        </w:rPr>
        <w:t>文件</w:t>
      </w:r>
      <w:r>
        <w:rPr>
          <w:rFonts w:hint="eastAsia" w:ascii="宋体" w:hAnsi="宋体" w:eastAsia="宋体" w:cs="宋体"/>
          <w:b/>
          <w:sz w:val="24"/>
          <w:szCs w:val="24"/>
        </w:rPr>
        <w:t>的澄清</w:t>
      </w:r>
      <w:bookmarkEnd w:id="72"/>
      <w:bookmarkEnd w:id="73"/>
    </w:p>
    <w:p w14:paraId="2062368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2.2.1</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投标人应仔细阅读和检查</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的全部内容。如发现缺页或附件不全，应及时向采购人提出，以便补齐。</w:t>
      </w:r>
      <w:r>
        <w:rPr>
          <w:rFonts w:hint="eastAsia" w:ascii="宋体" w:hAnsi="宋体" w:eastAsia="宋体" w:cs="宋体"/>
          <w:b/>
          <w:bCs w:val="0"/>
          <w:sz w:val="24"/>
          <w:szCs w:val="24"/>
        </w:rPr>
        <w:t>如有疑问，应在投标须知前附表规定的时间前以书面形式(包括信函、电报、传真等可以有形地表现所载内容的形式，下同)，要求采购人对</w:t>
      </w:r>
      <w:r>
        <w:rPr>
          <w:rFonts w:hint="eastAsia" w:ascii="宋体" w:hAnsi="宋体" w:eastAsia="宋体" w:cs="宋体"/>
          <w:b/>
          <w:bCs w:val="0"/>
          <w:sz w:val="24"/>
          <w:szCs w:val="24"/>
          <w:lang w:val="en-US" w:eastAsia="zh-CN"/>
        </w:rPr>
        <w:t>招标</w:t>
      </w:r>
      <w:r>
        <w:rPr>
          <w:rFonts w:hint="eastAsia" w:ascii="宋体" w:hAnsi="宋体" w:eastAsia="宋体" w:cs="宋体"/>
          <w:b/>
          <w:bCs w:val="0"/>
          <w:sz w:val="24"/>
          <w:szCs w:val="24"/>
          <w:lang w:eastAsia="zh-CN"/>
        </w:rPr>
        <w:t>文件</w:t>
      </w:r>
      <w:r>
        <w:rPr>
          <w:rFonts w:hint="eastAsia" w:ascii="宋体" w:hAnsi="宋体" w:eastAsia="宋体" w:cs="宋体"/>
          <w:b/>
          <w:bCs w:val="0"/>
          <w:sz w:val="24"/>
          <w:szCs w:val="24"/>
        </w:rPr>
        <w:t>予以澄清。</w:t>
      </w:r>
    </w:p>
    <w:p w14:paraId="1BB6E59A">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2.2.2</w:t>
      </w:r>
      <w:r>
        <w:rPr>
          <w:rFonts w:hint="eastAsia" w:ascii="宋体" w:hAnsi="宋体" w:eastAsia="宋体" w:cs="宋体"/>
          <w:bCs/>
          <w:sz w:val="24"/>
          <w:szCs w:val="24"/>
          <w:lang w:val="en-US" w:eastAsia="zh-CN"/>
        </w:rPr>
        <w:t xml:space="preserve"> 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的澄清将在投标须知前附表规定的投标截止时间15天前在信阳市公共资源交易系统</w:t>
      </w:r>
      <w:r>
        <w:rPr>
          <w:rFonts w:hint="eastAsia" w:ascii="宋体" w:hAnsi="宋体" w:eastAsia="宋体" w:cs="宋体"/>
          <w:b/>
          <w:bCs w:val="0"/>
          <w:sz w:val="24"/>
          <w:szCs w:val="24"/>
        </w:rPr>
        <w:t>“变更公告”</w:t>
      </w:r>
      <w:r>
        <w:rPr>
          <w:rFonts w:hint="eastAsia" w:ascii="宋体" w:hAnsi="宋体" w:eastAsia="宋体" w:cs="宋体"/>
          <w:bCs/>
          <w:sz w:val="24"/>
          <w:szCs w:val="24"/>
        </w:rPr>
        <w:t>或</w:t>
      </w:r>
      <w:r>
        <w:rPr>
          <w:rFonts w:hint="eastAsia" w:ascii="宋体" w:hAnsi="宋体" w:eastAsia="宋体" w:cs="宋体"/>
          <w:b/>
          <w:bCs w:val="0"/>
          <w:sz w:val="24"/>
          <w:szCs w:val="24"/>
        </w:rPr>
        <w:t>“答疑文件”</w:t>
      </w:r>
      <w:r>
        <w:rPr>
          <w:rFonts w:hint="eastAsia" w:ascii="宋体" w:hAnsi="宋体" w:eastAsia="宋体" w:cs="宋体"/>
          <w:bCs/>
          <w:sz w:val="24"/>
          <w:szCs w:val="24"/>
        </w:rPr>
        <w:t>将澄清内容予以发布，但不指明澄清问题的来源。如果澄清发出的时间距投标截止时间不足15天的，并且澄清的内容可能影响投标文件编制的，将相应延长投标截止时间。</w:t>
      </w:r>
    </w:p>
    <w:p w14:paraId="78B739E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2.2.3</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投标人应在投标文件递交截止时间前及时查看澄清内容，因投标人未及时查看而造成的后果自负。</w:t>
      </w:r>
    </w:p>
    <w:p w14:paraId="6EF4EAB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2.2.4</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除非采购人认为确有必要答复，否则，采购人有权拒绝回复投标人在本章第2.2.1项规定的时间后的任何澄清要求。</w:t>
      </w:r>
    </w:p>
    <w:p w14:paraId="75E6CD69">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bookmarkStart w:id="75" w:name="_Toc472429288"/>
      <w:bookmarkStart w:id="76" w:name="_Toc472337643"/>
      <w:r>
        <w:rPr>
          <w:rFonts w:hint="eastAsia" w:ascii="宋体" w:hAnsi="宋体" w:eastAsia="宋体" w:cs="宋体"/>
          <w:b/>
          <w:sz w:val="24"/>
          <w:szCs w:val="24"/>
        </w:rPr>
        <w:t>2.3</w:t>
      </w:r>
      <w:r>
        <w:rPr>
          <w:rFonts w:hint="eastAsia" w:ascii="宋体" w:hAnsi="宋体" w:eastAsia="宋体" w:cs="宋体"/>
          <w:b/>
          <w:sz w:val="24"/>
          <w:szCs w:val="24"/>
          <w:lang w:val="en-US" w:eastAsia="zh-CN"/>
        </w:rPr>
        <w:t xml:space="preserve"> 招标</w:t>
      </w:r>
      <w:r>
        <w:rPr>
          <w:rFonts w:hint="eastAsia" w:ascii="宋体" w:hAnsi="宋体" w:eastAsia="宋体" w:cs="宋体"/>
          <w:b/>
          <w:sz w:val="24"/>
          <w:szCs w:val="24"/>
          <w:lang w:eastAsia="zh-CN"/>
        </w:rPr>
        <w:t>文件</w:t>
      </w:r>
      <w:r>
        <w:rPr>
          <w:rFonts w:hint="eastAsia" w:ascii="宋体" w:hAnsi="宋体" w:eastAsia="宋体" w:cs="宋体"/>
          <w:b/>
          <w:sz w:val="24"/>
          <w:szCs w:val="24"/>
        </w:rPr>
        <w:t>的修改</w:t>
      </w:r>
      <w:bookmarkEnd w:id="75"/>
      <w:bookmarkEnd w:id="76"/>
    </w:p>
    <w:p w14:paraId="151CE38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2.3.1</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在投标截止时间15天前，采购人可以修改</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。如有修改，应在信阳市公共资源交易系统</w:t>
      </w:r>
      <w:r>
        <w:rPr>
          <w:rFonts w:hint="eastAsia" w:ascii="宋体" w:hAnsi="宋体" w:eastAsia="宋体" w:cs="宋体"/>
          <w:b/>
          <w:bCs w:val="0"/>
          <w:sz w:val="24"/>
          <w:szCs w:val="24"/>
        </w:rPr>
        <w:t>“变更公告”</w:t>
      </w:r>
      <w:r>
        <w:rPr>
          <w:rFonts w:hint="eastAsia" w:ascii="宋体" w:hAnsi="宋体" w:eastAsia="宋体" w:cs="宋体"/>
          <w:bCs/>
          <w:sz w:val="24"/>
          <w:szCs w:val="24"/>
        </w:rPr>
        <w:t>或</w:t>
      </w:r>
      <w:r>
        <w:rPr>
          <w:rFonts w:hint="eastAsia" w:ascii="宋体" w:hAnsi="宋体" w:eastAsia="宋体" w:cs="宋体"/>
          <w:b/>
          <w:bCs w:val="0"/>
          <w:sz w:val="24"/>
          <w:szCs w:val="24"/>
        </w:rPr>
        <w:t>“答疑文件”</w:t>
      </w:r>
      <w:r>
        <w:rPr>
          <w:rFonts w:hint="eastAsia" w:ascii="宋体" w:hAnsi="宋体" w:eastAsia="宋体" w:cs="宋体"/>
          <w:bCs/>
          <w:sz w:val="24"/>
          <w:szCs w:val="24"/>
        </w:rPr>
        <w:t>将修改内容予以发布。如果修改的内容可能影响投标文件编制且发出的时间距投标截止时间不足15天，相应延长投标截止时间。</w:t>
      </w:r>
    </w:p>
    <w:p w14:paraId="3910197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2.3.2</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当</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的澄清、修改、补充等在同一内容的表述上不一致时，以最后在</w:t>
      </w:r>
      <w:r>
        <w:rPr>
          <w:rFonts w:hint="eastAsia" w:ascii="宋体" w:hAnsi="宋体" w:eastAsia="宋体" w:cs="宋体"/>
          <w:bCs/>
          <w:sz w:val="24"/>
          <w:szCs w:val="24"/>
          <w:lang w:val="en-US" w:eastAsia="zh-CN"/>
        </w:rPr>
        <w:t>信阳市</w:t>
      </w:r>
      <w:r>
        <w:rPr>
          <w:rFonts w:hint="eastAsia" w:ascii="宋体" w:hAnsi="宋体" w:eastAsia="宋体" w:cs="宋体"/>
          <w:bCs/>
          <w:sz w:val="24"/>
          <w:szCs w:val="24"/>
        </w:rPr>
        <w:t>公共资源交易系统发出的文件为准。</w:t>
      </w:r>
    </w:p>
    <w:p w14:paraId="4CEA5B8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2.3.3</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投标人应在投标文件递交截止时间前及时查看修改内容，因投标人未及时查看而造成的后果自负。</w:t>
      </w:r>
    </w:p>
    <w:p w14:paraId="582105F2">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77" w:name="_Toc18979"/>
      <w:bookmarkStart w:id="78" w:name="_Toc13117"/>
      <w:bookmarkStart w:id="79" w:name="_Toc27855"/>
      <w:bookmarkStart w:id="80" w:name="_Toc3617"/>
      <w:bookmarkStart w:id="81" w:name="_Toc23099"/>
      <w:r>
        <w:rPr>
          <w:rFonts w:hint="eastAsia" w:ascii="宋体" w:hAnsi="宋体" w:eastAsia="宋体" w:cs="宋体"/>
          <w:b/>
          <w:color w:val="auto"/>
          <w:spacing w:val="0"/>
          <w:sz w:val="24"/>
          <w:szCs w:val="24"/>
          <w:lang w:val="en-US" w:eastAsia="zh-CN"/>
        </w:rPr>
        <w:t>3.投标文件</w:t>
      </w:r>
      <w:bookmarkEnd w:id="74"/>
      <w:bookmarkEnd w:id="77"/>
      <w:bookmarkEnd w:id="78"/>
      <w:bookmarkEnd w:id="79"/>
      <w:bookmarkEnd w:id="80"/>
      <w:bookmarkEnd w:id="81"/>
    </w:p>
    <w:p w14:paraId="0E65BA15">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3.1</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投标文件的组成</w:t>
      </w:r>
    </w:p>
    <w:p w14:paraId="4391E72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sz w:val="24"/>
          <w:szCs w:val="24"/>
          <w:highlight w:val="none"/>
          <w:lang w:eastAsia="zh-CN"/>
        </w:rPr>
      </w:pPr>
      <w:bookmarkStart w:id="82" w:name="_Toc31433"/>
      <w:bookmarkStart w:id="83" w:name="_Toc22864"/>
      <w:bookmarkStart w:id="84" w:name="_Toc18750"/>
      <w:bookmarkStart w:id="85" w:name="_Toc455867785"/>
      <w:bookmarkStart w:id="86" w:name="_Toc779"/>
      <w:bookmarkStart w:id="87" w:name="_Toc13280"/>
      <w:bookmarkStart w:id="88" w:name="_Toc466298108"/>
      <w:bookmarkStart w:id="89" w:name="_Toc31931"/>
      <w:bookmarkStart w:id="90" w:name="_Toc455080125"/>
      <w:bookmarkStart w:id="91" w:name="_Toc8768"/>
      <w:bookmarkStart w:id="92" w:name="_Toc490667845"/>
      <w:bookmarkStart w:id="93" w:name="_Toc297211674"/>
      <w:r>
        <w:rPr>
          <w:rFonts w:hint="eastAsia" w:ascii="宋体" w:hAnsi="宋体" w:eastAsia="宋体" w:cs="宋体"/>
          <w:b w:val="0"/>
          <w:bCs w:val="0"/>
          <w:color w:val="auto"/>
          <w:sz w:val="24"/>
          <w:szCs w:val="24"/>
          <w:highlight w:val="none"/>
        </w:rPr>
        <w:t>详见第六章“</w:t>
      </w:r>
      <w:r>
        <w:rPr>
          <w:rFonts w:hint="eastAsia" w:ascii="宋体" w:hAnsi="宋体" w:eastAsia="宋体" w:cs="宋体"/>
          <w:b w:val="0"/>
          <w:bCs w:val="0"/>
          <w:color w:val="auto"/>
          <w:sz w:val="24"/>
          <w:szCs w:val="24"/>
          <w:highlight w:val="none"/>
          <w:lang w:val="en-US" w:eastAsia="zh-CN"/>
        </w:rPr>
        <w:t>投标</w:t>
      </w:r>
      <w:r>
        <w:rPr>
          <w:rFonts w:hint="eastAsia" w:ascii="宋体" w:hAnsi="宋体" w:eastAsia="宋体" w:cs="宋体"/>
          <w:b w:val="0"/>
          <w:bCs w:val="0"/>
          <w:color w:val="auto"/>
          <w:sz w:val="24"/>
          <w:szCs w:val="24"/>
          <w:highlight w:val="none"/>
        </w:rPr>
        <w:t>文件格式”</w:t>
      </w:r>
      <w:bookmarkEnd w:id="82"/>
      <w:bookmarkEnd w:id="83"/>
      <w:bookmarkEnd w:id="84"/>
      <w:bookmarkEnd w:id="85"/>
      <w:bookmarkEnd w:id="86"/>
      <w:bookmarkEnd w:id="87"/>
      <w:bookmarkEnd w:id="88"/>
      <w:bookmarkEnd w:id="89"/>
      <w:bookmarkEnd w:id="90"/>
      <w:bookmarkEnd w:id="91"/>
      <w:bookmarkEnd w:id="92"/>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lang w:eastAsia="zh-CN"/>
        </w:rPr>
        <w:t>。</w:t>
      </w:r>
    </w:p>
    <w:p w14:paraId="1BF52877">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投标报价</w:t>
      </w:r>
      <w:bookmarkEnd w:id="93"/>
    </w:p>
    <w:p w14:paraId="3A24071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投标人应按</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w:t>
      </w:r>
      <w:r>
        <w:rPr>
          <w:rFonts w:hint="eastAsia" w:ascii="宋体" w:hAnsi="宋体" w:eastAsia="宋体" w:cs="宋体"/>
          <w:sz w:val="24"/>
          <w:szCs w:val="24"/>
          <w:lang w:val="en-US" w:eastAsia="zh-CN"/>
        </w:rPr>
        <w:t>招标</w:t>
      </w:r>
      <w:r>
        <w:rPr>
          <w:rFonts w:hint="eastAsia" w:ascii="宋体" w:hAnsi="宋体" w:eastAsia="宋体" w:cs="宋体"/>
          <w:sz w:val="24"/>
          <w:szCs w:val="24"/>
          <w:lang w:eastAsia="zh-CN"/>
        </w:rPr>
        <w:t>文件</w:t>
      </w:r>
      <w:r>
        <w:rPr>
          <w:rFonts w:hint="eastAsia" w:ascii="宋体" w:hAnsi="宋体" w:eastAsia="宋体" w:cs="宋体"/>
          <w:sz w:val="24"/>
          <w:szCs w:val="24"/>
        </w:rPr>
        <w:t>澄清（答疑）纪要、</w:t>
      </w:r>
      <w:r>
        <w:rPr>
          <w:rFonts w:hint="eastAsia" w:ascii="宋体" w:hAnsi="宋体" w:eastAsia="宋体" w:cs="宋体"/>
          <w:sz w:val="24"/>
          <w:szCs w:val="24"/>
          <w:lang w:val="en-US" w:eastAsia="zh-CN"/>
        </w:rPr>
        <w:t>现场情况、承包范围、招标</w:t>
      </w:r>
      <w:r>
        <w:rPr>
          <w:rFonts w:hint="eastAsia" w:ascii="宋体" w:hAnsi="宋体" w:eastAsia="宋体" w:cs="宋体"/>
          <w:sz w:val="24"/>
          <w:szCs w:val="24"/>
          <w:lang w:eastAsia="zh-CN"/>
        </w:rPr>
        <w:t>文件</w:t>
      </w:r>
      <w:r>
        <w:rPr>
          <w:rFonts w:hint="eastAsia" w:ascii="宋体" w:hAnsi="宋体" w:eastAsia="宋体" w:cs="宋体"/>
          <w:sz w:val="24"/>
          <w:szCs w:val="24"/>
        </w:rPr>
        <w:t>修改补充通知及相关技术要求进行报价。</w:t>
      </w:r>
    </w:p>
    <w:p w14:paraId="110F2E31">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3.2.2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本项目设预算价（最高限价）（见投标人须知前附表），投标人的报价不得超过采购人发布的预算价（最高限价），否则其投标做无效投标处理。</w:t>
      </w:r>
    </w:p>
    <w:p w14:paraId="5971E96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3.2.3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本项目的投标总报价以3.2.1条为依据由投标人自主报价，即投标人根据招标项目的具体内容、现场情况、技术要求等自主报价，投标人的报价不得低于企业成本。</w:t>
      </w:r>
    </w:p>
    <w:p w14:paraId="1B8221D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3.2.4 </w:t>
      </w:r>
      <w:r>
        <w:rPr>
          <w:rFonts w:hint="eastAsia" w:ascii="宋体" w:hAnsi="宋体" w:eastAsia="宋体" w:cs="宋体"/>
          <w:spacing w:val="-11"/>
          <w:sz w:val="24"/>
          <w:szCs w:val="24"/>
        </w:rPr>
        <w:t>投标人的投标总报价具有唯一性，采购人不接受任何可变价，投标人的投标报价理解为所有费用，投标人的投标报价如有漏项，视为已经包含在投标报价内。</w:t>
      </w:r>
    </w:p>
    <w:p w14:paraId="567473A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3.2.5</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投标总报价是评标的重要依据，但不是唯一依据，最低报价不是中标的决定因素</w:t>
      </w:r>
      <w:r>
        <w:rPr>
          <w:rFonts w:hint="eastAsia" w:ascii="宋体" w:hAnsi="宋体" w:eastAsia="宋体" w:cs="宋体"/>
          <w:sz w:val="24"/>
          <w:szCs w:val="24"/>
          <w:lang w:eastAsia="zh-CN"/>
        </w:rPr>
        <w:t>。</w:t>
      </w:r>
    </w:p>
    <w:p w14:paraId="3B16B37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3.2.6</w:t>
      </w:r>
      <w:r>
        <w:rPr>
          <w:rFonts w:hint="eastAsia" w:ascii="宋体" w:hAnsi="宋体" w:eastAsia="宋体" w:cs="宋体"/>
          <w:b w:val="0"/>
          <w:bCs w:val="0"/>
          <w:sz w:val="24"/>
          <w:szCs w:val="24"/>
          <w:lang w:val="en-US" w:eastAsia="zh-CN"/>
        </w:rPr>
        <w:t xml:space="preserve"> 在评标过程中，</w:t>
      </w:r>
      <w:r>
        <w:rPr>
          <w:rFonts w:hint="eastAsia" w:ascii="宋体" w:hAnsi="宋体" w:eastAsia="宋体" w:cs="宋体"/>
          <w:sz w:val="24"/>
          <w:szCs w:val="24"/>
          <w:lang w:val="en-US" w:eastAsia="zh-CN"/>
        </w:rPr>
        <w:t>评标委员会认为投标人的报价明显低于其他通过符合性审查投标人的报价，有可能影响产品质量或者不能诚信履约的（建议结合投标人提供的产品或服务响应采购需求的程度判断），应当要求其在评标现场合理的时间内提供书面说明，必要时提交相关证明材料；投标人不能证明其报价合理性的，评标委员会应当将其作为无效投标处理。</w:t>
      </w:r>
    </w:p>
    <w:p w14:paraId="3647F242">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3.2.7</w:t>
      </w:r>
      <w:r>
        <w:rPr>
          <w:rFonts w:hint="eastAsia" w:ascii="宋体" w:hAnsi="宋体" w:eastAsia="宋体" w:cs="宋体"/>
          <w:sz w:val="24"/>
          <w:szCs w:val="24"/>
        </w:rPr>
        <w:t>全部报价均应以人民币为计量币种，并以人民币进行结算。</w:t>
      </w:r>
    </w:p>
    <w:p w14:paraId="736AACBE">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highlight w:val="none"/>
          <w:lang w:val="zh-CN"/>
        </w:rPr>
      </w:pPr>
      <w:r>
        <w:rPr>
          <w:rFonts w:hint="eastAsia" w:ascii="宋体" w:hAnsi="宋体" w:eastAsia="宋体" w:cs="宋体"/>
          <w:b/>
          <w:bCs/>
          <w:sz w:val="24"/>
          <w:szCs w:val="24"/>
          <w:highlight w:val="none"/>
        </w:rPr>
        <w:t>3.3</w:t>
      </w:r>
      <w:r>
        <w:rPr>
          <w:rFonts w:hint="eastAsia" w:ascii="宋体" w:hAnsi="宋体" w:eastAsia="宋体" w:cs="宋体"/>
          <w:b/>
          <w:bCs/>
          <w:sz w:val="24"/>
          <w:szCs w:val="24"/>
          <w:highlight w:val="none"/>
          <w:lang w:val="zh-CN"/>
        </w:rPr>
        <w:t>小型微型企业认定及评标价格评审（</w:t>
      </w:r>
      <w:r>
        <w:rPr>
          <w:rFonts w:hint="eastAsia" w:ascii="宋体" w:hAnsi="宋体" w:eastAsia="宋体" w:cs="宋体"/>
          <w:b/>
          <w:bCs/>
          <w:sz w:val="24"/>
          <w:szCs w:val="24"/>
          <w:highlight w:val="none"/>
          <w:lang w:val="en-US" w:eastAsia="zh-CN"/>
        </w:rPr>
        <w:t>本项目不适用</w:t>
      </w:r>
      <w:r>
        <w:rPr>
          <w:rFonts w:hint="eastAsia" w:ascii="宋体" w:hAnsi="宋体" w:eastAsia="宋体" w:cs="宋体"/>
          <w:b/>
          <w:bCs/>
          <w:sz w:val="24"/>
          <w:szCs w:val="24"/>
          <w:highlight w:val="none"/>
          <w:lang w:val="zh-CN"/>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1"/>
        <w:gridCol w:w="1552"/>
        <w:gridCol w:w="1483"/>
        <w:gridCol w:w="2260"/>
        <w:gridCol w:w="2082"/>
      </w:tblGrid>
      <w:tr w14:paraId="7BA4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581" w:type="dxa"/>
            <w:noWrap w:val="0"/>
            <w:vAlign w:val="center"/>
          </w:tcPr>
          <w:p w14:paraId="3D56740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内容</w:t>
            </w:r>
          </w:p>
        </w:tc>
        <w:tc>
          <w:tcPr>
            <w:tcW w:w="1552" w:type="dxa"/>
            <w:noWrap w:val="0"/>
            <w:vAlign w:val="center"/>
          </w:tcPr>
          <w:p w14:paraId="240416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大型企业</w:t>
            </w:r>
          </w:p>
        </w:tc>
        <w:tc>
          <w:tcPr>
            <w:tcW w:w="1483" w:type="dxa"/>
            <w:noWrap w:val="0"/>
            <w:vAlign w:val="center"/>
          </w:tcPr>
          <w:p w14:paraId="1A5C5A8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中型企业</w:t>
            </w:r>
          </w:p>
        </w:tc>
        <w:tc>
          <w:tcPr>
            <w:tcW w:w="2260" w:type="dxa"/>
            <w:noWrap w:val="0"/>
            <w:vAlign w:val="center"/>
          </w:tcPr>
          <w:p w14:paraId="2D9CFF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小型企业</w:t>
            </w:r>
          </w:p>
        </w:tc>
        <w:tc>
          <w:tcPr>
            <w:tcW w:w="2082" w:type="dxa"/>
            <w:noWrap w:val="0"/>
            <w:vAlign w:val="center"/>
          </w:tcPr>
          <w:p w14:paraId="7A51321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微型企业</w:t>
            </w:r>
          </w:p>
        </w:tc>
      </w:tr>
      <w:tr w14:paraId="1ACC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81" w:type="dxa"/>
            <w:noWrap w:val="0"/>
            <w:vAlign w:val="center"/>
          </w:tcPr>
          <w:p w14:paraId="5D0A72A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价格=</w:t>
            </w:r>
          </w:p>
        </w:tc>
        <w:tc>
          <w:tcPr>
            <w:tcW w:w="1552" w:type="dxa"/>
            <w:noWrap w:val="0"/>
            <w:vAlign w:val="center"/>
          </w:tcPr>
          <w:p w14:paraId="15BA361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报价</w:t>
            </w:r>
          </w:p>
        </w:tc>
        <w:tc>
          <w:tcPr>
            <w:tcW w:w="1483" w:type="dxa"/>
            <w:noWrap w:val="0"/>
            <w:vAlign w:val="center"/>
          </w:tcPr>
          <w:p w14:paraId="39A0FE4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报价</w:t>
            </w:r>
          </w:p>
        </w:tc>
        <w:tc>
          <w:tcPr>
            <w:tcW w:w="2260" w:type="dxa"/>
            <w:noWrap w:val="0"/>
            <w:vAlign w:val="center"/>
          </w:tcPr>
          <w:p w14:paraId="3717BF8B">
            <w:pPr>
              <w:pStyle w:val="7"/>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报价×（</w:t>
            </w:r>
            <w:r>
              <w:rPr>
                <w:rFonts w:hint="eastAsia" w:ascii="宋体" w:hAnsi="宋体" w:eastAsia="宋体" w:cs="宋体"/>
                <w:sz w:val="21"/>
                <w:szCs w:val="21"/>
                <w:lang w:val="en-US" w:eastAsia="zh-CN"/>
              </w:rPr>
              <w:t>1</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20</w:t>
            </w:r>
            <w:r>
              <w:rPr>
                <w:rFonts w:hint="eastAsia" w:ascii="宋体" w:hAnsi="宋体" w:eastAsia="宋体" w:cs="宋体"/>
                <w:sz w:val="21"/>
                <w:szCs w:val="21"/>
                <w:lang w:val="zh-CN"/>
              </w:rPr>
              <w:t>%）</w:t>
            </w:r>
          </w:p>
        </w:tc>
        <w:tc>
          <w:tcPr>
            <w:tcW w:w="2082" w:type="dxa"/>
            <w:noWrap w:val="0"/>
            <w:vAlign w:val="center"/>
          </w:tcPr>
          <w:p w14:paraId="78AECE9C">
            <w:pPr>
              <w:pStyle w:val="7"/>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报价×（</w:t>
            </w:r>
            <w:r>
              <w:rPr>
                <w:rFonts w:hint="eastAsia" w:ascii="宋体" w:hAnsi="宋体" w:eastAsia="宋体" w:cs="宋体"/>
                <w:sz w:val="21"/>
                <w:szCs w:val="21"/>
                <w:lang w:val="en-US" w:eastAsia="zh-CN"/>
              </w:rPr>
              <w:t>1</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20</w:t>
            </w:r>
            <w:r>
              <w:rPr>
                <w:rFonts w:hint="eastAsia" w:ascii="宋体" w:hAnsi="宋体" w:eastAsia="宋体" w:cs="宋体"/>
                <w:sz w:val="21"/>
                <w:szCs w:val="21"/>
                <w:lang w:val="zh-CN"/>
              </w:rPr>
              <w:t>%）</w:t>
            </w:r>
          </w:p>
        </w:tc>
      </w:tr>
    </w:tbl>
    <w:p w14:paraId="1089EF2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pacing w:val="0"/>
          <w:sz w:val="24"/>
          <w:szCs w:val="24"/>
        </w:rPr>
      </w:pPr>
      <w:r>
        <w:rPr>
          <w:rFonts w:hint="eastAsia" w:ascii="宋体" w:hAnsi="宋体" w:eastAsia="宋体" w:cs="宋体"/>
          <w:sz w:val="24"/>
          <w:szCs w:val="24"/>
        </w:rPr>
        <w:t>3.3.1</w:t>
      </w:r>
      <w:r>
        <w:rPr>
          <w:rFonts w:hint="eastAsia" w:ascii="宋体" w:hAnsi="宋体" w:eastAsia="宋体" w:cs="宋体"/>
          <w:sz w:val="24"/>
          <w:szCs w:val="24"/>
          <w:lang w:val="en-US" w:eastAsia="zh-CN"/>
        </w:rPr>
        <w:t xml:space="preserve"> </w:t>
      </w:r>
      <w:r>
        <w:rPr>
          <w:rFonts w:hint="eastAsia" w:ascii="宋体" w:hAnsi="宋体" w:eastAsia="宋体" w:cs="宋体"/>
          <w:spacing w:val="0"/>
          <w:sz w:val="24"/>
          <w:szCs w:val="24"/>
          <w:lang w:val="zh-CN"/>
        </w:rPr>
        <w:t>根据《政府采购促进中小企业发展管理办法》（财库[20</w:t>
      </w:r>
      <w:r>
        <w:rPr>
          <w:rFonts w:hint="eastAsia" w:ascii="宋体" w:hAnsi="宋体" w:eastAsia="宋体" w:cs="宋体"/>
          <w:spacing w:val="0"/>
          <w:sz w:val="24"/>
          <w:szCs w:val="24"/>
        </w:rPr>
        <w:t>20</w:t>
      </w:r>
      <w:r>
        <w:rPr>
          <w:rFonts w:hint="eastAsia" w:ascii="宋体" w:hAnsi="宋体" w:eastAsia="宋体" w:cs="宋体"/>
          <w:spacing w:val="0"/>
          <w:sz w:val="24"/>
          <w:szCs w:val="24"/>
          <w:lang w:val="zh-CN"/>
        </w:rPr>
        <w:t>]</w:t>
      </w:r>
      <w:r>
        <w:rPr>
          <w:rFonts w:hint="eastAsia" w:ascii="宋体" w:hAnsi="宋体" w:eastAsia="宋体" w:cs="宋体"/>
          <w:spacing w:val="0"/>
          <w:sz w:val="24"/>
          <w:szCs w:val="24"/>
        </w:rPr>
        <w:t>46</w:t>
      </w:r>
      <w:r>
        <w:rPr>
          <w:rFonts w:hint="eastAsia" w:ascii="宋体" w:hAnsi="宋体" w:eastAsia="宋体" w:cs="宋体"/>
          <w:spacing w:val="0"/>
          <w:sz w:val="24"/>
          <w:szCs w:val="24"/>
          <w:lang w:val="zh-CN"/>
        </w:rPr>
        <w:t>号）的规定、《工业和信息化部、国家统计局、国家发展和改革委员会、财政部关于印发中小企业划型标准规定的通知》（工信部联企业[</w:t>
      </w:r>
      <w:r>
        <w:rPr>
          <w:rFonts w:hint="eastAsia" w:ascii="宋体" w:hAnsi="宋体" w:eastAsia="宋体" w:cs="宋体"/>
          <w:spacing w:val="0"/>
          <w:sz w:val="24"/>
          <w:szCs w:val="24"/>
        </w:rPr>
        <w:t>20</w:t>
      </w:r>
      <w:r>
        <w:rPr>
          <w:rFonts w:hint="eastAsia" w:ascii="宋体" w:hAnsi="宋体" w:eastAsia="宋体" w:cs="宋体"/>
          <w:spacing w:val="0"/>
          <w:sz w:val="24"/>
          <w:szCs w:val="24"/>
          <w:lang w:val="zh-CN"/>
        </w:rPr>
        <w:t>11]300号）、河南省财政厅河南省工业和信息化厅《关于政府采购促进小型微型企业发展的实施意见》（豫财购[</w:t>
      </w:r>
      <w:r>
        <w:rPr>
          <w:rFonts w:hint="eastAsia" w:ascii="宋体" w:hAnsi="宋体" w:eastAsia="宋体" w:cs="宋体"/>
          <w:spacing w:val="0"/>
          <w:sz w:val="24"/>
          <w:szCs w:val="24"/>
        </w:rPr>
        <w:t>20</w:t>
      </w:r>
      <w:r>
        <w:rPr>
          <w:rFonts w:hint="eastAsia" w:ascii="宋体" w:hAnsi="宋体" w:eastAsia="宋体" w:cs="宋体"/>
          <w:spacing w:val="0"/>
          <w:sz w:val="24"/>
          <w:szCs w:val="24"/>
          <w:lang w:val="zh-CN"/>
        </w:rPr>
        <w:t>13]14号）文件规定，对小型和微型企业产品的价格给予</w:t>
      </w:r>
      <w:r>
        <w:rPr>
          <w:rFonts w:hint="eastAsia" w:ascii="宋体" w:hAnsi="宋体" w:eastAsia="宋体" w:cs="宋体"/>
          <w:spacing w:val="0"/>
          <w:sz w:val="24"/>
          <w:szCs w:val="24"/>
          <w:lang w:val="en-US" w:eastAsia="zh-CN"/>
        </w:rPr>
        <w:t>20</w:t>
      </w:r>
      <w:r>
        <w:rPr>
          <w:rFonts w:hint="eastAsia" w:ascii="宋体" w:hAnsi="宋体" w:eastAsia="宋体" w:cs="宋体"/>
          <w:spacing w:val="0"/>
          <w:sz w:val="24"/>
          <w:szCs w:val="24"/>
          <w:lang w:val="zh-CN"/>
        </w:rPr>
        <w:t>%的扣除，用扣除后的价格参与评审。</w:t>
      </w:r>
    </w:p>
    <w:p w14:paraId="2B385D3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宋体" w:hAnsi="宋体" w:eastAsia="宋体" w:cs="宋体"/>
          <w:sz w:val="24"/>
          <w:szCs w:val="24"/>
          <w:lang w:val="en-US" w:eastAsia="zh-CN"/>
        </w:rPr>
        <w:t>20</w:t>
      </w:r>
      <w:r>
        <w:rPr>
          <w:rFonts w:hint="eastAsia" w:ascii="宋体" w:hAnsi="宋体" w:eastAsia="宋体" w:cs="宋体"/>
          <w:sz w:val="24"/>
          <w:szCs w:val="24"/>
        </w:rPr>
        <w:t>%的价格扣除，但必须提供由省级以上监狱管理局、戒毒管理局（含新疆生产建设兵团）出具的属于监狱企业的证明文件，否则评审时不予价格扣除优惠。</w:t>
      </w:r>
    </w:p>
    <w:p w14:paraId="3F4BD23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3.3.3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根据财库(2017)141号文件规定，在政府采购活动中，残疾人福利性单位视同小型、微型企业，享受预留份额、评审中价格扣除等促进中小企业发展的政府采购政策。残疾人福利性单位属于小型、微型企业的，不重复享受政策。符合条件的残疾人福利性单位在参加政府采购活动时，应当提供《残疾人福利性单位声明函》(见投标文件格式)，并对声明的真实性负责。</w:t>
      </w:r>
    </w:p>
    <w:p w14:paraId="3616A56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color w:val="auto"/>
          <w:spacing w:val="0"/>
          <w:sz w:val="24"/>
          <w:szCs w:val="24"/>
          <w:lang w:val="en-US" w:eastAsia="zh-CN"/>
        </w:rPr>
        <w:t>3.3.4 根据（财政部 国家环保总局联合印发《关于环境标志产品政府采购实施的意见》的通知）财库〔1906〕90号文件的有关要求，投标人本次投标活动中，如果所投设备属于最新发布“环境标志产品政府采购清单”中的品目时，在性能、技术、服务等指标同等条件下，将优先采购清单中的产品。</w:t>
      </w:r>
    </w:p>
    <w:p w14:paraId="4AEA92E3">
      <w:pPr>
        <w:pageBreakBefore w:val="0"/>
        <w:widowControl/>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b w:val="0"/>
          <w:bCs/>
          <w:color w:val="auto"/>
          <w:spacing w:val="0"/>
          <w:sz w:val="24"/>
          <w:szCs w:val="24"/>
          <w:lang w:val="en-US" w:eastAsia="zh-CN"/>
        </w:rPr>
      </w:pPr>
      <w:r>
        <w:rPr>
          <w:rFonts w:hint="eastAsia" w:ascii="宋体" w:hAnsi="宋体" w:eastAsia="宋体" w:cs="宋体"/>
          <w:b w:val="0"/>
          <w:bCs/>
          <w:color w:val="auto"/>
          <w:spacing w:val="0"/>
          <w:sz w:val="24"/>
          <w:szCs w:val="24"/>
          <w:lang w:val="en-US" w:eastAsia="zh-CN"/>
        </w:rPr>
        <w:t xml:space="preserve">3.3.5 根据（财政部 国家发展改革委关于印发《节能产品政府采购实施意见》的通知）财库〔1904〕185号文件的有关要求，投标人本次投标活动中，如果所投设备属于最新发布“节能产品政府采购清单”中的品目时，在性能、技术、服务等指标同等条件下，将优先采购清单中的产品。 </w:t>
      </w:r>
    </w:p>
    <w:p w14:paraId="21100F01">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auto"/>
          <w:spacing w:val="0"/>
          <w:sz w:val="24"/>
          <w:szCs w:val="24"/>
          <w:lang w:val="en-US" w:eastAsia="zh-CN"/>
        </w:rPr>
      </w:pPr>
      <w:r>
        <w:rPr>
          <w:rFonts w:hint="eastAsia" w:ascii="宋体" w:hAnsi="宋体" w:eastAsia="宋体" w:cs="宋体"/>
          <w:b w:val="0"/>
          <w:bCs/>
          <w:color w:val="auto"/>
          <w:spacing w:val="0"/>
          <w:sz w:val="24"/>
          <w:szCs w:val="24"/>
          <w:lang w:val="en-US" w:eastAsia="zh-CN"/>
        </w:rPr>
        <w:t>注：投标价格为含税价，应包含服务过程中产生的一切费用等。</w:t>
      </w:r>
    </w:p>
    <w:p w14:paraId="64385C7A">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3.4</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投标有效期</w:t>
      </w:r>
    </w:p>
    <w:p w14:paraId="1632C798">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3.4.1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在投标人须知前附表规定的投标有效期内，投标人不得要求撤销或修改其投标文件。</w:t>
      </w:r>
    </w:p>
    <w:p w14:paraId="3D895B46">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3.4.2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出现特殊情况需要延长投标有效期的，采购人以书面形式通知所有投标人延长投标有效期。投标人同意延长的，不得要求或被允许修改或撤销其投标文件；投标人拒绝延长的，其投标失效。</w:t>
      </w:r>
    </w:p>
    <w:p w14:paraId="78CDFB2D">
      <w:pPr>
        <w:pageBreakBefore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bCs w:val="0"/>
          <w:sz w:val="24"/>
          <w:szCs w:val="24"/>
        </w:rPr>
      </w:pPr>
      <w:bookmarkStart w:id="94" w:name="_Toc297211678"/>
      <w:r>
        <w:rPr>
          <w:rFonts w:hint="eastAsia" w:ascii="宋体" w:hAnsi="宋体" w:eastAsia="宋体" w:cs="宋体"/>
          <w:b/>
          <w:color w:val="auto"/>
          <w:spacing w:val="0"/>
          <w:sz w:val="24"/>
          <w:szCs w:val="24"/>
        </w:rPr>
        <w:t>3.</w:t>
      </w:r>
      <w:r>
        <w:rPr>
          <w:rFonts w:hint="eastAsia" w:ascii="宋体" w:hAnsi="宋体" w:eastAsia="宋体" w:cs="宋体"/>
          <w:b/>
          <w:color w:val="auto"/>
          <w:spacing w:val="0"/>
          <w:sz w:val="24"/>
          <w:szCs w:val="24"/>
          <w:lang w:val="en-US" w:eastAsia="zh-CN"/>
        </w:rPr>
        <w:t xml:space="preserve">5 </w:t>
      </w:r>
      <w:r>
        <w:rPr>
          <w:rFonts w:hint="eastAsia" w:ascii="宋体" w:hAnsi="宋体" w:eastAsia="宋体" w:cs="宋体"/>
          <w:b/>
          <w:color w:val="auto"/>
          <w:spacing w:val="0"/>
          <w:sz w:val="24"/>
          <w:szCs w:val="24"/>
        </w:rPr>
        <w:t>投标保证金（无）</w:t>
      </w:r>
    </w:p>
    <w:p w14:paraId="1873562E">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3.</w:t>
      </w:r>
      <w:bookmarkEnd w:id="94"/>
      <w:r>
        <w:rPr>
          <w:rFonts w:hint="eastAsia" w:ascii="宋体" w:hAnsi="宋体" w:eastAsia="宋体" w:cs="宋体"/>
          <w:b/>
          <w:bCs w:val="0"/>
          <w:sz w:val="24"/>
          <w:szCs w:val="24"/>
          <w:lang w:val="en-US" w:eastAsia="zh-CN"/>
        </w:rPr>
        <w:t xml:space="preserve">6 </w:t>
      </w:r>
      <w:r>
        <w:rPr>
          <w:rFonts w:hint="eastAsia" w:ascii="宋体" w:hAnsi="宋体" w:eastAsia="宋体" w:cs="宋体"/>
          <w:b/>
          <w:bCs w:val="0"/>
          <w:sz w:val="24"/>
          <w:szCs w:val="24"/>
        </w:rPr>
        <w:t>投标文件的制作</w:t>
      </w:r>
    </w:p>
    <w:p w14:paraId="61A34760">
      <w:pPr>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.1</w:t>
      </w:r>
      <w:r>
        <w:rPr>
          <w:rFonts w:hint="eastAsia" w:ascii="宋体" w:hAnsi="宋体" w:eastAsia="宋体" w:cs="宋体"/>
          <w:b w:val="0"/>
          <w:bCs/>
          <w:spacing w:val="0"/>
          <w:sz w:val="24"/>
          <w:szCs w:val="24"/>
        </w:rPr>
        <w:t>投标人通过“</w:t>
      </w:r>
      <w:r>
        <w:rPr>
          <w:rFonts w:hint="eastAsia" w:ascii="宋体" w:hAnsi="宋体" w:eastAsia="宋体" w:cs="宋体"/>
          <w:color w:val="auto"/>
          <w:spacing w:val="0"/>
          <w:sz w:val="24"/>
          <w:szCs w:val="24"/>
        </w:rPr>
        <w:t>全国公共资源交易平台（河南省·</w:t>
      </w:r>
      <w:r>
        <w:rPr>
          <w:rFonts w:hint="eastAsia" w:ascii="宋体" w:hAnsi="宋体" w:eastAsia="宋体" w:cs="宋体"/>
          <w:color w:val="auto"/>
          <w:spacing w:val="0"/>
          <w:sz w:val="24"/>
          <w:szCs w:val="24"/>
          <w:lang w:val="en-US" w:eastAsia="zh-CN"/>
        </w:rPr>
        <w:t>信阳市</w:t>
      </w:r>
      <w:r>
        <w:rPr>
          <w:rFonts w:hint="eastAsia" w:ascii="宋体" w:hAnsi="宋体" w:eastAsia="宋体" w:cs="宋体"/>
          <w:color w:val="auto"/>
          <w:spacing w:val="0"/>
          <w:sz w:val="24"/>
          <w:szCs w:val="24"/>
        </w:rPr>
        <w:t>）</w:t>
      </w:r>
      <w:r>
        <w:rPr>
          <w:rFonts w:hint="eastAsia" w:ascii="宋体" w:hAnsi="宋体" w:eastAsia="宋体" w:cs="宋体"/>
          <w:b w:val="0"/>
          <w:bCs/>
          <w:spacing w:val="0"/>
          <w:sz w:val="24"/>
          <w:szCs w:val="24"/>
        </w:rPr>
        <w:t>（https://ggzyjy.xinyang.gov.cn/）”网站下载中心栏目内下载或</w:t>
      </w:r>
      <w:r>
        <w:rPr>
          <w:rFonts w:hint="eastAsia" w:ascii="宋体" w:hAnsi="宋体" w:eastAsia="宋体" w:cs="宋体"/>
          <w:b w:val="0"/>
          <w:bCs/>
          <w:spacing w:val="0"/>
          <w:sz w:val="24"/>
          <w:szCs w:val="24"/>
          <w:lang w:val="en-US" w:eastAsia="zh-CN"/>
        </w:rPr>
        <w:t>招标</w:t>
      </w:r>
      <w:r>
        <w:rPr>
          <w:rFonts w:hint="eastAsia" w:ascii="宋体" w:hAnsi="宋体" w:eastAsia="宋体" w:cs="宋体"/>
          <w:b w:val="0"/>
          <w:bCs/>
          <w:spacing w:val="0"/>
          <w:sz w:val="24"/>
          <w:szCs w:val="24"/>
          <w:lang w:eastAsia="zh-CN"/>
        </w:rPr>
        <w:t>文件</w:t>
      </w:r>
      <w:r>
        <w:rPr>
          <w:rFonts w:hint="eastAsia" w:ascii="宋体" w:hAnsi="宋体" w:eastAsia="宋体" w:cs="宋体"/>
          <w:b w:val="0"/>
          <w:bCs/>
          <w:spacing w:val="0"/>
          <w:sz w:val="24"/>
          <w:szCs w:val="24"/>
        </w:rPr>
        <w:t>领取页面下载“信阳市投标文件制作工具软件”。</w:t>
      </w:r>
    </w:p>
    <w:p w14:paraId="507F3C7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.2</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pacing w:val="-11"/>
          <w:sz w:val="24"/>
          <w:szCs w:val="24"/>
        </w:rPr>
        <w:t>使用“</w:t>
      </w:r>
      <w:r>
        <w:rPr>
          <w:rFonts w:hint="eastAsia" w:ascii="宋体" w:hAnsi="宋体" w:eastAsia="宋体" w:cs="宋体"/>
          <w:b w:val="0"/>
          <w:bCs/>
          <w:spacing w:val="-11"/>
          <w:sz w:val="24"/>
          <w:szCs w:val="24"/>
          <w:lang w:val="en-US" w:eastAsia="zh-CN"/>
        </w:rPr>
        <w:t>信阳市</w:t>
      </w:r>
      <w:r>
        <w:rPr>
          <w:rFonts w:hint="eastAsia" w:ascii="宋体" w:hAnsi="宋体" w:eastAsia="宋体" w:cs="宋体"/>
          <w:b w:val="0"/>
          <w:bCs/>
          <w:spacing w:val="-11"/>
          <w:sz w:val="24"/>
          <w:szCs w:val="24"/>
        </w:rPr>
        <w:t>投标文件制作工具”软件制作生成加密版和非未加密的电子投标文件，软件操作手册可在网站下载中心下载或打开软件后在右上角菜单内领取。</w:t>
      </w:r>
    </w:p>
    <w:p w14:paraId="0B52AD56">
      <w:pPr>
        <w:pageBreakBefore w:val="0"/>
        <w:tabs>
          <w:tab w:val="left" w:pos="420"/>
        </w:tabs>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rPr>
        <w:t>投标人在电子投标文件制作完成后生成投标文件时须加盖电子签章/签名。其他要求签字盖章的投标文件格式内容，如无法进行电子签章/签名，投标人可将盖章/签名后的扫描件上传到电子投标文件中。</w:t>
      </w:r>
      <w:r>
        <w:rPr>
          <w:rFonts w:hint="eastAsia" w:ascii="宋体" w:hAnsi="宋体" w:eastAsia="宋体" w:cs="宋体"/>
          <w:color w:val="auto"/>
          <w:sz w:val="24"/>
          <w:szCs w:val="24"/>
          <w:highlight w:val="none"/>
        </w:rPr>
        <w:t>若</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文件由</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法定代表人签字、盖章、电子签名或加盖电子印章的，应附法定代表人身份证明，且法定代表人身份证头像面须由本人签字；若由代理人签字、盖章、电子签名或加盖电子印章的，应附法定代表人签署的授权委托书，且授权委托人身份证头像面须由本人签字。</w:t>
      </w:r>
      <w:r>
        <w:rPr>
          <w:rFonts w:hint="eastAsia" w:ascii="宋体" w:hAnsi="宋体" w:eastAsia="宋体" w:cs="宋体"/>
          <w:color w:val="auto"/>
          <w:spacing w:val="0"/>
          <w:sz w:val="24"/>
          <w:szCs w:val="24"/>
        </w:rPr>
        <w:t>签字盖章的其他要求详见</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须知前附表。开标一览表报价将作为电子开标的唱标依据（若开标时电子唱标的开标一览表内容与投标文件内开标一览表内容不一致的，以开标时电子唱标的开标一览表内容为准。）</w:t>
      </w:r>
    </w:p>
    <w:p w14:paraId="69C1C34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.4</w:t>
      </w:r>
      <w:r>
        <w:rPr>
          <w:rFonts w:hint="eastAsia" w:ascii="宋体" w:hAnsi="宋体" w:eastAsia="宋体" w:cs="宋体"/>
          <w:b w:val="0"/>
          <w:bCs/>
          <w:sz w:val="24"/>
          <w:szCs w:val="24"/>
          <w:lang w:val="en-US" w:eastAsia="zh-CN"/>
        </w:rPr>
        <w:t xml:space="preserve"> 招标</w:t>
      </w:r>
      <w:r>
        <w:rPr>
          <w:rFonts w:hint="eastAsia" w:ascii="宋体" w:hAnsi="宋体" w:eastAsia="宋体" w:cs="宋体"/>
          <w:b w:val="0"/>
          <w:bCs/>
          <w:sz w:val="24"/>
          <w:szCs w:val="24"/>
          <w:lang w:eastAsia="zh-CN"/>
        </w:rPr>
        <w:t>文件</w:t>
      </w:r>
      <w:r>
        <w:rPr>
          <w:rFonts w:hint="eastAsia" w:ascii="宋体" w:hAnsi="宋体" w:eastAsia="宋体" w:cs="宋体"/>
          <w:b w:val="0"/>
          <w:bCs/>
          <w:sz w:val="24"/>
          <w:szCs w:val="24"/>
        </w:rPr>
        <w:t>格式所要求包含的全部资料应全部制作在投标文件内，严格按照本项目</w:t>
      </w:r>
      <w:r>
        <w:rPr>
          <w:rFonts w:hint="eastAsia" w:ascii="宋体" w:hAnsi="宋体" w:eastAsia="宋体" w:cs="宋体"/>
          <w:b w:val="0"/>
          <w:bCs/>
          <w:sz w:val="24"/>
          <w:szCs w:val="24"/>
          <w:lang w:val="en-US" w:eastAsia="zh-CN"/>
        </w:rPr>
        <w:t>招标</w:t>
      </w:r>
      <w:r>
        <w:rPr>
          <w:rFonts w:hint="eastAsia" w:ascii="宋体" w:hAnsi="宋体" w:eastAsia="宋体" w:cs="宋体"/>
          <w:b w:val="0"/>
          <w:bCs/>
          <w:sz w:val="24"/>
          <w:szCs w:val="24"/>
          <w:lang w:eastAsia="zh-CN"/>
        </w:rPr>
        <w:t>文件</w:t>
      </w:r>
      <w:r>
        <w:rPr>
          <w:rFonts w:hint="eastAsia" w:ascii="宋体" w:hAnsi="宋体" w:eastAsia="宋体" w:cs="宋体"/>
          <w:b w:val="0"/>
          <w:bCs/>
          <w:sz w:val="24"/>
          <w:szCs w:val="24"/>
        </w:rPr>
        <w:t>所有格式如实填写（不涉及的内容除外），不应存在漏项或缺项，否则将存在投标文件被拒绝的风险。</w:t>
      </w:r>
    </w:p>
    <w:p w14:paraId="561FA97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3.</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.5</w:t>
      </w:r>
      <w:r>
        <w:rPr>
          <w:rFonts w:hint="eastAsia" w:ascii="宋体" w:hAnsi="宋体" w:eastAsia="宋体" w:cs="宋体"/>
          <w:b w:val="0"/>
          <w:bCs/>
          <w:sz w:val="24"/>
          <w:szCs w:val="24"/>
          <w:lang w:val="en-US" w:eastAsia="zh-CN"/>
        </w:rPr>
        <w:t xml:space="preserve"> </w:t>
      </w:r>
      <w:r>
        <w:rPr>
          <w:rFonts w:hint="eastAsia" w:ascii="宋体" w:hAnsi="宋体" w:eastAsia="宋体" w:cs="宋体"/>
          <w:b w:val="0"/>
          <w:bCs/>
          <w:sz w:val="24"/>
          <w:szCs w:val="24"/>
        </w:rPr>
        <w:t>投标人编辑电子投标文件时，最后一步生成电子投标文件时，请使用本单位的企业 CA 数字证书。</w:t>
      </w:r>
    </w:p>
    <w:p w14:paraId="75D018B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.6</w:t>
      </w:r>
      <w:r>
        <w:rPr>
          <w:rFonts w:hint="eastAsia" w:ascii="宋体" w:hAnsi="宋体" w:eastAsia="宋体" w:cs="宋体"/>
          <w:sz w:val="24"/>
          <w:szCs w:val="24"/>
          <w:lang w:val="en-US" w:eastAsia="zh-CN"/>
        </w:rPr>
        <w:t xml:space="preserve"> </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应按照</w:t>
      </w:r>
      <w:r>
        <w:rPr>
          <w:rFonts w:hint="eastAsia" w:ascii="宋体" w:hAnsi="宋体" w:eastAsia="宋体" w:cs="宋体"/>
          <w:color w:val="auto"/>
          <w:spacing w:val="0"/>
          <w:sz w:val="24"/>
          <w:szCs w:val="24"/>
          <w:lang w:eastAsia="zh-CN"/>
        </w:rPr>
        <w:t>招标文件</w:t>
      </w:r>
      <w:r>
        <w:rPr>
          <w:rFonts w:hint="eastAsia" w:ascii="宋体" w:hAnsi="宋体" w:eastAsia="宋体" w:cs="宋体"/>
          <w:color w:val="auto"/>
          <w:spacing w:val="0"/>
          <w:sz w:val="24"/>
          <w:szCs w:val="24"/>
        </w:rPr>
        <w:t>的要求，规范、明确、准时的提交投标文件。如果没有按照</w:t>
      </w:r>
      <w:r>
        <w:rPr>
          <w:rFonts w:hint="eastAsia" w:ascii="宋体" w:hAnsi="宋体" w:eastAsia="宋体" w:cs="宋体"/>
          <w:color w:val="auto"/>
          <w:spacing w:val="0"/>
          <w:sz w:val="24"/>
          <w:szCs w:val="24"/>
          <w:lang w:eastAsia="zh-CN"/>
        </w:rPr>
        <w:t>招标文件</w:t>
      </w:r>
      <w:r>
        <w:rPr>
          <w:rFonts w:hint="eastAsia" w:ascii="宋体" w:hAnsi="宋体" w:eastAsia="宋体" w:cs="宋体"/>
          <w:color w:val="auto"/>
          <w:spacing w:val="0"/>
          <w:sz w:val="24"/>
          <w:szCs w:val="24"/>
        </w:rPr>
        <w:t>的要求提交全部资料并保证所提供全部资料的真实性，或没有对</w:t>
      </w:r>
      <w:r>
        <w:rPr>
          <w:rFonts w:hint="eastAsia" w:ascii="宋体" w:hAnsi="宋体" w:eastAsia="宋体" w:cs="宋体"/>
          <w:color w:val="auto"/>
          <w:spacing w:val="0"/>
          <w:sz w:val="24"/>
          <w:szCs w:val="24"/>
          <w:lang w:eastAsia="zh-CN"/>
        </w:rPr>
        <w:t>招标文件</w:t>
      </w:r>
      <w:r>
        <w:rPr>
          <w:rFonts w:hint="eastAsia" w:ascii="宋体" w:hAnsi="宋体" w:eastAsia="宋体" w:cs="宋体"/>
          <w:color w:val="auto"/>
          <w:spacing w:val="0"/>
          <w:sz w:val="24"/>
          <w:szCs w:val="24"/>
        </w:rPr>
        <w:t>做出实质性响应，其风险应由</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自行承担。</w:t>
      </w:r>
    </w:p>
    <w:p w14:paraId="7525D4F5">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95" w:name="_Toc10958"/>
      <w:bookmarkStart w:id="96" w:name="_Toc4473"/>
      <w:bookmarkStart w:id="97" w:name="_Toc191983618"/>
      <w:bookmarkStart w:id="98" w:name="_Toc234213531"/>
      <w:bookmarkStart w:id="99" w:name="_Toc244935166"/>
      <w:bookmarkStart w:id="100" w:name="_Toc15208"/>
      <w:bookmarkStart w:id="101" w:name="_Toc25326"/>
      <w:bookmarkStart w:id="102" w:name="_Toc17406"/>
      <w:bookmarkStart w:id="103" w:name="_Toc16999"/>
      <w:bookmarkStart w:id="104" w:name="_Toc244934197"/>
      <w:r>
        <w:rPr>
          <w:rFonts w:hint="eastAsia" w:ascii="宋体" w:hAnsi="宋体" w:eastAsia="宋体" w:cs="宋体"/>
          <w:b/>
          <w:color w:val="auto"/>
          <w:spacing w:val="0"/>
          <w:sz w:val="24"/>
          <w:szCs w:val="24"/>
          <w:lang w:val="en-US" w:eastAsia="zh-CN"/>
        </w:rPr>
        <w:t>4.投标</w:t>
      </w:r>
      <w:bookmarkEnd w:id="95"/>
      <w:bookmarkEnd w:id="96"/>
      <w:bookmarkEnd w:id="97"/>
      <w:bookmarkEnd w:id="98"/>
      <w:bookmarkEnd w:id="99"/>
      <w:bookmarkEnd w:id="100"/>
      <w:bookmarkEnd w:id="101"/>
      <w:bookmarkEnd w:id="102"/>
      <w:bookmarkEnd w:id="103"/>
      <w:bookmarkEnd w:id="104"/>
    </w:p>
    <w:p w14:paraId="711F9D4C">
      <w:pPr>
        <w:pageBreakBefore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color w:val="auto"/>
          <w:spacing w:val="0"/>
          <w:sz w:val="24"/>
          <w:szCs w:val="24"/>
        </w:rPr>
      </w:pPr>
      <w:bookmarkStart w:id="105" w:name="_Toc29403"/>
      <w:bookmarkStart w:id="106" w:name="_Toc27590"/>
      <w:bookmarkStart w:id="107" w:name="_Toc1673"/>
      <w:bookmarkStart w:id="108" w:name="_Toc8455"/>
      <w:r>
        <w:rPr>
          <w:rFonts w:hint="eastAsia" w:ascii="宋体" w:hAnsi="宋体" w:eastAsia="宋体" w:cs="宋体"/>
          <w:b/>
          <w:bCs/>
          <w:sz w:val="24"/>
          <w:szCs w:val="24"/>
        </w:rPr>
        <w:t>4.1</w:t>
      </w:r>
      <w:bookmarkEnd w:id="105"/>
      <w:bookmarkEnd w:id="106"/>
      <w:bookmarkEnd w:id="107"/>
      <w:bookmarkEnd w:id="108"/>
      <w:r>
        <w:rPr>
          <w:rFonts w:hint="eastAsia" w:ascii="宋体" w:hAnsi="宋体" w:eastAsia="宋体" w:cs="宋体"/>
          <w:b/>
          <w:bCs/>
          <w:sz w:val="24"/>
          <w:szCs w:val="24"/>
          <w:lang w:val="en-US" w:eastAsia="zh-CN"/>
        </w:rPr>
        <w:t xml:space="preserve"> </w:t>
      </w:r>
      <w:r>
        <w:rPr>
          <w:rFonts w:hint="eastAsia" w:ascii="宋体" w:hAnsi="宋体" w:eastAsia="宋体" w:cs="宋体"/>
          <w:b/>
          <w:color w:val="auto"/>
          <w:spacing w:val="0"/>
          <w:sz w:val="24"/>
          <w:szCs w:val="24"/>
        </w:rPr>
        <w:t>投标文件的递交</w:t>
      </w:r>
    </w:p>
    <w:p w14:paraId="378E22A1">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4.1.1</w:t>
      </w: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必须在投标截止时间前通过信阳市公共资源交易中心电子招投标系统上传加密的电子投标文件(*.XYTF格式)，本项目评标以电子投标文件为依据，未在投标截止时间前上传电子投标文件，视为自动放弃其投标。</w:t>
      </w:r>
    </w:p>
    <w:p w14:paraId="637DAD36">
      <w:pPr>
        <w:pStyle w:val="20"/>
        <w:pageBreakBefore w:val="0"/>
        <w:kinsoku/>
        <w:wordWrap/>
        <w:overflowPunct/>
        <w:topLinePunct w:val="0"/>
        <w:autoSpaceDE/>
        <w:autoSpaceDN/>
        <w:bidi w:val="0"/>
        <w:adjustRightInd/>
        <w:snapToGrid/>
        <w:spacing w:after="0" w:line="500" w:lineRule="exact"/>
        <w:ind w:firstLine="482" w:firstLineChars="200"/>
        <w:textAlignment w:val="auto"/>
        <w:outlineLvl w:val="9"/>
        <w:rPr>
          <w:rFonts w:hint="eastAsia" w:ascii="宋体" w:hAnsi="宋体" w:eastAsia="宋体" w:cs="宋体"/>
          <w:sz w:val="24"/>
          <w:szCs w:val="24"/>
        </w:rPr>
      </w:pPr>
      <w:r>
        <w:rPr>
          <w:rFonts w:hint="eastAsia" w:ascii="宋体" w:hAnsi="宋体" w:eastAsia="宋体" w:cs="宋体"/>
          <w:b/>
          <w:bCs/>
          <w:color w:val="auto"/>
          <w:spacing w:val="0"/>
          <w:sz w:val="24"/>
          <w:szCs w:val="24"/>
        </w:rPr>
        <w:t xml:space="preserve">4.1.2 </w:t>
      </w:r>
      <w:r>
        <w:rPr>
          <w:rFonts w:hint="eastAsia" w:ascii="宋体" w:hAnsi="宋体" w:eastAsia="宋体" w:cs="宋体"/>
          <w:b/>
          <w:bCs/>
          <w:color w:val="auto"/>
          <w:spacing w:val="0"/>
          <w:sz w:val="24"/>
          <w:szCs w:val="24"/>
          <w:lang w:eastAsia="zh-CN"/>
        </w:rPr>
        <w:t>投标人</w:t>
      </w:r>
      <w:r>
        <w:rPr>
          <w:rFonts w:hint="eastAsia" w:ascii="宋体" w:hAnsi="宋体" w:eastAsia="宋体" w:cs="宋体"/>
          <w:b/>
          <w:bCs/>
          <w:color w:val="auto"/>
          <w:spacing w:val="0"/>
          <w:sz w:val="24"/>
          <w:szCs w:val="24"/>
        </w:rPr>
        <w:t xml:space="preserve">因信阳市电子招投标交易平台问题无法上传电子投标文件时，请在工作时间与交易中心联系（0376-6369677）。 </w:t>
      </w:r>
    </w:p>
    <w:p w14:paraId="26584830">
      <w:pPr>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9" w:name="_Toc5315"/>
      <w:bookmarkStart w:id="110" w:name="_Toc13032"/>
      <w:bookmarkStart w:id="111" w:name="_Toc23321"/>
      <w:bookmarkStart w:id="112" w:name="_Toc17028"/>
      <w:r>
        <w:rPr>
          <w:rFonts w:hint="eastAsia" w:ascii="宋体" w:hAnsi="宋体" w:eastAsia="宋体" w:cs="宋体"/>
          <w:b/>
          <w:bCs/>
          <w:sz w:val="24"/>
          <w:szCs w:val="24"/>
        </w:rPr>
        <w:t>4.2</w:t>
      </w:r>
      <w:r>
        <w:rPr>
          <w:rFonts w:hint="eastAsia" w:ascii="宋体" w:hAnsi="宋体" w:eastAsia="宋体" w:cs="宋体"/>
          <w:b/>
          <w:bCs/>
          <w:sz w:val="24"/>
          <w:szCs w:val="24"/>
          <w:lang w:val="en-US" w:eastAsia="zh-CN"/>
        </w:rPr>
        <w:t xml:space="preserve"> </w:t>
      </w:r>
      <w:bookmarkEnd w:id="109"/>
      <w:bookmarkEnd w:id="110"/>
      <w:bookmarkEnd w:id="111"/>
      <w:bookmarkEnd w:id="112"/>
      <w:bookmarkStart w:id="113" w:name="_Toc20811"/>
      <w:bookmarkStart w:id="114" w:name="_Toc12012"/>
      <w:bookmarkStart w:id="115" w:name="_Toc12318"/>
      <w:bookmarkStart w:id="116" w:name="_Toc26262"/>
      <w:r>
        <w:rPr>
          <w:rFonts w:hint="eastAsia" w:ascii="宋体" w:hAnsi="宋体" w:eastAsia="宋体" w:cs="宋体"/>
          <w:b/>
          <w:bCs/>
          <w:sz w:val="24"/>
          <w:szCs w:val="24"/>
        </w:rPr>
        <w:t>投标文件的修改与撤回</w:t>
      </w:r>
      <w:bookmarkEnd w:id="113"/>
      <w:bookmarkEnd w:id="114"/>
      <w:bookmarkEnd w:id="115"/>
      <w:bookmarkEnd w:id="116"/>
    </w:p>
    <w:p w14:paraId="36AA7371">
      <w:pPr>
        <w:pStyle w:val="20"/>
        <w:pageBreakBefore w:val="0"/>
        <w:kinsoku/>
        <w:wordWrap/>
        <w:overflowPunct/>
        <w:topLinePunct w:val="0"/>
        <w:autoSpaceDE/>
        <w:autoSpaceDN/>
        <w:bidi w:val="0"/>
        <w:adjustRightInd/>
        <w:snapToGrid/>
        <w:spacing w:after="0"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pacing w:val="0"/>
          <w:sz w:val="24"/>
          <w:szCs w:val="24"/>
        </w:rPr>
        <w:t>1</w:t>
      </w:r>
      <w:r>
        <w:rPr>
          <w:rFonts w:hint="eastAsia" w:ascii="宋体" w:hAnsi="宋体" w:eastAsia="宋体" w:cs="宋体"/>
          <w:spacing w:val="0"/>
          <w:sz w:val="24"/>
          <w:szCs w:val="24"/>
          <w:lang w:val="en-US" w:eastAsia="zh-CN"/>
        </w:rPr>
        <w:t xml:space="preserve"> </w:t>
      </w:r>
      <w:r>
        <w:rPr>
          <w:rFonts w:hint="eastAsia" w:ascii="宋体" w:hAnsi="宋体" w:eastAsia="宋体" w:cs="宋体"/>
          <w:color w:val="auto"/>
          <w:spacing w:val="0"/>
          <w:sz w:val="24"/>
          <w:szCs w:val="24"/>
        </w:rPr>
        <w:t>在规定的投标截止时间前</w:t>
      </w:r>
      <w:r>
        <w:rPr>
          <w:rFonts w:hint="eastAsia" w:ascii="宋体" w:hAnsi="宋体" w:eastAsia="宋体" w:cs="宋体"/>
          <w:spacing w:val="0"/>
          <w:sz w:val="24"/>
          <w:szCs w:val="24"/>
        </w:rPr>
        <w:t>，投标人可以多次修改或撤回已递交的投标文件，最终投</w:t>
      </w:r>
      <w:r>
        <w:rPr>
          <w:rFonts w:hint="eastAsia" w:ascii="宋体" w:hAnsi="宋体" w:eastAsia="宋体" w:cs="宋体"/>
          <w:spacing w:val="-6"/>
          <w:sz w:val="24"/>
          <w:szCs w:val="24"/>
        </w:rPr>
        <w:t>标文件以投标截止时间前完成上传至信阳市公共资源交易中心交易系统最后一份投标文件为准。</w:t>
      </w:r>
    </w:p>
    <w:p w14:paraId="48C3D2FD">
      <w:pPr>
        <w:pStyle w:val="20"/>
        <w:pageBreakBefore w:val="0"/>
        <w:kinsoku/>
        <w:wordWrap/>
        <w:overflowPunct/>
        <w:topLinePunct w:val="0"/>
        <w:autoSpaceDE/>
        <w:autoSpaceDN/>
        <w:bidi w:val="0"/>
        <w:adjustRightInd/>
        <w:snapToGrid/>
        <w:spacing w:after="0"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2</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修改的投标文件应按照本章第3.5条、第4.</w:t>
      </w:r>
      <w:r>
        <w:rPr>
          <w:rFonts w:hint="eastAsia" w:ascii="宋体" w:hAnsi="宋体" w:eastAsia="宋体" w:cs="宋体"/>
          <w:sz w:val="24"/>
          <w:szCs w:val="24"/>
          <w:lang w:val="en-US" w:eastAsia="zh-CN"/>
        </w:rPr>
        <w:t>1</w:t>
      </w:r>
      <w:r>
        <w:rPr>
          <w:rFonts w:hint="eastAsia" w:ascii="宋体" w:hAnsi="宋体" w:eastAsia="宋体" w:cs="宋体"/>
          <w:sz w:val="24"/>
          <w:szCs w:val="24"/>
        </w:rPr>
        <w:t>条规定进行制作和递交。</w:t>
      </w:r>
    </w:p>
    <w:p w14:paraId="2F8B9988">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117" w:name="_Toc21445"/>
      <w:bookmarkStart w:id="118" w:name="_Toc244934198"/>
      <w:bookmarkStart w:id="119" w:name="_Toc191983619"/>
      <w:bookmarkStart w:id="120" w:name="_Toc225"/>
      <w:bookmarkStart w:id="121" w:name="_Toc30893"/>
      <w:bookmarkStart w:id="122" w:name="_Toc244935167"/>
      <w:bookmarkStart w:id="123" w:name="_Toc4580"/>
      <w:bookmarkStart w:id="124" w:name="_Toc25793"/>
      <w:bookmarkStart w:id="125" w:name="_Toc234213532"/>
      <w:bookmarkStart w:id="126" w:name="_Toc20156"/>
      <w:r>
        <w:rPr>
          <w:rFonts w:hint="eastAsia" w:ascii="宋体" w:hAnsi="宋体" w:eastAsia="宋体" w:cs="宋体"/>
          <w:b/>
          <w:color w:val="auto"/>
          <w:spacing w:val="0"/>
          <w:sz w:val="24"/>
          <w:szCs w:val="24"/>
          <w:lang w:val="en-US" w:eastAsia="zh-CN"/>
        </w:rPr>
        <w:t>5.开标</w:t>
      </w:r>
      <w:bookmarkEnd w:id="117"/>
      <w:bookmarkEnd w:id="118"/>
      <w:bookmarkEnd w:id="119"/>
      <w:bookmarkEnd w:id="120"/>
      <w:bookmarkEnd w:id="121"/>
      <w:bookmarkEnd w:id="122"/>
      <w:bookmarkEnd w:id="123"/>
      <w:bookmarkEnd w:id="124"/>
      <w:bookmarkEnd w:id="125"/>
      <w:bookmarkEnd w:id="126"/>
    </w:p>
    <w:p w14:paraId="536C465F">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bookmarkStart w:id="127" w:name="_Toc297211680"/>
      <w:r>
        <w:rPr>
          <w:rFonts w:hint="eastAsia" w:ascii="宋体" w:hAnsi="宋体" w:eastAsia="宋体" w:cs="宋体"/>
          <w:b/>
          <w:sz w:val="24"/>
          <w:szCs w:val="24"/>
        </w:rPr>
        <w:t>5.1</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开标时间和地点</w:t>
      </w:r>
      <w:bookmarkEnd w:id="127"/>
    </w:p>
    <w:p w14:paraId="194031E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sz w:val="24"/>
          <w:szCs w:val="24"/>
        </w:rPr>
      </w:pPr>
      <w:r>
        <w:rPr>
          <w:rFonts w:hint="eastAsia" w:ascii="宋体" w:hAnsi="宋体" w:eastAsia="宋体" w:cs="宋体"/>
          <w:sz w:val="24"/>
          <w:szCs w:val="24"/>
          <w:lang w:val="en-US" w:eastAsia="zh-CN"/>
        </w:rPr>
        <w:t xml:space="preserve">5.1.1 </w:t>
      </w:r>
      <w:r>
        <w:rPr>
          <w:rFonts w:hint="eastAsia" w:ascii="宋体" w:hAnsi="宋体" w:eastAsia="宋体" w:cs="宋体"/>
          <w:spacing w:val="-6"/>
          <w:sz w:val="24"/>
          <w:szCs w:val="24"/>
        </w:rPr>
        <w:t>采购人在规定的投标截止时间（开标时间）和投标人须知前附表规定的地点公开开标。</w:t>
      </w:r>
    </w:p>
    <w:p w14:paraId="5469E73C">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bookmarkStart w:id="128" w:name="_Toc297211681"/>
      <w:r>
        <w:rPr>
          <w:rFonts w:hint="eastAsia" w:ascii="宋体" w:hAnsi="宋体" w:eastAsia="宋体" w:cs="宋体"/>
          <w:b/>
          <w:sz w:val="24"/>
          <w:szCs w:val="24"/>
        </w:rPr>
        <w:t>5.2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开标程序</w:t>
      </w:r>
      <w:bookmarkEnd w:id="128"/>
    </w:p>
    <w:p w14:paraId="502340D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 xml:space="preserve">5.2.1本项目采用“不见面开标”交易方式，不见面开标大厅网址为 </w:t>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lang w:eastAsia="zh-CN"/>
        </w:rPr>
        <w:t>https://ggzyjy.xinyang.gov.cn/BidOpening/bidhall/xinyang/login.html</w:t>
      </w:r>
      <w:r>
        <w:rPr>
          <w:rFonts w:hint="eastAsia" w:ascii="宋体" w:hAnsi="宋体" w:eastAsia="宋体" w:cs="宋体"/>
          <w:b w:val="0"/>
          <w:bCs/>
          <w:sz w:val="24"/>
          <w:szCs w:val="24"/>
        </w:rPr>
        <w:t>，投标人无需寄送和递交非加密的电子投标文件，无需到现场参加开标会议，无需到达现场提交原件资料。</w:t>
      </w:r>
      <w:r>
        <w:rPr>
          <w:rFonts w:hint="eastAsia" w:ascii="宋体" w:hAnsi="宋体" w:eastAsia="宋体" w:cs="宋体"/>
          <w:b w:val="0"/>
          <w:bCs/>
          <w:sz w:val="24"/>
          <w:szCs w:val="24"/>
        </w:rPr>
        <w:fldChar w:fldCharType="end"/>
      </w:r>
    </w:p>
    <w:p w14:paraId="63C4222A">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投标人应当在投标截止时间前，使用投标人CA数字证书登录不见面开标大</w:t>
      </w:r>
      <w:r>
        <w:rPr>
          <w:rFonts w:hint="eastAsia" w:ascii="宋体" w:hAnsi="宋体" w:eastAsia="宋体" w:cs="宋体"/>
          <w:b w:val="0"/>
          <w:bCs/>
          <w:spacing w:val="-11"/>
          <w:sz w:val="24"/>
          <w:szCs w:val="24"/>
        </w:rPr>
        <w:t>厅，在线签到并准时参加开标活动，并在规定时间内完成投标文件解密、答疑澄清等。</w:t>
      </w:r>
    </w:p>
    <w:p w14:paraId="0CED94D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投标人需在解密开始后10分钟内完成解密（当投标人过多时，解密时间可以适当延长）。在投标文件解密过程中，因投标人原因（如投标人准备不到位、电脑网络问题等），造成无法及时解密的，将被退回投标文件。</w:t>
      </w:r>
    </w:p>
    <w:p w14:paraId="089E7F9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color w:val="auto"/>
          <w:spacing w:val="0"/>
          <w:sz w:val="24"/>
          <w:szCs w:val="24"/>
        </w:rPr>
        <w:t>逾期解密或者没有准时在线参加开标活动导致的一切后果</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自行承担。</w:t>
      </w:r>
    </w:p>
    <w:p w14:paraId="0FE6CB1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不见面开标服务的具体事宜，请查阅信阳市公共资源交易中心网站首页—下载中心—信阳市不见面开标大厅系统操作手册 。</w:t>
      </w:r>
    </w:p>
    <w:p w14:paraId="2733E9C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 xml:space="preserve">开标过程中，投标人如有异议，须在开标结束前通过系统提出，否则视同认可开标记录。开标结束后，对开标记录的任何异议不再接受。 </w:t>
      </w:r>
    </w:p>
    <w:p w14:paraId="6018145B">
      <w:pPr>
        <w:pageBreakBefore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val="0"/>
          <w:bCs/>
          <w:sz w:val="24"/>
          <w:szCs w:val="24"/>
        </w:rPr>
      </w:pPr>
      <w:bookmarkStart w:id="129" w:name="_Toc244934199"/>
      <w:bookmarkStart w:id="130" w:name="_Toc244935168"/>
      <w:bookmarkStart w:id="131" w:name="_Toc191983620"/>
      <w:bookmarkStart w:id="132" w:name="_Toc12176"/>
      <w:bookmarkStart w:id="133" w:name="_Toc234213533"/>
      <w:r>
        <w:rPr>
          <w:rFonts w:hint="eastAsia" w:ascii="宋体" w:hAnsi="宋体" w:eastAsia="宋体" w:cs="宋体"/>
          <w:b/>
          <w:bCs/>
          <w:color w:val="auto"/>
          <w:spacing w:val="0"/>
          <w:sz w:val="24"/>
          <w:szCs w:val="24"/>
        </w:rPr>
        <w:t>特别提示：</w:t>
      </w:r>
      <w:r>
        <w:rPr>
          <w:rFonts w:hint="eastAsia" w:ascii="宋体" w:hAnsi="宋体" w:eastAsia="宋体" w:cs="宋体"/>
          <w:b/>
          <w:bCs/>
          <w:color w:val="auto"/>
          <w:spacing w:val="0"/>
          <w:sz w:val="24"/>
          <w:szCs w:val="24"/>
          <w:lang w:eastAsia="zh-CN"/>
        </w:rPr>
        <w:t>投标人</w:t>
      </w:r>
      <w:r>
        <w:rPr>
          <w:rFonts w:hint="eastAsia" w:ascii="宋体" w:hAnsi="宋体" w:eastAsia="宋体" w:cs="宋体"/>
          <w:b/>
          <w:bCs/>
          <w:color w:val="auto"/>
          <w:spacing w:val="0"/>
          <w:sz w:val="24"/>
          <w:szCs w:val="24"/>
        </w:rPr>
        <w:t>在线签到时，应如实准确的填写授权委托人的联系电话，开标当天请务必保证电话保持畅通。</w:t>
      </w:r>
    </w:p>
    <w:p w14:paraId="1F1D1B4E">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color w:val="auto"/>
          <w:spacing w:val="0"/>
          <w:sz w:val="24"/>
          <w:szCs w:val="24"/>
          <w:lang w:val="en-US" w:eastAsia="zh-CN"/>
        </w:rPr>
      </w:pPr>
      <w:r>
        <w:rPr>
          <w:rFonts w:hint="eastAsia" w:ascii="宋体" w:hAnsi="宋体" w:eastAsia="宋体" w:cs="宋体"/>
          <w:b w:val="0"/>
          <w:bCs/>
          <w:color w:val="auto"/>
          <w:spacing w:val="0"/>
          <w:sz w:val="24"/>
          <w:szCs w:val="24"/>
          <w:lang w:val="en-US" w:eastAsia="zh-CN"/>
        </w:rPr>
        <w:t>5.2.2 资格审查</w:t>
      </w:r>
    </w:p>
    <w:p w14:paraId="363778FF">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color w:val="auto"/>
          <w:spacing w:val="0"/>
          <w:sz w:val="24"/>
          <w:szCs w:val="24"/>
          <w:lang w:val="en-US" w:eastAsia="zh-CN"/>
        </w:rPr>
      </w:pPr>
      <w:r>
        <w:rPr>
          <w:rFonts w:hint="eastAsia" w:ascii="宋体" w:hAnsi="宋体" w:eastAsia="宋体" w:cs="宋体"/>
          <w:b w:val="0"/>
          <w:bCs/>
          <w:color w:val="auto"/>
          <w:spacing w:val="0"/>
          <w:sz w:val="24"/>
          <w:szCs w:val="24"/>
          <w:lang w:val="en-US" w:eastAsia="zh-CN"/>
        </w:rPr>
        <w:t>开标结束后，由采购人代表和采购代理机构成立资格审查小组，按照“投标人须知前附表1.4项”对投标人进行资格审查。通过资格审查的投标人不足三家的，按废标处理，采购人应依法重新招标。</w:t>
      </w:r>
    </w:p>
    <w:p w14:paraId="4F4B7938">
      <w:pPr>
        <w:pageBreakBefore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b/>
          <w:color w:val="auto"/>
          <w:spacing w:val="0"/>
          <w:sz w:val="24"/>
          <w:szCs w:val="24"/>
        </w:rPr>
      </w:pPr>
      <w:r>
        <w:rPr>
          <w:rFonts w:hint="eastAsia" w:ascii="宋体" w:hAnsi="宋体" w:eastAsia="宋体" w:cs="宋体"/>
          <w:b/>
          <w:color w:val="auto"/>
          <w:spacing w:val="0"/>
          <w:sz w:val="24"/>
          <w:szCs w:val="24"/>
        </w:rPr>
        <w:t>5.</w:t>
      </w:r>
      <w:r>
        <w:rPr>
          <w:rFonts w:hint="eastAsia" w:ascii="宋体" w:hAnsi="宋体" w:eastAsia="宋体" w:cs="宋体"/>
          <w:b/>
          <w:color w:val="auto"/>
          <w:spacing w:val="0"/>
          <w:sz w:val="24"/>
          <w:szCs w:val="24"/>
          <w:lang w:val="en-US" w:eastAsia="zh-CN"/>
        </w:rPr>
        <w:t>3</w:t>
      </w:r>
      <w:r>
        <w:rPr>
          <w:rFonts w:hint="eastAsia" w:ascii="宋体" w:hAnsi="宋体" w:eastAsia="宋体" w:cs="宋体"/>
          <w:b/>
          <w:color w:val="auto"/>
          <w:spacing w:val="0"/>
          <w:sz w:val="24"/>
          <w:szCs w:val="24"/>
        </w:rPr>
        <w:t xml:space="preserve"> 开标异议</w:t>
      </w:r>
    </w:p>
    <w:p w14:paraId="63CA1E97">
      <w:pPr>
        <w:pStyle w:val="8"/>
        <w:pageBreakBefore w:val="0"/>
        <w:kinsoku/>
        <w:wordWrap/>
        <w:overflowPunct/>
        <w:topLinePunct w:val="0"/>
        <w:autoSpaceDE/>
        <w:autoSpaceDN/>
        <w:bidi w:val="0"/>
        <w:adjustRightInd/>
        <w:snapToGrid/>
        <w:spacing w:after="0"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color w:val="auto"/>
          <w:spacing w:val="0"/>
          <w:sz w:val="24"/>
          <w:szCs w:val="24"/>
        </w:rPr>
        <w:t>开标过程中，</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如有异议，须在开标结束前通过系统提出，否则视同认可开标记录。开标结束后，对开标记录的任何异议不在接受。</w:t>
      </w:r>
      <w:r>
        <w:rPr>
          <w:rFonts w:hint="eastAsia" w:ascii="宋体" w:hAnsi="宋体" w:eastAsia="宋体" w:cs="宋体"/>
          <w:bCs/>
          <w:sz w:val="24"/>
          <w:szCs w:val="24"/>
        </w:rPr>
        <w:t xml:space="preserve">   </w:t>
      </w:r>
    </w:p>
    <w:p w14:paraId="4CA1A8E8">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134" w:name="_Toc29029"/>
      <w:bookmarkStart w:id="135" w:name="_Toc14382"/>
      <w:bookmarkStart w:id="136" w:name="_Toc5820"/>
      <w:bookmarkStart w:id="137" w:name="_Toc20714"/>
      <w:bookmarkStart w:id="138" w:name="_Toc1873"/>
      <w:r>
        <w:rPr>
          <w:rFonts w:hint="eastAsia" w:ascii="宋体" w:hAnsi="宋体" w:eastAsia="宋体" w:cs="宋体"/>
          <w:b/>
          <w:color w:val="auto"/>
          <w:spacing w:val="0"/>
          <w:sz w:val="24"/>
          <w:szCs w:val="24"/>
          <w:lang w:val="en-US" w:eastAsia="zh-CN"/>
        </w:rPr>
        <w:t>6.评标</w:t>
      </w:r>
      <w:bookmarkEnd w:id="129"/>
      <w:bookmarkEnd w:id="130"/>
      <w:bookmarkEnd w:id="131"/>
      <w:bookmarkEnd w:id="132"/>
      <w:bookmarkEnd w:id="133"/>
      <w:bookmarkEnd w:id="134"/>
      <w:bookmarkEnd w:id="135"/>
      <w:bookmarkEnd w:id="136"/>
      <w:bookmarkEnd w:id="137"/>
      <w:bookmarkEnd w:id="138"/>
    </w:p>
    <w:p w14:paraId="51F80EE3">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sz w:val="24"/>
          <w:szCs w:val="24"/>
        </w:rPr>
      </w:pPr>
      <w:bookmarkStart w:id="139" w:name="_Toc191983621"/>
      <w:bookmarkStart w:id="140" w:name="_Toc244934200"/>
      <w:bookmarkStart w:id="141" w:name="_Toc234213534"/>
      <w:bookmarkStart w:id="142" w:name="_Toc244935169"/>
      <w:r>
        <w:rPr>
          <w:rFonts w:hint="eastAsia" w:ascii="宋体" w:hAnsi="宋体" w:eastAsia="宋体" w:cs="宋体"/>
          <w:b/>
          <w:bCs/>
          <w:sz w:val="24"/>
          <w:szCs w:val="24"/>
        </w:rPr>
        <w:t>6.1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评标委员会</w:t>
      </w:r>
    </w:p>
    <w:p w14:paraId="720C8F0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6.1.1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评标由采购人依法组建的评标委员会负责。评标委员会由采购人熟悉相关业务的代表，以及有关技术、经济等方面的专家组成。评标委员会成员人数以及技术、经济等方面专家的确定方式见投标人须知前附表。</w:t>
      </w:r>
    </w:p>
    <w:p w14:paraId="0D80517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评标委员会成员有下列情形之一的，应当回避：</w:t>
      </w:r>
    </w:p>
    <w:p w14:paraId="4D1EF7B0">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（1）</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或</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主要负责人的近亲属；</w:t>
      </w:r>
    </w:p>
    <w:p w14:paraId="163085A2">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（2）项目主管部门或者行政监督部门的人员；</w:t>
      </w:r>
    </w:p>
    <w:p w14:paraId="1E6B20E6">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（3）与</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有经济利益关系，可能影响对投标公正评审的；</w:t>
      </w:r>
    </w:p>
    <w:p w14:paraId="17BFD9CC">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（4）曾因在招标、评标以及其他与招标投标有关活动中从事违法行为而受过行政处罚或刑事处罚的；</w:t>
      </w:r>
    </w:p>
    <w:p w14:paraId="651B05C5">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sz w:val="24"/>
          <w:szCs w:val="24"/>
        </w:rPr>
      </w:pPr>
      <w:r>
        <w:rPr>
          <w:rFonts w:hint="eastAsia" w:ascii="宋体" w:hAnsi="宋体" w:eastAsia="宋体" w:cs="宋体"/>
          <w:color w:val="auto"/>
          <w:spacing w:val="0"/>
          <w:sz w:val="24"/>
          <w:szCs w:val="24"/>
        </w:rPr>
        <w:t>（5）与</w:t>
      </w:r>
      <w:r>
        <w:rPr>
          <w:rFonts w:hint="eastAsia" w:ascii="宋体" w:hAnsi="宋体" w:eastAsia="宋体" w:cs="宋体"/>
          <w:color w:val="auto"/>
          <w:spacing w:val="0"/>
          <w:sz w:val="24"/>
          <w:szCs w:val="24"/>
          <w:lang w:eastAsia="zh-CN"/>
        </w:rPr>
        <w:t>投标人</w:t>
      </w:r>
      <w:r>
        <w:rPr>
          <w:rFonts w:hint="eastAsia" w:ascii="宋体" w:hAnsi="宋体" w:eastAsia="宋体" w:cs="宋体"/>
          <w:color w:val="auto"/>
          <w:spacing w:val="0"/>
          <w:sz w:val="24"/>
          <w:szCs w:val="24"/>
        </w:rPr>
        <w:t>有其他利害关系。</w:t>
      </w:r>
    </w:p>
    <w:p w14:paraId="1A1AACFF">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6.2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评标原则</w:t>
      </w:r>
    </w:p>
    <w:p w14:paraId="624FC8E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评标活动遵循公平、公正、科学和择优的原则。</w:t>
      </w:r>
    </w:p>
    <w:p w14:paraId="2F07D6EA">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6.3</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评标过程的保密</w:t>
      </w:r>
    </w:p>
    <w:p w14:paraId="7AE2841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公开开标后，直到授予中标人合同为止，凡属于对投标文件的审查、澄清、评价和比较的有关资料以及中标候选人的推荐情况、与评标有关的其他任何情况均应严格保密。</w:t>
      </w:r>
    </w:p>
    <w:p w14:paraId="68AF4004">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6.4</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评标</w:t>
      </w:r>
    </w:p>
    <w:p w14:paraId="1A5E483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评标委员会按照第三章“评标办法”规定的方法和程序对投标文件进行评审。第三章“评标办法”没有规定的方法和标准，不作为评标依据。</w:t>
      </w:r>
    </w:p>
    <w:bookmarkEnd w:id="139"/>
    <w:bookmarkEnd w:id="140"/>
    <w:bookmarkEnd w:id="141"/>
    <w:bookmarkEnd w:id="142"/>
    <w:p w14:paraId="1A82737F">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143" w:name="_Toc1713"/>
      <w:bookmarkStart w:id="144" w:name="_Toc22044"/>
      <w:bookmarkStart w:id="145" w:name="_Toc1375"/>
      <w:bookmarkStart w:id="146" w:name="_Toc184635077"/>
      <w:bookmarkStart w:id="147" w:name="_Toc25526"/>
      <w:bookmarkStart w:id="148" w:name="_Toc2567"/>
      <w:bookmarkStart w:id="149" w:name="_Toc31112"/>
      <w:r>
        <w:rPr>
          <w:rFonts w:hint="eastAsia" w:ascii="宋体" w:hAnsi="宋体" w:eastAsia="宋体" w:cs="宋体"/>
          <w:b/>
          <w:color w:val="auto"/>
          <w:spacing w:val="0"/>
          <w:sz w:val="24"/>
          <w:szCs w:val="24"/>
          <w:lang w:val="en-US" w:eastAsia="zh-CN"/>
        </w:rPr>
        <w:t>7.合同授予</w:t>
      </w:r>
      <w:bookmarkEnd w:id="143"/>
      <w:bookmarkEnd w:id="144"/>
      <w:bookmarkEnd w:id="145"/>
      <w:bookmarkEnd w:id="146"/>
      <w:bookmarkEnd w:id="147"/>
      <w:bookmarkEnd w:id="148"/>
      <w:bookmarkEnd w:id="149"/>
    </w:p>
    <w:p w14:paraId="49EDACE8">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7.1</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定标方式</w:t>
      </w:r>
    </w:p>
    <w:p w14:paraId="2E6EABBD">
      <w:pPr>
        <w:pStyle w:val="3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7.1.1 </w:t>
      </w:r>
      <w:r>
        <w:rPr>
          <w:rFonts w:hint="eastAsia" w:ascii="宋体" w:hAnsi="宋体" w:eastAsia="宋体" w:cs="宋体"/>
          <w:bCs/>
          <w:sz w:val="24"/>
          <w:szCs w:val="24"/>
        </w:rPr>
        <w:t>采购人依据评标委员会推荐的中标候选人确定中标人，评标委员会推荐中标候选人的人数见投标人须知前附表。采购人将根据评审委员会推荐的名单，确定排名第一的</w:t>
      </w:r>
      <w:r>
        <w:rPr>
          <w:rFonts w:hint="eastAsia" w:ascii="宋体" w:hAnsi="宋体" w:eastAsia="宋体" w:cs="宋体"/>
          <w:bCs/>
          <w:sz w:val="24"/>
          <w:szCs w:val="24"/>
          <w:lang w:eastAsia="zh-CN"/>
        </w:rPr>
        <w:t>投标人</w:t>
      </w:r>
      <w:r>
        <w:rPr>
          <w:rFonts w:hint="eastAsia" w:ascii="宋体" w:hAnsi="宋体" w:eastAsia="宋体" w:cs="宋体"/>
          <w:bCs/>
          <w:sz w:val="24"/>
          <w:szCs w:val="24"/>
        </w:rPr>
        <w:t>为中标人。如果排名第一的中标候选人放弃中标或因不可抗力提出不能履行合同，采购人将选择排名第二的</w:t>
      </w:r>
      <w:r>
        <w:rPr>
          <w:rFonts w:hint="eastAsia" w:ascii="宋体" w:hAnsi="宋体" w:eastAsia="宋体" w:cs="宋体"/>
          <w:bCs/>
          <w:sz w:val="24"/>
          <w:szCs w:val="24"/>
          <w:lang w:eastAsia="zh-CN"/>
        </w:rPr>
        <w:t>投标人</w:t>
      </w:r>
      <w:r>
        <w:rPr>
          <w:rFonts w:hint="eastAsia" w:ascii="宋体" w:hAnsi="宋体" w:eastAsia="宋体" w:cs="宋体"/>
          <w:bCs/>
          <w:sz w:val="24"/>
          <w:szCs w:val="24"/>
        </w:rPr>
        <w:t>为中标人，依此类推。如中标候选人均放弃中标资格时，采购人将重新进行招标</w:t>
      </w:r>
      <w:r>
        <w:rPr>
          <w:rFonts w:hint="eastAsia" w:ascii="宋体" w:hAnsi="宋体" w:eastAsia="宋体" w:cs="宋体"/>
          <w:sz w:val="24"/>
          <w:szCs w:val="24"/>
        </w:rPr>
        <w:t>。</w:t>
      </w:r>
    </w:p>
    <w:p w14:paraId="0AB82CFF">
      <w:pPr>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sz w:val="24"/>
          <w:szCs w:val="24"/>
        </w:rPr>
      </w:pPr>
      <w:r>
        <w:rPr>
          <w:rFonts w:hint="eastAsia" w:ascii="宋体" w:hAnsi="宋体" w:eastAsia="宋体" w:cs="宋体"/>
          <w:bCs/>
          <w:color w:val="auto"/>
          <w:spacing w:val="0"/>
          <w:sz w:val="24"/>
          <w:szCs w:val="24"/>
          <w:lang w:val="en-US" w:eastAsia="zh-CN"/>
        </w:rPr>
        <w:t xml:space="preserve">7.1.2 </w:t>
      </w:r>
      <w:r>
        <w:rPr>
          <w:rFonts w:hint="eastAsia" w:ascii="宋体" w:hAnsi="宋体" w:eastAsia="宋体" w:cs="宋体"/>
          <w:bCs/>
          <w:color w:val="auto"/>
          <w:spacing w:val="0"/>
          <w:sz w:val="24"/>
          <w:szCs w:val="24"/>
        </w:rPr>
        <w:t>评标委员会经评审，认为所有投标均不符合</w:t>
      </w:r>
      <w:r>
        <w:rPr>
          <w:rFonts w:hint="eastAsia" w:ascii="宋体" w:hAnsi="宋体" w:eastAsia="宋体" w:cs="宋体"/>
          <w:bCs/>
          <w:color w:val="auto"/>
          <w:spacing w:val="0"/>
          <w:sz w:val="24"/>
          <w:szCs w:val="24"/>
          <w:lang w:val="en-US" w:eastAsia="zh-CN"/>
        </w:rPr>
        <w:t>招标文件</w:t>
      </w:r>
      <w:r>
        <w:rPr>
          <w:rFonts w:hint="eastAsia" w:ascii="宋体" w:hAnsi="宋体" w:eastAsia="宋体" w:cs="宋体"/>
          <w:bCs/>
          <w:color w:val="auto"/>
          <w:spacing w:val="0"/>
          <w:sz w:val="24"/>
          <w:szCs w:val="24"/>
        </w:rPr>
        <w:t>要求的，可以否决所有投标，所有投标被否决后，采购人当重新招标。</w:t>
      </w:r>
    </w:p>
    <w:p w14:paraId="6AD4BF7D">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7.2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中标通知</w:t>
      </w:r>
    </w:p>
    <w:p w14:paraId="1734D23F">
      <w:pPr>
        <w:pageBreakBefore w:val="0"/>
        <w:kinsoku/>
        <w:wordWrap/>
        <w:overflowPunct/>
        <w:topLinePunct w:val="0"/>
        <w:autoSpaceDE/>
        <w:autoSpaceDN/>
        <w:bidi w:val="0"/>
        <w:adjustRightInd/>
        <w:snapToGrid/>
        <w:spacing w:line="500" w:lineRule="exact"/>
        <w:ind w:firstLine="436" w:firstLineChars="200"/>
        <w:textAlignment w:val="auto"/>
        <w:rPr>
          <w:rFonts w:hint="eastAsia" w:ascii="宋体" w:hAnsi="宋体" w:eastAsia="宋体" w:cs="宋体"/>
          <w:bCs/>
          <w:sz w:val="24"/>
          <w:szCs w:val="24"/>
        </w:rPr>
      </w:pPr>
      <w:r>
        <w:rPr>
          <w:rFonts w:hint="eastAsia" w:ascii="宋体" w:hAnsi="宋体" w:eastAsia="宋体" w:cs="宋体"/>
          <w:bCs/>
          <w:spacing w:val="-11"/>
          <w:sz w:val="24"/>
          <w:szCs w:val="24"/>
        </w:rPr>
        <w:t>在本章第3.4 款规定的投标有效期内，采购人以书面形式向中标人发出中标通知书。</w:t>
      </w:r>
    </w:p>
    <w:p w14:paraId="3549A8E6">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val="0"/>
          <w:bCs w:val="0"/>
          <w:sz w:val="24"/>
          <w:szCs w:val="24"/>
          <w:lang w:eastAsia="zh-CN"/>
        </w:rPr>
      </w:pPr>
      <w:bookmarkStart w:id="150" w:name="_Toc278027739"/>
      <w:bookmarkStart w:id="151" w:name="_Toc184635079"/>
      <w:r>
        <w:rPr>
          <w:rFonts w:hint="eastAsia" w:ascii="宋体" w:hAnsi="宋体" w:eastAsia="宋体" w:cs="宋体"/>
          <w:b/>
          <w:bCs/>
          <w:sz w:val="24"/>
          <w:szCs w:val="24"/>
        </w:rPr>
        <w:t>7.3 履约保证金</w:t>
      </w:r>
      <w:r>
        <w:rPr>
          <w:rFonts w:hint="eastAsia" w:ascii="宋体" w:hAnsi="宋体" w:eastAsia="宋体" w:cs="宋体"/>
          <w:b/>
          <w:bCs/>
          <w:sz w:val="24"/>
          <w:szCs w:val="24"/>
          <w:lang w:eastAsia="zh-CN"/>
        </w:rPr>
        <w:t>：</w:t>
      </w:r>
      <w:r>
        <w:rPr>
          <w:rFonts w:hint="eastAsia" w:ascii="宋体" w:hAnsi="宋体" w:eastAsia="宋体" w:cs="宋体"/>
          <w:bCs/>
          <w:color w:val="auto"/>
          <w:spacing w:val="0"/>
          <w:sz w:val="24"/>
          <w:szCs w:val="24"/>
          <w:lang w:val="en-US" w:eastAsia="zh-CN"/>
        </w:rPr>
        <w:t>不收取</w:t>
      </w:r>
      <w:r>
        <w:rPr>
          <w:rFonts w:hint="eastAsia" w:ascii="宋体" w:hAnsi="宋体" w:eastAsia="宋体" w:cs="宋体"/>
          <w:b w:val="0"/>
          <w:bCs w:val="0"/>
          <w:sz w:val="24"/>
          <w:szCs w:val="24"/>
        </w:rPr>
        <w:t>履约保证金</w:t>
      </w:r>
      <w:r>
        <w:rPr>
          <w:rFonts w:hint="eastAsia" w:ascii="宋体" w:hAnsi="宋体" w:eastAsia="宋体" w:cs="宋体"/>
          <w:b w:val="0"/>
          <w:bCs w:val="0"/>
          <w:sz w:val="24"/>
          <w:szCs w:val="24"/>
          <w:lang w:eastAsia="zh-CN"/>
        </w:rPr>
        <w:t>。</w:t>
      </w:r>
    </w:p>
    <w:p w14:paraId="56AED6AF">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7.4</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签订合同</w:t>
      </w:r>
    </w:p>
    <w:p w14:paraId="1DD2DE7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7.4.1 采购人和中标人应当自中标通知书发出之日起</w:t>
      </w:r>
      <w:r>
        <w:rPr>
          <w:rFonts w:hint="eastAsia" w:ascii="宋体" w:hAnsi="宋体" w:eastAsia="宋体" w:cs="宋体"/>
          <w:bCs/>
          <w:sz w:val="24"/>
          <w:szCs w:val="24"/>
          <w:lang w:val="en-US" w:eastAsia="zh-CN"/>
        </w:rPr>
        <w:t>1</w:t>
      </w:r>
      <w:r>
        <w:rPr>
          <w:rFonts w:hint="eastAsia" w:ascii="宋体" w:hAnsi="宋体" w:eastAsia="宋体" w:cs="宋体"/>
          <w:bCs/>
          <w:sz w:val="24"/>
          <w:szCs w:val="24"/>
        </w:rPr>
        <w:t>-</w:t>
      </w:r>
      <w:r>
        <w:rPr>
          <w:rFonts w:hint="eastAsia" w:ascii="宋体" w:hAnsi="宋体" w:eastAsia="宋体" w:cs="宋体"/>
          <w:bCs/>
          <w:sz w:val="24"/>
          <w:szCs w:val="24"/>
          <w:lang w:val="en-US" w:eastAsia="zh-CN"/>
        </w:rPr>
        <w:t>3日</w:t>
      </w:r>
      <w:r>
        <w:rPr>
          <w:rFonts w:hint="eastAsia" w:ascii="宋体" w:hAnsi="宋体" w:eastAsia="宋体" w:cs="宋体"/>
          <w:bCs/>
          <w:sz w:val="24"/>
          <w:szCs w:val="24"/>
        </w:rPr>
        <w:t>内，根据</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和中标人的投标文件订立书面合同。中标人无正当理由拒签合同的，采购人取消其中标资格</w:t>
      </w:r>
      <w:r>
        <w:rPr>
          <w:rFonts w:hint="eastAsia" w:ascii="宋体" w:hAnsi="宋体" w:eastAsia="宋体" w:cs="宋体"/>
          <w:bCs/>
          <w:color w:val="auto"/>
          <w:spacing w:val="0"/>
          <w:sz w:val="24"/>
          <w:szCs w:val="24"/>
        </w:rPr>
        <w:t>，给采购人造成的损失，中标人还应当对超过部分予以赔偿</w:t>
      </w:r>
      <w:r>
        <w:rPr>
          <w:rFonts w:hint="eastAsia" w:ascii="宋体" w:hAnsi="宋体" w:eastAsia="宋体" w:cs="宋体"/>
          <w:bCs/>
          <w:sz w:val="24"/>
          <w:szCs w:val="24"/>
        </w:rPr>
        <w:t>。</w:t>
      </w:r>
    </w:p>
    <w:p w14:paraId="14EFD0D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7.4.2 发出中标通知书后，采购人无正当理由拒签合同的，给中标人造成损失的，</w:t>
      </w:r>
      <w:r>
        <w:rPr>
          <w:rFonts w:hint="eastAsia" w:ascii="宋体" w:hAnsi="宋体" w:eastAsia="宋体" w:cs="宋体"/>
          <w:bCs/>
          <w:sz w:val="24"/>
          <w:szCs w:val="24"/>
          <w:lang w:val="en-US" w:eastAsia="zh-CN"/>
        </w:rPr>
        <w:t>还</w:t>
      </w:r>
      <w:r>
        <w:rPr>
          <w:rFonts w:hint="eastAsia" w:ascii="宋体" w:hAnsi="宋体" w:eastAsia="宋体" w:cs="宋体"/>
          <w:bCs/>
          <w:sz w:val="24"/>
          <w:szCs w:val="24"/>
        </w:rPr>
        <w:t>应当赔偿损失。</w:t>
      </w:r>
    </w:p>
    <w:p w14:paraId="1180F575">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152" w:name="_Toc830"/>
      <w:bookmarkStart w:id="153" w:name="_Toc15038"/>
      <w:bookmarkStart w:id="154" w:name="_Toc17154"/>
      <w:bookmarkStart w:id="155" w:name="_Toc22406"/>
      <w:bookmarkStart w:id="156" w:name="_Toc18556"/>
      <w:bookmarkStart w:id="157" w:name="_Toc7159"/>
      <w:r>
        <w:rPr>
          <w:rFonts w:hint="eastAsia" w:ascii="宋体" w:hAnsi="宋体" w:eastAsia="宋体" w:cs="宋体"/>
          <w:b/>
          <w:color w:val="auto"/>
          <w:spacing w:val="0"/>
          <w:sz w:val="24"/>
          <w:szCs w:val="24"/>
          <w:lang w:val="en-US" w:eastAsia="zh-CN"/>
        </w:rPr>
        <w:t>8.重新招标和不再招标</w:t>
      </w:r>
      <w:bookmarkEnd w:id="150"/>
      <w:bookmarkEnd w:id="152"/>
      <w:bookmarkEnd w:id="153"/>
      <w:bookmarkEnd w:id="154"/>
      <w:bookmarkEnd w:id="155"/>
      <w:bookmarkEnd w:id="156"/>
      <w:bookmarkEnd w:id="157"/>
    </w:p>
    <w:p w14:paraId="7CB69A48">
      <w:pPr>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8.1</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 xml:space="preserve">重新招标 </w:t>
      </w:r>
    </w:p>
    <w:p w14:paraId="3211391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有下列情形之一的，采购人将重新招标：</w:t>
      </w:r>
    </w:p>
    <w:p w14:paraId="10266B7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（1）投标截止时间止，投标人少于3个的；</w:t>
      </w:r>
    </w:p>
    <w:p w14:paraId="79F3463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（2）通过资格审查的投标人不足三家的；</w:t>
      </w:r>
    </w:p>
    <w:p w14:paraId="6A3B3E2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（3）经评标委员会评审后否决所有投标的。</w:t>
      </w:r>
    </w:p>
    <w:p w14:paraId="52957B8B">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8.2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不再招标</w:t>
      </w:r>
    </w:p>
    <w:bookmarkEnd w:id="151"/>
    <w:p w14:paraId="5931AB60">
      <w:pPr>
        <w:pStyle w:val="3"/>
        <w:keepNext/>
        <w:keepLines/>
        <w:pageBreakBefore w:val="0"/>
        <w:widowControl w:val="0"/>
        <w:numPr>
          <w:ilvl w:val="0"/>
          <w:numId w:val="0"/>
        </w:numPr>
        <w:kinsoku/>
        <w:wordWrap/>
        <w:overflowPunct/>
        <w:topLinePunct w:val="0"/>
        <w:autoSpaceDE/>
        <w:autoSpaceDN/>
        <w:bidi w:val="0"/>
        <w:adjustRightInd/>
        <w:snapToGrid/>
        <w:spacing w:before="157" w:beforeLines="50" w:after="157" w:afterLines="50" w:line="500" w:lineRule="exact"/>
        <w:ind w:left="0" w:leftChars="0" w:firstLine="480" w:firstLineChars="200"/>
        <w:textAlignment w:val="auto"/>
        <w:rPr>
          <w:rFonts w:hint="eastAsia" w:ascii="宋体" w:hAnsi="宋体" w:eastAsia="宋体" w:cs="宋体"/>
          <w:b w:val="0"/>
          <w:bCs/>
          <w:sz w:val="24"/>
          <w:szCs w:val="24"/>
          <w:lang w:val="en-US" w:eastAsia="zh-CN"/>
        </w:rPr>
      </w:pPr>
      <w:bookmarkStart w:id="158" w:name="_Toc5505"/>
      <w:bookmarkStart w:id="159" w:name="_Toc27054"/>
      <w:bookmarkStart w:id="160" w:name="_Toc30955"/>
      <w:bookmarkStart w:id="161" w:name="_Toc16538"/>
      <w:bookmarkStart w:id="162" w:name="_Toc12862"/>
      <w:bookmarkStart w:id="163" w:name="_Toc31870"/>
      <w:bookmarkStart w:id="164" w:name="_Toc278027740"/>
      <w:bookmarkStart w:id="165" w:name="_Toc184635080"/>
      <w:r>
        <w:rPr>
          <w:rFonts w:hint="eastAsia" w:ascii="宋体" w:hAnsi="宋体" w:eastAsia="宋体" w:cs="宋体"/>
          <w:b w:val="0"/>
          <w:bCs/>
          <w:sz w:val="24"/>
          <w:szCs w:val="24"/>
          <w:lang w:val="en-US" w:eastAsia="zh-CN"/>
        </w:rPr>
        <w:t>重新招标后投标人仍少于3个或者所有投标被否决的，属于必须审批或核准的项目，经原审批或核准部门批准后不再进行招标。</w:t>
      </w:r>
    </w:p>
    <w:p w14:paraId="2BD7D862">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r>
        <w:rPr>
          <w:rFonts w:hint="eastAsia" w:ascii="宋体" w:hAnsi="宋体" w:eastAsia="宋体" w:cs="宋体"/>
          <w:b/>
          <w:color w:val="auto"/>
          <w:spacing w:val="0"/>
          <w:sz w:val="24"/>
          <w:szCs w:val="24"/>
          <w:lang w:val="en-US" w:eastAsia="zh-CN"/>
        </w:rPr>
        <w:t>9.纪律和监督</w:t>
      </w:r>
      <w:bookmarkEnd w:id="158"/>
      <w:bookmarkEnd w:id="159"/>
      <w:bookmarkEnd w:id="160"/>
      <w:bookmarkEnd w:id="161"/>
      <w:bookmarkEnd w:id="162"/>
      <w:bookmarkEnd w:id="163"/>
      <w:bookmarkEnd w:id="164"/>
    </w:p>
    <w:p w14:paraId="429B4951">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9.1</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对采购人的纪律要求</w:t>
      </w:r>
    </w:p>
    <w:p w14:paraId="765D05E8">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采购人不得泄漏招标投标活动中应当保密的情况和资料，不得与投标人串通损害国家利益、社会公共利益或者他人合法权益。</w:t>
      </w:r>
    </w:p>
    <w:p w14:paraId="50EBA531">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9.2</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对投标人的纪律要求</w:t>
      </w:r>
    </w:p>
    <w:p w14:paraId="5A2DD96A">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spacing w:val="-3"/>
          <w:sz w:val="24"/>
          <w:szCs w:val="24"/>
        </w:rPr>
      </w:pPr>
      <w:r>
        <w:rPr>
          <w:rFonts w:hint="eastAsia" w:ascii="宋体" w:hAnsi="宋体" w:eastAsia="宋体" w:cs="宋体"/>
          <w:bCs/>
          <w:sz w:val="24"/>
          <w:szCs w:val="24"/>
        </w:rPr>
        <w:t xml:space="preserve"> </w:t>
      </w:r>
      <w:r>
        <w:rPr>
          <w:rFonts w:hint="eastAsia" w:ascii="宋体" w:hAnsi="宋体" w:eastAsia="宋体" w:cs="宋体"/>
          <w:bCs/>
          <w:spacing w:val="-3"/>
          <w:sz w:val="24"/>
          <w:szCs w:val="24"/>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2992A0DD">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9.3</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对评标委员会成员的纪律要求</w:t>
      </w:r>
    </w:p>
    <w:p w14:paraId="41960B95">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06FA6276">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sz w:val="24"/>
          <w:szCs w:val="24"/>
        </w:rPr>
      </w:pPr>
      <w:r>
        <w:rPr>
          <w:rFonts w:hint="eastAsia" w:ascii="宋体" w:hAnsi="宋体" w:eastAsia="宋体" w:cs="宋体"/>
          <w:b/>
          <w:sz w:val="24"/>
          <w:szCs w:val="24"/>
        </w:rPr>
        <w:t>9.4</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对与评标活动有关的工作人员的纪律要求</w:t>
      </w:r>
    </w:p>
    <w:p w14:paraId="5A36D53A">
      <w:pPr>
        <w:pageBreakBefore w:val="0"/>
        <w:widowControl/>
        <w:kinsoku/>
        <w:wordWrap/>
        <w:overflowPunct/>
        <w:topLinePunct w:val="0"/>
        <w:autoSpaceDE/>
        <w:autoSpaceDN/>
        <w:bidi w:val="0"/>
        <w:adjustRightInd/>
        <w:snapToGrid/>
        <w:spacing w:line="500" w:lineRule="exact"/>
        <w:ind w:firstLine="456" w:firstLineChars="200"/>
        <w:jc w:val="left"/>
        <w:textAlignment w:val="auto"/>
        <w:rPr>
          <w:rFonts w:hint="eastAsia" w:ascii="宋体" w:hAnsi="宋体" w:eastAsia="宋体" w:cs="宋体"/>
          <w:bCs/>
          <w:spacing w:val="-6"/>
          <w:sz w:val="24"/>
          <w:szCs w:val="24"/>
        </w:rPr>
      </w:pPr>
      <w:r>
        <w:rPr>
          <w:rFonts w:hint="eastAsia" w:ascii="宋体" w:hAnsi="宋体" w:eastAsia="宋体" w:cs="宋体"/>
          <w:bCs/>
          <w:spacing w:val="-6"/>
          <w:sz w:val="24"/>
          <w:szCs w:val="24"/>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1EFF78EB">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Cs/>
          <w:sz w:val="24"/>
          <w:szCs w:val="24"/>
        </w:rPr>
      </w:pPr>
      <w:r>
        <w:rPr>
          <w:rFonts w:hint="eastAsia" w:ascii="宋体" w:hAnsi="宋体" w:eastAsia="宋体" w:cs="宋体"/>
          <w:b/>
          <w:sz w:val="24"/>
          <w:szCs w:val="24"/>
        </w:rPr>
        <w:t>9.5</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投诉、质疑</w:t>
      </w:r>
      <w:r>
        <w:rPr>
          <w:rFonts w:hint="eastAsia" w:ascii="宋体" w:hAnsi="宋体" w:eastAsia="宋体" w:cs="宋体"/>
          <w:bCs/>
          <w:sz w:val="24"/>
          <w:szCs w:val="24"/>
        </w:rPr>
        <w:t xml:space="preserve">  </w:t>
      </w:r>
    </w:p>
    <w:p w14:paraId="16536C57">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投标人和其他利害关系人认为本次招标活动违反法律、法规和规章规定的，有权向有关行政监督部门投诉。</w:t>
      </w:r>
    </w:p>
    <w:p w14:paraId="61EC8CAE">
      <w:pPr>
        <w:pStyle w:val="8"/>
        <w:pageBreakBefore w:val="0"/>
        <w:kinsoku/>
        <w:wordWrap/>
        <w:overflowPunct/>
        <w:topLinePunct w:val="0"/>
        <w:autoSpaceDE/>
        <w:autoSpaceDN/>
        <w:bidi w:val="0"/>
        <w:adjustRightInd/>
        <w:snapToGrid/>
        <w:spacing w:after="0" w:line="500" w:lineRule="exact"/>
        <w:ind w:firstLine="456" w:firstLineChars="200"/>
        <w:textAlignment w:val="auto"/>
        <w:rPr>
          <w:rFonts w:hint="eastAsia" w:ascii="宋体" w:hAnsi="宋体" w:eastAsia="宋体" w:cs="宋体"/>
          <w:sz w:val="24"/>
          <w:szCs w:val="24"/>
        </w:rPr>
      </w:pPr>
      <w:r>
        <w:rPr>
          <w:rFonts w:hint="eastAsia" w:ascii="宋体" w:hAnsi="宋体" w:eastAsia="宋体" w:cs="宋体"/>
          <w:spacing w:val="-6"/>
          <w:sz w:val="24"/>
          <w:szCs w:val="24"/>
        </w:rPr>
        <w:t>投标人对</w:t>
      </w:r>
      <w:r>
        <w:rPr>
          <w:rFonts w:hint="eastAsia" w:ascii="宋体" w:hAnsi="宋体" w:eastAsia="宋体" w:cs="宋体"/>
          <w:spacing w:val="-6"/>
          <w:sz w:val="24"/>
          <w:szCs w:val="24"/>
          <w:lang w:val="en-US" w:eastAsia="zh-CN"/>
        </w:rPr>
        <w:t>招标</w:t>
      </w:r>
      <w:r>
        <w:rPr>
          <w:rFonts w:hint="eastAsia" w:ascii="宋体" w:hAnsi="宋体" w:eastAsia="宋体" w:cs="宋体"/>
          <w:spacing w:val="-6"/>
          <w:sz w:val="24"/>
          <w:szCs w:val="24"/>
        </w:rPr>
        <w:t>文件、采购过程、中标或者成交结果的质疑，可以在知道或者应知其权益受到损害之日起7个工作日内，以书面形式一次性向采购人或采购代理机构提出质疑。采购人或采购代理机构不接受投标人对同一采购环节的多次质疑。</w:t>
      </w:r>
    </w:p>
    <w:p w14:paraId="61190140">
      <w:pPr>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sz w:val="24"/>
          <w:szCs w:val="24"/>
          <w:lang w:val="en-US" w:eastAsia="zh-CN"/>
        </w:rPr>
      </w:pPr>
      <w:bookmarkStart w:id="166" w:name="_Toc16124"/>
      <w:bookmarkStart w:id="167" w:name="_Toc14661"/>
      <w:bookmarkStart w:id="168" w:name="_Toc23002"/>
      <w:bookmarkStart w:id="169" w:name="_Toc28919"/>
      <w:bookmarkStart w:id="170" w:name="_Toc10672"/>
      <w:bookmarkStart w:id="171" w:name="_Toc10560"/>
      <w:r>
        <w:rPr>
          <w:rFonts w:hint="eastAsia" w:ascii="宋体" w:hAnsi="宋体" w:eastAsia="宋体" w:cs="宋体"/>
          <w:b/>
          <w:bCs w:val="0"/>
          <w:sz w:val="24"/>
          <w:szCs w:val="24"/>
          <w:lang w:val="en-US" w:eastAsia="zh-CN"/>
        </w:rPr>
        <w:t>9.6 中标人确定后，采购人不对未中标人就评标过程以及未能中标原因作出任何解释。未中标人不得向评标委员会组成人员或其他有关人索问评标过程的情况和材料。</w:t>
      </w:r>
    </w:p>
    <w:p w14:paraId="086E8E87">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r>
        <w:rPr>
          <w:rFonts w:hint="eastAsia" w:ascii="宋体" w:hAnsi="宋体" w:eastAsia="宋体" w:cs="宋体"/>
          <w:b/>
          <w:color w:val="auto"/>
          <w:spacing w:val="0"/>
          <w:sz w:val="24"/>
          <w:szCs w:val="24"/>
          <w:lang w:val="en-US" w:eastAsia="zh-CN"/>
        </w:rPr>
        <w:t>10.</w:t>
      </w:r>
      <w:bookmarkEnd w:id="166"/>
      <w:r>
        <w:rPr>
          <w:rFonts w:hint="eastAsia" w:ascii="宋体" w:hAnsi="宋体" w:eastAsia="宋体" w:cs="宋体"/>
          <w:b/>
          <w:color w:val="auto"/>
          <w:spacing w:val="0"/>
          <w:sz w:val="24"/>
          <w:szCs w:val="24"/>
          <w:lang w:val="en-US" w:eastAsia="zh-CN"/>
        </w:rPr>
        <w:t>其他内容</w:t>
      </w:r>
      <w:bookmarkEnd w:id="167"/>
      <w:bookmarkEnd w:id="168"/>
      <w:bookmarkEnd w:id="169"/>
      <w:bookmarkEnd w:id="170"/>
      <w:bookmarkEnd w:id="171"/>
    </w:p>
    <w:bookmarkEnd w:id="165"/>
    <w:p w14:paraId="00B114ED">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10.1 采购人不承诺最低价中标，而且采购人没有义务解释说明未中标原因。</w:t>
      </w:r>
    </w:p>
    <w:p w14:paraId="2E2F7697">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10.2</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投标人应对照本招标文件各项技术要求作出实质性的响应，否则投标人的投标有可能被拒绝。</w:t>
      </w:r>
    </w:p>
    <w:p w14:paraId="02C21118">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sz w:val="24"/>
          <w:szCs w:val="24"/>
        </w:rPr>
        <w:t>10.3</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本</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的要求只是最低限度要求，并未对一切技术细节做出规定。在本</w:t>
      </w:r>
      <w:r>
        <w:rPr>
          <w:rFonts w:hint="eastAsia" w:ascii="宋体" w:hAnsi="宋体" w:eastAsia="宋体" w:cs="宋体"/>
          <w:bCs/>
          <w:sz w:val="24"/>
          <w:szCs w:val="24"/>
          <w:lang w:val="en-US" w:eastAsia="zh-CN"/>
        </w:rPr>
        <w:t>招标</w:t>
      </w:r>
      <w:r>
        <w:rPr>
          <w:rFonts w:hint="eastAsia" w:ascii="宋体" w:hAnsi="宋体" w:eastAsia="宋体" w:cs="宋体"/>
          <w:bCs/>
          <w:sz w:val="24"/>
          <w:szCs w:val="24"/>
          <w:lang w:eastAsia="zh-CN"/>
        </w:rPr>
        <w:t>文件</w:t>
      </w:r>
      <w:r>
        <w:rPr>
          <w:rFonts w:hint="eastAsia" w:ascii="宋体" w:hAnsi="宋体" w:eastAsia="宋体" w:cs="宋体"/>
          <w:bCs/>
          <w:sz w:val="24"/>
          <w:szCs w:val="24"/>
        </w:rPr>
        <w:t>中未提到的或投标人认为更能体现和满足采购人的实际需要的要求，投标人可依据自己的实际经验，在投标人方案中体现。</w:t>
      </w:r>
    </w:p>
    <w:p w14:paraId="5C55A5F6">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10.4 异常低价审查：</w:t>
      </w:r>
    </w:p>
    <w:p w14:paraId="2B17EDCA">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（一）政府采购评审中出现下列情形之一的，评审委员会应当启动异常低价投标（响应）审查程序：</w:t>
      </w:r>
    </w:p>
    <w:p w14:paraId="6D4AF64A">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1.投标（响应）报价低于全部通过符合性审查供应商投标（响应）报价平均值65%的，即投标（响应）报价&lt;全部通过符合性审查供应商投标（响应）报价平均值×65%；</w:t>
      </w:r>
    </w:p>
    <w:p w14:paraId="591A67DF">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2.投标（响应）报价低于通过符合性审查的次低报价供应商投标（响应）报价65%的，即投标（响应）报价&lt;通过符合性审查的次低报价供应商投标（响应）报价×65%；</w:t>
      </w:r>
    </w:p>
    <w:p w14:paraId="6D72C189">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3.投标（响应）报价低于采购项目最高限价65%的，即投标（响应）报价&lt;采购项目最高限价×65%；</w:t>
      </w:r>
    </w:p>
    <w:p w14:paraId="4ADE52F8">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4.评审委员会基于专业判断，认为供应商报价过低，有可能影响产品质量或者不能诚信履约的其他情形。</w:t>
      </w:r>
    </w:p>
    <w:p w14:paraId="4A357063">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7A82B9D">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zh-CN" w:eastAsia="zh-CN"/>
        </w:rPr>
      </w:pPr>
      <w:r>
        <w:rPr>
          <w:rFonts w:hint="eastAsia" w:ascii="宋体" w:hAnsi="宋体" w:eastAsia="宋体" w:cs="宋体"/>
          <w:bCs/>
          <w:color w:val="auto"/>
          <w:spacing w:val="0"/>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E966557">
      <w:pPr>
        <w:pageBreakBefore w:val="0"/>
        <w:widowControl/>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bCs/>
          <w:color w:val="auto"/>
          <w:spacing w:val="0"/>
          <w:sz w:val="24"/>
          <w:szCs w:val="24"/>
          <w:lang w:val="en-US" w:eastAsia="zh-CN"/>
        </w:rPr>
      </w:pPr>
      <w:r>
        <w:rPr>
          <w:rFonts w:hint="eastAsia" w:ascii="宋体" w:hAnsi="宋体" w:eastAsia="宋体" w:cs="宋体"/>
          <w:bCs/>
          <w:color w:val="auto"/>
          <w:spacing w:val="0"/>
          <w:sz w:val="24"/>
          <w:szCs w:val="24"/>
          <w:lang w:val="en-US" w:eastAsia="zh-CN"/>
        </w:rPr>
        <w:t>异常低价投标（响应）审查的启动原因、审查意见和审查结果应当在评审报告中记录，并</w:t>
      </w:r>
      <w:r>
        <w:rPr>
          <w:rFonts w:hint="eastAsia" w:ascii="宋体" w:hAnsi="宋体" w:eastAsia="宋体" w:cs="宋体"/>
          <w:bCs/>
          <w:color w:val="auto"/>
          <w:spacing w:val="-6"/>
          <w:sz w:val="24"/>
          <w:szCs w:val="24"/>
          <w:lang w:val="en-US" w:eastAsia="zh-CN"/>
        </w:rPr>
        <w:t>随供应商提供的相关书面说明及证明材料，以及评审委员会有关互联网浏览、查询历史一并归档。</w:t>
      </w:r>
    </w:p>
    <w:p w14:paraId="46550EE4">
      <w:pPr>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sectPr>
          <w:headerReference r:id="rId10" w:type="default"/>
          <w:pgSz w:w="11906" w:h="16838"/>
          <w:pgMar w:top="1440" w:right="1080" w:bottom="1440" w:left="1080" w:header="851" w:footer="992" w:gutter="0"/>
          <w:pgNumType w:fmt="decimalFullWidth"/>
          <w:cols w:space="425" w:num="1"/>
          <w:docGrid w:type="lines" w:linePitch="312" w:charSpace="0"/>
        </w:sectPr>
      </w:pPr>
      <w:r>
        <w:rPr>
          <w:rFonts w:hint="eastAsia" w:ascii="宋体" w:hAnsi="宋体" w:eastAsia="宋体" w:cs="宋体"/>
          <w:bCs/>
          <w:color w:val="auto"/>
          <w:spacing w:val="0"/>
          <w:sz w:val="24"/>
          <w:szCs w:val="24"/>
          <w:lang w:val="en-US" w:eastAsia="zh-CN"/>
        </w:rPr>
        <w:t>10.5 其它未尽事宜，按国家有关法律、法规执行。</w:t>
      </w:r>
    </w:p>
    <w:p w14:paraId="55B95991">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eastAsia" w:ascii="宋体" w:hAnsi="宋体" w:eastAsia="宋体" w:cs="宋体"/>
          <w:b/>
          <w:bCs/>
          <w:color w:val="000000"/>
          <w:sz w:val="36"/>
          <w:szCs w:val="36"/>
        </w:rPr>
      </w:pPr>
      <w:bookmarkStart w:id="172" w:name="_Toc374358905"/>
      <w:bookmarkStart w:id="173" w:name="_Toc381018326"/>
      <w:bookmarkStart w:id="174" w:name="_Toc365035216"/>
      <w:bookmarkStart w:id="175" w:name="_Toc381964727"/>
      <w:bookmarkStart w:id="176" w:name="_Toc8855"/>
      <w:r>
        <w:rPr>
          <w:rFonts w:hint="eastAsia" w:ascii="宋体" w:hAnsi="宋体" w:eastAsia="宋体" w:cs="宋体"/>
          <w:b/>
          <w:bCs/>
          <w:color w:val="000000"/>
          <w:sz w:val="36"/>
          <w:szCs w:val="36"/>
        </w:rPr>
        <w:t>河南省政府采购合同融资政策告知函</w:t>
      </w:r>
    </w:p>
    <w:p w14:paraId="18562CB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w:t>
      </w:r>
    </w:p>
    <w:p w14:paraId="3E0FDD7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欢迎贵公司参与河南省政府采购活动！</w:t>
      </w:r>
    </w:p>
    <w:p w14:paraId="3F9868B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FE0313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贷款渠道和提供贷款的金融机构，可在</w:t>
      </w:r>
      <w:r>
        <w:rPr>
          <w:rFonts w:hint="eastAsia" w:ascii="宋体" w:hAnsi="宋体" w:eastAsia="宋体" w:cs="宋体"/>
          <w:color w:val="000000"/>
          <w:sz w:val="24"/>
          <w:szCs w:val="24"/>
          <w:lang w:eastAsia="zh-CN"/>
        </w:rPr>
        <w:t>中国招标投标公共服务平台</w:t>
      </w:r>
      <w:r>
        <w:rPr>
          <w:rFonts w:hint="eastAsia" w:ascii="宋体" w:hAnsi="宋体" w:eastAsia="宋体" w:cs="宋体"/>
          <w:color w:val="000000"/>
          <w:sz w:val="24"/>
          <w:szCs w:val="24"/>
        </w:rPr>
        <w:t>“河南省政府采购合同融资平台”和信阳市公共资源交易网金融服务支撑平台查询联系。</w:t>
      </w:r>
    </w:p>
    <w:p w14:paraId="667EA7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p>
    <w:p w14:paraId="18A6939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p>
    <w:p w14:paraId="33A0A56A">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注：</w:t>
      </w:r>
    </w:p>
    <w:p w14:paraId="398F59DF">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1.预进行合同融资的，在签订合同时，供应商的合同账号需为合同融资行指定的账户和账号。</w:t>
      </w:r>
    </w:p>
    <w:p w14:paraId="791D0C1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sz w:val="24"/>
          <w:szCs w:val="24"/>
          <w:lang w:val="en-US" w:eastAsia="zh-CN"/>
        </w:rPr>
        <w:t>2.预进行合同融资的，请提醒采购人在合同备案时，将备案系统中供应商默认账号修改后合同融资行指定的账户和账号，然后再提交合同备案。</w:t>
      </w:r>
      <w:r>
        <w:rPr>
          <w:rFonts w:hint="eastAsia" w:ascii="宋体" w:hAnsi="宋体" w:eastAsia="宋体" w:cs="宋体"/>
          <w:color w:val="000000"/>
          <w:sz w:val="28"/>
          <w:szCs w:val="28"/>
        </w:rPr>
        <w:br w:type="page"/>
      </w:r>
    </w:p>
    <w:p w14:paraId="00FBB9EE">
      <w:pPr>
        <w:pStyle w:val="3"/>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rPr>
      </w:pPr>
      <w:r>
        <w:rPr>
          <w:rFonts w:hint="eastAsia" w:ascii="宋体" w:hAnsi="宋体" w:eastAsia="宋体" w:cs="宋体"/>
          <w:color w:val="000000"/>
          <w:sz w:val="28"/>
          <w:szCs w:val="28"/>
        </w:rPr>
        <w:t>附表一：问题澄清通知</w:t>
      </w:r>
      <w:bookmarkEnd w:id="172"/>
      <w:bookmarkEnd w:id="173"/>
      <w:bookmarkEnd w:id="174"/>
      <w:bookmarkEnd w:id="175"/>
      <w:bookmarkEnd w:id="176"/>
    </w:p>
    <w:p w14:paraId="1A821463">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000000"/>
          <w:sz w:val="28"/>
          <w:szCs w:val="28"/>
        </w:rPr>
      </w:pPr>
    </w:p>
    <w:p w14:paraId="56F26D5F">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问题澄清</w:t>
      </w:r>
    </w:p>
    <w:p w14:paraId="5B7037F0">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000000"/>
          <w:sz w:val="24"/>
          <w:szCs w:val="24"/>
        </w:rPr>
      </w:pPr>
      <w:r>
        <w:rPr>
          <w:rFonts w:hint="eastAsia" w:ascii="宋体" w:hAnsi="宋体" w:eastAsia="宋体" w:cs="宋体"/>
          <w:color w:val="000000"/>
          <w:sz w:val="24"/>
          <w:szCs w:val="24"/>
          <w:lang w:val="en-US" w:eastAsia="zh-CN"/>
        </w:rPr>
        <w:t xml:space="preserve"> 采购</w:t>
      </w:r>
      <w:r>
        <w:rPr>
          <w:rFonts w:hint="eastAsia" w:ascii="宋体" w:hAnsi="宋体" w:eastAsia="宋体" w:cs="宋体"/>
          <w:color w:val="000000"/>
          <w:sz w:val="24"/>
          <w:szCs w:val="24"/>
        </w:rPr>
        <w:t>编号：</w:t>
      </w:r>
    </w:p>
    <w:p w14:paraId="032E51E0">
      <w:pPr>
        <w:pageBreakBefore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u w:val="single"/>
        </w:rPr>
      </w:pPr>
    </w:p>
    <w:p w14:paraId="7E604D9B">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（投标人名称）: </w:t>
      </w:r>
    </w:p>
    <w:p w14:paraId="1FA8764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（项目名称）的评标委员会，对你方的投标文件进行了仔细的审查，现需你方对下列问题以书面形式予以澄清：</w:t>
      </w:r>
    </w:p>
    <w:p w14:paraId="37EED313">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p w14:paraId="0FA9510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p w14:paraId="5E0BBC8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p>
    <w:p w14:paraId="00641458">
      <w:pPr>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请将上述问题的澄清于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时前递交至</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（详细地址）。</w:t>
      </w:r>
    </w:p>
    <w:p w14:paraId="052B2F62">
      <w:pPr>
        <w:pageBreakBefore w:val="0"/>
        <w:kinsoku/>
        <w:wordWrap/>
        <w:overflowPunct/>
        <w:topLinePunct w:val="0"/>
        <w:autoSpaceDE/>
        <w:autoSpaceDN/>
        <w:bidi w:val="0"/>
        <w:adjustRightInd/>
        <w:snapToGrid/>
        <w:spacing w:line="500" w:lineRule="exact"/>
        <w:ind w:firstLine="5880" w:firstLineChars="2450"/>
        <w:textAlignment w:val="auto"/>
        <w:rPr>
          <w:rFonts w:hint="eastAsia" w:ascii="宋体" w:hAnsi="宋体" w:eastAsia="宋体" w:cs="宋体"/>
          <w:color w:val="000000"/>
          <w:sz w:val="24"/>
          <w:szCs w:val="24"/>
        </w:rPr>
      </w:pPr>
    </w:p>
    <w:p w14:paraId="37549A8A">
      <w:pPr>
        <w:pageBreakBefore w:val="0"/>
        <w:kinsoku/>
        <w:wordWrap/>
        <w:overflowPunct/>
        <w:topLinePunct w:val="0"/>
        <w:autoSpaceDE/>
        <w:autoSpaceDN/>
        <w:bidi w:val="0"/>
        <w:adjustRightInd/>
        <w:snapToGrid/>
        <w:spacing w:line="500" w:lineRule="exact"/>
        <w:ind w:firstLine="5880" w:firstLineChars="2450"/>
        <w:textAlignment w:val="auto"/>
        <w:rPr>
          <w:rFonts w:hint="eastAsia" w:ascii="宋体" w:hAnsi="宋体" w:eastAsia="宋体" w:cs="宋体"/>
          <w:color w:val="000000"/>
          <w:sz w:val="24"/>
          <w:szCs w:val="24"/>
        </w:rPr>
      </w:pPr>
    </w:p>
    <w:p w14:paraId="533ABB88">
      <w:pPr>
        <w:pageBreakBefore w:val="0"/>
        <w:kinsoku/>
        <w:wordWrap/>
        <w:overflowPunct/>
        <w:topLinePunct w:val="0"/>
        <w:autoSpaceDE/>
        <w:autoSpaceDN/>
        <w:bidi w:val="0"/>
        <w:adjustRightInd/>
        <w:snapToGrid/>
        <w:spacing w:line="500" w:lineRule="exact"/>
        <w:ind w:firstLine="5880" w:firstLineChars="2450"/>
        <w:textAlignment w:val="auto"/>
        <w:rPr>
          <w:rFonts w:hint="eastAsia" w:ascii="宋体" w:hAnsi="宋体" w:eastAsia="宋体" w:cs="宋体"/>
          <w:color w:val="000000"/>
          <w:sz w:val="24"/>
          <w:szCs w:val="24"/>
        </w:rPr>
      </w:pPr>
    </w:p>
    <w:p w14:paraId="6EC6F659">
      <w:pPr>
        <w:pageBreakBefore w:val="0"/>
        <w:kinsoku/>
        <w:wordWrap/>
        <w:overflowPunct/>
        <w:topLinePunct w:val="0"/>
        <w:autoSpaceDE/>
        <w:autoSpaceDN/>
        <w:bidi w:val="0"/>
        <w:adjustRightInd/>
        <w:snapToGrid/>
        <w:spacing w:line="500" w:lineRule="exact"/>
        <w:ind w:firstLine="4680" w:firstLineChars="1950"/>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（项目名称）  </w:t>
      </w:r>
      <w:r>
        <w:rPr>
          <w:rFonts w:hint="eastAsia" w:ascii="宋体" w:hAnsi="宋体" w:eastAsia="宋体" w:cs="宋体"/>
          <w:color w:val="000000"/>
          <w:sz w:val="24"/>
          <w:szCs w:val="24"/>
        </w:rPr>
        <w:t>招标评标委员会</w:t>
      </w:r>
    </w:p>
    <w:p w14:paraId="187B4E4D">
      <w:pPr>
        <w:pageBreakBefore w:val="0"/>
        <w:kinsoku/>
        <w:wordWrap/>
        <w:overflowPunct/>
        <w:topLinePunct w:val="0"/>
        <w:autoSpaceDE/>
        <w:autoSpaceDN/>
        <w:bidi w:val="0"/>
        <w:adjustRightInd/>
        <w:snapToGrid/>
        <w:spacing w:line="500" w:lineRule="exact"/>
        <w:ind w:right="-477" w:rightChars="-159" w:firstLine="4800" w:firstLineChars="20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 xml:space="preserve">         </w:t>
      </w:r>
    </w:p>
    <w:p w14:paraId="2E80EE1F">
      <w:pPr>
        <w:pageBreakBefore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43169E1F">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2B312B99">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1B3170E8">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7A4B93A0">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49713D9C">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350CA868">
      <w:pPr>
        <w:pStyle w:val="26"/>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p>
    <w:p w14:paraId="40515282">
      <w:pPr>
        <w:pStyle w:val="8"/>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8"/>
          <w:szCs w:val="28"/>
        </w:rPr>
      </w:pPr>
      <w:bookmarkStart w:id="177" w:name="_Toc381964728"/>
      <w:bookmarkStart w:id="178" w:name="_Toc184635083"/>
      <w:bookmarkStart w:id="179" w:name="_Toc365035217"/>
      <w:bookmarkStart w:id="180" w:name="_Toc20662"/>
      <w:bookmarkStart w:id="181" w:name="_Toc381018327"/>
      <w:bookmarkStart w:id="182" w:name="_Toc374358906"/>
    </w:p>
    <w:p w14:paraId="5EE2AA06">
      <w:pPr>
        <w:pStyle w:val="3"/>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rPr>
      </w:pPr>
      <w:r>
        <w:rPr>
          <w:rFonts w:hint="eastAsia" w:ascii="宋体" w:hAnsi="宋体" w:eastAsia="宋体" w:cs="宋体"/>
          <w:color w:val="000000"/>
        </w:rPr>
        <w:t>附表二：问题的澄清</w:t>
      </w:r>
      <w:bookmarkEnd w:id="177"/>
      <w:bookmarkEnd w:id="178"/>
      <w:bookmarkEnd w:id="179"/>
      <w:bookmarkEnd w:id="180"/>
      <w:bookmarkEnd w:id="181"/>
      <w:bookmarkEnd w:id="182"/>
    </w:p>
    <w:p w14:paraId="4392E10D">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000000"/>
          <w:sz w:val="28"/>
          <w:szCs w:val="28"/>
        </w:rPr>
      </w:pPr>
    </w:p>
    <w:p w14:paraId="7F5B2C9D">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问题的澄清</w:t>
      </w:r>
    </w:p>
    <w:p w14:paraId="4F65AB3C">
      <w:pPr>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编号：</w:t>
      </w:r>
    </w:p>
    <w:p w14:paraId="39E440CB">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8"/>
          <w:szCs w:val="28"/>
          <w:u w:val="single"/>
        </w:rPr>
      </w:pPr>
    </w:p>
    <w:p w14:paraId="44ED2FF1">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rPr>
        <w:t>招标评标委员会：</w:t>
      </w:r>
    </w:p>
    <w:p w14:paraId="26BCB7C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p>
    <w:p w14:paraId="164CA0FF">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问题澄清通知（编号：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）已收悉，现澄清如下：</w:t>
      </w:r>
    </w:p>
    <w:p w14:paraId="79F99AA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p w14:paraId="62296EF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p w14:paraId="7E6D52A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p>
    <w:p w14:paraId="316FA89F">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p>
    <w:p w14:paraId="6D7309A2">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p>
    <w:p w14:paraId="608CE3A2">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p>
    <w:p w14:paraId="7D42BE34">
      <w:pPr>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4"/>
          <w:szCs w:val="24"/>
        </w:rPr>
      </w:pPr>
    </w:p>
    <w:p w14:paraId="778DFF66">
      <w:pPr>
        <w:pageBreakBefore w:val="0"/>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（签字或盖章）</w:t>
      </w:r>
    </w:p>
    <w:p w14:paraId="0A5626DE">
      <w:pPr>
        <w:pageBreakBefore w:val="0"/>
        <w:widowControl/>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000000"/>
          <w:sz w:val="24"/>
          <w:szCs w:val="24"/>
          <w:u w:val="single"/>
        </w:rPr>
      </w:pPr>
    </w:p>
    <w:p w14:paraId="4436D953">
      <w:pPr>
        <w:pageBreakBefore w:val="0"/>
        <w:widowControl/>
        <w:kinsoku/>
        <w:wordWrap/>
        <w:overflowPunct/>
        <w:topLinePunct w:val="0"/>
        <w:autoSpaceDE/>
        <w:autoSpaceDN/>
        <w:bidi w:val="0"/>
        <w:adjustRightInd/>
        <w:snapToGrid/>
        <w:spacing w:line="500" w:lineRule="exact"/>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4AA8650C">
      <w:pPr>
        <w:pStyle w:val="3"/>
        <w:pageBreakBefore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color w:val="000000"/>
          <w:sz w:val="28"/>
          <w:szCs w:val="28"/>
        </w:rPr>
      </w:pPr>
      <w:r>
        <w:rPr>
          <w:rFonts w:hint="eastAsia" w:ascii="宋体" w:hAnsi="宋体" w:eastAsia="宋体" w:cs="宋体"/>
          <w:color w:val="000000"/>
          <w:sz w:val="21"/>
          <w:szCs w:val="21"/>
        </w:rPr>
        <w:br w:type="page"/>
      </w:r>
      <w:bookmarkStart w:id="183" w:name="_Toc28745"/>
      <w:bookmarkStart w:id="184" w:name="_Toc365035218"/>
      <w:bookmarkStart w:id="185" w:name="_Toc381964729"/>
      <w:bookmarkStart w:id="186" w:name="_Toc374358907"/>
      <w:bookmarkStart w:id="187" w:name="_Toc381018328"/>
      <w:r>
        <w:rPr>
          <w:rFonts w:hint="eastAsia" w:ascii="宋体" w:hAnsi="宋体" w:eastAsia="宋体" w:cs="宋体"/>
          <w:color w:val="000000"/>
          <w:sz w:val="28"/>
          <w:szCs w:val="28"/>
        </w:rPr>
        <w:t>附表三：确认通知</w:t>
      </w:r>
      <w:bookmarkEnd w:id="183"/>
      <w:bookmarkEnd w:id="184"/>
      <w:bookmarkEnd w:id="185"/>
      <w:bookmarkEnd w:id="186"/>
      <w:bookmarkEnd w:id="187"/>
    </w:p>
    <w:p w14:paraId="2727BF79">
      <w:pPr>
        <w:pageBreakBefore w:val="0"/>
        <w:kinsoku/>
        <w:wordWrap/>
        <w:overflowPunct/>
        <w:topLinePunct w:val="0"/>
        <w:autoSpaceDE/>
        <w:autoSpaceDN/>
        <w:bidi w:val="0"/>
        <w:adjustRightInd/>
        <w:snapToGrid/>
        <w:spacing w:line="500" w:lineRule="exact"/>
        <w:ind w:right="-477" w:rightChars="-159"/>
        <w:textAlignment w:val="auto"/>
        <w:rPr>
          <w:rFonts w:hint="eastAsia" w:ascii="宋体" w:hAnsi="宋体" w:eastAsia="宋体" w:cs="宋体"/>
          <w:b/>
          <w:color w:val="000000"/>
          <w:sz w:val="28"/>
          <w:szCs w:val="28"/>
        </w:rPr>
      </w:pPr>
    </w:p>
    <w:p w14:paraId="1FDF99E0">
      <w:pPr>
        <w:pageBreakBefore w:val="0"/>
        <w:kinsoku/>
        <w:wordWrap/>
        <w:overflowPunct/>
        <w:topLinePunct w:val="0"/>
        <w:autoSpaceDE/>
        <w:autoSpaceDN/>
        <w:bidi w:val="0"/>
        <w:adjustRightInd/>
        <w:snapToGrid/>
        <w:spacing w:line="500" w:lineRule="exact"/>
        <w:ind w:right="-477" w:rightChars="-159"/>
        <w:jc w:val="center"/>
        <w:textAlignment w:val="auto"/>
        <w:rPr>
          <w:rFonts w:hint="eastAsia" w:ascii="宋体" w:hAnsi="宋体" w:eastAsia="宋体" w:cs="宋体"/>
          <w:b/>
          <w:color w:val="000000"/>
          <w:sz w:val="28"/>
          <w:szCs w:val="28"/>
        </w:rPr>
      </w:pPr>
      <w:r>
        <w:rPr>
          <w:rFonts w:hint="eastAsia" w:ascii="宋体" w:hAnsi="宋体" w:eastAsia="宋体" w:cs="宋体"/>
          <w:b/>
          <w:color w:val="000000"/>
          <w:sz w:val="28"/>
          <w:szCs w:val="28"/>
        </w:rPr>
        <w:t>确认通知</w:t>
      </w:r>
    </w:p>
    <w:p w14:paraId="06E504D2">
      <w:pPr>
        <w:pageBreakBefore w:val="0"/>
        <w:kinsoku/>
        <w:wordWrap/>
        <w:overflowPunct/>
        <w:topLinePunct w:val="0"/>
        <w:autoSpaceDE/>
        <w:autoSpaceDN/>
        <w:bidi w:val="0"/>
        <w:adjustRightInd/>
        <w:snapToGrid/>
        <w:spacing w:line="500" w:lineRule="exact"/>
        <w:ind w:right="-477" w:rightChars="-159"/>
        <w:jc w:val="center"/>
        <w:textAlignment w:val="auto"/>
        <w:rPr>
          <w:rFonts w:hint="eastAsia" w:ascii="宋体" w:hAnsi="宋体" w:eastAsia="宋体" w:cs="宋体"/>
          <w:b/>
          <w:color w:val="000000"/>
          <w:sz w:val="28"/>
          <w:szCs w:val="28"/>
        </w:rPr>
      </w:pPr>
    </w:p>
    <w:p w14:paraId="217EC90E">
      <w:pPr>
        <w:pageBreakBefore w:val="0"/>
        <w:kinsoku/>
        <w:wordWrap/>
        <w:overflowPunct/>
        <w:topLinePunct w:val="0"/>
        <w:autoSpaceDE/>
        <w:autoSpaceDN/>
        <w:bidi w:val="0"/>
        <w:adjustRightInd/>
        <w:snapToGrid/>
        <w:spacing w:line="500" w:lineRule="exact"/>
        <w:ind w:right="-477" w:rightChars="-159" w:firstLine="120" w:firstLineChars="5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u w:val="single"/>
        </w:rPr>
        <w:t xml:space="preserve">              </w:t>
      </w: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采购</w:t>
      </w:r>
      <w:r>
        <w:rPr>
          <w:rFonts w:hint="eastAsia" w:ascii="宋体" w:hAnsi="宋体" w:eastAsia="宋体" w:cs="宋体"/>
          <w:b/>
          <w:color w:val="000000"/>
          <w:sz w:val="24"/>
          <w:szCs w:val="24"/>
        </w:rPr>
        <w:t>人名称）：</w:t>
      </w:r>
    </w:p>
    <w:p w14:paraId="532CE068">
      <w:pPr>
        <w:pageBreakBefore w:val="0"/>
        <w:kinsoku/>
        <w:wordWrap/>
        <w:overflowPunct/>
        <w:topLinePunct w:val="0"/>
        <w:autoSpaceDE/>
        <w:autoSpaceDN/>
        <w:bidi w:val="0"/>
        <w:adjustRightInd/>
        <w:snapToGrid/>
        <w:spacing w:line="500" w:lineRule="exact"/>
        <w:ind w:right="-477" w:rightChars="-159" w:firstLine="120" w:firstLineChars="50"/>
        <w:textAlignment w:val="auto"/>
        <w:rPr>
          <w:rFonts w:hint="eastAsia" w:ascii="宋体" w:hAnsi="宋体" w:eastAsia="宋体" w:cs="宋体"/>
          <w:color w:val="000000"/>
          <w:sz w:val="24"/>
          <w:szCs w:val="24"/>
        </w:rPr>
      </w:pPr>
    </w:p>
    <w:p w14:paraId="48498A6F">
      <w:pPr>
        <w:pageBreakBefore w:val="0"/>
        <w:kinsoku/>
        <w:wordWrap/>
        <w:overflowPunct/>
        <w:topLinePunct w:val="0"/>
        <w:autoSpaceDE/>
        <w:autoSpaceDN/>
        <w:bidi w:val="0"/>
        <w:adjustRightInd/>
        <w:snapToGrid/>
        <w:spacing w:line="500" w:lineRule="exact"/>
        <w:ind w:right="-477" w:rightChars="-159"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你方</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日发出的</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rPr>
        <w:t>（项目名称）招标关于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的通知，我方已于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日收到。</w:t>
      </w:r>
    </w:p>
    <w:p w14:paraId="2432A458">
      <w:pPr>
        <w:pageBreakBefore w:val="0"/>
        <w:kinsoku/>
        <w:wordWrap/>
        <w:overflowPunct/>
        <w:topLinePunct w:val="0"/>
        <w:autoSpaceDE/>
        <w:autoSpaceDN/>
        <w:bidi w:val="0"/>
        <w:adjustRightInd/>
        <w:snapToGrid/>
        <w:spacing w:line="500" w:lineRule="exact"/>
        <w:ind w:right="-477" w:rightChars="-159"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特此确认。</w:t>
      </w:r>
    </w:p>
    <w:p w14:paraId="20974E41">
      <w:pPr>
        <w:pageBreakBefore w:val="0"/>
        <w:kinsoku/>
        <w:wordWrap/>
        <w:overflowPunct/>
        <w:topLinePunct w:val="0"/>
        <w:autoSpaceDE/>
        <w:autoSpaceDN/>
        <w:bidi w:val="0"/>
        <w:adjustRightInd/>
        <w:snapToGrid/>
        <w:spacing w:line="500" w:lineRule="exact"/>
        <w:ind w:right="-477" w:rightChars="-159"/>
        <w:textAlignment w:val="auto"/>
        <w:rPr>
          <w:rFonts w:hint="eastAsia" w:ascii="宋体" w:hAnsi="宋体" w:eastAsia="宋体" w:cs="宋体"/>
          <w:color w:val="000000"/>
          <w:sz w:val="24"/>
          <w:szCs w:val="24"/>
        </w:rPr>
      </w:pPr>
    </w:p>
    <w:p w14:paraId="7E4F2EE5">
      <w:pPr>
        <w:pageBreakBefore w:val="0"/>
        <w:kinsoku/>
        <w:wordWrap/>
        <w:overflowPunct/>
        <w:topLinePunct w:val="0"/>
        <w:autoSpaceDE/>
        <w:autoSpaceDN/>
        <w:bidi w:val="0"/>
        <w:adjustRightInd/>
        <w:snapToGrid/>
        <w:spacing w:line="500" w:lineRule="exact"/>
        <w:ind w:right="-477" w:rightChars="-159"/>
        <w:textAlignment w:val="auto"/>
        <w:rPr>
          <w:rFonts w:hint="eastAsia" w:ascii="宋体" w:hAnsi="宋体" w:eastAsia="宋体" w:cs="宋体"/>
          <w:color w:val="000000"/>
          <w:sz w:val="24"/>
          <w:szCs w:val="24"/>
        </w:rPr>
      </w:pPr>
    </w:p>
    <w:p w14:paraId="583C0E8C">
      <w:pPr>
        <w:pageBreakBefore w:val="0"/>
        <w:kinsoku/>
        <w:wordWrap/>
        <w:overflowPunct/>
        <w:topLinePunct w:val="0"/>
        <w:autoSpaceDE/>
        <w:autoSpaceDN/>
        <w:bidi w:val="0"/>
        <w:adjustRightInd/>
        <w:snapToGrid/>
        <w:spacing w:line="500" w:lineRule="exact"/>
        <w:ind w:right="-477" w:rightChars="-159"/>
        <w:textAlignment w:val="auto"/>
        <w:rPr>
          <w:rFonts w:hint="eastAsia" w:ascii="宋体" w:hAnsi="宋体" w:eastAsia="宋体" w:cs="宋体"/>
          <w:color w:val="000000"/>
          <w:sz w:val="24"/>
          <w:szCs w:val="24"/>
        </w:rPr>
      </w:pPr>
    </w:p>
    <w:p w14:paraId="150901C3">
      <w:pPr>
        <w:pageBreakBefore w:val="0"/>
        <w:kinsoku/>
        <w:wordWrap/>
        <w:overflowPunct/>
        <w:topLinePunct w:val="0"/>
        <w:autoSpaceDE/>
        <w:autoSpaceDN/>
        <w:bidi w:val="0"/>
        <w:adjustRightInd/>
        <w:snapToGrid/>
        <w:spacing w:line="500" w:lineRule="exact"/>
        <w:ind w:right="-477" w:rightChars="-159"/>
        <w:textAlignment w:val="auto"/>
        <w:rPr>
          <w:rFonts w:hint="eastAsia" w:ascii="宋体" w:hAnsi="宋体" w:eastAsia="宋体" w:cs="宋体"/>
          <w:color w:val="000000"/>
          <w:sz w:val="24"/>
          <w:szCs w:val="24"/>
        </w:rPr>
      </w:pPr>
    </w:p>
    <w:p w14:paraId="3D10CEA8">
      <w:pPr>
        <w:pageBreakBefore w:val="0"/>
        <w:kinsoku/>
        <w:wordWrap/>
        <w:overflowPunct/>
        <w:topLinePunct w:val="0"/>
        <w:autoSpaceDE/>
        <w:autoSpaceDN/>
        <w:bidi w:val="0"/>
        <w:adjustRightInd/>
        <w:snapToGrid/>
        <w:spacing w:line="500" w:lineRule="exact"/>
        <w:ind w:right="-477" w:rightChars="-159"/>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（盖单位公章）</w:t>
      </w:r>
    </w:p>
    <w:p w14:paraId="08FE8A0B">
      <w:pPr>
        <w:pageBreakBefore w:val="0"/>
        <w:kinsoku/>
        <w:wordWrap/>
        <w:overflowPunct/>
        <w:topLinePunct w:val="0"/>
        <w:autoSpaceDE/>
        <w:autoSpaceDN/>
        <w:bidi w:val="0"/>
        <w:adjustRightInd/>
        <w:snapToGrid/>
        <w:spacing w:line="500" w:lineRule="exact"/>
        <w:ind w:right="-477" w:rightChars="-159" w:firstLine="4800" w:firstLineChars="2000"/>
        <w:textAlignment w:val="auto"/>
        <w:rPr>
          <w:rFonts w:hint="eastAsia" w:ascii="宋体" w:hAnsi="宋体" w:eastAsia="宋体" w:cs="宋体"/>
          <w:color w:val="000000"/>
          <w:sz w:val="24"/>
          <w:szCs w:val="24"/>
        </w:rPr>
      </w:pPr>
    </w:p>
    <w:p w14:paraId="047D95A4">
      <w:pPr>
        <w:pageBreakBefore w:val="0"/>
        <w:kinsoku/>
        <w:wordWrap/>
        <w:overflowPunct/>
        <w:topLinePunct w:val="0"/>
        <w:autoSpaceDE/>
        <w:autoSpaceDN/>
        <w:bidi w:val="0"/>
        <w:adjustRightInd/>
        <w:snapToGrid/>
        <w:spacing w:line="500" w:lineRule="exact"/>
        <w:ind w:right="-477" w:rightChars="-159" w:firstLine="5280" w:firstLineChars="2200"/>
        <w:jc w:val="righ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35785A7">
      <w:pPr>
        <w:rPr>
          <w:rFonts w:hint="eastAsia" w:ascii="宋体" w:hAnsi="宋体" w:eastAsia="宋体" w:cs="宋体"/>
          <w:color w:val="000000"/>
          <w:sz w:val="21"/>
          <w:szCs w:val="21"/>
        </w:rPr>
      </w:pPr>
    </w:p>
    <w:p w14:paraId="397598E3">
      <w:pPr>
        <w:rPr>
          <w:rFonts w:hint="eastAsia" w:ascii="宋体" w:hAnsi="宋体" w:eastAsia="宋体" w:cs="宋体"/>
          <w:color w:val="000000"/>
        </w:rPr>
      </w:pPr>
    </w:p>
    <w:p w14:paraId="24EA8B7F">
      <w:pPr>
        <w:rPr>
          <w:rFonts w:hint="eastAsia" w:ascii="宋体" w:hAnsi="宋体" w:eastAsia="宋体" w:cs="宋体"/>
          <w:color w:val="000000"/>
        </w:rPr>
      </w:pPr>
    </w:p>
    <w:p w14:paraId="39B9F88C">
      <w:pPr>
        <w:rPr>
          <w:rFonts w:hint="eastAsia" w:ascii="宋体" w:hAnsi="宋体" w:eastAsia="宋体" w:cs="宋体"/>
          <w:color w:val="000000"/>
        </w:rPr>
      </w:pPr>
    </w:p>
    <w:p w14:paraId="227E79F4">
      <w:pPr>
        <w:rPr>
          <w:rFonts w:hint="eastAsia" w:ascii="宋体" w:hAnsi="宋体" w:eastAsia="宋体" w:cs="宋体"/>
          <w:color w:val="000000"/>
        </w:rPr>
      </w:pPr>
    </w:p>
    <w:p w14:paraId="5CDF19BF">
      <w:pPr>
        <w:rPr>
          <w:rFonts w:hint="eastAsia" w:ascii="宋体" w:hAnsi="宋体" w:eastAsia="宋体" w:cs="宋体"/>
          <w:color w:val="000000"/>
        </w:rPr>
      </w:pPr>
    </w:p>
    <w:p w14:paraId="37C586D7">
      <w:pPr>
        <w:rPr>
          <w:rFonts w:hint="eastAsia" w:ascii="宋体" w:hAnsi="宋体" w:eastAsia="宋体" w:cs="宋体"/>
          <w:color w:val="000000"/>
        </w:rPr>
      </w:pPr>
    </w:p>
    <w:p w14:paraId="1DB674C9">
      <w:pPr>
        <w:rPr>
          <w:rFonts w:hint="eastAsia" w:ascii="宋体" w:hAnsi="宋体" w:eastAsia="宋体" w:cs="宋体"/>
          <w:color w:val="000000"/>
        </w:rPr>
      </w:pPr>
    </w:p>
    <w:p w14:paraId="20F778D3">
      <w:pPr>
        <w:rPr>
          <w:rFonts w:hint="eastAsia" w:ascii="宋体" w:hAnsi="宋体" w:eastAsia="宋体" w:cs="宋体"/>
          <w:color w:val="000000"/>
        </w:rPr>
      </w:pPr>
    </w:p>
    <w:p w14:paraId="4F03EE33">
      <w:pPr>
        <w:rPr>
          <w:rFonts w:hint="eastAsia" w:ascii="宋体" w:hAnsi="宋体" w:eastAsia="宋体" w:cs="宋体"/>
          <w:color w:val="000000"/>
        </w:rPr>
      </w:pPr>
    </w:p>
    <w:p w14:paraId="4EBE39D2">
      <w:pPr>
        <w:pStyle w:val="2"/>
        <w:jc w:val="both"/>
        <w:outlineLvl w:val="9"/>
        <w:rPr>
          <w:rFonts w:hint="eastAsia" w:ascii="宋体" w:hAnsi="宋体" w:eastAsia="宋体" w:cs="宋体"/>
          <w:sz w:val="36"/>
          <w:szCs w:val="36"/>
        </w:rPr>
      </w:pPr>
      <w:bookmarkStart w:id="188" w:name="_Toc2734"/>
      <w:bookmarkStart w:id="189" w:name="_Toc365035219"/>
      <w:bookmarkStart w:id="190" w:name="_Toc381018329"/>
      <w:bookmarkStart w:id="191" w:name="_Toc374358908"/>
    </w:p>
    <w:p w14:paraId="14E81488">
      <w:pPr>
        <w:rPr>
          <w:rFonts w:hint="eastAsia" w:ascii="宋体" w:hAnsi="宋体" w:eastAsia="宋体" w:cs="宋体"/>
        </w:rPr>
      </w:pPr>
    </w:p>
    <w:p w14:paraId="1156DF2C">
      <w:pPr>
        <w:pStyle w:val="2"/>
        <w:bidi w:val="0"/>
        <w:spacing w:line="240" w:lineRule="auto"/>
        <w:rPr>
          <w:rFonts w:hint="eastAsia" w:ascii="宋体" w:hAnsi="宋体" w:eastAsia="宋体" w:cs="宋体"/>
          <w:lang w:eastAsia="zh-CN"/>
        </w:rPr>
      </w:pPr>
      <w:bookmarkStart w:id="192" w:name="_Toc13606"/>
      <w:r>
        <w:rPr>
          <w:rFonts w:hint="eastAsia" w:ascii="宋体" w:hAnsi="宋体" w:eastAsia="宋体" w:cs="宋体"/>
        </w:rPr>
        <w:t>第三章 评标办法</w:t>
      </w:r>
      <w:bookmarkEnd w:id="188"/>
      <w:bookmarkEnd w:id="189"/>
      <w:bookmarkEnd w:id="190"/>
      <w:bookmarkEnd w:id="191"/>
      <w:bookmarkStart w:id="193" w:name="_Toc381964731"/>
      <w:bookmarkStart w:id="194" w:name="_Toc381018330"/>
      <w:bookmarkStart w:id="195" w:name="_Toc11095"/>
      <w:bookmarkStart w:id="196" w:name="_Toc374358909"/>
      <w:bookmarkStart w:id="197" w:name="_Toc381964639"/>
      <w:bookmarkStart w:id="198" w:name="_Toc363053524"/>
      <w:r>
        <w:rPr>
          <w:rFonts w:hint="eastAsia" w:ascii="宋体" w:hAnsi="宋体" w:eastAsia="宋体" w:cs="宋体"/>
          <w:lang w:eastAsia="zh-CN"/>
        </w:rPr>
        <w:t>（</w:t>
      </w:r>
      <w:r>
        <w:rPr>
          <w:rFonts w:hint="eastAsia" w:ascii="宋体" w:hAnsi="宋体" w:eastAsia="宋体" w:cs="宋体"/>
          <w:lang w:val="en-US" w:eastAsia="zh-CN"/>
        </w:rPr>
        <w:t>综合评分法</w:t>
      </w:r>
      <w:r>
        <w:rPr>
          <w:rFonts w:hint="eastAsia" w:ascii="宋体" w:hAnsi="宋体" w:eastAsia="宋体" w:cs="宋体"/>
          <w:lang w:eastAsia="zh-CN"/>
        </w:rPr>
        <w:t>）</w:t>
      </w:r>
      <w:bookmarkEnd w:id="192"/>
    </w:p>
    <w:bookmarkEnd w:id="193"/>
    <w:bookmarkEnd w:id="194"/>
    <w:bookmarkEnd w:id="195"/>
    <w:bookmarkEnd w:id="196"/>
    <w:bookmarkEnd w:id="197"/>
    <w:bookmarkEnd w:id="198"/>
    <w:p w14:paraId="65A7DC20">
      <w:pPr>
        <w:pStyle w:val="8"/>
        <w:keepNext w:val="0"/>
        <w:keepLines w:val="0"/>
        <w:pageBreakBefore w:val="0"/>
        <w:widowControl w:val="0"/>
        <w:kinsoku/>
        <w:wordWrap/>
        <w:overflowPunct/>
        <w:topLinePunct w:val="0"/>
        <w:autoSpaceDE/>
        <w:autoSpaceDN/>
        <w:bidi w:val="0"/>
        <w:adjustRightInd/>
        <w:snapToGrid/>
        <w:spacing w:before="307" w:beforeLines="100" w:after="307" w:afterLines="100" w:afterAutospacing="0" w:line="240" w:lineRule="auto"/>
        <w:ind w:left="0" w:leftChars="0" w:right="0" w:rightChars="0" w:firstLine="0" w:firstLineChars="0"/>
        <w:jc w:val="center"/>
        <w:textAlignment w:val="auto"/>
        <w:rPr>
          <w:rFonts w:hint="eastAsia" w:ascii="宋体" w:hAnsi="宋体" w:eastAsia="宋体" w:cs="宋体"/>
          <w:b/>
          <w:bCs w:val="0"/>
          <w:color w:val="000000"/>
          <w:kern w:val="0"/>
          <w:sz w:val="32"/>
          <w:szCs w:val="32"/>
        </w:rPr>
      </w:pPr>
      <w:bookmarkStart w:id="199" w:name="_Toc455867816"/>
      <w:bookmarkStart w:id="200" w:name="_Toc455080156"/>
      <w:bookmarkStart w:id="201" w:name="_Toc152042376"/>
      <w:bookmarkStart w:id="202" w:name="_Toc466298139"/>
      <w:bookmarkStart w:id="203" w:name="_Toc27806"/>
      <w:bookmarkStart w:id="204" w:name="_Toc152045599"/>
      <w:bookmarkStart w:id="205" w:name="_Toc28069"/>
      <w:bookmarkStart w:id="206" w:name="_Toc281405527"/>
      <w:bookmarkStart w:id="207" w:name="_Toc318450721"/>
      <w:bookmarkStart w:id="208" w:name="_Toc144974566"/>
      <w:r>
        <w:rPr>
          <w:rFonts w:hint="eastAsia" w:ascii="宋体" w:hAnsi="宋体" w:eastAsia="宋体" w:cs="宋体"/>
          <w:b/>
          <w:bCs w:val="0"/>
          <w:color w:val="000000"/>
          <w:kern w:val="0"/>
          <w:sz w:val="32"/>
          <w:szCs w:val="32"/>
        </w:rPr>
        <w:t>评审办法前附表</w:t>
      </w:r>
      <w:bookmarkEnd w:id="199"/>
      <w:bookmarkEnd w:id="200"/>
      <w:bookmarkEnd w:id="201"/>
      <w:bookmarkEnd w:id="202"/>
      <w:bookmarkEnd w:id="203"/>
      <w:bookmarkEnd w:id="204"/>
      <w:bookmarkEnd w:id="205"/>
      <w:bookmarkEnd w:id="206"/>
      <w:bookmarkEnd w:id="207"/>
      <w:bookmarkEnd w:id="208"/>
    </w:p>
    <w:tbl>
      <w:tblPr>
        <w:tblStyle w:val="22"/>
        <w:tblW w:w="9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179"/>
        <w:gridCol w:w="1854"/>
        <w:gridCol w:w="5914"/>
      </w:tblGrid>
      <w:tr w14:paraId="0279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066" w:type="dxa"/>
            <w:gridSpan w:val="2"/>
            <w:shd w:val="clear" w:color="auto" w:fill="E3F2D9" w:themeFill="accent4" w:themeFillTint="32"/>
            <w:noWrap w:val="0"/>
            <w:vAlign w:val="center"/>
          </w:tcPr>
          <w:p w14:paraId="125171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条款号</w:t>
            </w:r>
          </w:p>
        </w:tc>
        <w:tc>
          <w:tcPr>
            <w:tcW w:w="1854" w:type="dxa"/>
            <w:shd w:val="clear" w:color="auto" w:fill="E3F2D9" w:themeFill="accent4" w:themeFillTint="32"/>
            <w:noWrap w:val="0"/>
            <w:vAlign w:val="center"/>
          </w:tcPr>
          <w:p w14:paraId="4888AA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5914" w:type="dxa"/>
            <w:shd w:val="clear" w:color="auto" w:fill="E3F2D9" w:themeFill="accent4" w:themeFillTint="32"/>
            <w:noWrap w:val="0"/>
            <w:vAlign w:val="center"/>
          </w:tcPr>
          <w:p w14:paraId="163028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评审标准</w:t>
            </w:r>
          </w:p>
        </w:tc>
      </w:tr>
      <w:tr w14:paraId="3267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887" w:type="dxa"/>
            <w:vMerge w:val="restart"/>
            <w:noWrap w:val="0"/>
            <w:vAlign w:val="center"/>
          </w:tcPr>
          <w:p w14:paraId="5E0BC8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2.1.1</w:t>
            </w:r>
          </w:p>
        </w:tc>
        <w:tc>
          <w:tcPr>
            <w:tcW w:w="1179" w:type="dxa"/>
            <w:vMerge w:val="restart"/>
            <w:noWrap w:val="0"/>
            <w:vAlign w:val="center"/>
          </w:tcPr>
          <w:p w14:paraId="025ED7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资格</w:t>
            </w:r>
          </w:p>
          <w:p w14:paraId="1B83D8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w:t>
            </w:r>
          </w:p>
          <w:p w14:paraId="23CCA5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w:t>
            </w:r>
          </w:p>
        </w:tc>
        <w:tc>
          <w:tcPr>
            <w:tcW w:w="1854" w:type="dxa"/>
            <w:noWrap w:val="0"/>
            <w:vAlign w:val="center"/>
          </w:tcPr>
          <w:p w14:paraId="37AA6D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pacing w:val="0"/>
                <w:sz w:val="21"/>
                <w:szCs w:val="21"/>
              </w:rPr>
              <w:t>符合《中华人民共和国政府采购法</w:t>
            </w:r>
            <w:r>
              <w:rPr>
                <w:rFonts w:hint="eastAsia" w:ascii="宋体" w:hAnsi="宋体" w:eastAsia="宋体" w:cs="宋体"/>
                <w:spacing w:val="0"/>
                <w:sz w:val="21"/>
                <w:szCs w:val="21"/>
                <w:lang w:eastAsia="zh-CN"/>
              </w:rPr>
              <w:t>》第二十二条</w:t>
            </w:r>
            <w:r>
              <w:rPr>
                <w:rFonts w:hint="eastAsia" w:ascii="宋体" w:hAnsi="宋体" w:eastAsia="宋体" w:cs="宋体"/>
                <w:spacing w:val="0"/>
                <w:sz w:val="21"/>
                <w:szCs w:val="21"/>
              </w:rPr>
              <w:t>规定</w:t>
            </w:r>
          </w:p>
        </w:tc>
        <w:tc>
          <w:tcPr>
            <w:tcW w:w="5914" w:type="dxa"/>
            <w:noWrap w:val="0"/>
            <w:vAlign w:val="center"/>
          </w:tcPr>
          <w:p w14:paraId="000E3B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4</w:t>
            </w:r>
            <w:r>
              <w:rPr>
                <w:rFonts w:hint="eastAsia" w:ascii="宋体" w:hAnsi="宋体" w:eastAsia="宋体" w:cs="宋体"/>
                <w:sz w:val="21"/>
                <w:szCs w:val="21"/>
              </w:rPr>
              <w:t>项规定</w:t>
            </w:r>
          </w:p>
        </w:tc>
      </w:tr>
      <w:tr w14:paraId="75E4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87" w:type="dxa"/>
            <w:vMerge w:val="continue"/>
            <w:noWrap w:val="0"/>
            <w:vAlign w:val="center"/>
          </w:tcPr>
          <w:p w14:paraId="245D3E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1179" w:type="dxa"/>
            <w:vMerge w:val="continue"/>
            <w:noWrap w:val="0"/>
            <w:vAlign w:val="center"/>
          </w:tcPr>
          <w:p w14:paraId="566D6C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1854" w:type="dxa"/>
            <w:noWrap w:val="0"/>
            <w:vAlign w:val="center"/>
          </w:tcPr>
          <w:p w14:paraId="30D9FF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本项目的特定资格要求</w:t>
            </w:r>
          </w:p>
        </w:tc>
        <w:tc>
          <w:tcPr>
            <w:tcW w:w="5914" w:type="dxa"/>
            <w:noWrap w:val="0"/>
            <w:vAlign w:val="center"/>
          </w:tcPr>
          <w:p w14:paraId="5249E5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4</w:t>
            </w:r>
            <w:r>
              <w:rPr>
                <w:rFonts w:hint="eastAsia" w:ascii="宋体" w:hAnsi="宋体" w:eastAsia="宋体" w:cs="宋体"/>
                <w:sz w:val="21"/>
                <w:szCs w:val="21"/>
              </w:rPr>
              <w:t>项规定</w:t>
            </w:r>
          </w:p>
        </w:tc>
      </w:tr>
      <w:tr w14:paraId="53BC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4712D1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1179" w:type="dxa"/>
            <w:vMerge w:val="continue"/>
            <w:noWrap w:val="0"/>
            <w:vAlign w:val="center"/>
          </w:tcPr>
          <w:p w14:paraId="39A165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1854" w:type="dxa"/>
            <w:noWrap w:val="0"/>
            <w:vAlign w:val="center"/>
          </w:tcPr>
          <w:p w14:paraId="01158A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其他要求</w:t>
            </w:r>
          </w:p>
        </w:tc>
        <w:tc>
          <w:tcPr>
            <w:tcW w:w="5914" w:type="dxa"/>
            <w:noWrap w:val="0"/>
            <w:vAlign w:val="center"/>
          </w:tcPr>
          <w:p w14:paraId="650645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须知”规定</w:t>
            </w:r>
          </w:p>
        </w:tc>
      </w:tr>
      <w:tr w14:paraId="3D55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87" w:type="dxa"/>
            <w:vMerge w:val="continue"/>
            <w:noWrap w:val="0"/>
            <w:vAlign w:val="center"/>
          </w:tcPr>
          <w:p w14:paraId="7C0362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1179" w:type="dxa"/>
            <w:vMerge w:val="continue"/>
            <w:noWrap w:val="0"/>
            <w:vAlign w:val="center"/>
          </w:tcPr>
          <w:p w14:paraId="1BEDA1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p>
        </w:tc>
        <w:tc>
          <w:tcPr>
            <w:tcW w:w="7768" w:type="dxa"/>
            <w:gridSpan w:val="2"/>
            <w:noWrap w:val="0"/>
            <w:vAlign w:val="center"/>
          </w:tcPr>
          <w:p w14:paraId="3F753F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b/>
                <w:bCs/>
                <w:color w:val="000000"/>
                <w:sz w:val="21"/>
                <w:szCs w:val="21"/>
              </w:rPr>
              <w:t>注：投标文件中附相关证件影印件，资料不全或不合格者视为未通过资格审查（信用承诺的</w:t>
            </w:r>
            <w:r>
              <w:rPr>
                <w:rFonts w:hint="eastAsia" w:ascii="宋体" w:hAnsi="宋体" w:eastAsia="宋体" w:cs="宋体"/>
                <w:b/>
                <w:bCs/>
                <w:color w:val="000000"/>
                <w:sz w:val="21"/>
                <w:szCs w:val="21"/>
                <w:lang w:eastAsia="zh-CN"/>
              </w:rPr>
              <w:t>投标人</w:t>
            </w:r>
            <w:r>
              <w:rPr>
                <w:rFonts w:hint="eastAsia" w:ascii="宋体" w:hAnsi="宋体" w:eastAsia="宋体" w:cs="宋体"/>
                <w:b/>
                <w:bCs/>
                <w:color w:val="000000"/>
                <w:sz w:val="21"/>
                <w:szCs w:val="21"/>
              </w:rPr>
              <w:t>提供相应条件的书面承诺书）。</w:t>
            </w:r>
          </w:p>
        </w:tc>
      </w:tr>
      <w:tr w14:paraId="5923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restart"/>
            <w:noWrap w:val="0"/>
            <w:vAlign w:val="center"/>
          </w:tcPr>
          <w:p w14:paraId="7AA4BF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2.1.2</w:t>
            </w:r>
          </w:p>
        </w:tc>
        <w:tc>
          <w:tcPr>
            <w:tcW w:w="1179" w:type="dxa"/>
            <w:vMerge w:val="restart"/>
            <w:noWrap w:val="0"/>
            <w:vAlign w:val="center"/>
          </w:tcPr>
          <w:p w14:paraId="1F2F00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符合性</w:t>
            </w:r>
          </w:p>
          <w:p w14:paraId="1EF969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w:t>
            </w:r>
          </w:p>
          <w:p w14:paraId="31ABCA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w:t>
            </w:r>
          </w:p>
        </w:tc>
        <w:tc>
          <w:tcPr>
            <w:tcW w:w="1854" w:type="dxa"/>
            <w:noWrap w:val="0"/>
            <w:vAlign w:val="center"/>
          </w:tcPr>
          <w:p w14:paraId="7C23A0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投标人</w:t>
            </w:r>
            <w:r>
              <w:rPr>
                <w:rFonts w:hint="eastAsia" w:ascii="宋体" w:hAnsi="宋体" w:eastAsia="宋体" w:cs="宋体"/>
                <w:spacing w:val="0"/>
                <w:sz w:val="21"/>
                <w:szCs w:val="21"/>
              </w:rPr>
              <w:t>名称</w:t>
            </w:r>
          </w:p>
        </w:tc>
        <w:tc>
          <w:tcPr>
            <w:tcW w:w="5914" w:type="dxa"/>
            <w:noWrap w:val="0"/>
            <w:vAlign w:val="center"/>
          </w:tcPr>
          <w:p w14:paraId="23E7E2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sz w:val="21"/>
                <w:szCs w:val="21"/>
              </w:rPr>
            </w:pPr>
            <w:r>
              <w:rPr>
                <w:rFonts w:hint="eastAsia" w:ascii="宋体" w:hAnsi="宋体" w:eastAsia="宋体" w:cs="宋体"/>
                <w:color w:val="000000"/>
                <w:spacing w:val="-6"/>
                <w:sz w:val="21"/>
                <w:szCs w:val="21"/>
              </w:rPr>
              <w:t>与提供的法人或事业单位法人证书或者其他组织的营业执照一致</w:t>
            </w:r>
          </w:p>
        </w:tc>
      </w:tr>
      <w:tr w14:paraId="0F35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41D45C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3EF433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3652A7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sz w:val="21"/>
                <w:szCs w:val="21"/>
              </w:rPr>
            </w:pPr>
            <w:r>
              <w:rPr>
                <w:rFonts w:hint="eastAsia" w:ascii="宋体" w:hAnsi="宋体" w:eastAsia="宋体" w:cs="宋体"/>
                <w:spacing w:val="-6"/>
                <w:sz w:val="21"/>
                <w:szCs w:val="21"/>
                <w:lang w:val="en-US" w:eastAsia="zh-CN"/>
              </w:rPr>
              <w:t>投标</w:t>
            </w:r>
            <w:r>
              <w:rPr>
                <w:rFonts w:hint="eastAsia" w:ascii="宋体" w:hAnsi="宋体" w:eastAsia="宋体" w:cs="宋体"/>
                <w:spacing w:val="-6"/>
                <w:sz w:val="21"/>
                <w:szCs w:val="21"/>
              </w:rPr>
              <w:t>文件签字盖章</w:t>
            </w:r>
          </w:p>
        </w:tc>
        <w:tc>
          <w:tcPr>
            <w:tcW w:w="5914" w:type="dxa"/>
            <w:noWrap w:val="0"/>
            <w:vAlign w:val="center"/>
          </w:tcPr>
          <w:p w14:paraId="22FEE2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符合第六章“</w:t>
            </w:r>
            <w:r>
              <w:rPr>
                <w:rFonts w:hint="eastAsia" w:ascii="宋体" w:hAnsi="宋体" w:eastAsia="宋体" w:cs="宋体"/>
                <w:spacing w:val="0"/>
                <w:sz w:val="21"/>
                <w:szCs w:val="21"/>
                <w:lang w:val="en-US" w:eastAsia="zh-CN"/>
              </w:rPr>
              <w:t>投标</w:t>
            </w:r>
            <w:r>
              <w:rPr>
                <w:rFonts w:hint="eastAsia" w:ascii="宋体" w:hAnsi="宋体" w:eastAsia="宋体" w:cs="宋体"/>
                <w:spacing w:val="0"/>
                <w:sz w:val="21"/>
                <w:szCs w:val="21"/>
              </w:rPr>
              <w:t>文件格式”签字盖章的要求</w:t>
            </w:r>
          </w:p>
        </w:tc>
      </w:tr>
      <w:tr w14:paraId="707E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5E1E64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095230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2C4290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投标</w:t>
            </w:r>
            <w:r>
              <w:rPr>
                <w:rFonts w:hint="eastAsia" w:ascii="宋体" w:hAnsi="宋体" w:eastAsia="宋体" w:cs="宋体"/>
                <w:sz w:val="21"/>
                <w:szCs w:val="21"/>
              </w:rPr>
              <w:t>文件格式</w:t>
            </w:r>
          </w:p>
        </w:tc>
        <w:tc>
          <w:tcPr>
            <w:tcW w:w="5914" w:type="dxa"/>
            <w:noWrap w:val="0"/>
            <w:vAlign w:val="center"/>
          </w:tcPr>
          <w:p w14:paraId="0F48A6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sz w:val="21"/>
                <w:szCs w:val="21"/>
              </w:rPr>
            </w:pPr>
            <w:r>
              <w:rPr>
                <w:rFonts w:hint="eastAsia" w:ascii="宋体" w:hAnsi="宋体" w:eastAsia="宋体" w:cs="宋体"/>
                <w:spacing w:val="0"/>
                <w:sz w:val="21"/>
                <w:szCs w:val="21"/>
              </w:rPr>
              <w:t>符合第六章“</w:t>
            </w:r>
            <w:r>
              <w:rPr>
                <w:rFonts w:hint="eastAsia" w:ascii="宋体" w:hAnsi="宋体" w:eastAsia="宋体" w:cs="宋体"/>
                <w:spacing w:val="0"/>
                <w:sz w:val="21"/>
                <w:szCs w:val="21"/>
                <w:lang w:val="en-US" w:eastAsia="zh-CN"/>
              </w:rPr>
              <w:t>投标</w:t>
            </w:r>
            <w:r>
              <w:rPr>
                <w:rFonts w:hint="eastAsia" w:ascii="宋体" w:hAnsi="宋体" w:eastAsia="宋体" w:cs="宋体"/>
                <w:spacing w:val="0"/>
                <w:sz w:val="21"/>
                <w:szCs w:val="21"/>
              </w:rPr>
              <w:t>文件格式”的要求</w:t>
            </w:r>
          </w:p>
        </w:tc>
      </w:tr>
      <w:tr w14:paraId="429E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62CB13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070AF5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6D70D3F9">
            <w:pPr>
              <w:keepNext w:val="0"/>
              <w:keepLines w:val="0"/>
              <w:pageBreakBefore w:val="0"/>
              <w:widowControl w:val="0"/>
              <w:kinsoku/>
              <w:wordWrap/>
              <w:overflowPunct/>
              <w:topLinePunct w:val="0"/>
              <w:bidi w:val="0"/>
              <w:adjustRightInd/>
              <w:snapToGrid/>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投标报价</w:t>
            </w:r>
          </w:p>
        </w:tc>
        <w:tc>
          <w:tcPr>
            <w:tcW w:w="5914" w:type="dxa"/>
            <w:noWrap w:val="0"/>
            <w:vAlign w:val="center"/>
          </w:tcPr>
          <w:p w14:paraId="618027C8">
            <w:pPr>
              <w:keepNext w:val="0"/>
              <w:keepLines w:val="0"/>
              <w:pageBreakBefore w:val="0"/>
              <w:widowControl w:val="0"/>
              <w:kinsoku/>
              <w:wordWrap/>
              <w:overflowPunct/>
              <w:topLinePunct w:val="0"/>
              <w:bidi w:val="0"/>
              <w:adjustRightInd/>
              <w:snapToGrid/>
              <w:spacing w:line="400" w:lineRule="exact"/>
              <w:ind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color w:val="000000"/>
                <w:sz w:val="21"/>
                <w:szCs w:val="21"/>
              </w:rPr>
              <w:t>报价均不超过预算价（最高限价）</w:t>
            </w:r>
          </w:p>
        </w:tc>
      </w:tr>
      <w:tr w14:paraId="34BF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063644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123F0A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7C0832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投标</w:t>
            </w:r>
            <w:r>
              <w:rPr>
                <w:rFonts w:hint="eastAsia" w:ascii="宋体" w:hAnsi="宋体" w:eastAsia="宋体" w:cs="宋体"/>
                <w:sz w:val="21"/>
                <w:szCs w:val="21"/>
              </w:rPr>
              <w:t>内容</w:t>
            </w:r>
          </w:p>
        </w:tc>
        <w:tc>
          <w:tcPr>
            <w:tcW w:w="5914" w:type="dxa"/>
            <w:noWrap w:val="0"/>
            <w:vAlign w:val="center"/>
          </w:tcPr>
          <w:p w14:paraId="35E1CE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3</w:t>
            </w:r>
            <w:r>
              <w:rPr>
                <w:rFonts w:hint="eastAsia" w:ascii="宋体" w:hAnsi="宋体" w:eastAsia="宋体" w:cs="宋体"/>
                <w:sz w:val="21"/>
                <w:szCs w:val="21"/>
              </w:rPr>
              <w:t>.1项规定</w:t>
            </w:r>
          </w:p>
        </w:tc>
      </w:tr>
      <w:tr w14:paraId="3825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753193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5D5AD6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4B1867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服务期限</w:t>
            </w:r>
          </w:p>
        </w:tc>
        <w:tc>
          <w:tcPr>
            <w:tcW w:w="5914" w:type="dxa"/>
            <w:noWrap w:val="0"/>
            <w:vAlign w:val="center"/>
          </w:tcPr>
          <w:p w14:paraId="657484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3</w:t>
            </w:r>
            <w:r>
              <w:rPr>
                <w:rFonts w:hint="eastAsia" w:ascii="宋体" w:hAnsi="宋体" w:eastAsia="宋体" w:cs="宋体"/>
                <w:sz w:val="21"/>
                <w:szCs w:val="21"/>
              </w:rPr>
              <w:t>.2项规定</w:t>
            </w:r>
          </w:p>
        </w:tc>
      </w:tr>
      <w:tr w14:paraId="25C5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7350E5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78CA37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5C1AD0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服务地点</w:t>
            </w:r>
          </w:p>
        </w:tc>
        <w:tc>
          <w:tcPr>
            <w:tcW w:w="5914" w:type="dxa"/>
            <w:noWrap w:val="0"/>
            <w:vAlign w:val="center"/>
          </w:tcPr>
          <w:p w14:paraId="2677A61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项规定</w:t>
            </w:r>
          </w:p>
        </w:tc>
      </w:tr>
      <w:tr w14:paraId="3FA4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1A63BD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02D5CD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57287A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服务</w:t>
            </w:r>
            <w:r>
              <w:rPr>
                <w:rFonts w:hint="eastAsia" w:ascii="宋体" w:hAnsi="宋体" w:eastAsia="宋体" w:cs="宋体"/>
                <w:sz w:val="21"/>
                <w:szCs w:val="21"/>
              </w:rPr>
              <w:t>要求</w:t>
            </w:r>
          </w:p>
        </w:tc>
        <w:tc>
          <w:tcPr>
            <w:tcW w:w="5914" w:type="dxa"/>
            <w:noWrap w:val="0"/>
            <w:vAlign w:val="center"/>
          </w:tcPr>
          <w:p w14:paraId="07EC93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须知”第1.</w:t>
            </w: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项规定</w:t>
            </w:r>
          </w:p>
        </w:tc>
      </w:tr>
      <w:tr w14:paraId="3B5F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87" w:type="dxa"/>
            <w:vMerge w:val="continue"/>
            <w:noWrap w:val="0"/>
            <w:vAlign w:val="center"/>
          </w:tcPr>
          <w:p w14:paraId="27868D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599629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6D3BCC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投标</w:t>
            </w:r>
            <w:r>
              <w:rPr>
                <w:rFonts w:hint="eastAsia" w:ascii="宋体" w:hAnsi="宋体" w:eastAsia="宋体" w:cs="宋体"/>
                <w:sz w:val="21"/>
                <w:szCs w:val="21"/>
              </w:rPr>
              <w:t>有效期</w:t>
            </w:r>
          </w:p>
        </w:tc>
        <w:tc>
          <w:tcPr>
            <w:tcW w:w="5914" w:type="dxa"/>
            <w:noWrap w:val="0"/>
            <w:vAlign w:val="center"/>
          </w:tcPr>
          <w:p w14:paraId="65C6E2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符合第二章“</w:t>
            </w:r>
            <w:r>
              <w:rPr>
                <w:rFonts w:hint="eastAsia" w:ascii="宋体" w:hAnsi="宋体" w:eastAsia="宋体" w:cs="宋体"/>
                <w:sz w:val="21"/>
                <w:szCs w:val="21"/>
                <w:lang w:val="en-US" w:eastAsia="zh-CN"/>
              </w:rPr>
              <w:t>投标人</w:t>
            </w:r>
            <w:r>
              <w:rPr>
                <w:rFonts w:hint="eastAsia" w:ascii="宋体" w:hAnsi="宋体" w:eastAsia="宋体" w:cs="宋体"/>
                <w:sz w:val="21"/>
                <w:szCs w:val="21"/>
              </w:rPr>
              <w:t>须知”第3.</w:t>
            </w:r>
            <w:r>
              <w:rPr>
                <w:rFonts w:hint="eastAsia" w:ascii="宋体" w:hAnsi="宋体" w:eastAsia="宋体" w:cs="宋体"/>
                <w:sz w:val="21"/>
                <w:szCs w:val="21"/>
                <w:lang w:val="en-US" w:eastAsia="zh-CN"/>
              </w:rPr>
              <w:t>4</w:t>
            </w:r>
            <w:r>
              <w:rPr>
                <w:rFonts w:hint="eastAsia" w:ascii="宋体" w:hAnsi="宋体" w:eastAsia="宋体" w:cs="宋体"/>
                <w:sz w:val="21"/>
                <w:szCs w:val="21"/>
              </w:rPr>
              <w:t>.1项规定</w:t>
            </w:r>
          </w:p>
        </w:tc>
      </w:tr>
      <w:tr w14:paraId="41CD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066" w:type="dxa"/>
            <w:gridSpan w:val="2"/>
            <w:shd w:val="clear" w:color="auto" w:fill="E3F2D9" w:themeFill="accent4" w:themeFillTint="32"/>
            <w:noWrap w:val="0"/>
            <w:vAlign w:val="center"/>
          </w:tcPr>
          <w:p w14:paraId="4F917E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条款号</w:t>
            </w:r>
          </w:p>
        </w:tc>
        <w:tc>
          <w:tcPr>
            <w:tcW w:w="1854" w:type="dxa"/>
            <w:shd w:val="clear" w:color="auto" w:fill="E3F2D9" w:themeFill="accent4" w:themeFillTint="32"/>
            <w:noWrap w:val="0"/>
            <w:vAlign w:val="center"/>
          </w:tcPr>
          <w:p w14:paraId="0AC9B6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评审因素</w:t>
            </w:r>
          </w:p>
        </w:tc>
        <w:tc>
          <w:tcPr>
            <w:tcW w:w="5914" w:type="dxa"/>
            <w:shd w:val="clear" w:color="auto" w:fill="E3F2D9" w:themeFill="accent4" w:themeFillTint="32"/>
            <w:noWrap w:val="0"/>
            <w:vAlign w:val="center"/>
          </w:tcPr>
          <w:p w14:paraId="6235A2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11"/>
                <w:sz w:val="21"/>
                <w:szCs w:val="21"/>
              </w:rPr>
            </w:pPr>
            <w:r>
              <w:rPr>
                <w:rFonts w:hint="eastAsia" w:ascii="宋体" w:hAnsi="宋体" w:eastAsia="宋体" w:cs="宋体"/>
                <w:b/>
                <w:bCs/>
                <w:sz w:val="21"/>
                <w:szCs w:val="21"/>
              </w:rPr>
              <w:t>评审标准</w:t>
            </w:r>
          </w:p>
        </w:tc>
      </w:tr>
      <w:tr w14:paraId="3A0D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2066" w:type="dxa"/>
            <w:gridSpan w:val="2"/>
            <w:noWrap w:val="0"/>
            <w:vAlign w:val="center"/>
          </w:tcPr>
          <w:p w14:paraId="440855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2.2</w:t>
            </w:r>
          </w:p>
        </w:tc>
        <w:tc>
          <w:tcPr>
            <w:tcW w:w="1854" w:type="dxa"/>
            <w:noWrap w:val="0"/>
            <w:vAlign w:val="center"/>
          </w:tcPr>
          <w:p w14:paraId="0ADC7F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分值构成</w:t>
            </w:r>
          </w:p>
          <w:p w14:paraId="6E518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（总分100分）</w:t>
            </w:r>
          </w:p>
        </w:tc>
        <w:tc>
          <w:tcPr>
            <w:tcW w:w="5914" w:type="dxa"/>
            <w:noWrap w:val="0"/>
            <w:vAlign w:val="center"/>
          </w:tcPr>
          <w:p w14:paraId="0A4AF1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pacing w:val="-11"/>
                <w:sz w:val="21"/>
                <w:szCs w:val="21"/>
              </w:rPr>
            </w:pPr>
            <w:r>
              <w:rPr>
                <w:rFonts w:hint="eastAsia" w:ascii="宋体" w:hAnsi="宋体" w:eastAsia="宋体" w:cs="宋体"/>
                <w:spacing w:val="-11"/>
                <w:sz w:val="21"/>
                <w:szCs w:val="21"/>
              </w:rPr>
              <w:t>商务标：</w:t>
            </w:r>
            <w:r>
              <w:rPr>
                <w:rFonts w:hint="eastAsia" w:ascii="宋体" w:hAnsi="宋体" w:eastAsia="宋体" w:cs="宋体"/>
                <w:spacing w:val="-11"/>
                <w:sz w:val="21"/>
                <w:szCs w:val="21"/>
                <w:lang w:val="en-US" w:eastAsia="zh-CN"/>
              </w:rPr>
              <w:t xml:space="preserve"> </w:t>
            </w:r>
            <w:r>
              <w:rPr>
                <w:rFonts w:hint="eastAsia" w:ascii="宋体" w:hAnsi="宋体" w:cs="宋体"/>
                <w:spacing w:val="-11"/>
                <w:sz w:val="21"/>
                <w:szCs w:val="21"/>
                <w:lang w:val="en-US" w:eastAsia="zh-CN"/>
              </w:rPr>
              <w:t>20</w:t>
            </w:r>
            <w:r>
              <w:rPr>
                <w:rFonts w:hint="eastAsia" w:ascii="宋体" w:hAnsi="宋体" w:eastAsia="宋体" w:cs="宋体"/>
                <w:spacing w:val="-11"/>
                <w:sz w:val="21"/>
                <w:szCs w:val="21"/>
                <w:lang w:val="en-US" w:eastAsia="zh-CN"/>
              </w:rPr>
              <w:t xml:space="preserve"> </w:t>
            </w:r>
            <w:r>
              <w:rPr>
                <w:rFonts w:hint="eastAsia" w:ascii="宋体" w:hAnsi="宋体" w:eastAsia="宋体" w:cs="宋体"/>
                <w:spacing w:val="-11"/>
                <w:sz w:val="21"/>
                <w:szCs w:val="21"/>
              </w:rPr>
              <w:t>分</w:t>
            </w:r>
          </w:p>
          <w:p w14:paraId="12D491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pacing w:val="-11"/>
                <w:sz w:val="21"/>
                <w:szCs w:val="21"/>
              </w:rPr>
            </w:pPr>
            <w:r>
              <w:rPr>
                <w:rFonts w:hint="eastAsia" w:ascii="宋体" w:hAnsi="宋体" w:eastAsia="宋体" w:cs="宋体"/>
                <w:spacing w:val="-11"/>
                <w:sz w:val="21"/>
                <w:szCs w:val="21"/>
              </w:rPr>
              <w:t>技术标：</w:t>
            </w:r>
            <w:r>
              <w:rPr>
                <w:rFonts w:hint="eastAsia" w:ascii="宋体" w:hAnsi="宋体" w:eastAsia="宋体" w:cs="宋体"/>
                <w:spacing w:val="-11"/>
                <w:sz w:val="21"/>
                <w:szCs w:val="21"/>
                <w:lang w:val="en-US" w:eastAsia="zh-CN"/>
              </w:rPr>
              <w:t xml:space="preserve"> </w:t>
            </w:r>
            <w:r>
              <w:rPr>
                <w:rFonts w:hint="eastAsia" w:ascii="宋体" w:hAnsi="宋体" w:cs="宋体"/>
                <w:spacing w:val="-11"/>
                <w:sz w:val="21"/>
                <w:szCs w:val="21"/>
                <w:lang w:val="en-US" w:eastAsia="zh-CN"/>
              </w:rPr>
              <w:t>60</w:t>
            </w:r>
            <w:r>
              <w:rPr>
                <w:rFonts w:hint="eastAsia" w:ascii="宋体" w:hAnsi="宋体" w:eastAsia="宋体" w:cs="宋体"/>
                <w:spacing w:val="-11"/>
                <w:sz w:val="21"/>
                <w:szCs w:val="21"/>
              </w:rPr>
              <w:t>分</w:t>
            </w:r>
          </w:p>
          <w:p w14:paraId="2570BC0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pacing w:val="-11"/>
                <w:sz w:val="21"/>
                <w:szCs w:val="21"/>
              </w:rPr>
            </w:pPr>
            <w:r>
              <w:rPr>
                <w:rFonts w:hint="eastAsia" w:ascii="宋体" w:hAnsi="宋体" w:eastAsia="宋体" w:cs="宋体"/>
                <w:spacing w:val="-11"/>
                <w:sz w:val="21"/>
                <w:szCs w:val="21"/>
              </w:rPr>
              <w:t>综合标：</w:t>
            </w:r>
            <w:r>
              <w:rPr>
                <w:rFonts w:hint="eastAsia" w:ascii="宋体" w:hAnsi="宋体" w:eastAsia="宋体" w:cs="宋体"/>
                <w:spacing w:val="-11"/>
                <w:sz w:val="21"/>
                <w:szCs w:val="21"/>
                <w:lang w:val="en-US" w:eastAsia="zh-CN"/>
              </w:rPr>
              <w:t xml:space="preserve"> </w:t>
            </w:r>
            <w:r>
              <w:rPr>
                <w:rFonts w:hint="eastAsia" w:ascii="宋体" w:hAnsi="宋体" w:cs="宋体"/>
                <w:spacing w:val="-11"/>
                <w:sz w:val="21"/>
                <w:szCs w:val="21"/>
                <w:lang w:val="en-US" w:eastAsia="zh-CN"/>
              </w:rPr>
              <w:t>20</w:t>
            </w:r>
            <w:r>
              <w:rPr>
                <w:rFonts w:hint="eastAsia" w:ascii="宋体" w:hAnsi="宋体" w:eastAsia="宋体" w:cs="宋体"/>
                <w:spacing w:val="-11"/>
                <w:sz w:val="21"/>
                <w:szCs w:val="21"/>
                <w:lang w:val="en-US" w:eastAsia="zh-CN"/>
              </w:rPr>
              <w:t xml:space="preserve"> </w:t>
            </w:r>
            <w:r>
              <w:rPr>
                <w:rFonts w:hint="eastAsia" w:ascii="宋体" w:hAnsi="宋体" w:eastAsia="宋体" w:cs="宋体"/>
                <w:spacing w:val="-11"/>
                <w:sz w:val="21"/>
                <w:szCs w:val="21"/>
              </w:rPr>
              <w:t>分</w:t>
            </w:r>
          </w:p>
        </w:tc>
      </w:tr>
      <w:tr w14:paraId="3467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887" w:type="dxa"/>
            <w:noWrap w:val="0"/>
            <w:vAlign w:val="center"/>
          </w:tcPr>
          <w:p w14:paraId="24EF02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2.2.1</w:t>
            </w:r>
          </w:p>
        </w:tc>
        <w:tc>
          <w:tcPr>
            <w:tcW w:w="1179" w:type="dxa"/>
            <w:noWrap w:val="0"/>
            <w:vAlign w:val="center"/>
          </w:tcPr>
          <w:p w14:paraId="65729F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商务</w:t>
            </w:r>
          </w:p>
          <w:p w14:paraId="61F5C9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部分</w:t>
            </w:r>
          </w:p>
          <w:p w14:paraId="04D8AE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20</w:t>
            </w:r>
            <w:r>
              <w:rPr>
                <w:rFonts w:hint="eastAsia" w:ascii="宋体" w:hAnsi="宋体" w:eastAsia="宋体" w:cs="宋体"/>
                <w:b/>
                <w:bCs/>
                <w:sz w:val="21"/>
                <w:szCs w:val="21"/>
                <w:lang w:val="en-US" w:eastAsia="zh-CN"/>
              </w:rPr>
              <w:t>分）</w:t>
            </w:r>
          </w:p>
        </w:tc>
        <w:tc>
          <w:tcPr>
            <w:tcW w:w="1854" w:type="dxa"/>
            <w:noWrap w:val="0"/>
            <w:vAlign w:val="center"/>
          </w:tcPr>
          <w:p w14:paraId="23004D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投标</w:t>
            </w:r>
            <w:r>
              <w:rPr>
                <w:rFonts w:hint="eastAsia" w:ascii="宋体" w:hAnsi="宋体" w:eastAsia="宋体" w:cs="宋体"/>
                <w:b/>
                <w:bCs/>
                <w:sz w:val="21"/>
                <w:szCs w:val="21"/>
              </w:rPr>
              <w:t>报价</w:t>
            </w:r>
          </w:p>
          <w:p w14:paraId="209902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w:t>
            </w:r>
            <w:r>
              <w:rPr>
                <w:rFonts w:hint="eastAsia" w:ascii="宋体" w:hAnsi="宋体" w:cs="宋体"/>
                <w:b/>
                <w:bCs/>
                <w:sz w:val="21"/>
                <w:szCs w:val="21"/>
                <w:lang w:val="en-US" w:eastAsia="zh-CN"/>
              </w:rPr>
              <w:t>20</w:t>
            </w:r>
            <w:r>
              <w:rPr>
                <w:rFonts w:hint="eastAsia" w:ascii="宋体" w:hAnsi="宋体" w:eastAsia="宋体" w:cs="宋体"/>
                <w:b/>
                <w:bCs/>
                <w:sz w:val="21"/>
                <w:szCs w:val="21"/>
              </w:rPr>
              <w:t>分）</w:t>
            </w:r>
          </w:p>
        </w:tc>
        <w:tc>
          <w:tcPr>
            <w:tcW w:w="5914" w:type="dxa"/>
            <w:noWrap w:val="0"/>
            <w:vAlign w:val="center"/>
          </w:tcPr>
          <w:p w14:paraId="6BD841F0">
            <w:pPr>
              <w:pStyle w:val="20"/>
              <w:keepNext w:val="0"/>
              <w:keepLines w:val="0"/>
              <w:pageBreakBefore w:val="0"/>
              <w:widowControl w:val="0"/>
              <w:kinsoku/>
              <w:wordWrap/>
              <w:overflowPunct/>
              <w:topLinePunct w:val="0"/>
              <w:autoSpaceDE w:val="0"/>
              <w:autoSpaceDN w:val="0"/>
              <w:bidi w:val="0"/>
              <w:adjustRightInd/>
              <w:snapToGrid/>
              <w:spacing w:after="0" w:afterLines="0" w:line="400" w:lineRule="exact"/>
              <w:ind w:firstLine="0" w:firstLineChars="0"/>
              <w:jc w:val="left"/>
              <w:textAlignment w:val="auto"/>
              <w:rPr>
                <w:rFonts w:hint="eastAsia" w:ascii="宋体" w:hAnsi="宋体" w:eastAsia="宋体" w:cs="宋体"/>
                <w:color w:val="000000"/>
                <w:spacing w:val="0"/>
                <w:sz w:val="21"/>
                <w:szCs w:val="21"/>
                <w:highlight w:val="none"/>
              </w:rPr>
            </w:pPr>
            <w:r>
              <w:rPr>
                <w:rFonts w:hint="eastAsia" w:ascii="宋体" w:hAnsi="宋体" w:eastAsia="宋体" w:cs="宋体"/>
                <w:color w:val="000000"/>
                <w:spacing w:val="0"/>
                <w:sz w:val="21"/>
                <w:szCs w:val="21"/>
                <w:highlight w:val="none"/>
                <w:lang w:val="en-US" w:eastAsia="zh-CN"/>
              </w:rPr>
              <w:t>投标报价</w:t>
            </w:r>
            <w:r>
              <w:rPr>
                <w:rFonts w:hint="eastAsia" w:ascii="宋体" w:hAnsi="宋体" w:eastAsia="宋体" w:cs="宋体"/>
                <w:color w:val="000000"/>
                <w:spacing w:val="0"/>
                <w:sz w:val="21"/>
                <w:szCs w:val="21"/>
                <w:highlight w:val="none"/>
              </w:rPr>
              <w:t>不得高于</w:t>
            </w:r>
            <w:r>
              <w:rPr>
                <w:rFonts w:hint="eastAsia" w:ascii="宋体" w:hAnsi="宋体" w:eastAsia="宋体" w:cs="宋体"/>
                <w:color w:val="auto"/>
                <w:spacing w:val="0"/>
                <w:sz w:val="21"/>
                <w:szCs w:val="21"/>
              </w:rPr>
              <w:t>最高限价</w:t>
            </w:r>
            <w:r>
              <w:rPr>
                <w:rFonts w:hint="eastAsia" w:ascii="宋体" w:hAnsi="宋体" w:eastAsia="宋体" w:cs="宋体"/>
                <w:color w:val="000000"/>
                <w:spacing w:val="0"/>
                <w:sz w:val="21"/>
                <w:szCs w:val="21"/>
                <w:highlight w:val="none"/>
              </w:rPr>
              <w:t>，否则按无效标处理。价格分统一采用低价优先法计算，即满足</w:t>
            </w:r>
            <w:r>
              <w:rPr>
                <w:rFonts w:hint="eastAsia" w:ascii="宋体" w:hAnsi="宋体" w:eastAsia="宋体" w:cs="宋体"/>
                <w:color w:val="000000"/>
                <w:spacing w:val="0"/>
                <w:sz w:val="21"/>
                <w:szCs w:val="21"/>
                <w:highlight w:val="none"/>
                <w:lang w:val="en-US" w:eastAsia="zh-CN"/>
              </w:rPr>
              <w:t>招标</w:t>
            </w:r>
            <w:r>
              <w:rPr>
                <w:rFonts w:hint="eastAsia" w:ascii="宋体" w:hAnsi="宋体" w:eastAsia="宋体" w:cs="宋体"/>
                <w:color w:val="000000"/>
                <w:spacing w:val="0"/>
                <w:sz w:val="21"/>
                <w:szCs w:val="21"/>
                <w:highlight w:val="none"/>
              </w:rPr>
              <w:t>文件要求且投标价格最低的</w:t>
            </w:r>
            <w:r>
              <w:rPr>
                <w:rFonts w:hint="eastAsia" w:ascii="宋体" w:hAnsi="宋体" w:eastAsia="宋体" w:cs="宋体"/>
                <w:color w:val="000000"/>
                <w:spacing w:val="0"/>
                <w:sz w:val="21"/>
                <w:szCs w:val="21"/>
                <w:highlight w:val="none"/>
                <w:lang w:val="en-US" w:eastAsia="zh-CN"/>
              </w:rPr>
              <w:t>投标</w:t>
            </w:r>
            <w:r>
              <w:rPr>
                <w:rFonts w:hint="eastAsia" w:ascii="宋体" w:hAnsi="宋体" w:eastAsia="宋体" w:cs="宋体"/>
                <w:color w:val="000000"/>
                <w:spacing w:val="0"/>
                <w:sz w:val="21"/>
                <w:szCs w:val="21"/>
                <w:highlight w:val="none"/>
              </w:rPr>
              <w:t>报价为</w:t>
            </w:r>
            <w:r>
              <w:rPr>
                <w:rFonts w:hint="eastAsia" w:ascii="宋体" w:hAnsi="宋体" w:eastAsia="宋体" w:cs="宋体"/>
                <w:color w:val="000000"/>
                <w:spacing w:val="0"/>
                <w:sz w:val="21"/>
                <w:szCs w:val="21"/>
                <w:highlight w:val="none"/>
                <w:lang w:val="en-US" w:eastAsia="zh-CN"/>
              </w:rPr>
              <w:t>评标</w:t>
            </w:r>
            <w:r>
              <w:rPr>
                <w:rFonts w:hint="eastAsia" w:ascii="宋体" w:hAnsi="宋体" w:eastAsia="宋体" w:cs="宋体"/>
                <w:color w:val="000000"/>
                <w:spacing w:val="0"/>
                <w:sz w:val="21"/>
                <w:szCs w:val="21"/>
                <w:highlight w:val="none"/>
              </w:rPr>
              <w:t>基准价，其价格分为</w:t>
            </w:r>
            <w:r>
              <w:rPr>
                <w:rFonts w:hint="eastAsia" w:ascii="宋体" w:hAnsi="宋体" w:eastAsia="宋体" w:cs="宋体"/>
                <w:color w:val="000000"/>
                <w:spacing w:val="0"/>
                <w:sz w:val="21"/>
                <w:szCs w:val="21"/>
                <w:highlight w:val="none"/>
                <w:lang w:val="en-US" w:eastAsia="zh-CN"/>
              </w:rPr>
              <w:t xml:space="preserve"> </w:t>
            </w:r>
            <w:r>
              <w:rPr>
                <w:rFonts w:hint="eastAsia" w:ascii="宋体" w:hAnsi="宋体" w:cs="宋体"/>
                <w:color w:val="000000"/>
                <w:spacing w:val="0"/>
                <w:sz w:val="21"/>
                <w:szCs w:val="21"/>
                <w:highlight w:val="none"/>
                <w:lang w:val="en-US" w:eastAsia="zh-CN"/>
              </w:rPr>
              <w:t xml:space="preserve">20 </w:t>
            </w:r>
            <w:r>
              <w:rPr>
                <w:rFonts w:hint="eastAsia" w:ascii="宋体" w:hAnsi="宋体" w:eastAsia="宋体" w:cs="宋体"/>
                <w:color w:val="000000"/>
                <w:spacing w:val="0"/>
                <w:sz w:val="21"/>
                <w:szCs w:val="21"/>
                <w:highlight w:val="none"/>
              </w:rPr>
              <w:t>分</w:t>
            </w:r>
            <w:r>
              <w:rPr>
                <w:rFonts w:hint="eastAsia" w:ascii="宋体" w:hAnsi="宋体" w:eastAsia="宋体" w:cs="宋体"/>
                <w:color w:val="000000"/>
                <w:spacing w:val="0"/>
                <w:sz w:val="21"/>
                <w:szCs w:val="21"/>
                <w:highlight w:val="none"/>
                <w:lang w:eastAsia="zh-CN"/>
              </w:rPr>
              <w:t>，</w:t>
            </w:r>
            <w:r>
              <w:rPr>
                <w:rFonts w:hint="eastAsia" w:ascii="宋体" w:hAnsi="宋体" w:eastAsia="宋体" w:cs="宋体"/>
                <w:color w:val="000000"/>
                <w:spacing w:val="0"/>
                <w:sz w:val="21"/>
                <w:szCs w:val="21"/>
                <w:highlight w:val="none"/>
              </w:rPr>
              <w:t>其他</w:t>
            </w:r>
            <w:r>
              <w:rPr>
                <w:rFonts w:hint="eastAsia" w:ascii="宋体" w:hAnsi="宋体" w:eastAsia="宋体" w:cs="宋体"/>
                <w:color w:val="000000"/>
                <w:spacing w:val="0"/>
                <w:sz w:val="21"/>
                <w:szCs w:val="21"/>
                <w:highlight w:val="none"/>
                <w:lang w:val="en-US" w:eastAsia="zh-CN"/>
              </w:rPr>
              <w:t>投标人</w:t>
            </w:r>
            <w:r>
              <w:rPr>
                <w:rFonts w:hint="eastAsia" w:ascii="宋体" w:hAnsi="宋体" w:eastAsia="宋体" w:cs="宋体"/>
                <w:color w:val="000000"/>
                <w:spacing w:val="0"/>
                <w:sz w:val="21"/>
                <w:szCs w:val="21"/>
                <w:highlight w:val="none"/>
              </w:rPr>
              <w:t>的价格分统一按照下列公式计算：</w:t>
            </w:r>
          </w:p>
          <w:p w14:paraId="377D0220">
            <w:pPr>
              <w:pStyle w:val="20"/>
              <w:keepNext w:val="0"/>
              <w:keepLines w:val="0"/>
              <w:pageBreakBefore w:val="0"/>
              <w:widowControl w:val="0"/>
              <w:kinsoku/>
              <w:wordWrap/>
              <w:overflowPunct/>
              <w:topLinePunct w:val="0"/>
              <w:autoSpaceDE w:val="0"/>
              <w:autoSpaceDN w:val="0"/>
              <w:bidi w:val="0"/>
              <w:adjustRightInd/>
              <w:snapToGrid/>
              <w:spacing w:after="0" w:afterLines="0" w:line="400" w:lineRule="exact"/>
              <w:ind w:firstLine="0" w:firstLineChars="0"/>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投标报价得分=（评标基准价/投标报价）×</w:t>
            </w:r>
            <w:r>
              <w:rPr>
                <w:rFonts w:hint="eastAsia" w:ascii="宋体" w:hAnsi="宋体" w:cs="宋体"/>
                <w:color w:val="000000"/>
                <w:sz w:val="21"/>
                <w:szCs w:val="21"/>
                <w:highlight w:val="none"/>
                <w:lang w:val="en-US" w:eastAsia="zh-CN"/>
              </w:rPr>
              <w:t>20</w:t>
            </w:r>
          </w:p>
          <w:p w14:paraId="1D7C33F2">
            <w:pPr>
              <w:pStyle w:val="20"/>
              <w:keepNext w:val="0"/>
              <w:keepLines w:val="0"/>
              <w:pageBreakBefore w:val="0"/>
              <w:widowControl w:val="0"/>
              <w:kinsoku/>
              <w:wordWrap/>
              <w:overflowPunct/>
              <w:topLinePunct w:val="0"/>
              <w:autoSpaceDE w:val="0"/>
              <w:autoSpaceDN w:val="0"/>
              <w:bidi w:val="0"/>
              <w:adjustRightInd/>
              <w:snapToGrid/>
              <w:spacing w:after="0" w:afterLines="0" w:line="400" w:lineRule="exact"/>
              <w:ind w:firstLine="0" w:firstLineChars="0"/>
              <w:jc w:val="left"/>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注：1.价格分计算保留小数点后二位；</w:t>
            </w:r>
          </w:p>
          <w:p w14:paraId="1E32A781">
            <w:pPr>
              <w:pStyle w:val="20"/>
              <w:keepNext w:val="0"/>
              <w:keepLines w:val="0"/>
              <w:pageBreakBefore w:val="0"/>
              <w:widowControl w:val="0"/>
              <w:kinsoku/>
              <w:wordWrap/>
              <w:overflowPunct/>
              <w:topLinePunct w:val="0"/>
              <w:autoSpaceDE w:val="0"/>
              <w:autoSpaceDN w:val="0"/>
              <w:bidi w:val="0"/>
              <w:adjustRightInd/>
              <w:snapToGrid/>
              <w:spacing w:after="0" w:afterLines="0" w:line="400" w:lineRule="exact"/>
              <w:ind w:firstLine="0" w:firstLineChars="0"/>
              <w:jc w:val="left"/>
              <w:textAlignment w:val="auto"/>
              <w:rPr>
                <w:rFonts w:hint="eastAsia" w:ascii="宋体" w:hAnsi="宋体" w:eastAsia="宋体" w:cs="宋体"/>
                <w:b/>
                <w:bCs/>
                <w:color w:val="000000"/>
                <w:spacing w:val="0"/>
                <w:sz w:val="21"/>
                <w:szCs w:val="21"/>
                <w:highlight w:val="none"/>
                <w:lang w:val="en-US" w:eastAsia="zh-CN"/>
              </w:rPr>
            </w:pPr>
            <w:r>
              <w:rPr>
                <w:rFonts w:hint="eastAsia" w:ascii="宋体" w:hAnsi="宋体" w:eastAsia="宋体" w:cs="宋体"/>
                <w:b/>
                <w:bCs/>
                <w:color w:val="000000"/>
                <w:sz w:val="21"/>
                <w:szCs w:val="21"/>
                <w:highlight w:val="none"/>
                <w:lang w:val="en-US" w:eastAsia="zh-CN"/>
              </w:rPr>
              <w:t>2.本项目为专门面向中小企业采购的项目，不再执行价格评审优惠的扶持政策</w:t>
            </w:r>
            <w:r>
              <w:rPr>
                <w:rFonts w:hint="eastAsia" w:ascii="宋体" w:hAnsi="宋体" w:eastAsia="宋体" w:cs="宋体"/>
                <w:b/>
                <w:bCs/>
                <w:color w:val="000000"/>
                <w:spacing w:val="0"/>
                <w:sz w:val="21"/>
                <w:szCs w:val="21"/>
                <w:highlight w:val="none"/>
                <w:lang w:val="en-US" w:eastAsia="zh-CN"/>
              </w:rPr>
              <w:t>；</w:t>
            </w:r>
          </w:p>
          <w:p w14:paraId="37346C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pacing w:val="-11"/>
                <w:sz w:val="21"/>
                <w:szCs w:val="21"/>
              </w:rPr>
            </w:pPr>
            <w:r>
              <w:rPr>
                <w:rFonts w:hint="eastAsia" w:ascii="宋体" w:hAnsi="宋体" w:eastAsia="宋体" w:cs="宋体"/>
                <w:b/>
                <w:bCs/>
                <w:color w:val="auto"/>
                <w:sz w:val="21"/>
                <w:szCs w:val="21"/>
                <w:highlight w:val="none"/>
                <w:lang w:val="en-US" w:eastAsia="zh-CN"/>
              </w:rPr>
              <w:t>3.属于异常低价情形的评标委员会应启动异常低价审查程序，详见磋商文件第二章“10.4异常低价审查”程序说明。</w:t>
            </w:r>
          </w:p>
        </w:tc>
      </w:tr>
      <w:tr w14:paraId="68D5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87" w:type="dxa"/>
            <w:vMerge w:val="restart"/>
            <w:noWrap w:val="0"/>
            <w:vAlign w:val="center"/>
          </w:tcPr>
          <w:p w14:paraId="1B7C6A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2.2.2</w:t>
            </w:r>
          </w:p>
        </w:tc>
        <w:tc>
          <w:tcPr>
            <w:tcW w:w="1179" w:type="dxa"/>
            <w:vMerge w:val="restart"/>
            <w:noWrap w:val="0"/>
            <w:vAlign w:val="center"/>
          </w:tcPr>
          <w:p w14:paraId="67B1DA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技术</w:t>
            </w:r>
          </w:p>
          <w:p w14:paraId="2650FC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部分</w:t>
            </w:r>
          </w:p>
          <w:p w14:paraId="1C1DF4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60</w:t>
            </w:r>
            <w:r>
              <w:rPr>
                <w:rFonts w:hint="eastAsia" w:ascii="宋体" w:hAnsi="宋体" w:eastAsia="宋体" w:cs="宋体"/>
                <w:b/>
                <w:bCs/>
                <w:sz w:val="21"/>
                <w:szCs w:val="21"/>
                <w:lang w:val="en-US" w:eastAsia="zh-CN"/>
              </w:rPr>
              <w:t>分）</w:t>
            </w:r>
          </w:p>
        </w:tc>
        <w:tc>
          <w:tcPr>
            <w:tcW w:w="1854" w:type="dxa"/>
            <w:noWrap w:val="0"/>
            <w:vAlign w:val="center"/>
          </w:tcPr>
          <w:p w14:paraId="284B89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采购内容及要求</w:t>
            </w:r>
            <w:r>
              <w:rPr>
                <w:rFonts w:hint="eastAsia" w:ascii="宋体" w:hAnsi="宋体" w:cs="宋体"/>
                <w:b/>
                <w:bCs/>
                <w:color w:val="auto"/>
                <w:spacing w:val="0"/>
                <w:sz w:val="21"/>
                <w:szCs w:val="21"/>
                <w:highlight w:val="none"/>
                <w:lang w:val="en-US" w:eastAsia="zh-CN"/>
              </w:rPr>
              <w:t>的响应程度</w:t>
            </w:r>
          </w:p>
          <w:p w14:paraId="7FFB76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FF0000"/>
                <w:spacing w:val="0"/>
                <w:sz w:val="21"/>
                <w:szCs w:val="21"/>
                <w:highlight w:val="yellow"/>
                <w:lang w:val="en-US" w:eastAsia="zh-CN"/>
              </w:rPr>
            </w:pPr>
            <w:r>
              <w:rPr>
                <w:rFonts w:hint="eastAsia" w:ascii="宋体" w:hAnsi="宋体" w:eastAsia="宋体" w:cs="宋体"/>
                <w:b/>
                <w:bCs/>
                <w:color w:val="auto"/>
                <w:spacing w:val="0"/>
                <w:sz w:val="21"/>
                <w:szCs w:val="21"/>
                <w:highlight w:val="none"/>
                <w:lang w:val="en-US" w:eastAsia="zh-CN"/>
              </w:rPr>
              <w:t>（10分）</w:t>
            </w:r>
          </w:p>
        </w:tc>
        <w:tc>
          <w:tcPr>
            <w:tcW w:w="5914" w:type="dxa"/>
            <w:noWrap w:val="0"/>
            <w:vAlign w:val="center"/>
          </w:tcPr>
          <w:p w14:paraId="39F2FF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投标文件应对招标文件的采购内容及要求进行响应，</w:t>
            </w:r>
            <w:r>
              <w:rPr>
                <w:rFonts w:hint="eastAsia" w:ascii="宋体" w:hAnsi="宋体" w:cs="宋体"/>
                <w:color w:val="auto"/>
                <w:spacing w:val="0"/>
                <w:sz w:val="21"/>
                <w:szCs w:val="21"/>
                <w:highlight w:val="none"/>
                <w:lang w:val="en-US" w:eastAsia="zh-CN"/>
              </w:rPr>
              <w:t>“第四章三、</w:t>
            </w:r>
            <w:r>
              <w:rPr>
                <w:rFonts w:hint="eastAsia" w:ascii="宋体" w:hAnsi="宋体" w:eastAsia="宋体" w:cs="宋体"/>
                <w:color w:val="auto"/>
                <w:spacing w:val="0"/>
                <w:sz w:val="21"/>
                <w:szCs w:val="21"/>
                <w:highlight w:val="none"/>
                <w:lang w:val="en-US" w:eastAsia="zh-CN"/>
              </w:rPr>
              <w:t>采购内容技术要求</w:t>
            </w:r>
            <w:r>
              <w:rPr>
                <w:rFonts w:hint="eastAsia" w:ascii="宋体" w:hAnsi="宋体" w:cs="宋体"/>
                <w:color w:val="auto"/>
                <w:spacing w:val="0"/>
                <w:sz w:val="21"/>
                <w:szCs w:val="21"/>
                <w:highlight w:val="none"/>
                <w:lang w:val="en-US" w:eastAsia="zh-CN"/>
              </w:rPr>
              <w:t>”中“▲”号标注的内容为评分项，</w:t>
            </w:r>
            <w:r>
              <w:rPr>
                <w:rFonts w:hint="eastAsia" w:ascii="宋体" w:hAnsi="宋体" w:eastAsia="宋体" w:cs="宋体"/>
                <w:color w:val="auto"/>
                <w:spacing w:val="0"/>
                <w:sz w:val="21"/>
                <w:szCs w:val="21"/>
                <w:highlight w:val="none"/>
                <w:lang w:val="en-US" w:eastAsia="zh-CN"/>
              </w:rPr>
              <w:t>完全响应得 10 分；每缺少一项技术条款内容或该部分内容响应不完全</w:t>
            </w:r>
            <w:r>
              <w:rPr>
                <w:rFonts w:hint="eastAsia" w:ascii="宋体" w:hAnsi="宋体" w:cs="宋体"/>
                <w:color w:val="auto"/>
                <w:spacing w:val="0"/>
                <w:sz w:val="21"/>
                <w:szCs w:val="21"/>
                <w:highlight w:val="none"/>
                <w:lang w:val="en-US" w:eastAsia="zh-CN"/>
              </w:rPr>
              <w:t>的</w:t>
            </w:r>
            <w:r>
              <w:rPr>
                <w:rFonts w:hint="eastAsia" w:ascii="宋体" w:hAnsi="宋体" w:eastAsia="宋体" w:cs="宋体"/>
                <w:color w:val="auto"/>
                <w:spacing w:val="0"/>
                <w:sz w:val="21"/>
                <w:szCs w:val="21"/>
                <w:highlight w:val="none"/>
                <w:lang w:val="en-US" w:eastAsia="zh-CN"/>
              </w:rPr>
              <w:t>扣 1 分，</w:t>
            </w:r>
            <w:r>
              <w:rPr>
                <w:rFonts w:hint="eastAsia" w:ascii="宋体" w:hAnsi="宋体" w:cs="宋体"/>
                <w:color w:val="auto"/>
                <w:spacing w:val="0"/>
                <w:sz w:val="21"/>
                <w:szCs w:val="21"/>
                <w:highlight w:val="none"/>
                <w:lang w:val="en-US" w:eastAsia="zh-CN"/>
              </w:rPr>
              <w:t>扣完为止</w:t>
            </w:r>
            <w:r>
              <w:rPr>
                <w:rFonts w:hint="eastAsia" w:ascii="宋体" w:hAnsi="宋体" w:eastAsia="宋体" w:cs="宋体"/>
                <w:color w:val="auto"/>
                <w:spacing w:val="0"/>
                <w:sz w:val="21"/>
                <w:szCs w:val="21"/>
                <w:highlight w:val="none"/>
                <w:lang w:val="en-US" w:eastAsia="zh-CN"/>
              </w:rPr>
              <w:t>。</w:t>
            </w:r>
          </w:p>
          <w:p w14:paraId="44E922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rPr>
            </w:pPr>
            <w:r>
              <w:rPr>
                <w:rFonts w:hint="eastAsia" w:ascii="宋体" w:hAnsi="宋体" w:eastAsia="宋体" w:cs="宋体"/>
                <w:b/>
                <w:bCs/>
                <w:color w:val="auto"/>
                <w:spacing w:val="0"/>
                <w:sz w:val="21"/>
                <w:szCs w:val="21"/>
                <w:highlight w:val="none"/>
                <w:lang w:val="en-US" w:eastAsia="zh-CN"/>
              </w:rPr>
              <w:t>备注：提供相应的参数指标证明文件，证明文件包括但不限于：相关技术资料、相应的产品检测报告等技术条款证明文件，证明材料需体现相关参数性能，否则不计分。</w:t>
            </w:r>
          </w:p>
        </w:tc>
      </w:tr>
      <w:tr w14:paraId="3FE8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887" w:type="dxa"/>
            <w:vMerge w:val="continue"/>
            <w:noWrap w:val="0"/>
            <w:vAlign w:val="center"/>
          </w:tcPr>
          <w:p w14:paraId="2A65C6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6402AB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noWrap w:val="0"/>
            <w:vAlign w:val="center"/>
          </w:tcPr>
          <w:p w14:paraId="696325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b/>
                <w:bCs/>
                <w:color w:val="auto"/>
                <w:spacing w:val="0"/>
                <w:sz w:val="21"/>
                <w:szCs w:val="21"/>
                <w:highlight w:val="none"/>
                <w:lang w:val="en-US" w:eastAsia="zh-CN"/>
              </w:rPr>
              <w:t>项目</w:t>
            </w:r>
            <w:r>
              <w:rPr>
                <w:rFonts w:hint="eastAsia" w:ascii="宋体" w:hAnsi="宋体" w:cs="宋体"/>
                <w:b/>
                <w:bCs/>
                <w:color w:val="auto"/>
                <w:spacing w:val="0"/>
                <w:sz w:val="21"/>
                <w:szCs w:val="21"/>
                <w:highlight w:val="none"/>
                <w:lang w:val="en-US" w:eastAsia="zh-CN"/>
              </w:rPr>
              <w:t>整体</w:t>
            </w:r>
            <w:r>
              <w:rPr>
                <w:rFonts w:hint="eastAsia" w:ascii="宋体" w:hAnsi="宋体" w:eastAsia="宋体" w:cs="宋体"/>
                <w:b/>
                <w:bCs/>
                <w:color w:val="auto"/>
                <w:spacing w:val="0"/>
                <w:sz w:val="21"/>
                <w:szCs w:val="21"/>
                <w:highlight w:val="none"/>
                <w:lang w:val="en-US" w:eastAsia="zh-CN"/>
              </w:rPr>
              <w:t>实施</w:t>
            </w:r>
            <w:r>
              <w:rPr>
                <w:rFonts w:hint="eastAsia" w:ascii="宋体" w:hAnsi="宋体" w:eastAsia="宋体" w:cs="宋体"/>
                <w:b/>
                <w:bCs/>
                <w:color w:val="auto"/>
                <w:spacing w:val="0"/>
                <w:sz w:val="21"/>
                <w:szCs w:val="21"/>
                <w:highlight w:val="none"/>
              </w:rPr>
              <w:t>方案</w:t>
            </w:r>
            <w:r>
              <w:rPr>
                <w:rFonts w:hint="eastAsia" w:ascii="宋体" w:hAnsi="宋体" w:eastAsia="宋体" w:cs="宋体"/>
                <w:b/>
                <w:bCs/>
                <w:color w:val="auto"/>
                <w:spacing w:val="0"/>
                <w:sz w:val="21"/>
                <w:szCs w:val="21"/>
                <w:highlight w:val="none"/>
                <w:lang w:val="en-US" w:eastAsia="zh-CN"/>
              </w:rPr>
              <w:t>（</w:t>
            </w:r>
            <w:r>
              <w:rPr>
                <w:rFonts w:hint="eastAsia" w:ascii="宋体" w:hAnsi="宋体" w:cs="宋体"/>
                <w:b/>
                <w:bCs/>
                <w:color w:val="auto"/>
                <w:spacing w:val="0"/>
                <w:sz w:val="21"/>
                <w:szCs w:val="21"/>
                <w:highlight w:val="none"/>
                <w:lang w:val="en-US" w:eastAsia="zh-CN"/>
              </w:rPr>
              <w:t>10</w:t>
            </w:r>
            <w:r>
              <w:rPr>
                <w:rFonts w:hint="eastAsia" w:ascii="宋体" w:hAnsi="宋体" w:eastAsia="宋体" w:cs="宋体"/>
                <w:b/>
                <w:bCs/>
                <w:color w:val="auto"/>
                <w:spacing w:val="0"/>
                <w:sz w:val="21"/>
                <w:szCs w:val="21"/>
                <w:highlight w:val="none"/>
              </w:rPr>
              <w:t>分）</w:t>
            </w:r>
          </w:p>
        </w:tc>
        <w:tc>
          <w:tcPr>
            <w:tcW w:w="5914" w:type="dxa"/>
            <w:noWrap w:val="0"/>
            <w:vAlign w:val="center"/>
          </w:tcPr>
          <w:p w14:paraId="44AD54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auto"/>
                <w:spacing w:val="0"/>
                <w:sz w:val="21"/>
                <w:szCs w:val="21"/>
                <w:highlight w:val="none"/>
                <w:lang w:val="en-US" w:eastAsia="zh-CN"/>
              </w:rPr>
              <w:t>投标人针对本项目制定项目实施方案（</w:t>
            </w:r>
            <w:r>
              <w:rPr>
                <w:rFonts w:hint="eastAsia" w:ascii="宋体" w:hAnsi="宋体" w:eastAsia="宋体" w:cs="宋体"/>
                <w:b/>
                <w:bCs/>
                <w:color w:val="auto"/>
                <w:spacing w:val="0"/>
                <w:sz w:val="21"/>
                <w:szCs w:val="21"/>
                <w:highlight w:val="none"/>
                <w:lang w:val="en-US" w:eastAsia="zh-CN"/>
              </w:rPr>
              <w:t>内容包含但不限于项目进度实施计划、任务分工</w:t>
            </w:r>
            <w:r>
              <w:rPr>
                <w:rFonts w:hint="eastAsia" w:ascii="宋体" w:hAnsi="宋体" w:cs="宋体"/>
                <w:b/>
                <w:bCs/>
                <w:color w:val="auto"/>
                <w:spacing w:val="0"/>
                <w:sz w:val="21"/>
                <w:szCs w:val="21"/>
                <w:highlight w:val="none"/>
                <w:lang w:val="en-US" w:eastAsia="zh-CN"/>
              </w:rPr>
              <w:t>及</w:t>
            </w:r>
            <w:r>
              <w:rPr>
                <w:rFonts w:hint="eastAsia" w:ascii="宋体" w:hAnsi="宋体" w:eastAsia="宋体" w:cs="宋体"/>
                <w:b/>
                <w:bCs/>
                <w:color w:val="auto"/>
                <w:spacing w:val="0"/>
                <w:sz w:val="21"/>
                <w:szCs w:val="21"/>
                <w:highlight w:val="none"/>
                <w:lang w:val="en-US" w:eastAsia="zh-CN"/>
              </w:rPr>
              <w:t>人员安排、</w:t>
            </w:r>
            <w:r>
              <w:rPr>
                <w:rFonts w:hint="eastAsia" w:ascii="宋体" w:hAnsi="宋体" w:cs="宋体"/>
                <w:b/>
                <w:bCs/>
                <w:color w:val="auto"/>
                <w:spacing w:val="0"/>
                <w:sz w:val="21"/>
                <w:szCs w:val="21"/>
                <w:highlight w:val="none"/>
                <w:lang w:val="en-US" w:eastAsia="zh-CN"/>
              </w:rPr>
              <w:t>设备采购及运送计划、</w:t>
            </w:r>
            <w:r>
              <w:rPr>
                <w:rFonts w:hint="eastAsia" w:ascii="宋体" w:hAnsi="宋体" w:eastAsia="宋体" w:cs="宋体"/>
                <w:b/>
                <w:bCs/>
                <w:color w:val="auto"/>
                <w:spacing w:val="0"/>
                <w:sz w:val="21"/>
                <w:szCs w:val="21"/>
                <w:highlight w:val="none"/>
                <w:lang w:val="en-US" w:eastAsia="zh-CN"/>
              </w:rPr>
              <w:t>集成调试方案及操作规程、常见问题解决方案等</w:t>
            </w:r>
            <w:r>
              <w:rPr>
                <w:rFonts w:hint="eastAsia" w:ascii="宋体" w:hAnsi="宋体" w:eastAsia="宋体" w:cs="宋体"/>
                <w:color w:val="auto"/>
                <w:spacing w:val="0"/>
                <w:sz w:val="21"/>
                <w:szCs w:val="21"/>
                <w:highlight w:val="none"/>
                <w:lang w:val="en-US" w:eastAsia="zh-CN"/>
              </w:rPr>
              <w:t xml:space="preserve">）的得 </w:t>
            </w:r>
            <w:r>
              <w:rPr>
                <w:rFonts w:hint="eastAsia" w:ascii="宋体" w:hAnsi="宋体" w:cs="宋体"/>
                <w:color w:val="auto"/>
                <w:spacing w:val="0"/>
                <w:sz w:val="21"/>
                <w:szCs w:val="21"/>
                <w:highlight w:val="none"/>
                <w:lang w:val="en-US" w:eastAsia="zh-CN"/>
              </w:rPr>
              <w:t xml:space="preserve">10 </w:t>
            </w:r>
            <w:r>
              <w:rPr>
                <w:rFonts w:hint="eastAsia" w:ascii="宋体" w:hAnsi="宋体" w:eastAsia="宋体" w:cs="宋体"/>
                <w:color w:val="auto"/>
                <w:spacing w:val="0"/>
                <w:sz w:val="21"/>
                <w:szCs w:val="21"/>
                <w:highlight w:val="none"/>
                <w:lang w:val="en-US" w:eastAsia="zh-CN"/>
              </w:rPr>
              <w:t>分，提供不全或未提供的均不得分。</w:t>
            </w:r>
          </w:p>
        </w:tc>
      </w:tr>
      <w:tr w14:paraId="47C9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887" w:type="dxa"/>
            <w:vMerge w:val="continue"/>
            <w:noWrap w:val="0"/>
            <w:vAlign w:val="center"/>
          </w:tcPr>
          <w:p w14:paraId="337C45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2E83E4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noWrap w:val="0"/>
            <w:vAlign w:val="center"/>
          </w:tcPr>
          <w:p w14:paraId="2D626F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1"/>
                <w:szCs w:val="21"/>
                <w:highlight w:val="none"/>
                <w:lang w:val="en-US" w:eastAsia="zh-CN"/>
                <w14:textFill>
                  <w14:solidFill>
                    <w14:schemeClr w14:val="tx1"/>
                  </w14:solidFill>
                </w14:textFill>
              </w:rPr>
              <w:t>租赁设备安装调试方案（</w:t>
            </w:r>
            <w:r>
              <w:rPr>
                <w:rFonts w:hint="eastAsia" w:ascii="宋体" w:hAnsi="宋体" w:cs="宋体"/>
                <w:b/>
                <w:bCs/>
                <w:color w:val="000000" w:themeColor="text1"/>
                <w:spacing w:val="0"/>
                <w:sz w:val="21"/>
                <w:szCs w:val="21"/>
                <w:highlight w:val="none"/>
                <w:lang w:val="en-US" w:eastAsia="zh-CN"/>
                <w14:textFill>
                  <w14:solidFill>
                    <w14:schemeClr w14:val="tx1"/>
                  </w14:solidFill>
                </w14:textFill>
              </w:rPr>
              <w:t>10</w:t>
            </w:r>
            <w:r>
              <w:rPr>
                <w:rFonts w:hint="eastAsia" w:ascii="宋体" w:hAnsi="宋体" w:eastAsia="宋体" w:cs="宋体"/>
                <w:b/>
                <w:bCs/>
                <w:color w:val="000000" w:themeColor="text1"/>
                <w:spacing w:val="0"/>
                <w:sz w:val="21"/>
                <w:szCs w:val="21"/>
                <w:highlight w:val="none"/>
                <w:lang w:val="en-US" w:eastAsia="zh-CN"/>
                <w14:textFill>
                  <w14:solidFill>
                    <w14:schemeClr w14:val="tx1"/>
                  </w14:solidFill>
                </w14:textFill>
              </w:rPr>
              <w:t>分）</w:t>
            </w:r>
          </w:p>
        </w:tc>
        <w:tc>
          <w:tcPr>
            <w:tcW w:w="5914" w:type="dxa"/>
            <w:noWrap w:val="0"/>
            <w:vAlign w:val="center"/>
          </w:tcPr>
          <w:p w14:paraId="1DB818D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投标人</w:t>
            </w:r>
            <w:r>
              <w:rPr>
                <w:rFonts w:hint="eastAsia" w:ascii="宋体" w:hAnsi="宋体" w:eastAsia="宋体" w:cs="宋体"/>
                <w:color w:val="auto"/>
                <w:spacing w:val="0"/>
                <w:sz w:val="21"/>
                <w:szCs w:val="21"/>
                <w:highlight w:val="none"/>
                <w:lang w:val="en-US" w:eastAsia="zh-CN"/>
              </w:rPr>
              <w:t>针对本项目制定</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租赁设备安装调试方案</w:t>
            </w:r>
            <w:r>
              <w:rPr>
                <w:rFonts w:hint="eastAsia" w:ascii="宋体" w:hAnsi="宋体" w:eastAsia="宋体" w:cs="宋体"/>
                <w:color w:val="auto"/>
                <w:spacing w:val="0"/>
                <w:sz w:val="21"/>
                <w:szCs w:val="21"/>
                <w:highlight w:val="none"/>
                <w:lang w:val="en-US" w:eastAsia="zh-CN"/>
              </w:rPr>
              <w:t>（内容包含但不限于</w:t>
            </w:r>
            <w:r>
              <w:rPr>
                <w:rFonts w:hint="eastAsia" w:ascii="宋体" w:hAnsi="宋体" w:eastAsia="宋体" w:cs="宋体"/>
                <w:b/>
                <w:bCs/>
                <w:color w:val="auto"/>
                <w:spacing w:val="0"/>
                <w:sz w:val="21"/>
                <w:szCs w:val="21"/>
                <w:highlight w:val="none"/>
                <w:lang w:val="en-US" w:eastAsia="zh-CN"/>
              </w:rPr>
              <w:t>安装调试进度计划、设备安装及检验方案、软件安装及使用、调试参数及验收标准、常见问题解决方案</w:t>
            </w:r>
            <w:r>
              <w:rPr>
                <w:rFonts w:hint="eastAsia" w:ascii="宋体" w:hAnsi="宋体" w:cs="宋体"/>
                <w:b/>
                <w:bCs/>
                <w:color w:val="auto"/>
                <w:spacing w:val="0"/>
                <w:sz w:val="21"/>
                <w:szCs w:val="21"/>
                <w:highlight w:val="none"/>
                <w:lang w:val="en-US" w:eastAsia="zh-CN"/>
              </w:rPr>
              <w:t>等</w:t>
            </w:r>
            <w:r>
              <w:rPr>
                <w:rFonts w:hint="eastAsia" w:ascii="宋体" w:hAnsi="宋体" w:eastAsia="宋体" w:cs="宋体"/>
                <w:color w:val="auto"/>
                <w:spacing w:val="0"/>
                <w:sz w:val="21"/>
                <w:szCs w:val="21"/>
                <w:highlight w:val="none"/>
                <w:lang w:val="en-US" w:eastAsia="zh-CN"/>
              </w:rPr>
              <w:t>）的得</w:t>
            </w:r>
            <w:r>
              <w:rPr>
                <w:rFonts w:hint="eastAsia" w:ascii="宋体" w:hAnsi="宋体" w:cs="宋体"/>
                <w:color w:val="auto"/>
                <w:spacing w:val="0"/>
                <w:sz w:val="21"/>
                <w:szCs w:val="21"/>
                <w:highlight w:val="none"/>
                <w:lang w:val="en-US" w:eastAsia="zh-CN"/>
              </w:rPr>
              <w:t xml:space="preserve"> 10 </w:t>
            </w:r>
            <w:r>
              <w:rPr>
                <w:rFonts w:hint="eastAsia" w:ascii="宋体" w:hAnsi="宋体" w:eastAsia="宋体" w:cs="宋体"/>
                <w:color w:val="auto"/>
                <w:spacing w:val="0"/>
                <w:sz w:val="21"/>
                <w:szCs w:val="21"/>
                <w:highlight w:val="none"/>
                <w:lang w:val="en-US" w:eastAsia="zh-CN"/>
              </w:rPr>
              <w:t>分，提供不全或未提供的均不得分。</w:t>
            </w:r>
          </w:p>
        </w:tc>
      </w:tr>
      <w:tr w14:paraId="4E1E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dxa"/>
            <w:vMerge w:val="continue"/>
            <w:noWrap w:val="0"/>
            <w:vAlign w:val="center"/>
          </w:tcPr>
          <w:p w14:paraId="1BDB4E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37348C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noWrap w:val="0"/>
            <w:vAlign w:val="center"/>
          </w:tcPr>
          <w:p w14:paraId="6D3B49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运维</w:t>
            </w:r>
            <w:r>
              <w:rPr>
                <w:rFonts w:hint="eastAsia" w:ascii="宋体" w:hAnsi="宋体" w:cs="宋体"/>
                <w:b/>
                <w:bCs/>
                <w:color w:val="auto"/>
                <w:spacing w:val="0"/>
                <w:sz w:val="21"/>
                <w:szCs w:val="21"/>
                <w:highlight w:val="none"/>
                <w:lang w:val="en-US" w:eastAsia="zh-CN"/>
              </w:rPr>
              <w:t>措施</w:t>
            </w:r>
          </w:p>
          <w:p w14:paraId="0CF342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FF0000"/>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w:t>
            </w:r>
            <w:r>
              <w:rPr>
                <w:rFonts w:hint="eastAsia" w:ascii="宋体" w:hAnsi="宋体" w:cs="宋体"/>
                <w:b/>
                <w:bCs/>
                <w:color w:val="auto"/>
                <w:spacing w:val="0"/>
                <w:sz w:val="21"/>
                <w:szCs w:val="21"/>
                <w:highlight w:val="none"/>
                <w:lang w:val="en-US" w:eastAsia="zh-CN"/>
              </w:rPr>
              <w:t>10</w:t>
            </w:r>
            <w:r>
              <w:rPr>
                <w:rFonts w:hint="eastAsia" w:ascii="宋体" w:hAnsi="宋体" w:eastAsia="宋体" w:cs="宋体"/>
                <w:b/>
                <w:bCs/>
                <w:color w:val="auto"/>
                <w:spacing w:val="0"/>
                <w:sz w:val="21"/>
                <w:szCs w:val="21"/>
                <w:highlight w:val="none"/>
                <w:lang w:val="en-US" w:eastAsia="zh-CN"/>
              </w:rPr>
              <w:t>分）</w:t>
            </w:r>
          </w:p>
        </w:tc>
        <w:tc>
          <w:tcPr>
            <w:tcW w:w="5914" w:type="dxa"/>
            <w:noWrap w:val="0"/>
            <w:vAlign w:val="center"/>
          </w:tcPr>
          <w:p w14:paraId="2D3832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FF0000"/>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投标人针对项目制定全周期运维服务</w:t>
            </w:r>
            <w:r>
              <w:rPr>
                <w:rFonts w:hint="eastAsia" w:ascii="宋体" w:hAnsi="宋体" w:cs="宋体"/>
                <w:color w:val="auto"/>
                <w:spacing w:val="0"/>
                <w:sz w:val="21"/>
                <w:szCs w:val="21"/>
                <w:highlight w:val="none"/>
                <w:lang w:val="en-US" w:eastAsia="zh-CN"/>
              </w:rPr>
              <w:t>措施</w:t>
            </w:r>
            <w:r>
              <w:rPr>
                <w:rFonts w:hint="eastAsia" w:ascii="宋体" w:hAnsi="宋体" w:eastAsia="宋体" w:cs="宋体"/>
                <w:color w:val="auto"/>
                <w:spacing w:val="0"/>
                <w:sz w:val="21"/>
                <w:szCs w:val="21"/>
                <w:highlight w:val="none"/>
                <w:lang w:val="en-US" w:eastAsia="zh-CN"/>
              </w:rPr>
              <w:t>（内容包含</w:t>
            </w:r>
            <w:r>
              <w:rPr>
                <w:rFonts w:hint="eastAsia" w:ascii="宋体" w:hAnsi="宋体" w:cs="宋体"/>
                <w:color w:val="auto"/>
                <w:spacing w:val="0"/>
                <w:sz w:val="21"/>
                <w:szCs w:val="21"/>
                <w:highlight w:val="none"/>
                <w:lang w:val="en-US" w:eastAsia="zh-CN"/>
              </w:rPr>
              <w:t>但</w:t>
            </w:r>
            <w:r>
              <w:rPr>
                <w:rFonts w:hint="eastAsia" w:ascii="宋体" w:hAnsi="宋体" w:eastAsia="宋体" w:cs="宋体"/>
                <w:color w:val="auto"/>
                <w:spacing w:val="0"/>
                <w:sz w:val="21"/>
                <w:szCs w:val="21"/>
                <w:highlight w:val="none"/>
                <w:lang w:val="en-US" w:eastAsia="zh-CN"/>
              </w:rPr>
              <w:t>不限于</w:t>
            </w:r>
            <w:r>
              <w:rPr>
                <w:rFonts w:hint="eastAsia" w:ascii="宋体" w:hAnsi="宋体" w:eastAsia="宋体" w:cs="宋体"/>
                <w:b/>
                <w:bCs/>
                <w:color w:val="auto"/>
                <w:spacing w:val="0"/>
                <w:sz w:val="21"/>
                <w:szCs w:val="21"/>
                <w:highlight w:val="none"/>
                <w:lang w:val="en-US" w:eastAsia="zh-CN"/>
              </w:rPr>
              <w:t>运维目标</w:t>
            </w:r>
            <w:r>
              <w:rPr>
                <w:rFonts w:hint="eastAsia" w:ascii="宋体" w:hAnsi="宋体" w:cs="宋体"/>
                <w:b/>
                <w:bCs/>
                <w:color w:val="auto"/>
                <w:spacing w:val="0"/>
                <w:sz w:val="21"/>
                <w:szCs w:val="21"/>
                <w:highlight w:val="none"/>
                <w:lang w:val="en-US" w:eastAsia="zh-CN"/>
              </w:rPr>
              <w:t>、远程监控、巡检维护的内容与频次、部件的清洁与更换校准、质量控制</w:t>
            </w:r>
            <w:r>
              <w:rPr>
                <w:rFonts w:hint="eastAsia" w:ascii="宋体" w:hAnsi="宋体" w:eastAsia="宋体" w:cs="宋体"/>
                <w:b/>
                <w:bCs/>
                <w:color w:val="auto"/>
                <w:spacing w:val="0"/>
                <w:sz w:val="21"/>
                <w:szCs w:val="21"/>
                <w:highlight w:val="none"/>
                <w:lang w:val="en-US" w:eastAsia="zh-CN"/>
              </w:rPr>
              <w:t>等</w:t>
            </w:r>
            <w:r>
              <w:rPr>
                <w:rFonts w:hint="eastAsia" w:ascii="宋体" w:hAnsi="宋体" w:eastAsia="宋体" w:cs="宋体"/>
                <w:color w:val="auto"/>
                <w:spacing w:val="0"/>
                <w:sz w:val="21"/>
                <w:szCs w:val="21"/>
                <w:highlight w:val="none"/>
                <w:lang w:val="en-US" w:eastAsia="zh-CN"/>
              </w:rPr>
              <w:t>）的得</w:t>
            </w:r>
            <w:r>
              <w:rPr>
                <w:rFonts w:hint="eastAsia" w:ascii="宋体" w:hAnsi="宋体" w:cs="宋体"/>
                <w:color w:val="auto"/>
                <w:spacing w:val="0"/>
                <w:sz w:val="21"/>
                <w:szCs w:val="21"/>
                <w:highlight w:val="none"/>
                <w:lang w:val="en-US" w:eastAsia="zh-CN"/>
              </w:rPr>
              <w:t xml:space="preserve"> 10 </w:t>
            </w:r>
            <w:r>
              <w:rPr>
                <w:rFonts w:hint="eastAsia" w:ascii="宋体" w:hAnsi="宋体" w:eastAsia="宋体" w:cs="宋体"/>
                <w:color w:val="auto"/>
                <w:spacing w:val="0"/>
                <w:sz w:val="21"/>
                <w:szCs w:val="21"/>
                <w:highlight w:val="none"/>
                <w:lang w:val="en-US" w:eastAsia="zh-CN"/>
              </w:rPr>
              <w:t>分，提供不全或未提供的均不得分。</w:t>
            </w:r>
          </w:p>
        </w:tc>
      </w:tr>
      <w:tr w14:paraId="7C46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87" w:type="dxa"/>
            <w:vMerge w:val="continue"/>
            <w:noWrap w:val="0"/>
            <w:vAlign w:val="center"/>
          </w:tcPr>
          <w:p w14:paraId="424523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3E3460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noWrap w:val="0"/>
            <w:vAlign w:val="center"/>
          </w:tcPr>
          <w:p w14:paraId="1ED3AB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pacing w:val="0"/>
                <w:sz w:val="21"/>
                <w:szCs w:val="21"/>
                <w:highlight w:val="none"/>
                <w:lang w:val="zh-CN" w:eastAsia="zh-CN"/>
              </w:rPr>
            </w:pPr>
            <w:r>
              <w:rPr>
                <w:rFonts w:hint="eastAsia" w:ascii="宋体" w:hAnsi="宋体" w:eastAsia="宋体" w:cs="宋体"/>
                <w:b/>
                <w:bCs/>
                <w:color w:val="auto"/>
                <w:spacing w:val="0"/>
                <w:sz w:val="21"/>
                <w:szCs w:val="21"/>
                <w:highlight w:val="none"/>
                <w:lang w:val="en-US" w:eastAsia="zh-CN"/>
              </w:rPr>
              <w:t>项目</w:t>
            </w:r>
            <w:r>
              <w:rPr>
                <w:rFonts w:hint="eastAsia" w:ascii="宋体" w:hAnsi="宋体" w:eastAsia="宋体" w:cs="宋体"/>
                <w:b/>
                <w:bCs/>
                <w:color w:val="auto"/>
                <w:spacing w:val="0"/>
                <w:sz w:val="21"/>
                <w:szCs w:val="21"/>
                <w:highlight w:val="none"/>
                <w:lang w:val="zh-CN" w:eastAsia="zh-CN"/>
              </w:rPr>
              <w:t>成果</w:t>
            </w:r>
            <w:r>
              <w:rPr>
                <w:rFonts w:hint="eastAsia" w:ascii="宋体" w:hAnsi="宋体" w:eastAsia="宋体" w:cs="宋体"/>
                <w:b/>
                <w:bCs/>
                <w:color w:val="auto"/>
                <w:spacing w:val="0"/>
                <w:sz w:val="21"/>
                <w:szCs w:val="21"/>
                <w:highlight w:val="none"/>
                <w:lang w:val="en-US" w:eastAsia="zh-CN"/>
              </w:rPr>
              <w:t>管理</w:t>
            </w:r>
            <w:r>
              <w:rPr>
                <w:rFonts w:hint="eastAsia" w:ascii="宋体" w:hAnsi="宋体" w:eastAsia="宋体" w:cs="宋体"/>
                <w:b/>
                <w:bCs/>
                <w:color w:val="auto"/>
                <w:spacing w:val="0"/>
                <w:sz w:val="21"/>
                <w:szCs w:val="21"/>
                <w:highlight w:val="none"/>
                <w:lang w:val="zh-CN" w:eastAsia="zh-CN"/>
              </w:rPr>
              <w:t>保证措施（</w:t>
            </w:r>
            <w:r>
              <w:rPr>
                <w:rFonts w:hint="eastAsia" w:ascii="宋体" w:hAnsi="宋体" w:eastAsia="宋体" w:cs="宋体"/>
                <w:b/>
                <w:bCs/>
                <w:color w:val="auto"/>
                <w:spacing w:val="0"/>
                <w:sz w:val="21"/>
                <w:szCs w:val="21"/>
                <w:highlight w:val="none"/>
                <w:lang w:val="en-US" w:eastAsia="zh-CN"/>
              </w:rPr>
              <w:t>5</w:t>
            </w:r>
            <w:r>
              <w:rPr>
                <w:rFonts w:hint="eastAsia" w:ascii="宋体" w:hAnsi="宋体" w:eastAsia="宋体" w:cs="宋体"/>
                <w:b/>
                <w:bCs/>
                <w:color w:val="auto"/>
                <w:spacing w:val="0"/>
                <w:sz w:val="21"/>
                <w:szCs w:val="21"/>
                <w:highlight w:val="none"/>
                <w:lang w:val="zh-CN" w:eastAsia="zh-CN"/>
              </w:rPr>
              <w:t>分）</w:t>
            </w:r>
          </w:p>
        </w:tc>
        <w:tc>
          <w:tcPr>
            <w:tcW w:w="5914" w:type="dxa"/>
            <w:noWrap w:val="0"/>
            <w:vAlign w:val="center"/>
          </w:tcPr>
          <w:p w14:paraId="3BCE7E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投标人针对本项目服务内容制定成果管理保证措施，保证措施合理可行，具有可操作性的得 5 分，未提供不得分。</w:t>
            </w:r>
          </w:p>
        </w:tc>
      </w:tr>
      <w:tr w14:paraId="1515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87" w:type="dxa"/>
            <w:vMerge w:val="continue"/>
            <w:noWrap w:val="0"/>
            <w:vAlign w:val="center"/>
          </w:tcPr>
          <w:p w14:paraId="14F895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69F6CB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noWrap w:val="0"/>
            <w:vAlign w:val="center"/>
          </w:tcPr>
          <w:p w14:paraId="02A160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pacing w:val="0"/>
                <w:sz w:val="21"/>
                <w:szCs w:val="21"/>
                <w:highlight w:val="none"/>
                <w:lang w:val="zh-CN" w:eastAsia="zh-CN"/>
              </w:rPr>
            </w:pPr>
            <w:r>
              <w:rPr>
                <w:rFonts w:hint="eastAsia" w:ascii="宋体" w:hAnsi="宋体" w:eastAsia="宋体" w:cs="宋体"/>
                <w:b/>
                <w:bCs/>
                <w:color w:val="auto"/>
                <w:spacing w:val="0"/>
                <w:sz w:val="21"/>
                <w:szCs w:val="21"/>
                <w:highlight w:val="none"/>
                <w:lang w:val="en-US" w:eastAsia="zh-CN"/>
              </w:rPr>
              <w:t>培训方案</w:t>
            </w:r>
            <w:r>
              <w:rPr>
                <w:rFonts w:hint="eastAsia" w:ascii="宋体" w:hAnsi="宋体" w:eastAsia="宋体" w:cs="宋体"/>
                <w:b/>
                <w:bCs/>
                <w:color w:val="auto"/>
                <w:spacing w:val="0"/>
                <w:sz w:val="21"/>
                <w:szCs w:val="21"/>
                <w:highlight w:val="none"/>
                <w:lang w:val="zh-CN" w:eastAsia="zh-CN"/>
              </w:rPr>
              <w:t xml:space="preserve"> </w:t>
            </w:r>
          </w:p>
          <w:p w14:paraId="236402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pacing w:val="0"/>
                <w:sz w:val="21"/>
                <w:szCs w:val="21"/>
                <w:highlight w:val="none"/>
                <w:lang w:val="zh-CN" w:eastAsia="zh-CN"/>
              </w:rPr>
            </w:pPr>
            <w:r>
              <w:rPr>
                <w:rFonts w:hint="eastAsia" w:ascii="宋体" w:hAnsi="宋体" w:eastAsia="宋体" w:cs="宋体"/>
                <w:b/>
                <w:bCs/>
                <w:color w:val="auto"/>
                <w:spacing w:val="0"/>
                <w:sz w:val="21"/>
                <w:szCs w:val="21"/>
                <w:highlight w:val="none"/>
                <w:lang w:val="zh-CN" w:eastAsia="zh-CN"/>
              </w:rPr>
              <w:t>（</w:t>
            </w:r>
            <w:r>
              <w:rPr>
                <w:rFonts w:hint="eastAsia" w:ascii="宋体" w:hAnsi="宋体" w:eastAsia="宋体" w:cs="宋体"/>
                <w:b/>
                <w:bCs/>
                <w:color w:val="auto"/>
                <w:spacing w:val="0"/>
                <w:sz w:val="21"/>
                <w:szCs w:val="21"/>
                <w:highlight w:val="none"/>
                <w:lang w:val="en-US" w:eastAsia="zh-CN"/>
              </w:rPr>
              <w:t>5</w:t>
            </w:r>
            <w:r>
              <w:rPr>
                <w:rFonts w:hint="eastAsia" w:ascii="宋体" w:hAnsi="宋体" w:eastAsia="宋体" w:cs="宋体"/>
                <w:b/>
                <w:bCs/>
                <w:color w:val="auto"/>
                <w:spacing w:val="0"/>
                <w:sz w:val="21"/>
                <w:szCs w:val="21"/>
                <w:highlight w:val="none"/>
                <w:lang w:val="zh-CN" w:eastAsia="zh-CN"/>
              </w:rPr>
              <w:t>分）</w:t>
            </w:r>
          </w:p>
        </w:tc>
        <w:tc>
          <w:tcPr>
            <w:tcW w:w="5914" w:type="dxa"/>
            <w:noWrap w:val="0"/>
            <w:vAlign w:val="center"/>
          </w:tcPr>
          <w:p w14:paraId="4C3C61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 xml:space="preserve">投标人针对本项目制定培训方案的得 </w:t>
            </w:r>
            <w:r>
              <w:rPr>
                <w:rFonts w:hint="eastAsia" w:ascii="宋体" w:hAnsi="宋体" w:cs="宋体"/>
                <w:color w:val="auto"/>
                <w:spacing w:val="0"/>
                <w:sz w:val="21"/>
                <w:szCs w:val="21"/>
                <w:highlight w:val="none"/>
                <w:lang w:val="en-US" w:eastAsia="zh-CN"/>
              </w:rPr>
              <w:t>5</w:t>
            </w:r>
            <w:r>
              <w:rPr>
                <w:rFonts w:hint="eastAsia" w:ascii="宋体" w:hAnsi="宋体" w:eastAsia="宋体" w:cs="宋体"/>
                <w:color w:val="auto"/>
                <w:spacing w:val="0"/>
                <w:sz w:val="21"/>
                <w:szCs w:val="21"/>
                <w:highlight w:val="none"/>
                <w:lang w:val="en-US" w:eastAsia="zh-CN"/>
              </w:rPr>
              <w:t xml:space="preserve"> 分，培训方案合理可行，具有可操作性的得 5 分，未提供不得分。</w:t>
            </w:r>
          </w:p>
        </w:tc>
      </w:tr>
      <w:tr w14:paraId="6FE8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7" w:type="dxa"/>
            <w:vMerge w:val="continue"/>
            <w:noWrap w:val="0"/>
            <w:vAlign w:val="center"/>
          </w:tcPr>
          <w:p w14:paraId="52D819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32F38F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vMerge w:val="restart"/>
            <w:noWrap w:val="0"/>
            <w:vAlign w:val="center"/>
          </w:tcPr>
          <w:p w14:paraId="15084D49">
            <w:pPr>
              <w:autoSpaceDE w:val="0"/>
              <w:autoSpaceDN w:val="0"/>
              <w:adjustRightInd w:val="0"/>
              <w:spacing w:line="276" w:lineRule="auto"/>
              <w:jc w:val="center"/>
              <w:rPr>
                <w:rFonts w:hint="eastAsia" w:ascii="宋体" w:hAnsi="宋体" w:eastAsia="宋体" w:cs="宋体"/>
                <w:b/>
                <w:bCs/>
                <w:color w:val="auto"/>
                <w:spacing w:val="0"/>
                <w:sz w:val="21"/>
                <w:szCs w:val="21"/>
                <w:highlight w:val="none"/>
                <w:lang w:val="en-US" w:eastAsia="zh-CN"/>
              </w:rPr>
            </w:pPr>
            <w:r>
              <w:rPr>
                <w:rFonts w:hint="eastAsia" w:ascii="宋体" w:hAnsi="宋体" w:cs="宋体"/>
                <w:b/>
                <w:bCs/>
                <w:color w:val="auto"/>
                <w:spacing w:val="0"/>
                <w:sz w:val="21"/>
                <w:szCs w:val="21"/>
                <w:highlight w:val="none"/>
                <w:lang w:val="en-US" w:eastAsia="zh-CN"/>
              </w:rPr>
              <w:t>服务</w:t>
            </w:r>
            <w:r>
              <w:rPr>
                <w:rFonts w:hint="eastAsia" w:ascii="宋体" w:hAnsi="宋体" w:eastAsia="宋体" w:cs="宋体"/>
                <w:b/>
                <w:bCs/>
                <w:color w:val="auto"/>
                <w:spacing w:val="0"/>
                <w:sz w:val="21"/>
                <w:szCs w:val="21"/>
                <w:highlight w:val="none"/>
                <w:lang w:val="en-US" w:eastAsia="zh-CN"/>
              </w:rPr>
              <w:t>方案</w:t>
            </w:r>
          </w:p>
          <w:p w14:paraId="38CB045F">
            <w:pPr>
              <w:autoSpaceDE w:val="0"/>
              <w:autoSpaceDN w:val="0"/>
              <w:adjustRightInd w:val="0"/>
              <w:spacing w:line="276" w:lineRule="auto"/>
              <w:jc w:val="center"/>
              <w:rPr>
                <w:rFonts w:hint="eastAsia" w:ascii="宋体" w:hAnsi="宋体" w:eastAsia="宋体" w:cs="宋体"/>
                <w:b/>
                <w:bCs/>
                <w:color w:val="auto"/>
                <w:spacing w:val="0"/>
                <w:sz w:val="21"/>
                <w:szCs w:val="21"/>
                <w:highlight w:val="none"/>
                <w:lang w:val="en-US" w:eastAsia="zh-CN"/>
              </w:rPr>
            </w:pPr>
            <w:r>
              <w:rPr>
                <w:rFonts w:hint="eastAsia" w:ascii="宋体" w:hAnsi="宋体" w:cs="宋体"/>
                <w:b/>
                <w:bCs/>
                <w:color w:val="auto"/>
                <w:spacing w:val="0"/>
                <w:sz w:val="21"/>
                <w:szCs w:val="21"/>
                <w:highlight w:val="none"/>
                <w:lang w:val="en-US" w:eastAsia="zh-CN"/>
              </w:rPr>
              <w:t>整体</w:t>
            </w:r>
            <w:r>
              <w:rPr>
                <w:rFonts w:hint="eastAsia" w:ascii="宋体" w:hAnsi="宋体" w:eastAsia="宋体" w:cs="宋体"/>
                <w:b/>
                <w:bCs/>
                <w:color w:val="auto"/>
                <w:spacing w:val="0"/>
                <w:sz w:val="21"/>
                <w:szCs w:val="21"/>
                <w:highlight w:val="none"/>
                <w:lang w:val="en-US" w:eastAsia="zh-CN"/>
              </w:rPr>
              <w:t>水平</w:t>
            </w:r>
          </w:p>
          <w:p w14:paraId="680A1D9D">
            <w:pPr>
              <w:autoSpaceDE w:val="0"/>
              <w:autoSpaceDN w:val="0"/>
              <w:adjustRightInd w:val="0"/>
              <w:spacing w:line="276" w:lineRule="auto"/>
              <w:jc w:val="center"/>
              <w:rPr>
                <w:rFonts w:hint="eastAsia" w:ascii="宋体" w:hAnsi="宋体" w:eastAsia="宋体" w:cs="宋体"/>
                <w:b/>
                <w:bCs/>
                <w:color w:val="auto"/>
                <w:sz w:val="21"/>
                <w:szCs w:val="21"/>
                <w:highlight w:val="yellow"/>
              </w:rPr>
            </w:pPr>
            <w:r>
              <w:rPr>
                <w:rFonts w:hint="eastAsia" w:ascii="宋体" w:hAnsi="宋体" w:eastAsia="宋体" w:cs="宋体"/>
                <w:b/>
                <w:bCs/>
                <w:color w:val="auto"/>
                <w:spacing w:val="0"/>
                <w:sz w:val="21"/>
                <w:szCs w:val="21"/>
                <w:highlight w:val="none"/>
                <w:lang w:val="en-US" w:eastAsia="zh-CN"/>
              </w:rPr>
              <w:t>（</w:t>
            </w:r>
            <w:r>
              <w:rPr>
                <w:rFonts w:hint="eastAsia" w:ascii="宋体" w:hAnsi="宋体" w:cs="宋体"/>
                <w:b/>
                <w:bCs/>
                <w:color w:val="auto"/>
                <w:spacing w:val="0"/>
                <w:sz w:val="21"/>
                <w:szCs w:val="21"/>
                <w:highlight w:val="none"/>
                <w:lang w:val="en-US" w:eastAsia="zh-CN"/>
              </w:rPr>
              <w:t>10</w:t>
            </w:r>
            <w:r>
              <w:rPr>
                <w:rFonts w:hint="eastAsia" w:ascii="宋体" w:hAnsi="宋体" w:eastAsia="宋体" w:cs="宋体"/>
                <w:b/>
                <w:bCs/>
                <w:color w:val="auto"/>
                <w:spacing w:val="0"/>
                <w:sz w:val="21"/>
                <w:szCs w:val="21"/>
                <w:highlight w:val="none"/>
                <w:lang w:val="en-US" w:eastAsia="zh-CN"/>
              </w:rPr>
              <w:t>分）</w:t>
            </w:r>
          </w:p>
        </w:tc>
        <w:tc>
          <w:tcPr>
            <w:tcW w:w="5914" w:type="dxa"/>
            <w:shd w:val="clear" w:color="auto" w:fill="auto"/>
            <w:noWrap w:val="0"/>
            <w:vAlign w:val="center"/>
          </w:tcPr>
          <w:p w14:paraId="4438BF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1.评标委员会根据以上“服务方案”各项主要内容是否齐全、准确、清晰及表达的准确性、条理性等进行综合评分：</w:t>
            </w:r>
          </w:p>
          <w:p w14:paraId="29CC05F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①“服务方案”各项主要内容非常齐全、准确、清晰，非常符合实际情况、具有很强的可操作性得 5 分；</w:t>
            </w:r>
          </w:p>
          <w:p w14:paraId="27A9FA8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②“服务方案”各项主要内容基本齐全、准确、清晰，基本符合实际情况、可操作性一般得 3 分；</w:t>
            </w:r>
          </w:p>
          <w:p w14:paraId="6F0748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pacing w:val="0"/>
                <w:kern w:val="2"/>
                <w:sz w:val="24"/>
                <w:szCs w:val="24"/>
                <w:lang w:val="en-US" w:eastAsia="zh-CN" w:bidi="ar-SA"/>
              </w:rPr>
            </w:pPr>
            <w:r>
              <w:rPr>
                <w:rFonts w:hint="eastAsia" w:ascii="宋体" w:hAnsi="宋体" w:eastAsia="宋体" w:cs="宋体"/>
                <w:color w:val="auto"/>
                <w:spacing w:val="0"/>
                <w:kern w:val="2"/>
                <w:sz w:val="21"/>
                <w:szCs w:val="21"/>
                <w:lang w:val="en-US" w:eastAsia="zh-CN" w:bidi="ar-SA"/>
              </w:rPr>
              <w:t>③“服务方案”各项主要内容描述差流于形式得 1 分。</w:t>
            </w:r>
          </w:p>
        </w:tc>
      </w:tr>
      <w:tr w14:paraId="2639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7" w:type="dxa"/>
            <w:vMerge w:val="continue"/>
            <w:noWrap w:val="0"/>
            <w:vAlign w:val="center"/>
          </w:tcPr>
          <w:p w14:paraId="5F759F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179" w:type="dxa"/>
            <w:vMerge w:val="continue"/>
            <w:noWrap w:val="0"/>
            <w:vAlign w:val="center"/>
          </w:tcPr>
          <w:p w14:paraId="1D25DE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p>
        </w:tc>
        <w:tc>
          <w:tcPr>
            <w:tcW w:w="1854" w:type="dxa"/>
            <w:vMerge w:val="continue"/>
            <w:noWrap w:val="0"/>
            <w:vAlign w:val="center"/>
          </w:tcPr>
          <w:p w14:paraId="06F44594">
            <w:pPr>
              <w:autoSpaceDE w:val="0"/>
              <w:autoSpaceDN w:val="0"/>
              <w:adjustRightInd w:val="0"/>
              <w:spacing w:line="276" w:lineRule="auto"/>
              <w:jc w:val="center"/>
              <w:rPr>
                <w:rFonts w:hint="eastAsia" w:ascii="宋体" w:hAnsi="宋体" w:eastAsia="宋体" w:cs="宋体"/>
                <w:b/>
                <w:bCs/>
                <w:color w:val="auto"/>
                <w:sz w:val="21"/>
                <w:szCs w:val="21"/>
                <w:highlight w:val="yellow"/>
              </w:rPr>
            </w:pPr>
          </w:p>
        </w:tc>
        <w:tc>
          <w:tcPr>
            <w:tcW w:w="5914" w:type="dxa"/>
            <w:noWrap w:val="0"/>
            <w:vAlign w:val="center"/>
          </w:tcPr>
          <w:p w14:paraId="226F16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lang w:val="en-US" w:eastAsia="zh-CN"/>
              </w:rPr>
              <w:t>评标委员会根据以上“</w:t>
            </w:r>
            <w:r>
              <w:rPr>
                <w:rFonts w:hint="eastAsia" w:ascii="宋体" w:hAnsi="宋体" w:cs="宋体"/>
                <w:color w:val="auto"/>
                <w:spacing w:val="0"/>
                <w:sz w:val="21"/>
                <w:szCs w:val="21"/>
                <w:highlight w:val="none"/>
                <w:lang w:val="en-US" w:eastAsia="zh-CN"/>
              </w:rPr>
              <w:t>服务</w:t>
            </w:r>
            <w:r>
              <w:rPr>
                <w:rFonts w:hint="eastAsia" w:ascii="宋体" w:hAnsi="宋体" w:eastAsia="宋体" w:cs="宋体"/>
                <w:color w:val="auto"/>
                <w:spacing w:val="0"/>
                <w:sz w:val="21"/>
                <w:szCs w:val="21"/>
                <w:highlight w:val="none"/>
                <w:lang w:val="en-US" w:eastAsia="zh-CN"/>
              </w:rPr>
              <w:t>方案”各项主要内容是否完整科学、措施是否稳妥切合实际、计划是否周密、方案是否可行等进行综合评分：</w:t>
            </w:r>
          </w:p>
          <w:p w14:paraId="775084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①“</w:t>
            </w:r>
            <w:r>
              <w:rPr>
                <w:rFonts w:hint="eastAsia" w:ascii="宋体" w:hAnsi="宋体" w:cs="宋体"/>
                <w:color w:val="auto"/>
                <w:spacing w:val="0"/>
                <w:kern w:val="2"/>
                <w:sz w:val="21"/>
                <w:szCs w:val="21"/>
                <w:lang w:val="en-US" w:eastAsia="zh-CN" w:bidi="ar-SA"/>
              </w:rPr>
              <w:t>服务</w:t>
            </w:r>
            <w:r>
              <w:rPr>
                <w:rFonts w:hint="eastAsia" w:ascii="宋体" w:hAnsi="宋体" w:eastAsia="宋体" w:cs="宋体"/>
                <w:color w:val="auto"/>
                <w:spacing w:val="0"/>
                <w:kern w:val="2"/>
                <w:sz w:val="21"/>
                <w:szCs w:val="21"/>
                <w:lang w:val="en-US" w:eastAsia="zh-CN" w:bidi="ar-SA"/>
              </w:rPr>
              <w:t xml:space="preserve">方案”各项主要内容完整科学、措施稳妥非常切合实际、计划周密、方案可行性高的得 </w:t>
            </w:r>
            <w:r>
              <w:rPr>
                <w:rFonts w:hint="eastAsia" w:ascii="宋体" w:hAnsi="宋体" w:cs="宋体"/>
                <w:color w:val="auto"/>
                <w:spacing w:val="0"/>
                <w:kern w:val="2"/>
                <w:sz w:val="21"/>
                <w:szCs w:val="21"/>
                <w:lang w:val="en-US" w:eastAsia="zh-CN" w:bidi="ar-SA"/>
              </w:rPr>
              <w:t>5</w:t>
            </w:r>
            <w:r>
              <w:rPr>
                <w:rFonts w:hint="eastAsia" w:ascii="宋体" w:hAnsi="宋体" w:eastAsia="宋体" w:cs="宋体"/>
                <w:color w:val="auto"/>
                <w:spacing w:val="0"/>
                <w:kern w:val="2"/>
                <w:sz w:val="21"/>
                <w:szCs w:val="21"/>
                <w:lang w:val="en-US" w:eastAsia="zh-CN" w:bidi="ar-SA"/>
              </w:rPr>
              <w:t xml:space="preserve"> 分；</w:t>
            </w:r>
          </w:p>
          <w:p w14:paraId="6C80EF1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pacing w:val="0"/>
                <w:sz w:val="21"/>
                <w:szCs w:val="21"/>
              </w:rPr>
            </w:pPr>
            <w:r>
              <w:rPr>
                <w:rFonts w:hint="eastAsia" w:ascii="宋体" w:hAnsi="宋体" w:eastAsia="宋体" w:cs="宋体"/>
                <w:color w:val="auto"/>
                <w:spacing w:val="0"/>
                <w:kern w:val="2"/>
                <w:sz w:val="21"/>
                <w:szCs w:val="21"/>
                <w:lang w:val="en-US" w:eastAsia="zh-CN" w:bidi="ar-SA"/>
              </w:rPr>
              <w:t>②“</w:t>
            </w:r>
            <w:r>
              <w:rPr>
                <w:rFonts w:hint="eastAsia" w:ascii="宋体" w:hAnsi="宋体" w:cs="宋体"/>
                <w:color w:val="auto"/>
                <w:spacing w:val="0"/>
                <w:kern w:val="2"/>
                <w:sz w:val="21"/>
                <w:szCs w:val="21"/>
                <w:lang w:val="en-US" w:eastAsia="zh-CN" w:bidi="ar-SA"/>
              </w:rPr>
              <w:t>服务</w:t>
            </w:r>
            <w:r>
              <w:rPr>
                <w:rFonts w:hint="eastAsia" w:ascii="宋体" w:hAnsi="宋体" w:eastAsia="宋体" w:cs="宋体"/>
                <w:color w:val="auto"/>
                <w:spacing w:val="0"/>
                <w:kern w:val="2"/>
                <w:sz w:val="21"/>
                <w:szCs w:val="21"/>
                <w:lang w:val="en-US" w:eastAsia="zh-CN" w:bidi="ar-SA"/>
              </w:rPr>
              <w:t xml:space="preserve">方案”各项主要内容较为完整科学、措施较稳妥较切合实际、计划较为周密、方案可行性较高的得 </w:t>
            </w:r>
            <w:r>
              <w:rPr>
                <w:rFonts w:hint="eastAsia" w:ascii="宋体" w:hAnsi="宋体" w:cs="宋体"/>
                <w:color w:val="auto"/>
                <w:spacing w:val="0"/>
                <w:kern w:val="2"/>
                <w:sz w:val="21"/>
                <w:szCs w:val="21"/>
                <w:lang w:val="en-US" w:eastAsia="zh-CN" w:bidi="ar-SA"/>
              </w:rPr>
              <w:t>3</w:t>
            </w:r>
            <w:r>
              <w:rPr>
                <w:rFonts w:hint="eastAsia" w:ascii="宋体" w:hAnsi="宋体" w:eastAsia="宋体" w:cs="宋体"/>
                <w:color w:val="auto"/>
                <w:spacing w:val="0"/>
                <w:kern w:val="2"/>
                <w:sz w:val="21"/>
                <w:szCs w:val="21"/>
                <w:lang w:val="en-US" w:eastAsia="zh-CN" w:bidi="ar-SA"/>
              </w:rPr>
              <w:t xml:space="preserve"> 分；</w:t>
            </w:r>
          </w:p>
          <w:p w14:paraId="65A369A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③“</w:t>
            </w:r>
            <w:r>
              <w:rPr>
                <w:rFonts w:hint="eastAsia" w:ascii="宋体" w:hAnsi="宋体" w:cs="宋体"/>
                <w:color w:val="auto"/>
                <w:spacing w:val="0"/>
                <w:kern w:val="2"/>
                <w:sz w:val="21"/>
                <w:szCs w:val="21"/>
                <w:lang w:val="en-US" w:eastAsia="zh-CN" w:bidi="ar-SA"/>
              </w:rPr>
              <w:t>服务</w:t>
            </w:r>
            <w:r>
              <w:rPr>
                <w:rFonts w:hint="eastAsia" w:ascii="宋体" w:hAnsi="宋体" w:eastAsia="宋体" w:cs="宋体"/>
                <w:color w:val="auto"/>
                <w:spacing w:val="0"/>
                <w:kern w:val="2"/>
                <w:sz w:val="21"/>
                <w:szCs w:val="21"/>
                <w:lang w:val="en-US" w:eastAsia="zh-CN" w:bidi="ar-SA"/>
              </w:rPr>
              <w:t xml:space="preserve">方案”各项主要内容一般完整科学、措施一般稳妥切合实际、计划一般周密、方案可行性一般的得 </w:t>
            </w:r>
            <w:r>
              <w:rPr>
                <w:rFonts w:hint="eastAsia" w:ascii="宋体" w:hAnsi="宋体" w:cs="宋体"/>
                <w:color w:val="auto"/>
                <w:spacing w:val="0"/>
                <w:kern w:val="2"/>
                <w:sz w:val="21"/>
                <w:szCs w:val="21"/>
                <w:lang w:val="en-US" w:eastAsia="zh-CN" w:bidi="ar-SA"/>
              </w:rPr>
              <w:t>1</w:t>
            </w:r>
            <w:r>
              <w:rPr>
                <w:rFonts w:hint="eastAsia" w:ascii="宋体" w:hAnsi="宋体" w:eastAsia="宋体" w:cs="宋体"/>
                <w:color w:val="auto"/>
                <w:spacing w:val="0"/>
                <w:kern w:val="2"/>
                <w:sz w:val="21"/>
                <w:szCs w:val="21"/>
                <w:lang w:val="en-US" w:eastAsia="zh-CN" w:bidi="ar-SA"/>
              </w:rPr>
              <w:t xml:space="preserve"> 分。</w:t>
            </w:r>
          </w:p>
        </w:tc>
      </w:tr>
      <w:tr w14:paraId="6D9B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87" w:type="dxa"/>
            <w:vMerge w:val="restart"/>
            <w:noWrap w:val="0"/>
            <w:vAlign w:val="center"/>
          </w:tcPr>
          <w:p w14:paraId="08608E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2.2.3</w:t>
            </w:r>
          </w:p>
        </w:tc>
        <w:tc>
          <w:tcPr>
            <w:tcW w:w="1179" w:type="dxa"/>
            <w:vMerge w:val="restart"/>
            <w:noWrap w:val="0"/>
            <w:vAlign w:val="center"/>
          </w:tcPr>
          <w:p w14:paraId="339F59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综合</w:t>
            </w:r>
          </w:p>
          <w:p w14:paraId="6E49EF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部分</w:t>
            </w:r>
          </w:p>
          <w:p w14:paraId="1600E9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20</w:t>
            </w:r>
            <w:r>
              <w:rPr>
                <w:rFonts w:hint="eastAsia" w:ascii="宋体" w:hAnsi="宋体" w:eastAsia="宋体" w:cs="宋体"/>
                <w:b/>
                <w:bCs/>
                <w:sz w:val="21"/>
                <w:szCs w:val="21"/>
                <w:lang w:val="en-US" w:eastAsia="zh-CN"/>
              </w:rPr>
              <w:t>分）</w:t>
            </w:r>
          </w:p>
        </w:tc>
        <w:tc>
          <w:tcPr>
            <w:tcW w:w="1854" w:type="dxa"/>
            <w:noWrap w:val="0"/>
            <w:vAlign w:val="center"/>
          </w:tcPr>
          <w:p w14:paraId="586AED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企业业绩</w:t>
            </w:r>
          </w:p>
          <w:p w14:paraId="43D720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分）</w:t>
            </w:r>
          </w:p>
        </w:tc>
        <w:tc>
          <w:tcPr>
            <w:tcW w:w="5914" w:type="dxa"/>
            <w:noWrap w:val="0"/>
            <w:vAlign w:val="center"/>
          </w:tcPr>
          <w:p w14:paraId="7681BB32">
            <w:pPr>
              <w:keepNext w:val="0"/>
              <w:keepLines w:val="0"/>
              <w:pageBreakBefore w:val="0"/>
              <w:widowControl w:val="0"/>
              <w:tabs>
                <w:tab w:val="left" w:pos="1200"/>
              </w:tabs>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投标人自2023年</w:t>
            </w:r>
            <w:r>
              <w:rPr>
                <w:rFonts w:hint="eastAsia" w:ascii="宋体" w:hAnsi="宋体" w:cs="宋体"/>
                <w:color w:val="auto"/>
                <w:spacing w:val="0"/>
                <w:sz w:val="21"/>
                <w:szCs w:val="21"/>
                <w:highlight w:val="none"/>
                <w:lang w:val="en-US" w:eastAsia="zh-CN"/>
              </w:rPr>
              <w:t>9</w:t>
            </w:r>
            <w:r>
              <w:rPr>
                <w:rFonts w:hint="eastAsia" w:ascii="宋体" w:hAnsi="宋体" w:eastAsia="宋体" w:cs="宋体"/>
                <w:color w:val="auto"/>
                <w:spacing w:val="0"/>
                <w:sz w:val="21"/>
                <w:szCs w:val="21"/>
                <w:highlight w:val="none"/>
                <w:lang w:val="en-US" w:eastAsia="zh-CN"/>
              </w:rPr>
              <w:t>月1日以来承担过的类似(指</w:t>
            </w:r>
            <w:r>
              <w:rPr>
                <w:rFonts w:hint="eastAsia" w:ascii="宋体" w:hAnsi="宋体" w:cs="宋体"/>
                <w:color w:val="auto"/>
                <w:spacing w:val="0"/>
                <w:sz w:val="21"/>
                <w:szCs w:val="21"/>
                <w:highlight w:val="none"/>
                <w:lang w:val="en-US" w:eastAsia="zh-CN"/>
              </w:rPr>
              <w:t>类似水环境监管体系建设项目类</w:t>
            </w:r>
            <w:r>
              <w:rPr>
                <w:rFonts w:hint="eastAsia" w:ascii="宋体" w:hAnsi="宋体" w:eastAsia="宋体" w:cs="宋体"/>
                <w:color w:val="auto"/>
                <w:spacing w:val="0"/>
                <w:sz w:val="21"/>
                <w:szCs w:val="21"/>
                <w:highlight w:val="none"/>
                <w:lang w:val="en-US" w:eastAsia="zh-CN"/>
              </w:rPr>
              <w:t>)项目业绩</w:t>
            </w:r>
            <w:r>
              <w:rPr>
                <w:rFonts w:hint="eastAsia" w:ascii="宋体" w:hAnsi="宋体" w:cs="宋体"/>
                <w:color w:val="auto"/>
                <w:spacing w:val="0"/>
                <w:sz w:val="21"/>
                <w:szCs w:val="21"/>
                <w:highlight w:val="none"/>
                <w:lang w:val="en-US" w:eastAsia="zh-CN"/>
              </w:rPr>
              <w:t>的</w:t>
            </w:r>
            <w:r>
              <w:rPr>
                <w:rFonts w:hint="eastAsia" w:ascii="宋体" w:hAnsi="宋体" w:eastAsia="宋体" w:cs="宋体"/>
                <w:color w:val="auto"/>
                <w:spacing w:val="0"/>
                <w:sz w:val="21"/>
                <w:szCs w:val="21"/>
                <w:highlight w:val="none"/>
                <w:lang w:val="en-US" w:eastAsia="zh-CN"/>
              </w:rPr>
              <w:t>得</w:t>
            </w:r>
            <w:r>
              <w:rPr>
                <w:rFonts w:hint="eastAsia" w:ascii="宋体" w:hAnsi="宋体" w:cs="宋体"/>
                <w:color w:val="auto"/>
                <w:spacing w:val="0"/>
                <w:sz w:val="21"/>
                <w:szCs w:val="21"/>
                <w:highlight w:val="none"/>
                <w:lang w:val="en-US" w:eastAsia="zh-CN"/>
              </w:rPr>
              <w:t xml:space="preserve"> 4 </w:t>
            </w:r>
            <w:r>
              <w:rPr>
                <w:rFonts w:hint="eastAsia" w:ascii="宋体" w:hAnsi="宋体" w:eastAsia="宋体" w:cs="宋体"/>
                <w:color w:val="auto"/>
                <w:spacing w:val="0"/>
                <w:sz w:val="21"/>
                <w:szCs w:val="21"/>
                <w:highlight w:val="none"/>
                <w:lang w:val="en-US" w:eastAsia="zh-CN"/>
              </w:rPr>
              <w:t>分。</w:t>
            </w:r>
          </w:p>
          <w:p w14:paraId="3D2488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pacing w:val="-11"/>
                <w:sz w:val="21"/>
                <w:szCs w:val="21"/>
                <w:highlight w:val="none"/>
              </w:rPr>
            </w:pPr>
            <w:r>
              <w:rPr>
                <w:rFonts w:hint="eastAsia" w:ascii="宋体" w:hAnsi="宋体" w:eastAsia="宋体" w:cs="宋体"/>
                <w:b/>
                <w:bCs/>
                <w:color w:val="auto"/>
                <w:spacing w:val="0"/>
                <w:sz w:val="21"/>
                <w:szCs w:val="21"/>
                <w:highlight w:val="none"/>
                <w:lang w:val="en-US" w:eastAsia="zh-CN"/>
              </w:rPr>
              <w:t>注：投标文件中需附中标通知书及合同协议书原件扫描件，时间以合同签订时间为准，提供不全或未提供的均不得分。</w:t>
            </w:r>
          </w:p>
        </w:tc>
      </w:tr>
      <w:tr w14:paraId="0226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87" w:type="dxa"/>
            <w:vMerge w:val="continue"/>
            <w:noWrap w:val="0"/>
            <w:vAlign w:val="center"/>
          </w:tcPr>
          <w:p w14:paraId="37211A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0B6604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2B3FA8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企业实力</w:t>
            </w:r>
          </w:p>
          <w:p w14:paraId="05474A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分）</w:t>
            </w:r>
          </w:p>
        </w:tc>
        <w:tc>
          <w:tcPr>
            <w:tcW w:w="5914" w:type="dxa"/>
            <w:noWrap w:val="0"/>
            <w:vAlign w:val="center"/>
          </w:tcPr>
          <w:p w14:paraId="4CC3DF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投标人具有有效期内的环境管理体系认证证书、职业健康安全管理体系认证证书、质量管理体系认证证书</w:t>
            </w:r>
            <w:r>
              <w:rPr>
                <w:rFonts w:hint="eastAsia" w:ascii="宋体" w:hAnsi="宋体" w:cs="宋体"/>
                <w:color w:val="000000" w:themeColor="text1"/>
                <w:sz w:val="21"/>
                <w:szCs w:val="21"/>
                <w:highlight w:val="none"/>
                <w:lang w:val="en-US" w:eastAsia="zh-CN"/>
                <w14:textFill>
                  <w14:solidFill>
                    <w14:schemeClr w14:val="tx1"/>
                  </w14:solidFill>
                </w14:textFill>
              </w:rPr>
              <w:t>的，每提供一个证书得2分，最高</w:t>
            </w:r>
            <w:r>
              <w:rPr>
                <w:rFonts w:hint="eastAsia" w:ascii="宋体" w:hAnsi="宋体" w:eastAsia="宋体" w:cs="宋体"/>
                <w:color w:val="000000" w:themeColor="text1"/>
                <w:sz w:val="21"/>
                <w:szCs w:val="21"/>
                <w:highlight w:val="none"/>
                <w:lang w:val="en-US" w:eastAsia="zh-CN"/>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18A1BD3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注：提供有效期内的认证证书</w:t>
            </w:r>
            <w:r>
              <w:rPr>
                <w:rFonts w:hint="eastAsia" w:ascii="宋体" w:hAnsi="宋体" w:cs="宋体"/>
                <w:b/>
                <w:bCs/>
                <w:color w:val="000000" w:themeColor="text1"/>
                <w:sz w:val="21"/>
                <w:szCs w:val="21"/>
                <w:highlight w:val="none"/>
                <w:lang w:val="en-US" w:eastAsia="zh-CN"/>
                <w14:textFill>
                  <w14:solidFill>
                    <w14:schemeClr w14:val="tx1"/>
                  </w14:solidFill>
                </w14:textFill>
              </w:rPr>
              <w:t>原件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扫描件，不提供不得分。</w:t>
            </w:r>
          </w:p>
        </w:tc>
      </w:tr>
      <w:tr w14:paraId="1109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7" w:type="dxa"/>
            <w:vMerge w:val="continue"/>
            <w:noWrap w:val="0"/>
            <w:vAlign w:val="center"/>
          </w:tcPr>
          <w:p w14:paraId="445CA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495AD2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noWrap w:val="0"/>
            <w:vAlign w:val="center"/>
          </w:tcPr>
          <w:p w14:paraId="44655F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pacing w:val="0"/>
                <w:sz w:val="21"/>
                <w:szCs w:val="21"/>
                <w:highlight w:val="none"/>
                <w:lang w:val="en-US" w:eastAsia="zh-CN"/>
              </w:rPr>
            </w:pPr>
            <w:r>
              <w:rPr>
                <w:rFonts w:hint="eastAsia" w:ascii="宋体" w:hAnsi="宋体" w:cs="宋体"/>
                <w:b/>
                <w:bCs/>
                <w:color w:val="auto"/>
                <w:spacing w:val="0"/>
                <w:sz w:val="21"/>
                <w:szCs w:val="21"/>
                <w:highlight w:val="none"/>
                <w:lang w:val="en-US" w:eastAsia="zh-CN"/>
              </w:rPr>
              <w:t>后续服务</w:t>
            </w:r>
            <w:r>
              <w:rPr>
                <w:rFonts w:hint="eastAsia" w:ascii="宋体" w:hAnsi="宋体" w:eastAsia="宋体" w:cs="宋体"/>
                <w:b/>
                <w:bCs/>
                <w:color w:val="auto"/>
                <w:spacing w:val="0"/>
                <w:sz w:val="21"/>
                <w:szCs w:val="21"/>
                <w:highlight w:val="none"/>
                <w:lang w:val="en-US" w:eastAsia="zh-CN"/>
              </w:rPr>
              <w:t>方案</w:t>
            </w:r>
          </w:p>
          <w:p w14:paraId="07B6C0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lang w:eastAsia="zh-CN"/>
              </w:rPr>
            </w:pPr>
            <w:r>
              <w:rPr>
                <w:rFonts w:hint="eastAsia" w:ascii="宋体" w:hAnsi="宋体" w:eastAsia="宋体" w:cs="宋体"/>
                <w:b/>
                <w:bCs/>
                <w:color w:val="auto"/>
                <w:spacing w:val="0"/>
                <w:sz w:val="21"/>
                <w:szCs w:val="21"/>
                <w:highlight w:val="none"/>
                <w:lang w:val="en-US" w:eastAsia="zh-CN"/>
              </w:rPr>
              <w:t>（</w:t>
            </w:r>
            <w:r>
              <w:rPr>
                <w:rFonts w:hint="eastAsia" w:ascii="宋体" w:hAnsi="宋体" w:cs="宋体"/>
                <w:b/>
                <w:bCs/>
                <w:color w:val="auto"/>
                <w:spacing w:val="0"/>
                <w:sz w:val="21"/>
                <w:szCs w:val="21"/>
                <w:highlight w:val="none"/>
                <w:lang w:val="en-US" w:eastAsia="zh-CN"/>
              </w:rPr>
              <w:t>5</w:t>
            </w:r>
            <w:r>
              <w:rPr>
                <w:rFonts w:hint="eastAsia" w:ascii="宋体" w:hAnsi="宋体" w:eastAsia="宋体" w:cs="宋体"/>
                <w:b/>
                <w:bCs/>
                <w:color w:val="auto"/>
                <w:spacing w:val="0"/>
                <w:sz w:val="21"/>
                <w:szCs w:val="21"/>
                <w:highlight w:val="none"/>
                <w:lang w:val="en-US" w:eastAsia="zh-CN"/>
              </w:rPr>
              <w:t>分）</w:t>
            </w:r>
          </w:p>
        </w:tc>
        <w:tc>
          <w:tcPr>
            <w:tcW w:w="5914" w:type="dxa"/>
            <w:noWrap w:val="0"/>
            <w:vAlign w:val="center"/>
          </w:tcPr>
          <w:p w14:paraId="36DDB1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评委委员会根据投标人针对本项目制定的后续服务</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（内容包含不限于</w:t>
            </w:r>
            <w:r>
              <w:rPr>
                <w:rFonts w:hint="eastAsia" w:ascii="宋体" w:hAnsi="宋体" w:eastAsia="宋体" w:cs="宋体"/>
                <w:b/>
                <w:bCs/>
                <w:color w:val="auto"/>
                <w:sz w:val="21"/>
                <w:szCs w:val="21"/>
                <w:highlight w:val="none"/>
                <w:lang w:val="en-US" w:eastAsia="zh-CN"/>
              </w:rPr>
              <w:t>①后续服务内容及标准②</w:t>
            </w:r>
            <w:r>
              <w:rPr>
                <w:rFonts w:hint="eastAsia" w:ascii="宋体" w:hAnsi="宋体" w:cs="宋体"/>
                <w:b/>
                <w:bCs/>
                <w:color w:val="auto"/>
                <w:sz w:val="21"/>
                <w:szCs w:val="21"/>
                <w:highlight w:val="none"/>
                <w:lang w:val="en-US" w:eastAsia="zh-CN"/>
              </w:rPr>
              <w:t>后续</w:t>
            </w:r>
            <w:r>
              <w:rPr>
                <w:rFonts w:hint="eastAsia" w:ascii="宋体" w:hAnsi="宋体" w:eastAsia="宋体" w:cs="宋体"/>
                <w:b/>
                <w:bCs/>
                <w:color w:val="auto"/>
                <w:sz w:val="21"/>
                <w:szCs w:val="21"/>
                <w:highlight w:val="none"/>
                <w:lang w:val="en-US" w:eastAsia="zh-CN"/>
              </w:rPr>
              <w:t>服务专业技术人员配置方案③</w:t>
            </w:r>
            <w:r>
              <w:rPr>
                <w:rFonts w:hint="eastAsia" w:ascii="宋体" w:hAnsi="宋体" w:cs="宋体"/>
                <w:b/>
                <w:bCs/>
                <w:color w:val="auto"/>
                <w:sz w:val="21"/>
                <w:szCs w:val="21"/>
                <w:highlight w:val="none"/>
                <w:lang w:val="en-US" w:eastAsia="zh-CN"/>
              </w:rPr>
              <w:t>后续服务</w:t>
            </w:r>
            <w:r>
              <w:rPr>
                <w:rFonts w:hint="eastAsia" w:ascii="宋体" w:hAnsi="宋体" w:eastAsia="宋体" w:cs="宋体"/>
                <w:b/>
                <w:bCs/>
                <w:color w:val="auto"/>
                <w:sz w:val="21"/>
                <w:szCs w:val="21"/>
                <w:highlight w:val="none"/>
                <w:lang w:val="en-US" w:eastAsia="zh-CN"/>
              </w:rPr>
              <w:t>保障计划及回访方案</w:t>
            </w:r>
            <w:r>
              <w:rPr>
                <w:rFonts w:hint="eastAsia" w:ascii="宋体" w:hAnsi="宋体" w:cs="宋体"/>
                <w:b/>
                <w:bCs/>
                <w:color w:val="auto"/>
                <w:sz w:val="21"/>
                <w:szCs w:val="21"/>
                <w:highlight w:val="none"/>
                <w:lang w:val="en-US" w:eastAsia="zh-CN"/>
              </w:rPr>
              <w:t>④</w:t>
            </w:r>
            <w:r>
              <w:rPr>
                <w:rFonts w:hint="eastAsia" w:ascii="宋体" w:hAnsi="宋体" w:eastAsia="宋体" w:cs="宋体"/>
                <w:b/>
                <w:bCs/>
                <w:color w:val="auto"/>
                <w:sz w:val="21"/>
                <w:szCs w:val="21"/>
                <w:highlight w:val="none"/>
                <w:lang w:val="en-US" w:eastAsia="zh-CN"/>
              </w:rPr>
              <w:t>服务响应时间、突发情况应急响应</w:t>
            </w:r>
            <w:r>
              <w:rPr>
                <w:rFonts w:hint="eastAsia" w:ascii="宋体" w:hAnsi="宋体" w:cs="宋体"/>
                <w:b/>
                <w:bCs/>
                <w:color w:val="auto"/>
                <w:sz w:val="21"/>
                <w:szCs w:val="21"/>
                <w:highlight w:val="none"/>
                <w:lang w:val="en-US" w:eastAsia="zh-CN"/>
              </w:rPr>
              <w:t>等</w:t>
            </w:r>
            <w:r>
              <w:rPr>
                <w:rFonts w:hint="eastAsia" w:ascii="宋体" w:hAnsi="宋体" w:eastAsia="宋体" w:cs="宋体"/>
                <w:color w:val="auto"/>
                <w:sz w:val="21"/>
                <w:szCs w:val="21"/>
                <w:highlight w:val="none"/>
                <w:lang w:val="en-US" w:eastAsia="zh-CN"/>
              </w:rPr>
              <w:t>）进行综合评分：</w:t>
            </w:r>
          </w:p>
          <w:p w14:paraId="733F45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 xml:space="preserve">（1）后续服务计划详细、合理，响应速度快，承诺针对本项目提供及时、专业化的后续服务的，得 </w:t>
            </w:r>
            <w:r>
              <w:rPr>
                <w:rFonts w:hint="eastAsia" w:ascii="宋体" w:hAnsi="宋体" w:cs="宋体"/>
                <w:color w:val="auto"/>
                <w:spacing w:val="0"/>
                <w:sz w:val="21"/>
                <w:szCs w:val="21"/>
                <w:highlight w:val="none"/>
                <w:lang w:val="en-US" w:eastAsia="zh-CN"/>
              </w:rPr>
              <w:t>5</w:t>
            </w:r>
            <w:r>
              <w:rPr>
                <w:rFonts w:hint="eastAsia" w:ascii="宋体" w:hAnsi="宋体" w:eastAsia="宋体" w:cs="宋体"/>
                <w:color w:val="auto"/>
                <w:spacing w:val="0"/>
                <w:sz w:val="21"/>
                <w:szCs w:val="21"/>
                <w:highlight w:val="none"/>
                <w:lang w:val="en-US" w:eastAsia="zh-CN"/>
              </w:rPr>
              <w:t xml:space="preserve"> 分；</w:t>
            </w:r>
          </w:p>
          <w:p w14:paraId="3BE9D0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 xml:space="preserve">（2）后续服务计划比较详细、较合理，响应速度较快，承诺针对本项目提供较为及时、专业化的后续服务的，得 </w:t>
            </w:r>
            <w:r>
              <w:rPr>
                <w:rFonts w:hint="eastAsia" w:ascii="宋体" w:hAnsi="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lang w:val="en-US" w:eastAsia="zh-CN"/>
              </w:rPr>
              <w:t xml:space="preserve"> 分；</w:t>
            </w:r>
          </w:p>
          <w:p w14:paraId="38540A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 xml:space="preserve">（3）后续服务计划详细、合理性一般，响应速度一般，承诺针对本项目提供及时、专业化的后续服务能力一般的，得 </w:t>
            </w:r>
            <w:r>
              <w:rPr>
                <w:rFonts w:hint="eastAsia" w:ascii="宋体" w:hAnsi="宋体" w:cs="宋体"/>
                <w:color w:val="auto"/>
                <w:spacing w:val="0"/>
                <w:sz w:val="21"/>
                <w:szCs w:val="21"/>
                <w:highlight w:val="none"/>
                <w:lang w:val="en-US" w:eastAsia="zh-CN"/>
              </w:rPr>
              <w:t xml:space="preserve">1 </w:t>
            </w:r>
            <w:r>
              <w:rPr>
                <w:rFonts w:hint="eastAsia" w:ascii="宋体" w:hAnsi="宋体" w:eastAsia="宋体" w:cs="宋体"/>
                <w:color w:val="auto"/>
                <w:spacing w:val="0"/>
                <w:sz w:val="21"/>
                <w:szCs w:val="21"/>
                <w:highlight w:val="none"/>
                <w:lang w:val="en-US" w:eastAsia="zh-CN"/>
              </w:rPr>
              <w:t>分；</w:t>
            </w:r>
          </w:p>
          <w:p w14:paraId="749650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pacing w:val="0"/>
                <w:sz w:val="21"/>
                <w:szCs w:val="21"/>
                <w:highlight w:val="none"/>
                <w:lang w:val="en-US" w:eastAsia="zh-CN"/>
              </w:rPr>
              <w:t>（4）未提供不得分。</w:t>
            </w:r>
          </w:p>
        </w:tc>
      </w:tr>
      <w:tr w14:paraId="4855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87" w:type="dxa"/>
            <w:vMerge w:val="continue"/>
            <w:noWrap w:val="0"/>
            <w:vAlign w:val="center"/>
          </w:tcPr>
          <w:p w14:paraId="0A709D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179" w:type="dxa"/>
            <w:vMerge w:val="continue"/>
            <w:noWrap w:val="0"/>
            <w:vAlign w:val="center"/>
          </w:tcPr>
          <w:p w14:paraId="6313D4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p>
        </w:tc>
        <w:tc>
          <w:tcPr>
            <w:tcW w:w="1854" w:type="dxa"/>
            <w:shd w:val="clear" w:color="auto" w:fill="auto"/>
            <w:noWrap w:val="0"/>
            <w:vAlign w:val="center"/>
          </w:tcPr>
          <w:p w14:paraId="668B64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其他实质性优惠服务承诺</w:t>
            </w:r>
          </w:p>
          <w:p w14:paraId="50036A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kern w:val="2"/>
                <w:sz w:val="21"/>
                <w:szCs w:val="21"/>
                <w:highlight w:val="none"/>
                <w:lang w:val="zh-CN" w:eastAsia="zh-CN" w:bidi="ar-SA"/>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分）</w:t>
            </w:r>
          </w:p>
        </w:tc>
        <w:tc>
          <w:tcPr>
            <w:tcW w:w="5914" w:type="dxa"/>
            <w:shd w:val="clear" w:color="auto" w:fill="auto"/>
            <w:noWrap w:val="0"/>
            <w:vAlign w:val="center"/>
          </w:tcPr>
          <w:p w14:paraId="65BC0D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评委委员会根据投标人针对本项目作出有利于采购人切实可行的其他实质性优惠承诺进行综合评分：</w:t>
            </w:r>
          </w:p>
          <w:p w14:paraId="1300B76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（1）承诺科学、详尽、全面的得</w:t>
            </w:r>
            <w:r>
              <w:rPr>
                <w:rFonts w:hint="eastAsia" w:ascii="宋体" w:hAnsi="宋体" w:cs="宋体"/>
                <w:color w:val="auto"/>
                <w:sz w:val="21"/>
                <w:szCs w:val="21"/>
                <w:highlight w:val="none"/>
                <w:lang w:val="en-US" w:eastAsia="zh-CN"/>
              </w:rPr>
              <w:t xml:space="preserve"> 5 </w:t>
            </w:r>
            <w:r>
              <w:rPr>
                <w:rFonts w:hint="eastAsia" w:ascii="宋体" w:hAnsi="宋体" w:eastAsia="宋体" w:cs="宋体"/>
                <w:color w:val="auto"/>
                <w:sz w:val="21"/>
                <w:szCs w:val="21"/>
                <w:highlight w:val="none"/>
                <w:lang w:val="en-US" w:eastAsia="zh-CN"/>
              </w:rPr>
              <w:t>分；</w:t>
            </w:r>
          </w:p>
          <w:p w14:paraId="2ED3A4C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（2）承诺比较科学、详尽、全面的得</w:t>
            </w:r>
            <w:r>
              <w:rPr>
                <w:rFonts w:hint="eastAsia" w:ascii="宋体" w:hAnsi="宋体" w:cs="宋体"/>
                <w:color w:val="auto"/>
                <w:sz w:val="21"/>
                <w:szCs w:val="21"/>
                <w:highlight w:val="none"/>
                <w:lang w:val="en-US" w:eastAsia="zh-CN"/>
              </w:rPr>
              <w:t xml:space="preserve"> 3 </w:t>
            </w:r>
            <w:r>
              <w:rPr>
                <w:rFonts w:hint="eastAsia" w:ascii="宋体" w:hAnsi="宋体" w:eastAsia="宋体" w:cs="宋体"/>
                <w:color w:val="auto"/>
                <w:sz w:val="21"/>
                <w:szCs w:val="21"/>
                <w:highlight w:val="none"/>
                <w:lang w:val="en-US" w:eastAsia="zh-CN"/>
              </w:rPr>
              <w:t>分；</w:t>
            </w:r>
          </w:p>
          <w:p w14:paraId="673B0F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（3）承诺能满足项目基本要求的得</w:t>
            </w:r>
            <w:r>
              <w:rPr>
                <w:rFonts w:hint="eastAsia" w:ascii="宋体" w:hAnsi="宋体" w:cs="宋体"/>
                <w:color w:val="auto"/>
                <w:sz w:val="21"/>
                <w:szCs w:val="21"/>
                <w:highlight w:val="none"/>
                <w:lang w:val="en-US" w:eastAsia="zh-CN"/>
              </w:rPr>
              <w:t xml:space="preserve"> 1 </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w:t>
            </w:r>
          </w:p>
          <w:p w14:paraId="1062C7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pacing w:val="-11"/>
                <w:kern w:val="2"/>
                <w:sz w:val="21"/>
                <w:szCs w:val="21"/>
                <w:lang w:val="en-US" w:eastAsia="zh-CN" w:bidi="ar-SA"/>
              </w:rPr>
            </w:pPr>
            <w:r>
              <w:rPr>
                <w:rFonts w:hint="eastAsia" w:ascii="宋体" w:hAnsi="宋体" w:eastAsia="宋体" w:cs="宋体"/>
                <w:color w:val="auto"/>
                <w:sz w:val="21"/>
                <w:szCs w:val="21"/>
                <w:highlight w:val="none"/>
                <w:lang w:val="en-US" w:eastAsia="zh-CN"/>
              </w:rPr>
              <w:t>（4）未提供不得分。</w:t>
            </w:r>
          </w:p>
        </w:tc>
      </w:tr>
    </w:tbl>
    <w:p w14:paraId="7B448E87">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firstLine="482" w:firstLineChars="200"/>
        <w:textAlignment w:val="auto"/>
        <w:outlineLvl w:val="1"/>
        <w:rPr>
          <w:rFonts w:hint="eastAsia" w:ascii="宋体" w:hAnsi="宋体" w:eastAsia="宋体" w:cs="宋体"/>
          <w:b/>
          <w:color w:val="auto"/>
          <w:spacing w:val="0"/>
          <w:sz w:val="24"/>
          <w:szCs w:val="24"/>
          <w:lang w:val="en-US" w:eastAsia="zh-CN"/>
        </w:rPr>
      </w:pPr>
      <w:r>
        <w:rPr>
          <w:rFonts w:hint="eastAsia" w:ascii="宋体" w:hAnsi="宋体" w:eastAsia="宋体" w:cs="宋体"/>
          <w:b/>
          <w:color w:val="auto"/>
          <w:spacing w:val="0"/>
          <w:sz w:val="24"/>
          <w:szCs w:val="24"/>
          <w:lang w:val="en-US" w:eastAsia="zh-CN"/>
        </w:rPr>
        <w:t>1.评标方法</w:t>
      </w:r>
    </w:p>
    <w:p w14:paraId="60992C9A">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本次评标采用综合评分法。</w:t>
      </w:r>
    </w:p>
    <w:p w14:paraId="1AD1F654">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01AE191C">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1.2</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经评标委员会初步评审后有效投标不足3个的，评标委员会应予废标。</w:t>
      </w:r>
    </w:p>
    <w:p w14:paraId="698C6AEA">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bookmarkStart w:id="209" w:name="_Toc363053528"/>
      <w:bookmarkStart w:id="210" w:name="_Toc381018333"/>
      <w:bookmarkStart w:id="211" w:name="_Toc21497"/>
      <w:bookmarkStart w:id="212" w:name="_Toc381964734"/>
      <w:bookmarkStart w:id="213" w:name="_Toc381964642"/>
      <w:bookmarkStart w:id="214" w:name="_Toc374358912"/>
      <w:bookmarkStart w:id="215" w:name="_Toc184635094"/>
      <w:r>
        <w:rPr>
          <w:rFonts w:hint="eastAsia" w:ascii="宋体" w:hAnsi="宋体" w:eastAsia="宋体" w:cs="宋体"/>
          <w:b/>
          <w:color w:val="auto"/>
          <w:spacing w:val="0"/>
          <w:sz w:val="24"/>
          <w:szCs w:val="24"/>
          <w:lang w:val="en-US" w:eastAsia="zh-CN"/>
        </w:rPr>
        <w:t>2.评审标准</w:t>
      </w:r>
      <w:bookmarkEnd w:id="209"/>
      <w:bookmarkEnd w:id="210"/>
      <w:bookmarkEnd w:id="211"/>
      <w:bookmarkEnd w:id="212"/>
      <w:bookmarkEnd w:id="213"/>
      <w:bookmarkEnd w:id="214"/>
      <w:bookmarkEnd w:id="215"/>
    </w:p>
    <w:p w14:paraId="00612726">
      <w:pPr>
        <w:pageBreakBefore w:val="0"/>
        <w:widowControl w:val="0"/>
        <w:kinsoku/>
        <w:wordWrap/>
        <w:overflowPunct/>
        <w:topLinePunct w:val="0"/>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216" w:name="_Toc374358913"/>
      <w:bookmarkStart w:id="217" w:name="_Toc381018334"/>
      <w:bookmarkStart w:id="218" w:name="_Toc363053529"/>
      <w:bookmarkStart w:id="219" w:name="_Toc381964735"/>
      <w:bookmarkStart w:id="220" w:name="_Toc381964643"/>
      <w:bookmarkStart w:id="221" w:name="_Toc26780"/>
      <w:bookmarkStart w:id="222" w:name="_Toc184635095"/>
      <w:r>
        <w:rPr>
          <w:rFonts w:hint="eastAsia" w:ascii="宋体" w:hAnsi="宋体" w:eastAsia="宋体" w:cs="宋体"/>
          <w:b/>
          <w:bCs/>
          <w:sz w:val="24"/>
          <w:szCs w:val="24"/>
          <w:highlight w:val="none"/>
        </w:rPr>
        <w:t>2.1 初步评审标准</w:t>
      </w:r>
    </w:p>
    <w:p w14:paraId="16D4BA80">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2.1.1 资格评审标准：见评审办法前附表。</w:t>
      </w:r>
    </w:p>
    <w:p w14:paraId="6054B81F">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2.1.2 符合性评审标准：见评审办法前附表。</w:t>
      </w:r>
    </w:p>
    <w:p w14:paraId="7E3FE39E">
      <w:pPr>
        <w:pStyle w:val="40"/>
        <w:pageBreakBefore w:val="0"/>
        <w:widowControl w:val="0"/>
        <w:kinsoku/>
        <w:wordWrap/>
        <w:overflowPunct/>
        <w:topLinePunct w:val="0"/>
        <w:bidi w:val="0"/>
        <w:adjustRightInd/>
        <w:snapToGrid/>
        <w:spacing w:after="0" w:afterLines="0" w:line="500" w:lineRule="exact"/>
        <w:ind w:firstLine="482" w:firstLineChars="200"/>
        <w:textAlignment w:val="auto"/>
        <w:outlineLvl w:val="9"/>
        <w:rPr>
          <w:rFonts w:hint="eastAsia" w:ascii="宋体" w:hAnsi="宋体" w:eastAsia="宋体" w:cs="宋体"/>
          <w:b/>
          <w:bCs/>
          <w:sz w:val="24"/>
          <w:szCs w:val="24"/>
          <w:highlight w:val="none"/>
        </w:rPr>
      </w:pPr>
      <w:bookmarkStart w:id="223" w:name="_Toc25492"/>
      <w:bookmarkStart w:id="224" w:name="_Toc12013"/>
      <w:bookmarkStart w:id="225" w:name="_Toc455867819"/>
      <w:bookmarkStart w:id="226" w:name="_Toc21970"/>
      <w:bookmarkStart w:id="227" w:name="_Toc11061"/>
      <w:bookmarkStart w:id="228" w:name="_Toc22439"/>
      <w:bookmarkStart w:id="229" w:name="_Toc455080159"/>
      <w:bookmarkStart w:id="230" w:name="_Toc26179"/>
      <w:bookmarkStart w:id="231" w:name="_Toc144974570"/>
      <w:bookmarkStart w:id="232" w:name="_Toc152042380"/>
      <w:bookmarkStart w:id="233" w:name="_Toc152045603"/>
      <w:bookmarkStart w:id="234" w:name="_Toc318450725"/>
      <w:bookmarkStart w:id="235" w:name="_Toc24825"/>
      <w:bookmarkStart w:id="236" w:name="_Toc490667878"/>
      <w:bookmarkStart w:id="237" w:name="_Toc466298142"/>
      <w:bookmarkStart w:id="238" w:name="_Toc30189"/>
      <w:bookmarkStart w:id="239" w:name="_Toc7284"/>
      <w:bookmarkStart w:id="240" w:name="_Toc281405531"/>
      <w:r>
        <w:rPr>
          <w:rFonts w:hint="eastAsia" w:ascii="宋体" w:hAnsi="宋体" w:eastAsia="宋体" w:cs="宋体"/>
          <w:b/>
          <w:bCs/>
          <w:sz w:val="24"/>
          <w:szCs w:val="24"/>
          <w:highlight w:val="none"/>
        </w:rPr>
        <w:t>2.2 分值构成与评分标准</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6827AFAB">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2.2.1 </w:t>
      </w:r>
      <w:r>
        <w:rPr>
          <w:rFonts w:hint="eastAsia" w:ascii="宋体" w:hAnsi="宋体" w:eastAsia="宋体" w:cs="宋体"/>
          <w:sz w:val="24"/>
          <w:szCs w:val="24"/>
          <w:highlight w:val="none"/>
        </w:rPr>
        <w:t>商务标：见评审办法前附表；</w:t>
      </w:r>
    </w:p>
    <w:p w14:paraId="335F4FE3">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2.2.2 </w:t>
      </w:r>
      <w:r>
        <w:rPr>
          <w:rFonts w:hint="eastAsia" w:ascii="宋体" w:hAnsi="宋体" w:eastAsia="宋体" w:cs="宋体"/>
          <w:sz w:val="24"/>
          <w:szCs w:val="24"/>
          <w:highlight w:val="none"/>
        </w:rPr>
        <w:t>技术标：见评审办法前附表；</w:t>
      </w:r>
    </w:p>
    <w:p w14:paraId="68021DDC">
      <w:pPr>
        <w:pStyle w:val="4"/>
        <w:pageBreakBefore w:val="0"/>
        <w:widowControl w:val="0"/>
        <w:kinsoku/>
        <w:wordWrap/>
        <w:overflowPunct/>
        <w:topLinePunct w:val="0"/>
        <w:autoSpaceDE/>
        <w:autoSpaceDN/>
        <w:bidi w:val="0"/>
        <w:adjustRightInd/>
        <w:snapToGrid/>
        <w:spacing w:after="0" w:afterLines="0" w:line="500" w:lineRule="exact"/>
        <w:ind w:firstLine="480" w:firstLineChars="200"/>
        <w:textAlignment w:val="auto"/>
        <w:outlineLvl w:val="9"/>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 xml:space="preserve">2.2.3 </w:t>
      </w:r>
      <w:r>
        <w:rPr>
          <w:rFonts w:hint="eastAsia" w:ascii="宋体" w:hAnsi="宋体" w:eastAsia="宋体" w:cs="宋体"/>
          <w:b w:val="0"/>
          <w:bCs/>
          <w:sz w:val="24"/>
          <w:szCs w:val="24"/>
          <w:highlight w:val="none"/>
        </w:rPr>
        <w:t>综合标：见评审办法前附表。</w:t>
      </w:r>
    </w:p>
    <w:p w14:paraId="69B0B690">
      <w:pPr>
        <w:keepNext/>
        <w:keepLines/>
        <w:pageBreakBefore w:val="0"/>
        <w:widowControl w:val="0"/>
        <w:kinsoku/>
        <w:wordWrap/>
        <w:overflowPunct/>
        <w:topLinePunct w:val="0"/>
        <w:autoSpaceDE/>
        <w:autoSpaceDN/>
        <w:bidi w:val="0"/>
        <w:adjustRightInd/>
        <w:snapToGrid/>
        <w:spacing w:before="307" w:beforeLines="100" w:after="307" w:afterLines="100" w:line="500" w:lineRule="exact"/>
        <w:ind w:left="0" w:leftChars="0" w:firstLine="482" w:firstLineChars="200"/>
        <w:textAlignment w:val="auto"/>
        <w:outlineLvl w:val="1"/>
        <w:rPr>
          <w:rFonts w:hint="eastAsia" w:ascii="宋体" w:hAnsi="宋体" w:eastAsia="宋体" w:cs="宋体"/>
          <w:b/>
          <w:color w:val="auto"/>
          <w:spacing w:val="0"/>
          <w:sz w:val="24"/>
          <w:szCs w:val="24"/>
          <w:lang w:val="en-US" w:eastAsia="zh-CN"/>
        </w:rPr>
      </w:pPr>
      <w:r>
        <w:rPr>
          <w:rFonts w:hint="eastAsia" w:ascii="宋体" w:hAnsi="宋体" w:eastAsia="宋体" w:cs="宋体"/>
          <w:b/>
          <w:color w:val="auto"/>
          <w:spacing w:val="0"/>
          <w:sz w:val="24"/>
          <w:szCs w:val="24"/>
          <w:lang w:val="en-US" w:eastAsia="zh-CN"/>
        </w:rPr>
        <w:t>3.评标程序</w:t>
      </w:r>
      <w:bookmarkEnd w:id="216"/>
      <w:bookmarkEnd w:id="217"/>
      <w:bookmarkEnd w:id="218"/>
      <w:bookmarkEnd w:id="219"/>
      <w:bookmarkEnd w:id="220"/>
      <w:bookmarkEnd w:id="221"/>
      <w:bookmarkEnd w:id="222"/>
    </w:p>
    <w:p w14:paraId="5762143B">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3.1 初步评审</w:t>
      </w:r>
    </w:p>
    <w:p w14:paraId="53717CFD">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000000"/>
          <w:sz w:val="24"/>
          <w:szCs w:val="24"/>
        </w:rPr>
      </w:pPr>
      <w:r>
        <w:rPr>
          <w:rFonts w:hint="eastAsia" w:ascii="宋体" w:hAnsi="宋体" w:eastAsia="宋体" w:cs="宋体"/>
          <w:color w:val="000000"/>
          <w:sz w:val="24"/>
          <w:szCs w:val="24"/>
        </w:rPr>
        <w:t>3.1.1只有通过资格审查的投标人才能进入初步评审。评标委员会依据初步评审表规定的内容和标准对投标文件进行初步评审。</w:t>
      </w:r>
      <w:r>
        <w:rPr>
          <w:rFonts w:hint="eastAsia" w:ascii="宋体" w:hAnsi="宋体" w:eastAsia="宋体" w:cs="宋体"/>
          <w:b/>
          <w:bCs/>
          <w:color w:val="000000"/>
          <w:sz w:val="24"/>
          <w:szCs w:val="24"/>
        </w:rPr>
        <w:t>有一项不符合评审标准的，其投标做无效标处理，不得进入详细评审。</w:t>
      </w:r>
    </w:p>
    <w:p w14:paraId="4506A6FE">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3.1.2 </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有以下情形之一的，其</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文件作无效处理：</w:t>
      </w:r>
    </w:p>
    <w:p w14:paraId="1D30C820">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（1）串通或弄虚作假或有其他违法行为的；</w:t>
      </w:r>
    </w:p>
    <w:p w14:paraId="72AD3DDD">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（2）不按</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要求澄清、说明或补正的；</w:t>
      </w:r>
    </w:p>
    <w:p w14:paraId="2ADE0CD1">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（3）未按规定格式填写、内容不全或关键字迹模糊、无法辨认的；</w:t>
      </w:r>
    </w:p>
    <w:p w14:paraId="41C48CA7">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文件附有采购人不能接受的条件；</w:t>
      </w:r>
    </w:p>
    <w:p w14:paraId="22633D74">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（5）不符合</w:t>
      </w:r>
      <w:r>
        <w:rPr>
          <w:rFonts w:hint="eastAsia" w:ascii="宋体" w:hAnsi="宋体" w:eastAsia="宋体" w:cs="宋体"/>
          <w:sz w:val="24"/>
          <w:szCs w:val="24"/>
          <w:highlight w:val="none"/>
          <w:lang w:eastAsia="zh-CN"/>
        </w:rPr>
        <w:t>招标文件</w:t>
      </w:r>
      <w:r>
        <w:rPr>
          <w:rFonts w:hint="eastAsia" w:ascii="宋体" w:hAnsi="宋体" w:eastAsia="宋体" w:cs="宋体"/>
          <w:sz w:val="24"/>
          <w:szCs w:val="24"/>
          <w:highlight w:val="none"/>
        </w:rPr>
        <w:t>规定的其他实质性要求。</w:t>
      </w:r>
    </w:p>
    <w:p w14:paraId="133B0DCE">
      <w:pPr>
        <w:pStyle w:val="40"/>
        <w:pageBreakBefore w:val="0"/>
        <w:widowControl w:val="0"/>
        <w:kinsoku/>
        <w:wordWrap/>
        <w:overflowPunct/>
        <w:topLinePunct w:val="0"/>
        <w:bidi w:val="0"/>
        <w:adjustRightInd/>
        <w:snapToGrid/>
        <w:spacing w:after="0" w:afterLines="0" w:line="500" w:lineRule="exact"/>
        <w:ind w:firstLine="482" w:firstLineChars="200"/>
        <w:textAlignment w:val="auto"/>
        <w:outlineLvl w:val="9"/>
        <w:rPr>
          <w:rFonts w:hint="eastAsia" w:ascii="宋体" w:hAnsi="宋体" w:eastAsia="宋体" w:cs="宋体"/>
          <w:b/>
          <w:bCs/>
          <w:sz w:val="24"/>
          <w:szCs w:val="24"/>
          <w:highlight w:val="none"/>
        </w:rPr>
      </w:pPr>
      <w:bookmarkStart w:id="241" w:name="_Toc455867822"/>
      <w:bookmarkStart w:id="242" w:name="_Toc12406"/>
      <w:bookmarkStart w:id="243" w:name="_Toc26049"/>
      <w:bookmarkStart w:id="244" w:name="_Toc16964"/>
      <w:bookmarkStart w:id="245" w:name="_Toc318450728"/>
      <w:bookmarkStart w:id="246" w:name="_Toc466298145"/>
      <w:bookmarkStart w:id="247" w:name="_Toc21570"/>
      <w:bookmarkStart w:id="248" w:name="_Toc26280"/>
      <w:bookmarkStart w:id="249" w:name="_Toc21032"/>
      <w:bookmarkStart w:id="250" w:name="_Toc281405534"/>
      <w:bookmarkStart w:id="251" w:name="_Toc13386"/>
      <w:bookmarkStart w:id="252" w:name="_Toc455080162"/>
      <w:bookmarkStart w:id="253" w:name="_Toc490667881"/>
      <w:bookmarkStart w:id="254" w:name="_Toc7121"/>
      <w:bookmarkStart w:id="255" w:name="_Toc10692"/>
      <w:bookmarkStart w:id="256" w:name="_Toc22101"/>
      <w:r>
        <w:rPr>
          <w:rFonts w:hint="eastAsia" w:ascii="宋体" w:hAnsi="宋体" w:eastAsia="宋体" w:cs="宋体"/>
          <w:b/>
          <w:bCs/>
          <w:sz w:val="24"/>
          <w:szCs w:val="24"/>
          <w:highlight w:val="none"/>
        </w:rPr>
        <w:t>3.2 详细评审</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27F90D66">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3.2.1</w:t>
      </w:r>
      <w:r>
        <w:rPr>
          <w:rFonts w:hint="eastAsia" w:ascii="宋体" w:hAnsi="宋体" w:eastAsia="宋体" w:cs="宋体"/>
          <w:sz w:val="24"/>
          <w:szCs w:val="24"/>
          <w:highlight w:val="none"/>
          <w:lang w:val="en-US" w:eastAsia="zh-CN"/>
        </w:rPr>
        <w:t xml:space="preserve"> </w:t>
      </w:r>
      <w:r>
        <w:rPr>
          <w:rFonts w:hint="eastAsia" w:ascii="宋体" w:hAnsi="宋体" w:eastAsia="宋体" w:cs="宋体"/>
          <w:spacing w:val="-6"/>
          <w:sz w:val="24"/>
          <w:szCs w:val="24"/>
          <w:highlight w:val="none"/>
        </w:rPr>
        <w:t>评标委员会按本章第2.2款规定的量化因素和分值进行打分，并计算出综合评估得分。</w:t>
      </w:r>
    </w:p>
    <w:p w14:paraId="5C1C66F5">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按本章第2.2.</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目规定的评审因素和分值对商务部分计算出得分A；</w:t>
      </w:r>
    </w:p>
    <w:p w14:paraId="06326F1F">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按本章第2.2.2目规定的评审因素和分值对技术部分计算出得分B；</w:t>
      </w:r>
    </w:p>
    <w:p w14:paraId="348EE44E">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按本章第2.2.</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目规定的评审因素和分值对综合部分计算出得分C；</w:t>
      </w:r>
    </w:p>
    <w:p w14:paraId="0B73DA58">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评分分值计算保留小数点后两位，小数点后第三位“四舍五入”。</w:t>
      </w:r>
    </w:p>
    <w:p w14:paraId="39075684">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3.2.3</w:t>
      </w:r>
      <w:r>
        <w:rPr>
          <w:rFonts w:hint="eastAsia" w:ascii="宋体" w:hAnsi="宋体" w:eastAsia="宋体" w:cs="宋体"/>
          <w:sz w:val="24"/>
          <w:szCs w:val="24"/>
          <w:highlight w:val="none"/>
          <w:lang w:val="en-US" w:eastAsia="zh-CN"/>
        </w:rPr>
        <w:t xml:space="preserve"> 投标人</w:t>
      </w:r>
      <w:r>
        <w:rPr>
          <w:rFonts w:hint="eastAsia" w:ascii="宋体" w:hAnsi="宋体" w:eastAsia="宋体" w:cs="宋体"/>
          <w:sz w:val="24"/>
          <w:szCs w:val="24"/>
          <w:highlight w:val="none"/>
        </w:rPr>
        <w:t>得分=A+B+C。每个</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的最终得分为所有评委打分的算术平均值作为该</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的最终得分，计分四舍五入取至小数点后二位。</w:t>
      </w:r>
    </w:p>
    <w:p w14:paraId="4A60891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sz w:val="24"/>
          <w:szCs w:val="24"/>
          <w:highlight w:val="none"/>
        </w:rPr>
        <w:t>3.2.4</w:t>
      </w:r>
      <w:r>
        <w:rPr>
          <w:rFonts w:hint="eastAsia" w:ascii="宋体" w:hAnsi="宋体" w:eastAsia="宋体" w:cs="宋体"/>
          <w:sz w:val="24"/>
          <w:szCs w:val="24"/>
          <w:highlight w:val="none"/>
          <w:lang w:val="en-US" w:eastAsia="zh-CN"/>
        </w:rPr>
        <w:t xml:space="preserve"> </w:t>
      </w:r>
      <w:r>
        <w:rPr>
          <w:rFonts w:hint="eastAsia" w:ascii="宋体" w:hAnsi="宋体" w:eastAsia="宋体" w:cs="宋体"/>
          <w:color w:val="000000"/>
          <w:sz w:val="24"/>
          <w:szCs w:val="24"/>
        </w:rPr>
        <w:t>投标报价有算术错误的，评标委员会按以下原则对投标报价进行修正，修正的价格经投标人书面确认后具有约束力。投标人不接受修正价格的，其投标作废标处理。</w:t>
      </w:r>
    </w:p>
    <w:p w14:paraId="0C03C5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（1）投标文件中的大写金额与小写金额不一致的，以大写金额为准（但大写金额有明显错误的除外）；</w:t>
      </w:r>
    </w:p>
    <w:p w14:paraId="63B1AC4A">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rPr>
        <w:t>（2）总价金额与依据单价计算出的结果不一致的，以单价金额为准修正总价，但单价金额小数点有明显错误的除外。</w:t>
      </w:r>
    </w:p>
    <w:p w14:paraId="655FEF41">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3.2.5 </w:t>
      </w:r>
      <w:r>
        <w:rPr>
          <w:rFonts w:hint="eastAsia" w:ascii="宋体" w:hAnsi="宋体" w:eastAsia="宋体" w:cs="宋体"/>
          <w:sz w:val="24"/>
          <w:szCs w:val="24"/>
          <w:highlight w:val="none"/>
        </w:rPr>
        <w:t>评标委员会发现</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的报价明显低于其他通过符合性审</w:t>
      </w:r>
      <w:r>
        <w:rPr>
          <w:rFonts w:hint="eastAsia" w:ascii="宋体" w:hAnsi="宋体" w:eastAsia="宋体" w:cs="宋体"/>
          <w:sz w:val="24"/>
          <w:szCs w:val="24"/>
          <w:highlight w:val="none"/>
          <w:lang w:eastAsia="zh-CN"/>
        </w:rPr>
        <w:t>查的</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的报价，有可能影响</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质量或者不能诚信履约的，评标委员会应当要求其在评标现场合理的时间内提供书面说明，必要时提交相关证明材料；</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不能证明其报价合理性的，评标委员会应当将其作为无效投标处理。</w:t>
      </w:r>
    </w:p>
    <w:p w14:paraId="4AEE7487">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3.2.</w:t>
      </w:r>
      <w:r>
        <w:rPr>
          <w:rFonts w:hint="eastAsia" w:ascii="宋体" w:hAnsi="宋体" w:eastAsia="宋体" w:cs="宋体"/>
          <w:sz w:val="24"/>
          <w:szCs w:val="24"/>
          <w:highlight w:val="none"/>
          <w:lang w:val="en-US" w:eastAsia="zh-CN"/>
        </w:rPr>
        <w:t xml:space="preserve">6 </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val="en-US" w:eastAsia="zh-CN"/>
        </w:rPr>
        <w:t>评标</w:t>
      </w:r>
      <w:r>
        <w:rPr>
          <w:rFonts w:hint="eastAsia" w:ascii="宋体" w:hAnsi="宋体" w:eastAsia="宋体" w:cs="宋体"/>
          <w:sz w:val="24"/>
          <w:szCs w:val="24"/>
          <w:highlight w:val="none"/>
        </w:rPr>
        <w:t>过程中，凡遇到</w:t>
      </w:r>
      <w:r>
        <w:rPr>
          <w:rFonts w:hint="eastAsia" w:ascii="宋体" w:hAnsi="宋体" w:eastAsia="宋体" w:cs="宋体"/>
          <w:sz w:val="24"/>
          <w:szCs w:val="24"/>
          <w:highlight w:val="none"/>
          <w:lang w:eastAsia="zh-CN"/>
        </w:rPr>
        <w:t>招标文件</w:t>
      </w:r>
      <w:r>
        <w:rPr>
          <w:rFonts w:hint="eastAsia" w:ascii="宋体" w:hAnsi="宋体" w:eastAsia="宋体" w:cs="宋体"/>
          <w:sz w:val="24"/>
          <w:szCs w:val="24"/>
          <w:highlight w:val="none"/>
        </w:rPr>
        <w:t>中无界定或界定不清、前后不一致使</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意见有分歧且又难以协商一致的问题，均由</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予以表决，获半数以上同意的即为通过，未获半数同意的即为否决。</w:t>
      </w:r>
    </w:p>
    <w:p w14:paraId="062417BA">
      <w:pPr>
        <w:pStyle w:val="40"/>
        <w:pageBreakBefore w:val="0"/>
        <w:widowControl w:val="0"/>
        <w:kinsoku/>
        <w:wordWrap/>
        <w:overflowPunct/>
        <w:topLinePunct w:val="0"/>
        <w:bidi w:val="0"/>
        <w:adjustRightInd/>
        <w:snapToGrid/>
        <w:spacing w:after="0" w:afterLines="0" w:line="500" w:lineRule="exact"/>
        <w:ind w:firstLine="482" w:firstLineChars="200"/>
        <w:textAlignment w:val="auto"/>
        <w:outlineLvl w:val="9"/>
        <w:rPr>
          <w:rFonts w:hint="eastAsia" w:ascii="宋体" w:hAnsi="宋体" w:eastAsia="宋体" w:cs="宋体"/>
          <w:b/>
          <w:bCs/>
          <w:sz w:val="24"/>
          <w:szCs w:val="24"/>
          <w:highlight w:val="none"/>
        </w:rPr>
      </w:pPr>
      <w:bookmarkStart w:id="257" w:name="_Toc281405535"/>
      <w:bookmarkStart w:id="258" w:name="_Toc11958"/>
      <w:bookmarkStart w:id="259" w:name="_Toc2657"/>
      <w:bookmarkStart w:id="260" w:name="_Toc318450729"/>
      <w:bookmarkStart w:id="261" w:name="_Toc8813"/>
      <w:bookmarkStart w:id="262" w:name="_Toc455080163"/>
      <w:bookmarkStart w:id="263" w:name="_Toc10153"/>
      <w:bookmarkStart w:id="264" w:name="_Toc24862"/>
      <w:bookmarkStart w:id="265" w:name="_Toc28633"/>
      <w:bookmarkStart w:id="266" w:name="_Toc12374"/>
      <w:bookmarkStart w:id="267" w:name="_Toc8342"/>
      <w:bookmarkStart w:id="268" w:name="_Toc22084"/>
      <w:bookmarkStart w:id="269" w:name="_Toc455867823"/>
      <w:bookmarkStart w:id="270" w:name="_Toc331"/>
      <w:bookmarkStart w:id="271" w:name="_Toc466298146"/>
      <w:bookmarkStart w:id="272" w:name="_Toc490667882"/>
      <w:r>
        <w:rPr>
          <w:rFonts w:hint="eastAsia" w:ascii="宋体" w:hAnsi="宋体" w:eastAsia="宋体" w:cs="宋体"/>
          <w:b/>
          <w:bCs/>
          <w:sz w:val="24"/>
          <w:szCs w:val="24"/>
          <w:highlight w:val="none"/>
        </w:rPr>
        <w:t xml:space="preserve">3.3 </w:t>
      </w:r>
      <w:r>
        <w:rPr>
          <w:rFonts w:hint="eastAsia" w:ascii="宋体" w:hAnsi="宋体" w:eastAsia="宋体" w:cs="宋体"/>
          <w:b/>
          <w:bCs/>
          <w:sz w:val="24"/>
          <w:szCs w:val="24"/>
          <w:highlight w:val="none"/>
          <w:lang w:val="en-US" w:eastAsia="zh-CN"/>
        </w:rPr>
        <w:t>投标</w:t>
      </w:r>
      <w:r>
        <w:rPr>
          <w:rFonts w:hint="eastAsia" w:ascii="宋体" w:hAnsi="宋体" w:eastAsia="宋体" w:cs="宋体"/>
          <w:b/>
          <w:bCs/>
          <w:sz w:val="24"/>
          <w:szCs w:val="24"/>
          <w:highlight w:val="none"/>
        </w:rPr>
        <w:t>文件的澄清和补正</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6556546B">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3.3.1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val="en-US" w:eastAsia="zh-CN"/>
        </w:rPr>
        <w:t>评标</w:t>
      </w:r>
      <w:r>
        <w:rPr>
          <w:rFonts w:hint="eastAsia" w:ascii="宋体" w:hAnsi="宋体" w:eastAsia="宋体" w:cs="宋体"/>
          <w:sz w:val="24"/>
          <w:szCs w:val="24"/>
          <w:highlight w:val="none"/>
        </w:rPr>
        <w:t>过程中，</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可以书面形式要求</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对所提交的</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文件中不明确的内容进行书面澄清或说明，或者对细微偏离进行补正。</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不接受</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主动提出的澄清、说明或补正。</w:t>
      </w:r>
    </w:p>
    <w:p w14:paraId="7F76371F">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pacing w:val="0"/>
          <w:sz w:val="24"/>
          <w:szCs w:val="24"/>
          <w:highlight w:val="none"/>
        </w:rPr>
      </w:pPr>
      <w:r>
        <w:rPr>
          <w:rFonts w:hint="eastAsia" w:ascii="宋体" w:hAnsi="宋体" w:eastAsia="宋体" w:cs="宋体"/>
          <w:sz w:val="24"/>
          <w:szCs w:val="24"/>
          <w:highlight w:val="none"/>
        </w:rPr>
        <w:t xml:space="preserve">3.3.2 </w:t>
      </w:r>
      <w:r>
        <w:rPr>
          <w:rFonts w:hint="eastAsia" w:ascii="宋体" w:hAnsi="宋体" w:eastAsia="宋体" w:cs="宋体"/>
          <w:spacing w:val="0"/>
          <w:sz w:val="24"/>
          <w:szCs w:val="24"/>
          <w:highlight w:val="none"/>
        </w:rPr>
        <w:t>澄清、说明和补正不得超出</w:t>
      </w:r>
      <w:r>
        <w:rPr>
          <w:rFonts w:hint="eastAsia" w:ascii="宋体" w:hAnsi="宋体" w:eastAsia="宋体" w:cs="宋体"/>
          <w:spacing w:val="0"/>
          <w:sz w:val="24"/>
          <w:szCs w:val="24"/>
          <w:highlight w:val="none"/>
          <w:lang w:val="en-US" w:eastAsia="zh-CN"/>
        </w:rPr>
        <w:t>投标</w:t>
      </w:r>
      <w:r>
        <w:rPr>
          <w:rFonts w:hint="eastAsia" w:ascii="宋体" w:hAnsi="宋体" w:eastAsia="宋体" w:cs="宋体"/>
          <w:spacing w:val="0"/>
          <w:sz w:val="24"/>
          <w:szCs w:val="24"/>
          <w:highlight w:val="none"/>
        </w:rPr>
        <w:t>文件的范围或者改变</w:t>
      </w:r>
      <w:r>
        <w:rPr>
          <w:rFonts w:hint="eastAsia" w:ascii="宋体" w:hAnsi="宋体" w:eastAsia="宋体" w:cs="宋体"/>
          <w:spacing w:val="0"/>
          <w:sz w:val="24"/>
          <w:szCs w:val="24"/>
          <w:highlight w:val="none"/>
          <w:lang w:val="en-US" w:eastAsia="zh-CN"/>
        </w:rPr>
        <w:t>投标</w:t>
      </w:r>
      <w:r>
        <w:rPr>
          <w:rFonts w:hint="eastAsia" w:ascii="宋体" w:hAnsi="宋体" w:eastAsia="宋体" w:cs="宋体"/>
          <w:spacing w:val="0"/>
          <w:sz w:val="24"/>
          <w:szCs w:val="24"/>
          <w:highlight w:val="none"/>
        </w:rPr>
        <w:t>文件的实质性内容（算术性错误修正的除外）。</w:t>
      </w:r>
      <w:r>
        <w:rPr>
          <w:rFonts w:hint="eastAsia" w:ascii="宋体" w:hAnsi="宋体" w:eastAsia="宋体" w:cs="宋体"/>
          <w:spacing w:val="0"/>
          <w:sz w:val="24"/>
          <w:szCs w:val="24"/>
          <w:highlight w:val="none"/>
          <w:lang w:val="en-US" w:eastAsia="zh-CN"/>
        </w:rPr>
        <w:t>投标人</w:t>
      </w:r>
      <w:r>
        <w:rPr>
          <w:rFonts w:hint="eastAsia" w:ascii="宋体" w:hAnsi="宋体" w:eastAsia="宋体" w:cs="宋体"/>
          <w:spacing w:val="0"/>
          <w:sz w:val="24"/>
          <w:szCs w:val="24"/>
          <w:highlight w:val="none"/>
        </w:rPr>
        <w:t>的书面澄清、说明和补正属于</w:t>
      </w:r>
      <w:r>
        <w:rPr>
          <w:rFonts w:hint="eastAsia" w:ascii="宋体" w:hAnsi="宋体" w:eastAsia="宋体" w:cs="宋体"/>
          <w:spacing w:val="0"/>
          <w:sz w:val="24"/>
          <w:szCs w:val="24"/>
          <w:highlight w:val="none"/>
          <w:lang w:val="en-US" w:eastAsia="zh-CN"/>
        </w:rPr>
        <w:t>投标</w:t>
      </w:r>
      <w:r>
        <w:rPr>
          <w:rFonts w:hint="eastAsia" w:ascii="宋体" w:hAnsi="宋体" w:eastAsia="宋体" w:cs="宋体"/>
          <w:spacing w:val="0"/>
          <w:sz w:val="24"/>
          <w:szCs w:val="24"/>
          <w:highlight w:val="none"/>
        </w:rPr>
        <w:t>文件的组成部分。</w:t>
      </w:r>
    </w:p>
    <w:p w14:paraId="4A5AA5E7">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3.3.3 </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提交的澄清</w:t>
      </w:r>
      <w:bookmarkStart w:id="337" w:name="_GoBack"/>
      <w:bookmarkEnd w:id="337"/>
      <w:r>
        <w:rPr>
          <w:rFonts w:hint="eastAsia" w:ascii="宋体" w:hAnsi="宋体" w:eastAsia="宋体" w:cs="宋体"/>
          <w:sz w:val="24"/>
          <w:szCs w:val="24"/>
          <w:highlight w:val="none"/>
        </w:rPr>
        <w:t>、说明或补正有疑问的，可以要求</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进一步澄清、说明或补正，直至满足</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的要求。</w:t>
      </w:r>
    </w:p>
    <w:p w14:paraId="4088584C">
      <w:pPr>
        <w:pStyle w:val="40"/>
        <w:pageBreakBefore w:val="0"/>
        <w:widowControl w:val="0"/>
        <w:kinsoku/>
        <w:wordWrap/>
        <w:overflowPunct/>
        <w:topLinePunct w:val="0"/>
        <w:bidi w:val="0"/>
        <w:adjustRightInd/>
        <w:snapToGrid/>
        <w:spacing w:after="0" w:afterLines="0" w:line="500" w:lineRule="exact"/>
        <w:ind w:firstLine="482" w:firstLineChars="200"/>
        <w:textAlignment w:val="auto"/>
        <w:outlineLvl w:val="9"/>
        <w:rPr>
          <w:rFonts w:hint="eastAsia" w:ascii="宋体" w:hAnsi="宋体" w:eastAsia="宋体" w:cs="宋体"/>
          <w:b/>
          <w:bCs/>
          <w:sz w:val="24"/>
          <w:szCs w:val="24"/>
          <w:highlight w:val="none"/>
        </w:rPr>
      </w:pPr>
      <w:bookmarkStart w:id="273" w:name="_Toc5903"/>
      <w:bookmarkStart w:id="274" w:name="_Toc455867824"/>
      <w:bookmarkStart w:id="275" w:name="_Toc19938"/>
      <w:bookmarkStart w:id="276" w:name="_Toc22986"/>
      <w:bookmarkStart w:id="277" w:name="_Toc26894"/>
      <w:bookmarkStart w:id="278" w:name="_Toc22682"/>
      <w:bookmarkStart w:id="279" w:name="_Toc32183"/>
      <w:bookmarkStart w:id="280" w:name="_Toc281405536"/>
      <w:bookmarkStart w:id="281" w:name="_Toc466298147"/>
      <w:bookmarkStart w:id="282" w:name="_Toc30053"/>
      <w:bookmarkStart w:id="283" w:name="_Toc318450730"/>
      <w:bookmarkStart w:id="284" w:name="_Toc455080164"/>
      <w:bookmarkStart w:id="285" w:name="_Toc1857"/>
      <w:bookmarkStart w:id="286" w:name="_Toc490667883"/>
      <w:bookmarkStart w:id="287" w:name="_Toc19453"/>
      <w:r>
        <w:rPr>
          <w:rFonts w:hint="eastAsia" w:ascii="宋体" w:hAnsi="宋体" w:eastAsia="宋体" w:cs="宋体"/>
          <w:b/>
          <w:bCs/>
          <w:sz w:val="24"/>
          <w:szCs w:val="24"/>
          <w:highlight w:val="none"/>
        </w:rPr>
        <w:t>3.4 评审结果</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7D095EEB">
      <w:pPr>
        <w:pageBreakBefore w:val="0"/>
        <w:widowControl w:val="0"/>
        <w:kinsoku/>
        <w:wordWrap/>
        <w:overflowPunct/>
        <w:topLinePunct w:val="0"/>
        <w:bidi w:val="0"/>
        <w:adjustRightInd/>
        <w:snapToGrid/>
        <w:spacing w:line="50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3.4.1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除第二章“</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须知”前附表授权直接确定</w:t>
      </w:r>
      <w:r>
        <w:rPr>
          <w:rFonts w:hint="eastAsia" w:ascii="宋体" w:hAnsi="宋体" w:eastAsia="宋体" w:cs="宋体"/>
          <w:sz w:val="24"/>
          <w:szCs w:val="24"/>
          <w:highlight w:val="none"/>
          <w:lang w:val="en-US" w:eastAsia="zh-CN"/>
        </w:rPr>
        <w:t>中标人</w:t>
      </w:r>
      <w:r>
        <w:rPr>
          <w:rFonts w:hint="eastAsia" w:ascii="宋体" w:hAnsi="宋体" w:eastAsia="宋体" w:cs="宋体"/>
          <w:sz w:val="24"/>
          <w:szCs w:val="24"/>
          <w:highlight w:val="none"/>
        </w:rPr>
        <w:t>外，</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按照得分由高到低的顺序推荐</w:t>
      </w:r>
      <w:r>
        <w:rPr>
          <w:rFonts w:hint="eastAsia" w:ascii="宋体" w:hAnsi="宋体" w:eastAsia="宋体" w:cs="宋体"/>
          <w:sz w:val="24"/>
          <w:szCs w:val="24"/>
          <w:highlight w:val="none"/>
          <w:lang w:val="en-US" w:eastAsia="zh-CN"/>
        </w:rPr>
        <w:t>中标</w:t>
      </w:r>
      <w:r>
        <w:rPr>
          <w:rFonts w:hint="eastAsia" w:ascii="宋体" w:hAnsi="宋体" w:eastAsia="宋体" w:cs="宋体"/>
          <w:sz w:val="24"/>
          <w:szCs w:val="24"/>
          <w:highlight w:val="none"/>
        </w:rPr>
        <w:t>候选人。</w:t>
      </w:r>
    </w:p>
    <w:p w14:paraId="3082B85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sz w:val="28"/>
          <w:szCs w:val="28"/>
        </w:rPr>
      </w:pPr>
      <w:r>
        <w:rPr>
          <w:rFonts w:hint="eastAsia" w:ascii="宋体" w:hAnsi="宋体" w:eastAsia="宋体" w:cs="宋体"/>
          <w:sz w:val="24"/>
          <w:szCs w:val="24"/>
          <w:highlight w:val="none"/>
        </w:rPr>
        <w:t xml:space="preserve">3.4.2 </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完成评审后，应当向采购人提交书面评审报告。</w:t>
      </w:r>
    </w:p>
    <w:p w14:paraId="4067C439">
      <w:pPr>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000000"/>
          <w:sz w:val="28"/>
          <w:szCs w:val="28"/>
        </w:rPr>
      </w:pPr>
    </w:p>
    <w:bookmarkEnd w:id="19"/>
    <w:bookmarkEnd w:id="20"/>
    <w:p w14:paraId="19B83419">
      <w:pPr>
        <w:rPr>
          <w:rFonts w:hint="eastAsia" w:ascii="宋体" w:hAnsi="宋体" w:eastAsia="宋体" w:cs="宋体"/>
          <w:b/>
          <w:bCs w:val="0"/>
          <w:color w:val="auto"/>
          <w:sz w:val="28"/>
          <w:szCs w:val="28"/>
        </w:rPr>
      </w:pPr>
      <w:bookmarkStart w:id="288" w:name="_Toc425234970"/>
      <w:bookmarkStart w:id="289" w:name="_Toc414956965"/>
      <w:bookmarkStart w:id="290" w:name="_Toc381964644"/>
      <w:bookmarkStart w:id="291" w:name="_Toc398716796"/>
      <w:bookmarkStart w:id="292" w:name="_Toc376964946"/>
      <w:bookmarkStart w:id="293" w:name="_Toc381964736"/>
      <w:bookmarkStart w:id="294" w:name="_Toc359252260"/>
      <w:bookmarkStart w:id="295" w:name="_Toc357777330"/>
      <w:bookmarkStart w:id="296" w:name="_Toc297211688"/>
      <w:r>
        <w:rPr>
          <w:rFonts w:hint="eastAsia" w:ascii="宋体" w:hAnsi="宋体" w:eastAsia="宋体" w:cs="宋体"/>
          <w:b/>
          <w:bCs w:val="0"/>
          <w:color w:val="auto"/>
          <w:sz w:val="28"/>
          <w:szCs w:val="28"/>
        </w:rPr>
        <w:br w:type="page"/>
      </w:r>
    </w:p>
    <w:p w14:paraId="60C971C0">
      <w:pPr>
        <w:keepNext w:val="0"/>
        <w:keepLines w:val="0"/>
        <w:pageBreakBefore w:val="0"/>
        <w:widowControl w:val="0"/>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rPr>
        <w:t>附件：无效投标的条件</w:t>
      </w:r>
      <w:bookmarkEnd w:id="288"/>
      <w:bookmarkEnd w:id="289"/>
      <w:bookmarkEnd w:id="290"/>
      <w:bookmarkEnd w:id="291"/>
      <w:bookmarkEnd w:id="292"/>
      <w:bookmarkEnd w:id="293"/>
    </w:p>
    <w:p w14:paraId="286C9846">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center"/>
        <w:textAlignment w:val="auto"/>
        <w:rPr>
          <w:rFonts w:hint="eastAsia" w:ascii="宋体" w:hAnsi="宋体" w:eastAsia="宋体" w:cs="宋体"/>
          <w:b w:val="0"/>
          <w:bCs/>
          <w:color w:val="auto"/>
          <w:sz w:val="28"/>
          <w:szCs w:val="28"/>
        </w:rPr>
      </w:pPr>
      <w:r>
        <w:rPr>
          <w:rFonts w:hint="eastAsia" w:ascii="宋体" w:hAnsi="宋体" w:eastAsia="宋体" w:cs="宋体"/>
          <w:b/>
          <w:bCs w:val="0"/>
          <w:color w:val="auto"/>
          <w:sz w:val="28"/>
          <w:szCs w:val="28"/>
        </w:rPr>
        <w:t>无效投标的条件</w:t>
      </w:r>
    </w:p>
    <w:p w14:paraId="0A210BE3">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本附件所集中列示的无效投标条件，是本章“评标办法”的组成部分，是对第二章“</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须知”和本章正文部分所规定的无效投标条件的总结和补充，如果出现相互矛盾的情况，以第二章“</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须知”和本章正文部分的规定为准。</w:t>
      </w:r>
    </w:p>
    <w:p w14:paraId="042BCD7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1.未通过系统雷同性分析的</w:t>
      </w:r>
      <w:r>
        <w:rPr>
          <w:rFonts w:hint="eastAsia" w:ascii="宋体" w:hAnsi="宋体" w:eastAsia="宋体" w:cs="宋体"/>
          <w:b w:val="0"/>
          <w:bCs/>
          <w:color w:val="auto"/>
          <w:sz w:val="24"/>
          <w:szCs w:val="24"/>
        </w:rPr>
        <w:t xml:space="preserve">； </w:t>
      </w:r>
    </w:p>
    <w:p w14:paraId="2FCB20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未通过评标办法初步评审的</w:t>
      </w:r>
      <w:r>
        <w:rPr>
          <w:rFonts w:hint="eastAsia" w:ascii="宋体" w:hAnsi="宋体" w:eastAsia="宋体" w:cs="宋体"/>
          <w:b w:val="0"/>
          <w:bCs/>
          <w:color w:val="auto"/>
          <w:sz w:val="24"/>
          <w:szCs w:val="24"/>
          <w:lang w:eastAsia="zh-CN"/>
        </w:rPr>
        <w:t>；</w:t>
      </w:r>
    </w:p>
    <w:p w14:paraId="712F393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color w:val="auto"/>
          <w:sz w:val="24"/>
          <w:szCs w:val="24"/>
          <w:lang w:val="en-US" w:eastAsia="zh-CN"/>
        </w:rPr>
        <w:t>3.未</w:t>
      </w:r>
      <w:r>
        <w:rPr>
          <w:rFonts w:hint="eastAsia" w:ascii="宋体" w:hAnsi="宋体" w:eastAsia="宋体" w:cs="宋体"/>
          <w:b w:val="0"/>
          <w:bCs/>
          <w:color w:val="auto"/>
          <w:sz w:val="24"/>
          <w:szCs w:val="24"/>
        </w:rPr>
        <w:t>按评标委员会要求澄清、说明或补正的；</w:t>
      </w:r>
    </w:p>
    <w:p w14:paraId="7F147FD5">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rPr>
        <w:t>投标有效期不满足</w:t>
      </w:r>
      <w:r>
        <w:rPr>
          <w:rFonts w:hint="eastAsia" w:ascii="宋体" w:hAnsi="宋体" w:eastAsia="宋体" w:cs="宋体"/>
          <w:b w:val="0"/>
          <w:bCs/>
          <w:color w:val="auto"/>
          <w:sz w:val="24"/>
          <w:szCs w:val="24"/>
          <w:lang w:val="en-US" w:eastAsia="zh-CN"/>
        </w:rPr>
        <w:t>招标文件</w:t>
      </w:r>
      <w:r>
        <w:rPr>
          <w:rFonts w:hint="eastAsia" w:ascii="宋体" w:hAnsi="宋体" w:eastAsia="宋体" w:cs="宋体"/>
          <w:b w:val="0"/>
          <w:bCs/>
          <w:color w:val="auto"/>
          <w:sz w:val="24"/>
          <w:szCs w:val="24"/>
        </w:rPr>
        <w:t>要求的；</w:t>
      </w:r>
    </w:p>
    <w:p w14:paraId="0A29F180">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.投标报价有算术性错误，</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不接受修正价格的；</w:t>
      </w:r>
    </w:p>
    <w:p w14:paraId="3AD41CE1">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t>.</w:t>
      </w:r>
      <w:r>
        <w:rPr>
          <w:rFonts w:hint="eastAsia" w:ascii="宋体" w:hAnsi="宋体" w:eastAsia="宋体" w:cs="宋体"/>
          <w:b w:val="0"/>
          <w:bCs/>
          <w:color w:val="auto"/>
          <w:spacing w:val="-6"/>
          <w:sz w:val="24"/>
          <w:szCs w:val="24"/>
        </w:rPr>
        <w:t>以他人的名义投标、以行贿手段谋取中标或者以其他弄虚作假方式投标的；</w:t>
      </w:r>
    </w:p>
    <w:p w14:paraId="5D237AF0">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t>.属于串（围）标行为的；</w:t>
      </w:r>
    </w:p>
    <w:bookmarkEnd w:id="294"/>
    <w:bookmarkEnd w:id="295"/>
    <w:bookmarkEnd w:id="296"/>
    <w:p w14:paraId="4C1FACFB">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eastAsia" w:ascii="宋体" w:hAnsi="宋体" w:eastAsia="宋体" w:cs="宋体"/>
          <w:b w:val="0"/>
          <w:bCs/>
          <w:color w:val="auto"/>
          <w:kern w:val="0"/>
          <w:sz w:val="24"/>
          <w:szCs w:val="24"/>
          <w:highlight w:val="none"/>
          <w:lang w:bidi="ar"/>
        </w:rPr>
      </w:pP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在评标过程中，</w:t>
      </w:r>
      <w:r>
        <w:rPr>
          <w:rFonts w:hint="eastAsia" w:ascii="宋体" w:hAnsi="宋体" w:eastAsia="宋体" w:cs="宋体"/>
          <w:b w:val="0"/>
          <w:bCs/>
          <w:color w:val="auto"/>
          <w:sz w:val="24"/>
          <w:szCs w:val="24"/>
        </w:rPr>
        <w:t>评标专家评审中发现</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的报价明显低于其他通过符合性审查</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的报价，且该</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的技术等主要指标有大量或明细不符，可能影响</w:t>
      </w:r>
      <w:r>
        <w:rPr>
          <w:rFonts w:hint="eastAsia" w:ascii="宋体" w:hAnsi="宋体" w:eastAsia="宋体" w:cs="宋体"/>
          <w:b w:val="0"/>
          <w:bCs/>
          <w:color w:val="auto"/>
          <w:sz w:val="24"/>
          <w:szCs w:val="24"/>
          <w:lang w:val="en-US" w:eastAsia="zh-CN"/>
        </w:rPr>
        <w:t>服务</w:t>
      </w:r>
      <w:r>
        <w:rPr>
          <w:rFonts w:hint="eastAsia" w:ascii="宋体" w:hAnsi="宋体" w:eastAsia="宋体" w:cs="宋体"/>
          <w:b w:val="0"/>
          <w:bCs/>
          <w:color w:val="auto"/>
          <w:sz w:val="24"/>
          <w:szCs w:val="24"/>
        </w:rPr>
        <w:t>质量或项目履约的，应该要求其在合理的时间内提供书面说明（书面说明应包含但不限于所投详细的价格组成证明材料），</w:t>
      </w:r>
      <w:r>
        <w:rPr>
          <w:rFonts w:hint="eastAsia" w:ascii="宋体" w:hAnsi="宋体" w:eastAsia="宋体" w:cs="宋体"/>
          <w:b w:val="0"/>
          <w:bCs/>
          <w:color w:val="auto"/>
          <w:sz w:val="24"/>
          <w:szCs w:val="24"/>
          <w:lang w:eastAsia="zh-CN"/>
        </w:rPr>
        <w:t>投标人</w:t>
      </w:r>
      <w:r>
        <w:rPr>
          <w:rFonts w:hint="eastAsia" w:ascii="宋体" w:hAnsi="宋体" w:eastAsia="宋体" w:cs="宋体"/>
          <w:b w:val="0"/>
          <w:bCs/>
          <w:color w:val="auto"/>
          <w:sz w:val="24"/>
          <w:szCs w:val="24"/>
        </w:rPr>
        <w:t>不能证明其报价合理性的，评标委员会应当将其作为无效投标处理</w:t>
      </w:r>
      <w:r>
        <w:rPr>
          <w:rFonts w:hint="eastAsia" w:ascii="宋体" w:hAnsi="宋体" w:eastAsia="宋体" w:cs="宋体"/>
          <w:b w:val="0"/>
          <w:bCs/>
          <w:color w:val="auto"/>
          <w:kern w:val="0"/>
          <w:sz w:val="24"/>
          <w:szCs w:val="24"/>
          <w:highlight w:val="none"/>
          <w:lang w:bidi="ar"/>
        </w:rPr>
        <w:t>。</w:t>
      </w:r>
    </w:p>
    <w:p w14:paraId="75FC9B84">
      <w:pPr>
        <w:keepNext w:val="0"/>
        <w:keepLines w:val="0"/>
        <w:pageBreakBefore w:val="0"/>
        <w:widowControl w:val="0"/>
        <w:kinsoku/>
        <w:wordWrap/>
        <w:overflowPunct/>
        <w:topLinePunct w:val="0"/>
        <w:autoSpaceDE/>
        <w:autoSpaceDN/>
        <w:bidi w:val="0"/>
        <w:adjustRightInd/>
        <w:snapToGrid/>
        <w:spacing w:line="500" w:lineRule="exact"/>
        <w:ind w:firstLine="464" w:firstLineChars="200"/>
        <w:jc w:val="left"/>
        <w:textAlignment w:val="auto"/>
        <w:rPr>
          <w:rFonts w:hint="eastAsia" w:ascii="宋体" w:hAnsi="宋体" w:eastAsia="宋体" w:cs="宋体"/>
          <w:b w:val="0"/>
          <w:bCs/>
          <w:color w:val="000000"/>
          <w:sz w:val="24"/>
          <w:szCs w:val="24"/>
        </w:rPr>
      </w:pPr>
      <w:r>
        <w:rPr>
          <w:rFonts w:hint="eastAsia" w:ascii="宋体" w:hAnsi="宋体" w:eastAsia="宋体" w:cs="宋体"/>
          <w:b w:val="0"/>
          <w:bCs/>
          <w:color w:val="auto"/>
          <w:spacing w:val="-4"/>
          <w:sz w:val="24"/>
          <w:szCs w:val="24"/>
          <w:lang w:val="en-US" w:eastAsia="zh-CN"/>
        </w:rPr>
        <w:t>9</w:t>
      </w:r>
      <w:r>
        <w:rPr>
          <w:rFonts w:hint="eastAsia" w:ascii="宋体" w:hAnsi="宋体" w:eastAsia="宋体" w:cs="宋体"/>
          <w:b w:val="0"/>
          <w:bCs/>
          <w:color w:val="auto"/>
          <w:spacing w:val="-4"/>
          <w:sz w:val="24"/>
          <w:szCs w:val="24"/>
        </w:rPr>
        <w:t>.不符合</w:t>
      </w:r>
      <w:r>
        <w:rPr>
          <w:rFonts w:hint="eastAsia" w:ascii="宋体" w:hAnsi="宋体" w:eastAsia="宋体" w:cs="宋体"/>
          <w:b w:val="0"/>
          <w:bCs/>
          <w:color w:val="auto"/>
          <w:spacing w:val="-4"/>
          <w:sz w:val="24"/>
          <w:szCs w:val="24"/>
          <w:lang w:val="en-US" w:eastAsia="zh-CN"/>
        </w:rPr>
        <w:t>招标文件</w:t>
      </w:r>
      <w:r>
        <w:rPr>
          <w:rFonts w:hint="eastAsia" w:ascii="宋体" w:hAnsi="宋体" w:eastAsia="宋体" w:cs="宋体"/>
          <w:b w:val="0"/>
          <w:bCs/>
          <w:color w:val="auto"/>
          <w:spacing w:val="-4"/>
          <w:sz w:val="24"/>
          <w:szCs w:val="24"/>
        </w:rPr>
        <w:t>规定的其他实质性要求及相关法律、法规或规章规定可以否决投标的其他情形。</w:t>
      </w:r>
    </w:p>
    <w:p w14:paraId="7D053951">
      <w:pPr>
        <w:keepNext w:val="0"/>
        <w:keepLines w:val="0"/>
        <w:pageBreakBefore w:val="0"/>
        <w:widowControl w:val="0"/>
        <w:kinsoku/>
        <w:wordWrap/>
        <w:overflowPunct/>
        <w:topLinePunct w:val="0"/>
        <w:autoSpaceDE/>
        <w:autoSpaceDN/>
        <w:bidi w:val="0"/>
        <w:adjustRightInd/>
        <w:snapToGrid/>
        <w:spacing w:line="500" w:lineRule="exact"/>
        <w:ind w:left="0" w:firstLine="482" w:firstLineChars="200"/>
        <w:textAlignment w:val="auto"/>
        <w:rPr>
          <w:rFonts w:hint="eastAsia" w:ascii="宋体" w:hAnsi="宋体" w:eastAsia="宋体" w:cs="宋体"/>
          <w:b/>
          <w:bCs w:val="0"/>
          <w:color w:val="auto"/>
          <w:sz w:val="24"/>
          <w:szCs w:val="24"/>
          <w:lang w:val="en-US" w:eastAsia="zh-CN"/>
        </w:rPr>
      </w:pPr>
      <w:bookmarkStart w:id="297" w:name="_Toc268"/>
      <w:bookmarkEnd w:id="297"/>
      <w:bookmarkStart w:id="298" w:name="_Toc3574"/>
    </w:p>
    <w:p w14:paraId="02B45F5B">
      <w:pPr>
        <w:keepNext w:val="0"/>
        <w:keepLines w:val="0"/>
        <w:pageBreakBefore w:val="0"/>
        <w:widowControl w:val="0"/>
        <w:kinsoku/>
        <w:wordWrap/>
        <w:overflowPunct/>
        <w:topLinePunct w:val="0"/>
        <w:autoSpaceDE/>
        <w:autoSpaceDN/>
        <w:bidi w:val="0"/>
        <w:adjustRightInd/>
        <w:snapToGrid/>
        <w:spacing w:line="500" w:lineRule="exact"/>
        <w:ind w:left="0" w:firstLine="482" w:firstLineChars="200"/>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bCs w:val="0"/>
          <w:color w:val="auto"/>
          <w:sz w:val="24"/>
          <w:szCs w:val="24"/>
          <w:lang w:val="en-US" w:eastAsia="zh-CN"/>
        </w:rPr>
        <w:t>备注：按照《信阳市财政局关于印发信阳市政府采购行为规范的通知》（信财购〔2018〕2号）第五十八条“对于投标文件中非实质性响应条款或不影响采购项目实质性履行的投标文件缺陷，经过采购人认定不影响项目实施的，可以澄清后继续评审的，评审专家不得随意废标。”采购人和代理机构认为不影响实质性响应和公平公正的，可以要求评审小组对该项目继续评审，并由采购人和代理机构做好相关事实、依据记录，采购人和代理机构对继续评审的决定负责。</w:t>
      </w:r>
    </w:p>
    <w:p w14:paraId="2A151EA8">
      <w:pPr>
        <w:rPr>
          <w:rFonts w:hint="eastAsia" w:ascii="宋体" w:hAnsi="宋体" w:eastAsia="宋体" w:cs="宋体"/>
          <w:sz w:val="36"/>
          <w:szCs w:val="36"/>
        </w:rPr>
      </w:pPr>
      <w:r>
        <w:rPr>
          <w:rFonts w:hint="eastAsia" w:ascii="宋体" w:hAnsi="宋体" w:eastAsia="宋体" w:cs="宋体"/>
          <w:sz w:val="36"/>
          <w:szCs w:val="36"/>
        </w:rPr>
        <w:br w:type="page"/>
      </w:r>
    </w:p>
    <w:p w14:paraId="74024605">
      <w:pPr>
        <w:pStyle w:val="2"/>
        <w:bidi w:val="0"/>
        <w:rPr>
          <w:rFonts w:hint="eastAsia" w:ascii="宋体" w:hAnsi="宋体" w:eastAsia="宋体" w:cs="宋体"/>
          <w:b/>
          <w:bCs/>
          <w:kern w:val="0"/>
          <w:sz w:val="21"/>
          <w:szCs w:val="21"/>
        </w:rPr>
      </w:pPr>
      <w:bookmarkStart w:id="299" w:name="_Toc27871"/>
      <w:r>
        <w:rPr>
          <w:rFonts w:hint="eastAsia" w:ascii="宋体" w:hAnsi="宋体" w:eastAsia="宋体" w:cs="宋体"/>
        </w:rPr>
        <w:t xml:space="preserve">第四章 </w:t>
      </w:r>
      <w:r>
        <w:rPr>
          <w:rFonts w:hint="eastAsia" w:ascii="宋体" w:hAnsi="宋体" w:eastAsia="宋体" w:cs="宋体"/>
          <w:lang w:val="en-US" w:eastAsia="zh-CN"/>
        </w:rPr>
        <w:t>采购内容及要求</w:t>
      </w:r>
      <w:bookmarkEnd w:id="299"/>
    </w:p>
    <w:p w14:paraId="071BF43F">
      <w:pPr>
        <w:pStyle w:val="2"/>
        <w:keepNext/>
        <w:keepLines w:val="0"/>
        <w:pageBreakBefore w:val="0"/>
        <w:widowControl w:val="0"/>
        <w:kinsoku/>
        <w:wordWrap/>
        <w:overflowPunct/>
        <w:topLinePunct w:val="0"/>
        <w:autoSpaceDE/>
        <w:autoSpaceDN/>
        <w:bidi w:val="0"/>
        <w:adjustRightInd/>
        <w:snapToGrid/>
        <w:spacing w:before="157" w:beforeLines="50" w:after="157" w:afterLines="50" w:line="500" w:lineRule="exact"/>
        <w:ind w:firstLine="482"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bCs/>
          <w:color w:val="auto"/>
          <w:sz w:val="24"/>
          <w:szCs w:val="24"/>
        </w:rPr>
        <w:t>一、项目</w:t>
      </w:r>
      <w:r>
        <w:rPr>
          <w:rFonts w:hint="eastAsia" w:ascii="宋体" w:hAnsi="宋体" w:eastAsia="宋体" w:cs="宋体"/>
          <w:b/>
          <w:bCs/>
          <w:color w:val="auto"/>
          <w:sz w:val="24"/>
          <w:szCs w:val="24"/>
          <w:lang w:val="en-US" w:eastAsia="zh-CN"/>
        </w:rPr>
        <w:t>基本情况</w:t>
      </w:r>
    </w:p>
    <w:p w14:paraId="790660F7">
      <w:pPr>
        <w:pStyle w:val="2"/>
        <w:keepNext/>
        <w:keepLines w:val="0"/>
        <w:pageBreakBefore w:val="0"/>
        <w:widowControl w:val="0"/>
        <w:kinsoku/>
        <w:wordWrap/>
        <w:overflowPunct/>
        <w:topLinePunct w:val="0"/>
        <w:autoSpaceDE/>
        <w:autoSpaceDN/>
        <w:bidi w:val="0"/>
        <w:adjustRightInd/>
        <w:snapToGrid/>
        <w:spacing w:before="157" w:beforeLines="50" w:after="157" w:afterLines="50" w:line="500" w:lineRule="exact"/>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信阳市羊山新区水环境数字化监管体系建设项目利用“智能自动采样系统”+“全自动AI水检系统”+“人工采样”相结合的方式，对区域内污染源、国省市控断面、管网、入河排口、受纳水体（包含6条城市内河、5条过境河流、21座水库等）等水环境要素长效动态数字化监测监控，形成监测监控一张网，通过信息化平台对监测数据进行研判分析，从而实现羊山新区水环境数字化监管。</w:t>
      </w:r>
    </w:p>
    <w:p w14:paraId="7EAC2890">
      <w:pPr>
        <w:pStyle w:val="2"/>
        <w:keepNext/>
        <w:keepLines w:val="0"/>
        <w:pageBreakBefore w:val="0"/>
        <w:widowControl w:val="0"/>
        <w:kinsoku/>
        <w:wordWrap/>
        <w:overflowPunct/>
        <w:topLinePunct w:val="0"/>
        <w:autoSpaceDE/>
        <w:autoSpaceDN/>
        <w:bidi w:val="0"/>
        <w:adjustRightInd/>
        <w:snapToGrid/>
        <w:spacing w:before="157" w:beforeLines="50" w:after="157" w:afterLines="50" w:line="500" w:lineRule="exact"/>
        <w:ind w:firstLine="482"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lang w:eastAsia="zh-CN"/>
        </w:rPr>
        <w:t>采购内容清单</w:t>
      </w:r>
    </w:p>
    <w:p w14:paraId="5CBD7F02">
      <w:pPr>
        <w:pStyle w:val="2"/>
        <w:keepNext/>
        <w:keepLines w:val="0"/>
        <w:pageBreakBefore w:val="0"/>
        <w:widowControl w:val="0"/>
        <w:kinsoku/>
        <w:wordWrap/>
        <w:overflowPunct/>
        <w:topLinePunct w:val="0"/>
        <w:autoSpaceDE/>
        <w:autoSpaceDN/>
        <w:bidi w:val="0"/>
        <w:adjustRightInd/>
        <w:snapToGrid/>
        <w:spacing w:before="157" w:beforeLines="50" w:after="157" w:afterLines="50" w:line="500" w:lineRule="exact"/>
        <w:ind w:firstLine="480"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本项目采用产品租赁形式，租赁内容包括：全自动AI水检系统（黑灯实验室） 1 套、智能自动采样系统 48 套、流量监控系统5套、智慧监测监管平台 1 套。具体详见清单内容。</w:t>
      </w:r>
    </w:p>
    <w:tbl>
      <w:tblPr>
        <w:tblStyle w:val="22"/>
        <w:tblW w:w="9446" w:type="dxa"/>
        <w:tblInd w:w="2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7"/>
        <w:gridCol w:w="2288"/>
        <w:gridCol w:w="3788"/>
        <w:gridCol w:w="1405"/>
        <w:gridCol w:w="1158"/>
      </w:tblGrid>
      <w:tr w14:paraId="3D570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07"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noWrap/>
            <w:vAlign w:val="center"/>
          </w:tcPr>
          <w:p w14:paraId="1CB6B3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snapToGrid w:val="0"/>
                <w:color w:val="000000"/>
                <w:kern w:val="0"/>
                <w:sz w:val="21"/>
                <w:szCs w:val="21"/>
                <w:u w:val="none"/>
                <w:lang w:val="en-US" w:eastAsia="zh-CN" w:bidi="ar"/>
              </w:rPr>
              <w:t>序号</w:t>
            </w:r>
          </w:p>
        </w:tc>
        <w:tc>
          <w:tcPr>
            <w:tcW w:w="2288"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vAlign w:val="center"/>
          </w:tcPr>
          <w:p w14:paraId="538CFF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snapToGrid w:val="0"/>
                <w:color w:val="000000"/>
                <w:kern w:val="0"/>
                <w:sz w:val="21"/>
                <w:szCs w:val="21"/>
                <w:u w:val="none"/>
                <w:lang w:val="en-US" w:eastAsia="zh-CN" w:bidi="ar"/>
              </w:rPr>
              <w:t>名称</w:t>
            </w:r>
          </w:p>
        </w:tc>
        <w:tc>
          <w:tcPr>
            <w:tcW w:w="3788"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vAlign w:val="center"/>
          </w:tcPr>
          <w:p w14:paraId="7582F4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snapToGrid w:val="0"/>
                <w:color w:val="000000"/>
                <w:kern w:val="0"/>
                <w:sz w:val="21"/>
                <w:szCs w:val="21"/>
                <w:u w:val="none"/>
                <w:lang w:val="en-US" w:eastAsia="zh-CN" w:bidi="ar"/>
              </w:rPr>
              <w:t>配置名称</w:t>
            </w:r>
          </w:p>
        </w:tc>
        <w:tc>
          <w:tcPr>
            <w:tcW w:w="1405"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noWrap/>
            <w:vAlign w:val="center"/>
          </w:tcPr>
          <w:p w14:paraId="256A28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snapToGrid w:val="0"/>
                <w:color w:val="000000"/>
                <w:kern w:val="0"/>
                <w:sz w:val="21"/>
                <w:szCs w:val="21"/>
                <w:u w:val="none"/>
                <w:lang w:val="en-US" w:eastAsia="zh-CN" w:bidi="ar"/>
              </w:rPr>
              <w:t>数量</w:t>
            </w:r>
          </w:p>
        </w:tc>
        <w:tc>
          <w:tcPr>
            <w:tcW w:w="1158"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noWrap/>
            <w:vAlign w:val="center"/>
          </w:tcPr>
          <w:p w14:paraId="635C92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snapToGrid w:val="0"/>
                <w:color w:val="000000"/>
                <w:kern w:val="0"/>
                <w:sz w:val="21"/>
                <w:szCs w:val="21"/>
                <w:u w:val="none"/>
                <w:lang w:val="en-US" w:eastAsia="zh-CN" w:bidi="ar"/>
              </w:rPr>
              <w:t>单位</w:t>
            </w:r>
          </w:p>
        </w:tc>
      </w:tr>
      <w:tr w14:paraId="0964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4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22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66A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全自动AI水检系统</w:t>
            </w:r>
          </w:p>
          <w:p w14:paraId="0BD3A0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（黑灯实验室）</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0C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控制单元</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04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42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121E9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636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6E3A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FA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样品上下线单元</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1D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E8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60D3E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2F8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AA2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13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检测单元组件</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42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68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160C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455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128F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17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样品传送单元</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21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FD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63F20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45C7">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8DA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A1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进样检测单元</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06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DD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476CB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179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1775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96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智能辅助系统</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2B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AD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222A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C08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4048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92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氨氮水质分析</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25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47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75D3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23C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CF65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32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总磷水质分析仪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5E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0C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52E1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248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EF5D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53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总氮水质分析仪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FA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36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5BA96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7F2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BB84F">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6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高锰酸盐指数水质分析仪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FB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B4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7ABB9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A4C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A678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C6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化学需氧量水质分析仪</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68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10</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7D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5782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EE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2</w:t>
            </w:r>
          </w:p>
        </w:tc>
        <w:tc>
          <w:tcPr>
            <w:tcW w:w="2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3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智能管控终端</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B1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智能自动采样系统</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1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48</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62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6C81B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1F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3</w:t>
            </w:r>
          </w:p>
        </w:tc>
        <w:tc>
          <w:tcPr>
            <w:tcW w:w="2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60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流量监测设备</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8B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雷达流量计</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5</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24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套</w:t>
            </w:r>
          </w:p>
        </w:tc>
      </w:tr>
      <w:tr w14:paraId="4239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1E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4</w:t>
            </w:r>
          </w:p>
        </w:tc>
        <w:tc>
          <w:tcPr>
            <w:tcW w:w="2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82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snapToGrid w:val="0"/>
                <w:color w:val="000000"/>
                <w:kern w:val="0"/>
                <w:sz w:val="21"/>
                <w:szCs w:val="21"/>
                <w:u w:val="none"/>
                <w:lang w:val="en-US" w:eastAsia="zh-CN" w:bidi="ar"/>
              </w:rPr>
              <w:t>智慧监测监管平台</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64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pacing w:val="-1"/>
                <w:sz w:val="21"/>
                <w:szCs w:val="21"/>
                <w:lang w:val="en-US" w:eastAsia="zh-CN"/>
              </w:rPr>
              <w:t>智慧监测监管</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36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FA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套</w:t>
            </w:r>
          </w:p>
        </w:tc>
      </w:tr>
      <w:tr w14:paraId="6206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4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5</w:t>
            </w:r>
          </w:p>
        </w:tc>
        <w:tc>
          <w:tcPr>
            <w:tcW w:w="2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FC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运行维护费用</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62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保证投入系统正常运行</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C4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45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年</w:t>
            </w:r>
          </w:p>
        </w:tc>
      </w:tr>
      <w:tr w14:paraId="3958C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vMerge w:val="restart"/>
            <w:tcBorders>
              <w:top w:val="nil"/>
              <w:left w:val="single" w:color="000000" w:sz="4" w:space="0"/>
              <w:bottom w:val="single" w:color="000000" w:sz="4" w:space="0"/>
              <w:right w:val="nil"/>
            </w:tcBorders>
            <w:shd w:val="clear" w:color="auto" w:fill="auto"/>
            <w:noWrap/>
            <w:vAlign w:val="center"/>
          </w:tcPr>
          <w:p w14:paraId="0F9FF4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6</w:t>
            </w:r>
          </w:p>
        </w:tc>
        <w:tc>
          <w:tcPr>
            <w:tcW w:w="22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F1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综合服务</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DF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科学高效的预警应急服务</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DB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53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年</w:t>
            </w:r>
          </w:p>
        </w:tc>
      </w:tr>
      <w:tr w14:paraId="112E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07" w:type="dxa"/>
            <w:vMerge w:val="continue"/>
            <w:tcBorders>
              <w:top w:val="nil"/>
              <w:left w:val="single" w:color="000000" w:sz="4" w:space="0"/>
              <w:bottom w:val="single" w:color="000000" w:sz="4" w:space="0"/>
              <w:right w:val="nil"/>
            </w:tcBorders>
            <w:shd w:val="clear" w:color="auto" w:fill="auto"/>
            <w:noWrap/>
            <w:vAlign w:val="center"/>
          </w:tcPr>
          <w:p w14:paraId="3F2F353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22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66D9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000000"/>
                <w:sz w:val="21"/>
                <w:szCs w:val="21"/>
                <w:u w:val="none"/>
              </w:rPr>
            </w:pP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25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研讨会商服务</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24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07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年</w:t>
            </w:r>
          </w:p>
        </w:tc>
      </w:tr>
    </w:tbl>
    <w:p w14:paraId="2A589955">
      <w:pPr>
        <w:pStyle w:val="2"/>
        <w:keepNext/>
        <w:keepLines w:val="0"/>
        <w:pageBreakBefore w:val="0"/>
        <w:widowControl w:val="0"/>
        <w:kinsoku/>
        <w:wordWrap/>
        <w:overflowPunct/>
        <w:topLinePunct w:val="0"/>
        <w:autoSpaceDE/>
        <w:autoSpaceDN/>
        <w:bidi w:val="0"/>
        <w:adjustRightInd/>
        <w:snapToGrid/>
        <w:spacing w:before="157" w:beforeLines="50" w:after="157" w:afterLines="50" w:line="500" w:lineRule="exact"/>
        <w:ind w:firstLine="482" w:firstLineChars="200"/>
        <w:jc w:val="left"/>
        <w:textAlignment w:val="auto"/>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三、采购内容技术要求</w:t>
      </w:r>
    </w:p>
    <w:p w14:paraId="597AB46D">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1全自动AI水检系统</w:t>
      </w:r>
    </w:p>
    <w:p w14:paraId="5390013F">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2"/>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.1</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总体要求</w:t>
      </w:r>
    </w:p>
    <w:p w14:paraId="65ED58EC">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lang w:eastAsia="zh-CN"/>
        </w:rPr>
        <w:t>（1）</w:t>
      </w:r>
      <w:r>
        <w:rPr>
          <w:rFonts w:hint="eastAsia" w:ascii="宋体" w:hAnsi="宋体" w:eastAsia="宋体" w:cs="宋体"/>
          <w:spacing w:val="0"/>
          <w:sz w:val="24"/>
          <w:szCs w:val="24"/>
          <w:lang w:val="en-US" w:eastAsia="zh-CN"/>
        </w:rPr>
        <w:t xml:space="preserve">可设置检测单元应≥10个， 每个单元可容纳 5 个水质自动分析模块； </w:t>
      </w:r>
    </w:p>
    <w:p w14:paraId="1B614178">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（2）</w:t>
      </w:r>
      <w:r>
        <w:rPr>
          <w:rFonts w:hint="eastAsia" w:ascii="宋体" w:hAnsi="宋体" w:eastAsia="宋体" w:cs="宋体"/>
          <w:spacing w:val="0"/>
          <w:sz w:val="24"/>
          <w:szCs w:val="24"/>
          <w:lang w:val="en-US" w:eastAsia="zh-CN"/>
        </w:rPr>
        <w:t>应具备 24 小时连续样品检测的能力， 系统检测量应≥400个样品/24h；</w:t>
      </w:r>
    </w:p>
    <w:p w14:paraId="31207FDD">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3</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应兼容匹配化学需氧量、高锰酸盐指数、总磷、总氮、氨氮、重金属等多种水质全自动分析单元；可拓展配置 100 余项水质监测指标，支持各水质监测指标自由组合，可实现不同监测参数的灵活切换。</w:t>
      </w:r>
    </w:p>
    <w:p w14:paraId="36F398C2">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4</w:t>
      </w:r>
      <w:r>
        <w:rPr>
          <w:rFonts w:hint="eastAsia" w:ascii="宋体" w:hAnsi="宋体" w:eastAsia="宋体" w:cs="宋体"/>
          <w:spacing w:val="0"/>
          <w:sz w:val="24"/>
          <w:szCs w:val="24"/>
          <w:lang w:eastAsia="zh-CN"/>
        </w:rPr>
        <w:t>）安装和使用场地：自动化流程设计时应充分考虑操作人员与自动化运输设备的分离，避免因人机通道交叉造成安全事故或系统拥堵、故障等，面积控制在6m*8m 范围内。</w:t>
      </w:r>
    </w:p>
    <w:p w14:paraId="3C3BA0FF">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5</w:t>
      </w:r>
      <w:r>
        <w:rPr>
          <w:rFonts w:hint="eastAsia" w:ascii="宋体" w:hAnsi="宋体" w:eastAsia="宋体" w:cs="宋体"/>
          <w:spacing w:val="0"/>
          <w:sz w:val="24"/>
          <w:szCs w:val="24"/>
          <w:lang w:eastAsia="zh-CN"/>
        </w:rPr>
        <w:t>）系统应具备状态自检、故障报警、故障恢复初始化功能，单台检测模块的故障不应导致系统整体停止运行，系统可自/手动禁用进样监测设备。</w:t>
      </w:r>
    </w:p>
    <w:p w14:paraId="3B821C98">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6</w:t>
      </w:r>
      <w:r>
        <w:rPr>
          <w:rFonts w:hint="eastAsia" w:ascii="宋体" w:hAnsi="宋体" w:eastAsia="宋体" w:cs="宋体"/>
          <w:spacing w:val="0"/>
          <w:sz w:val="24"/>
          <w:szCs w:val="24"/>
          <w:lang w:eastAsia="zh-CN"/>
        </w:rPr>
        <w:t>）系统设计应有赋码和标签识别系统，配置标签生成和粘贴设备，所使用的标签应同时满足人工识别和机器识别要求。</w:t>
      </w:r>
    </w:p>
    <w:p w14:paraId="48810D0D">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7</w:t>
      </w:r>
      <w:r>
        <w:rPr>
          <w:rFonts w:hint="eastAsia" w:ascii="宋体" w:hAnsi="宋体" w:eastAsia="宋体" w:cs="宋体"/>
          <w:spacing w:val="0"/>
          <w:sz w:val="24"/>
          <w:szCs w:val="24"/>
          <w:lang w:eastAsia="zh-CN"/>
        </w:rPr>
        <w:t>）投标人针对整个水质全自动分析实验室系统的布局应满足仪器操作要求，布局合理美观，提供现场所需的供水、供气、供电、供网和排水要求。</w:t>
      </w:r>
    </w:p>
    <w:p w14:paraId="54C74538">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2"/>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技术要求</w:t>
      </w:r>
    </w:p>
    <w:p w14:paraId="4D4655B1">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1</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val="en-US" w:eastAsia="zh-CN"/>
        </w:rPr>
        <w:t>控制单元</w:t>
      </w:r>
    </w:p>
    <w:p w14:paraId="761878D4">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由工控机、PLC、控制器、开关电源等各种电子元器件组成。人机交互单元下达的命令由该单元接收，通过该单元的控制器控制各执行单元完成相应的动作</w:t>
      </w:r>
      <w:r>
        <w:rPr>
          <w:rFonts w:hint="eastAsia" w:ascii="宋体" w:hAnsi="宋体" w:cs="宋体"/>
          <w:spacing w:val="0"/>
          <w:sz w:val="24"/>
          <w:szCs w:val="24"/>
          <w:lang w:val="en-US" w:eastAsia="zh-CN"/>
        </w:rPr>
        <w:t>。</w:t>
      </w:r>
    </w:p>
    <w:p w14:paraId="75D3C95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 xml:space="preserve">1.基础软硬件 </w:t>
      </w:r>
    </w:p>
    <w:p w14:paraId="153459C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 xml:space="preserve">应采用国产化的网络数据库服务软件或支持国产化适配，能对系统产生的数据进行双机热备份，确保数据安全； </w:t>
      </w:r>
    </w:p>
    <w:p w14:paraId="35FAA79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 xml:space="preserve">硬件主机应采用模组化工控硬件平台，硬件处理器应采用Intel Core i5 及以上；运行内存8G及以上；存储空间250G SSD 硬盘和500G HHD 硬盘，可扩展 1TB 以上；具有液晶触控显示屏；可USB外接刻录机； </w:t>
      </w:r>
    </w:p>
    <w:p w14:paraId="4B6B7A05">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（3）</w:t>
      </w:r>
      <w:r>
        <w:rPr>
          <w:rFonts w:hint="eastAsia" w:ascii="宋体" w:hAnsi="宋体" w:eastAsia="宋体" w:cs="宋体"/>
          <w:spacing w:val="0"/>
          <w:sz w:val="24"/>
          <w:szCs w:val="24"/>
          <w:lang w:val="en-US" w:eastAsia="zh-CN"/>
        </w:rPr>
        <w:t>数据备份机要求应采用基于ARM架构的硬件平台，采用 LINUX 嵌入式系统，存储空间不低于100G，且应具有扩容接口；</w:t>
      </w:r>
    </w:p>
    <w:p w14:paraId="5802AD34">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2.操作控制模块 </w:t>
      </w:r>
    </w:p>
    <w:p w14:paraId="5C95F941">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 xml:space="preserve">应能实现对机械手、传送轨道、进样器、自动分析仪器及其他配统套设备发布操作命令， 可进行不同设备间的协同控制； </w:t>
      </w:r>
    </w:p>
    <w:p w14:paraId="5F9678CF">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 xml:space="preserve">可控制机械手按次序抓取样品瓶，并自动扫码获取采样瓶编号及样品的转运时长、保存温度和转运过程中瓶盖是否非法开启等信息。可通过上述信息识别样品的有效性，对失效样品进行标识区分； </w:t>
      </w:r>
    </w:p>
    <w:p w14:paraId="2A88A2A7">
      <w:pPr>
        <w:keepNext w:val="0"/>
        <w:keepLines w:val="0"/>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（3）</w:t>
      </w:r>
      <w:r>
        <w:rPr>
          <w:rFonts w:hint="eastAsia" w:ascii="宋体" w:hAnsi="宋体" w:eastAsia="宋体" w:cs="宋体"/>
          <w:spacing w:val="0"/>
          <w:sz w:val="24"/>
          <w:szCs w:val="24"/>
          <w:lang w:val="en-US" w:eastAsia="zh-CN"/>
        </w:rPr>
        <w:t xml:space="preserve">测试过程中应能支持紧急样品随时添加、优先检测等功能，操作灵活； </w:t>
      </w:r>
    </w:p>
    <w:p w14:paraId="5FB09A4C">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（4）</w:t>
      </w:r>
      <w:r>
        <w:rPr>
          <w:rFonts w:hint="eastAsia" w:ascii="宋体" w:hAnsi="宋体" w:eastAsia="宋体" w:cs="宋体"/>
          <w:spacing w:val="0"/>
          <w:sz w:val="24"/>
          <w:szCs w:val="24"/>
          <w:lang w:val="en-US" w:eastAsia="zh-CN"/>
        </w:rPr>
        <w:t xml:space="preserve">应能合理调度样品流转，将待检样品及时送入检测工位， 已检样品及时下线，保证系统高效运行； </w:t>
      </w:r>
    </w:p>
    <w:p w14:paraId="3CC5D562">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（5）</w:t>
      </w:r>
      <w:r>
        <w:rPr>
          <w:rFonts w:hint="eastAsia" w:ascii="宋体" w:hAnsi="宋体" w:eastAsia="宋体" w:cs="宋体"/>
          <w:spacing w:val="0"/>
          <w:sz w:val="24"/>
          <w:szCs w:val="24"/>
          <w:lang w:val="en-US" w:eastAsia="zh-CN"/>
        </w:rPr>
        <w:t xml:space="preserve">应能实时监控检测仪器运行状态，形成运行日志； </w:t>
      </w:r>
    </w:p>
    <w:p w14:paraId="528C237E">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（6）</w:t>
      </w:r>
      <w:r>
        <w:rPr>
          <w:rFonts w:hint="eastAsia" w:ascii="宋体" w:hAnsi="宋体" w:eastAsia="宋体" w:cs="宋体"/>
          <w:spacing w:val="0"/>
          <w:sz w:val="24"/>
          <w:szCs w:val="24"/>
          <w:lang w:val="en-US" w:eastAsia="zh-CN"/>
        </w:rPr>
        <w:t xml:space="preserve">系统应支持远程控制功能、故障自动报警功能、自动/手动禁用进样检测设备功能，系统应支持远程控制功能； </w:t>
      </w:r>
    </w:p>
    <w:p w14:paraId="28D9F415">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w:t>
      </w:r>
      <w:r>
        <w:rPr>
          <w:rFonts w:hint="eastAsia" w:ascii="宋体" w:hAnsi="宋体" w:cs="宋体"/>
          <w:spacing w:val="0"/>
          <w:sz w:val="24"/>
          <w:szCs w:val="24"/>
          <w:lang w:val="en-US" w:eastAsia="zh-CN"/>
        </w:rPr>
        <w:t>（7）</w:t>
      </w:r>
      <w:r>
        <w:rPr>
          <w:rFonts w:hint="eastAsia" w:ascii="宋体" w:hAnsi="宋体" w:eastAsia="宋体" w:cs="宋体"/>
          <w:spacing w:val="0"/>
          <w:sz w:val="24"/>
          <w:szCs w:val="24"/>
          <w:lang w:val="en-US" w:eastAsia="zh-CN"/>
        </w:rPr>
        <w:t>应具备数据自动采集功能，包括监测数据、质控数据、日志信息、设备状态量、报警信息、数据标识信息等。采集的数据应自动添加数据有效性标识， 异常监控数据应能自动识别， 并能自动上传至中心平台；</w:t>
      </w:r>
    </w:p>
    <w:p w14:paraId="0B9E5A2F">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（8）</w:t>
      </w:r>
      <w:r>
        <w:rPr>
          <w:rFonts w:hint="eastAsia" w:ascii="宋体" w:hAnsi="宋体" w:eastAsia="宋体" w:cs="宋体"/>
          <w:spacing w:val="0"/>
          <w:sz w:val="24"/>
          <w:szCs w:val="24"/>
          <w:lang w:val="en-US" w:eastAsia="zh-CN"/>
        </w:rPr>
        <w:t xml:space="preserve">应具有通讯保护机制，当检测到所连接的仪器设备通讯超时后，系统能立即中断运行，避免样品位置信息同步失败造成故障。待通讯正常后，系统应从断点自动恢复运行； </w:t>
      </w:r>
    </w:p>
    <w:p w14:paraId="23BA78CE">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（9）</w:t>
      </w:r>
      <w:r>
        <w:rPr>
          <w:rFonts w:hint="eastAsia" w:ascii="宋体" w:hAnsi="宋体" w:eastAsia="宋体" w:cs="宋体"/>
          <w:spacing w:val="0"/>
          <w:sz w:val="24"/>
          <w:szCs w:val="24"/>
          <w:lang w:val="en-US" w:eastAsia="zh-CN"/>
        </w:rPr>
        <w:t xml:space="preserve">应具备断电保护机制，系统感知市电停电后可自动中断测试，工控机能够及时保存相应的状态及数据，待重新上电后，系统能够从断点自动恢复运行。 </w:t>
      </w:r>
    </w:p>
    <w:p w14:paraId="217D5EDC">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3.人机交互模块 </w:t>
      </w:r>
    </w:p>
    <w:p w14:paraId="47EC9F8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6"/>
          <w:sz w:val="24"/>
          <w:szCs w:val="24"/>
          <w:lang w:val="en-US" w:eastAsia="zh-CN"/>
        </w:rPr>
        <w:t>应采用触屏显示器，可通过人机界面对系统进行设置和控制，操作简捷可视、控制灵活；</w:t>
      </w:r>
      <w:r>
        <w:rPr>
          <w:rFonts w:hint="eastAsia" w:ascii="宋体" w:hAnsi="宋体" w:eastAsia="宋体" w:cs="宋体"/>
          <w:spacing w:val="0"/>
          <w:sz w:val="24"/>
          <w:szCs w:val="24"/>
          <w:lang w:val="en-US" w:eastAsia="zh-CN"/>
        </w:rPr>
        <w:t xml:space="preserve"> </w:t>
      </w:r>
    </w:p>
    <w:p w14:paraId="00942493">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 xml:space="preserve">应具有仿真界面，能以图形化界面显示，直观获取系统运行动态； </w:t>
      </w:r>
    </w:p>
    <w:p w14:paraId="531CAAC1">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（3）</w:t>
      </w:r>
      <w:r>
        <w:rPr>
          <w:rFonts w:hint="eastAsia" w:ascii="宋体" w:hAnsi="宋体" w:eastAsia="宋体" w:cs="宋体"/>
          <w:spacing w:val="0"/>
          <w:sz w:val="24"/>
          <w:szCs w:val="24"/>
          <w:lang w:val="en-US" w:eastAsia="zh-CN"/>
        </w:rPr>
        <w:t xml:space="preserve">应具备样品轨迹跟踪、仪器状态参数、运行流程、检测数据/日志查询、故障报警、故障禁用等显示及查询功能； </w:t>
      </w:r>
    </w:p>
    <w:p w14:paraId="071A6035">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4.数据上传 </w:t>
      </w:r>
    </w:p>
    <w:p w14:paraId="506EA3DE">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 xml:space="preserve">应具有双向数据传输功能和工作状态输出功能； </w:t>
      </w:r>
    </w:p>
    <w:p w14:paraId="4EC09233">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 xml:space="preserve">应具有 RS-232 或 RS-485 或 RJ-45 标准通讯接口； </w:t>
      </w:r>
    </w:p>
    <w:p w14:paraId="43798E59">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（3）</w:t>
      </w:r>
      <w:r>
        <w:rPr>
          <w:rFonts w:hint="eastAsia" w:ascii="宋体" w:hAnsi="宋体" w:eastAsia="宋体" w:cs="宋体"/>
          <w:spacing w:val="-6"/>
          <w:sz w:val="24"/>
          <w:szCs w:val="24"/>
          <w:lang w:val="en-US" w:eastAsia="zh-CN"/>
        </w:rPr>
        <w:t>通讯协议应支持《地表水自动监测系统通讯协议技术要求》（ HJ1404-2024）的要求。</w:t>
      </w:r>
      <w:r>
        <w:rPr>
          <w:rFonts w:hint="eastAsia" w:ascii="宋体" w:hAnsi="宋体" w:eastAsia="宋体" w:cs="宋体"/>
          <w:spacing w:val="0"/>
          <w:sz w:val="24"/>
          <w:szCs w:val="24"/>
          <w:lang w:val="en-US" w:eastAsia="zh-CN"/>
        </w:rPr>
        <w:t xml:space="preserve"> </w:t>
      </w:r>
    </w:p>
    <w:p w14:paraId="219B7308">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5.数据存储及查询 </w:t>
      </w:r>
    </w:p>
    <w:p w14:paraId="50770CBB">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 xml:space="preserve">应具有监测数据及过程日志的查询、导出、自动备份功能，可分类查询样品检测数据、质控数据（空白测试数据、标样核查数据、平行样数据、加标回收率数据等） 及其对应的仪器、系统日志流程信息； </w:t>
      </w:r>
    </w:p>
    <w:p w14:paraId="2F16406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应具有仪器基本参数贮存功能，及关键参数变更的自动记录和查询功能；</w:t>
      </w:r>
    </w:p>
    <w:p w14:paraId="2D276B4C">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（3）</w:t>
      </w:r>
      <w:r>
        <w:rPr>
          <w:rFonts w:hint="eastAsia" w:ascii="宋体" w:hAnsi="宋体" w:eastAsia="宋体" w:cs="宋体"/>
          <w:spacing w:val="0"/>
          <w:sz w:val="24"/>
          <w:szCs w:val="24"/>
          <w:lang w:val="en-US" w:eastAsia="zh-CN"/>
        </w:rPr>
        <w:t xml:space="preserve">应具有监测数据的关联信息及历史工作曲线的存储与查询功能； </w:t>
      </w:r>
    </w:p>
    <w:p w14:paraId="3526DAA6">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（4）</w:t>
      </w:r>
      <w:r>
        <w:rPr>
          <w:rFonts w:hint="eastAsia" w:ascii="宋体" w:hAnsi="宋体" w:eastAsia="宋体" w:cs="宋体"/>
          <w:spacing w:val="0"/>
          <w:sz w:val="24"/>
          <w:szCs w:val="24"/>
          <w:lang w:val="en-US" w:eastAsia="zh-CN"/>
        </w:rPr>
        <w:t xml:space="preserve">应存储不少于 5 年的原始数据和运行日志。 </w:t>
      </w:r>
    </w:p>
    <w:p w14:paraId="39557B45">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6.数据审核：应具有多级数据审核机制，包括数据自动标识、操作人员人工审核、数据分析人员人工审核等；任何的数据退回应附有原因说明，所有的退回记录都应附在最终结果的追溯记录中，以便进行数据溯源。</w:t>
      </w:r>
    </w:p>
    <w:p w14:paraId="1C77B869">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.2.2</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val="en-US" w:eastAsia="zh-CN"/>
        </w:rPr>
        <w:t>样品</w:t>
      </w:r>
      <w:r>
        <w:rPr>
          <w:rFonts w:hint="eastAsia" w:ascii="宋体" w:hAnsi="宋体" w:eastAsia="宋体" w:cs="宋体"/>
          <w:b/>
          <w:bCs/>
          <w:spacing w:val="0"/>
          <w:sz w:val="24"/>
          <w:szCs w:val="24"/>
          <w:lang w:eastAsia="zh-CN"/>
        </w:rPr>
        <w:t>上下样单元</w:t>
      </w:r>
    </w:p>
    <w:p w14:paraId="516A29BB">
      <w:pPr>
        <w:keepNext w:val="0"/>
        <w:keepLines w:val="0"/>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由上样筐、瓶盖放置平台、开关盖机构、去除吸管机构、机械爪机构、下样筐、自动开关门机构组成。通过机械爪机构将未检测的样品从上样筐中按先后顺序抓取到开关盖机构和去除吸管机构完成开盖和去除吸管动作，将旋下来的瓶盖抓取放到瓶盖放置平台，系统记录相应坐标；将没有瓶盖的样品瓶抓取到样品传动单元上；已完成检测的样品由机械爪机构从样品传动单元中抓取到开关盖机构，抓取对应的瓶盖，完成关盖动作，最后抓取到下样筐中按先后顺序摆好，整过过程中自动门都是关闭状态，只有在更换上样筐或者下样筐才会打开，自动门打开状态下该单元机构锁死，不能执行任何动作。</w:t>
      </w:r>
    </w:p>
    <w:p w14:paraId="48CA1565">
      <w:pPr>
        <w:keepNext w:val="0"/>
        <w:keepLines w:val="0"/>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z w:val="24"/>
          <w:szCs w:val="24"/>
          <w:lang w:val="en-US" w:eastAsia="zh-CN"/>
        </w:rPr>
        <w:t>具备以下功能：</w:t>
      </w:r>
    </w:p>
    <w:p w14:paraId="378D78DD">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lang w:eastAsia="zh-CN"/>
        </w:rPr>
        <w:t>（1）</w:t>
      </w:r>
      <w:r>
        <w:rPr>
          <w:rFonts w:hint="eastAsia" w:ascii="宋体" w:hAnsi="宋体" w:eastAsia="宋体" w:cs="宋体"/>
          <w:spacing w:val="0"/>
          <w:sz w:val="24"/>
          <w:szCs w:val="24"/>
          <w:lang w:val="en-US" w:eastAsia="zh-CN"/>
        </w:rPr>
        <w:t xml:space="preserve">应具有视觉抓取功能，能通过机器视觉自动将上样筐内的待检样品瓶按顺序抓取送入传送轨道； </w:t>
      </w:r>
    </w:p>
    <w:p w14:paraId="6EC50619">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▲（2）应能自动感知机械手抓取样品瓶状态， 当出现抓空或未抓紧故障时，系统可及时报警并停机； </w:t>
      </w:r>
    </w:p>
    <w:p w14:paraId="0A0550D9">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3</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 xml:space="preserve">应具备扫码器自动扫码识别读取样品瓶编号、样品类型、监测参数等能力； </w:t>
      </w:r>
    </w:p>
    <w:p w14:paraId="0E7B82C3">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4</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 xml:space="preserve">样品瓶应具备自动开盖，且样品瓶盖与瓶身应关联绑定；可避免瓶盖与瓶身配对错误带来得交叉污染； </w:t>
      </w:r>
    </w:p>
    <w:p w14:paraId="20DE9AA9">
      <w:pPr>
        <w:keepNext w:val="0"/>
        <w:keepLines w:val="0"/>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5</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 xml:space="preserve">样品筐可容纳的待检样品数量应不少于 54 个； </w:t>
      </w:r>
    </w:p>
    <w:p w14:paraId="3F4C4E4D">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6</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样品筐应具有位置检测功能，当样品筐松脱移位时，系统可及时报警，机械手自动停止作业；</w:t>
      </w:r>
    </w:p>
    <w:p w14:paraId="61A7A2E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7</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 xml:space="preserve">样品上下样单元应设置电动门，应对机械手作业区进行防护隔离，自动门打开时， 机械手停止运行； </w:t>
      </w:r>
    </w:p>
    <w:p w14:paraId="0C684368">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8</w:t>
      </w:r>
      <w:r>
        <w:rPr>
          <w:rFonts w:hint="eastAsia" w:ascii="宋体" w:hAnsi="宋体" w:eastAsia="宋体" w:cs="宋体"/>
          <w:spacing w:val="0"/>
          <w:sz w:val="24"/>
          <w:szCs w:val="24"/>
          <w:lang w:eastAsia="zh-CN"/>
        </w:rPr>
        <w:t>）</w:t>
      </w:r>
      <w:r>
        <w:rPr>
          <w:rFonts w:hint="eastAsia" w:ascii="宋体" w:hAnsi="宋体" w:eastAsia="宋体" w:cs="宋体"/>
          <w:spacing w:val="-6"/>
          <w:sz w:val="24"/>
          <w:szCs w:val="24"/>
          <w:lang w:val="en-US" w:eastAsia="zh-CN"/>
        </w:rPr>
        <w:t>样品上样应支持顺序、紧急插队等多种灵活上样模式，可满足加急样品的优先检测需求；</w:t>
      </w:r>
      <w:r>
        <w:rPr>
          <w:rFonts w:hint="eastAsia" w:ascii="宋体" w:hAnsi="宋体" w:eastAsia="宋体" w:cs="宋体"/>
          <w:spacing w:val="0"/>
          <w:sz w:val="24"/>
          <w:szCs w:val="24"/>
          <w:lang w:val="en-US" w:eastAsia="zh-CN"/>
        </w:rPr>
        <w:t xml:space="preserve"> </w:t>
      </w:r>
    </w:p>
    <w:p w14:paraId="66572CBE">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9</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 xml:space="preserve">下线时应能自动拧紧与样品瓶匹配的瓶盖； </w:t>
      </w:r>
    </w:p>
    <w:p w14:paraId="769E3293">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（10）异常下线样品应在系统仿真界面上呈现不同颜色便于识别。</w:t>
      </w:r>
    </w:p>
    <w:p w14:paraId="235CD6BB">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3</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检测单元</w:t>
      </w:r>
      <w:r>
        <w:rPr>
          <w:rFonts w:hint="eastAsia" w:ascii="宋体" w:hAnsi="宋体" w:eastAsia="宋体" w:cs="宋体"/>
          <w:b/>
          <w:bCs/>
          <w:spacing w:val="0"/>
          <w:sz w:val="24"/>
          <w:szCs w:val="24"/>
          <w:lang w:val="en-US" w:eastAsia="zh-CN"/>
        </w:rPr>
        <w:t>组件</w:t>
      </w:r>
    </w:p>
    <w:p w14:paraId="5A787AC0">
      <w:pPr>
        <w:keepNext w:val="0"/>
        <w:keepLines w:val="0"/>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由10套工位仪器台架、网络电源盒、试剂冷箱组成。</w:t>
      </w:r>
    </w:p>
    <w:p w14:paraId="187FFE86">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4</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样品</w:t>
      </w:r>
      <w:r>
        <w:rPr>
          <w:rFonts w:hint="eastAsia" w:ascii="宋体" w:hAnsi="宋体" w:eastAsia="宋体" w:cs="宋体"/>
          <w:b/>
          <w:bCs/>
          <w:spacing w:val="0"/>
          <w:sz w:val="24"/>
          <w:szCs w:val="24"/>
          <w:lang w:val="en-US" w:eastAsia="zh-CN"/>
        </w:rPr>
        <w:t>传送</w:t>
      </w:r>
      <w:r>
        <w:rPr>
          <w:rFonts w:hint="eastAsia" w:ascii="宋体" w:hAnsi="宋体" w:eastAsia="宋体" w:cs="宋体"/>
          <w:b/>
          <w:bCs/>
          <w:spacing w:val="0"/>
          <w:sz w:val="24"/>
          <w:szCs w:val="24"/>
          <w:lang w:eastAsia="zh-CN"/>
        </w:rPr>
        <w:t>单元</w:t>
      </w:r>
    </w:p>
    <w:p w14:paraId="452DCD79">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由伺服驱动组件、柔性链网带和网带支架组成。柔性链网带由隔板分割成108个工位，每个工位可以放置一个样品瓶。样品传送单元将样品上下线单元送过来的未检测样品传送到对应的进样检测单元；将进样检测单元检测完的样品送到样品上下线单元抓取工位，等待样品上下线单元抓取。样品传送单元由伺服驱动组件驱动柔性链网带按2倍工位步数运转。</w:t>
      </w:r>
    </w:p>
    <w:p w14:paraId="575B605B">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具备以下功能：</w:t>
      </w:r>
    </w:p>
    <w:p w14:paraId="7ABF766D">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（1）轨道可容纳样品瓶数量≥108 个。</w:t>
      </w:r>
    </w:p>
    <w:p w14:paraId="08A30BEF">
      <w:pPr>
        <w:keepNext w:val="0"/>
        <w:keepLines w:val="0"/>
        <w:pageBreakBefore w:val="0"/>
        <w:kinsoku/>
        <w:wordWrap/>
        <w:overflowPunct/>
        <w:topLinePunct w:val="0"/>
        <w:autoSpaceDE/>
        <w:autoSpaceDN/>
        <w:bidi w:val="0"/>
        <w:adjustRightInd/>
        <w:snapToGrid/>
        <w:spacing w:line="500" w:lineRule="exact"/>
        <w:ind w:left="0" w:righ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（2）具有传送轨道偏移、卡死、异常堵转等故障报警及自动修正复位功能。</w:t>
      </w:r>
    </w:p>
    <w:p w14:paraId="0C405502">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（3）可根据传送轨道上样品瓶数量动态调整传送步长，提升样品瓶传送效率。</w:t>
      </w:r>
    </w:p>
    <w:p w14:paraId="6921587A">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（4）样品瓶在传送轨道上的位置编号及占位情况可在系统仿真（中控系统）界面上动态实时显示，实现样品位置及状态信息实时跟踪、查询、展示。</w:t>
      </w:r>
    </w:p>
    <w:p w14:paraId="6C4EFA59">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（5）传送带定位精度±5mm。</w:t>
      </w:r>
    </w:p>
    <w:p w14:paraId="586065D4">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5</w:t>
      </w:r>
      <w:r>
        <w:rPr>
          <w:rFonts w:hint="eastAsia" w:ascii="宋体" w:hAnsi="宋体" w:eastAsia="宋体" w:cs="宋体"/>
          <w:spacing w:val="0"/>
          <w:sz w:val="24"/>
          <w:szCs w:val="24"/>
          <w:lang w:eastAsia="zh-CN"/>
        </w:rPr>
        <w:t xml:space="preserve"> </w:t>
      </w:r>
      <w:r>
        <w:rPr>
          <w:rFonts w:ascii="宋体" w:hAnsi="宋体" w:eastAsia="宋体" w:cs="宋体"/>
          <w:b/>
          <w:bCs/>
          <w:spacing w:val="-3"/>
          <w:sz w:val="24"/>
          <w:szCs w:val="24"/>
          <w:lang w:eastAsia="zh-CN"/>
        </w:rPr>
        <w:t>系统进样</w:t>
      </w:r>
      <w:r>
        <w:rPr>
          <w:rFonts w:hint="eastAsia" w:ascii="宋体" w:hAnsi="宋体" w:eastAsia="宋体" w:cs="宋体"/>
          <w:b/>
          <w:bCs/>
          <w:spacing w:val="-3"/>
          <w:sz w:val="24"/>
          <w:szCs w:val="24"/>
          <w:lang w:val="en-US" w:eastAsia="zh-CN"/>
        </w:rPr>
        <w:t>检测</w:t>
      </w:r>
      <w:r>
        <w:rPr>
          <w:rFonts w:ascii="宋体" w:hAnsi="宋体" w:eastAsia="宋体" w:cs="宋体"/>
          <w:b/>
          <w:bCs/>
          <w:spacing w:val="-3"/>
          <w:sz w:val="24"/>
          <w:szCs w:val="24"/>
          <w:lang w:eastAsia="zh-CN"/>
        </w:rPr>
        <w:t>单元</w:t>
      </w:r>
    </w:p>
    <w:p w14:paraId="7B61DB67">
      <w:pPr>
        <w:spacing w:before="181" w:line="360" w:lineRule="auto"/>
        <w:ind w:left="24" w:right="18" w:firstLine="490"/>
        <w:rPr>
          <w:rFonts w:hint="eastAsia" w:ascii="宋体" w:hAnsi="宋体" w:eastAsia="宋体" w:cs="宋体"/>
          <w:sz w:val="24"/>
          <w:szCs w:val="24"/>
          <w:lang w:eastAsia="zh-CN"/>
        </w:rPr>
      </w:pPr>
      <w:r>
        <w:rPr>
          <w:rFonts w:hint="eastAsia" w:ascii="宋体" w:hAnsi="宋体" w:eastAsia="宋体" w:cs="宋体"/>
          <w:sz w:val="24"/>
          <w:szCs w:val="24"/>
          <w:lang w:eastAsia="zh-CN"/>
        </w:rPr>
        <w:t>由自动进样模块和分析模组（含4-5个分析模块）组成。自动进样模块将样品传送单元送过来的未检测样品拉进自动进样模块完成取水样动作，分析模块根据系统任务分配完成对应的参数检测；最有由自动进样模块将完成检测的样品推出至样品传送单元</w:t>
      </w:r>
      <w:r>
        <w:rPr>
          <w:rFonts w:hint="eastAsia" w:ascii="宋体" w:hAnsi="宋体" w:cs="宋体"/>
          <w:sz w:val="24"/>
          <w:szCs w:val="24"/>
          <w:lang w:eastAsia="zh-CN"/>
        </w:rPr>
        <w:t>。</w:t>
      </w:r>
    </w:p>
    <w:p w14:paraId="39F34276">
      <w:pPr>
        <w:spacing w:before="181" w:line="360" w:lineRule="auto"/>
        <w:ind w:left="24" w:right="18" w:firstLine="490"/>
        <w:rPr>
          <w:rFonts w:hint="eastAsia" w:ascii="宋体" w:hAnsi="宋体" w:eastAsia="宋体" w:cs="宋体"/>
          <w:snapToGrid w:val="0"/>
          <w:color w:val="000000"/>
          <w:spacing w:val="0"/>
          <w:kern w:val="0"/>
          <w:sz w:val="24"/>
          <w:szCs w:val="24"/>
          <w:highlight w:val="none"/>
          <w:lang w:val="en-US" w:eastAsia="zh-CN" w:bidi="ar"/>
        </w:rPr>
      </w:pPr>
      <w:r>
        <w:rPr>
          <w:rFonts w:hint="eastAsia" w:ascii="宋体" w:hAnsi="宋体" w:eastAsia="宋体" w:cs="宋体"/>
          <w:sz w:val="24"/>
          <w:szCs w:val="24"/>
          <w:lang w:eastAsia="zh-CN"/>
        </w:rPr>
        <w:t>自动进样模块</w:t>
      </w:r>
      <w:r>
        <w:rPr>
          <w:rFonts w:hint="eastAsia" w:ascii="宋体" w:hAnsi="宋体" w:eastAsia="宋体" w:cs="宋体"/>
          <w:sz w:val="24"/>
          <w:szCs w:val="24"/>
          <w:lang w:val="en-US" w:eastAsia="zh-CN"/>
        </w:rPr>
        <w:t>功能：</w:t>
      </w:r>
    </w:p>
    <w:p w14:paraId="28445D3E">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rPr>
          <w:rFonts w:hint="eastAsia" w:ascii="宋体" w:hAnsi="宋体" w:eastAsia="宋体" w:cs="宋体"/>
          <w:spacing w:val="0"/>
          <w:sz w:val="24"/>
          <w:szCs w:val="24"/>
          <w:highlight w:val="none"/>
          <w:lang w:eastAsia="zh-CN"/>
        </w:rPr>
      </w:pPr>
      <w:r>
        <w:rPr>
          <w:rFonts w:hint="eastAsia" w:ascii="宋体" w:hAnsi="宋体" w:eastAsia="宋体" w:cs="宋体"/>
          <w:snapToGrid w:val="0"/>
          <w:color w:val="000000"/>
          <w:spacing w:val="0"/>
          <w:kern w:val="0"/>
          <w:sz w:val="24"/>
          <w:szCs w:val="24"/>
          <w:highlight w:val="none"/>
          <w:lang w:val="en-US" w:eastAsia="zh-CN" w:bidi="ar"/>
        </w:rPr>
        <w:t>▲</w:t>
      </w:r>
      <w:r>
        <w:rPr>
          <w:rFonts w:hint="eastAsia" w:ascii="宋体" w:hAnsi="宋体" w:eastAsia="宋体" w:cs="宋体"/>
          <w:spacing w:val="0"/>
          <w:sz w:val="24"/>
          <w:szCs w:val="24"/>
          <w:highlight w:val="none"/>
          <w:lang w:eastAsia="zh-CN"/>
        </w:rPr>
        <w:t>（1）具有待测样品自动识别并抓取至检测工位的功能</w:t>
      </w:r>
      <w:r>
        <w:rPr>
          <w:rFonts w:hint="eastAsia" w:ascii="宋体" w:hAnsi="宋体" w:cs="宋体"/>
          <w:spacing w:val="0"/>
          <w:sz w:val="24"/>
          <w:szCs w:val="24"/>
          <w:highlight w:val="none"/>
          <w:lang w:eastAsia="zh-CN"/>
        </w:rPr>
        <w:t>；</w:t>
      </w:r>
      <w:r>
        <w:rPr>
          <w:rFonts w:hint="eastAsia" w:ascii="宋体" w:hAnsi="宋体" w:eastAsia="宋体" w:cs="宋体"/>
          <w:spacing w:val="0"/>
          <w:sz w:val="24"/>
          <w:szCs w:val="24"/>
          <w:highlight w:val="none"/>
          <w:lang w:eastAsia="zh-CN"/>
        </w:rPr>
        <w:t>具有取样完成的样品自动推出工位的功能</w:t>
      </w:r>
      <w:r>
        <w:rPr>
          <w:rFonts w:hint="eastAsia" w:ascii="宋体" w:hAnsi="宋体" w:cs="宋体"/>
          <w:spacing w:val="0"/>
          <w:sz w:val="24"/>
          <w:szCs w:val="24"/>
          <w:highlight w:val="none"/>
          <w:lang w:eastAsia="zh-CN"/>
        </w:rPr>
        <w:t>；</w:t>
      </w:r>
      <w:r>
        <w:rPr>
          <w:rFonts w:hint="eastAsia" w:ascii="宋体" w:hAnsi="宋体" w:eastAsia="宋体" w:cs="宋体"/>
          <w:spacing w:val="0"/>
          <w:sz w:val="24"/>
          <w:szCs w:val="24"/>
          <w:highlight w:val="none"/>
          <w:lang w:eastAsia="zh-CN"/>
        </w:rPr>
        <w:t>具有进样针及进样管路自动润洗及清洗功能</w:t>
      </w:r>
      <w:r>
        <w:rPr>
          <w:rFonts w:hint="eastAsia" w:ascii="宋体" w:hAnsi="宋体" w:cs="宋体"/>
          <w:spacing w:val="0"/>
          <w:sz w:val="24"/>
          <w:szCs w:val="24"/>
          <w:highlight w:val="none"/>
          <w:lang w:eastAsia="zh-CN"/>
        </w:rPr>
        <w:t>；</w:t>
      </w:r>
      <w:r>
        <w:rPr>
          <w:rFonts w:hint="eastAsia" w:ascii="宋体" w:hAnsi="宋体" w:eastAsia="宋体" w:cs="宋体"/>
          <w:spacing w:val="0"/>
          <w:sz w:val="24"/>
          <w:szCs w:val="24"/>
          <w:highlight w:val="none"/>
          <w:lang w:eastAsia="zh-CN"/>
        </w:rPr>
        <w:t>具有通讯故障、移瓶故障、电机故障等报警功能</w:t>
      </w:r>
      <w:r>
        <w:rPr>
          <w:rFonts w:hint="eastAsia" w:ascii="宋体" w:hAnsi="宋体" w:cs="宋体"/>
          <w:spacing w:val="0"/>
          <w:sz w:val="24"/>
          <w:szCs w:val="24"/>
          <w:highlight w:val="none"/>
          <w:lang w:eastAsia="zh-CN"/>
        </w:rPr>
        <w:t>；</w:t>
      </w:r>
      <w:r>
        <w:rPr>
          <w:rFonts w:hint="eastAsia" w:ascii="宋体" w:hAnsi="宋体" w:eastAsia="宋体" w:cs="宋体"/>
          <w:spacing w:val="0"/>
          <w:sz w:val="24"/>
          <w:szCs w:val="24"/>
          <w:highlight w:val="none"/>
          <w:lang w:eastAsia="zh-CN"/>
        </w:rPr>
        <w:t>采用液体非接触式动力泵进行准确计量，免维护校准，保证试剂及进样的准确度和稳定性。</w:t>
      </w:r>
    </w:p>
    <w:p w14:paraId="2732208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cs="宋体"/>
          <w:spacing w:val="0"/>
          <w:sz w:val="24"/>
          <w:szCs w:val="24"/>
          <w:lang w:val="en-US" w:eastAsia="zh-CN"/>
        </w:rPr>
        <w:t>2</w:t>
      </w:r>
      <w:r>
        <w:rPr>
          <w:rFonts w:hint="eastAsia" w:ascii="宋体" w:hAnsi="宋体" w:eastAsia="宋体" w:cs="宋体"/>
          <w:spacing w:val="0"/>
          <w:sz w:val="24"/>
          <w:szCs w:val="24"/>
          <w:lang w:eastAsia="zh-CN"/>
        </w:rPr>
        <w:t>）采用数字光电计量传感器进行计量，具有光电自平衡功能，不与试剂直接接触。</w:t>
      </w:r>
    </w:p>
    <w:p w14:paraId="714A508B">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cs="宋体"/>
          <w:spacing w:val="0"/>
          <w:sz w:val="24"/>
          <w:szCs w:val="24"/>
          <w:lang w:val="en-US" w:eastAsia="zh-CN"/>
        </w:rPr>
        <w:t>3</w:t>
      </w:r>
      <w:r>
        <w:rPr>
          <w:rFonts w:hint="eastAsia" w:ascii="宋体" w:hAnsi="宋体" w:eastAsia="宋体" w:cs="宋体"/>
          <w:spacing w:val="0"/>
          <w:sz w:val="24"/>
          <w:szCs w:val="24"/>
          <w:lang w:eastAsia="zh-CN"/>
        </w:rPr>
        <w:t>）可自动判别计量管路洁净程度，具有计量管污染程度报警功能。</w:t>
      </w:r>
    </w:p>
    <w:p w14:paraId="1B0AF836">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cs="宋体"/>
          <w:spacing w:val="0"/>
          <w:sz w:val="24"/>
          <w:szCs w:val="24"/>
          <w:lang w:val="en-US" w:eastAsia="zh-CN"/>
        </w:rPr>
        <w:t>4</w:t>
      </w:r>
      <w:r>
        <w:rPr>
          <w:rFonts w:hint="eastAsia" w:ascii="宋体" w:hAnsi="宋体" w:eastAsia="宋体" w:cs="宋体"/>
          <w:spacing w:val="0"/>
          <w:sz w:val="24"/>
          <w:szCs w:val="24"/>
          <w:lang w:eastAsia="zh-CN"/>
        </w:rPr>
        <w:t>）具有管路密封检测功能，可自动检测液位状态，并具有非正常状态报警提示功能。</w:t>
      </w:r>
    </w:p>
    <w:p w14:paraId="5FED056C">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分析模组须具有以下功能：</w:t>
      </w:r>
    </w:p>
    <w:p w14:paraId="0ABD4E5C">
      <w:pPr>
        <w:keepNext w:val="0"/>
        <w:keepLines w:val="0"/>
        <w:pageBreakBefore w:val="0"/>
        <w:kinsoku/>
        <w:wordWrap/>
        <w:overflowPunct/>
        <w:topLinePunct w:val="0"/>
        <w:autoSpaceDE/>
        <w:autoSpaceDN/>
        <w:bidi w:val="0"/>
        <w:adjustRightInd/>
        <w:snapToGrid/>
        <w:spacing w:line="500" w:lineRule="exact"/>
        <w:ind w:right="0" w:firstLine="240" w:firstLineChars="100"/>
        <w:textAlignment w:val="auto"/>
        <w:outlineLvl w:val="3"/>
        <w:rPr>
          <w:rFonts w:hint="eastAsia" w:ascii="宋体" w:hAnsi="宋体" w:eastAsia="宋体" w:cs="宋体"/>
          <w:b w:val="0"/>
          <w:bCs w:val="0"/>
          <w:spacing w:val="0"/>
          <w:sz w:val="24"/>
          <w:szCs w:val="24"/>
          <w:lang w:eastAsia="zh-CN"/>
        </w:rPr>
      </w:pPr>
      <w:r>
        <w:rPr>
          <w:rFonts w:hint="eastAsia" w:ascii="宋体" w:hAnsi="宋体" w:eastAsia="宋体" w:cs="宋体"/>
          <w:b w:val="0"/>
          <w:bCs w:val="0"/>
          <w:spacing w:val="0"/>
          <w:sz w:val="24"/>
          <w:szCs w:val="24"/>
          <w:lang w:eastAsia="zh-CN"/>
        </w:rPr>
        <w:t>▲</w:t>
      </w: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应采用液体非接触式动力泵进行准确计量，免维护校准，保证试剂及进样的准确度和稳定性； </w:t>
      </w:r>
    </w:p>
    <w:p w14:paraId="0BFFE114">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2</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应采用数字光电计量传感器进行计量，具有光电自平衡功能， 不与试剂直接接触； </w:t>
      </w:r>
    </w:p>
    <w:p w14:paraId="7089BC4A">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3</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应能自动判别计量管路洁净程度，具有计量管污染程度报警功能； </w:t>
      </w:r>
    </w:p>
    <w:p w14:paraId="6B83911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4</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应具有管路密封检测功能，可自动检测液位状态，并具有非正常状态报警提示功能； </w:t>
      </w:r>
    </w:p>
    <w:p w14:paraId="472C224D">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5</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应具备集成干扰消除模块，可动态扣除浊度、色度的影响，具有抗浊度、抗色度干扰功能； </w:t>
      </w:r>
    </w:p>
    <w:p w14:paraId="0B6DDE0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6</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应具有前处理方式和检测方法的设置功能； </w:t>
      </w:r>
    </w:p>
    <w:p w14:paraId="36992E5C">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7</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应支持连续进样检测模式，即后序样品预处理与前序样品的检测过程同步进行， 提高检测效率； </w:t>
      </w:r>
    </w:p>
    <w:p w14:paraId="2284A3C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8</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每个测试数据具有独立关键指标记录功能，如当前测试数据对应的消解温度、消解时间、校准曲线、显色温度等； </w:t>
      </w:r>
    </w:p>
    <w:p w14:paraId="2871B1D8">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9</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应具备自动标样核查、空白核查、空白校准、标样校准、工作曲线标定、加标回收率测试等功能； </w:t>
      </w:r>
    </w:p>
    <w:p w14:paraId="3A10E26F">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10</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应具备一键自动清洗功能及断电、故障恢复初始化功能和仪器电路、气路、液路及关键部件健康状态诊断和查询的功能及关键零部件故障自动停机功能； </w:t>
      </w:r>
    </w:p>
    <w:p w14:paraId="5FC03F39">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11</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 应具有仪器故障自动报警功能，如零部件故障、超量程报警、异常数据报警、缺试剂（水样、蒸馏水、试剂）报警等信息，并能够记录、上传； </w:t>
      </w:r>
    </w:p>
    <w:p w14:paraId="70F3851B">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12</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应能自动定量加注试剂， 各类试剂具有独立的试剂管路，试剂及耗材具有余量监控及报警功能； </w:t>
      </w:r>
    </w:p>
    <w:p w14:paraId="0D3744CF">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13</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应具有批量检测样品功能，支持整筐样品上样检测，单批可连续分析不少于54个样品； </w:t>
      </w:r>
    </w:p>
    <w:p w14:paraId="0AA62994">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14</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检测器应采用高度集成模块化设计，支持快速切换， 可支持高锰酸盐、氨氮、总磷、总氮等参数检测，检测信号应稳定可靠</w:t>
      </w:r>
      <w:r>
        <w:rPr>
          <w:rFonts w:hint="eastAsia" w:ascii="宋体" w:hAnsi="宋体" w:cs="宋体"/>
          <w:b w:val="0"/>
          <w:bCs w:val="0"/>
          <w:spacing w:val="0"/>
          <w:sz w:val="24"/>
          <w:szCs w:val="24"/>
          <w:lang w:eastAsia="zh-CN"/>
        </w:rPr>
        <w:t>；</w:t>
      </w:r>
    </w:p>
    <w:p w14:paraId="4BD9A222">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15</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高锰酸盐、氨氮、总磷、总氮等参数的检测分析方法应依据国家标准方法原理， 具备完整的实验室全能实现仪器全流程自动完成取样、加试剂、前处理、反应、检测、数据采集与处理、数据报告生成等流程</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 </w:t>
      </w:r>
    </w:p>
    <w:p w14:paraId="66416D77">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16</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应具备完整实验室全过程质控功能，可自定义全流程质控方案，每批次水样同步插入质控，能加入空白试验、精密度控制、准确度控制、抗干扰性等多个质控措施； </w:t>
      </w:r>
    </w:p>
    <w:p w14:paraId="2737F6BA">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17</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总氮、总磷分析模块应具备高压消解前处理器，需有 PID 精准控温，保证消解温度的一致性和稳定性，应有过温保护等安全防护和报警机制；多重安全保护，支持自动加水、排水、水位监测、异常报警等功能； </w:t>
      </w:r>
    </w:p>
    <w:p w14:paraId="7BCABF38">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18</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全自动高锰酸盐分析单元应能同时支持酸性法、碱性法，具备二维码水样识别、样品前处理、沸水浴消解、试剂定量添加、高精度注射泵智能滴定等功能，可自动生成原始数据</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消解温度、滴定温度、滴定体积、滴定过程可视化智能观测、回溯（信号变化、照片、视频）；应具有智能恒温系统（±1℃）以及自动补水系统，保证水浴消解及滴定温度精准稳定； </w:t>
      </w:r>
    </w:p>
    <w:p w14:paraId="1825112F">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19</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 xml:space="preserve">应具有人性化检测界面、按钮、灯光状态提示和仪器状态显示功能； </w:t>
      </w:r>
    </w:p>
    <w:p w14:paraId="0832C62A">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outlineLvl w:val="3"/>
        <w:rPr>
          <w:rFonts w:hint="eastAsia" w:ascii="宋体" w:hAnsi="宋体" w:eastAsia="宋体" w:cs="宋体"/>
          <w:b w:val="0"/>
          <w:bCs w:val="0"/>
          <w:spacing w:val="0"/>
          <w:sz w:val="24"/>
          <w:szCs w:val="24"/>
          <w:lang w:eastAsia="zh-CN"/>
        </w:rPr>
      </w:pPr>
      <w:r>
        <w:rPr>
          <w:rFonts w:hint="eastAsia" w:ascii="宋体" w:hAnsi="宋体" w:cs="宋体"/>
          <w:b w:val="0"/>
          <w:bCs w:val="0"/>
          <w:spacing w:val="0"/>
          <w:sz w:val="24"/>
          <w:szCs w:val="24"/>
          <w:lang w:eastAsia="zh-CN"/>
        </w:rPr>
        <w:t>（</w:t>
      </w:r>
      <w:r>
        <w:rPr>
          <w:rFonts w:hint="eastAsia" w:ascii="宋体" w:hAnsi="宋体" w:cs="宋体"/>
          <w:b w:val="0"/>
          <w:bCs w:val="0"/>
          <w:spacing w:val="0"/>
          <w:sz w:val="24"/>
          <w:szCs w:val="24"/>
          <w:lang w:val="en-US" w:eastAsia="zh-CN"/>
        </w:rPr>
        <w:t>20</w:t>
      </w:r>
      <w:r>
        <w:rPr>
          <w:rFonts w:hint="eastAsia" w:ascii="宋体" w:hAnsi="宋体" w:cs="宋体"/>
          <w:b w:val="0"/>
          <w:bCs w:val="0"/>
          <w:spacing w:val="0"/>
          <w:sz w:val="24"/>
          <w:szCs w:val="24"/>
          <w:lang w:eastAsia="zh-CN"/>
        </w:rPr>
        <w:t>）</w:t>
      </w:r>
      <w:r>
        <w:rPr>
          <w:rFonts w:hint="eastAsia" w:ascii="宋体" w:hAnsi="宋体" w:eastAsia="宋体" w:cs="宋体"/>
          <w:b w:val="0"/>
          <w:bCs w:val="0"/>
          <w:spacing w:val="0"/>
          <w:sz w:val="24"/>
          <w:szCs w:val="24"/>
          <w:lang w:eastAsia="zh-CN"/>
        </w:rPr>
        <w:t>检测数据具备兼容实验室 LIMS 系统扩展功能。</w:t>
      </w:r>
    </w:p>
    <w:p w14:paraId="6C18EE8C">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val="en-US" w:eastAsia="zh-CN"/>
        </w:rPr>
        <w:t>智能</w:t>
      </w:r>
      <w:r>
        <w:rPr>
          <w:rFonts w:hint="eastAsia" w:ascii="宋体" w:hAnsi="宋体" w:eastAsia="宋体" w:cs="宋体"/>
          <w:b/>
          <w:bCs/>
          <w:spacing w:val="0"/>
          <w:sz w:val="24"/>
          <w:szCs w:val="24"/>
          <w:lang w:eastAsia="zh-CN"/>
        </w:rPr>
        <w:t>辅助</w:t>
      </w:r>
      <w:r>
        <w:rPr>
          <w:rFonts w:hint="eastAsia" w:ascii="宋体" w:hAnsi="宋体" w:eastAsia="宋体" w:cs="宋体"/>
          <w:b/>
          <w:bCs/>
          <w:spacing w:val="0"/>
          <w:sz w:val="24"/>
          <w:szCs w:val="24"/>
          <w:lang w:val="en-US" w:eastAsia="zh-CN"/>
        </w:rPr>
        <w:t>系统</w:t>
      </w:r>
    </w:p>
    <w:p w14:paraId="2FA7459A">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b/>
          <w:bCs/>
          <w:spacing w:val="0"/>
          <w:sz w:val="24"/>
          <w:szCs w:val="24"/>
          <w:lang w:eastAsia="zh-CN"/>
        </w:rPr>
        <w:t>.1</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供电单元</w:t>
      </w:r>
    </w:p>
    <w:p w14:paraId="01EE3066">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（1）系统应配备 UPS，容量≥3KVA；</w:t>
      </w:r>
    </w:p>
    <w:p w14:paraId="0EDF2E8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（2）具备断电自我保护及来电自动恢复功能，断电可自动保存当前的状态和检测进度、数据，工控机自动进行软关机以避免数据库损坏。待重新上电后，系统可从断点自动恢复运行。</w:t>
      </w:r>
    </w:p>
    <w:p w14:paraId="32E40A74">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b/>
          <w:bCs/>
          <w:spacing w:val="0"/>
          <w:sz w:val="24"/>
          <w:szCs w:val="24"/>
          <w:lang w:eastAsia="zh-CN"/>
        </w:rPr>
        <w:t>.2</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废液处理单元</w:t>
      </w:r>
    </w:p>
    <w:p w14:paraId="70E22B1A">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配备废液自动收集单元，满足各检测单元正常运行。</w:t>
      </w:r>
    </w:p>
    <w:p w14:paraId="069E8CB6">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b/>
          <w:bCs/>
          <w:spacing w:val="0"/>
          <w:sz w:val="24"/>
          <w:szCs w:val="24"/>
          <w:lang w:eastAsia="zh-CN"/>
        </w:rPr>
        <w:t>.3</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制水单元</w:t>
      </w:r>
    </w:p>
    <w:p w14:paraId="6AC90714">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满足《分析实验室用水规格和试验方法》GB/T 6682-2008 中一级水级别。</w:t>
      </w:r>
    </w:p>
    <w:p w14:paraId="7B1050B4">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b/>
          <w:bCs/>
          <w:spacing w:val="0"/>
          <w:sz w:val="24"/>
          <w:szCs w:val="24"/>
          <w:lang w:eastAsia="zh-CN"/>
        </w:rPr>
        <w:t>.4</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试剂冷藏单元</w:t>
      </w:r>
    </w:p>
    <w:p w14:paraId="4D4AD1BB">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配合自动监测设备或模块运行使用，温度在 0-10℃范围内可控，并具备温度及试剂余量显示及报警功能；</w:t>
      </w:r>
    </w:p>
    <w:p w14:paraId="0D05A36C">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.2.</w:t>
      </w:r>
      <w:r>
        <w:rPr>
          <w:rFonts w:hint="eastAsia" w:ascii="宋体" w:hAnsi="宋体" w:eastAsia="宋体" w:cs="宋体"/>
          <w:b/>
          <w:bCs/>
          <w:spacing w:val="0"/>
          <w:sz w:val="24"/>
          <w:szCs w:val="24"/>
          <w:lang w:val="en-US" w:eastAsia="zh-CN"/>
        </w:rPr>
        <w:t>6</w:t>
      </w:r>
      <w:r>
        <w:rPr>
          <w:rFonts w:hint="eastAsia" w:ascii="宋体" w:hAnsi="宋体" w:eastAsia="宋体" w:cs="宋体"/>
          <w:b/>
          <w:bCs/>
          <w:spacing w:val="0"/>
          <w:sz w:val="24"/>
          <w:szCs w:val="24"/>
          <w:lang w:eastAsia="zh-CN"/>
        </w:rPr>
        <w:t>.5</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采样瓶</w:t>
      </w:r>
    </w:p>
    <w:p w14:paraId="087F3F3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体积：不小于500ml；材质：适用于水质智能化监测分析系统，不干扰各监测因子测定。</w:t>
      </w:r>
    </w:p>
    <w:p w14:paraId="14D39048">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全自动水质分析仪器</w:t>
      </w:r>
    </w:p>
    <w:p w14:paraId="424E9722">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1</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所有仪器采用模块化设计，可自由组合拼接，在后期扩展升级过程中只需要加装模块或者系统更换，不需要整机更换。</w:t>
      </w:r>
    </w:p>
    <w:p w14:paraId="73FD89D0">
      <w:pPr>
        <w:keepNext w:val="0"/>
        <w:keepLines w:val="0"/>
        <w:pageBreakBefore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2</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仪器应具备维护简单、停机时间短的特性，仪器某个部件的故障不会影响该参数的继续检测和其他参数的检测运行，现场能进行快速备机替换，维护效率高。</w:t>
      </w:r>
    </w:p>
    <w:p w14:paraId="02E747CA">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4"/>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.1.1</w:t>
      </w:r>
      <w:r>
        <w:rPr>
          <w:rFonts w:hint="eastAsia" w:ascii="宋体" w:hAnsi="宋体" w:eastAsia="宋体" w:cs="宋体"/>
          <w:spacing w:val="0"/>
          <w:sz w:val="24"/>
          <w:szCs w:val="24"/>
          <w:lang w:eastAsia="zh-CN"/>
        </w:rPr>
        <w:t xml:space="preserve"> </w:t>
      </w:r>
      <w:r>
        <w:rPr>
          <w:rFonts w:hint="eastAsia" w:ascii="宋体" w:hAnsi="宋体" w:eastAsia="宋体" w:cs="宋体"/>
          <w:b/>
          <w:bCs/>
          <w:spacing w:val="0"/>
          <w:sz w:val="24"/>
          <w:szCs w:val="24"/>
          <w:lang w:eastAsia="zh-CN"/>
        </w:rPr>
        <w:t>高锰酸盐指数自动检测模块</w:t>
      </w:r>
    </w:p>
    <w:tbl>
      <w:tblPr>
        <w:tblStyle w:val="22"/>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5"/>
        <w:gridCol w:w="5114"/>
      </w:tblGrid>
      <w:tr w14:paraId="158E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blHeader/>
          <w:jc w:val="center"/>
        </w:trPr>
        <w:tc>
          <w:tcPr>
            <w:tcW w:w="3845" w:type="dxa"/>
            <w:tcBorders>
              <w:tl2br w:val="nil"/>
              <w:tr2bl w:val="nil"/>
            </w:tcBorders>
            <w:shd w:val="clear" w:color="auto" w:fill="E3F2D9" w:themeFill="accent4" w:themeFillTint="32"/>
            <w:vAlign w:val="center"/>
          </w:tcPr>
          <w:p w14:paraId="5D8E861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项目</w:t>
            </w:r>
          </w:p>
        </w:tc>
        <w:tc>
          <w:tcPr>
            <w:tcW w:w="5114" w:type="dxa"/>
            <w:tcBorders>
              <w:tl2br w:val="nil"/>
              <w:tr2bl w:val="nil"/>
            </w:tcBorders>
            <w:shd w:val="clear" w:color="auto" w:fill="E3F2D9" w:themeFill="accent4" w:themeFillTint="32"/>
            <w:vAlign w:val="center"/>
          </w:tcPr>
          <w:p w14:paraId="1CD8FCA1">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技术指标</w:t>
            </w:r>
          </w:p>
        </w:tc>
      </w:tr>
      <w:tr w14:paraId="6C02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74D8D59C">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分析方法</w:t>
            </w:r>
          </w:p>
        </w:tc>
        <w:tc>
          <w:tcPr>
            <w:tcW w:w="5114" w:type="dxa"/>
            <w:tcBorders>
              <w:tl2br w:val="nil"/>
              <w:tr2bl w:val="nil"/>
            </w:tcBorders>
            <w:vAlign w:val="center"/>
          </w:tcPr>
          <w:p w14:paraId="599729D1">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高锰酸钾氧化滴定法</w:t>
            </w:r>
          </w:p>
        </w:tc>
      </w:tr>
      <w:tr w14:paraId="2FF2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32BEDF54">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测定范围</w:t>
            </w:r>
          </w:p>
        </w:tc>
        <w:tc>
          <w:tcPr>
            <w:tcW w:w="5114" w:type="dxa"/>
            <w:tcBorders>
              <w:tl2br w:val="nil"/>
              <w:tr2bl w:val="nil"/>
            </w:tcBorders>
            <w:vAlign w:val="center"/>
          </w:tcPr>
          <w:p w14:paraId="014C34DC">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0~20mg/L（可扩展）</w:t>
            </w:r>
          </w:p>
        </w:tc>
      </w:tr>
      <w:tr w14:paraId="667B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781233A8">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准确度</w:t>
            </w:r>
          </w:p>
        </w:tc>
        <w:tc>
          <w:tcPr>
            <w:tcW w:w="5114" w:type="dxa"/>
            <w:tcBorders>
              <w:tl2br w:val="nil"/>
              <w:tr2bl w:val="nil"/>
            </w:tcBorders>
            <w:vAlign w:val="center"/>
          </w:tcPr>
          <w:p w14:paraId="31CFBEF7">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±5%</w:t>
            </w:r>
          </w:p>
        </w:tc>
      </w:tr>
      <w:tr w14:paraId="5558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845" w:type="dxa"/>
            <w:tcBorders>
              <w:tl2br w:val="nil"/>
              <w:tr2bl w:val="nil"/>
            </w:tcBorders>
            <w:vAlign w:val="center"/>
          </w:tcPr>
          <w:p w14:paraId="2582ED8B">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葡萄糖试验</w:t>
            </w:r>
          </w:p>
        </w:tc>
        <w:tc>
          <w:tcPr>
            <w:tcW w:w="5114" w:type="dxa"/>
            <w:tcBorders>
              <w:tl2br w:val="nil"/>
              <w:tr2bl w:val="nil"/>
            </w:tcBorders>
            <w:vAlign w:val="center"/>
          </w:tcPr>
          <w:p w14:paraId="44C8BA8E">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±5%（测量误差）</w:t>
            </w:r>
          </w:p>
        </w:tc>
      </w:tr>
      <w:tr w14:paraId="7E64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1F6FE360">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重复性</w:t>
            </w:r>
          </w:p>
        </w:tc>
        <w:tc>
          <w:tcPr>
            <w:tcW w:w="5114" w:type="dxa"/>
            <w:tcBorders>
              <w:tl2br w:val="nil"/>
              <w:tr2bl w:val="nil"/>
            </w:tcBorders>
            <w:vAlign w:val="center"/>
          </w:tcPr>
          <w:p w14:paraId="3C4E1042">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≤5%</w:t>
            </w:r>
          </w:p>
        </w:tc>
      </w:tr>
      <w:tr w14:paraId="2A3B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3F67DB29">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零点漂移</w:t>
            </w:r>
          </w:p>
        </w:tc>
        <w:tc>
          <w:tcPr>
            <w:tcW w:w="5114" w:type="dxa"/>
            <w:tcBorders>
              <w:tl2br w:val="nil"/>
              <w:tr2bl w:val="nil"/>
            </w:tcBorders>
            <w:vAlign w:val="center"/>
          </w:tcPr>
          <w:p w14:paraId="4B8B22D8">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±5%</w:t>
            </w:r>
          </w:p>
        </w:tc>
      </w:tr>
      <w:tr w14:paraId="44D8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3AA30E9C">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量程漂移</w:t>
            </w:r>
          </w:p>
        </w:tc>
        <w:tc>
          <w:tcPr>
            <w:tcW w:w="5114" w:type="dxa"/>
            <w:tcBorders>
              <w:tl2br w:val="nil"/>
              <w:tr2bl w:val="nil"/>
            </w:tcBorders>
            <w:vAlign w:val="center"/>
          </w:tcPr>
          <w:p w14:paraId="1AFF4C38">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1"/>
                <w:szCs w:val="21"/>
              </w:rPr>
              <w:t>±5%</w:t>
            </w:r>
          </w:p>
        </w:tc>
      </w:tr>
      <w:tr w14:paraId="3959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6DF05EE4">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检出限</w:t>
            </w:r>
          </w:p>
        </w:tc>
        <w:tc>
          <w:tcPr>
            <w:tcW w:w="5114" w:type="dxa"/>
            <w:tcBorders>
              <w:tl2br w:val="nil"/>
              <w:tr2bl w:val="nil"/>
            </w:tcBorders>
            <w:vAlign w:val="center"/>
          </w:tcPr>
          <w:p w14:paraId="49DA272F">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≤0.3mg/L</w:t>
            </w:r>
          </w:p>
        </w:tc>
      </w:tr>
      <w:tr w14:paraId="17A3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4D189EF9">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实际水样比对试验</w:t>
            </w:r>
          </w:p>
        </w:tc>
        <w:tc>
          <w:tcPr>
            <w:tcW w:w="5114" w:type="dxa"/>
            <w:tcBorders>
              <w:tl2br w:val="nil"/>
              <w:tr2bl w:val="nil"/>
            </w:tcBorders>
            <w:vAlign w:val="center"/>
          </w:tcPr>
          <w:p w14:paraId="640CBA93">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r>
      <w:tr w14:paraId="62D7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0A61D575">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分辨率</w:t>
            </w:r>
          </w:p>
        </w:tc>
        <w:tc>
          <w:tcPr>
            <w:tcW w:w="5114" w:type="dxa"/>
            <w:tcBorders>
              <w:tl2br w:val="nil"/>
              <w:tr2bl w:val="nil"/>
            </w:tcBorders>
            <w:vAlign w:val="center"/>
          </w:tcPr>
          <w:p w14:paraId="171F0E7A">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0.01mg/L</w:t>
            </w:r>
          </w:p>
        </w:tc>
      </w:tr>
      <w:tr w14:paraId="7590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845" w:type="dxa"/>
            <w:tcBorders>
              <w:tl2br w:val="nil"/>
              <w:tr2bl w:val="nil"/>
            </w:tcBorders>
            <w:vAlign w:val="center"/>
          </w:tcPr>
          <w:p w14:paraId="3AEA2C70">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测量时间</w:t>
            </w:r>
          </w:p>
        </w:tc>
        <w:tc>
          <w:tcPr>
            <w:tcW w:w="5114" w:type="dxa"/>
            <w:tcBorders>
              <w:tl2br w:val="nil"/>
              <w:tr2bl w:val="nil"/>
            </w:tcBorders>
            <w:vAlign w:val="center"/>
          </w:tcPr>
          <w:p w14:paraId="53C76AF2">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≤40min</w:t>
            </w:r>
          </w:p>
        </w:tc>
      </w:tr>
      <w:tr w14:paraId="05F7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845" w:type="dxa"/>
            <w:tcBorders>
              <w:tl2br w:val="nil"/>
              <w:tr2bl w:val="nil"/>
            </w:tcBorders>
            <w:vAlign w:val="center"/>
          </w:tcPr>
          <w:p w14:paraId="524B0961">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平均无故障运行时间</w:t>
            </w:r>
          </w:p>
        </w:tc>
        <w:tc>
          <w:tcPr>
            <w:tcW w:w="5114" w:type="dxa"/>
            <w:tcBorders>
              <w:tl2br w:val="nil"/>
              <w:tr2bl w:val="nil"/>
            </w:tcBorders>
            <w:vAlign w:val="center"/>
          </w:tcPr>
          <w:p w14:paraId="28EA66A2">
            <w:pPr>
              <w:pStyle w:val="4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≥1440h/次</w:t>
            </w:r>
          </w:p>
        </w:tc>
      </w:tr>
    </w:tbl>
    <w:p w14:paraId="58654B1C">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.1.2 氨氮自动检测模块</w:t>
      </w:r>
    </w:p>
    <w:tbl>
      <w:tblPr>
        <w:tblStyle w:val="22"/>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35"/>
        <w:gridCol w:w="3507"/>
        <w:gridCol w:w="427"/>
        <w:gridCol w:w="1810"/>
      </w:tblGrid>
      <w:tr w14:paraId="5D7C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jc w:val="center"/>
        </w:trPr>
        <w:tc>
          <w:tcPr>
            <w:tcW w:w="3235" w:type="dxa"/>
            <w:shd w:val="clear" w:color="auto" w:fill="E3F2D9" w:themeFill="accent4" w:themeFillTint="32"/>
            <w:vAlign w:val="center"/>
          </w:tcPr>
          <w:p w14:paraId="692F536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项目</w:t>
            </w:r>
          </w:p>
        </w:tc>
        <w:tc>
          <w:tcPr>
            <w:tcW w:w="5744" w:type="dxa"/>
            <w:gridSpan w:val="3"/>
            <w:shd w:val="clear" w:color="auto" w:fill="E3F2D9" w:themeFill="accent4" w:themeFillTint="32"/>
            <w:vAlign w:val="center"/>
          </w:tcPr>
          <w:p w14:paraId="7CC832A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技术指标</w:t>
            </w:r>
          </w:p>
        </w:tc>
      </w:tr>
      <w:tr w14:paraId="6225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235" w:type="dxa"/>
            <w:vAlign w:val="center"/>
          </w:tcPr>
          <w:p w14:paraId="6C5DCB3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分析方法</w:t>
            </w:r>
          </w:p>
        </w:tc>
        <w:tc>
          <w:tcPr>
            <w:tcW w:w="5744" w:type="dxa"/>
            <w:gridSpan w:val="3"/>
            <w:vAlign w:val="top"/>
          </w:tcPr>
          <w:p w14:paraId="4D9C835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水杨酸分光光度法</w:t>
            </w:r>
          </w:p>
        </w:tc>
      </w:tr>
      <w:tr w14:paraId="19A5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235" w:type="dxa"/>
            <w:vAlign w:val="center"/>
          </w:tcPr>
          <w:p w14:paraId="0991DF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测定范围</w:t>
            </w:r>
          </w:p>
        </w:tc>
        <w:tc>
          <w:tcPr>
            <w:tcW w:w="5744" w:type="dxa"/>
            <w:gridSpan w:val="3"/>
            <w:vAlign w:val="top"/>
          </w:tcPr>
          <w:p w14:paraId="1456DD5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0~300mg/L（可扩展）</w:t>
            </w:r>
          </w:p>
        </w:tc>
      </w:tr>
      <w:tr w14:paraId="031F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235" w:type="dxa"/>
            <w:vMerge w:val="restart"/>
            <w:vAlign w:val="center"/>
          </w:tcPr>
          <w:p w14:paraId="4097990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z w:val="24"/>
                <w:szCs w:val="24"/>
              </w:rPr>
              <w:t>准确度</w:t>
            </w:r>
          </w:p>
        </w:tc>
        <w:tc>
          <w:tcPr>
            <w:tcW w:w="3507" w:type="dxa"/>
            <w:vAlign w:val="center"/>
          </w:tcPr>
          <w:p w14:paraId="68B576E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标液浓度为2.0 mg/L时</w:t>
            </w:r>
          </w:p>
        </w:tc>
        <w:tc>
          <w:tcPr>
            <w:tcW w:w="2237" w:type="dxa"/>
            <w:gridSpan w:val="2"/>
            <w:vAlign w:val="center"/>
          </w:tcPr>
          <w:p w14:paraId="1C865C7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±8%</w:t>
            </w:r>
          </w:p>
        </w:tc>
      </w:tr>
      <w:tr w14:paraId="1D6D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235" w:type="dxa"/>
            <w:vMerge w:val="continue"/>
            <w:vAlign w:val="center"/>
          </w:tcPr>
          <w:p w14:paraId="4E96584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p>
        </w:tc>
        <w:tc>
          <w:tcPr>
            <w:tcW w:w="3507" w:type="dxa"/>
            <w:vAlign w:val="center"/>
          </w:tcPr>
          <w:p w14:paraId="00F8842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标液浓度为5.0 mg/L时</w:t>
            </w:r>
          </w:p>
        </w:tc>
        <w:tc>
          <w:tcPr>
            <w:tcW w:w="2237" w:type="dxa"/>
            <w:gridSpan w:val="2"/>
            <w:vAlign w:val="top"/>
          </w:tcPr>
          <w:p w14:paraId="42178CD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w:t>
            </w:r>
          </w:p>
        </w:tc>
      </w:tr>
      <w:tr w14:paraId="3D15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235" w:type="dxa"/>
            <w:vMerge w:val="continue"/>
            <w:vAlign w:val="center"/>
          </w:tcPr>
          <w:p w14:paraId="72B5A7E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p>
        </w:tc>
        <w:tc>
          <w:tcPr>
            <w:tcW w:w="3507" w:type="dxa"/>
            <w:vAlign w:val="center"/>
          </w:tcPr>
          <w:p w14:paraId="0B50D6D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标液浓度为8.0 mg/L时</w:t>
            </w:r>
          </w:p>
        </w:tc>
        <w:tc>
          <w:tcPr>
            <w:tcW w:w="2237" w:type="dxa"/>
            <w:gridSpan w:val="2"/>
            <w:vAlign w:val="top"/>
          </w:tcPr>
          <w:p w14:paraId="6DF7E81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w:t>
            </w:r>
          </w:p>
        </w:tc>
      </w:tr>
      <w:tr w14:paraId="3B1D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5DFAE30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重复性</w:t>
            </w:r>
          </w:p>
        </w:tc>
        <w:tc>
          <w:tcPr>
            <w:tcW w:w="5744" w:type="dxa"/>
            <w:gridSpan w:val="3"/>
            <w:vAlign w:val="top"/>
          </w:tcPr>
          <w:p w14:paraId="5880638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≤2%</w:t>
            </w:r>
          </w:p>
        </w:tc>
      </w:tr>
      <w:tr w14:paraId="1C86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77AB630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零点漂移</w:t>
            </w:r>
          </w:p>
        </w:tc>
        <w:tc>
          <w:tcPr>
            <w:tcW w:w="5744" w:type="dxa"/>
            <w:gridSpan w:val="3"/>
            <w:vAlign w:val="top"/>
          </w:tcPr>
          <w:p w14:paraId="742AE97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±0.02mg/L</w:t>
            </w:r>
          </w:p>
        </w:tc>
      </w:tr>
      <w:tr w14:paraId="5EDF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1A6CB15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量程漂移</w:t>
            </w:r>
          </w:p>
        </w:tc>
        <w:tc>
          <w:tcPr>
            <w:tcW w:w="5744" w:type="dxa"/>
            <w:gridSpan w:val="3"/>
            <w:vAlign w:val="top"/>
          </w:tcPr>
          <w:p w14:paraId="528BB9A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w:t>
            </w:r>
          </w:p>
        </w:tc>
      </w:tr>
      <w:tr w14:paraId="5444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5070FC1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检出限</w:t>
            </w:r>
          </w:p>
        </w:tc>
        <w:tc>
          <w:tcPr>
            <w:tcW w:w="5744" w:type="dxa"/>
            <w:gridSpan w:val="3"/>
            <w:vAlign w:val="center"/>
          </w:tcPr>
          <w:p w14:paraId="23BB8E3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≤0.02mg/L</w:t>
            </w:r>
          </w:p>
        </w:tc>
      </w:tr>
      <w:tr w14:paraId="696D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Merge w:val="restart"/>
            <w:vAlign w:val="center"/>
          </w:tcPr>
          <w:p w14:paraId="13EB896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实际水样比对试验</w:t>
            </w:r>
          </w:p>
        </w:tc>
        <w:tc>
          <w:tcPr>
            <w:tcW w:w="5744" w:type="dxa"/>
            <w:gridSpan w:val="3"/>
            <w:vAlign w:val="center"/>
          </w:tcPr>
          <w:p w14:paraId="1F2E2F2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水样浓度≤2.0mg/L时，绝对误差≤0.2mg/L</w:t>
            </w:r>
          </w:p>
        </w:tc>
      </w:tr>
      <w:tr w14:paraId="0276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Merge w:val="continue"/>
            <w:vAlign w:val="center"/>
          </w:tcPr>
          <w:p w14:paraId="5CB63AC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p>
        </w:tc>
        <w:tc>
          <w:tcPr>
            <w:tcW w:w="5744" w:type="dxa"/>
            <w:gridSpan w:val="3"/>
            <w:vAlign w:val="center"/>
          </w:tcPr>
          <w:p w14:paraId="3AE7A37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水样浓度＞2.0mg/L时，相对误差≤10%</w:t>
            </w:r>
          </w:p>
        </w:tc>
      </w:tr>
      <w:tr w14:paraId="43E4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6766FD7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分辨率</w:t>
            </w:r>
          </w:p>
        </w:tc>
        <w:tc>
          <w:tcPr>
            <w:tcW w:w="5744" w:type="dxa"/>
            <w:gridSpan w:val="3"/>
            <w:vAlign w:val="center"/>
          </w:tcPr>
          <w:p w14:paraId="2A9494D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0.002mg/L</w:t>
            </w:r>
          </w:p>
        </w:tc>
      </w:tr>
      <w:tr w14:paraId="4155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284C7DF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测量时间</w:t>
            </w:r>
          </w:p>
        </w:tc>
        <w:tc>
          <w:tcPr>
            <w:tcW w:w="5744" w:type="dxa"/>
            <w:gridSpan w:val="3"/>
            <w:vAlign w:val="center"/>
          </w:tcPr>
          <w:p w14:paraId="1018CCD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≤30min</w:t>
            </w:r>
          </w:p>
        </w:tc>
      </w:tr>
      <w:tr w14:paraId="0768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6958084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平均无故障运行时间</w:t>
            </w:r>
          </w:p>
        </w:tc>
        <w:tc>
          <w:tcPr>
            <w:tcW w:w="5744" w:type="dxa"/>
            <w:gridSpan w:val="3"/>
            <w:vAlign w:val="center"/>
          </w:tcPr>
          <w:p w14:paraId="3020FC4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≥1440h/次</w:t>
            </w:r>
          </w:p>
        </w:tc>
      </w:tr>
      <w:tr w14:paraId="1282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Align w:val="center"/>
          </w:tcPr>
          <w:p w14:paraId="2D34B5C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最小维护周期</w:t>
            </w:r>
          </w:p>
        </w:tc>
        <w:tc>
          <w:tcPr>
            <w:tcW w:w="5744" w:type="dxa"/>
            <w:gridSpan w:val="3"/>
            <w:vAlign w:val="center"/>
          </w:tcPr>
          <w:p w14:paraId="208CDA9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≥168h</w:t>
            </w:r>
          </w:p>
        </w:tc>
      </w:tr>
      <w:tr w14:paraId="5BD9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Merge w:val="restart"/>
            <w:vAlign w:val="center"/>
          </w:tcPr>
          <w:p w14:paraId="536BE8B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记忆效应</w:t>
            </w:r>
          </w:p>
        </w:tc>
        <w:tc>
          <w:tcPr>
            <w:tcW w:w="3934" w:type="dxa"/>
            <w:gridSpan w:val="2"/>
            <w:vAlign w:val="center"/>
          </w:tcPr>
          <w:p w14:paraId="73714C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标液浓度为2.0mg/L时</w:t>
            </w:r>
          </w:p>
        </w:tc>
        <w:tc>
          <w:tcPr>
            <w:tcW w:w="1810" w:type="dxa"/>
            <w:vAlign w:val="center"/>
          </w:tcPr>
          <w:p w14:paraId="656ED2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±0.3mg/L</w:t>
            </w:r>
          </w:p>
        </w:tc>
      </w:tr>
      <w:tr w14:paraId="1CCF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235" w:type="dxa"/>
            <w:vMerge w:val="continue"/>
            <w:vAlign w:val="center"/>
          </w:tcPr>
          <w:p w14:paraId="1D742DC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p>
        </w:tc>
        <w:tc>
          <w:tcPr>
            <w:tcW w:w="3934" w:type="dxa"/>
            <w:gridSpan w:val="2"/>
            <w:vAlign w:val="center"/>
          </w:tcPr>
          <w:p w14:paraId="03D1194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标液浓度为8.0mg/L时</w:t>
            </w:r>
          </w:p>
        </w:tc>
        <w:tc>
          <w:tcPr>
            <w:tcW w:w="1810" w:type="dxa"/>
            <w:vAlign w:val="center"/>
          </w:tcPr>
          <w:p w14:paraId="1A39BC4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±0.2mg/L</w:t>
            </w:r>
          </w:p>
        </w:tc>
      </w:tr>
    </w:tbl>
    <w:p w14:paraId="411BD6C4">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.1.3 总磷自动检测模块</w:t>
      </w:r>
    </w:p>
    <w:tbl>
      <w:tblPr>
        <w:tblStyle w:val="22"/>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1"/>
        <w:gridCol w:w="4378"/>
      </w:tblGrid>
      <w:tr w14:paraId="72F0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4581" w:type="dxa"/>
            <w:tcBorders>
              <w:tl2br w:val="nil"/>
              <w:tr2bl w:val="nil"/>
            </w:tcBorders>
            <w:shd w:val="clear" w:color="auto" w:fill="E3F2D9" w:themeFill="accent4" w:themeFillTint="32"/>
            <w:vAlign w:val="center"/>
          </w:tcPr>
          <w:p w14:paraId="6793879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项目</w:t>
            </w:r>
          </w:p>
        </w:tc>
        <w:tc>
          <w:tcPr>
            <w:tcW w:w="4378" w:type="dxa"/>
            <w:tcBorders>
              <w:tl2br w:val="nil"/>
              <w:tr2bl w:val="nil"/>
            </w:tcBorders>
            <w:shd w:val="clear" w:color="auto" w:fill="E3F2D9" w:themeFill="accent4" w:themeFillTint="32"/>
            <w:vAlign w:val="center"/>
          </w:tcPr>
          <w:p w14:paraId="0DC3A64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技术指标</w:t>
            </w:r>
          </w:p>
        </w:tc>
      </w:tr>
      <w:tr w14:paraId="1C44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3766D9F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分析方法</w:t>
            </w:r>
          </w:p>
        </w:tc>
        <w:tc>
          <w:tcPr>
            <w:tcW w:w="4378" w:type="dxa"/>
            <w:tcBorders>
              <w:tl2br w:val="nil"/>
              <w:tr2bl w:val="nil"/>
            </w:tcBorders>
            <w:vAlign w:val="center"/>
          </w:tcPr>
          <w:p w14:paraId="0074FD1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钼酸铵分光光度法</w:t>
            </w:r>
          </w:p>
        </w:tc>
      </w:tr>
      <w:tr w14:paraId="6A9E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60B2289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测定范围</w:t>
            </w:r>
          </w:p>
        </w:tc>
        <w:tc>
          <w:tcPr>
            <w:tcW w:w="4378" w:type="dxa"/>
            <w:tcBorders>
              <w:tl2br w:val="nil"/>
              <w:tr2bl w:val="nil"/>
            </w:tcBorders>
            <w:vAlign w:val="center"/>
          </w:tcPr>
          <w:p w14:paraId="75FCD7B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0~50mg/L（可扩展）</w:t>
            </w:r>
          </w:p>
        </w:tc>
      </w:tr>
      <w:tr w14:paraId="5C0A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6AE9E3A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准确度</w:t>
            </w:r>
          </w:p>
        </w:tc>
        <w:tc>
          <w:tcPr>
            <w:tcW w:w="4378" w:type="dxa"/>
            <w:tcBorders>
              <w:tl2br w:val="nil"/>
              <w:tr2bl w:val="nil"/>
            </w:tcBorders>
            <w:vAlign w:val="top"/>
          </w:tcPr>
          <w:p w14:paraId="57BE76D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w:t>
            </w:r>
          </w:p>
        </w:tc>
      </w:tr>
      <w:tr w14:paraId="43D8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606E6F9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重复性</w:t>
            </w:r>
          </w:p>
        </w:tc>
        <w:tc>
          <w:tcPr>
            <w:tcW w:w="4378" w:type="dxa"/>
            <w:tcBorders>
              <w:tl2br w:val="nil"/>
              <w:tr2bl w:val="nil"/>
            </w:tcBorders>
            <w:vAlign w:val="top"/>
          </w:tcPr>
          <w:p w14:paraId="0D965FA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≤3%</w:t>
            </w:r>
          </w:p>
        </w:tc>
      </w:tr>
      <w:tr w14:paraId="000D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2048EC6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零点漂移</w:t>
            </w:r>
          </w:p>
        </w:tc>
        <w:tc>
          <w:tcPr>
            <w:tcW w:w="4378" w:type="dxa"/>
            <w:tcBorders>
              <w:tl2br w:val="nil"/>
              <w:tr2bl w:val="nil"/>
            </w:tcBorders>
            <w:vAlign w:val="top"/>
          </w:tcPr>
          <w:p w14:paraId="3EB124A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±5%</w:t>
            </w:r>
          </w:p>
        </w:tc>
      </w:tr>
      <w:tr w14:paraId="339E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81" w:type="dxa"/>
            <w:tcBorders>
              <w:tl2br w:val="nil"/>
              <w:tr2bl w:val="nil"/>
            </w:tcBorders>
            <w:vAlign w:val="center"/>
          </w:tcPr>
          <w:p w14:paraId="61994C1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量程漂移</w:t>
            </w:r>
          </w:p>
        </w:tc>
        <w:tc>
          <w:tcPr>
            <w:tcW w:w="4378" w:type="dxa"/>
            <w:tcBorders>
              <w:tl2br w:val="nil"/>
              <w:tr2bl w:val="nil"/>
            </w:tcBorders>
            <w:vAlign w:val="top"/>
          </w:tcPr>
          <w:p w14:paraId="11052D4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±5%</w:t>
            </w:r>
          </w:p>
        </w:tc>
      </w:tr>
      <w:tr w14:paraId="434F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581" w:type="dxa"/>
            <w:tcBorders>
              <w:tl2br w:val="nil"/>
              <w:tr2bl w:val="nil"/>
            </w:tcBorders>
            <w:shd w:val="clear" w:color="auto" w:fill="auto"/>
            <w:vAlign w:val="center"/>
          </w:tcPr>
          <w:p w14:paraId="1A92871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检出限</w:t>
            </w:r>
          </w:p>
        </w:tc>
        <w:tc>
          <w:tcPr>
            <w:tcW w:w="4378" w:type="dxa"/>
            <w:tcBorders>
              <w:tl2br w:val="nil"/>
              <w:tr2bl w:val="nil"/>
            </w:tcBorders>
            <w:shd w:val="clear" w:color="auto" w:fill="auto"/>
            <w:vAlign w:val="center"/>
          </w:tcPr>
          <w:p w14:paraId="43F8C66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0.005mg/L</w:t>
            </w:r>
          </w:p>
        </w:tc>
      </w:tr>
      <w:tr w14:paraId="180F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581" w:type="dxa"/>
            <w:tcBorders>
              <w:tl2br w:val="nil"/>
              <w:tr2bl w:val="nil"/>
            </w:tcBorders>
            <w:shd w:val="clear" w:color="auto" w:fill="auto"/>
            <w:vAlign w:val="center"/>
          </w:tcPr>
          <w:p w14:paraId="4044F32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实际水样比对试验</w:t>
            </w:r>
          </w:p>
        </w:tc>
        <w:tc>
          <w:tcPr>
            <w:tcW w:w="4378" w:type="dxa"/>
            <w:tcBorders>
              <w:tl2br w:val="nil"/>
              <w:tr2bl w:val="nil"/>
            </w:tcBorders>
            <w:shd w:val="clear" w:color="auto" w:fill="auto"/>
            <w:vAlign w:val="center"/>
          </w:tcPr>
          <w:p w14:paraId="0AED32C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≤10%</w:t>
            </w:r>
          </w:p>
        </w:tc>
      </w:tr>
      <w:tr w14:paraId="1725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581" w:type="dxa"/>
            <w:tcBorders>
              <w:tl2br w:val="nil"/>
              <w:tr2bl w:val="nil"/>
            </w:tcBorders>
            <w:shd w:val="clear" w:color="auto" w:fill="auto"/>
            <w:vAlign w:val="center"/>
          </w:tcPr>
          <w:p w14:paraId="224EE40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分辨率</w:t>
            </w:r>
          </w:p>
        </w:tc>
        <w:tc>
          <w:tcPr>
            <w:tcW w:w="4378" w:type="dxa"/>
            <w:tcBorders>
              <w:tl2br w:val="nil"/>
              <w:tr2bl w:val="nil"/>
            </w:tcBorders>
            <w:shd w:val="clear" w:color="auto" w:fill="auto"/>
            <w:vAlign w:val="center"/>
          </w:tcPr>
          <w:p w14:paraId="303C83D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0.001mg/L</w:t>
            </w:r>
          </w:p>
        </w:tc>
      </w:tr>
      <w:tr w14:paraId="0030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581" w:type="dxa"/>
            <w:tcBorders>
              <w:tl2br w:val="nil"/>
              <w:tr2bl w:val="nil"/>
            </w:tcBorders>
            <w:shd w:val="clear" w:color="auto" w:fill="auto"/>
            <w:vAlign w:val="center"/>
          </w:tcPr>
          <w:p w14:paraId="4E96B3F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测量时间</w:t>
            </w:r>
          </w:p>
        </w:tc>
        <w:tc>
          <w:tcPr>
            <w:tcW w:w="4378" w:type="dxa"/>
            <w:tcBorders>
              <w:tl2br w:val="nil"/>
              <w:tr2bl w:val="nil"/>
            </w:tcBorders>
            <w:shd w:val="clear" w:color="auto" w:fill="auto"/>
            <w:vAlign w:val="center"/>
          </w:tcPr>
          <w:p w14:paraId="3EF73CA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w:t>
            </w:r>
            <w:r>
              <w:rPr>
                <w:rFonts w:hint="eastAsia" w:ascii="宋体" w:hAnsi="宋体" w:eastAsia="宋体" w:cs="宋体"/>
                <w:spacing w:val="0"/>
                <w:kern w:val="0"/>
                <w:sz w:val="21"/>
                <w:szCs w:val="21"/>
                <w:highlight w:val="none"/>
                <w:lang w:val="en-US" w:eastAsia="zh-CN"/>
              </w:rPr>
              <w:t>4</w:t>
            </w:r>
            <w:r>
              <w:rPr>
                <w:rFonts w:hint="eastAsia" w:ascii="宋体" w:hAnsi="宋体" w:eastAsia="宋体" w:cs="宋体"/>
                <w:spacing w:val="0"/>
                <w:kern w:val="0"/>
                <w:sz w:val="21"/>
                <w:szCs w:val="21"/>
                <w:highlight w:val="none"/>
              </w:rPr>
              <w:t>0min</w:t>
            </w:r>
          </w:p>
        </w:tc>
      </w:tr>
      <w:tr w14:paraId="5357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581" w:type="dxa"/>
            <w:tcBorders>
              <w:tl2br w:val="nil"/>
              <w:tr2bl w:val="nil"/>
            </w:tcBorders>
            <w:shd w:val="clear" w:color="auto" w:fill="auto"/>
            <w:vAlign w:val="center"/>
          </w:tcPr>
          <w:p w14:paraId="3A5B817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平均无故障运行时间</w:t>
            </w:r>
          </w:p>
        </w:tc>
        <w:tc>
          <w:tcPr>
            <w:tcW w:w="4378" w:type="dxa"/>
            <w:tcBorders>
              <w:tl2br w:val="nil"/>
              <w:tr2bl w:val="nil"/>
            </w:tcBorders>
            <w:shd w:val="clear" w:color="auto" w:fill="auto"/>
            <w:vAlign w:val="center"/>
          </w:tcPr>
          <w:p w14:paraId="26CB307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≥1440h/次</w:t>
            </w:r>
          </w:p>
        </w:tc>
      </w:tr>
    </w:tbl>
    <w:p w14:paraId="4AB216F9">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.1.4 总氮自动检测模块</w:t>
      </w:r>
    </w:p>
    <w:tbl>
      <w:tblPr>
        <w:tblStyle w:val="22"/>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0"/>
        <w:gridCol w:w="4399"/>
      </w:tblGrid>
      <w:tr w14:paraId="06B5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4640" w:type="dxa"/>
            <w:shd w:val="clear" w:color="auto" w:fill="E3F2D9" w:themeFill="accent4" w:themeFillTint="32"/>
            <w:vAlign w:val="center"/>
          </w:tcPr>
          <w:p w14:paraId="3A116C6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项目</w:t>
            </w:r>
          </w:p>
        </w:tc>
        <w:tc>
          <w:tcPr>
            <w:tcW w:w="4399" w:type="dxa"/>
            <w:shd w:val="clear" w:color="auto" w:fill="E3F2D9" w:themeFill="accent4" w:themeFillTint="32"/>
            <w:vAlign w:val="center"/>
          </w:tcPr>
          <w:p w14:paraId="2026BCE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spacing w:val="0"/>
                <w:kern w:val="0"/>
                <w:sz w:val="21"/>
                <w:szCs w:val="21"/>
                <w:highlight w:val="none"/>
              </w:rPr>
            </w:pPr>
            <w:r>
              <w:rPr>
                <w:rFonts w:hint="eastAsia" w:ascii="宋体" w:hAnsi="宋体" w:eastAsia="宋体" w:cs="宋体"/>
                <w:b/>
                <w:spacing w:val="0"/>
                <w:kern w:val="0"/>
                <w:sz w:val="21"/>
                <w:szCs w:val="21"/>
                <w:highlight w:val="none"/>
              </w:rPr>
              <w:t>技术指标</w:t>
            </w:r>
          </w:p>
        </w:tc>
      </w:tr>
      <w:tr w14:paraId="0B77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4640" w:type="dxa"/>
            <w:vAlign w:val="center"/>
          </w:tcPr>
          <w:p w14:paraId="2531902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分析方法</w:t>
            </w:r>
          </w:p>
        </w:tc>
        <w:tc>
          <w:tcPr>
            <w:tcW w:w="4399" w:type="dxa"/>
            <w:vAlign w:val="center"/>
          </w:tcPr>
          <w:p w14:paraId="0538524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钼酸铵分光光度法</w:t>
            </w:r>
          </w:p>
        </w:tc>
      </w:tr>
      <w:tr w14:paraId="0F27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4640" w:type="dxa"/>
            <w:vAlign w:val="center"/>
          </w:tcPr>
          <w:p w14:paraId="109DBED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测定范围</w:t>
            </w:r>
          </w:p>
        </w:tc>
        <w:tc>
          <w:tcPr>
            <w:tcW w:w="4399" w:type="dxa"/>
            <w:vAlign w:val="center"/>
          </w:tcPr>
          <w:p w14:paraId="1E7F2ED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0~50mg/L（可扩展）</w:t>
            </w:r>
          </w:p>
        </w:tc>
      </w:tr>
      <w:tr w14:paraId="5387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4640" w:type="dxa"/>
            <w:shd w:val="clear" w:color="auto" w:fill="auto"/>
            <w:vAlign w:val="center"/>
          </w:tcPr>
          <w:p w14:paraId="28FDD7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准确度</w:t>
            </w:r>
          </w:p>
        </w:tc>
        <w:tc>
          <w:tcPr>
            <w:tcW w:w="4399" w:type="dxa"/>
            <w:shd w:val="clear" w:color="auto" w:fill="auto"/>
            <w:vAlign w:val="top"/>
          </w:tcPr>
          <w:p w14:paraId="2BA20E8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±5%</w:t>
            </w:r>
          </w:p>
        </w:tc>
      </w:tr>
      <w:tr w14:paraId="1E86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0" w:type="dxa"/>
            <w:vAlign w:val="center"/>
          </w:tcPr>
          <w:p w14:paraId="0131B0B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重复性</w:t>
            </w:r>
          </w:p>
        </w:tc>
        <w:tc>
          <w:tcPr>
            <w:tcW w:w="4399" w:type="dxa"/>
            <w:vAlign w:val="top"/>
          </w:tcPr>
          <w:p w14:paraId="306BA8A1">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≤3%</w:t>
            </w:r>
          </w:p>
        </w:tc>
      </w:tr>
      <w:tr w14:paraId="76EE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640" w:type="dxa"/>
            <w:vAlign w:val="center"/>
          </w:tcPr>
          <w:p w14:paraId="06BA69B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零点漂移</w:t>
            </w:r>
          </w:p>
        </w:tc>
        <w:tc>
          <w:tcPr>
            <w:tcW w:w="4399" w:type="dxa"/>
            <w:vAlign w:val="top"/>
          </w:tcPr>
          <w:p w14:paraId="379FA36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eastAsia="zh-CN"/>
              </w:rPr>
            </w:pPr>
            <w:r>
              <w:rPr>
                <w:rFonts w:hint="eastAsia" w:ascii="宋体" w:hAnsi="宋体" w:eastAsia="宋体" w:cs="宋体"/>
                <w:spacing w:val="0"/>
                <w:kern w:val="0"/>
                <w:sz w:val="21"/>
                <w:szCs w:val="21"/>
                <w:highlight w:val="none"/>
              </w:rPr>
              <w:t>±5%</w:t>
            </w:r>
          </w:p>
        </w:tc>
      </w:tr>
      <w:tr w14:paraId="2135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640" w:type="dxa"/>
            <w:shd w:val="clear" w:color="auto" w:fill="auto"/>
            <w:vAlign w:val="center"/>
          </w:tcPr>
          <w:p w14:paraId="14BF09C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量程漂移</w:t>
            </w:r>
          </w:p>
        </w:tc>
        <w:tc>
          <w:tcPr>
            <w:tcW w:w="4399" w:type="dxa"/>
            <w:shd w:val="clear" w:color="auto" w:fill="auto"/>
            <w:vAlign w:val="top"/>
          </w:tcPr>
          <w:p w14:paraId="352CEA1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±5%</w:t>
            </w:r>
          </w:p>
        </w:tc>
      </w:tr>
      <w:tr w14:paraId="6973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4640" w:type="dxa"/>
            <w:shd w:val="clear" w:color="auto" w:fill="auto"/>
            <w:vAlign w:val="center"/>
          </w:tcPr>
          <w:p w14:paraId="03AF288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检出限</w:t>
            </w:r>
          </w:p>
        </w:tc>
        <w:tc>
          <w:tcPr>
            <w:tcW w:w="4399" w:type="dxa"/>
            <w:shd w:val="clear" w:color="auto" w:fill="auto"/>
            <w:vAlign w:val="center"/>
          </w:tcPr>
          <w:p w14:paraId="6BCCF65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0.005mg/L</w:t>
            </w:r>
          </w:p>
        </w:tc>
      </w:tr>
      <w:tr w14:paraId="2929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640" w:type="dxa"/>
            <w:shd w:val="clear" w:color="auto" w:fill="auto"/>
            <w:vAlign w:val="center"/>
          </w:tcPr>
          <w:p w14:paraId="1B2EFC1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实际水样比对试验</w:t>
            </w:r>
          </w:p>
        </w:tc>
        <w:tc>
          <w:tcPr>
            <w:tcW w:w="4399" w:type="dxa"/>
            <w:shd w:val="clear" w:color="auto" w:fill="auto"/>
            <w:vAlign w:val="center"/>
          </w:tcPr>
          <w:p w14:paraId="160BE11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≤10%</w:t>
            </w:r>
          </w:p>
        </w:tc>
      </w:tr>
      <w:tr w14:paraId="2774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640" w:type="dxa"/>
            <w:shd w:val="clear" w:color="auto" w:fill="auto"/>
            <w:vAlign w:val="center"/>
          </w:tcPr>
          <w:p w14:paraId="2F5CB66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分辨率</w:t>
            </w:r>
          </w:p>
        </w:tc>
        <w:tc>
          <w:tcPr>
            <w:tcW w:w="4399" w:type="dxa"/>
            <w:shd w:val="clear" w:color="auto" w:fill="auto"/>
            <w:vAlign w:val="center"/>
          </w:tcPr>
          <w:p w14:paraId="1936BDC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0.001mg/L</w:t>
            </w:r>
          </w:p>
        </w:tc>
      </w:tr>
      <w:tr w14:paraId="3E10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640" w:type="dxa"/>
            <w:shd w:val="clear" w:color="auto" w:fill="auto"/>
            <w:vAlign w:val="center"/>
          </w:tcPr>
          <w:p w14:paraId="5BFC1F3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测量时间</w:t>
            </w:r>
          </w:p>
        </w:tc>
        <w:tc>
          <w:tcPr>
            <w:tcW w:w="4399" w:type="dxa"/>
            <w:shd w:val="clear" w:color="auto" w:fill="auto"/>
            <w:vAlign w:val="center"/>
          </w:tcPr>
          <w:p w14:paraId="1A912A7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w:t>
            </w:r>
            <w:r>
              <w:rPr>
                <w:rFonts w:hint="eastAsia" w:ascii="宋体" w:hAnsi="宋体" w:eastAsia="宋体" w:cs="宋体"/>
                <w:spacing w:val="0"/>
                <w:kern w:val="0"/>
                <w:sz w:val="21"/>
                <w:szCs w:val="21"/>
                <w:highlight w:val="none"/>
                <w:lang w:val="en-US" w:eastAsia="zh-CN"/>
              </w:rPr>
              <w:t>4</w:t>
            </w:r>
            <w:r>
              <w:rPr>
                <w:rFonts w:hint="eastAsia" w:ascii="宋体" w:hAnsi="宋体" w:eastAsia="宋体" w:cs="宋体"/>
                <w:spacing w:val="0"/>
                <w:kern w:val="0"/>
                <w:sz w:val="21"/>
                <w:szCs w:val="21"/>
                <w:highlight w:val="none"/>
              </w:rPr>
              <w:t>0min</w:t>
            </w:r>
          </w:p>
        </w:tc>
      </w:tr>
      <w:tr w14:paraId="2370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640" w:type="dxa"/>
            <w:shd w:val="clear" w:color="auto" w:fill="auto"/>
            <w:vAlign w:val="center"/>
          </w:tcPr>
          <w:p w14:paraId="4AD4D7E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平均无故障运行时间</w:t>
            </w:r>
          </w:p>
        </w:tc>
        <w:tc>
          <w:tcPr>
            <w:tcW w:w="4399" w:type="dxa"/>
            <w:shd w:val="clear" w:color="auto" w:fill="auto"/>
            <w:vAlign w:val="center"/>
          </w:tcPr>
          <w:p w14:paraId="7387B82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≥1440h/次</w:t>
            </w:r>
          </w:p>
        </w:tc>
      </w:tr>
    </w:tbl>
    <w:p w14:paraId="43622B65">
      <w:pPr>
        <w:keepNext w:val="0"/>
        <w:keepLines w:val="0"/>
        <w:pageBreakBefore w:val="0"/>
        <w:kinsoku/>
        <w:wordWrap/>
        <w:overflowPunct/>
        <w:topLinePunct w:val="0"/>
        <w:autoSpaceDE/>
        <w:autoSpaceDN/>
        <w:bidi w:val="0"/>
        <w:adjustRightInd/>
        <w:snapToGrid/>
        <w:spacing w:line="500" w:lineRule="exact"/>
        <w:ind w:left="0" w:right="0" w:firstLine="482" w:firstLineChars="200"/>
        <w:textAlignment w:val="auto"/>
        <w:outlineLvl w:val="3"/>
        <w:rPr>
          <w:rFonts w:hint="eastAsia" w:ascii="宋体" w:hAnsi="宋体" w:eastAsia="宋体" w:cs="宋体"/>
          <w:b/>
          <w:bCs/>
          <w:spacing w:val="0"/>
          <w:sz w:val="24"/>
          <w:szCs w:val="24"/>
          <w:lang w:eastAsia="zh-CN"/>
        </w:rPr>
      </w:pPr>
      <w:r>
        <w:rPr>
          <w:rFonts w:hint="eastAsia" w:ascii="宋体" w:hAnsi="宋体" w:eastAsia="宋体" w:cs="宋体"/>
          <w:b/>
          <w:bCs/>
          <w:spacing w:val="0"/>
          <w:sz w:val="24"/>
          <w:szCs w:val="24"/>
          <w:lang w:eastAsia="zh-CN"/>
        </w:rPr>
        <w:t>3.</w:t>
      </w:r>
      <w:r>
        <w:rPr>
          <w:rFonts w:hint="eastAsia" w:ascii="宋体" w:hAnsi="宋体" w:eastAsia="宋体" w:cs="宋体"/>
          <w:b/>
          <w:bCs/>
          <w:spacing w:val="0"/>
          <w:sz w:val="24"/>
          <w:szCs w:val="24"/>
          <w:lang w:val="en-US" w:eastAsia="zh-CN"/>
        </w:rPr>
        <w:t>1</w:t>
      </w:r>
      <w:r>
        <w:rPr>
          <w:rFonts w:hint="eastAsia" w:ascii="宋体" w:hAnsi="宋体" w:eastAsia="宋体" w:cs="宋体"/>
          <w:b/>
          <w:bCs/>
          <w:spacing w:val="0"/>
          <w:sz w:val="24"/>
          <w:szCs w:val="24"/>
          <w:lang w:eastAsia="zh-CN"/>
        </w:rPr>
        <w:t>.</w:t>
      </w:r>
      <w:r>
        <w:rPr>
          <w:rFonts w:hint="eastAsia" w:ascii="宋体" w:hAnsi="宋体" w:eastAsia="宋体" w:cs="宋体"/>
          <w:b/>
          <w:bCs/>
          <w:spacing w:val="0"/>
          <w:sz w:val="24"/>
          <w:szCs w:val="24"/>
          <w:lang w:val="en-US" w:eastAsia="zh-CN"/>
        </w:rPr>
        <w:t>7</w:t>
      </w:r>
      <w:r>
        <w:rPr>
          <w:rFonts w:hint="eastAsia" w:ascii="宋体" w:hAnsi="宋体" w:eastAsia="宋体" w:cs="宋体"/>
          <w:b/>
          <w:bCs/>
          <w:spacing w:val="0"/>
          <w:sz w:val="24"/>
          <w:szCs w:val="24"/>
          <w:lang w:eastAsia="zh-CN"/>
        </w:rPr>
        <w:t>.1.5 化学需氧量自动检测模块</w:t>
      </w:r>
    </w:p>
    <w:tbl>
      <w:tblPr>
        <w:tblStyle w:val="22"/>
        <w:tblW w:w="45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4"/>
        <w:gridCol w:w="4432"/>
      </w:tblGrid>
      <w:tr w14:paraId="240B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shd w:val="clear" w:color="auto" w:fill="E3F2D9" w:themeFill="accent4" w:themeFillTint="32"/>
            <w:vAlign w:val="center"/>
          </w:tcPr>
          <w:p w14:paraId="25141BFE">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0" w:firstLineChars="0"/>
              <w:jc w:val="center"/>
              <w:textAlignment w:val="baseline"/>
              <w:rPr>
                <w:rFonts w:hint="eastAsia" w:asciiTheme="majorEastAsia" w:hAnsiTheme="majorEastAsia" w:eastAsiaTheme="majorEastAsia" w:cstheme="majorEastAsia"/>
                <w:b/>
                <w:bCs/>
                <w:spacing w:val="0"/>
                <w:kern w:val="0"/>
                <w:sz w:val="21"/>
                <w:szCs w:val="21"/>
                <w:highlight w:val="none"/>
              </w:rPr>
            </w:pPr>
            <w:r>
              <w:rPr>
                <w:rFonts w:hint="eastAsia" w:asciiTheme="majorEastAsia" w:hAnsiTheme="majorEastAsia" w:eastAsiaTheme="majorEastAsia" w:cstheme="majorEastAsia"/>
                <w:b/>
                <w:bCs/>
                <w:spacing w:val="0"/>
                <w:kern w:val="0"/>
                <w:sz w:val="21"/>
                <w:szCs w:val="21"/>
                <w:highlight w:val="none"/>
              </w:rPr>
              <w:t>项目</w:t>
            </w:r>
          </w:p>
        </w:tc>
        <w:tc>
          <w:tcPr>
            <w:tcW w:w="4433" w:type="dxa"/>
            <w:shd w:val="clear" w:color="auto" w:fill="E3F2D9" w:themeFill="accent4" w:themeFillTint="32"/>
            <w:vAlign w:val="center"/>
          </w:tcPr>
          <w:p w14:paraId="24FDB573">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firstLine="0" w:firstLineChars="0"/>
              <w:jc w:val="center"/>
              <w:textAlignment w:val="baseline"/>
              <w:rPr>
                <w:rFonts w:hint="eastAsia" w:asciiTheme="majorEastAsia" w:hAnsiTheme="majorEastAsia" w:eastAsiaTheme="majorEastAsia" w:cstheme="majorEastAsia"/>
                <w:b/>
                <w:bCs/>
                <w:spacing w:val="0"/>
                <w:kern w:val="0"/>
                <w:sz w:val="21"/>
                <w:szCs w:val="21"/>
                <w:highlight w:val="none"/>
              </w:rPr>
            </w:pPr>
            <w:r>
              <w:rPr>
                <w:rFonts w:hint="eastAsia" w:asciiTheme="majorEastAsia" w:hAnsiTheme="majorEastAsia" w:eastAsiaTheme="majorEastAsia" w:cstheme="majorEastAsia"/>
                <w:b/>
                <w:bCs/>
                <w:spacing w:val="0"/>
                <w:kern w:val="0"/>
                <w:sz w:val="21"/>
                <w:szCs w:val="21"/>
                <w:highlight w:val="none"/>
              </w:rPr>
              <w:t>技术指标</w:t>
            </w:r>
          </w:p>
        </w:tc>
      </w:tr>
      <w:tr w14:paraId="3D12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536E45C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分析方法</w:t>
            </w:r>
          </w:p>
        </w:tc>
        <w:tc>
          <w:tcPr>
            <w:tcW w:w="4433" w:type="dxa"/>
            <w:vAlign w:val="center"/>
          </w:tcPr>
          <w:p w14:paraId="2E219DB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重铬酸钾氧化分光光度法</w:t>
            </w:r>
          </w:p>
        </w:tc>
      </w:tr>
      <w:tr w14:paraId="0590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62085D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测定范围</w:t>
            </w:r>
          </w:p>
        </w:tc>
        <w:tc>
          <w:tcPr>
            <w:tcW w:w="4433" w:type="dxa"/>
            <w:vAlign w:val="center"/>
          </w:tcPr>
          <w:p w14:paraId="386B31C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0~5000mg/L（可扩展）</w:t>
            </w:r>
          </w:p>
        </w:tc>
      </w:tr>
      <w:tr w14:paraId="209A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3893F4D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准确度</w:t>
            </w:r>
          </w:p>
        </w:tc>
        <w:tc>
          <w:tcPr>
            <w:tcW w:w="4433" w:type="dxa"/>
            <w:vAlign w:val="center"/>
          </w:tcPr>
          <w:p w14:paraId="010E013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w:t>
            </w:r>
          </w:p>
        </w:tc>
      </w:tr>
      <w:tr w14:paraId="7BBD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7574A1C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重复性</w:t>
            </w:r>
          </w:p>
        </w:tc>
        <w:tc>
          <w:tcPr>
            <w:tcW w:w="4433" w:type="dxa"/>
            <w:vAlign w:val="center"/>
          </w:tcPr>
          <w:p w14:paraId="1DD8EEF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≤3%</w:t>
            </w:r>
          </w:p>
        </w:tc>
      </w:tr>
      <w:tr w14:paraId="247D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17C1634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零点漂移</w:t>
            </w:r>
          </w:p>
        </w:tc>
        <w:tc>
          <w:tcPr>
            <w:tcW w:w="4433" w:type="dxa"/>
            <w:vAlign w:val="center"/>
          </w:tcPr>
          <w:p w14:paraId="65DEDC3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±5mg/L</w:t>
            </w:r>
          </w:p>
        </w:tc>
      </w:tr>
      <w:tr w14:paraId="066A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77421BB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量程漂移</w:t>
            </w:r>
          </w:p>
        </w:tc>
        <w:tc>
          <w:tcPr>
            <w:tcW w:w="4433" w:type="dxa"/>
            <w:vAlign w:val="center"/>
          </w:tcPr>
          <w:p w14:paraId="0DAD49D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±5%</w:t>
            </w:r>
          </w:p>
        </w:tc>
      </w:tr>
      <w:tr w14:paraId="3CF9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Align w:val="center"/>
          </w:tcPr>
          <w:p w14:paraId="0FDC3CC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检出限</w:t>
            </w:r>
          </w:p>
        </w:tc>
        <w:tc>
          <w:tcPr>
            <w:tcW w:w="4433" w:type="dxa"/>
            <w:vAlign w:val="center"/>
          </w:tcPr>
          <w:p w14:paraId="7652948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≤2mg/L</w:t>
            </w:r>
          </w:p>
        </w:tc>
      </w:tr>
      <w:tr w14:paraId="453D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Merge w:val="restart"/>
            <w:vAlign w:val="center"/>
          </w:tcPr>
          <w:p w14:paraId="2FFA5F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实际水样比对试验</w:t>
            </w:r>
          </w:p>
        </w:tc>
        <w:tc>
          <w:tcPr>
            <w:tcW w:w="4433" w:type="dxa"/>
            <w:vAlign w:val="center"/>
          </w:tcPr>
          <w:p w14:paraId="6E165FB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COD≥50mg/L，相对误差≤10%</w:t>
            </w:r>
          </w:p>
        </w:tc>
      </w:tr>
      <w:tr w14:paraId="2175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vMerge w:val="continue"/>
            <w:vAlign w:val="center"/>
          </w:tcPr>
          <w:p w14:paraId="296A974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p>
        </w:tc>
        <w:tc>
          <w:tcPr>
            <w:tcW w:w="4433" w:type="dxa"/>
            <w:vAlign w:val="center"/>
          </w:tcPr>
          <w:p w14:paraId="4A42555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rPr>
            </w:pPr>
            <w:r>
              <w:rPr>
                <w:rFonts w:hint="eastAsia" w:ascii="宋体" w:hAnsi="宋体" w:eastAsia="宋体" w:cs="宋体"/>
                <w:spacing w:val="0"/>
                <w:kern w:val="0"/>
                <w:sz w:val="21"/>
                <w:szCs w:val="21"/>
                <w:highlight w:val="none"/>
              </w:rPr>
              <w:t>COD＜50mg/L，绝对误差≤5mg/L</w:t>
            </w:r>
          </w:p>
        </w:tc>
      </w:tr>
      <w:tr w14:paraId="2DC5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shd w:val="clear" w:color="auto" w:fill="auto"/>
            <w:vAlign w:val="center"/>
          </w:tcPr>
          <w:p w14:paraId="22F3F1E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分辨率</w:t>
            </w:r>
          </w:p>
        </w:tc>
        <w:tc>
          <w:tcPr>
            <w:tcW w:w="4433" w:type="dxa"/>
            <w:shd w:val="clear" w:color="auto" w:fill="auto"/>
            <w:vAlign w:val="center"/>
          </w:tcPr>
          <w:p w14:paraId="4D061464">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0.1mg/L</w:t>
            </w:r>
          </w:p>
        </w:tc>
      </w:tr>
      <w:tr w14:paraId="18A6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shd w:val="clear" w:color="auto" w:fill="auto"/>
            <w:vAlign w:val="center"/>
          </w:tcPr>
          <w:p w14:paraId="3D2E3C0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测量时间</w:t>
            </w:r>
          </w:p>
        </w:tc>
        <w:tc>
          <w:tcPr>
            <w:tcW w:w="4433" w:type="dxa"/>
            <w:shd w:val="clear" w:color="auto" w:fill="auto"/>
            <w:vAlign w:val="center"/>
          </w:tcPr>
          <w:p w14:paraId="7904E2E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≤35min</w:t>
            </w:r>
          </w:p>
        </w:tc>
      </w:tr>
      <w:tr w14:paraId="6B6B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635" w:type="dxa"/>
            <w:shd w:val="clear" w:color="auto" w:fill="auto"/>
            <w:vAlign w:val="center"/>
          </w:tcPr>
          <w:p w14:paraId="41BB63DF">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zh-CN"/>
              </w:rPr>
            </w:pPr>
            <w:r>
              <w:rPr>
                <w:rFonts w:hint="eastAsia" w:ascii="宋体" w:hAnsi="宋体" w:eastAsia="宋体" w:cs="宋体"/>
                <w:spacing w:val="0"/>
                <w:kern w:val="0"/>
                <w:sz w:val="21"/>
                <w:szCs w:val="21"/>
                <w:highlight w:val="none"/>
              </w:rPr>
              <w:t>平均无故障运行时间</w:t>
            </w:r>
          </w:p>
        </w:tc>
        <w:tc>
          <w:tcPr>
            <w:tcW w:w="4433" w:type="dxa"/>
            <w:shd w:val="clear" w:color="auto" w:fill="auto"/>
            <w:vAlign w:val="center"/>
          </w:tcPr>
          <w:p w14:paraId="0C804FD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pacing w:val="0"/>
                <w:kern w:val="0"/>
                <w:sz w:val="21"/>
                <w:szCs w:val="21"/>
                <w:highlight w:val="none"/>
                <w:lang w:val="en-US" w:eastAsia="en-US"/>
              </w:rPr>
            </w:pPr>
            <w:r>
              <w:rPr>
                <w:rFonts w:hint="eastAsia" w:ascii="宋体" w:hAnsi="宋体" w:eastAsia="宋体" w:cs="宋体"/>
                <w:spacing w:val="0"/>
                <w:kern w:val="0"/>
                <w:sz w:val="21"/>
                <w:szCs w:val="21"/>
                <w:highlight w:val="none"/>
              </w:rPr>
              <w:t>≥1440h/次</w:t>
            </w:r>
          </w:p>
        </w:tc>
      </w:tr>
    </w:tbl>
    <w:p w14:paraId="1311CE3F">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outlineLvl w:val="1"/>
        <w:rPr>
          <w:rFonts w:hint="eastAsia" w:ascii="宋体" w:hAnsi="宋体" w:eastAsia="宋体" w:cs="宋体"/>
          <w:spacing w:val="0"/>
          <w:sz w:val="24"/>
          <w:szCs w:val="24"/>
        </w:rPr>
      </w:pPr>
      <w:r>
        <w:rPr>
          <w:rFonts w:ascii="宋体" w:hAnsi="宋体" w:eastAsia="宋体" w:cs="宋体"/>
          <w:b/>
          <w:bCs/>
          <w:spacing w:val="0"/>
          <w:sz w:val="24"/>
          <w:szCs w:val="24"/>
        </w:rPr>
        <w:t>3.</w:t>
      </w:r>
      <w:r>
        <w:rPr>
          <w:rFonts w:hint="eastAsia" w:ascii="宋体" w:hAnsi="宋体" w:eastAsia="宋体" w:cs="宋体"/>
          <w:b/>
          <w:bCs/>
          <w:spacing w:val="0"/>
          <w:sz w:val="24"/>
          <w:szCs w:val="24"/>
          <w:lang w:val="en-US" w:eastAsia="zh-CN"/>
        </w:rPr>
        <w:t>2</w:t>
      </w:r>
      <w:r>
        <w:rPr>
          <w:rFonts w:ascii="宋体" w:hAnsi="宋体" w:eastAsia="宋体" w:cs="宋体"/>
          <w:spacing w:val="0"/>
          <w:sz w:val="24"/>
          <w:szCs w:val="24"/>
        </w:rPr>
        <w:t xml:space="preserve"> </w:t>
      </w:r>
      <w:r>
        <w:rPr>
          <w:rFonts w:ascii="宋体" w:hAnsi="宋体" w:eastAsia="宋体" w:cs="宋体"/>
          <w:b/>
          <w:bCs/>
          <w:spacing w:val="0"/>
          <w:sz w:val="24"/>
          <w:szCs w:val="24"/>
        </w:rPr>
        <w:t>智能</w:t>
      </w:r>
      <w:r>
        <w:rPr>
          <w:rFonts w:hint="eastAsia" w:ascii="宋体" w:hAnsi="宋体" w:eastAsia="宋体" w:cs="宋体"/>
          <w:b/>
          <w:bCs/>
          <w:spacing w:val="0"/>
          <w:sz w:val="24"/>
          <w:szCs w:val="24"/>
          <w:lang w:val="en-US" w:eastAsia="zh-CN"/>
        </w:rPr>
        <w:t>自动</w:t>
      </w:r>
      <w:r>
        <w:rPr>
          <w:rFonts w:ascii="宋体" w:hAnsi="宋体" w:eastAsia="宋体" w:cs="宋体"/>
          <w:b/>
          <w:bCs/>
          <w:spacing w:val="0"/>
          <w:sz w:val="24"/>
          <w:szCs w:val="24"/>
        </w:rPr>
        <w:t>采样系统</w:t>
      </w:r>
    </w:p>
    <w:p w14:paraId="2703B8EF">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rPr>
          <w:rFonts w:hint="eastAsia" w:ascii="宋体" w:hAnsi="宋体" w:eastAsia="宋体" w:cs="宋体"/>
          <w:spacing w:val="0"/>
          <w:sz w:val="24"/>
          <w:szCs w:val="24"/>
        </w:rPr>
      </w:pPr>
      <w:r>
        <w:rPr>
          <w:rFonts w:ascii="宋体" w:hAnsi="宋体" w:eastAsia="宋体" w:cs="宋体"/>
          <w:b/>
          <w:bCs/>
          <w:spacing w:val="0"/>
          <w:sz w:val="24"/>
          <w:szCs w:val="24"/>
        </w:rPr>
        <w:t>主要功能</w:t>
      </w:r>
    </w:p>
    <w:p w14:paraId="66AF68FF">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（1）</w:t>
      </w:r>
      <w:r>
        <w:rPr>
          <w:rFonts w:ascii="宋体" w:hAnsi="宋体" w:eastAsia="宋体" w:cs="宋体"/>
          <w:spacing w:val="0"/>
          <w:sz w:val="24"/>
          <w:szCs w:val="24"/>
          <w:lang w:eastAsia="zh-CN"/>
        </w:rPr>
        <w:t>多种采样触发模式，如雨量触发采样模式、水位/流量触发采样模式、五参数触发采样模式、视频监控触发采样模式；具备远程控制采样功能；</w:t>
      </w:r>
    </w:p>
    <w:p w14:paraId="5ADF3493">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2</w:t>
      </w:r>
      <w:r>
        <w:rPr>
          <w:rFonts w:hint="eastAsia" w:ascii="宋体" w:hAnsi="宋体" w:cs="宋体"/>
          <w:spacing w:val="0"/>
          <w:sz w:val="24"/>
          <w:szCs w:val="24"/>
          <w:lang w:eastAsia="zh-CN"/>
        </w:rPr>
        <w:t>）</w:t>
      </w:r>
      <w:r>
        <w:rPr>
          <w:rFonts w:ascii="宋体" w:hAnsi="宋体" w:eastAsia="宋体" w:cs="宋体"/>
          <w:spacing w:val="0"/>
          <w:sz w:val="24"/>
          <w:szCs w:val="24"/>
          <w:lang w:eastAsia="zh-CN"/>
        </w:rPr>
        <w:t>具备样品冷藏功能；</w:t>
      </w:r>
    </w:p>
    <w:p w14:paraId="2F65F119">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3</w:t>
      </w:r>
      <w:r>
        <w:rPr>
          <w:rFonts w:hint="eastAsia" w:ascii="宋体" w:hAnsi="宋体" w:cs="宋体"/>
          <w:spacing w:val="0"/>
          <w:sz w:val="24"/>
          <w:szCs w:val="24"/>
          <w:lang w:eastAsia="zh-CN"/>
        </w:rPr>
        <w:t>）</w:t>
      </w:r>
      <w:r>
        <w:rPr>
          <w:rFonts w:ascii="宋体" w:hAnsi="宋体" w:eastAsia="宋体" w:cs="宋体"/>
          <w:spacing w:val="0"/>
          <w:sz w:val="24"/>
          <w:szCs w:val="24"/>
          <w:lang w:eastAsia="zh-CN"/>
        </w:rPr>
        <w:t>外置 360 °全景摄像头，可以对采样环境进行实时监控，并具有移动侦测功能，全流程可视化，能监控采样全过程；</w:t>
      </w:r>
    </w:p>
    <w:p w14:paraId="22D7B206">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4</w:t>
      </w:r>
      <w:r>
        <w:rPr>
          <w:rFonts w:hint="eastAsia" w:ascii="宋体" w:hAnsi="宋体" w:cs="宋体"/>
          <w:spacing w:val="0"/>
          <w:sz w:val="24"/>
          <w:szCs w:val="24"/>
          <w:lang w:eastAsia="zh-CN"/>
        </w:rPr>
        <w:t>）</w:t>
      </w:r>
      <w:r>
        <w:rPr>
          <w:rFonts w:ascii="宋体" w:hAnsi="宋体" w:eastAsia="宋体" w:cs="宋体"/>
          <w:spacing w:val="0"/>
          <w:sz w:val="24"/>
          <w:szCs w:val="24"/>
          <w:lang w:eastAsia="zh-CN"/>
        </w:rPr>
        <w:t>样瓶整装模块化整装设计，提高取样时的装卸瓶效率；</w:t>
      </w:r>
    </w:p>
    <w:p w14:paraId="6566A12A">
      <w:pPr>
        <w:keepNext w:val="0"/>
        <w:keepLines w:val="0"/>
        <w:pageBreakBefore w:val="0"/>
        <w:widowControl w:val="0"/>
        <w:kinsoku/>
        <w:wordWrap/>
        <w:overflowPunct/>
        <w:topLinePunct w:val="0"/>
        <w:autoSpaceDE/>
        <w:autoSpaceDN/>
        <w:bidi w:val="0"/>
        <w:adjustRightInd/>
        <w:snapToGrid/>
        <w:spacing w:line="500" w:lineRule="exact"/>
        <w:ind w:left="0" w:right="0" w:firstLine="480" w:firstLineChars="200"/>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5</w:t>
      </w:r>
      <w:r>
        <w:rPr>
          <w:rFonts w:hint="eastAsia" w:ascii="宋体" w:hAnsi="宋体" w:cs="宋体"/>
          <w:spacing w:val="0"/>
          <w:sz w:val="24"/>
          <w:szCs w:val="24"/>
          <w:lang w:eastAsia="zh-CN"/>
        </w:rPr>
        <w:t>）</w:t>
      </w:r>
      <w:r>
        <w:rPr>
          <w:rFonts w:ascii="宋体" w:hAnsi="宋体" w:eastAsia="宋体" w:cs="宋体"/>
          <w:spacing w:val="0"/>
          <w:sz w:val="24"/>
          <w:szCs w:val="24"/>
          <w:lang w:eastAsia="zh-CN"/>
        </w:rPr>
        <w:t>布设方便简单，滚轮设计更换站点快捷。</w:t>
      </w:r>
    </w:p>
    <w:p w14:paraId="73323004">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rPr>
          <w:rFonts w:hint="eastAsia" w:ascii="宋体" w:hAnsi="宋体" w:eastAsia="宋体" w:cs="宋体"/>
          <w:spacing w:val="0"/>
          <w:sz w:val="24"/>
          <w:szCs w:val="24"/>
        </w:rPr>
      </w:pPr>
      <w:r>
        <w:rPr>
          <w:rFonts w:ascii="宋体" w:hAnsi="宋体" w:eastAsia="宋体" w:cs="宋体"/>
          <w:b/>
          <w:bCs/>
          <w:spacing w:val="0"/>
          <w:sz w:val="24"/>
          <w:szCs w:val="24"/>
        </w:rPr>
        <w:t>技术参数</w:t>
      </w:r>
    </w:p>
    <w:p w14:paraId="2ECBE59D">
      <w:pPr>
        <w:spacing w:line="69" w:lineRule="exact"/>
        <w:rPr>
          <w:spacing w:val="0"/>
        </w:rPr>
      </w:pPr>
    </w:p>
    <w:tbl>
      <w:tblPr>
        <w:tblStyle w:val="42"/>
        <w:tblW w:w="92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11"/>
        <w:gridCol w:w="5928"/>
      </w:tblGrid>
      <w:tr w14:paraId="459BF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3311" w:type="dxa"/>
            <w:shd w:val="clear" w:color="auto" w:fill="E3F2D9" w:themeFill="accent4" w:themeFillTint="32"/>
            <w:vAlign w:val="center"/>
          </w:tcPr>
          <w:p w14:paraId="480859D4">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项目</w:t>
            </w:r>
          </w:p>
        </w:tc>
        <w:tc>
          <w:tcPr>
            <w:tcW w:w="5928" w:type="dxa"/>
            <w:shd w:val="clear" w:color="auto" w:fill="E3F2D9" w:themeFill="accent4" w:themeFillTint="32"/>
            <w:vAlign w:val="center"/>
          </w:tcPr>
          <w:p w14:paraId="23B24451">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技术指标</w:t>
            </w:r>
          </w:p>
        </w:tc>
      </w:tr>
      <w:tr w14:paraId="5142F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0CDEC69D">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采样瓶</w:t>
            </w:r>
          </w:p>
        </w:tc>
        <w:tc>
          <w:tcPr>
            <w:tcW w:w="5928" w:type="dxa"/>
            <w:vAlign w:val="center"/>
          </w:tcPr>
          <w:p w14:paraId="58214B4D">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规格：500ml×12 瓶</w:t>
            </w:r>
          </w:p>
        </w:tc>
      </w:tr>
      <w:tr w14:paraId="6436A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1BCB391B">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采样量误差</w:t>
            </w:r>
          </w:p>
        </w:tc>
        <w:tc>
          <w:tcPr>
            <w:tcW w:w="5928" w:type="dxa"/>
            <w:vAlign w:val="center"/>
          </w:tcPr>
          <w:p w14:paraId="0EC8DA84">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 10%</w:t>
            </w:r>
          </w:p>
        </w:tc>
      </w:tr>
      <w:tr w14:paraId="53872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38DB2EA3">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等比例采样量误差</w:t>
            </w:r>
          </w:p>
        </w:tc>
        <w:tc>
          <w:tcPr>
            <w:tcW w:w="5928" w:type="dxa"/>
            <w:vAlign w:val="center"/>
          </w:tcPr>
          <w:p w14:paraId="1F769C07">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 15%</w:t>
            </w:r>
          </w:p>
        </w:tc>
      </w:tr>
      <w:tr w14:paraId="46E29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5E04014D">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系统时钟误差</w:t>
            </w:r>
          </w:p>
        </w:tc>
        <w:tc>
          <w:tcPr>
            <w:tcW w:w="5928" w:type="dxa"/>
            <w:vAlign w:val="center"/>
          </w:tcPr>
          <w:p w14:paraId="614C0D26">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Δ 1≤0.1%及 Δ 12≤30s</w:t>
            </w:r>
          </w:p>
        </w:tc>
      </w:tr>
      <w:tr w14:paraId="47BFA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16633C5D">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机箱内温度控制误差</w:t>
            </w:r>
          </w:p>
        </w:tc>
        <w:tc>
          <w:tcPr>
            <w:tcW w:w="5928" w:type="dxa"/>
            <w:vAlign w:val="center"/>
          </w:tcPr>
          <w:p w14:paraId="3C9871E1">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4±2℃</w:t>
            </w:r>
          </w:p>
        </w:tc>
      </w:tr>
      <w:tr w14:paraId="74D36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314BDEF6">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采样垂直高度</w:t>
            </w:r>
          </w:p>
        </w:tc>
        <w:tc>
          <w:tcPr>
            <w:tcW w:w="5928" w:type="dxa"/>
            <w:vAlign w:val="center"/>
          </w:tcPr>
          <w:p w14:paraId="153F3585">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≤9m</w:t>
            </w:r>
          </w:p>
        </w:tc>
      </w:tr>
      <w:tr w14:paraId="72258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79BE204E">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水平采样距离</w:t>
            </w:r>
          </w:p>
        </w:tc>
        <w:tc>
          <w:tcPr>
            <w:tcW w:w="5928" w:type="dxa"/>
            <w:vAlign w:val="center"/>
          </w:tcPr>
          <w:p w14:paraId="59BE9A64">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≤50m</w:t>
            </w:r>
          </w:p>
        </w:tc>
      </w:tr>
      <w:tr w14:paraId="621AC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02B3AB05">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lang w:eastAsia="zh-CN"/>
              </w:rPr>
              <w:t>平均无故障连续运行时间</w:t>
            </w:r>
            <w:r>
              <w:rPr>
                <w:spacing w:val="0"/>
                <w:sz w:val="21"/>
                <w:szCs w:val="21"/>
              </w:rPr>
              <w:t>（MTBF）</w:t>
            </w:r>
          </w:p>
        </w:tc>
        <w:tc>
          <w:tcPr>
            <w:tcW w:w="5928" w:type="dxa"/>
            <w:vAlign w:val="center"/>
          </w:tcPr>
          <w:p w14:paraId="5BB67204">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≥1440h/次</w:t>
            </w:r>
          </w:p>
        </w:tc>
      </w:tr>
      <w:tr w14:paraId="3F663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2B9B1A43">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工作电压</w:t>
            </w:r>
          </w:p>
        </w:tc>
        <w:tc>
          <w:tcPr>
            <w:tcW w:w="5928" w:type="dxa"/>
            <w:vAlign w:val="center"/>
          </w:tcPr>
          <w:p w14:paraId="6799049C">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AC220V±10%，50Hz±1Hz / DC24V</w:t>
            </w:r>
          </w:p>
        </w:tc>
      </w:tr>
      <w:tr w14:paraId="5A629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3311" w:type="dxa"/>
            <w:vAlign w:val="center"/>
          </w:tcPr>
          <w:p w14:paraId="1655DB54">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运行环境温度</w:t>
            </w:r>
          </w:p>
        </w:tc>
        <w:tc>
          <w:tcPr>
            <w:tcW w:w="5928" w:type="dxa"/>
            <w:vAlign w:val="center"/>
          </w:tcPr>
          <w:p w14:paraId="4AE3421C">
            <w:pPr>
              <w:pStyle w:val="41"/>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spacing w:val="0"/>
                <w:sz w:val="21"/>
                <w:szCs w:val="21"/>
              </w:rPr>
            </w:pPr>
            <w:r>
              <w:rPr>
                <w:spacing w:val="0"/>
                <w:sz w:val="21"/>
                <w:szCs w:val="21"/>
              </w:rPr>
              <w:t>-15℃~40℃</w:t>
            </w:r>
          </w:p>
        </w:tc>
      </w:tr>
    </w:tbl>
    <w:p w14:paraId="0D9840EE">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rPr>
          <w:rFonts w:hint="eastAsia" w:ascii="宋体" w:hAnsi="宋体" w:eastAsia="宋体" w:cs="宋体"/>
          <w:b/>
          <w:bCs/>
          <w:spacing w:val="0"/>
          <w:sz w:val="24"/>
          <w:szCs w:val="24"/>
          <w:lang w:val="en-US" w:eastAsia="zh-CN"/>
        </w:rPr>
      </w:pPr>
    </w:p>
    <w:p w14:paraId="03A1B945">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rPr>
          <w:rFonts w:hint="eastAsia" w:ascii="宋体" w:hAnsi="宋体" w:eastAsia="宋体" w:cs="宋体"/>
          <w:b/>
          <w:bCs/>
          <w:spacing w:val="0"/>
          <w:sz w:val="24"/>
          <w:szCs w:val="24"/>
          <w:lang w:val="en-US" w:eastAsia="zh-CN"/>
        </w:rPr>
      </w:pPr>
    </w:p>
    <w:p w14:paraId="47F15794">
      <w:pPr>
        <w:keepNext w:val="0"/>
        <w:keepLines w:val="0"/>
        <w:pageBreakBefore w:val="0"/>
        <w:widowControl w:val="0"/>
        <w:kinsoku/>
        <w:wordWrap/>
        <w:overflowPunct/>
        <w:topLinePunct w:val="0"/>
        <w:autoSpaceDE/>
        <w:autoSpaceDN/>
        <w:bidi w:val="0"/>
        <w:adjustRightInd/>
        <w:snapToGrid/>
        <w:spacing w:line="500" w:lineRule="exact"/>
        <w:ind w:left="0" w:right="0" w:firstLine="482" w:firstLineChars="200"/>
        <w:textAlignment w:val="auto"/>
        <w:rPr>
          <w:rFonts w:hint="default"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3.3流量监控系统</w:t>
      </w:r>
    </w:p>
    <w:tbl>
      <w:tblPr>
        <w:tblStyle w:val="44"/>
        <w:tblW w:w="9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3"/>
        <w:gridCol w:w="5228"/>
      </w:tblGrid>
      <w:tr w14:paraId="3BC6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983" w:type="dxa"/>
            <w:shd w:val="clear" w:color="auto" w:fill="E3F2D9" w:themeFill="accent4" w:themeFillTint="32"/>
            <w:vAlign w:val="center"/>
          </w:tcPr>
          <w:p w14:paraId="1F228AA8">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参数名称</w:t>
            </w:r>
          </w:p>
        </w:tc>
        <w:tc>
          <w:tcPr>
            <w:tcW w:w="5228" w:type="dxa"/>
            <w:shd w:val="clear" w:color="auto" w:fill="E3F2D9" w:themeFill="accent4" w:themeFillTint="32"/>
            <w:vAlign w:val="center"/>
          </w:tcPr>
          <w:p w14:paraId="06C18B1C">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参数规格</w:t>
            </w:r>
          </w:p>
        </w:tc>
      </w:tr>
      <w:tr w14:paraId="25A4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1BD952D8">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流速范围</w:t>
            </w:r>
          </w:p>
        </w:tc>
        <w:tc>
          <w:tcPr>
            <w:tcW w:w="5228" w:type="dxa"/>
            <w:vAlign w:val="center"/>
          </w:tcPr>
          <w:p w14:paraId="00286150">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0.07~20m/s</w:t>
            </w:r>
          </w:p>
        </w:tc>
      </w:tr>
      <w:tr w14:paraId="4B5A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7B3D84A9">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流速测量精度</w:t>
            </w:r>
          </w:p>
        </w:tc>
        <w:tc>
          <w:tcPr>
            <w:tcW w:w="5228" w:type="dxa"/>
            <w:vAlign w:val="center"/>
          </w:tcPr>
          <w:p w14:paraId="47E18A42">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±0.01m/s；±1%FS</w:t>
            </w:r>
          </w:p>
        </w:tc>
      </w:tr>
      <w:tr w14:paraId="5D96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75542497">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流速雷达频率</w:t>
            </w:r>
          </w:p>
        </w:tc>
        <w:tc>
          <w:tcPr>
            <w:tcW w:w="5228" w:type="dxa"/>
            <w:vAlign w:val="center"/>
          </w:tcPr>
          <w:p w14:paraId="121583A5">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24GHz</w:t>
            </w:r>
          </w:p>
        </w:tc>
      </w:tr>
      <w:tr w14:paraId="3251F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4E4B841F">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流速雷达波束角</w:t>
            </w:r>
          </w:p>
        </w:tc>
        <w:tc>
          <w:tcPr>
            <w:tcW w:w="5228" w:type="dxa"/>
            <w:vAlign w:val="center"/>
          </w:tcPr>
          <w:p w14:paraId="2492B489">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12°</w:t>
            </w:r>
          </w:p>
        </w:tc>
      </w:tr>
      <w:tr w14:paraId="6520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51A30793">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水位雷达测量范围（空高）</w:t>
            </w:r>
          </w:p>
        </w:tc>
        <w:tc>
          <w:tcPr>
            <w:tcW w:w="5228" w:type="dxa"/>
            <w:vAlign w:val="center"/>
          </w:tcPr>
          <w:p w14:paraId="1ED58F6C">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0~10m</w:t>
            </w:r>
          </w:p>
        </w:tc>
      </w:tr>
      <w:tr w14:paraId="4184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7CD8AAA0">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水位测量精度</w:t>
            </w:r>
          </w:p>
        </w:tc>
        <w:tc>
          <w:tcPr>
            <w:tcW w:w="5228" w:type="dxa"/>
            <w:vAlign w:val="center"/>
          </w:tcPr>
          <w:p w14:paraId="5BE7F380">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±1mm</w:t>
            </w:r>
          </w:p>
        </w:tc>
      </w:tr>
      <w:tr w14:paraId="3C47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048980C6">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水位分辨率</w:t>
            </w:r>
          </w:p>
        </w:tc>
        <w:tc>
          <w:tcPr>
            <w:tcW w:w="5228" w:type="dxa"/>
            <w:vAlign w:val="center"/>
          </w:tcPr>
          <w:p w14:paraId="0F8DD125">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1mm</w:t>
            </w:r>
          </w:p>
        </w:tc>
      </w:tr>
      <w:tr w14:paraId="6AED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4A8A7F47">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水位雷达频率</w:t>
            </w:r>
          </w:p>
        </w:tc>
        <w:tc>
          <w:tcPr>
            <w:tcW w:w="5228" w:type="dxa"/>
            <w:vAlign w:val="center"/>
          </w:tcPr>
          <w:p w14:paraId="394D0D2A">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120GHz</w:t>
            </w:r>
          </w:p>
        </w:tc>
      </w:tr>
      <w:tr w14:paraId="54F3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122798D6">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水位雷达波束角</w:t>
            </w:r>
          </w:p>
        </w:tc>
        <w:tc>
          <w:tcPr>
            <w:tcW w:w="5228" w:type="dxa"/>
            <w:vAlign w:val="center"/>
          </w:tcPr>
          <w:p w14:paraId="23BC8ABF">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3°</w:t>
            </w:r>
          </w:p>
        </w:tc>
      </w:tr>
      <w:tr w14:paraId="606F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983" w:type="dxa"/>
            <w:vAlign w:val="center"/>
          </w:tcPr>
          <w:p w14:paraId="57014D0E">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bookmarkStart w:id="300" w:name="_Hlk216191126"/>
            <w:r>
              <w:rPr>
                <w:rFonts w:hint="eastAsia" w:ascii="宋体" w:hAnsi="宋体" w:eastAsia="宋体" w:cs="宋体"/>
                <w:b w:val="0"/>
                <w:bCs w:val="0"/>
                <w:spacing w:val="0"/>
                <w:sz w:val="21"/>
                <w:szCs w:val="21"/>
              </w:rPr>
              <w:t>防护等级</w:t>
            </w:r>
          </w:p>
        </w:tc>
        <w:tc>
          <w:tcPr>
            <w:tcW w:w="5228" w:type="dxa"/>
            <w:vAlign w:val="center"/>
          </w:tcPr>
          <w:p w14:paraId="0706E79E">
            <w:pPr>
              <w:pStyle w:val="4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pacing w:val="0"/>
                <w:sz w:val="21"/>
                <w:szCs w:val="21"/>
              </w:rPr>
            </w:pPr>
            <w:r>
              <w:rPr>
                <w:rFonts w:hint="eastAsia" w:ascii="宋体" w:hAnsi="宋体" w:eastAsia="宋体" w:cs="宋体"/>
                <w:b w:val="0"/>
                <w:bCs w:val="0"/>
                <w:spacing w:val="0"/>
                <w:sz w:val="21"/>
                <w:szCs w:val="21"/>
              </w:rPr>
              <w:t>IP68</w:t>
            </w:r>
          </w:p>
        </w:tc>
      </w:tr>
      <w:bookmarkEnd w:id="300"/>
    </w:tbl>
    <w:p w14:paraId="1CE421A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功能：</w:t>
      </w:r>
    </w:p>
    <w:p w14:paraId="70F3AFE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1.实时接收传感器多点流速，信号强度，可信度信息；并可实时调看这3种多点信号。</w:t>
      </w:r>
    </w:p>
    <w:p w14:paraId="2EEBA4F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2.</w:t>
      </w:r>
      <w:r>
        <w:rPr>
          <w:rFonts w:hint="eastAsia" w:ascii="宋体" w:hAnsi="宋体" w:eastAsia="宋体" w:cs="宋体"/>
          <w:spacing w:val="-6"/>
          <w:sz w:val="24"/>
          <w:szCs w:val="24"/>
          <w:lang w:val="en-US" w:eastAsia="zh-CN"/>
        </w:rPr>
        <w:t>实时接收其它水位数据（包括浮子及其它4~40mA型水位计）,通过河道断面计算河道流量；</w:t>
      </w:r>
    </w:p>
    <w:p w14:paraId="6CF3892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3.现场显示接口（320×240）：仪表配备大屏幕点阵图形显示屏320 X 240，中文菜单，配合图形显示，方便操作及流态分析；直观显示瞬时流量、累计流量、秒流量、平均流速、水位及仪表电压等数据；仪表在测试状态下可实时显示流速曲线、图形，便于水流流态分析研究；</w:t>
      </w:r>
    </w:p>
    <w:p w14:paraId="5FF0272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4.现场存储管理流量、流速、水位数据，存储容量2MB；</w:t>
      </w:r>
    </w:p>
    <w:p w14:paraId="4AA2187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5.带RS232或RS485通讯端口，可配接无线数传电台或GPRS、CDMA网络通讯模块，实现数据远程传输；</w:t>
      </w:r>
    </w:p>
    <w:p w14:paraId="520ECCF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6.测量流速流量数据可采用“自报”“应答”两种传输方式；</w:t>
      </w:r>
    </w:p>
    <w:p w14:paraId="65C9325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7.实时现场显示ADCP传感器水下三维安装信息，按实测角度实时修正点流速数据。</w:t>
      </w:r>
    </w:p>
    <w:p w14:paraId="267E6C7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8.现场键盘接口：仪表可依据现场实情输入各种参数及河道不规则断面图，以便计算过水面积及水流量；</w:t>
      </w:r>
    </w:p>
    <w:p w14:paraId="2D668B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9.</w:t>
      </w:r>
      <w:r>
        <w:rPr>
          <w:rFonts w:hint="eastAsia" w:ascii="宋体" w:hAnsi="宋体" w:eastAsia="宋体" w:cs="宋体"/>
          <w:spacing w:val="-6"/>
          <w:sz w:val="24"/>
          <w:szCs w:val="24"/>
          <w:lang w:val="en-US" w:eastAsia="zh-CN"/>
        </w:rPr>
        <w:t>*流量计算模型：仪表自带3种流量计算模型，“单积分”，“双积分”，“指标流速法”；</w:t>
      </w:r>
    </w:p>
    <w:p w14:paraId="2F50E33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10.仪表测量固态存储（标配16dB FLASH）；</w:t>
      </w:r>
    </w:p>
    <w:p w14:paraId="65B3F88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 xml:space="preserve">11.仪表可存储2种类型数据：   </w:t>
      </w:r>
    </w:p>
    <w:p w14:paraId="412727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 xml:space="preserve">现场仪表每天存储25组小时量数据，其中第1组存储当天第一个存储值，其余为整点数据。内容包含存储时间、瞬时流量、过水流量累计量及水位。   </w:t>
      </w:r>
    </w:p>
    <w:p w14:paraId="48BEA1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（2）</w:t>
      </w:r>
      <w:r>
        <w:rPr>
          <w:rFonts w:hint="eastAsia" w:ascii="宋体" w:hAnsi="宋体" w:eastAsia="宋体" w:cs="宋体"/>
          <w:spacing w:val="0"/>
          <w:sz w:val="24"/>
          <w:szCs w:val="24"/>
          <w:lang w:val="en-US" w:eastAsia="zh-CN"/>
        </w:rPr>
        <w:t>12天内每5分钟点流速数据。数据内包含有点流速记录时间、每个单元流速值、实时水位及平均流速。</w:t>
      </w:r>
    </w:p>
    <w:p w14:paraId="1097C21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12.仪表供电：DC 12V~38V或AC 220V(10%)；</w:t>
      </w:r>
    </w:p>
    <w:p w14:paraId="296DE3F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13.仪表功耗：正常测量 3W(12V 240mA)；</w:t>
      </w:r>
    </w:p>
    <w:p w14:paraId="3762396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14.具备硬软件看门狗；</w:t>
      </w:r>
    </w:p>
    <w:p w14:paraId="6E23DDA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15.实时时钟：实时钟运行精度月漂移不超过2min。可采用中心站计算机校时；</w:t>
      </w:r>
    </w:p>
    <w:p w14:paraId="2357D2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16.CPU工作频率：20MHz；</w:t>
      </w:r>
    </w:p>
    <w:p w14:paraId="2E54F4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17.标配操作系统：8051F020操作系统；</w:t>
      </w:r>
    </w:p>
    <w:p w14:paraId="3B222C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18.工作温度：-20℃~70℃；</w:t>
      </w:r>
    </w:p>
    <w:p w14:paraId="687451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1"/>
        <w:rPr>
          <w:rFonts w:hint="eastAsia" w:ascii="宋体" w:hAnsi="宋体" w:eastAsia="宋体" w:cs="宋体"/>
          <w:b/>
          <w:bCs/>
          <w:spacing w:val="0"/>
          <w:sz w:val="24"/>
          <w:szCs w:val="24"/>
          <w:lang w:val="en-US" w:eastAsia="zh-CN"/>
        </w:rPr>
      </w:pPr>
      <w:r>
        <w:rPr>
          <w:rFonts w:hint="eastAsia" w:ascii="宋体" w:hAnsi="宋体" w:eastAsia="宋体" w:cs="宋体"/>
          <w:spacing w:val="0"/>
          <w:sz w:val="24"/>
          <w:szCs w:val="24"/>
          <w:lang w:val="en-US" w:eastAsia="zh-CN"/>
        </w:rPr>
        <w:t>19.湿度小于95％（＋40℃），不结露；*与ADCP通讯采用光电隔离型。</w:t>
      </w:r>
    </w:p>
    <w:p w14:paraId="54B9D040">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1"/>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3.4 智慧监测监管平台</w:t>
      </w:r>
    </w:p>
    <w:p w14:paraId="31162E2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ascii="宋体" w:hAnsi="宋体" w:eastAsia="宋体" w:cs="宋体"/>
          <w:spacing w:val="0"/>
          <w:sz w:val="24"/>
          <w:szCs w:val="24"/>
          <w:lang w:eastAsia="zh-CN"/>
        </w:rPr>
        <w:t>搭建</w:t>
      </w:r>
      <w:r>
        <w:rPr>
          <w:rFonts w:hint="eastAsia" w:ascii="宋体" w:hAnsi="宋体" w:eastAsia="宋体" w:cs="宋体"/>
          <w:spacing w:val="0"/>
          <w:sz w:val="24"/>
          <w:szCs w:val="24"/>
          <w:lang w:eastAsia="zh-CN"/>
        </w:rPr>
        <w:t>智慧监测监管平台</w:t>
      </w:r>
      <w:r>
        <w:rPr>
          <w:rFonts w:ascii="宋体" w:hAnsi="宋体" w:eastAsia="宋体" w:cs="宋体"/>
          <w:spacing w:val="0"/>
          <w:sz w:val="24"/>
          <w:szCs w:val="24"/>
          <w:lang w:eastAsia="zh-CN"/>
        </w:rPr>
        <w:t>，是集合所有在线监测设备、自动实验室等数据的数据终端展示平台。具体包括（但不限于）：</w:t>
      </w:r>
      <w:r>
        <w:rPr>
          <w:rFonts w:hint="eastAsia" w:ascii="宋体" w:hAnsi="宋体" w:eastAsia="宋体" w:cs="宋体"/>
          <w:spacing w:val="0"/>
          <w:sz w:val="24"/>
          <w:szCs w:val="24"/>
          <w:lang w:eastAsia="zh-CN"/>
        </w:rPr>
        <w:t>智能支撑中枢、点源数智化监管、智能采测管理、综合统计分析、可视化决策平台</w:t>
      </w:r>
      <w:r>
        <w:rPr>
          <w:rFonts w:ascii="宋体" w:hAnsi="宋体" w:eastAsia="宋体" w:cs="宋体"/>
          <w:spacing w:val="0"/>
          <w:sz w:val="24"/>
          <w:szCs w:val="24"/>
          <w:lang w:eastAsia="zh-CN"/>
        </w:rPr>
        <w:t>等功能，提高管理部门的决策和水环境形势分析能力。</w:t>
      </w:r>
    </w:p>
    <w:p w14:paraId="74734C1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1</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val="en-US" w:eastAsia="zh-CN"/>
        </w:rPr>
        <w:t>服务器与存储：</w:t>
      </w:r>
      <w:r>
        <w:rPr>
          <w:rFonts w:hint="eastAsia" w:ascii="宋体" w:hAnsi="宋体" w:eastAsia="宋体" w:cs="宋体"/>
          <w:spacing w:val="0"/>
          <w:sz w:val="24"/>
          <w:szCs w:val="24"/>
          <w:lang w:eastAsia="zh-CN"/>
        </w:rPr>
        <w:t>1台数据库服务器：openEuler22.03LTSP4 16C 64G，2台应用服务器：openEuler22.03LTSP4 16C 64G，1台通信服务器：openEuler22.03LTSP4 16C 64G，四台服务器共计4TB</w:t>
      </w:r>
      <w:r>
        <w:rPr>
          <w:rFonts w:hint="eastAsia" w:ascii="宋体" w:hAnsi="宋体" w:cs="宋体"/>
          <w:spacing w:val="0"/>
          <w:sz w:val="24"/>
          <w:szCs w:val="24"/>
          <w:lang w:eastAsia="zh-CN"/>
        </w:rPr>
        <w:t>。</w:t>
      </w:r>
    </w:p>
    <w:p w14:paraId="1F81B41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2</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智能支撑中枢：构筑智能支撑中枢，提供数智底座服务功能，实现围绕区域内河流水体、地形高程、水文气象、水生态环境、水污染源、城市排水等核心要素，一方面对已建的现场感知端数据进行标准化实时采集、以及底数调查数据统一接入，另一方面对省、市生态环境部门等上下级单位内部系统之间数据，以及住建、水文、气象等跨单位部门数据进行共享。主要包括：多源接入、物联网管理、数据管理等。</w:t>
      </w:r>
    </w:p>
    <w:p w14:paraId="354CE112">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3</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点源数智化监管：围绕水环境监管构建羊山新区点源动态档案库，包括涉及水环境问题的面源、污染源企业、污水处理厂、入河湖排口、水质监测网、水环境保护与治理工程等内容的统一归纳整理与填报等，为GIS可视化地图分布展示各类环境要素与现状、历史变化提供基础数据，为管理单位摸清水环境底数、优化监测监管手段和方式提供基础数据依。</w:t>
      </w:r>
      <w:r>
        <w:rPr>
          <w:rFonts w:hint="eastAsia" w:ascii="宋体" w:hAnsi="宋体" w:eastAsia="宋体" w:cs="宋体"/>
          <w:spacing w:val="-3"/>
          <w:sz w:val="24"/>
          <w:szCs w:val="24"/>
          <w:lang w:eastAsia="zh-CN"/>
        </w:rPr>
        <w:t>以羊山新区为基本单元，构建水环境管控的“一区一档”，关联一企一档、一源一档、一口一档、一点一档、一河/湖一档对应内容，支持查看区域水环境质量排名、历史变化趋势、问题统计分析等。</w:t>
      </w:r>
    </w:p>
    <w:p w14:paraId="6BA629D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4</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智能采测管理：智能采测监测管理系统模块主要应用于智能采样终端采样管理、监测数据导入、校核、统计计算、分析评价，减轻人工压力，提高工作效率，为区域水环境的综合分析与展示提供丰富的基础数据。</w:t>
      </w:r>
    </w:p>
    <w:p w14:paraId="5EA6E53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5</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综合统计分析：</w:t>
      </w:r>
    </w:p>
    <w:p w14:paraId="11BB6E1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1</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企业水平衡分析：通过水量平衡模型（进水量 = 用水量 + 排水量 + 损失量），分析企业用水合理性，识别异常用水行为（如偷排稀释水）。</w:t>
      </w:r>
    </w:p>
    <w:p w14:paraId="7E882A7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2</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异常违法线索分析：结合排污许可信息与监测数据，识别超排、偷排、伪造监测数据等违法行为，生成预警线索（如某企业连续3天COD超标）。</w:t>
      </w:r>
    </w:p>
    <w:p w14:paraId="3E4CCFC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3</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质控分析对实验室水质监测数据进行质量控制（如剔除极端值、校正漂移），识别异常值并提示修正，确保数据可靠性。</w:t>
      </w:r>
    </w:p>
    <w:p w14:paraId="3581045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4</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降雨超标分析：分析降雨量与污染物浓度的关系（如暴雨后氨氮浓度升高），评估降雨对水质的影响，制定雨季防控预案。</w:t>
      </w:r>
    </w:p>
    <w:p w14:paraId="1FEA7DDC">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5</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环境承载能力分析：结合流域水环境容量与污染源排放数据，评估区域环境承载能力（如某断面氨氮负荷已达上限），提出限产或减排建议。</w:t>
      </w:r>
    </w:p>
    <w:p w14:paraId="09D54A1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eastAsia="zh-CN"/>
        </w:rPr>
        <w:t>（</w:t>
      </w:r>
      <w:r>
        <w:rPr>
          <w:rFonts w:hint="eastAsia" w:ascii="宋体" w:hAnsi="宋体" w:cs="宋体"/>
          <w:spacing w:val="0"/>
          <w:sz w:val="24"/>
          <w:szCs w:val="24"/>
          <w:lang w:val="en-US" w:eastAsia="zh-CN"/>
        </w:rPr>
        <w:t>6</w:t>
      </w:r>
      <w:r>
        <w:rPr>
          <w:rFonts w:hint="eastAsia" w:ascii="宋体" w:hAnsi="宋体" w:cs="宋体"/>
          <w:spacing w:val="0"/>
          <w:sz w:val="24"/>
          <w:szCs w:val="24"/>
          <w:lang w:eastAsia="zh-CN"/>
        </w:rPr>
        <w:t>）</w:t>
      </w:r>
      <w:r>
        <w:rPr>
          <w:rFonts w:hint="eastAsia" w:ascii="宋体" w:hAnsi="宋体" w:eastAsia="宋体" w:cs="宋体"/>
          <w:spacing w:val="0"/>
          <w:sz w:val="24"/>
          <w:szCs w:val="24"/>
          <w:lang w:eastAsia="zh-CN"/>
        </w:rPr>
        <w:t>特征污染物检出分析：统计特定污染物（如铅、镉、苯系物）的检出率及浓度分布，辅助污染源识别与治理（如某企业频繁检出苯系物，可能涉及有机溶剂泄漏）。</w:t>
      </w:r>
    </w:p>
    <w:p w14:paraId="2526A5F7">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（7）</w:t>
      </w:r>
      <w:r>
        <w:rPr>
          <w:rFonts w:hint="eastAsia" w:ascii="宋体" w:hAnsi="宋体" w:eastAsia="宋体" w:cs="宋体"/>
          <w:spacing w:val="0"/>
          <w:sz w:val="24"/>
          <w:szCs w:val="24"/>
          <w:lang w:eastAsia="zh-CN"/>
        </w:rPr>
        <w:t>通过AI大模型数据智能解析能力、结构化提取、多维交叉交互验证技术，自动比对数据逻辑、时序规律与场景关联关系，精准排查数据异常。主要包括模型智能调用、AI智能助手问答、各种分析报告等。</w:t>
      </w:r>
    </w:p>
    <w:p w14:paraId="7681B59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（8）</w:t>
      </w:r>
      <w:r>
        <w:rPr>
          <w:rFonts w:hint="eastAsia" w:ascii="宋体" w:hAnsi="宋体" w:eastAsia="宋体" w:cs="宋体"/>
          <w:spacing w:val="0"/>
          <w:sz w:val="24"/>
          <w:szCs w:val="24"/>
          <w:lang w:eastAsia="zh-CN"/>
        </w:rPr>
        <w:t>配套APP。用户人员可通过移动综合应用消息中心进行数据查询、点源信息录入、采运测工作及大模型智能分析等功能。</w:t>
      </w:r>
    </w:p>
    <w:p w14:paraId="20F8BDC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6</w:t>
      </w:r>
      <w:r>
        <w:rPr>
          <w:rFonts w:hint="eastAsia" w:ascii="宋体" w:hAnsi="宋体" w:cs="宋体"/>
          <w:spacing w:val="0"/>
          <w:sz w:val="24"/>
          <w:szCs w:val="24"/>
          <w:lang w:val="en-US" w:eastAsia="zh-CN"/>
        </w:rPr>
        <w:t>.</w:t>
      </w:r>
      <w:r>
        <w:rPr>
          <w:rFonts w:hint="eastAsia" w:ascii="宋体" w:hAnsi="宋体" w:eastAsia="宋体" w:cs="宋体"/>
          <w:spacing w:val="0"/>
          <w:sz w:val="24"/>
          <w:szCs w:val="24"/>
          <w:lang w:eastAsia="zh-CN"/>
        </w:rPr>
        <w:t>可视化决策平台：点源综合概览模块以“一张图”无缝叠合工业园源、生活源、面源、入河湖排口、河湖水系及水质-水量-水位监测网，构建空-天-地一体化全息底图，实现全域水环境要素时空同步呈现。重点突出各类点源的综合应用展示，支持关联点击查看一企一档、一源一档、一口一档、一点一档、一河/湖一档、一区一档对应的详情内容。支持对不同的元素图层按照逻辑层次进行显示与隐藏控制。</w:t>
      </w:r>
    </w:p>
    <w:p w14:paraId="0CAAD365">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1"/>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3.5运维维护</w:t>
      </w:r>
    </w:p>
    <w:p w14:paraId="3C61FDBC">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按照相关技术规范及标准，保证全自动AI水检系统、智能管控终端、智慧监测监管平台的正常运行。</w:t>
      </w:r>
    </w:p>
    <w:p w14:paraId="1C54128D">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1"/>
        <w:rPr>
          <w:rFonts w:hint="eastAsia" w:ascii="宋体" w:hAnsi="宋体" w:eastAsia="宋体" w:cs="宋体"/>
          <w:b/>
          <w:bCs/>
          <w:spacing w:val="0"/>
          <w:sz w:val="24"/>
          <w:szCs w:val="24"/>
          <w:lang w:val="en-US" w:eastAsia="zh-CN"/>
        </w:rPr>
      </w:pPr>
      <w:r>
        <w:rPr>
          <w:rFonts w:hint="eastAsia" w:ascii="宋体" w:hAnsi="宋体" w:eastAsia="宋体" w:cs="宋体"/>
          <w:b/>
          <w:bCs/>
          <w:spacing w:val="0"/>
          <w:sz w:val="24"/>
          <w:szCs w:val="24"/>
          <w:lang w:val="en-US" w:eastAsia="zh-CN"/>
        </w:rPr>
        <w:t>3.6综合服务</w:t>
      </w:r>
    </w:p>
    <w:p w14:paraId="63F57B2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kern w:val="2"/>
          <w:sz w:val="24"/>
          <w:szCs w:val="24"/>
          <w:lang w:val="en-US" w:eastAsia="zh-CN" w:bidi="ar-SA"/>
        </w:rPr>
        <w:t>1</w:t>
      </w:r>
      <w:r>
        <w:rPr>
          <w:rFonts w:hint="eastAsia" w:ascii="宋体" w:hAnsi="宋体" w:cs="宋体"/>
          <w:spacing w:val="0"/>
          <w:kern w:val="2"/>
          <w:sz w:val="24"/>
          <w:szCs w:val="24"/>
          <w:lang w:val="en-US" w:eastAsia="zh-CN" w:bidi="ar-SA"/>
        </w:rPr>
        <w:t>.</w:t>
      </w:r>
      <w:r>
        <w:rPr>
          <w:rFonts w:hint="eastAsia" w:ascii="宋体" w:hAnsi="宋体" w:eastAsia="宋体" w:cs="宋体"/>
          <w:spacing w:val="0"/>
          <w:sz w:val="24"/>
          <w:szCs w:val="24"/>
          <w:lang w:val="en-US" w:eastAsia="zh-CN"/>
        </w:rPr>
        <w:t>科学高效的预警应急服务</w:t>
      </w:r>
      <w:r>
        <w:rPr>
          <w:rFonts w:hint="eastAsia" w:ascii="宋体" w:hAnsi="宋体" w:eastAsia="宋体" w:cs="宋体"/>
          <w:spacing w:val="0"/>
          <w:sz w:val="24"/>
          <w:szCs w:val="24"/>
          <w:lang w:val="en-US" w:eastAsia="zh-CN"/>
        </w:rPr>
        <w:tab/>
      </w:r>
    </w:p>
    <w:p w14:paraId="50A1226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sz w:val="24"/>
          <w:szCs w:val="24"/>
          <w:lang w:val="en-US" w:eastAsia="zh-CN"/>
        </w:rPr>
        <w:t>（1）</w:t>
      </w:r>
      <w:r>
        <w:rPr>
          <w:rFonts w:hint="eastAsia" w:ascii="宋体" w:hAnsi="宋体" w:eastAsia="宋体" w:cs="宋体"/>
          <w:spacing w:val="0"/>
          <w:sz w:val="24"/>
          <w:szCs w:val="24"/>
          <w:lang w:val="en-US" w:eastAsia="zh-CN"/>
        </w:rPr>
        <w:t>风险源排查预警清单更新</w:t>
      </w:r>
    </w:p>
    <w:p w14:paraId="04D8F29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（2）</w:t>
      </w:r>
      <w:r>
        <w:rPr>
          <w:rFonts w:hint="eastAsia" w:ascii="宋体" w:hAnsi="宋体" w:eastAsia="宋体" w:cs="宋体"/>
          <w:spacing w:val="0"/>
          <w:sz w:val="24"/>
          <w:szCs w:val="24"/>
          <w:lang w:val="en-US" w:eastAsia="zh-CN"/>
        </w:rPr>
        <w:t>汛期、暴雨期、枯水期专项预警值守</w:t>
      </w:r>
    </w:p>
    <w:p w14:paraId="253EC5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（3）</w:t>
      </w:r>
      <w:r>
        <w:rPr>
          <w:rFonts w:hint="eastAsia" w:ascii="宋体" w:hAnsi="宋体" w:eastAsia="宋体" w:cs="宋体"/>
          <w:spacing w:val="0"/>
          <w:sz w:val="24"/>
          <w:szCs w:val="24"/>
          <w:lang w:val="en-US" w:eastAsia="zh-CN"/>
        </w:rPr>
        <w:t>水质趋势分析、短期水质预判预警报告</w:t>
      </w:r>
    </w:p>
    <w:p w14:paraId="012D635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（4）</w:t>
      </w:r>
      <w:r>
        <w:rPr>
          <w:rFonts w:hint="eastAsia" w:ascii="宋体" w:hAnsi="宋体" w:eastAsia="宋体" w:cs="宋体"/>
          <w:spacing w:val="0"/>
          <w:sz w:val="24"/>
          <w:szCs w:val="24"/>
          <w:lang w:val="en-US" w:eastAsia="zh-CN"/>
        </w:rPr>
        <w:t>污染溯源排查、污染源追踪解析</w:t>
      </w:r>
    </w:p>
    <w:p w14:paraId="7EE21B9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eastAsia="宋体" w:cs="宋体"/>
          <w:spacing w:val="0"/>
          <w:kern w:val="2"/>
          <w:sz w:val="24"/>
          <w:szCs w:val="24"/>
          <w:lang w:val="en-US" w:eastAsia="zh-CN" w:bidi="ar-SA"/>
        </w:rPr>
        <w:t>2</w:t>
      </w:r>
      <w:r>
        <w:rPr>
          <w:rFonts w:hint="eastAsia" w:ascii="宋体" w:hAnsi="宋体" w:cs="宋体"/>
          <w:spacing w:val="0"/>
          <w:kern w:val="2"/>
          <w:sz w:val="24"/>
          <w:szCs w:val="24"/>
          <w:lang w:val="en-US" w:eastAsia="zh-CN" w:bidi="ar-SA"/>
        </w:rPr>
        <w:t>.</w:t>
      </w:r>
      <w:r>
        <w:rPr>
          <w:rFonts w:hint="eastAsia" w:ascii="宋体" w:hAnsi="宋体" w:eastAsia="宋体" w:cs="宋体"/>
          <w:spacing w:val="0"/>
          <w:sz w:val="24"/>
          <w:szCs w:val="24"/>
          <w:lang w:val="en-US" w:eastAsia="zh-CN"/>
        </w:rPr>
        <w:t>研讨会商服务</w:t>
      </w:r>
      <w:r>
        <w:rPr>
          <w:rFonts w:hint="eastAsia" w:ascii="宋体" w:hAnsi="宋体" w:eastAsia="宋体" w:cs="宋体"/>
          <w:spacing w:val="0"/>
          <w:sz w:val="24"/>
          <w:szCs w:val="24"/>
          <w:lang w:val="en-US" w:eastAsia="zh-CN"/>
        </w:rPr>
        <w:tab/>
      </w:r>
    </w:p>
    <w:p w14:paraId="2A69ABE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（1）</w:t>
      </w:r>
      <w:r>
        <w:rPr>
          <w:rFonts w:hint="eastAsia" w:ascii="宋体" w:hAnsi="宋体" w:eastAsia="宋体" w:cs="宋体"/>
          <w:spacing w:val="0"/>
          <w:sz w:val="24"/>
          <w:szCs w:val="24"/>
          <w:lang w:val="en-US" w:eastAsia="zh-CN"/>
        </w:rPr>
        <w:t>水环境例行研讨会商技术支撑</w:t>
      </w:r>
    </w:p>
    <w:p w14:paraId="1052AA4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eastAsia"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（2）</w:t>
      </w:r>
      <w:r>
        <w:rPr>
          <w:rFonts w:hint="eastAsia" w:ascii="宋体" w:hAnsi="宋体" w:eastAsia="宋体" w:cs="宋体"/>
          <w:spacing w:val="0"/>
          <w:sz w:val="24"/>
          <w:szCs w:val="24"/>
          <w:lang w:val="en-US" w:eastAsia="zh-CN"/>
        </w:rPr>
        <w:t>会议材料汇编、PPT 研判材料、问题台账、对策清单</w:t>
      </w:r>
    </w:p>
    <w:p w14:paraId="7886197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default"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（3）</w:t>
      </w:r>
      <w:r>
        <w:rPr>
          <w:rFonts w:hint="eastAsia" w:ascii="宋体" w:hAnsi="宋体" w:eastAsia="宋体" w:cs="宋体"/>
          <w:spacing w:val="0"/>
          <w:sz w:val="24"/>
          <w:szCs w:val="24"/>
          <w:lang w:val="en-US" w:eastAsia="zh-CN"/>
        </w:rPr>
        <w:t xml:space="preserve">水质超标异常专家研判会商 </w:t>
      </w:r>
    </w:p>
    <w:p w14:paraId="223AA16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0" w:firstLineChars="200"/>
        <w:jc w:val="both"/>
        <w:textAlignment w:val="auto"/>
        <w:rPr>
          <w:rFonts w:hint="default" w:ascii="宋体" w:hAnsi="宋体" w:eastAsia="宋体" w:cs="宋体"/>
          <w:spacing w:val="0"/>
          <w:sz w:val="24"/>
          <w:szCs w:val="24"/>
          <w:lang w:val="en-US" w:eastAsia="zh-CN"/>
        </w:rPr>
      </w:pPr>
      <w:r>
        <w:rPr>
          <w:rFonts w:hint="eastAsia" w:ascii="宋体" w:hAnsi="宋体" w:cs="宋体"/>
          <w:spacing w:val="0"/>
          <w:kern w:val="2"/>
          <w:sz w:val="24"/>
          <w:szCs w:val="24"/>
          <w:lang w:val="en-US" w:eastAsia="zh-CN" w:bidi="ar-SA"/>
        </w:rPr>
        <w:t>（4）</w:t>
      </w:r>
      <w:r>
        <w:rPr>
          <w:rFonts w:hint="eastAsia" w:ascii="宋体" w:hAnsi="宋体" w:eastAsia="宋体" w:cs="宋体"/>
          <w:spacing w:val="0"/>
          <w:sz w:val="24"/>
          <w:szCs w:val="24"/>
          <w:lang w:val="en-US" w:eastAsia="zh-CN"/>
        </w:rPr>
        <w:t>年度水环境复盘会商</w:t>
      </w:r>
    </w:p>
    <w:p w14:paraId="3AF5583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sz w:val="22"/>
          <w:szCs w:val="22"/>
        </w:rPr>
      </w:pPr>
      <w:r>
        <w:rPr>
          <w:rFonts w:hint="eastAsia" w:ascii="宋体" w:hAnsi="宋体" w:eastAsia="宋体" w:cs="宋体"/>
          <w:spacing w:val="0"/>
          <w:sz w:val="21"/>
          <w:szCs w:val="21"/>
          <w:lang w:val="en-US" w:eastAsia="zh-CN"/>
        </w:rPr>
        <w:br w:type="page"/>
      </w:r>
    </w:p>
    <w:p w14:paraId="71261FC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kern w:val="1"/>
          <w:sz w:val="21"/>
          <w:szCs w:val="21"/>
          <w:lang w:val="en-US" w:eastAsia="zh-CN"/>
        </w:rPr>
        <w:sectPr>
          <w:pgSz w:w="11907" w:h="16840"/>
          <w:pgMar w:top="1440" w:right="1080" w:bottom="1440" w:left="1080" w:header="851" w:footer="992" w:gutter="0"/>
          <w:pgBorders>
            <w:top w:val="none" w:sz="0" w:space="0"/>
            <w:left w:val="none" w:sz="0" w:space="0"/>
            <w:bottom w:val="none" w:sz="0" w:space="0"/>
            <w:right w:val="none" w:sz="0" w:space="0"/>
          </w:pgBorders>
          <w:pgNumType w:fmt="decimalFullWidth"/>
          <w:cols w:space="720" w:num="1"/>
          <w:docGrid w:linePitch="312" w:charSpace="0"/>
        </w:sectPr>
      </w:pPr>
      <w:bookmarkStart w:id="301" w:name="_Toc11524"/>
    </w:p>
    <w:bookmarkEnd w:id="301"/>
    <w:p w14:paraId="5459245D">
      <w:pPr>
        <w:pStyle w:val="2"/>
        <w:bidi w:val="0"/>
        <w:rPr>
          <w:rFonts w:hint="eastAsia" w:ascii="宋体" w:hAnsi="宋体" w:eastAsia="宋体" w:cs="宋体"/>
        </w:rPr>
      </w:pPr>
      <w:bookmarkStart w:id="302" w:name="_Toc12748"/>
      <w:r>
        <w:rPr>
          <w:rFonts w:hint="eastAsia" w:ascii="宋体" w:hAnsi="宋体" w:eastAsia="宋体" w:cs="宋体"/>
          <w:lang w:val="en-US" w:eastAsia="zh-CN"/>
        </w:rPr>
        <w:t>第五章 合同主要条款及格式</w:t>
      </w:r>
      <w:bookmarkEnd w:id="302"/>
    </w:p>
    <w:p w14:paraId="0C7F1FCA">
      <w:pPr>
        <w:keepNext w:val="0"/>
        <w:keepLines w:val="0"/>
        <w:pageBreakBefore w:val="0"/>
        <w:widowControl w:val="0"/>
        <w:tabs>
          <w:tab w:val="left" w:pos="4500"/>
        </w:tabs>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8"/>
          <w:szCs w:val="28"/>
          <w:highlight w:val="none"/>
        </w:rPr>
      </w:pPr>
      <w:bookmarkStart w:id="303" w:name="_Toc16597"/>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eastAsia="zh-CN"/>
        </w:rPr>
        <w:t>参照国家相关标准，以</w:t>
      </w:r>
      <w:r>
        <w:rPr>
          <w:rFonts w:hint="eastAsia" w:ascii="宋体" w:hAnsi="宋体" w:eastAsia="宋体" w:cs="宋体"/>
          <w:b/>
          <w:bCs/>
          <w:color w:val="auto"/>
          <w:sz w:val="28"/>
          <w:szCs w:val="28"/>
          <w:highlight w:val="none"/>
        </w:rPr>
        <w:t>甲乙双方</w:t>
      </w:r>
      <w:r>
        <w:rPr>
          <w:rFonts w:hint="eastAsia" w:ascii="宋体" w:hAnsi="宋体" w:eastAsia="宋体" w:cs="宋体"/>
          <w:b/>
          <w:bCs/>
          <w:color w:val="auto"/>
          <w:sz w:val="28"/>
          <w:szCs w:val="28"/>
          <w:highlight w:val="none"/>
          <w:lang w:eastAsia="zh-CN"/>
        </w:rPr>
        <w:t>实际</w:t>
      </w:r>
      <w:r>
        <w:rPr>
          <w:rFonts w:hint="eastAsia" w:ascii="宋体" w:hAnsi="宋体" w:eastAsia="宋体" w:cs="宋体"/>
          <w:b/>
          <w:bCs/>
          <w:color w:val="auto"/>
          <w:sz w:val="28"/>
          <w:szCs w:val="28"/>
          <w:highlight w:val="none"/>
        </w:rPr>
        <w:t>签订</w:t>
      </w:r>
      <w:r>
        <w:rPr>
          <w:rFonts w:hint="eastAsia" w:ascii="宋体" w:hAnsi="宋体" w:eastAsia="宋体" w:cs="宋体"/>
          <w:b/>
          <w:bCs/>
          <w:color w:val="auto"/>
          <w:sz w:val="28"/>
          <w:szCs w:val="28"/>
          <w:highlight w:val="none"/>
          <w:lang w:eastAsia="zh-CN"/>
        </w:rPr>
        <w:t>为准</w:t>
      </w:r>
      <w:r>
        <w:rPr>
          <w:rFonts w:hint="eastAsia" w:ascii="宋体" w:hAnsi="宋体" w:eastAsia="宋体" w:cs="宋体"/>
          <w:b/>
          <w:bCs/>
          <w:color w:val="auto"/>
          <w:sz w:val="28"/>
          <w:szCs w:val="28"/>
          <w:highlight w:val="none"/>
        </w:rPr>
        <w:t>)</w:t>
      </w:r>
      <w:bookmarkEnd w:id="303"/>
    </w:p>
    <w:p w14:paraId="002A9352">
      <w:pPr>
        <w:spacing w:line="1000" w:lineRule="exact"/>
        <w:jc w:val="center"/>
        <w:rPr>
          <w:rFonts w:hint="eastAsia" w:ascii="宋体" w:hAnsi="宋体" w:eastAsia="宋体" w:cs="宋体"/>
          <w:b/>
          <w:color w:val="auto"/>
          <w:sz w:val="44"/>
          <w:szCs w:val="44"/>
          <w:highlight w:val="none"/>
        </w:rPr>
      </w:pPr>
      <w:r>
        <w:rPr>
          <w:rFonts w:hint="eastAsia" w:ascii="宋体" w:hAnsi="宋体" w:eastAsia="宋体" w:cs="宋体"/>
          <w:b/>
          <w:bCs/>
          <w:color w:val="auto"/>
          <w:sz w:val="52"/>
          <w:szCs w:val="52"/>
          <w:highlight w:val="none"/>
          <w:u w:val="single"/>
        </w:rPr>
        <w:t xml:space="preserve">                  </w:t>
      </w:r>
      <w:r>
        <w:rPr>
          <w:rFonts w:hint="eastAsia" w:ascii="宋体" w:hAnsi="宋体" w:eastAsia="宋体" w:cs="宋体"/>
          <w:b/>
          <w:bCs/>
          <w:color w:val="auto"/>
          <w:sz w:val="52"/>
          <w:szCs w:val="52"/>
          <w:highlight w:val="none"/>
        </w:rPr>
        <w:t>项目</w:t>
      </w:r>
      <w:r>
        <w:rPr>
          <w:rFonts w:hint="eastAsia" w:ascii="宋体" w:hAnsi="宋体" w:eastAsia="宋体" w:cs="宋体"/>
          <w:b/>
          <w:color w:val="auto"/>
          <w:sz w:val="48"/>
          <w:szCs w:val="48"/>
          <w:highlight w:val="none"/>
        </w:rPr>
        <w:t xml:space="preserve"> </w:t>
      </w:r>
    </w:p>
    <w:p w14:paraId="12614891">
      <w:pPr>
        <w:pStyle w:val="34"/>
        <w:spacing w:line="540" w:lineRule="exact"/>
        <w:jc w:val="center"/>
        <w:rPr>
          <w:rFonts w:hint="eastAsia" w:ascii="宋体" w:hAnsi="宋体" w:eastAsia="宋体" w:cs="宋体"/>
          <w:b w:val="0"/>
          <w:color w:val="auto"/>
          <w:sz w:val="44"/>
          <w:szCs w:val="44"/>
          <w:highlight w:val="none"/>
        </w:rPr>
      </w:pPr>
    </w:p>
    <w:p w14:paraId="767B5115">
      <w:pPr>
        <w:pStyle w:val="34"/>
        <w:spacing w:line="540" w:lineRule="exact"/>
        <w:jc w:val="center"/>
        <w:rPr>
          <w:rFonts w:hint="eastAsia" w:ascii="宋体" w:hAnsi="宋体" w:eastAsia="宋体" w:cs="宋体"/>
          <w:b w:val="0"/>
          <w:color w:val="auto"/>
          <w:sz w:val="44"/>
          <w:szCs w:val="44"/>
          <w:highlight w:val="none"/>
        </w:rPr>
      </w:pPr>
    </w:p>
    <w:p w14:paraId="185AA0E6">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合</w:t>
      </w:r>
    </w:p>
    <w:p w14:paraId="70641E80">
      <w:pPr>
        <w:jc w:val="center"/>
        <w:rPr>
          <w:rFonts w:hint="eastAsia" w:ascii="宋体" w:hAnsi="宋体" w:eastAsia="宋体" w:cs="宋体"/>
          <w:b/>
          <w:color w:val="auto"/>
          <w:sz w:val="52"/>
          <w:szCs w:val="52"/>
          <w:highlight w:val="none"/>
        </w:rPr>
      </w:pPr>
    </w:p>
    <w:p w14:paraId="1DE40B6D">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同</w:t>
      </w:r>
    </w:p>
    <w:p w14:paraId="63889221">
      <w:pPr>
        <w:jc w:val="center"/>
        <w:rPr>
          <w:rFonts w:hint="eastAsia" w:ascii="宋体" w:hAnsi="宋体" w:eastAsia="宋体" w:cs="宋体"/>
          <w:b/>
          <w:color w:val="auto"/>
          <w:sz w:val="52"/>
          <w:szCs w:val="52"/>
          <w:highlight w:val="none"/>
        </w:rPr>
      </w:pPr>
    </w:p>
    <w:p w14:paraId="7BEDFFB9">
      <w:pPr>
        <w:jc w:val="center"/>
        <w:rPr>
          <w:rFonts w:hint="eastAsia" w:ascii="宋体" w:hAnsi="宋体" w:eastAsia="宋体" w:cs="宋体"/>
          <w:b/>
          <w:color w:val="auto"/>
          <w:sz w:val="48"/>
          <w:szCs w:val="48"/>
          <w:highlight w:val="none"/>
        </w:rPr>
      </w:pPr>
      <w:r>
        <w:rPr>
          <w:rFonts w:hint="eastAsia" w:ascii="宋体" w:hAnsi="宋体" w:eastAsia="宋体" w:cs="宋体"/>
          <w:b/>
          <w:color w:val="auto"/>
          <w:sz w:val="52"/>
          <w:szCs w:val="52"/>
          <w:highlight w:val="none"/>
        </w:rPr>
        <w:t>书</w:t>
      </w:r>
    </w:p>
    <w:p w14:paraId="398CA580">
      <w:pPr>
        <w:pStyle w:val="34"/>
        <w:spacing w:line="540" w:lineRule="exact"/>
        <w:jc w:val="center"/>
        <w:rPr>
          <w:rFonts w:hint="eastAsia" w:ascii="宋体" w:hAnsi="宋体" w:eastAsia="宋体" w:cs="宋体"/>
          <w:b w:val="0"/>
          <w:color w:val="auto"/>
          <w:sz w:val="44"/>
          <w:szCs w:val="44"/>
          <w:highlight w:val="none"/>
        </w:rPr>
      </w:pPr>
    </w:p>
    <w:p w14:paraId="350A6124">
      <w:pPr>
        <w:pStyle w:val="34"/>
        <w:spacing w:line="540" w:lineRule="exact"/>
        <w:jc w:val="both"/>
        <w:rPr>
          <w:rFonts w:hint="eastAsia" w:ascii="宋体" w:hAnsi="宋体" w:eastAsia="宋体" w:cs="宋体"/>
          <w:b w:val="0"/>
          <w:color w:val="auto"/>
          <w:sz w:val="44"/>
          <w:szCs w:val="44"/>
          <w:highlight w:val="none"/>
        </w:rPr>
      </w:pPr>
    </w:p>
    <w:p w14:paraId="3BADD499">
      <w:pPr>
        <w:pStyle w:val="34"/>
        <w:spacing w:line="540" w:lineRule="exact"/>
        <w:rPr>
          <w:rFonts w:hint="eastAsia" w:ascii="宋体" w:hAnsi="宋体" w:eastAsia="宋体" w:cs="宋体"/>
          <w:b w:val="0"/>
          <w:color w:val="auto"/>
          <w:sz w:val="30"/>
          <w:szCs w:val="30"/>
          <w:highlight w:val="none"/>
        </w:rPr>
      </w:pPr>
    </w:p>
    <w:p w14:paraId="61FA3B51">
      <w:pPr>
        <w:pStyle w:val="34"/>
        <w:spacing w:line="540" w:lineRule="exact"/>
        <w:rPr>
          <w:rFonts w:hint="eastAsia" w:ascii="宋体" w:hAnsi="宋体" w:eastAsia="宋体" w:cs="宋体"/>
          <w:b w:val="0"/>
          <w:color w:val="auto"/>
          <w:sz w:val="30"/>
          <w:szCs w:val="30"/>
          <w:highlight w:val="none"/>
        </w:rPr>
      </w:pPr>
    </w:p>
    <w:p w14:paraId="457AD713">
      <w:pPr>
        <w:widowControl/>
        <w:tabs>
          <w:tab w:val="left" w:pos="5446"/>
        </w:tabs>
        <w:spacing w:line="360" w:lineRule="auto"/>
        <w:ind w:left="1791" w:leftChars="300" w:hanging="891" w:firstLineChars="0"/>
        <w:rPr>
          <w:rFonts w:hint="eastAsia" w:ascii="宋体" w:hAnsi="宋体" w:eastAsia="宋体" w:cs="宋体"/>
          <w:b/>
          <w:bCs/>
          <w:color w:val="auto"/>
          <w:sz w:val="30"/>
          <w:szCs w:val="30"/>
          <w:highlight w:val="none"/>
          <w:u w:val="single"/>
        </w:rPr>
      </w:pPr>
      <w:r>
        <w:rPr>
          <w:rFonts w:hint="eastAsia" w:ascii="宋体" w:hAnsi="宋体" w:eastAsia="宋体" w:cs="宋体"/>
          <w:b/>
          <w:bCs/>
          <w:color w:val="auto"/>
          <w:sz w:val="30"/>
          <w:szCs w:val="30"/>
          <w:highlight w:val="none"/>
        </w:rPr>
        <w:t xml:space="preserve">项 </w:t>
      </w:r>
      <w:r>
        <w:rPr>
          <w:rFonts w:hint="eastAsia" w:ascii="宋体" w:hAnsi="宋体" w:eastAsia="宋体" w:cs="宋体"/>
          <w:b/>
          <w:bCs/>
          <w:color w:val="auto"/>
          <w:sz w:val="30"/>
          <w:szCs w:val="30"/>
          <w:highlight w:val="none"/>
          <w:lang w:val="en-US" w:eastAsia="zh-CN"/>
        </w:rPr>
        <w:t xml:space="preserve"> </w:t>
      </w:r>
      <w:r>
        <w:rPr>
          <w:rFonts w:hint="eastAsia" w:ascii="宋体" w:hAnsi="宋体" w:eastAsia="宋体" w:cs="宋体"/>
          <w:b/>
          <w:bCs/>
          <w:color w:val="auto"/>
          <w:sz w:val="30"/>
          <w:szCs w:val="30"/>
          <w:highlight w:val="none"/>
        </w:rPr>
        <w:t xml:space="preserve">目 名 </w:t>
      </w:r>
      <w:r>
        <w:rPr>
          <w:rFonts w:hint="eastAsia" w:ascii="宋体" w:hAnsi="宋体" w:eastAsia="宋体" w:cs="宋体"/>
          <w:b/>
          <w:bCs/>
          <w:color w:val="auto"/>
          <w:sz w:val="30"/>
          <w:szCs w:val="30"/>
          <w:highlight w:val="none"/>
          <w:lang w:val="en-US" w:eastAsia="zh-CN"/>
        </w:rPr>
        <w:t xml:space="preserve"> </w:t>
      </w:r>
      <w:r>
        <w:rPr>
          <w:rFonts w:hint="eastAsia" w:ascii="宋体" w:hAnsi="宋体" w:eastAsia="宋体" w:cs="宋体"/>
          <w:b/>
          <w:bCs/>
          <w:color w:val="auto"/>
          <w:sz w:val="30"/>
          <w:szCs w:val="30"/>
          <w:highlight w:val="none"/>
        </w:rPr>
        <w:t>称 ：</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u w:val="single"/>
        </w:rPr>
        <w:t xml:space="preserve"> </w:t>
      </w:r>
    </w:p>
    <w:p w14:paraId="27678E74">
      <w:pPr>
        <w:widowControl/>
        <w:tabs>
          <w:tab w:val="left" w:pos="5446"/>
        </w:tabs>
        <w:spacing w:line="360" w:lineRule="auto"/>
        <w:ind w:left="1791" w:leftChars="300" w:hanging="891"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委托方（甲方）：</w:t>
      </w:r>
      <w:r>
        <w:rPr>
          <w:rFonts w:hint="eastAsia" w:ascii="宋体" w:hAnsi="宋体" w:eastAsia="宋体" w:cs="宋体"/>
          <w:b/>
          <w:bCs/>
          <w:color w:val="auto"/>
          <w:sz w:val="30"/>
          <w:szCs w:val="30"/>
          <w:highlight w:val="none"/>
          <w:u w:val="single"/>
        </w:rPr>
        <w:t xml:space="preserve">                                     </w:t>
      </w:r>
    </w:p>
    <w:p w14:paraId="1B7034F2">
      <w:pPr>
        <w:widowControl/>
        <w:tabs>
          <w:tab w:val="left" w:pos="5326"/>
        </w:tabs>
        <w:spacing w:line="360" w:lineRule="auto"/>
        <w:ind w:left="1791" w:leftChars="300" w:hanging="891"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承揽方（乙方）：</w:t>
      </w:r>
      <w:r>
        <w:rPr>
          <w:rFonts w:hint="eastAsia" w:ascii="宋体" w:hAnsi="宋体" w:eastAsia="宋体" w:cs="宋体"/>
          <w:b/>
          <w:bCs/>
          <w:color w:val="auto"/>
          <w:sz w:val="30"/>
          <w:szCs w:val="30"/>
          <w:highlight w:val="none"/>
          <w:u w:val="single"/>
        </w:rPr>
        <w:t xml:space="preserve">                                     </w:t>
      </w:r>
    </w:p>
    <w:p w14:paraId="644C5985">
      <w:pPr>
        <w:widowControl/>
        <w:spacing w:line="400" w:lineRule="exact"/>
        <w:jc w:val="center"/>
        <w:rPr>
          <w:rFonts w:hint="eastAsia" w:ascii="宋体" w:hAnsi="宋体" w:eastAsia="宋体" w:cs="宋体"/>
          <w:b/>
          <w:bCs/>
          <w:color w:val="auto"/>
          <w:sz w:val="28"/>
          <w:szCs w:val="28"/>
          <w:highlight w:val="none"/>
        </w:rPr>
      </w:pPr>
    </w:p>
    <w:p w14:paraId="03FC1357">
      <w:pPr>
        <w:widowControl/>
        <w:spacing w:line="400" w:lineRule="exact"/>
        <w:jc w:val="center"/>
        <w:rPr>
          <w:rFonts w:hint="eastAsia" w:ascii="宋体" w:hAnsi="宋体" w:eastAsia="宋体" w:cs="宋体"/>
          <w:b/>
          <w:bCs/>
          <w:color w:val="auto"/>
          <w:sz w:val="28"/>
          <w:szCs w:val="28"/>
          <w:highlight w:val="none"/>
        </w:rPr>
      </w:pPr>
    </w:p>
    <w:p w14:paraId="2F62A4FA">
      <w:pPr>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签订日期：</w:t>
      </w:r>
      <w:r>
        <w:rPr>
          <w:rFonts w:hint="eastAsia" w:ascii="宋体" w:hAnsi="宋体" w:eastAsia="宋体" w:cs="宋体"/>
          <w:b/>
          <w:bCs/>
          <w:color w:val="auto"/>
          <w:sz w:val="30"/>
          <w:szCs w:val="30"/>
          <w:highlight w:val="none"/>
          <w:lang w:val="en-US" w:eastAsia="zh-CN"/>
        </w:rPr>
        <w:t xml:space="preserve">   </w:t>
      </w:r>
      <w:r>
        <w:rPr>
          <w:rFonts w:hint="eastAsia" w:ascii="宋体" w:hAnsi="宋体" w:eastAsia="宋体" w:cs="宋体"/>
          <w:b/>
          <w:bCs/>
          <w:color w:val="auto"/>
          <w:sz w:val="30"/>
          <w:szCs w:val="30"/>
          <w:highlight w:val="none"/>
        </w:rPr>
        <w:t>年  月  日</w:t>
      </w:r>
      <w:bookmarkStart w:id="304" w:name="page38"/>
      <w:bookmarkEnd w:id="304"/>
    </w:p>
    <w:p w14:paraId="02281EC2">
      <w:pPr>
        <w:spacing w:line="540" w:lineRule="exact"/>
        <w:ind w:firstLine="722" w:firstLineChars="257"/>
        <w:rPr>
          <w:rFonts w:hint="eastAsia" w:ascii="宋体" w:hAnsi="宋体" w:eastAsia="宋体" w:cs="宋体"/>
          <w:b/>
          <w:bCs/>
          <w:color w:val="auto"/>
          <w:sz w:val="28"/>
          <w:szCs w:val="28"/>
          <w:highlight w:val="none"/>
        </w:rPr>
        <w:sectPr>
          <w:pgSz w:w="11906" w:h="16838"/>
          <w:pgMar w:top="1440" w:right="1080" w:bottom="1440" w:left="1080" w:header="851" w:footer="992" w:gutter="0"/>
          <w:pgNumType w:fmt="decimalFullWidth"/>
          <w:cols w:space="720" w:num="1"/>
          <w:docGrid w:type="lines" w:linePitch="312" w:charSpace="0"/>
        </w:sectPr>
      </w:pPr>
    </w:p>
    <w:p w14:paraId="5DF5587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（甲方）（××项目）委托（代理机构名称）进行了政府采购。按照评委会评审推荐、甲方确定乙方为中标单位。现甲乙双方协商同意签订本合同。 </w:t>
      </w:r>
    </w:p>
    <w:p w14:paraId="30DA6A37">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第一条 合同文件 </w:t>
      </w:r>
    </w:p>
    <w:p w14:paraId="0EBB2594">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下列与本次采购活动有关的文件及附件是本合同不可分割的组成部分，与本合同具有同等法律效力，这些文件包括但不限于： </w:t>
      </w:r>
    </w:p>
    <w:p w14:paraId="4FE792E7">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1.（××号）招标文件 </w:t>
      </w:r>
    </w:p>
    <w:p w14:paraId="247D8B0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2.投标文件 </w:t>
      </w:r>
    </w:p>
    <w:p w14:paraId="29AE8B2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3.乙方在投标时的书面承诺 </w:t>
      </w:r>
    </w:p>
    <w:p w14:paraId="0EE6C87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4.（××号）中标通知书 </w:t>
      </w:r>
    </w:p>
    <w:p w14:paraId="0766E070">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5.合同补充条款或说明 </w:t>
      </w:r>
    </w:p>
    <w:p w14:paraId="7A74CE7E">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6.保密协议或条款 </w:t>
      </w:r>
    </w:p>
    <w:p w14:paraId="156623CE">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7.相关附件、图纸及电子版资料 </w:t>
      </w:r>
    </w:p>
    <w:p w14:paraId="57DE97AF">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第二条 合同内容 </w:t>
      </w:r>
    </w:p>
    <w:p w14:paraId="68DB908C">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服务名称： </w:t>
      </w:r>
    </w:p>
    <w:p w14:paraId="47E77F4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第三条 合同总金额 </w:t>
      </w:r>
    </w:p>
    <w:p w14:paraId="77E2D3E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本合同服务总金额：￥</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元。 大写：</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元。 </w:t>
      </w:r>
    </w:p>
    <w:p w14:paraId="3D215311">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本合同总价款包括服务期间必须的日常物料、易耗品、工具、调试费、培训费等相关费用。 </w:t>
      </w:r>
    </w:p>
    <w:p w14:paraId="5035EF7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本合同执行期内因工作量变化而引起的服务费用的变动，在双方事先协商一致的前提下签订补充合同，但因此而增加的服务费用不得超过原中标金额的10%。 </w:t>
      </w:r>
    </w:p>
    <w:p w14:paraId="04C8D6A0">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第四条 权利义务和质量保证 </w:t>
      </w:r>
    </w:p>
    <w:p w14:paraId="081D2F0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甲方保证服务期间，对乙方工作给予支持，提供水、电、场地等必须的基础工作条件。如乙方有需要，还应提供履行合同所必需的有关图纸、数据、资料等。没有甲方事先同意，乙方不得将甲方资料提供给与履行本合同无关的任何其他人。即使向履行本合同有关的人员提供，也应注意保密并限于履行合同的必需范围内。</w:t>
      </w:r>
    </w:p>
    <w:p w14:paraId="7EAAE36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乙方保证所提供的服务或其任何一部分均不会侵犯任何第三方的专利权、商标权或著作权。一旦出现侵权，索赔或诉讼，乙方应承担全部责任。乙方保证服务不存在危及人身及财产安全的隐患，不存在违反国家法规、法令、法律以及行业规范所要求的有关安全条款，否则应承担全部法律责任。 </w:t>
      </w:r>
    </w:p>
    <w:p w14:paraId="7DF070E5">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第五条 付款方式 </w:t>
      </w:r>
    </w:p>
    <w:p w14:paraId="409F7BC0">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1.本合同项下所有款项均以人民币支付。 </w:t>
      </w:r>
    </w:p>
    <w:p w14:paraId="3B757F8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2.乙方向甲方提交下列文件材料，经甲方审核无误后支付采购资金： </w:t>
      </w:r>
    </w:p>
    <w:p w14:paraId="718C20B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（1）经甲方确认的发票； </w:t>
      </w:r>
    </w:p>
    <w:p w14:paraId="2CA8967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r>
        <w:rPr>
          <w:rFonts w:hint="eastAsia" w:ascii="宋体" w:hAnsi="宋体" w:eastAsia="宋体" w:cs="宋体"/>
          <w:color w:val="auto"/>
          <w:spacing w:val="-6"/>
          <w:kern w:val="0"/>
          <w:sz w:val="24"/>
          <w:szCs w:val="24"/>
          <w:lang w:val="en-US" w:eastAsia="zh-CN" w:bidi="ar"/>
        </w:rPr>
        <w:t>经甲乙双方确认签署的《验收报告》（或按项目进度阶段性《验收报告》）；</w:t>
      </w:r>
      <w:r>
        <w:rPr>
          <w:rFonts w:hint="eastAsia" w:ascii="宋体" w:hAnsi="宋体" w:eastAsia="宋体" w:cs="宋体"/>
          <w:color w:val="auto"/>
          <w:kern w:val="0"/>
          <w:sz w:val="24"/>
          <w:szCs w:val="24"/>
          <w:lang w:val="en-US" w:eastAsia="zh-CN" w:bidi="ar"/>
        </w:rPr>
        <w:t xml:space="preserve"> </w:t>
      </w:r>
    </w:p>
    <w:p w14:paraId="4ABF71AE">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（3）其他材料。 </w:t>
      </w:r>
    </w:p>
    <w:p w14:paraId="5BA7766C">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3.款项的支付进度以招标文件的有关规定为准。如招标文件未作特别规定，则付款进度应符合如下约定： </w:t>
      </w:r>
    </w:p>
    <w:p w14:paraId="47F92AB0">
      <w:pPr>
        <w:keepNext w:val="0"/>
        <w:keepLines w:val="0"/>
        <w:pageBreakBefore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（1）签订合同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个工作日内支付合同总价的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304AF52C">
      <w:pPr>
        <w:keepNext w:val="0"/>
        <w:keepLines w:val="0"/>
        <w:pageBreakBefore w:val="0"/>
        <w:numPr>
          <w:ilvl w:val="0"/>
          <w:numId w:val="0"/>
        </w:numPr>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（2）项目成果提交甲方，甲方审核合格后支付至合同总价的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3B484119">
      <w:pPr>
        <w:keepNext w:val="0"/>
        <w:keepLines w:val="0"/>
        <w:pageBreakBefore w:val="0"/>
        <w:numPr>
          <w:ilvl w:val="0"/>
          <w:numId w:val="0"/>
        </w:numPr>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第六条 履约保证金（</w:t>
      </w:r>
      <w:r>
        <w:rPr>
          <w:rFonts w:hint="eastAsia" w:ascii="宋体" w:hAnsi="宋体" w:eastAsia="宋体" w:cs="宋体"/>
          <w:b/>
          <w:bCs/>
          <w:color w:val="auto"/>
          <w:sz w:val="24"/>
          <w:szCs w:val="24"/>
          <w:lang w:val="en-US" w:eastAsia="zh-CN"/>
        </w:rPr>
        <w:t>免收履约保证金，履约违约的，将报监管部门纳入不良信用记录</w:t>
      </w:r>
      <w:r>
        <w:rPr>
          <w:rFonts w:hint="eastAsia" w:ascii="宋体" w:hAnsi="宋体" w:eastAsia="宋体" w:cs="宋体"/>
          <w:b/>
          <w:bCs/>
          <w:color w:val="auto"/>
          <w:kern w:val="0"/>
          <w:sz w:val="24"/>
          <w:szCs w:val="24"/>
          <w:lang w:val="en-US" w:eastAsia="zh-CN" w:bidi="ar"/>
        </w:rPr>
        <w:t xml:space="preserve">） </w:t>
      </w:r>
    </w:p>
    <w:p w14:paraId="1B47587A">
      <w:pPr>
        <w:keepNext w:val="0"/>
        <w:keepLines w:val="0"/>
        <w:pageBreakBefore w:val="0"/>
        <w:numPr>
          <w:ilvl w:val="0"/>
          <w:numId w:val="0"/>
        </w:numPr>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第七条 验收 </w:t>
      </w:r>
    </w:p>
    <w:p w14:paraId="0377BE01">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1.服务期限：</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至</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4A8D206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服务地点：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5D4AC5F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验收时间：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4650A7D9">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验收地点：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5744A0E4">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 乙方应对提供的服务成果作出全面自查和整理，并列出清单，作为甲方验收和使用的服务条件依据，清单应随提供的服务成果交给甲方。 </w:t>
      </w:r>
    </w:p>
    <w:p w14:paraId="735BFC48">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3.验收时，甲乙双方必须同时在场，乙方所提供的服务不符合合同内容规定的，甲方有权拒绝验收。乙方应及时按本合同内容规定和甲方要求免费进行整改，直至验收合格，方视为乙方按本合同规定完成服务。验收合格的，由双方共同签署《验收报告》。在经过两次限期整改后，服务仍达不到合同文件规定内容的，甲方有权拒收，并可以解除合同；由此引起甲方损失及赔偿责任由乙方承担。 </w:t>
      </w:r>
    </w:p>
    <w:p w14:paraId="607BCFA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4.甲方可以视项目规模或复杂情况聘请专业人员参与验收，大型或复杂项目，以及涉及专业服务内容的应当邀请国家认可的第三方质量检测机构参与验收。 </w:t>
      </w:r>
    </w:p>
    <w:p w14:paraId="5DB25554">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5.如根据项目实施情况需要分阶段验收，则双方分阶段签署《验收报告》。 </w:t>
      </w:r>
    </w:p>
    <w:p w14:paraId="446E6CE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6.如果合同双方对《验收报告》有分歧，双方须于出现分歧后</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天内给对方书面声明，以陈述己方的理由及要求，并附有关证据。分歧应通过协商解决。 </w:t>
      </w:r>
    </w:p>
    <w:p w14:paraId="040B4CFC">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第八条 项目管理服务 </w:t>
      </w:r>
    </w:p>
    <w:p w14:paraId="768DB94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56"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6"/>
          <w:kern w:val="0"/>
          <w:sz w:val="24"/>
          <w:szCs w:val="24"/>
          <w:lang w:val="en-US" w:eastAsia="zh-CN" w:bidi="ar"/>
        </w:rPr>
        <w:t>乙方要指定不少于一人全权全程负责本项目服务的落实，包括服务的咨询、执行和后续工作。</w:t>
      </w:r>
      <w:r>
        <w:rPr>
          <w:rFonts w:hint="eastAsia" w:ascii="宋体" w:hAnsi="宋体" w:eastAsia="宋体" w:cs="宋体"/>
          <w:color w:val="auto"/>
          <w:kern w:val="0"/>
          <w:sz w:val="24"/>
          <w:szCs w:val="24"/>
          <w:lang w:val="en-US" w:eastAsia="zh-CN" w:bidi="ar"/>
        </w:rPr>
        <w:t xml:space="preserve"> </w:t>
      </w:r>
    </w:p>
    <w:p w14:paraId="24D14B51">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项目负责人姓名：</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 联系电话：</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 </w:t>
      </w:r>
    </w:p>
    <w:p w14:paraId="26705F8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第九条 售后服务 </w:t>
      </w:r>
    </w:p>
    <w:p w14:paraId="5242ED05">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1.乙方提供服务的质量保证期为自服务通过最终验收之日起</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个月。若国家有明确规定的质量保证期高于此质量保证期的，执行国家规定。 </w:t>
      </w:r>
    </w:p>
    <w:p w14:paraId="6BB0F5CE">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2.服务期内，乙方应提供相关服务支持。对甲方所反映的任何服务问题在</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日（小时）之内做出及时响应，在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日（小时）之内赶到现场实地解决问题。若问题在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工作日（小时）后仍无法解决，乙方应在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日（小时）内免费提供服务的补偿、替换方案，直至服务恢复正常。 </w:t>
      </w:r>
    </w:p>
    <w:p w14:paraId="1856598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3.乙方必须遵守甲方的有关管理制度、操作规程。对于乙方违规操作造成甲方损失的，由乙方按照本合同第十二条的约定承担赔偿责任。 </w:t>
      </w:r>
    </w:p>
    <w:p w14:paraId="5D95FD58">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 xml:space="preserve">第十条 分包 </w:t>
      </w:r>
    </w:p>
    <w:p w14:paraId="3016103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36"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11"/>
          <w:kern w:val="0"/>
          <w:sz w:val="24"/>
          <w:szCs w:val="24"/>
          <w:lang w:val="en-US" w:eastAsia="zh-CN" w:bidi="ar"/>
        </w:rPr>
        <w:t>除招标文件事先说明、且经甲方事先书面同意外，乙方不得分包、转包其应履行的合同义务。</w:t>
      </w:r>
      <w:r>
        <w:rPr>
          <w:rFonts w:hint="eastAsia" w:ascii="宋体" w:hAnsi="宋体" w:eastAsia="宋体" w:cs="宋体"/>
          <w:color w:val="auto"/>
          <w:kern w:val="0"/>
          <w:sz w:val="24"/>
          <w:szCs w:val="24"/>
          <w:lang w:val="en-US" w:eastAsia="zh-CN" w:bidi="ar"/>
        </w:rPr>
        <w:t xml:space="preserve"> </w:t>
      </w:r>
    </w:p>
    <w:p w14:paraId="6E7509C5">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第十一条 合同的生效 </w:t>
      </w:r>
    </w:p>
    <w:p w14:paraId="748916A6">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1.本合同经甲乙双方授权代表签字并加盖公章或合同专用章后生效。 </w:t>
      </w:r>
    </w:p>
    <w:p w14:paraId="43291E6E">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2.生效后，除《政府采购法》第 49 条、第 50 条第二款规定的情形外，甲乙双方不得擅自变更、中止或终止合同。 </w:t>
      </w:r>
    </w:p>
    <w:p w14:paraId="024C6654">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第十二条 违约责任 </w:t>
      </w:r>
    </w:p>
    <w:p w14:paraId="6B52EE85">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1.乙方所交付服务成果不符合本合同规定的，甲方有权拒收，乙方在得到甲方通知之日起</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个工作日内采取补救措施，逾期仍未采取有效措施的，甲方有权要求乙方赔偿因此造成的损失或扣留履约保证金；同时乙方应向甲方支付合同总价</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％的违约金。 </w:t>
      </w:r>
    </w:p>
    <w:p w14:paraId="64170733">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r>
        <w:rPr>
          <w:rFonts w:hint="eastAsia" w:ascii="宋体" w:hAnsi="宋体" w:eastAsia="宋体" w:cs="宋体"/>
          <w:color w:val="auto"/>
          <w:spacing w:val="-6"/>
          <w:kern w:val="0"/>
          <w:sz w:val="24"/>
          <w:szCs w:val="24"/>
          <w:lang w:val="en-US" w:eastAsia="zh-CN" w:bidi="ar"/>
        </w:rPr>
        <w:t>甲方无正当理由拒收服务，甲方应向乙方偿付拒付服务费用</w:t>
      </w:r>
      <w:r>
        <w:rPr>
          <w:rFonts w:hint="eastAsia" w:ascii="宋体" w:hAnsi="宋体" w:eastAsia="宋体" w:cs="宋体"/>
          <w:i w:val="0"/>
          <w:iCs w:val="0"/>
          <w:color w:val="auto"/>
          <w:spacing w:val="-6"/>
          <w:kern w:val="0"/>
          <w:sz w:val="24"/>
          <w:szCs w:val="24"/>
          <w:u w:val="single"/>
          <w:lang w:val="en-US" w:eastAsia="zh-CN" w:bidi="ar"/>
        </w:rPr>
        <w:t xml:space="preserve">    </w:t>
      </w:r>
      <w:r>
        <w:rPr>
          <w:rFonts w:hint="eastAsia" w:ascii="宋体" w:hAnsi="宋体" w:eastAsia="宋体" w:cs="宋体"/>
          <w:color w:val="auto"/>
          <w:spacing w:val="-6"/>
          <w:kern w:val="0"/>
          <w:sz w:val="24"/>
          <w:szCs w:val="24"/>
          <w:lang w:val="en-US" w:eastAsia="zh-CN" w:bidi="ar"/>
        </w:rPr>
        <w:t>％的违约金。</w:t>
      </w:r>
      <w:r>
        <w:rPr>
          <w:rFonts w:hint="eastAsia" w:ascii="宋体" w:hAnsi="宋体" w:eastAsia="宋体" w:cs="宋体"/>
          <w:color w:val="auto"/>
          <w:kern w:val="0"/>
          <w:sz w:val="24"/>
          <w:szCs w:val="24"/>
          <w:lang w:val="en-US" w:eastAsia="zh-CN" w:bidi="ar"/>
        </w:rPr>
        <w:t xml:space="preserve"> </w:t>
      </w:r>
    </w:p>
    <w:p w14:paraId="32F2F48F">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3.乙方无正当理由逾期交付服务的，每逾期 1 天，乙方向甲方偿付合同总额的</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‰的违约金。如乙方逾期达</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天，甲方有权解除合同，甲方解除合同的通知自到达乙方时生效。在此情况下，乙方给甲方造成的实际损失高于违约金的，对高出违约金的部分乙方应予以赔偿。 </w:t>
      </w:r>
    </w:p>
    <w:p w14:paraId="05B15A02">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4.甲方未按合同规定的期限向乙方支付合同款的，每逾期 1 天甲方向乙方偿付欠款总额的</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‰违约金，但累计违约金总额不超过欠款总额的</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715AB487">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5.其它未尽事宜，以《民法典》和《政府采购法》等有关法律法规规定为准，无相关规定的，双方协商解决。 </w:t>
      </w:r>
    </w:p>
    <w:p w14:paraId="56830AE9">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第十三条 不可抗力 </w:t>
      </w:r>
    </w:p>
    <w:p w14:paraId="69C0966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甲、乙方中任何一方，因不可抗力不能按时或完全履行合同的，应及时通知对方，并在</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个工作日内提供相应证明，结算服务费用。未履行的部分是否继续履行、如何履行等问题，可由双方初步协商，并向主管部门和政府采购管理部门报告。确定为不可抗力原因造成的损失，免予承担责任。 </w:t>
      </w:r>
    </w:p>
    <w:p w14:paraId="4CD70629">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第十四条 争议的解决方式 </w:t>
      </w:r>
    </w:p>
    <w:p w14:paraId="6D4AE746">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1.因服务质量问题发生争议的，应当邀请国家认可的质量检测机构对服务进行鉴定。服务符合标准的，鉴定费由甲方承担；不符合质量标准的，鉴定费由乙方承担。 </w:t>
      </w:r>
    </w:p>
    <w:p w14:paraId="00510D9F">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2.在解释或者执行本合同的过程中发生争议时，双方应通过协商方式解决。 </w:t>
      </w:r>
    </w:p>
    <w:p w14:paraId="02CADB7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3.经协商不能解决的争议，双方可选择以下第</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种方式解决： </w:t>
      </w:r>
    </w:p>
    <w:p w14:paraId="6084F24A">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①向</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法院提起诉讼； </w:t>
      </w:r>
    </w:p>
    <w:p w14:paraId="2F2CB7FB">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②向</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提出仲裁。 </w:t>
      </w:r>
    </w:p>
    <w:p w14:paraId="158515D7">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4.在法院审理和仲裁期间，除有争议部分外，本合同其他部分可以履行的仍应按合同条款继续履行。 </w:t>
      </w:r>
    </w:p>
    <w:p w14:paraId="015F17C9">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bCs/>
          <w:color w:val="auto"/>
          <w:kern w:val="0"/>
          <w:sz w:val="24"/>
          <w:szCs w:val="24"/>
          <w:lang w:val="en-US" w:eastAsia="zh-CN" w:bidi="ar"/>
        </w:rPr>
        <w:t xml:space="preserve">第十五条 其他 </w:t>
      </w:r>
    </w:p>
    <w:p w14:paraId="542E8170">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符合《政府采购法》第 49 条规定的，经双方协商，办理政府采购手续后，可签订补充合同，所签订的补充合同与本合同具有同等法律效力。 </w:t>
      </w:r>
    </w:p>
    <w:p w14:paraId="617BF30C">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本合同一式</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份，甲、乙双方各执</w:t>
      </w:r>
      <w:r>
        <w:rPr>
          <w:rFonts w:hint="eastAsia" w:ascii="宋体" w:hAnsi="宋体" w:eastAsia="宋体" w:cs="宋体"/>
          <w:color w:val="auto"/>
          <w:kern w:val="0"/>
          <w:sz w:val="24"/>
          <w:szCs w:val="24"/>
          <w:u w:val="single"/>
          <w:lang w:val="en-US" w:eastAsia="zh-CN" w:bidi="ar"/>
        </w:rPr>
        <w:t xml:space="preserve">    </w:t>
      </w:r>
      <w:r>
        <w:rPr>
          <w:rFonts w:hint="eastAsia" w:ascii="宋体" w:hAnsi="宋体" w:eastAsia="宋体" w:cs="宋体"/>
          <w:color w:val="auto"/>
          <w:kern w:val="0"/>
          <w:sz w:val="24"/>
          <w:szCs w:val="24"/>
          <w:lang w:val="en-US" w:eastAsia="zh-CN" w:bidi="ar"/>
        </w:rPr>
        <w:t xml:space="preserve">份。 </w:t>
      </w:r>
    </w:p>
    <w:p w14:paraId="5F6B2395">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4"/>
          <w:szCs w:val="24"/>
          <w:lang w:val="en-US" w:eastAsia="zh-CN" w:bidi="ar"/>
        </w:rPr>
      </w:pPr>
    </w:p>
    <w:p w14:paraId="3514D0FC">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甲方：                             乙方： </w:t>
      </w:r>
    </w:p>
    <w:p w14:paraId="091B212F">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名称：（盖章）                     名称：（盖章） </w:t>
      </w:r>
    </w:p>
    <w:p w14:paraId="2BA53A70">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地址：                             地址： </w:t>
      </w:r>
    </w:p>
    <w:p w14:paraId="0AAC1463">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法定代表人（签字）：               法定代表人（签字）： </w:t>
      </w:r>
    </w:p>
    <w:p w14:paraId="4A18EAC6">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授权代表（签字）：                 授权代表（签字）： </w:t>
      </w:r>
    </w:p>
    <w:p w14:paraId="5A31204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开户银行：                         开户银行： </w:t>
      </w:r>
    </w:p>
    <w:p w14:paraId="26461D11">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银行帐号：                         银行帐号： </w:t>
      </w:r>
    </w:p>
    <w:p w14:paraId="242E9F36">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kern w:val="0"/>
          <w:sz w:val="24"/>
          <w:szCs w:val="24"/>
          <w:lang w:val="en-US" w:eastAsia="zh-CN" w:bidi="ar"/>
        </w:rPr>
      </w:pPr>
    </w:p>
    <w:p w14:paraId="3EF6BF8D">
      <w:pPr>
        <w:keepNext w:val="0"/>
        <w:keepLines w:val="0"/>
        <w:pageBreakBefore w:val="0"/>
        <w:widowControl/>
        <w:suppressLineNumbers w:val="0"/>
        <w:kinsoku/>
        <w:wordWrap/>
        <w:overflowPunct/>
        <w:topLinePunct w:val="0"/>
        <w:autoSpaceDE/>
        <w:autoSpaceDN/>
        <w:bidi w:val="0"/>
        <w:adjustRightInd/>
        <w:snapToGrid/>
        <w:spacing w:line="500" w:lineRule="exact"/>
        <w:ind w:lef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 xml:space="preserve">甲方合同法律审核（盖章）： </w:t>
      </w:r>
    </w:p>
    <w:p w14:paraId="6632A9D4">
      <w:pPr>
        <w:pStyle w:val="21"/>
        <w:keepNext w:val="0"/>
        <w:keepLines w:val="0"/>
        <w:pageBreakBefore w:val="0"/>
        <w:kinsoku/>
        <w:wordWrap/>
        <w:overflowPunct/>
        <w:topLinePunct w:val="0"/>
        <w:autoSpaceDE/>
        <w:autoSpaceDN/>
        <w:bidi w:val="0"/>
        <w:adjustRightInd/>
        <w:snapToGrid/>
        <w:spacing w:after="0"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lang w:val="en-US" w:eastAsia="zh-CN" w:bidi="ar"/>
        </w:rPr>
        <w:t xml:space="preserve">时间：   年    月    日 </w:t>
      </w:r>
    </w:p>
    <w:p w14:paraId="2A74116C">
      <w:pPr>
        <w:pStyle w:val="25"/>
        <w:rPr>
          <w:rFonts w:hint="eastAsia" w:ascii="宋体" w:hAnsi="宋体" w:eastAsia="宋体" w:cs="宋体"/>
          <w:sz w:val="24"/>
          <w:szCs w:val="24"/>
        </w:rPr>
      </w:pPr>
    </w:p>
    <w:p w14:paraId="3EA4FF7B">
      <w:pPr>
        <w:pStyle w:val="6"/>
        <w:rPr>
          <w:rFonts w:hint="eastAsia" w:ascii="宋体" w:hAnsi="宋体" w:eastAsia="宋体" w:cs="宋体"/>
          <w:sz w:val="24"/>
          <w:szCs w:val="24"/>
        </w:rPr>
      </w:pPr>
    </w:p>
    <w:p w14:paraId="5E9BC828">
      <w:pPr>
        <w:keepNext w:val="0"/>
        <w:keepLines w:val="0"/>
        <w:pageBreakBefore w:val="0"/>
        <w:widowControl w:val="0"/>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合同融资注意事项：</w:t>
      </w:r>
    </w:p>
    <w:p w14:paraId="5BF6DE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（1）</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color w:val="auto"/>
          <w:sz w:val="24"/>
          <w:szCs w:val="24"/>
          <w:highlight w:val="none"/>
          <w:lang w:eastAsia="zh-CN"/>
        </w:rPr>
        <w:t>欲</w:t>
      </w:r>
      <w:r>
        <w:rPr>
          <w:rFonts w:hint="eastAsia" w:ascii="宋体" w:hAnsi="宋体" w:eastAsia="宋体" w:cs="宋体"/>
          <w:b/>
          <w:bCs/>
          <w:color w:val="auto"/>
          <w:sz w:val="24"/>
          <w:szCs w:val="24"/>
          <w:highlight w:val="none"/>
        </w:rPr>
        <w:t>进行合同融资的，在签订合同时，</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color w:val="auto"/>
          <w:sz w:val="24"/>
          <w:szCs w:val="24"/>
          <w:highlight w:val="none"/>
        </w:rPr>
        <w:t>的合同账号需为合同融资行指定的账户和账号。</w:t>
      </w:r>
    </w:p>
    <w:p w14:paraId="371C1F86">
      <w:pPr>
        <w:keepNext w:val="0"/>
        <w:keepLines w:val="0"/>
        <w:pageBreakBefore w:val="0"/>
        <w:kinsoku/>
        <w:wordWrap/>
        <w:overflowPunct/>
        <w:topLinePunct w:val="0"/>
        <w:autoSpaceDE/>
        <w:autoSpaceDN/>
        <w:bidi w:val="0"/>
        <w:adjustRightInd/>
        <w:snapToGrid/>
        <w:spacing w:line="500" w:lineRule="exact"/>
        <w:ind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eastAsia="宋体" w:cs="宋体"/>
          <w:b/>
          <w:bCs/>
          <w:color w:val="auto"/>
          <w:sz w:val="24"/>
          <w:szCs w:val="24"/>
          <w:highlight w:val="none"/>
        </w:rPr>
        <w:t>预进行合同融资的合同，采购人在合同备案时，需将备案系统中</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color w:val="auto"/>
          <w:sz w:val="24"/>
          <w:szCs w:val="24"/>
          <w:highlight w:val="none"/>
        </w:rPr>
        <w:t>默认账户和账号修改为合同融资行指定的账户和账号，然后再提交合同备案。</w:t>
      </w:r>
      <w:bookmarkStart w:id="305" w:name="_Toc20398"/>
    </w:p>
    <w:p w14:paraId="228C6C62">
      <w:pPr>
        <w:rPr>
          <w:rFonts w:hint="eastAsia" w:ascii="宋体" w:hAnsi="宋体" w:eastAsia="宋体" w:cs="宋体"/>
          <w:lang w:val="en-US" w:eastAsia="zh-CN"/>
        </w:rPr>
      </w:pPr>
      <w:r>
        <w:rPr>
          <w:rFonts w:hint="eastAsia" w:ascii="宋体" w:hAnsi="宋体" w:eastAsia="宋体" w:cs="宋体"/>
          <w:lang w:val="en-US" w:eastAsia="zh-CN"/>
        </w:rPr>
        <w:br w:type="page"/>
      </w:r>
    </w:p>
    <w:p w14:paraId="40AEB16C">
      <w:pPr>
        <w:pStyle w:val="2"/>
        <w:bidi w:val="0"/>
        <w:rPr>
          <w:rFonts w:hint="eastAsia" w:ascii="宋体" w:hAnsi="宋体" w:eastAsia="宋体" w:cs="宋体"/>
        </w:rPr>
      </w:pPr>
      <w:r>
        <w:rPr>
          <w:rFonts w:hint="eastAsia" w:ascii="宋体" w:hAnsi="宋体" w:eastAsia="宋体" w:cs="宋体"/>
          <w:lang w:val="en-US" w:eastAsia="zh-CN"/>
        </w:rPr>
        <w:t xml:space="preserve">第六章 </w:t>
      </w:r>
      <w:r>
        <w:rPr>
          <w:rFonts w:hint="eastAsia" w:ascii="宋体" w:hAnsi="宋体" w:eastAsia="宋体" w:cs="宋体"/>
        </w:rPr>
        <w:t>投标文件格式</w:t>
      </w:r>
      <w:bookmarkEnd w:id="298"/>
      <w:bookmarkEnd w:id="305"/>
    </w:p>
    <w:p w14:paraId="2C6A0A0B">
      <w:pPr>
        <w:pStyle w:val="28"/>
        <w:rPr>
          <w:rFonts w:hint="eastAsia" w:ascii="宋体" w:hAnsi="宋体" w:eastAsia="宋体" w:cs="宋体"/>
          <w:sz w:val="52"/>
          <w:szCs w:val="52"/>
        </w:rPr>
      </w:pPr>
    </w:p>
    <w:p w14:paraId="4A1A8AC1">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bCs/>
          <w:sz w:val="52"/>
          <w:szCs w:val="52"/>
          <w:lang w:val="en-US" w:eastAsia="zh-CN"/>
        </w:rPr>
      </w:pPr>
    </w:p>
    <w:p w14:paraId="79565C7B">
      <w:pPr>
        <w:pStyle w:val="17"/>
        <w:spacing w:line="240" w:lineRule="auto"/>
        <w:jc w:val="center"/>
        <w:rPr>
          <w:rFonts w:hint="eastAsia" w:ascii="宋体" w:hAnsi="宋体" w:eastAsia="宋体" w:cs="宋体"/>
          <w:b/>
          <w:bCs/>
          <w:color w:val="000000"/>
          <w:kern w:val="2"/>
          <w:sz w:val="44"/>
          <w:szCs w:val="44"/>
          <w:lang w:val="en-US" w:eastAsia="zh-CN" w:bidi="ar-SA"/>
        </w:rPr>
      </w:pPr>
      <w:r>
        <w:rPr>
          <w:rFonts w:hint="eastAsia" w:ascii="宋体" w:hAnsi="宋体" w:eastAsia="宋体" w:cs="宋体"/>
          <w:b/>
          <w:color w:val="000000"/>
          <w:sz w:val="40"/>
          <w:szCs w:val="40"/>
          <w:lang w:val="en-US" w:eastAsia="zh-CN"/>
        </w:rPr>
        <w:t>信阳市羊山新区住房建设和交通运输局羊山新区水环境数字化监测监管体系项目</w:t>
      </w:r>
    </w:p>
    <w:p w14:paraId="6A45EE45">
      <w:pPr>
        <w:spacing w:line="360" w:lineRule="auto"/>
        <w:ind w:firstLine="3654" w:firstLineChars="700"/>
        <w:rPr>
          <w:rFonts w:hint="eastAsia" w:ascii="宋体" w:hAnsi="宋体" w:eastAsia="宋体" w:cs="宋体"/>
          <w:b/>
          <w:color w:val="000000"/>
          <w:sz w:val="52"/>
          <w:szCs w:val="52"/>
        </w:rPr>
      </w:pPr>
    </w:p>
    <w:p w14:paraId="555967AF">
      <w:pPr>
        <w:spacing w:line="360" w:lineRule="auto"/>
        <w:ind w:firstLine="3654" w:firstLineChars="700"/>
        <w:rPr>
          <w:rFonts w:hint="eastAsia" w:ascii="宋体" w:hAnsi="宋体" w:eastAsia="宋体" w:cs="宋体"/>
          <w:b/>
          <w:color w:val="000000"/>
          <w:sz w:val="52"/>
          <w:szCs w:val="52"/>
        </w:rPr>
      </w:pPr>
    </w:p>
    <w:p w14:paraId="5FAD8AB6">
      <w:pPr>
        <w:spacing w:line="360" w:lineRule="auto"/>
        <w:jc w:val="center"/>
        <w:rPr>
          <w:rFonts w:hint="eastAsia" w:ascii="宋体" w:hAnsi="宋体" w:eastAsia="宋体" w:cs="宋体"/>
          <w:b/>
          <w:color w:val="000000"/>
          <w:sz w:val="48"/>
          <w:szCs w:val="48"/>
        </w:rPr>
      </w:pPr>
      <w:r>
        <w:rPr>
          <w:rFonts w:hint="eastAsia" w:ascii="宋体" w:hAnsi="宋体" w:eastAsia="宋体" w:cs="宋体"/>
          <w:b/>
          <w:color w:val="000000"/>
          <w:sz w:val="72"/>
          <w:szCs w:val="72"/>
        </w:rPr>
        <w:t>投标文件</w:t>
      </w:r>
    </w:p>
    <w:p w14:paraId="05E55857">
      <w:pPr>
        <w:widowControl/>
        <w:jc w:val="center"/>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采购编号：</w:t>
      </w:r>
    </w:p>
    <w:p w14:paraId="53046C93">
      <w:pPr>
        <w:pStyle w:val="11"/>
        <w:ind w:left="0" w:leftChars="0" w:firstLine="0" w:firstLineChars="0"/>
        <w:rPr>
          <w:rFonts w:hint="eastAsia" w:ascii="宋体" w:hAnsi="宋体" w:eastAsia="宋体" w:cs="宋体"/>
          <w:color w:val="000000"/>
          <w:sz w:val="24"/>
        </w:rPr>
      </w:pPr>
    </w:p>
    <w:p w14:paraId="14878D1A">
      <w:pPr>
        <w:pStyle w:val="11"/>
        <w:ind w:left="1080" w:hanging="480"/>
        <w:rPr>
          <w:rFonts w:hint="eastAsia" w:ascii="宋体" w:hAnsi="宋体" w:eastAsia="宋体" w:cs="宋体"/>
          <w:color w:val="000000"/>
          <w:sz w:val="24"/>
        </w:rPr>
      </w:pPr>
    </w:p>
    <w:p w14:paraId="37BAD98B">
      <w:pPr>
        <w:pStyle w:val="11"/>
        <w:ind w:left="1080" w:hanging="480"/>
        <w:jc w:val="center"/>
        <w:rPr>
          <w:rFonts w:hint="eastAsia" w:ascii="宋体" w:hAnsi="宋体" w:eastAsia="宋体" w:cs="宋体"/>
          <w:color w:val="000000"/>
          <w:sz w:val="24"/>
        </w:rPr>
      </w:pPr>
    </w:p>
    <w:p w14:paraId="24EEE829">
      <w:pPr>
        <w:pStyle w:val="11"/>
        <w:ind w:left="1080" w:hanging="480"/>
        <w:jc w:val="center"/>
        <w:rPr>
          <w:rFonts w:hint="eastAsia" w:ascii="宋体" w:hAnsi="宋体" w:eastAsia="宋体" w:cs="宋体"/>
          <w:color w:val="000000"/>
          <w:sz w:val="24"/>
        </w:rPr>
      </w:pPr>
    </w:p>
    <w:p w14:paraId="73D9910F">
      <w:pPr>
        <w:pStyle w:val="11"/>
        <w:ind w:left="1080" w:hanging="480"/>
        <w:jc w:val="center"/>
        <w:rPr>
          <w:rFonts w:hint="eastAsia" w:ascii="宋体" w:hAnsi="宋体" w:eastAsia="宋体" w:cs="宋体"/>
          <w:color w:val="000000"/>
          <w:sz w:val="24"/>
        </w:rPr>
      </w:pPr>
    </w:p>
    <w:p w14:paraId="3DF35099">
      <w:pPr>
        <w:pStyle w:val="11"/>
        <w:ind w:left="1080" w:hanging="480"/>
        <w:jc w:val="center"/>
        <w:rPr>
          <w:rFonts w:hint="eastAsia" w:ascii="宋体" w:hAnsi="宋体" w:eastAsia="宋体" w:cs="宋体"/>
          <w:color w:val="000000"/>
          <w:sz w:val="24"/>
        </w:rPr>
      </w:pPr>
    </w:p>
    <w:p w14:paraId="5B78BE1C">
      <w:pPr>
        <w:pStyle w:val="11"/>
        <w:ind w:left="1080" w:hanging="480"/>
        <w:jc w:val="center"/>
        <w:rPr>
          <w:rFonts w:hint="eastAsia" w:ascii="宋体" w:hAnsi="宋体" w:eastAsia="宋体" w:cs="宋体"/>
          <w:color w:val="000000"/>
          <w:sz w:val="24"/>
        </w:rPr>
      </w:pPr>
    </w:p>
    <w:p w14:paraId="2D5F03BC">
      <w:pPr>
        <w:pStyle w:val="11"/>
        <w:ind w:left="1080" w:hanging="480"/>
        <w:jc w:val="center"/>
        <w:rPr>
          <w:rFonts w:hint="eastAsia" w:ascii="宋体" w:hAnsi="宋体" w:eastAsia="宋体" w:cs="宋体"/>
          <w:color w:val="000000"/>
          <w:sz w:val="24"/>
        </w:rPr>
      </w:pPr>
    </w:p>
    <w:p w14:paraId="1C39A6C3">
      <w:pPr>
        <w:pStyle w:val="11"/>
        <w:ind w:left="1080" w:hanging="480"/>
        <w:jc w:val="center"/>
        <w:rPr>
          <w:rFonts w:hint="eastAsia" w:ascii="宋体" w:hAnsi="宋体" w:eastAsia="宋体" w:cs="宋体"/>
          <w:color w:val="000000"/>
          <w:sz w:val="24"/>
        </w:rPr>
      </w:pPr>
    </w:p>
    <w:p w14:paraId="4F8762C3">
      <w:pPr>
        <w:pStyle w:val="11"/>
        <w:ind w:left="1080" w:hanging="480"/>
        <w:jc w:val="center"/>
        <w:rPr>
          <w:rFonts w:hint="eastAsia" w:ascii="宋体" w:hAnsi="宋体" w:eastAsia="宋体" w:cs="宋体"/>
          <w:color w:val="000000"/>
          <w:sz w:val="24"/>
        </w:rPr>
      </w:pPr>
    </w:p>
    <w:p w14:paraId="11BECD28">
      <w:pPr>
        <w:pStyle w:val="11"/>
        <w:ind w:left="0" w:leftChars="0" w:firstLine="0" w:firstLineChars="0"/>
        <w:jc w:val="both"/>
        <w:rPr>
          <w:rFonts w:hint="eastAsia" w:ascii="宋体" w:hAnsi="宋体" w:eastAsia="宋体" w:cs="宋体"/>
          <w:color w:val="000000"/>
          <w:sz w:val="24"/>
        </w:rPr>
      </w:pPr>
    </w:p>
    <w:p w14:paraId="0562E59D">
      <w:pPr>
        <w:pStyle w:val="11"/>
        <w:ind w:left="1080" w:hanging="480"/>
        <w:jc w:val="center"/>
        <w:rPr>
          <w:rFonts w:hint="eastAsia" w:ascii="宋体" w:hAnsi="宋体" w:eastAsia="宋体" w:cs="宋体"/>
          <w:color w:val="000000"/>
          <w:sz w:val="24"/>
        </w:rPr>
      </w:pPr>
    </w:p>
    <w:p w14:paraId="5C3DE9D3">
      <w:pPr>
        <w:pStyle w:val="11"/>
        <w:ind w:left="1080" w:hanging="480"/>
        <w:jc w:val="center"/>
        <w:rPr>
          <w:rFonts w:hint="eastAsia" w:ascii="宋体" w:hAnsi="宋体" w:eastAsia="宋体" w:cs="宋体"/>
          <w:color w:val="000000"/>
          <w:sz w:val="24"/>
        </w:rPr>
      </w:pPr>
    </w:p>
    <w:p w14:paraId="4AAABAF2">
      <w:pPr>
        <w:spacing w:line="360" w:lineRule="auto"/>
        <w:ind w:left="0" w:leftChars="0" w:firstLine="903" w:firstLineChars="281"/>
        <w:jc w:val="left"/>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投标人：</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u w:val="single"/>
          <w:lang w:val="en-US" w:eastAsia="zh-CN"/>
        </w:rPr>
        <w:t xml:space="preserve"> </w:t>
      </w:r>
      <w:r>
        <w:rPr>
          <w:rFonts w:hint="eastAsia" w:ascii="宋体" w:hAnsi="宋体" w:eastAsia="宋体" w:cs="宋体"/>
          <w:b/>
          <w:bCs/>
          <w:color w:val="000000"/>
          <w:sz w:val="32"/>
          <w:szCs w:val="32"/>
        </w:rPr>
        <w:t>（单位电子签章）</w:t>
      </w:r>
    </w:p>
    <w:p w14:paraId="1FC957E2">
      <w:pPr>
        <w:spacing w:line="360" w:lineRule="auto"/>
        <w:ind w:left="0" w:leftChars="0" w:firstLine="903" w:firstLineChars="281"/>
        <w:jc w:val="left"/>
        <w:rPr>
          <w:rFonts w:hint="eastAsia" w:ascii="宋体" w:hAnsi="宋体" w:eastAsia="宋体" w:cs="宋体"/>
          <w:b/>
          <w:bCs/>
          <w:color w:val="000000"/>
          <w:sz w:val="32"/>
          <w:szCs w:val="32"/>
          <w:u w:val="single"/>
        </w:rPr>
      </w:pPr>
      <w:r>
        <w:rPr>
          <w:rFonts w:hint="eastAsia" w:ascii="宋体" w:hAnsi="宋体" w:eastAsia="宋体" w:cs="宋体"/>
          <w:b/>
          <w:bCs/>
          <w:color w:val="000000"/>
          <w:sz w:val="32"/>
          <w:szCs w:val="32"/>
        </w:rPr>
        <w:t>法定代表人或其委托代理人：</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rPr>
        <w:t>（电子签名或盖章）</w:t>
      </w:r>
    </w:p>
    <w:p w14:paraId="1F818B7C">
      <w:pPr>
        <w:spacing w:line="360" w:lineRule="auto"/>
        <w:ind w:left="0" w:leftChars="0" w:firstLine="903" w:firstLineChars="281"/>
        <w:jc w:val="left"/>
        <w:rPr>
          <w:rFonts w:hint="eastAsia" w:ascii="宋体" w:hAnsi="宋体" w:eastAsia="宋体" w:cs="宋体"/>
          <w:color w:val="000000"/>
          <w:sz w:val="32"/>
          <w:szCs w:val="32"/>
        </w:rPr>
      </w:pPr>
      <w:r>
        <w:rPr>
          <w:rFonts w:hint="eastAsia" w:ascii="宋体" w:hAnsi="宋体" w:eastAsia="宋体" w:cs="宋体"/>
          <w:b/>
          <w:bCs/>
          <w:color w:val="000000"/>
          <w:sz w:val="32"/>
          <w:szCs w:val="32"/>
          <w:u w:val="none"/>
          <w:lang w:val="en-US" w:eastAsia="zh-CN"/>
        </w:rPr>
        <w:t>日  期：</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rPr>
        <w:t>年</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u w:val="single"/>
          <w:lang w:val="en-US" w:eastAsia="zh-CN"/>
        </w:rPr>
        <w:t xml:space="preserve"> </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rPr>
        <w:t>月</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u w:val="single"/>
          <w:lang w:val="en-US" w:eastAsia="zh-CN"/>
        </w:rPr>
        <w:t xml:space="preserve">  </w:t>
      </w:r>
      <w:r>
        <w:rPr>
          <w:rFonts w:hint="eastAsia" w:ascii="宋体" w:hAnsi="宋体" w:eastAsia="宋体" w:cs="宋体"/>
          <w:b/>
          <w:bCs/>
          <w:color w:val="000000"/>
          <w:sz w:val="32"/>
          <w:szCs w:val="32"/>
          <w:u w:val="single"/>
        </w:rPr>
        <w:t xml:space="preserve">  </w:t>
      </w:r>
      <w:r>
        <w:rPr>
          <w:rFonts w:hint="eastAsia" w:ascii="宋体" w:hAnsi="宋体" w:eastAsia="宋体" w:cs="宋体"/>
          <w:b/>
          <w:bCs/>
          <w:color w:val="000000"/>
          <w:sz w:val="32"/>
          <w:szCs w:val="32"/>
        </w:rPr>
        <w:t>日</w:t>
      </w:r>
    </w:p>
    <w:p w14:paraId="719FD6E7">
      <w:pPr>
        <w:spacing w:line="360" w:lineRule="auto"/>
        <w:jc w:val="both"/>
        <w:rPr>
          <w:rFonts w:hint="eastAsia" w:ascii="宋体" w:hAnsi="宋体" w:eastAsia="宋体" w:cs="宋体"/>
          <w:b/>
          <w:bCs/>
          <w:color w:val="000000"/>
          <w:sz w:val="30"/>
          <w:szCs w:val="30"/>
        </w:rPr>
      </w:pPr>
    </w:p>
    <w:p w14:paraId="5559526A">
      <w:pPr>
        <w:spacing w:line="360" w:lineRule="auto"/>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rPr>
        <w:t>目   录</w:t>
      </w:r>
    </w:p>
    <w:p w14:paraId="7FC91F6C">
      <w:pPr>
        <w:spacing w:line="360" w:lineRule="auto"/>
        <w:rPr>
          <w:rFonts w:hint="eastAsia" w:ascii="宋体" w:hAnsi="宋体" w:eastAsia="宋体" w:cs="宋体"/>
          <w:color w:val="000000"/>
          <w:sz w:val="24"/>
          <w:szCs w:val="24"/>
        </w:rPr>
      </w:pPr>
    </w:p>
    <w:p w14:paraId="63F56E54">
      <w:pPr>
        <w:keepNext w:val="0"/>
        <w:keepLines w:val="0"/>
        <w:pageBreakBefore w:val="0"/>
        <w:widowControl w:val="0"/>
        <w:kinsoku/>
        <w:wordWrap/>
        <w:overflowPunct/>
        <w:bidi w:val="0"/>
        <w:snapToGrid/>
        <w:spacing w:line="700" w:lineRule="exact"/>
        <w:ind w:left="0" w:leftChars="0" w:right="0" w:firstLine="1797" w:firstLineChars="642"/>
        <w:textAlignment w:val="auto"/>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rPr>
        <w:t>一、投标函及投标函附录</w:t>
      </w:r>
    </w:p>
    <w:p w14:paraId="78340192">
      <w:pPr>
        <w:keepNext w:val="0"/>
        <w:keepLines w:val="0"/>
        <w:pageBreakBefore w:val="0"/>
        <w:widowControl w:val="0"/>
        <w:kinsoku/>
        <w:wordWrap/>
        <w:overflowPunct/>
        <w:bidi w:val="0"/>
        <w:snapToGrid/>
        <w:spacing w:line="700" w:lineRule="exact"/>
        <w:ind w:left="0" w:leftChars="0" w:right="0" w:firstLine="1797" w:firstLineChars="642"/>
        <w:textAlignment w:val="auto"/>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rPr>
        <w:t>二、法定代表人身份证明</w:t>
      </w:r>
    </w:p>
    <w:p w14:paraId="4E728AE8">
      <w:pPr>
        <w:keepNext w:val="0"/>
        <w:keepLines w:val="0"/>
        <w:pageBreakBefore w:val="0"/>
        <w:widowControl w:val="0"/>
        <w:kinsoku/>
        <w:wordWrap/>
        <w:overflowPunct/>
        <w:bidi w:val="0"/>
        <w:snapToGrid/>
        <w:spacing w:line="700" w:lineRule="exact"/>
        <w:ind w:left="0" w:leftChars="0" w:right="0" w:firstLine="1797" w:firstLineChars="642"/>
        <w:textAlignment w:val="auto"/>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rPr>
        <w:t>三、</w:t>
      </w:r>
      <w:r>
        <w:rPr>
          <w:rFonts w:hint="eastAsia" w:ascii="宋体" w:hAnsi="宋体" w:eastAsia="宋体" w:cs="宋体"/>
          <w:b w:val="0"/>
          <w:bCs w:val="0"/>
          <w:color w:val="000000"/>
          <w:sz w:val="28"/>
          <w:szCs w:val="28"/>
          <w:lang w:eastAsia="zh-CN"/>
        </w:rPr>
        <w:t>授权委托书</w:t>
      </w:r>
    </w:p>
    <w:p w14:paraId="32AB2C5F">
      <w:pPr>
        <w:keepNext w:val="0"/>
        <w:keepLines w:val="0"/>
        <w:pageBreakBefore w:val="0"/>
        <w:widowControl w:val="0"/>
        <w:kinsoku/>
        <w:wordWrap/>
        <w:overflowPunct/>
        <w:bidi w:val="0"/>
        <w:snapToGrid/>
        <w:spacing w:line="700" w:lineRule="exact"/>
        <w:ind w:left="0" w:leftChars="0" w:right="0" w:firstLine="1797" w:firstLineChars="642"/>
        <w:textAlignment w:val="auto"/>
        <w:rPr>
          <w:rFonts w:hint="eastAsia" w:ascii="宋体" w:hAnsi="宋体" w:eastAsia="宋体" w:cs="宋体"/>
          <w:b w:val="0"/>
          <w:bCs w:val="0"/>
          <w:color w:val="000000"/>
          <w:sz w:val="28"/>
          <w:szCs w:val="28"/>
        </w:rPr>
      </w:pPr>
      <w:r>
        <w:rPr>
          <w:rFonts w:hint="eastAsia" w:ascii="宋体" w:hAnsi="宋体" w:eastAsia="宋体" w:cs="宋体"/>
          <w:b w:val="0"/>
          <w:bCs w:val="0"/>
          <w:color w:val="000000"/>
          <w:sz w:val="28"/>
          <w:szCs w:val="28"/>
        </w:rPr>
        <w:t>四、</w:t>
      </w:r>
      <w:r>
        <w:rPr>
          <w:rFonts w:hint="eastAsia" w:ascii="宋体" w:hAnsi="宋体" w:eastAsia="宋体" w:cs="宋体"/>
          <w:b w:val="0"/>
          <w:bCs w:val="0"/>
          <w:color w:val="000000"/>
          <w:sz w:val="28"/>
          <w:szCs w:val="28"/>
          <w:lang w:val="en-US" w:eastAsia="zh-CN"/>
        </w:rPr>
        <w:t>资格审查资料</w:t>
      </w:r>
    </w:p>
    <w:p w14:paraId="39D02FB6">
      <w:pPr>
        <w:keepNext w:val="0"/>
        <w:keepLines w:val="0"/>
        <w:pageBreakBefore w:val="0"/>
        <w:widowControl w:val="0"/>
        <w:numPr>
          <w:ilvl w:val="0"/>
          <w:numId w:val="0"/>
        </w:numPr>
        <w:kinsoku/>
        <w:wordWrap/>
        <w:overflowPunct/>
        <w:bidi w:val="0"/>
        <w:snapToGrid/>
        <w:spacing w:line="700" w:lineRule="exact"/>
        <w:ind w:left="0" w:leftChars="0" w:right="0" w:firstLine="1797" w:firstLineChars="642"/>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eastAsia="zh-CN"/>
        </w:rPr>
        <w:t>五、</w:t>
      </w:r>
      <w:r>
        <w:rPr>
          <w:rFonts w:hint="eastAsia" w:ascii="宋体" w:hAnsi="宋体" w:eastAsia="宋体" w:cs="宋体"/>
          <w:b w:val="0"/>
          <w:bCs w:val="0"/>
          <w:color w:val="000000"/>
          <w:sz w:val="28"/>
          <w:szCs w:val="28"/>
          <w:lang w:val="en-US" w:eastAsia="zh-CN"/>
        </w:rPr>
        <w:t>技术部分</w:t>
      </w:r>
    </w:p>
    <w:p w14:paraId="5CC466EA">
      <w:pPr>
        <w:pStyle w:val="8"/>
        <w:keepNext w:val="0"/>
        <w:keepLines w:val="0"/>
        <w:pageBreakBefore w:val="0"/>
        <w:widowControl w:val="0"/>
        <w:numPr>
          <w:ilvl w:val="0"/>
          <w:numId w:val="0"/>
        </w:numPr>
        <w:kinsoku/>
        <w:wordWrap/>
        <w:overflowPunct/>
        <w:bidi w:val="0"/>
        <w:snapToGrid/>
        <w:spacing w:after="0" w:afterLines="0" w:line="700" w:lineRule="exact"/>
        <w:ind w:left="0" w:leftChars="0" w:right="0" w:firstLine="1797" w:firstLineChars="642"/>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六、</w:t>
      </w:r>
      <w:r>
        <w:rPr>
          <w:rFonts w:hint="eastAsia" w:ascii="宋体" w:hAnsi="宋体" w:eastAsia="宋体" w:cs="宋体"/>
          <w:b w:val="0"/>
          <w:bCs w:val="0"/>
          <w:sz w:val="28"/>
          <w:szCs w:val="28"/>
          <w:lang w:val="en-US" w:eastAsia="zh-CN"/>
        </w:rPr>
        <w:t>综合部分</w:t>
      </w:r>
    </w:p>
    <w:p w14:paraId="2081DF18">
      <w:pPr>
        <w:pStyle w:val="8"/>
        <w:keepNext w:val="0"/>
        <w:keepLines w:val="0"/>
        <w:pageBreakBefore w:val="0"/>
        <w:widowControl w:val="0"/>
        <w:numPr>
          <w:ilvl w:val="0"/>
          <w:numId w:val="0"/>
        </w:numPr>
        <w:kinsoku/>
        <w:wordWrap/>
        <w:overflowPunct/>
        <w:bidi w:val="0"/>
        <w:snapToGrid/>
        <w:spacing w:after="0" w:afterLines="0" w:line="700" w:lineRule="exact"/>
        <w:ind w:left="0" w:leftChars="0" w:right="0" w:firstLine="1797" w:firstLineChars="642"/>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七、</w:t>
      </w:r>
      <w:r>
        <w:rPr>
          <w:rFonts w:hint="eastAsia" w:ascii="宋体" w:hAnsi="宋体" w:eastAsia="宋体" w:cs="宋体"/>
          <w:b w:val="0"/>
          <w:bCs w:val="0"/>
          <w:sz w:val="28"/>
          <w:szCs w:val="28"/>
        </w:rPr>
        <w:t>中小企业声明函</w:t>
      </w:r>
    </w:p>
    <w:p w14:paraId="49EED9E8">
      <w:pPr>
        <w:keepNext w:val="0"/>
        <w:keepLines w:val="0"/>
        <w:pageBreakBefore w:val="0"/>
        <w:widowControl w:val="0"/>
        <w:numPr>
          <w:ilvl w:val="0"/>
          <w:numId w:val="0"/>
        </w:numPr>
        <w:kinsoku/>
        <w:wordWrap/>
        <w:overflowPunct/>
        <w:topLinePunct/>
        <w:bidi w:val="0"/>
        <w:snapToGrid/>
        <w:spacing w:line="700" w:lineRule="exact"/>
        <w:ind w:left="0" w:leftChars="0" w:right="0" w:rightChars="0" w:firstLine="1797" w:firstLineChars="642"/>
        <w:textAlignment w:val="auto"/>
        <w:outlineLvl w:val="9"/>
        <w:rPr>
          <w:rFonts w:hint="eastAsia" w:ascii="宋体" w:hAnsi="宋体" w:eastAsia="宋体" w:cs="宋体"/>
          <w:b w:val="0"/>
          <w:bCs w:val="0"/>
          <w:sz w:val="28"/>
          <w:szCs w:val="28"/>
        </w:rPr>
      </w:pPr>
      <w:r>
        <w:rPr>
          <w:rFonts w:hint="eastAsia" w:ascii="宋体" w:hAnsi="宋体" w:eastAsia="宋体" w:cs="宋体"/>
          <w:b w:val="0"/>
          <w:bCs w:val="0"/>
          <w:color w:val="auto"/>
          <w:kern w:val="2"/>
          <w:sz w:val="28"/>
          <w:szCs w:val="28"/>
          <w:lang w:val="en-US" w:eastAsia="zh-CN"/>
        </w:rPr>
        <w:t>八、</w:t>
      </w:r>
      <w:r>
        <w:rPr>
          <w:rFonts w:hint="eastAsia" w:ascii="宋体" w:hAnsi="宋体" w:eastAsia="宋体" w:cs="宋体"/>
          <w:b w:val="0"/>
          <w:bCs w:val="0"/>
          <w:sz w:val="28"/>
          <w:szCs w:val="28"/>
        </w:rPr>
        <w:t>其他资料</w:t>
      </w:r>
    </w:p>
    <w:p w14:paraId="617F0E4F">
      <w:pPr>
        <w:pStyle w:val="17"/>
        <w:spacing w:after="0" w:line="360" w:lineRule="auto"/>
        <w:rPr>
          <w:rFonts w:hint="eastAsia" w:ascii="宋体" w:hAnsi="宋体" w:eastAsia="宋体" w:cs="宋体"/>
          <w:color w:val="000000"/>
          <w:sz w:val="24"/>
          <w:szCs w:val="24"/>
        </w:rPr>
      </w:pPr>
    </w:p>
    <w:p w14:paraId="5E0EDF4C">
      <w:pPr>
        <w:tabs>
          <w:tab w:val="left" w:pos="1365"/>
        </w:tabs>
        <w:spacing w:line="312" w:lineRule="auto"/>
        <w:rPr>
          <w:rFonts w:hint="eastAsia" w:ascii="宋体" w:hAnsi="宋体" w:eastAsia="宋体" w:cs="宋体"/>
          <w:b/>
          <w:color w:val="000000"/>
          <w:sz w:val="24"/>
          <w:szCs w:val="24"/>
        </w:rPr>
      </w:pPr>
    </w:p>
    <w:p w14:paraId="1880293E">
      <w:pPr>
        <w:numPr>
          <w:ilvl w:val="0"/>
          <w:numId w:val="0"/>
        </w:numPr>
        <w:spacing w:line="312" w:lineRule="auto"/>
        <w:jc w:val="center"/>
        <w:outlineLvl w:val="0"/>
        <w:rPr>
          <w:rFonts w:hint="eastAsia" w:ascii="宋体" w:hAnsi="宋体" w:eastAsia="宋体" w:cs="宋体"/>
          <w:b/>
          <w:color w:val="000000"/>
          <w:sz w:val="32"/>
          <w:szCs w:val="32"/>
        </w:rPr>
      </w:pPr>
      <w:r>
        <w:rPr>
          <w:rFonts w:hint="eastAsia" w:ascii="宋体" w:hAnsi="宋体" w:eastAsia="宋体" w:cs="宋体"/>
          <w:b/>
          <w:color w:val="000000"/>
          <w:sz w:val="28"/>
          <w:szCs w:val="28"/>
        </w:rPr>
        <w:br w:type="page"/>
      </w:r>
      <w:r>
        <w:rPr>
          <w:rFonts w:hint="eastAsia" w:ascii="宋体" w:hAnsi="宋体" w:eastAsia="宋体" w:cs="宋体"/>
          <w:b/>
          <w:color w:val="000000"/>
          <w:sz w:val="28"/>
          <w:szCs w:val="28"/>
          <w:lang w:val="en-US" w:eastAsia="zh-CN"/>
        </w:rPr>
        <w:t>一、</w:t>
      </w:r>
      <w:r>
        <w:rPr>
          <w:rFonts w:hint="eastAsia" w:ascii="宋体" w:hAnsi="宋体" w:eastAsia="宋体" w:cs="宋体"/>
          <w:b/>
          <w:color w:val="000000"/>
          <w:sz w:val="32"/>
          <w:szCs w:val="32"/>
        </w:rPr>
        <w:t>投标函及投标函附录</w:t>
      </w:r>
    </w:p>
    <w:p w14:paraId="11A4979F">
      <w:pPr>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（一）投标函</w:t>
      </w:r>
    </w:p>
    <w:p w14:paraId="65CEE282">
      <w:pPr>
        <w:pStyle w:val="25"/>
        <w:rPr>
          <w:rFonts w:hint="eastAsia" w:ascii="宋体" w:hAnsi="宋体" w:eastAsia="宋体" w:cs="宋体"/>
        </w:rPr>
      </w:pPr>
    </w:p>
    <w:p w14:paraId="6623A129">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lang w:val="en-US" w:eastAsia="zh-CN"/>
        </w:rPr>
        <w:t>采购人</w:t>
      </w:r>
      <w:r>
        <w:rPr>
          <w:rFonts w:hint="eastAsia" w:ascii="宋体" w:hAnsi="宋体" w:eastAsia="宋体" w:cs="宋体"/>
          <w:color w:val="000000"/>
          <w:sz w:val="24"/>
          <w:szCs w:val="24"/>
        </w:rPr>
        <w:t>）</w:t>
      </w:r>
    </w:p>
    <w:p w14:paraId="7CCB3B0D">
      <w:pPr>
        <w:widowControl/>
        <w:spacing w:line="360" w:lineRule="auto"/>
        <w:ind w:firstLine="489" w:firstLineChars="204"/>
        <w:jc w:val="left"/>
        <w:rPr>
          <w:rFonts w:hint="eastAsia" w:ascii="宋体" w:hAnsi="宋体" w:eastAsia="宋体" w:cs="宋体"/>
          <w:color w:val="000000"/>
          <w:sz w:val="24"/>
          <w:szCs w:val="24"/>
        </w:rPr>
      </w:pP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（投标单位全称）授权</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（委托代理人姓名）为本项目委托代理人，参加贵方组织的项目名称：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采购编号：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招标的有关活动，并对相关</w:t>
      </w:r>
      <w:r>
        <w:rPr>
          <w:rFonts w:hint="eastAsia" w:ascii="宋体" w:hAnsi="宋体" w:eastAsia="宋体" w:cs="宋体"/>
          <w:color w:val="000000"/>
          <w:sz w:val="24"/>
          <w:szCs w:val="24"/>
          <w:lang w:val="en-US" w:eastAsia="zh-CN"/>
        </w:rPr>
        <w:t>服务</w:t>
      </w:r>
      <w:r>
        <w:rPr>
          <w:rFonts w:hint="eastAsia" w:ascii="宋体" w:hAnsi="宋体" w:eastAsia="宋体" w:cs="宋体"/>
          <w:color w:val="000000"/>
          <w:sz w:val="24"/>
          <w:szCs w:val="24"/>
        </w:rPr>
        <w:t>进行投标。</w:t>
      </w:r>
    </w:p>
    <w:p w14:paraId="70811309">
      <w:pPr>
        <w:widowControl/>
        <w:spacing w:line="360" w:lineRule="auto"/>
        <w:ind w:firstLine="489" w:firstLineChars="204"/>
        <w:rPr>
          <w:rFonts w:hint="eastAsia" w:ascii="宋体" w:hAnsi="宋体" w:eastAsia="宋体" w:cs="宋体"/>
          <w:color w:val="000000"/>
          <w:sz w:val="24"/>
          <w:szCs w:val="24"/>
        </w:rPr>
      </w:pPr>
      <w:r>
        <w:rPr>
          <w:rFonts w:hint="eastAsia" w:ascii="宋体" w:hAnsi="宋体" w:eastAsia="宋体" w:cs="宋体"/>
          <w:color w:val="000000"/>
          <w:sz w:val="24"/>
          <w:szCs w:val="24"/>
        </w:rPr>
        <w:t>为此承诺如下：</w:t>
      </w:r>
    </w:p>
    <w:p w14:paraId="19B1C795">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w:t>
      </w:r>
      <w:r>
        <w:rPr>
          <w:rFonts w:hint="eastAsia" w:ascii="宋体" w:hAnsi="宋体" w:eastAsia="宋体" w:cs="宋体"/>
          <w:color w:val="000000"/>
          <w:sz w:val="24"/>
          <w:szCs w:val="24"/>
          <w:lang w:val="en-US" w:eastAsia="zh-CN"/>
        </w:rPr>
        <w:t>服务</w:t>
      </w:r>
      <w:r>
        <w:rPr>
          <w:rFonts w:hint="eastAsia" w:ascii="宋体" w:hAnsi="宋体" w:eastAsia="宋体" w:cs="宋体"/>
          <w:color w:val="000000"/>
          <w:sz w:val="24"/>
          <w:szCs w:val="24"/>
        </w:rPr>
        <w:t>的总报价为人民币（大写）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p>
    <w:p w14:paraId="5CAFCDE6">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如我方的投标文件被接受，我们将履行招标文件中规定的每一项要求，按期、按质、按量履行合同。我方声明，我单位递交的投标文件中所提供全部资料均符合招标文件的要求，合法、真实、有效，并且在以后实施中承担由于与此不符而引起的一切责任。</w:t>
      </w:r>
    </w:p>
    <w:p w14:paraId="667E97DA">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3.我方愿按《中华人民共和国</w:t>
      </w:r>
      <w:r>
        <w:rPr>
          <w:rFonts w:hint="eastAsia" w:ascii="宋体" w:hAnsi="宋体" w:eastAsia="宋体" w:cs="宋体"/>
          <w:color w:val="000000"/>
          <w:sz w:val="24"/>
          <w:szCs w:val="24"/>
          <w:lang w:val="en-US" w:eastAsia="zh-CN"/>
        </w:rPr>
        <w:t>民法典</w:t>
      </w:r>
      <w:r>
        <w:rPr>
          <w:rFonts w:hint="eastAsia" w:ascii="宋体" w:hAnsi="宋体" w:eastAsia="宋体" w:cs="宋体"/>
          <w:color w:val="000000"/>
          <w:sz w:val="24"/>
          <w:szCs w:val="24"/>
        </w:rPr>
        <w:t>》履行我方的全部责任。</w:t>
      </w:r>
    </w:p>
    <w:p w14:paraId="27EB60BE">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4.我方已详细审查全部招标文件，包括修改文件以及全部参考资料。我们完全理解并同意放弃对这方面有不明及误解的权力。</w:t>
      </w:r>
    </w:p>
    <w:p w14:paraId="190211A1">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5.本项目投标有效期从投标截止之日起</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0日历天。</w:t>
      </w:r>
    </w:p>
    <w:p w14:paraId="62867A57">
      <w:pPr>
        <w:tabs>
          <w:tab w:val="left" w:pos="1365"/>
        </w:tab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我方同意提供按照贵方可能要求的与其投标有关的一切数据或资料，理解贵方不一定要接受最低价的投标或收到的任何投标。</w:t>
      </w:r>
    </w:p>
    <w:p w14:paraId="1007C00B">
      <w:pPr>
        <w:tabs>
          <w:tab w:val="left" w:pos="1365"/>
        </w:tabs>
        <w:spacing w:line="360" w:lineRule="auto"/>
        <w:ind w:firstLine="960" w:firstLineChars="400"/>
        <w:rPr>
          <w:rFonts w:hint="eastAsia" w:ascii="宋体" w:hAnsi="宋体" w:eastAsia="宋体" w:cs="宋体"/>
          <w:color w:val="000000"/>
          <w:sz w:val="24"/>
          <w:szCs w:val="24"/>
        </w:rPr>
      </w:pPr>
    </w:p>
    <w:p w14:paraId="6CF5996F">
      <w:pPr>
        <w:tabs>
          <w:tab w:val="left" w:pos="1365"/>
        </w:tabs>
        <w:spacing w:line="360" w:lineRule="auto"/>
        <w:ind w:left="0" w:leftChars="0" w:firstLine="300" w:firstLineChars="125"/>
        <w:rPr>
          <w:rFonts w:hint="eastAsia" w:ascii="宋体" w:hAnsi="宋体" w:eastAsia="宋体" w:cs="宋体"/>
          <w:color w:val="000000"/>
          <w:sz w:val="24"/>
          <w:szCs w:val="24"/>
        </w:rPr>
      </w:pPr>
      <w:r>
        <w:rPr>
          <w:rFonts w:hint="eastAsia" w:ascii="宋体" w:hAnsi="宋体" w:eastAsia="宋体" w:cs="宋体"/>
          <w:color w:val="000000"/>
          <w:sz w:val="24"/>
          <w:szCs w:val="24"/>
        </w:rPr>
        <w:t>联系人：                         电话：</w:t>
      </w:r>
    </w:p>
    <w:p w14:paraId="4945809E">
      <w:pPr>
        <w:tabs>
          <w:tab w:val="left" w:pos="1365"/>
        </w:tabs>
        <w:spacing w:line="360" w:lineRule="auto"/>
        <w:ind w:left="0" w:leftChars="0" w:firstLine="300" w:firstLineChars="125"/>
        <w:rPr>
          <w:rFonts w:hint="eastAsia" w:ascii="宋体" w:hAnsi="宋体" w:eastAsia="宋体" w:cs="宋体"/>
          <w:color w:val="000000"/>
          <w:sz w:val="24"/>
          <w:szCs w:val="24"/>
        </w:rPr>
      </w:pPr>
      <w:r>
        <w:rPr>
          <w:rFonts w:hint="eastAsia" w:ascii="宋体" w:hAnsi="宋体" w:eastAsia="宋体" w:cs="宋体"/>
          <w:color w:val="000000"/>
          <w:sz w:val="24"/>
          <w:szCs w:val="24"/>
        </w:rPr>
        <w:t>地址：                           邮政编码：</w:t>
      </w:r>
    </w:p>
    <w:p w14:paraId="5C1AC783">
      <w:pPr>
        <w:tabs>
          <w:tab w:val="left" w:pos="1365"/>
        </w:tabs>
        <w:spacing w:line="360" w:lineRule="auto"/>
        <w:rPr>
          <w:rFonts w:hint="eastAsia" w:ascii="宋体" w:hAnsi="宋体" w:eastAsia="宋体" w:cs="宋体"/>
          <w:color w:val="000000"/>
          <w:sz w:val="24"/>
          <w:szCs w:val="24"/>
        </w:rPr>
      </w:pPr>
    </w:p>
    <w:p w14:paraId="52750F72">
      <w:pPr>
        <w:pStyle w:val="25"/>
        <w:rPr>
          <w:rFonts w:hint="eastAsia" w:ascii="宋体" w:hAnsi="宋体" w:eastAsia="宋体" w:cs="宋体"/>
        </w:rPr>
      </w:pPr>
    </w:p>
    <w:p w14:paraId="63D3E4F7">
      <w:pPr>
        <w:pStyle w:val="25"/>
        <w:rPr>
          <w:rFonts w:hint="eastAsia" w:ascii="宋体" w:hAnsi="宋体" w:eastAsia="宋体" w:cs="宋体"/>
        </w:rPr>
      </w:pPr>
    </w:p>
    <w:p w14:paraId="1BCC9DA5">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26131E54">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1304EA92">
      <w:pPr>
        <w:spacing w:line="360" w:lineRule="auto"/>
        <w:ind w:left="0" w:leftChars="0" w:firstLine="3600" w:firstLineChars="1500"/>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期：   年   月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日</w:t>
      </w:r>
    </w:p>
    <w:p w14:paraId="7BFB2FB1">
      <w:pPr>
        <w:tabs>
          <w:tab w:val="left" w:pos="1365"/>
        </w:tabs>
        <w:spacing w:line="312" w:lineRule="auto"/>
        <w:ind w:firstLine="7650" w:firstLineChars="2550"/>
        <w:rPr>
          <w:rFonts w:hint="eastAsia" w:ascii="宋体" w:hAnsi="宋体" w:eastAsia="宋体" w:cs="宋体"/>
          <w:color w:val="000000"/>
          <w:szCs w:val="21"/>
        </w:rPr>
      </w:pPr>
    </w:p>
    <w:p w14:paraId="022D0B4C">
      <w:pPr>
        <w:spacing w:line="312" w:lineRule="auto"/>
        <w:jc w:val="both"/>
        <w:rPr>
          <w:rFonts w:hint="eastAsia" w:ascii="宋体" w:hAnsi="宋体" w:eastAsia="宋体" w:cs="宋体"/>
          <w:b/>
          <w:color w:val="000000"/>
          <w:sz w:val="32"/>
          <w:szCs w:val="32"/>
        </w:rPr>
      </w:pPr>
    </w:p>
    <w:p w14:paraId="67F3610E">
      <w:pPr>
        <w:numPr>
          <w:ilvl w:val="0"/>
          <w:numId w:val="0"/>
        </w:numPr>
        <w:jc w:val="center"/>
        <w:rPr>
          <w:rFonts w:hint="eastAsia" w:ascii="宋体" w:hAnsi="宋体" w:eastAsia="宋体" w:cs="宋体"/>
          <w:b/>
          <w:kern w:val="2"/>
          <w:sz w:val="28"/>
          <w:szCs w:val="28"/>
          <w:lang w:val="en-US" w:eastAsia="zh-CN" w:bidi="ar-SA"/>
        </w:rPr>
      </w:pPr>
      <w:bookmarkStart w:id="306" w:name="_Toc9370"/>
      <w:bookmarkStart w:id="307" w:name="_Toc14186"/>
      <w:bookmarkStart w:id="308" w:name="_Toc2497"/>
    </w:p>
    <w:p w14:paraId="7F2B574C">
      <w:pPr>
        <w:numPr>
          <w:ilvl w:val="0"/>
          <w:numId w:val="0"/>
        </w:numPr>
        <w:jc w:val="center"/>
        <w:rPr>
          <w:rFonts w:hint="eastAsia" w:ascii="宋体" w:hAnsi="宋体" w:eastAsia="宋体" w:cs="宋体"/>
          <w:b/>
          <w:sz w:val="28"/>
          <w:szCs w:val="28"/>
        </w:rPr>
      </w:pPr>
      <w:r>
        <w:rPr>
          <w:rFonts w:hint="eastAsia" w:ascii="宋体" w:hAnsi="宋体" w:eastAsia="宋体" w:cs="宋体"/>
          <w:b/>
          <w:kern w:val="2"/>
          <w:sz w:val="28"/>
          <w:szCs w:val="28"/>
          <w:lang w:val="en-US" w:eastAsia="zh-CN" w:bidi="ar-SA"/>
        </w:rPr>
        <w:t>（二）</w:t>
      </w:r>
      <w:r>
        <w:rPr>
          <w:rFonts w:hint="eastAsia" w:ascii="宋体" w:hAnsi="宋体" w:eastAsia="宋体" w:cs="宋体"/>
          <w:b/>
          <w:sz w:val="28"/>
          <w:szCs w:val="28"/>
        </w:rPr>
        <w:t>投标函附录</w:t>
      </w:r>
    </w:p>
    <w:p w14:paraId="71F4C6D6">
      <w:pPr>
        <w:pStyle w:val="25"/>
        <w:numPr>
          <w:ilvl w:val="0"/>
          <w:numId w:val="0"/>
        </w:numPr>
        <w:rPr>
          <w:rFonts w:hint="eastAsia" w:ascii="宋体" w:hAnsi="宋体" w:eastAsia="宋体" w:cs="宋体"/>
          <w:lang w:eastAsia="zh-CN"/>
        </w:rPr>
      </w:pPr>
    </w:p>
    <w:tbl>
      <w:tblPr>
        <w:tblStyle w:val="22"/>
        <w:tblW w:w="86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9"/>
        <w:gridCol w:w="6730"/>
      </w:tblGrid>
      <w:tr w14:paraId="5C8228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8" w:hRule="atLeast"/>
          <w:jc w:val="center"/>
        </w:trPr>
        <w:tc>
          <w:tcPr>
            <w:tcW w:w="1929" w:type="dxa"/>
            <w:noWrap w:val="0"/>
            <w:vAlign w:val="center"/>
          </w:tcPr>
          <w:p w14:paraId="489B38EA">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项目名称</w:t>
            </w:r>
          </w:p>
        </w:tc>
        <w:tc>
          <w:tcPr>
            <w:tcW w:w="6730" w:type="dxa"/>
            <w:noWrap w:val="0"/>
            <w:vAlign w:val="center"/>
          </w:tcPr>
          <w:p w14:paraId="32DEE6EA">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6CDCF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0" w:hRule="atLeast"/>
          <w:jc w:val="center"/>
        </w:trPr>
        <w:tc>
          <w:tcPr>
            <w:tcW w:w="1929" w:type="dxa"/>
            <w:noWrap w:val="0"/>
            <w:vAlign w:val="center"/>
          </w:tcPr>
          <w:p w14:paraId="3429C15C">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投标人名称</w:t>
            </w:r>
          </w:p>
        </w:tc>
        <w:tc>
          <w:tcPr>
            <w:tcW w:w="6730" w:type="dxa"/>
            <w:noWrap w:val="0"/>
            <w:vAlign w:val="center"/>
          </w:tcPr>
          <w:p w14:paraId="693770BB">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63112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929" w:type="dxa"/>
            <w:noWrap w:val="0"/>
            <w:vAlign w:val="center"/>
          </w:tcPr>
          <w:p w14:paraId="6657A424">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投标内容</w:t>
            </w:r>
          </w:p>
        </w:tc>
        <w:tc>
          <w:tcPr>
            <w:tcW w:w="6730" w:type="dxa"/>
            <w:noWrap w:val="0"/>
            <w:vAlign w:val="center"/>
          </w:tcPr>
          <w:p w14:paraId="1D48565D">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41E34D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8" w:hRule="atLeast"/>
          <w:jc w:val="center"/>
        </w:trPr>
        <w:tc>
          <w:tcPr>
            <w:tcW w:w="1929" w:type="dxa"/>
            <w:noWrap w:val="0"/>
            <w:vAlign w:val="center"/>
          </w:tcPr>
          <w:p w14:paraId="47E4C255">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rPr>
              <w:t>投标报价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元</w:t>
            </w:r>
            <w:r>
              <w:rPr>
                <w:rFonts w:hint="eastAsia" w:ascii="宋体" w:hAnsi="宋体" w:eastAsia="宋体" w:cs="宋体"/>
                <w:sz w:val="21"/>
                <w:szCs w:val="21"/>
                <w:lang w:eastAsia="zh-CN"/>
              </w:rPr>
              <w:t>）</w:t>
            </w:r>
          </w:p>
        </w:tc>
        <w:tc>
          <w:tcPr>
            <w:tcW w:w="6730" w:type="dxa"/>
            <w:noWrap w:val="0"/>
            <w:vAlign w:val="center"/>
          </w:tcPr>
          <w:p w14:paraId="5CC2DAB3">
            <w:pPr>
              <w:pStyle w:val="17"/>
              <w:keepNext w:val="0"/>
              <w:keepLines w:val="0"/>
              <w:pageBreakBefore w:val="0"/>
              <w:widowControl w:val="0"/>
              <w:tabs>
                <w:tab w:val="left" w:pos="4313"/>
              </w:tabs>
              <w:kinsoku/>
              <w:wordWrap/>
              <w:overflowPunct/>
              <w:topLinePunct w:val="0"/>
              <w:autoSpaceDE/>
              <w:autoSpaceDN/>
              <w:bidi w:val="0"/>
              <w:adjustRightInd/>
              <w:snapToGrid/>
              <w:spacing w:after="0" w:afterLines="0"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大写：          </w:t>
            </w:r>
          </w:p>
          <w:p w14:paraId="5D9D16F8">
            <w:pPr>
              <w:pStyle w:val="17"/>
              <w:keepNext w:val="0"/>
              <w:keepLines w:val="0"/>
              <w:pageBreakBefore w:val="0"/>
              <w:widowControl w:val="0"/>
              <w:tabs>
                <w:tab w:val="left" w:pos="4313"/>
              </w:tabs>
              <w:kinsoku/>
              <w:wordWrap/>
              <w:overflowPunct/>
              <w:topLinePunct w:val="0"/>
              <w:autoSpaceDE/>
              <w:autoSpaceDN/>
              <w:bidi w:val="0"/>
              <w:adjustRightInd/>
              <w:snapToGrid/>
              <w:spacing w:after="0" w:afterLines="0"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小写：            元</w:t>
            </w:r>
          </w:p>
        </w:tc>
      </w:tr>
      <w:tr w14:paraId="2C24B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929" w:type="dxa"/>
            <w:noWrap w:val="0"/>
            <w:vAlign w:val="center"/>
          </w:tcPr>
          <w:p w14:paraId="67AFCDFA">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color w:val="auto"/>
                <w:sz w:val="21"/>
                <w:szCs w:val="21"/>
                <w:lang w:val="en-US" w:eastAsia="zh-CN"/>
              </w:rPr>
              <w:t>服务期限</w:t>
            </w:r>
          </w:p>
        </w:tc>
        <w:tc>
          <w:tcPr>
            <w:tcW w:w="6730" w:type="dxa"/>
            <w:noWrap w:val="0"/>
            <w:vAlign w:val="center"/>
          </w:tcPr>
          <w:p w14:paraId="70B0D6E0">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4B90A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1929" w:type="dxa"/>
            <w:noWrap w:val="0"/>
            <w:vAlign w:val="center"/>
          </w:tcPr>
          <w:p w14:paraId="086AF375">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服务</w:t>
            </w:r>
            <w:r>
              <w:rPr>
                <w:rFonts w:hint="eastAsia" w:ascii="宋体" w:hAnsi="宋体" w:eastAsia="宋体" w:cs="宋体"/>
                <w:sz w:val="21"/>
                <w:szCs w:val="21"/>
              </w:rPr>
              <w:t>要求</w:t>
            </w:r>
          </w:p>
        </w:tc>
        <w:tc>
          <w:tcPr>
            <w:tcW w:w="6730" w:type="dxa"/>
            <w:noWrap w:val="0"/>
            <w:vAlign w:val="center"/>
          </w:tcPr>
          <w:p w14:paraId="6101C96C">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4C8D8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8" w:hRule="atLeast"/>
          <w:jc w:val="center"/>
        </w:trPr>
        <w:tc>
          <w:tcPr>
            <w:tcW w:w="1929" w:type="dxa"/>
            <w:noWrap w:val="0"/>
            <w:vAlign w:val="center"/>
          </w:tcPr>
          <w:p w14:paraId="53C38A56">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服务地点</w:t>
            </w:r>
          </w:p>
        </w:tc>
        <w:tc>
          <w:tcPr>
            <w:tcW w:w="6730" w:type="dxa"/>
            <w:noWrap w:val="0"/>
            <w:vAlign w:val="center"/>
          </w:tcPr>
          <w:p w14:paraId="7B7E952D">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r w14:paraId="49C512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4" w:hRule="atLeast"/>
          <w:jc w:val="center"/>
        </w:trPr>
        <w:tc>
          <w:tcPr>
            <w:tcW w:w="1929" w:type="dxa"/>
            <w:noWrap w:val="0"/>
            <w:vAlign w:val="center"/>
          </w:tcPr>
          <w:p w14:paraId="74D4B6B5">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eastAsia="zh-CN"/>
              </w:rPr>
              <w:t>是</w:t>
            </w:r>
            <w:r>
              <w:rPr>
                <w:rFonts w:hint="eastAsia" w:ascii="宋体" w:hAnsi="宋体" w:cs="宋体"/>
                <w:sz w:val="21"/>
                <w:szCs w:val="21"/>
                <w:lang w:val="en-US" w:eastAsia="zh-CN"/>
              </w:rPr>
              <w:t>否为中小企业</w:t>
            </w:r>
          </w:p>
        </w:tc>
        <w:tc>
          <w:tcPr>
            <w:tcW w:w="6730" w:type="dxa"/>
            <w:noWrap w:val="0"/>
            <w:vAlign w:val="center"/>
          </w:tcPr>
          <w:p w14:paraId="37328762">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sym w:font="Wingdings" w:char="00A8"/>
            </w:r>
            <w:r>
              <w:rPr>
                <w:rFonts w:hint="eastAsia" w:ascii="宋体" w:hAnsi="宋体" w:eastAsia="宋体" w:cs="宋体"/>
                <w:sz w:val="21"/>
                <w:szCs w:val="21"/>
              </w:rPr>
              <w:t>是</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sym w:font="Wingdings" w:char="00A8"/>
            </w:r>
            <w:r>
              <w:rPr>
                <w:rFonts w:hint="eastAsia" w:ascii="宋体" w:hAnsi="宋体" w:eastAsia="宋体" w:cs="宋体"/>
                <w:sz w:val="21"/>
                <w:szCs w:val="21"/>
              </w:rPr>
              <w:t>否</w:t>
            </w:r>
          </w:p>
        </w:tc>
      </w:tr>
      <w:tr w14:paraId="1E966D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5" w:hRule="atLeast"/>
          <w:jc w:val="center"/>
        </w:trPr>
        <w:tc>
          <w:tcPr>
            <w:tcW w:w="1929" w:type="dxa"/>
            <w:noWrap w:val="0"/>
            <w:vAlign w:val="center"/>
          </w:tcPr>
          <w:p w14:paraId="695A2472">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6730" w:type="dxa"/>
            <w:noWrap w:val="0"/>
            <w:vAlign w:val="center"/>
          </w:tcPr>
          <w:p w14:paraId="4388CBCB">
            <w:pPr>
              <w:pStyle w:val="17"/>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宋体" w:hAnsi="宋体" w:eastAsia="宋体" w:cs="宋体"/>
                <w:sz w:val="21"/>
                <w:szCs w:val="21"/>
              </w:rPr>
            </w:pPr>
          </w:p>
        </w:tc>
      </w:tr>
    </w:tbl>
    <w:p w14:paraId="20C25514">
      <w:pPr>
        <w:rPr>
          <w:rFonts w:hint="eastAsia" w:ascii="宋体" w:hAnsi="宋体" w:eastAsia="宋体" w:cs="宋体"/>
          <w:b/>
          <w:color w:val="000000"/>
          <w:sz w:val="32"/>
          <w:szCs w:val="32"/>
        </w:rPr>
      </w:pPr>
    </w:p>
    <w:p w14:paraId="3153312F">
      <w:pPr>
        <w:tabs>
          <w:tab w:val="left" w:pos="1365"/>
        </w:tabs>
        <w:spacing w:line="360" w:lineRule="auto"/>
        <w:ind w:firstLine="720" w:firstLineChars="300"/>
        <w:rPr>
          <w:rFonts w:hint="eastAsia" w:ascii="宋体" w:hAnsi="宋体" w:eastAsia="宋体" w:cs="宋体"/>
        </w:rPr>
      </w:pPr>
      <w:r>
        <w:rPr>
          <w:rFonts w:hint="eastAsia" w:ascii="宋体" w:hAnsi="宋体" w:eastAsia="宋体" w:cs="宋体"/>
          <w:sz w:val="24"/>
          <w:szCs w:val="24"/>
          <w:highlight w:val="none"/>
        </w:rPr>
        <w:t>注：以上费用须含本项目所造成的所有费用，采购人不另行支付任何费用。</w:t>
      </w:r>
    </w:p>
    <w:p w14:paraId="0BF5C535">
      <w:pPr>
        <w:tabs>
          <w:tab w:val="left" w:pos="1365"/>
        </w:tabs>
        <w:spacing w:line="360" w:lineRule="auto"/>
        <w:ind w:left="0" w:leftChars="0" w:firstLine="4200" w:firstLineChars="1750"/>
        <w:rPr>
          <w:rFonts w:hint="eastAsia" w:ascii="宋体" w:hAnsi="宋体" w:eastAsia="宋体" w:cs="宋体"/>
          <w:color w:val="000000"/>
          <w:sz w:val="24"/>
          <w:szCs w:val="24"/>
        </w:rPr>
      </w:pPr>
    </w:p>
    <w:p w14:paraId="06675A91">
      <w:pPr>
        <w:pStyle w:val="19"/>
        <w:rPr>
          <w:rFonts w:hint="eastAsia" w:ascii="宋体" w:hAnsi="宋体" w:eastAsia="宋体" w:cs="宋体"/>
          <w:color w:val="000000"/>
          <w:sz w:val="24"/>
          <w:szCs w:val="24"/>
        </w:rPr>
      </w:pPr>
    </w:p>
    <w:p w14:paraId="42F1F610">
      <w:pPr>
        <w:rPr>
          <w:rFonts w:hint="eastAsia" w:ascii="宋体" w:hAnsi="宋体" w:eastAsia="宋体" w:cs="宋体"/>
        </w:rPr>
      </w:pPr>
    </w:p>
    <w:p w14:paraId="75E91D76">
      <w:pPr>
        <w:tabs>
          <w:tab w:val="left" w:pos="1365"/>
        </w:tabs>
        <w:spacing w:line="360" w:lineRule="auto"/>
        <w:ind w:left="0" w:leftChars="0" w:firstLine="4200" w:firstLineChars="1750"/>
        <w:rPr>
          <w:rFonts w:hint="eastAsia" w:ascii="宋体" w:hAnsi="宋体" w:eastAsia="宋体" w:cs="宋体"/>
          <w:color w:val="000000"/>
          <w:sz w:val="24"/>
          <w:szCs w:val="24"/>
        </w:rPr>
      </w:pPr>
    </w:p>
    <w:p w14:paraId="287159B8">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6BF86E88">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325D4BE1">
      <w:pPr>
        <w:tabs>
          <w:tab w:val="left" w:pos="3600"/>
        </w:tabs>
        <w:ind w:left="0" w:leftChars="0" w:firstLine="3600" w:firstLineChars="1500"/>
        <w:rPr>
          <w:rFonts w:hint="eastAsia" w:ascii="宋体" w:hAnsi="宋体" w:eastAsia="宋体" w:cs="宋体"/>
          <w:b/>
          <w:color w:val="000000"/>
          <w:sz w:val="32"/>
          <w:szCs w:val="32"/>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color w:val="000000"/>
          <w:sz w:val="24"/>
          <w:szCs w:val="24"/>
        </w:rPr>
        <w:t>日</w:t>
      </w:r>
    </w:p>
    <w:p w14:paraId="5448A4F2">
      <w:pPr>
        <w:rPr>
          <w:rFonts w:hint="eastAsia" w:ascii="宋体" w:hAnsi="宋体" w:eastAsia="宋体" w:cs="宋体"/>
          <w:b/>
          <w:color w:val="000000"/>
          <w:sz w:val="32"/>
          <w:szCs w:val="32"/>
        </w:rPr>
      </w:pPr>
      <w:r>
        <w:rPr>
          <w:rFonts w:hint="eastAsia" w:ascii="宋体" w:hAnsi="宋体" w:eastAsia="宋体" w:cs="宋体"/>
          <w:b/>
          <w:color w:val="000000"/>
          <w:sz w:val="32"/>
          <w:szCs w:val="32"/>
        </w:rPr>
        <w:br w:type="page"/>
      </w:r>
    </w:p>
    <w:p w14:paraId="3D226925">
      <w:pPr>
        <w:spacing w:line="360" w:lineRule="auto"/>
        <w:jc w:val="center"/>
        <w:rPr>
          <w:rFonts w:hint="eastAsia" w:ascii="宋体" w:hAnsi="宋体" w:eastAsia="宋体" w:cs="宋体"/>
          <w:b/>
          <w:color w:val="auto"/>
          <w:sz w:val="28"/>
          <w:szCs w:val="28"/>
          <w:lang w:eastAsia="zh-CN"/>
        </w:rPr>
      </w:pPr>
      <w:r>
        <w:rPr>
          <w:rFonts w:hint="eastAsia" w:ascii="宋体" w:hAnsi="宋体" w:eastAsia="宋体" w:cs="宋体"/>
          <w:b/>
          <w:color w:val="000000"/>
          <w:sz w:val="32"/>
          <w:szCs w:val="32"/>
        </w:rPr>
        <w:t>二、</w:t>
      </w:r>
      <w:r>
        <w:rPr>
          <w:rFonts w:hint="eastAsia" w:ascii="宋体" w:hAnsi="宋体" w:eastAsia="宋体" w:cs="宋体"/>
          <w:b/>
          <w:color w:val="auto"/>
          <w:kern w:val="0"/>
          <w:sz w:val="32"/>
          <w:szCs w:val="32"/>
        </w:rPr>
        <w:t>法定代表人身份证明</w:t>
      </w:r>
    </w:p>
    <w:p w14:paraId="443C3218">
      <w:pPr>
        <w:autoSpaceDE w:val="0"/>
        <w:autoSpaceDN w:val="0"/>
        <w:adjustRightInd w:val="0"/>
        <w:spacing w:line="500" w:lineRule="exact"/>
        <w:rPr>
          <w:rFonts w:hint="eastAsia" w:ascii="宋体" w:hAnsi="宋体" w:eastAsia="宋体" w:cs="宋体"/>
          <w:color w:val="auto"/>
          <w:kern w:val="0"/>
          <w:szCs w:val="21"/>
        </w:rPr>
      </w:pPr>
    </w:p>
    <w:p w14:paraId="6CDDE3B7">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名称：</w:t>
      </w:r>
      <w:r>
        <w:rPr>
          <w:rFonts w:hint="eastAsia" w:ascii="宋体" w:hAnsi="宋体" w:eastAsia="宋体" w:cs="宋体"/>
          <w:color w:val="auto"/>
          <w:kern w:val="0"/>
          <w:sz w:val="24"/>
          <w:szCs w:val="24"/>
          <w:u w:val="single"/>
        </w:rPr>
        <w:t xml:space="preserve">                             </w:t>
      </w:r>
    </w:p>
    <w:p w14:paraId="7A460A33">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单位性质：</w:t>
      </w:r>
      <w:r>
        <w:rPr>
          <w:rFonts w:hint="eastAsia" w:ascii="宋体" w:hAnsi="宋体" w:eastAsia="宋体" w:cs="宋体"/>
          <w:color w:val="auto"/>
          <w:kern w:val="0"/>
          <w:sz w:val="24"/>
          <w:szCs w:val="24"/>
          <w:u w:val="single"/>
        </w:rPr>
        <w:t xml:space="preserve">                               </w:t>
      </w:r>
    </w:p>
    <w:p w14:paraId="531DDD02">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成立时间：</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月</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日 </w:t>
      </w:r>
    </w:p>
    <w:p w14:paraId="1FE20A1F">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经营期限：</w:t>
      </w:r>
      <w:r>
        <w:rPr>
          <w:rFonts w:hint="eastAsia" w:ascii="宋体" w:hAnsi="宋体" w:eastAsia="宋体" w:cs="宋体"/>
          <w:color w:val="auto"/>
          <w:kern w:val="0"/>
          <w:sz w:val="24"/>
          <w:szCs w:val="24"/>
          <w:u w:val="single"/>
        </w:rPr>
        <w:t xml:space="preserve">                       </w:t>
      </w:r>
    </w:p>
    <w:p w14:paraId="022E02A0">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姓名：</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性别：</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年龄：</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职务：</w:t>
      </w:r>
      <w:r>
        <w:rPr>
          <w:rFonts w:hint="eastAsia" w:ascii="宋体" w:hAnsi="宋体" w:eastAsia="宋体" w:cs="宋体"/>
          <w:color w:val="auto"/>
          <w:kern w:val="0"/>
          <w:sz w:val="24"/>
          <w:szCs w:val="24"/>
          <w:u w:val="single"/>
        </w:rPr>
        <w:t xml:space="preserve">         </w:t>
      </w:r>
    </w:p>
    <w:p w14:paraId="753D6F5B">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系</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投标人</w:t>
      </w:r>
      <w:r>
        <w:rPr>
          <w:rFonts w:hint="eastAsia" w:ascii="宋体" w:hAnsi="宋体" w:eastAsia="宋体" w:cs="宋体"/>
          <w:color w:val="auto"/>
          <w:kern w:val="0"/>
          <w:sz w:val="24"/>
          <w:szCs w:val="24"/>
        </w:rPr>
        <w:t xml:space="preserve">名称）的法定代表人。 </w:t>
      </w:r>
    </w:p>
    <w:p w14:paraId="2FBFB430">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1200" w:firstLineChars="5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特此证明。 </w:t>
      </w:r>
    </w:p>
    <w:p w14:paraId="7F28059A">
      <w:pPr>
        <w:pStyle w:val="8"/>
        <w:rPr>
          <w:rFonts w:hint="eastAsia"/>
        </w:rPr>
      </w:pPr>
    </w:p>
    <w:p w14:paraId="5B49293B">
      <w:pPr>
        <w:keepNext w:val="0"/>
        <w:keepLines w:val="0"/>
        <w:pageBreakBefore w:val="0"/>
        <w:widowControl w:val="0"/>
        <w:kinsoku/>
        <w:wordWrap/>
        <w:overflowPunct/>
        <w:topLinePunct w:val="0"/>
        <w:autoSpaceDE w:val="0"/>
        <w:autoSpaceDN w:val="0"/>
        <w:bidi w:val="0"/>
        <w:adjustRightInd w:val="0"/>
        <w:snapToGrid/>
        <w:spacing w:line="360" w:lineRule="auto"/>
        <w:ind w:firstLine="420"/>
        <w:textAlignment w:val="auto"/>
        <w:rPr>
          <w:rFonts w:hint="eastAsia" w:ascii="宋体" w:hAnsi="宋体" w:eastAsia="宋体" w:cs="宋体"/>
          <w:color w:val="auto"/>
          <w:kern w:val="0"/>
          <w:sz w:val="24"/>
          <w:szCs w:val="24"/>
        </w:rPr>
      </w:pPr>
    </w:p>
    <w:p w14:paraId="3D94965D">
      <w:pPr>
        <w:keepNext w:val="0"/>
        <w:keepLines w:val="0"/>
        <w:pageBreakBefore w:val="0"/>
        <w:widowControl w:val="0"/>
        <w:kinsoku/>
        <w:wordWrap/>
        <w:overflowPunct/>
        <w:topLinePunct w:val="0"/>
        <w:autoSpaceDE w:val="0"/>
        <w:autoSpaceDN w:val="0"/>
        <w:bidi w:val="0"/>
        <w:adjustRightInd w:val="0"/>
        <w:snapToGrid/>
        <w:spacing w:line="360" w:lineRule="auto"/>
        <w:ind w:firstLine="420"/>
        <w:jc w:val="right"/>
        <w:textAlignment w:val="auto"/>
        <w:rPr>
          <w:rFonts w:hint="eastAsia" w:ascii="宋体" w:hAnsi="宋体" w:eastAsia="宋体" w:cs="宋体"/>
          <w:color w:val="auto"/>
          <w:kern w:val="0"/>
          <w:sz w:val="24"/>
          <w:szCs w:val="24"/>
        </w:rPr>
      </w:pPr>
    </w:p>
    <w:p w14:paraId="0F886931">
      <w:pPr>
        <w:keepNext w:val="0"/>
        <w:keepLines w:val="0"/>
        <w:pageBreakBefore w:val="0"/>
        <w:widowControl w:val="0"/>
        <w:kinsoku/>
        <w:wordWrap/>
        <w:overflowPunct/>
        <w:topLinePunct w:val="0"/>
        <w:bidi w:val="0"/>
        <w:snapToGrid/>
        <w:spacing w:line="360" w:lineRule="auto"/>
        <w:ind w:firstLine="352" w:firstLineChars="147"/>
        <w:jc w:val="right"/>
        <w:textAlignment w:val="auto"/>
        <w:outlineLvl w:val="9"/>
        <w:rPr>
          <w:rFonts w:hint="eastAsia" w:ascii="宋体" w:hAnsi="宋体" w:eastAsia="宋体" w:cs="宋体"/>
          <w:color w:val="auto"/>
          <w:sz w:val="24"/>
          <w:szCs w:val="24"/>
          <w:lang w:eastAsia="zh-CN"/>
        </w:rPr>
      </w:pPr>
    </w:p>
    <w:p w14:paraId="34CDE5B7">
      <w:pPr>
        <w:keepNext w:val="0"/>
        <w:keepLines w:val="0"/>
        <w:pageBreakBefore w:val="0"/>
        <w:widowControl w:val="0"/>
        <w:kinsoku/>
        <w:wordWrap/>
        <w:overflowPunct/>
        <w:topLinePunct w:val="0"/>
        <w:bidi w:val="0"/>
        <w:snapToGrid/>
        <w:spacing w:line="360" w:lineRule="auto"/>
        <w:ind w:left="0" w:leftChars="0" w:firstLine="4320" w:firstLineChars="1800"/>
        <w:jc w:val="both"/>
        <w:textAlignment w:val="auto"/>
        <w:outlineLvl w:val="0"/>
        <w:rPr>
          <w:rFonts w:hint="eastAsia" w:ascii="宋体" w:hAnsi="宋体" w:eastAsia="宋体" w:cs="宋体"/>
          <w:color w:val="auto"/>
          <w:sz w:val="24"/>
          <w:szCs w:val="24"/>
        </w:rPr>
      </w:pPr>
      <w:bookmarkStart w:id="309" w:name="_Toc9389"/>
      <w:bookmarkStart w:id="310" w:name="_Toc6136"/>
      <w:bookmarkStart w:id="311" w:name="_Toc24864"/>
      <w:bookmarkStart w:id="312" w:name="_Toc9008"/>
      <w:bookmarkStart w:id="313" w:name="_Toc873"/>
      <w:bookmarkStart w:id="314" w:name="_Toc8788"/>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w:t>
      </w:r>
      <w:r>
        <w:rPr>
          <w:rFonts w:hint="eastAsia" w:ascii="宋体" w:hAnsi="宋体" w:eastAsia="宋体" w:cs="宋体"/>
          <w:snapToGrid w:val="0"/>
          <w:color w:val="auto"/>
          <w:kern w:val="0"/>
          <w:sz w:val="24"/>
          <w:szCs w:val="24"/>
        </w:rPr>
        <w:t>单位电子签章</w:t>
      </w:r>
      <w:r>
        <w:rPr>
          <w:rFonts w:hint="eastAsia" w:ascii="宋体" w:hAnsi="宋体" w:eastAsia="宋体" w:cs="宋体"/>
          <w:color w:val="auto"/>
          <w:sz w:val="24"/>
          <w:szCs w:val="24"/>
        </w:rPr>
        <w:t>）：</w:t>
      </w:r>
      <w:bookmarkEnd w:id="309"/>
      <w:bookmarkEnd w:id="310"/>
      <w:bookmarkEnd w:id="311"/>
      <w:bookmarkEnd w:id="312"/>
      <w:bookmarkEnd w:id="313"/>
      <w:bookmarkEnd w:id="314"/>
      <w:r>
        <w:rPr>
          <w:rFonts w:hint="eastAsia" w:ascii="宋体" w:hAnsi="宋体" w:eastAsia="宋体" w:cs="宋体"/>
          <w:color w:val="auto"/>
          <w:sz w:val="24"/>
          <w:szCs w:val="24"/>
        </w:rPr>
        <w:t xml:space="preserve">    </w:t>
      </w:r>
    </w:p>
    <w:p w14:paraId="3945CC3F">
      <w:pPr>
        <w:keepNext w:val="0"/>
        <w:keepLines w:val="0"/>
        <w:pageBreakBefore w:val="0"/>
        <w:widowControl w:val="0"/>
        <w:kinsoku/>
        <w:wordWrap/>
        <w:overflowPunct/>
        <w:topLinePunct w:val="0"/>
        <w:autoSpaceDE/>
        <w:autoSpaceDN/>
        <w:bidi w:val="0"/>
        <w:adjustRightInd/>
        <w:snapToGrid/>
        <w:spacing w:line="360" w:lineRule="auto"/>
        <w:ind w:left="0" w:leftChars="0" w:firstLine="4320" w:firstLineChars="1800"/>
        <w:jc w:val="both"/>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期：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395D47D6">
      <w:pPr>
        <w:autoSpaceDE w:val="0"/>
        <w:autoSpaceDN w:val="0"/>
        <w:adjustRightInd w:val="0"/>
        <w:spacing w:line="500" w:lineRule="exact"/>
        <w:ind w:firstLine="420"/>
        <w:jc w:val="left"/>
        <w:rPr>
          <w:rFonts w:hint="eastAsia" w:ascii="宋体" w:hAnsi="宋体" w:eastAsia="宋体" w:cs="宋体"/>
          <w:color w:val="auto"/>
          <w:kern w:val="0"/>
          <w:szCs w:val="21"/>
        </w:rPr>
      </w:pPr>
      <w:r>
        <w:rPr>
          <w:rFonts w:hint="eastAsia" w:ascii="宋体" w:hAnsi="宋体" w:eastAsia="宋体" w:cs="宋体"/>
          <w:sz w:val="21"/>
        </w:rPr>
        <mc:AlternateContent>
          <mc:Choice Requires="wps">
            <w:drawing>
              <wp:anchor distT="0" distB="0" distL="114300" distR="114300" simplePos="0" relativeHeight="251659264" behindDoc="0" locked="0" layoutInCell="1" allowOverlap="1">
                <wp:simplePos x="0" y="0"/>
                <wp:positionH relativeFrom="column">
                  <wp:posOffset>349250</wp:posOffset>
                </wp:positionH>
                <wp:positionV relativeFrom="paragraph">
                  <wp:posOffset>234950</wp:posOffset>
                </wp:positionV>
                <wp:extent cx="5593715" cy="3249295"/>
                <wp:effectExtent l="9525" t="9525" r="10795" b="21590"/>
                <wp:wrapNone/>
                <wp:docPr id="1" name="流程图: 可选过程 1"/>
                <wp:cNvGraphicFramePr/>
                <a:graphic xmlns:a="http://schemas.openxmlformats.org/drawingml/2006/main">
                  <a:graphicData uri="http://schemas.microsoft.com/office/word/2010/wordprocessingShape">
                    <wps:wsp>
                      <wps:cNvSpPr/>
                      <wps:spPr>
                        <a:xfrm>
                          <a:off x="0" y="0"/>
                          <a:ext cx="5593715" cy="3249295"/>
                        </a:xfrm>
                        <a:prstGeom prst="flowChartAlternateProcess">
                          <a:avLst/>
                        </a:prstGeom>
                        <a:noFill/>
                        <a:ln w="19050" cap="flat" cmpd="sng">
                          <a:solidFill>
                            <a:schemeClr val="accent4"/>
                          </a:solidFill>
                          <a:prstDash val="solid"/>
                          <a:miter/>
                          <a:headEnd type="none" w="med" len="med"/>
                          <a:tailEnd type="none" w="med" len="med"/>
                        </a:ln>
                      </wps:spPr>
                      <wps:txbx>
                        <w:txbxContent>
                          <w:p w14:paraId="56980407">
                            <w:pPr>
                              <w:jc w:val="center"/>
                            </w:pPr>
                          </w:p>
                        </w:txbxContent>
                      </wps:txbx>
                      <wps:bodyPr upright="1"/>
                    </wps:wsp>
                  </a:graphicData>
                </a:graphic>
              </wp:anchor>
            </w:drawing>
          </mc:Choice>
          <mc:Fallback>
            <w:pict>
              <v:shape id="_x0000_s1026" o:spid="_x0000_s1026" o:spt="176" type="#_x0000_t176" style="position:absolute;left:0pt;margin-left:27.5pt;margin-top:18.5pt;height:255.85pt;width:440.45pt;z-index:251659264;mso-width-relative:page;mso-height-relative:page;" filled="f" stroked="t" coordsize="21600,21600" o:gfxdata="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Bky7J2AAAAAkBAAAPAAAAAAAAAAEAIAAAACIAAABkcnMvZG93bnJldi54bWxQSwECFAAUAAAA&#10;CACHTuJAi5kWpScCAAAoBAAADgAAAAAAAAABACAAAAAnAQAAZHJzL2Uyb0RvYy54bWxQSwUGAAAA&#10;AAYABgBZAQAAwAUAAAAA&#10;">
                <v:fill on="f" focussize="0,0"/>
                <v:stroke weight="1.5pt" color="#75BD42 [3207]" joinstyle="miter"/>
                <v:imagedata o:title=""/>
                <o:lock v:ext="edit" aspectratio="f"/>
                <v:textbox>
                  <w:txbxContent>
                    <w:p w14:paraId="56980407">
                      <w:pPr>
                        <w:jc w:val="center"/>
                      </w:pPr>
                    </w:p>
                  </w:txbxContent>
                </v:textbox>
              </v:shape>
            </w:pict>
          </mc:Fallback>
        </mc:AlternateContent>
      </w:r>
    </w:p>
    <w:p w14:paraId="002C5950">
      <w:pPr>
        <w:autoSpaceDE w:val="0"/>
        <w:autoSpaceDN w:val="0"/>
        <w:adjustRightInd w:val="0"/>
        <w:spacing w:line="500" w:lineRule="exact"/>
        <w:jc w:val="center"/>
        <w:rPr>
          <w:rFonts w:hint="eastAsia" w:ascii="宋体" w:hAnsi="宋体" w:eastAsia="宋体" w:cs="宋体"/>
          <w:color w:val="auto"/>
          <w:kern w:val="0"/>
          <w:sz w:val="24"/>
          <w:szCs w:val="24"/>
        </w:rPr>
        <w:sectPr>
          <w:pgSz w:w="11907" w:h="16840"/>
          <w:pgMar w:top="1440" w:right="1080" w:bottom="1440" w:left="1080" w:header="850" w:footer="992" w:gutter="0"/>
          <w:pgNumType w:fmt="decimalFullWidth"/>
          <w:cols w:space="720" w:num="1"/>
        </w:sectPr>
      </w:pPr>
      <w:r>
        <w:rPr>
          <w:rFonts w:hint="eastAsia" w:ascii="宋体" w:hAnsi="宋体" w:eastAsia="宋体" w:cs="宋体"/>
          <w:color w:val="auto"/>
          <w:kern w:val="0"/>
          <w:sz w:val="24"/>
          <w:szCs w:val="24"/>
        </w:rPr>
        <w:t>附法定代表人</w:t>
      </w:r>
      <w:r>
        <w:rPr>
          <w:rFonts w:hint="eastAsia" w:ascii="宋体" w:hAnsi="宋体" w:eastAsia="宋体" w:cs="宋体"/>
          <w:color w:val="auto"/>
          <w:sz w:val="24"/>
          <w:szCs w:val="24"/>
        </w:rPr>
        <w:t>身份证正反面扫描件</w:t>
      </w:r>
    </w:p>
    <w:p w14:paraId="7A9DEF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21"/>
          <w:lang w:val="en-US" w:eastAsia="zh-CN"/>
        </w:rPr>
      </w:pPr>
      <w:bookmarkStart w:id="315" w:name="_Toc417567988"/>
      <w:bookmarkStart w:id="316" w:name="_Toc414956971"/>
      <w:r>
        <w:rPr>
          <w:rFonts w:hint="eastAsia" w:ascii="宋体" w:hAnsi="宋体" w:eastAsia="宋体" w:cs="宋体"/>
          <w:b/>
          <w:bCs/>
          <w:sz w:val="32"/>
          <w:szCs w:val="21"/>
          <w:lang w:val="en-US" w:eastAsia="zh-CN"/>
        </w:rPr>
        <w:t>三、授权委托书</w:t>
      </w:r>
      <w:bookmarkEnd w:id="315"/>
      <w:bookmarkEnd w:id="316"/>
    </w:p>
    <w:p w14:paraId="57DB03F9">
      <w:pPr>
        <w:spacing w:line="360" w:lineRule="auto"/>
        <w:rPr>
          <w:rFonts w:hint="eastAsia" w:ascii="宋体" w:hAnsi="宋体" w:eastAsia="宋体" w:cs="宋体"/>
          <w:color w:val="auto"/>
          <w:sz w:val="24"/>
          <w:szCs w:val="24"/>
        </w:rPr>
      </w:pPr>
    </w:p>
    <w:p w14:paraId="3F3DF321">
      <w:pPr>
        <w:keepNext w:val="0"/>
        <w:keepLines w:val="0"/>
        <w:pageBreakBefore w:val="0"/>
        <w:widowControl w:val="0"/>
        <w:kinsoku/>
        <w:wordWrap/>
        <w:overflowPunct/>
        <w:topLinePunct w:val="0"/>
        <w:bidi w:val="0"/>
        <w:snapToGrid/>
        <w:spacing w:line="360" w:lineRule="auto"/>
        <w:ind w:right="45" w:rightChars="15" w:firstLine="435"/>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本授权委托书声明：我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全称）的法定代表人，现委托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（姓名）为本单位的合法代理人，以本单位的名义参加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(项目名称）的投标，委托代理人签署的一切文件和处理与之有关的一切事务，我均予以承认。</w:t>
      </w:r>
    </w:p>
    <w:p w14:paraId="39B26172">
      <w:pPr>
        <w:pStyle w:val="20"/>
        <w:keepNext w:val="0"/>
        <w:keepLines w:val="0"/>
        <w:pageBreakBefore w:val="0"/>
        <w:widowControl w:val="0"/>
        <w:kinsoku/>
        <w:wordWrap/>
        <w:overflowPunct/>
        <w:topLinePunct w:val="0"/>
        <w:bidi w:val="0"/>
        <w:snapToGrid/>
        <w:spacing w:line="360" w:lineRule="auto"/>
        <w:ind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u w:val="single"/>
        </w:rPr>
        <w:t xml:space="preserve">  本授权书至投标有效期结束前始终有效 。</w:t>
      </w:r>
    </w:p>
    <w:p w14:paraId="3C3D5252">
      <w:pPr>
        <w:keepNext w:val="0"/>
        <w:keepLines w:val="0"/>
        <w:pageBreakBefore w:val="0"/>
        <w:widowControl w:val="0"/>
        <w:kinsoku/>
        <w:wordWrap/>
        <w:overflowPunct/>
        <w:topLinePunct w:val="0"/>
        <w:bidi w:val="0"/>
        <w:snapToGrid/>
        <w:spacing w:line="360" w:lineRule="auto"/>
        <w:ind w:firstLine="435"/>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委托代理人无转委托权</w:t>
      </w:r>
    </w:p>
    <w:p w14:paraId="7511BC80">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rPr>
      </w:pPr>
    </w:p>
    <w:p w14:paraId="4AE218E5">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rPr>
      </w:pPr>
    </w:p>
    <w:p w14:paraId="7AF9C9AC">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320" w:firstLineChars="18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投  标  人</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w:t>
      </w:r>
      <w:r>
        <w:rPr>
          <w:rFonts w:hint="eastAsia" w:ascii="宋体" w:hAnsi="宋体" w:eastAsia="宋体" w:cs="宋体"/>
          <w:snapToGrid w:val="0"/>
          <w:color w:val="auto"/>
          <w:kern w:val="0"/>
          <w:sz w:val="24"/>
          <w:szCs w:val="24"/>
        </w:rPr>
        <w:t>单位电子签章</w:t>
      </w:r>
      <w:r>
        <w:rPr>
          <w:rFonts w:hint="eastAsia" w:ascii="宋体" w:hAnsi="宋体" w:eastAsia="宋体" w:cs="宋体"/>
          <w:color w:val="auto"/>
          <w:kern w:val="0"/>
          <w:sz w:val="24"/>
          <w:szCs w:val="24"/>
        </w:rPr>
        <w:t xml:space="preserve">） </w:t>
      </w:r>
    </w:p>
    <w:p w14:paraId="4F29A8FD">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320" w:firstLineChars="18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法定代表人：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电子签名或盖章</w:t>
      </w:r>
      <w:r>
        <w:rPr>
          <w:rFonts w:hint="eastAsia" w:ascii="宋体" w:hAnsi="宋体" w:eastAsia="宋体" w:cs="宋体"/>
          <w:color w:val="auto"/>
          <w:kern w:val="0"/>
          <w:sz w:val="24"/>
          <w:szCs w:val="24"/>
        </w:rPr>
        <w:t xml:space="preserve">） </w:t>
      </w:r>
    </w:p>
    <w:p w14:paraId="14242744">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320" w:firstLineChars="18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身份证号码：</w:t>
      </w:r>
      <w:r>
        <w:rPr>
          <w:rFonts w:hint="eastAsia" w:ascii="宋体" w:hAnsi="宋体" w:eastAsia="宋体" w:cs="宋体"/>
          <w:color w:val="auto"/>
          <w:kern w:val="0"/>
          <w:sz w:val="24"/>
          <w:szCs w:val="24"/>
          <w:u w:val="single"/>
        </w:rPr>
        <w:t xml:space="preserve">                          </w:t>
      </w:r>
    </w:p>
    <w:p w14:paraId="1494658D">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320" w:firstLineChars="18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委托代理人：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eastAsia="zh-CN"/>
        </w:rPr>
        <w:t>签名或盖章</w:t>
      </w:r>
      <w:r>
        <w:rPr>
          <w:rFonts w:hint="eastAsia" w:ascii="宋体" w:hAnsi="宋体" w:eastAsia="宋体" w:cs="宋体"/>
          <w:color w:val="auto"/>
          <w:kern w:val="0"/>
          <w:sz w:val="24"/>
          <w:szCs w:val="24"/>
        </w:rPr>
        <w:t xml:space="preserve">） </w:t>
      </w:r>
    </w:p>
    <w:p w14:paraId="3FC76B63">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320" w:firstLineChars="18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身份证号码：</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 xml:space="preserve"> </w:t>
      </w:r>
    </w:p>
    <w:p w14:paraId="38EC2201">
      <w:pPr>
        <w:keepNext w:val="0"/>
        <w:keepLines w:val="0"/>
        <w:pageBreakBefore w:val="0"/>
        <w:widowControl w:val="0"/>
        <w:kinsoku/>
        <w:wordWrap/>
        <w:overflowPunct/>
        <w:topLinePunct w:val="0"/>
        <w:autoSpaceDE/>
        <w:autoSpaceDN/>
        <w:bidi w:val="0"/>
        <w:adjustRightInd/>
        <w:snapToGrid/>
        <w:spacing w:line="360" w:lineRule="auto"/>
        <w:ind w:left="0" w:leftChars="0" w:firstLine="4320" w:firstLineChars="1800"/>
        <w:jc w:val="left"/>
        <w:textAlignment w:val="auto"/>
        <w:rPr>
          <w:rFonts w:hint="eastAsia" w:ascii="宋体" w:hAnsi="宋体" w:eastAsia="宋体" w:cs="宋体"/>
          <w:lang w:eastAsia="zh-CN"/>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期：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48DB1EA9">
      <w:pPr>
        <w:autoSpaceDE w:val="0"/>
        <w:autoSpaceDN w:val="0"/>
        <w:adjustRightInd w:val="0"/>
        <w:spacing w:line="500" w:lineRule="exact"/>
        <w:jc w:val="center"/>
        <w:rPr>
          <w:rFonts w:hint="eastAsia" w:ascii="宋体" w:hAnsi="宋体" w:eastAsia="宋体" w:cs="宋体"/>
          <w:color w:val="auto"/>
          <w:kern w:val="0"/>
          <w:sz w:val="24"/>
          <w:szCs w:val="24"/>
        </w:rPr>
      </w:pPr>
      <w:bookmarkStart w:id="317" w:name="_Toc417567991"/>
      <w:bookmarkStart w:id="318" w:name="_Toc414956975"/>
      <w:bookmarkStart w:id="319" w:name="_Toc398716804"/>
      <w:r>
        <w:rPr>
          <w:rFonts w:hint="eastAsia" w:ascii="宋体" w:hAnsi="宋体" w:eastAsia="宋体" w:cs="宋体"/>
          <w:sz w:val="24"/>
          <w:szCs w:val="28"/>
        </w:rPr>
        <mc:AlternateContent>
          <mc:Choice Requires="wps">
            <w:drawing>
              <wp:anchor distT="0" distB="0" distL="114300" distR="114300" simplePos="0" relativeHeight="251661312" behindDoc="0" locked="0" layoutInCell="1" allowOverlap="1">
                <wp:simplePos x="0" y="0"/>
                <wp:positionH relativeFrom="column">
                  <wp:posOffset>494030</wp:posOffset>
                </wp:positionH>
                <wp:positionV relativeFrom="paragraph">
                  <wp:posOffset>210185</wp:posOffset>
                </wp:positionV>
                <wp:extent cx="5346065" cy="3063875"/>
                <wp:effectExtent l="9525" t="9525" r="18415" b="20320"/>
                <wp:wrapNone/>
                <wp:docPr id="2" name="流程图: 可选过程 2"/>
                <wp:cNvGraphicFramePr/>
                <a:graphic xmlns:a="http://schemas.openxmlformats.org/drawingml/2006/main">
                  <a:graphicData uri="http://schemas.microsoft.com/office/word/2010/wordprocessingShape">
                    <wps:wsp>
                      <wps:cNvSpPr/>
                      <wps:spPr>
                        <a:xfrm>
                          <a:off x="0" y="0"/>
                          <a:ext cx="5346065" cy="3063875"/>
                        </a:xfrm>
                        <a:prstGeom prst="flowChartAlternateProcess">
                          <a:avLst/>
                        </a:prstGeom>
                        <a:noFill/>
                        <a:ln w="19050" cap="flat" cmpd="sng">
                          <a:solidFill>
                            <a:schemeClr val="accent4"/>
                          </a:solidFill>
                          <a:prstDash val="solid"/>
                          <a:miter/>
                          <a:headEnd type="none" w="med" len="med"/>
                          <a:tailEnd type="none" w="med" len="med"/>
                        </a:ln>
                      </wps:spPr>
                      <wps:bodyPr upright="1"/>
                    </wps:wsp>
                  </a:graphicData>
                </a:graphic>
              </wp:anchor>
            </w:drawing>
          </mc:Choice>
          <mc:Fallback>
            <w:pict>
              <v:shape id="_x0000_s1026" o:spid="_x0000_s1026" o:spt="176" type="#_x0000_t176" style="position:absolute;left:0pt;margin-left:38.9pt;margin-top:16.55pt;height:241.25pt;width:420.95pt;z-index:251661312;mso-width-relative:page;mso-height-relative:page;" filled="f" stroked="t" coordsize="21600,21600" o:gfxdata="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uP&#10;GUbYAAAACQEAAA8AAAAAAAAAAQAgAAAAIgAAAGRycy9kb3ducmV2LnhtbFBLAQIUABQAAAAIAIdO&#10;4kDilshgIwIAAB0EAAAOAAAAAAAAAAEAIAAAACcBAABkcnMvZTJvRG9jLnhtbFBLBQYAAAAABgAG&#10;AFkBAAC8BQAAAAA=&#10;">
                <v:fill on="f" focussize="0,0"/>
                <v:stroke weight="1.5pt" color="#75BD42 [3207]" joinstyle="miter"/>
                <v:imagedata o:title=""/>
                <o:lock v:ext="edit" aspectratio="f"/>
              </v:shape>
            </w:pict>
          </mc:Fallback>
        </mc:AlternateContent>
      </w:r>
    </w:p>
    <w:p w14:paraId="79A8823B">
      <w:pPr>
        <w:autoSpaceDE w:val="0"/>
        <w:autoSpaceDN w:val="0"/>
        <w:adjustRightInd w:val="0"/>
        <w:spacing w:line="500" w:lineRule="exact"/>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附委托代理人</w:t>
      </w:r>
      <w:r>
        <w:rPr>
          <w:rFonts w:hint="eastAsia" w:ascii="宋体" w:hAnsi="宋体" w:eastAsia="宋体" w:cs="宋体"/>
          <w:color w:val="auto"/>
          <w:sz w:val="24"/>
          <w:szCs w:val="24"/>
        </w:rPr>
        <w:t>身份证正反面扫描件</w:t>
      </w:r>
    </w:p>
    <w:p w14:paraId="597C4D5A">
      <w:pPr>
        <w:pStyle w:val="25"/>
        <w:rPr>
          <w:rFonts w:hint="eastAsia" w:ascii="宋体" w:hAnsi="宋体" w:eastAsia="宋体" w:cs="宋体"/>
          <w:color w:val="auto"/>
          <w:sz w:val="24"/>
          <w:szCs w:val="24"/>
        </w:rPr>
      </w:pPr>
    </w:p>
    <w:p w14:paraId="5C246323">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37FEBFF">
      <w:pPr>
        <w:rPr>
          <w:rFonts w:hint="eastAsia" w:ascii="宋体" w:hAnsi="宋体" w:eastAsia="宋体" w:cs="宋体"/>
          <w:color w:val="auto"/>
          <w:sz w:val="24"/>
          <w:szCs w:val="24"/>
        </w:rPr>
        <w:sectPr>
          <w:pgSz w:w="11907" w:h="16840"/>
          <w:pgMar w:top="1440" w:right="1080" w:bottom="1440" w:left="1080" w:header="850" w:footer="992" w:gutter="0"/>
          <w:pgNumType w:fmt="decimalFullWidth"/>
          <w:cols w:space="720" w:num="1"/>
        </w:sectPr>
      </w:pPr>
    </w:p>
    <w:bookmarkEnd w:id="306"/>
    <w:bookmarkEnd w:id="307"/>
    <w:bookmarkEnd w:id="308"/>
    <w:bookmarkEnd w:id="317"/>
    <w:bookmarkEnd w:id="318"/>
    <w:bookmarkEnd w:id="319"/>
    <w:p w14:paraId="7F172BB8">
      <w:pPr>
        <w:jc w:val="center"/>
        <w:rPr>
          <w:rFonts w:hint="eastAsia" w:ascii="宋体" w:hAnsi="宋体" w:eastAsia="宋体" w:cs="宋体"/>
          <w:b/>
          <w:bCs/>
          <w:sz w:val="32"/>
          <w:szCs w:val="21"/>
          <w:lang w:val="en-US" w:eastAsia="zh-CN"/>
        </w:rPr>
      </w:pPr>
      <w:bookmarkStart w:id="320" w:name="_Toc16948"/>
      <w:bookmarkStart w:id="321" w:name="_Toc23590"/>
      <w:bookmarkStart w:id="322" w:name="_Toc14091"/>
      <w:r>
        <w:rPr>
          <w:rFonts w:hint="eastAsia" w:ascii="宋体" w:hAnsi="宋体" w:eastAsia="宋体" w:cs="宋体"/>
          <w:b/>
          <w:bCs/>
          <w:sz w:val="32"/>
          <w:szCs w:val="21"/>
          <w:lang w:val="en-US" w:eastAsia="zh-CN"/>
        </w:rPr>
        <w:t>四、</w:t>
      </w:r>
      <w:bookmarkEnd w:id="320"/>
      <w:bookmarkEnd w:id="321"/>
      <w:bookmarkEnd w:id="322"/>
      <w:r>
        <w:rPr>
          <w:rFonts w:hint="eastAsia" w:ascii="宋体" w:hAnsi="宋体" w:eastAsia="宋体" w:cs="宋体"/>
          <w:b/>
          <w:bCs/>
          <w:sz w:val="32"/>
          <w:szCs w:val="21"/>
          <w:lang w:val="en-US" w:eastAsia="zh-CN"/>
        </w:rPr>
        <w:t>资格审查资料</w:t>
      </w:r>
    </w:p>
    <w:p w14:paraId="302B4B34">
      <w:pPr>
        <w:keepNext w:val="0"/>
        <w:keepLines w:val="0"/>
        <w:pageBreakBefore w:val="0"/>
        <w:widowControl w:val="0"/>
        <w:numPr>
          <w:ilvl w:val="3"/>
          <w:numId w:val="0"/>
        </w:numPr>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sz w:val="28"/>
          <w:szCs w:val="28"/>
        </w:rPr>
      </w:pPr>
      <w:r>
        <w:rPr>
          <w:rFonts w:hint="eastAsia" w:ascii="宋体" w:hAnsi="宋体" w:eastAsia="宋体" w:cs="宋体"/>
          <w:b/>
          <w:bCs/>
          <w:sz w:val="28"/>
          <w:szCs w:val="28"/>
        </w:rPr>
        <w:t>投标人基本情况表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1028"/>
        <w:gridCol w:w="1529"/>
        <w:gridCol w:w="1338"/>
        <w:gridCol w:w="1431"/>
        <w:gridCol w:w="1110"/>
        <w:gridCol w:w="1637"/>
      </w:tblGrid>
      <w:tr w14:paraId="42C7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noWrap w:val="0"/>
            <w:vAlign w:val="center"/>
          </w:tcPr>
          <w:p w14:paraId="79C0515C">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w:t>
            </w:r>
          </w:p>
        </w:tc>
        <w:tc>
          <w:tcPr>
            <w:tcW w:w="8073" w:type="dxa"/>
            <w:gridSpan w:val="6"/>
            <w:noWrap w:val="0"/>
            <w:vAlign w:val="center"/>
          </w:tcPr>
          <w:p w14:paraId="6BE16588">
            <w:pPr>
              <w:spacing w:line="240" w:lineRule="auto"/>
              <w:ind w:firstLine="420"/>
              <w:jc w:val="center"/>
              <w:rPr>
                <w:rFonts w:hint="eastAsia" w:ascii="宋体" w:hAnsi="宋体" w:eastAsia="宋体" w:cs="宋体"/>
                <w:sz w:val="21"/>
                <w:szCs w:val="21"/>
              </w:rPr>
            </w:pPr>
          </w:p>
        </w:tc>
      </w:tr>
      <w:tr w14:paraId="6787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noWrap w:val="0"/>
            <w:vAlign w:val="center"/>
          </w:tcPr>
          <w:p w14:paraId="4AA58449">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注册地址</w:t>
            </w:r>
          </w:p>
        </w:tc>
        <w:tc>
          <w:tcPr>
            <w:tcW w:w="3895" w:type="dxa"/>
            <w:gridSpan w:val="3"/>
            <w:noWrap w:val="0"/>
            <w:vAlign w:val="center"/>
          </w:tcPr>
          <w:p w14:paraId="68104EDB">
            <w:pPr>
              <w:spacing w:line="240" w:lineRule="auto"/>
              <w:ind w:firstLine="420"/>
              <w:jc w:val="center"/>
              <w:rPr>
                <w:rFonts w:hint="eastAsia" w:ascii="宋体" w:hAnsi="宋体" w:eastAsia="宋体" w:cs="宋体"/>
                <w:sz w:val="21"/>
                <w:szCs w:val="21"/>
              </w:rPr>
            </w:pPr>
          </w:p>
        </w:tc>
        <w:tc>
          <w:tcPr>
            <w:tcW w:w="1431" w:type="dxa"/>
            <w:noWrap w:val="0"/>
            <w:vAlign w:val="center"/>
          </w:tcPr>
          <w:p w14:paraId="3404673A">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邮政编码</w:t>
            </w:r>
          </w:p>
        </w:tc>
        <w:tc>
          <w:tcPr>
            <w:tcW w:w="2747" w:type="dxa"/>
            <w:gridSpan w:val="2"/>
            <w:noWrap w:val="0"/>
            <w:vAlign w:val="center"/>
          </w:tcPr>
          <w:p w14:paraId="59AA5D1B">
            <w:pPr>
              <w:spacing w:line="240" w:lineRule="auto"/>
              <w:ind w:firstLine="420"/>
              <w:jc w:val="center"/>
              <w:rPr>
                <w:rFonts w:hint="eastAsia" w:ascii="宋体" w:hAnsi="宋体" w:eastAsia="宋体" w:cs="宋体"/>
                <w:sz w:val="21"/>
                <w:szCs w:val="21"/>
              </w:rPr>
            </w:pPr>
          </w:p>
        </w:tc>
      </w:tr>
      <w:tr w14:paraId="00B0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vMerge w:val="restart"/>
            <w:noWrap w:val="0"/>
            <w:vAlign w:val="center"/>
          </w:tcPr>
          <w:p w14:paraId="11D66152">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联系方式</w:t>
            </w:r>
          </w:p>
        </w:tc>
        <w:tc>
          <w:tcPr>
            <w:tcW w:w="1028" w:type="dxa"/>
            <w:noWrap w:val="0"/>
            <w:vAlign w:val="center"/>
          </w:tcPr>
          <w:p w14:paraId="68869127">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2867" w:type="dxa"/>
            <w:gridSpan w:val="2"/>
            <w:noWrap w:val="0"/>
            <w:vAlign w:val="center"/>
          </w:tcPr>
          <w:p w14:paraId="0774F5B8">
            <w:pPr>
              <w:spacing w:line="240" w:lineRule="auto"/>
              <w:ind w:firstLine="420"/>
              <w:jc w:val="center"/>
              <w:rPr>
                <w:rFonts w:hint="eastAsia" w:ascii="宋体" w:hAnsi="宋体" w:eastAsia="宋体" w:cs="宋体"/>
                <w:sz w:val="21"/>
                <w:szCs w:val="21"/>
              </w:rPr>
            </w:pPr>
          </w:p>
        </w:tc>
        <w:tc>
          <w:tcPr>
            <w:tcW w:w="1431" w:type="dxa"/>
            <w:noWrap w:val="0"/>
            <w:vAlign w:val="center"/>
          </w:tcPr>
          <w:p w14:paraId="2C9080AC">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电  话</w:t>
            </w:r>
          </w:p>
        </w:tc>
        <w:tc>
          <w:tcPr>
            <w:tcW w:w="2747" w:type="dxa"/>
            <w:gridSpan w:val="2"/>
            <w:noWrap w:val="0"/>
            <w:vAlign w:val="center"/>
          </w:tcPr>
          <w:p w14:paraId="35760E7B">
            <w:pPr>
              <w:spacing w:line="240" w:lineRule="auto"/>
              <w:ind w:firstLine="420"/>
              <w:jc w:val="center"/>
              <w:rPr>
                <w:rFonts w:hint="eastAsia" w:ascii="宋体" w:hAnsi="宋体" w:eastAsia="宋体" w:cs="宋体"/>
                <w:sz w:val="21"/>
                <w:szCs w:val="21"/>
              </w:rPr>
            </w:pPr>
          </w:p>
        </w:tc>
      </w:tr>
      <w:tr w14:paraId="19B7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vMerge w:val="continue"/>
            <w:noWrap w:val="0"/>
            <w:vAlign w:val="center"/>
          </w:tcPr>
          <w:p w14:paraId="794C8323">
            <w:pPr>
              <w:spacing w:line="240" w:lineRule="auto"/>
              <w:ind w:firstLine="420"/>
              <w:jc w:val="center"/>
              <w:rPr>
                <w:rFonts w:hint="eastAsia" w:ascii="宋体" w:hAnsi="宋体" w:eastAsia="宋体" w:cs="宋体"/>
                <w:sz w:val="21"/>
                <w:szCs w:val="21"/>
              </w:rPr>
            </w:pPr>
          </w:p>
        </w:tc>
        <w:tc>
          <w:tcPr>
            <w:tcW w:w="1028" w:type="dxa"/>
            <w:noWrap w:val="0"/>
            <w:vAlign w:val="center"/>
          </w:tcPr>
          <w:p w14:paraId="75E6C845">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传  真</w:t>
            </w:r>
          </w:p>
        </w:tc>
        <w:tc>
          <w:tcPr>
            <w:tcW w:w="2867" w:type="dxa"/>
            <w:gridSpan w:val="2"/>
            <w:noWrap w:val="0"/>
            <w:vAlign w:val="center"/>
          </w:tcPr>
          <w:p w14:paraId="716557F4">
            <w:pPr>
              <w:spacing w:line="240" w:lineRule="auto"/>
              <w:ind w:firstLine="420"/>
              <w:jc w:val="center"/>
              <w:rPr>
                <w:rFonts w:hint="eastAsia" w:ascii="宋体" w:hAnsi="宋体" w:eastAsia="宋体" w:cs="宋体"/>
                <w:sz w:val="21"/>
                <w:szCs w:val="21"/>
              </w:rPr>
            </w:pPr>
          </w:p>
        </w:tc>
        <w:tc>
          <w:tcPr>
            <w:tcW w:w="1431" w:type="dxa"/>
            <w:noWrap w:val="0"/>
            <w:vAlign w:val="center"/>
          </w:tcPr>
          <w:p w14:paraId="0FBA8FC4">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网  址</w:t>
            </w:r>
          </w:p>
        </w:tc>
        <w:tc>
          <w:tcPr>
            <w:tcW w:w="2747" w:type="dxa"/>
            <w:gridSpan w:val="2"/>
            <w:noWrap w:val="0"/>
            <w:vAlign w:val="center"/>
          </w:tcPr>
          <w:p w14:paraId="046A5618">
            <w:pPr>
              <w:spacing w:line="240" w:lineRule="auto"/>
              <w:ind w:firstLine="420"/>
              <w:jc w:val="center"/>
              <w:rPr>
                <w:rFonts w:hint="eastAsia" w:ascii="宋体" w:hAnsi="宋体" w:eastAsia="宋体" w:cs="宋体"/>
                <w:sz w:val="21"/>
                <w:szCs w:val="21"/>
              </w:rPr>
            </w:pPr>
          </w:p>
        </w:tc>
      </w:tr>
      <w:tr w14:paraId="7993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noWrap w:val="0"/>
            <w:vAlign w:val="center"/>
          </w:tcPr>
          <w:p w14:paraId="5A048A8B">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法定代表人</w:t>
            </w:r>
          </w:p>
        </w:tc>
        <w:tc>
          <w:tcPr>
            <w:tcW w:w="1028" w:type="dxa"/>
            <w:noWrap w:val="0"/>
            <w:vAlign w:val="center"/>
          </w:tcPr>
          <w:p w14:paraId="76FC98CC">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姓名</w:t>
            </w:r>
          </w:p>
        </w:tc>
        <w:tc>
          <w:tcPr>
            <w:tcW w:w="1529" w:type="dxa"/>
            <w:noWrap w:val="0"/>
            <w:vAlign w:val="center"/>
          </w:tcPr>
          <w:p w14:paraId="7572C706">
            <w:pPr>
              <w:spacing w:line="240" w:lineRule="auto"/>
              <w:ind w:firstLine="420"/>
              <w:jc w:val="center"/>
              <w:rPr>
                <w:rFonts w:hint="eastAsia" w:ascii="宋体" w:hAnsi="宋体" w:eastAsia="宋体" w:cs="宋体"/>
                <w:sz w:val="21"/>
                <w:szCs w:val="21"/>
              </w:rPr>
            </w:pPr>
          </w:p>
        </w:tc>
        <w:tc>
          <w:tcPr>
            <w:tcW w:w="1338" w:type="dxa"/>
            <w:noWrap w:val="0"/>
            <w:vAlign w:val="center"/>
          </w:tcPr>
          <w:p w14:paraId="344B7A6B">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技术职称</w:t>
            </w:r>
          </w:p>
        </w:tc>
        <w:tc>
          <w:tcPr>
            <w:tcW w:w="1431" w:type="dxa"/>
            <w:noWrap w:val="0"/>
            <w:vAlign w:val="center"/>
          </w:tcPr>
          <w:p w14:paraId="5A76BCF2">
            <w:pPr>
              <w:spacing w:line="240" w:lineRule="auto"/>
              <w:ind w:firstLine="420"/>
              <w:jc w:val="center"/>
              <w:rPr>
                <w:rFonts w:hint="eastAsia" w:ascii="宋体" w:hAnsi="宋体" w:eastAsia="宋体" w:cs="宋体"/>
                <w:sz w:val="21"/>
                <w:szCs w:val="21"/>
              </w:rPr>
            </w:pPr>
          </w:p>
        </w:tc>
        <w:tc>
          <w:tcPr>
            <w:tcW w:w="1110" w:type="dxa"/>
            <w:noWrap w:val="0"/>
            <w:vAlign w:val="center"/>
          </w:tcPr>
          <w:p w14:paraId="01C771A5">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电话</w:t>
            </w:r>
          </w:p>
        </w:tc>
        <w:tc>
          <w:tcPr>
            <w:tcW w:w="1637" w:type="dxa"/>
            <w:noWrap w:val="0"/>
            <w:vAlign w:val="center"/>
          </w:tcPr>
          <w:p w14:paraId="580B532E">
            <w:pPr>
              <w:spacing w:line="240" w:lineRule="auto"/>
              <w:ind w:firstLine="420"/>
              <w:jc w:val="center"/>
              <w:rPr>
                <w:rFonts w:hint="eastAsia" w:ascii="宋体" w:hAnsi="宋体" w:eastAsia="宋体" w:cs="宋体"/>
                <w:sz w:val="21"/>
                <w:szCs w:val="21"/>
              </w:rPr>
            </w:pPr>
          </w:p>
        </w:tc>
      </w:tr>
      <w:tr w14:paraId="1BC8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noWrap w:val="0"/>
            <w:vAlign w:val="center"/>
          </w:tcPr>
          <w:p w14:paraId="5D3B5FD7">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项目负责人</w:t>
            </w:r>
          </w:p>
        </w:tc>
        <w:tc>
          <w:tcPr>
            <w:tcW w:w="1028" w:type="dxa"/>
            <w:noWrap w:val="0"/>
            <w:vAlign w:val="center"/>
          </w:tcPr>
          <w:p w14:paraId="63FF4ACB">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姓名</w:t>
            </w:r>
          </w:p>
        </w:tc>
        <w:tc>
          <w:tcPr>
            <w:tcW w:w="1529" w:type="dxa"/>
            <w:noWrap w:val="0"/>
            <w:vAlign w:val="center"/>
          </w:tcPr>
          <w:p w14:paraId="594B1500">
            <w:pPr>
              <w:spacing w:line="240" w:lineRule="auto"/>
              <w:ind w:firstLine="420"/>
              <w:jc w:val="center"/>
              <w:rPr>
                <w:rFonts w:hint="eastAsia" w:ascii="宋体" w:hAnsi="宋体" w:eastAsia="宋体" w:cs="宋体"/>
                <w:sz w:val="21"/>
                <w:szCs w:val="21"/>
              </w:rPr>
            </w:pPr>
          </w:p>
        </w:tc>
        <w:tc>
          <w:tcPr>
            <w:tcW w:w="1338" w:type="dxa"/>
            <w:noWrap w:val="0"/>
            <w:vAlign w:val="center"/>
          </w:tcPr>
          <w:p w14:paraId="7AF6D1AE">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技术职称</w:t>
            </w:r>
          </w:p>
        </w:tc>
        <w:tc>
          <w:tcPr>
            <w:tcW w:w="1431" w:type="dxa"/>
            <w:noWrap w:val="0"/>
            <w:vAlign w:val="center"/>
          </w:tcPr>
          <w:p w14:paraId="6FEF8143">
            <w:pPr>
              <w:spacing w:line="240" w:lineRule="auto"/>
              <w:ind w:firstLine="420"/>
              <w:jc w:val="center"/>
              <w:rPr>
                <w:rFonts w:hint="eastAsia" w:ascii="宋体" w:hAnsi="宋体" w:eastAsia="宋体" w:cs="宋体"/>
                <w:sz w:val="21"/>
                <w:szCs w:val="21"/>
              </w:rPr>
            </w:pPr>
          </w:p>
        </w:tc>
        <w:tc>
          <w:tcPr>
            <w:tcW w:w="1110" w:type="dxa"/>
            <w:noWrap w:val="0"/>
            <w:vAlign w:val="center"/>
          </w:tcPr>
          <w:p w14:paraId="30973571">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电话</w:t>
            </w:r>
          </w:p>
        </w:tc>
        <w:tc>
          <w:tcPr>
            <w:tcW w:w="1637" w:type="dxa"/>
            <w:noWrap w:val="0"/>
            <w:vAlign w:val="center"/>
          </w:tcPr>
          <w:p w14:paraId="2F018C8D">
            <w:pPr>
              <w:spacing w:line="240" w:lineRule="auto"/>
              <w:ind w:firstLine="420"/>
              <w:jc w:val="center"/>
              <w:rPr>
                <w:rFonts w:hint="eastAsia" w:ascii="宋体" w:hAnsi="宋体" w:eastAsia="宋体" w:cs="宋体"/>
                <w:sz w:val="21"/>
                <w:szCs w:val="21"/>
              </w:rPr>
            </w:pPr>
          </w:p>
        </w:tc>
      </w:tr>
      <w:tr w14:paraId="53D2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706" w:type="dxa"/>
            <w:noWrap w:val="0"/>
            <w:vAlign w:val="center"/>
          </w:tcPr>
          <w:p w14:paraId="3FEF92A7">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成立时间</w:t>
            </w:r>
          </w:p>
        </w:tc>
        <w:tc>
          <w:tcPr>
            <w:tcW w:w="2557" w:type="dxa"/>
            <w:gridSpan w:val="2"/>
            <w:noWrap w:val="0"/>
            <w:vAlign w:val="center"/>
          </w:tcPr>
          <w:p w14:paraId="407D2FFB">
            <w:pPr>
              <w:spacing w:line="240" w:lineRule="auto"/>
              <w:ind w:firstLine="420"/>
              <w:jc w:val="center"/>
              <w:rPr>
                <w:rFonts w:hint="eastAsia" w:ascii="宋体" w:hAnsi="宋体" w:eastAsia="宋体" w:cs="宋体"/>
                <w:sz w:val="21"/>
                <w:szCs w:val="21"/>
              </w:rPr>
            </w:pPr>
          </w:p>
        </w:tc>
        <w:tc>
          <w:tcPr>
            <w:tcW w:w="5516" w:type="dxa"/>
            <w:gridSpan w:val="4"/>
            <w:noWrap w:val="0"/>
            <w:vAlign w:val="center"/>
          </w:tcPr>
          <w:p w14:paraId="6CFE2568">
            <w:pPr>
              <w:spacing w:line="240" w:lineRule="auto"/>
              <w:ind w:firstLine="420"/>
              <w:jc w:val="both"/>
              <w:rPr>
                <w:rFonts w:hint="eastAsia" w:ascii="宋体" w:hAnsi="宋体" w:eastAsia="宋体" w:cs="宋体"/>
                <w:sz w:val="21"/>
                <w:szCs w:val="21"/>
              </w:rPr>
            </w:pPr>
            <w:r>
              <w:rPr>
                <w:rFonts w:hint="eastAsia" w:ascii="宋体" w:hAnsi="宋体" w:eastAsia="宋体" w:cs="宋体"/>
                <w:sz w:val="21"/>
                <w:szCs w:val="21"/>
              </w:rPr>
              <w:t>员工总人数：</w:t>
            </w:r>
          </w:p>
        </w:tc>
      </w:tr>
      <w:tr w14:paraId="46CD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jc w:val="center"/>
        </w:trPr>
        <w:tc>
          <w:tcPr>
            <w:tcW w:w="1706" w:type="dxa"/>
            <w:noWrap w:val="0"/>
            <w:vAlign w:val="center"/>
          </w:tcPr>
          <w:p w14:paraId="5F565D47">
            <w:pPr>
              <w:spacing w:line="24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rPr>
              <w:t>经营范围</w:t>
            </w:r>
          </w:p>
        </w:tc>
        <w:tc>
          <w:tcPr>
            <w:tcW w:w="8073" w:type="dxa"/>
            <w:gridSpan w:val="6"/>
            <w:noWrap w:val="0"/>
            <w:vAlign w:val="center"/>
          </w:tcPr>
          <w:p w14:paraId="2CF19D5C">
            <w:pPr>
              <w:spacing w:line="240" w:lineRule="auto"/>
              <w:ind w:firstLine="420"/>
              <w:jc w:val="center"/>
              <w:rPr>
                <w:rFonts w:hint="eastAsia" w:ascii="宋体" w:hAnsi="宋体" w:eastAsia="宋体" w:cs="宋体"/>
                <w:sz w:val="21"/>
                <w:szCs w:val="21"/>
              </w:rPr>
            </w:pPr>
          </w:p>
        </w:tc>
      </w:tr>
      <w:tr w14:paraId="0B29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706" w:type="dxa"/>
            <w:noWrap w:val="0"/>
            <w:vAlign w:val="center"/>
          </w:tcPr>
          <w:p w14:paraId="2BB84F7E">
            <w:pPr>
              <w:spacing w:line="240" w:lineRule="auto"/>
              <w:ind w:firstLine="420"/>
              <w:jc w:val="center"/>
              <w:rPr>
                <w:rFonts w:hint="eastAsia" w:ascii="宋体" w:hAnsi="宋体" w:eastAsia="宋体" w:cs="宋体"/>
                <w:sz w:val="21"/>
                <w:szCs w:val="21"/>
              </w:rPr>
            </w:pPr>
            <w:r>
              <w:rPr>
                <w:rFonts w:hint="eastAsia" w:ascii="宋体" w:hAnsi="宋体" w:eastAsia="宋体" w:cs="宋体"/>
                <w:sz w:val="21"/>
                <w:szCs w:val="21"/>
              </w:rPr>
              <w:t>备注</w:t>
            </w:r>
          </w:p>
        </w:tc>
        <w:tc>
          <w:tcPr>
            <w:tcW w:w="8073" w:type="dxa"/>
            <w:gridSpan w:val="6"/>
            <w:noWrap w:val="0"/>
            <w:vAlign w:val="center"/>
          </w:tcPr>
          <w:p w14:paraId="2AA14400">
            <w:pPr>
              <w:spacing w:line="240" w:lineRule="auto"/>
              <w:ind w:firstLine="420"/>
              <w:jc w:val="center"/>
              <w:rPr>
                <w:rFonts w:hint="eastAsia" w:ascii="宋体" w:hAnsi="宋体" w:eastAsia="宋体" w:cs="宋体"/>
                <w:sz w:val="21"/>
                <w:szCs w:val="21"/>
              </w:rPr>
            </w:pPr>
          </w:p>
        </w:tc>
      </w:tr>
    </w:tbl>
    <w:p w14:paraId="789919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18"/>
        </w:rPr>
      </w:pPr>
    </w:p>
    <w:p w14:paraId="369986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Cs w:val="21"/>
        </w:rPr>
        <w:sectPr>
          <w:pgSz w:w="11905" w:h="16838"/>
          <w:pgMar w:top="1440" w:right="1080" w:bottom="1440" w:left="1080" w:header="850" w:footer="992" w:gutter="0"/>
          <w:pgNumType w:fmt="decimalFullWidth"/>
          <w:cols w:space="720" w:num="1"/>
          <w:docGrid w:type="lines" w:linePitch="411" w:charSpace="0"/>
        </w:sectPr>
      </w:pPr>
      <w:r>
        <w:rPr>
          <w:rFonts w:hint="eastAsia" w:ascii="宋体" w:hAnsi="宋体" w:eastAsia="宋体" w:cs="宋体"/>
          <w:b w:val="0"/>
          <w:bCs w:val="0"/>
          <w:sz w:val="24"/>
          <w:szCs w:val="18"/>
        </w:rPr>
        <w:t>注：投标人应根据投标人须知“投标人资格要求”在本表后附相关证明材料</w:t>
      </w:r>
      <w:r>
        <w:rPr>
          <w:rFonts w:hint="eastAsia" w:ascii="宋体" w:hAnsi="宋体" w:eastAsia="宋体" w:cs="宋体"/>
          <w:b w:val="0"/>
          <w:bCs w:val="0"/>
          <w:sz w:val="24"/>
          <w:szCs w:val="18"/>
          <w:lang w:eastAsia="zh-CN"/>
        </w:rPr>
        <w:t>。</w:t>
      </w:r>
    </w:p>
    <w:p w14:paraId="3763FBD0">
      <w:pPr>
        <w:spacing w:line="360" w:lineRule="auto"/>
        <w:jc w:val="center"/>
        <w:rPr>
          <w:rFonts w:hint="eastAsia" w:ascii="宋体" w:hAnsi="宋体" w:eastAsia="宋体" w:cs="宋体"/>
          <w:b/>
          <w:bCs/>
          <w:sz w:val="32"/>
          <w:szCs w:val="21"/>
          <w:lang w:val="en-US" w:eastAsia="zh-CN"/>
        </w:rPr>
      </w:pPr>
      <w:bookmarkStart w:id="323" w:name="_Toc28063"/>
      <w:bookmarkStart w:id="324" w:name="_Toc27147"/>
      <w:bookmarkStart w:id="325" w:name="_Toc2168"/>
      <w:r>
        <w:rPr>
          <w:rFonts w:hint="eastAsia" w:ascii="宋体" w:hAnsi="宋体" w:eastAsia="宋体" w:cs="宋体"/>
          <w:b/>
          <w:bCs/>
          <w:sz w:val="32"/>
          <w:szCs w:val="21"/>
          <w:lang w:val="en-US" w:eastAsia="zh-CN"/>
        </w:rPr>
        <w:t>五、</w:t>
      </w:r>
      <w:bookmarkEnd w:id="323"/>
      <w:bookmarkEnd w:id="324"/>
      <w:bookmarkEnd w:id="325"/>
      <w:bookmarkStart w:id="326" w:name="OLE_LINK30"/>
      <w:r>
        <w:rPr>
          <w:rFonts w:hint="eastAsia" w:ascii="宋体" w:hAnsi="宋体" w:eastAsia="宋体" w:cs="宋体"/>
          <w:b/>
          <w:bCs/>
          <w:sz w:val="32"/>
          <w:szCs w:val="21"/>
          <w:lang w:val="en-US" w:eastAsia="zh-CN"/>
        </w:rPr>
        <w:t>技术部分</w:t>
      </w:r>
      <w:bookmarkEnd w:id="326"/>
    </w:p>
    <w:p w14:paraId="6A0E8F2B">
      <w:pPr>
        <w:spacing w:line="480" w:lineRule="auto"/>
        <w:jc w:val="center"/>
        <w:rPr>
          <w:rFonts w:hint="eastAsia" w:ascii="宋体" w:hAnsi="宋体" w:cs="宋体"/>
          <w:b/>
          <w:sz w:val="28"/>
          <w:szCs w:val="28"/>
          <w:lang w:val="en-US" w:eastAsia="zh-CN"/>
        </w:rPr>
      </w:pPr>
      <w:r>
        <w:rPr>
          <w:rFonts w:hint="eastAsia" w:ascii="宋体" w:hAnsi="宋体" w:eastAsia="宋体" w:cs="宋体"/>
          <w:b/>
          <w:sz w:val="28"/>
          <w:szCs w:val="28"/>
        </w:rPr>
        <w:t>（一）</w:t>
      </w:r>
      <w:r>
        <w:rPr>
          <w:rFonts w:hint="eastAsia" w:ascii="宋体" w:hAnsi="宋体" w:cs="宋体"/>
          <w:b/>
          <w:sz w:val="28"/>
          <w:szCs w:val="28"/>
          <w:lang w:val="en-US" w:eastAsia="zh-CN"/>
        </w:rPr>
        <w:t>采购需求及内容响应偏离表</w:t>
      </w:r>
    </w:p>
    <w:p w14:paraId="13BFE917">
      <w:pPr>
        <w:pStyle w:val="8"/>
        <w:rPr>
          <w:rFonts w:hint="eastAsia" w:ascii="宋体" w:hAnsi="宋体" w:cs="宋体"/>
          <w:b w:val="0"/>
          <w:bCs/>
          <w:sz w:val="24"/>
          <w:szCs w:val="24"/>
          <w:lang w:val="en-US" w:eastAsia="zh-CN"/>
        </w:rPr>
      </w:pPr>
      <w:r>
        <w:rPr>
          <w:rFonts w:hint="eastAsia" w:ascii="宋体" w:hAnsi="宋体" w:cs="宋体"/>
          <w:b w:val="0"/>
          <w:bCs/>
          <w:sz w:val="24"/>
          <w:szCs w:val="24"/>
          <w:lang w:val="en-US" w:eastAsia="zh-CN"/>
        </w:rPr>
        <w:t>项目名称：</w:t>
      </w:r>
    </w:p>
    <w:p w14:paraId="1ACF81F6">
      <w:pPr>
        <w:pStyle w:val="8"/>
        <w:rPr>
          <w:rFonts w:hint="default" w:ascii="宋体" w:hAnsi="宋体" w:cs="宋体"/>
          <w:b w:val="0"/>
          <w:bCs/>
          <w:sz w:val="24"/>
          <w:szCs w:val="24"/>
          <w:lang w:val="en-US" w:eastAsia="zh-CN"/>
        </w:rPr>
      </w:pPr>
      <w:r>
        <w:rPr>
          <w:rFonts w:hint="eastAsia" w:ascii="宋体" w:hAnsi="宋体" w:cs="宋体"/>
          <w:b w:val="0"/>
          <w:bCs/>
          <w:sz w:val="24"/>
          <w:szCs w:val="24"/>
          <w:lang w:val="en-US" w:eastAsia="zh-CN"/>
        </w:rPr>
        <w:t>采购编号：</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2819"/>
        <w:gridCol w:w="2820"/>
        <w:gridCol w:w="1683"/>
        <w:gridCol w:w="1658"/>
      </w:tblGrid>
      <w:tr w14:paraId="0AED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7183842B">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序号</w:t>
            </w:r>
          </w:p>
        </w:tc>
        <w:tc>
          <w:tcPr>
            <w:tcW w:w="2819" w:type="dxa"/>
            <w:vAlign w:val="center"/>
          </w:tcPr>
          <w:p w14:paraId="32DB1D6D">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招标文件要求条款</w:t>
            </w:r>
          </w:p>
        </w:tc>
        <w:tc>
          <w:tcPr>
            <w:tcW w:w="2820" w:type="dxa"/>
            <w:vAlign w:val="center"/>
          </w:tcPr>
          <w:p w14:paraId="478338CF">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投标文件响应条款</w:t>
            </w:r>
          </w:p>
        </w:tc>
        <w:tc>
          <w:tcPr>
            <w:tcW w:w="1683" w:type="dxa"/>
            <w:vAlign w:val="center"/>
          </w:tcPr>
          <w:p w14:paraId="37DFC92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响应情况</w:t>
            </w:r>
          </w:p>
        </w:tc>
        <w:tc>
          <w:tcPr>
            <w:tcW w:w="1658" w:type="dxa"/>
            <w:vAlign w:val="center"/>
          </w:tcPr>
          <w:p w14:paraId="771A77D3">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说明及索引</w:t>
            </w:r>
          </w:p>
        </w:tc>
      </w:tr>
      <w:tr w14:paraId="274C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0612BE68">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1</w:t>
            </w:r>
          </w:p>
        </w:tc>
        <w:tc>
          <w:tcPr>
            <w:tcW w:w="2819" w:type="dxa"/>
            <w:vAlign w:val="center"/>
          </w:tcPr>
          <w:p w14:paraId="751CF347">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563FEEE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658A0C19">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739A8AFE">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r w14:paraId="4655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4C7C3D22">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2</w:t>
            </w:r>
          </w:p>
        </w:tc>
        <w:tc>
          <w:tcPr>
            <w:tcW w:w="2819" w:type="dxa"/>
            <w:vAlign w:val="center"/>
          </w:tcPr>
          <w:p w14:paraId="31C8555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461846FF">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787D3DFD">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7AF34AAD">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r w14:paraId="7083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2CC19A0D">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3</w:t>
            </w:r>
          </w:p>
        </w:tc>
        <w:tc>
          <w:tcPr>
            <w:tcW w:w="2819" w:type="dxa"/>
            <w:vAlign w:val="center"/>
          </w:tcPr>
          <w:p w14:paraId="31C7F741">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71355B6A">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269D8BD1">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2CB28302">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r w14:paraId="6789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4EBF6535">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4</w:t>
            </w:r>
          </w:p>
        </w:tc>
        <w:tc>
          <w:tcPr>
            <w:tcW w:w="2819" w:type="dxa"/>
            <w:vAlign w:val="center"/>
          </w:tcPr>
          <w:p w14:paraId="28C0B280">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045C6AF5">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2DA9FC60">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3796F9D2">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r w14:paraId="475D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957" w:type="dxa"/>
            <w:vAlign w:val="center"/>
          </w:tcPr>
          <w:p w14:paraId="22D90794">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5</w:t>
            </w:r>
          </w:p>
        </w:tc>
        <w:tc>
          <w:tcPr>
            <w:tcW w:w="2819" w:type="dxa"/>
            <w:vAlign w:val="center"/>
          </w:tcPr>
          <w:p w14:paraId="12C6ABAA">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0D275F1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649CAA16">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61B4C8B3">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r w14:paraId="3E8E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57" w:type="dxa"/>
            <w:vAlign w:val="center"/>
          </w:tcPr>
          <w:p w14:paraId="0A19731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r>
              <w:rPr>
                <w:rFonts w:hint="eastAsia"/>
                <w:sz w:val="21"/>
                <w:szCs w:val="21"/>
                <w:vertAlign w:val="baseline"/>
                <w:lang w:val="en-US" w:eastAsia="zh-CN"/>
              </w:rPr>
              <w:t>......</w:t>
            </w:r>
          </w:p>
        </w:tc>
        <w:tc>
          <w:tcPr>
            <w:tcW w:w="2819" w:type="dxa"/>
            <w:vAlign w:val="center"/>
          </w:tcPr>
          <w:p w14:paraId="487B358B">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2820" w:type="dxa"/>
            <w:vAlign w:val="center"/>
          </w:tcPr>
          <w:p w14:paraId="32645370">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83" w:type="dxa"/>
            <w:vAlign w:val="center"/>
          </w:tcPr>
          <w:p w14:paraId="1398720C">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c>
          <w:tcPr>
            <w:tcW w:w="1658" w:type="dxa"/>
            <w:vAlign w:val="center"/>
          </w:tcPr>
          <w:p w14:paraId="245CE194">
            <w:pPr>
              <w:pStyle w:val="8"/>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sz w:val="21"/>
                <w:szCs w:val="21"/>
                <w:vertAlign w:val="baseline"/>
                <w:lang w:val="en-US" w:eastAsia="zh-CN"/>
              </w:rPr>
            </w:pPr>
          </w:p>
        </w:tc>
      </w:tr>
    </w:tbl>
    <w:p w14:paraId="1A67FF3D">
      <w:pPr>
        <w:pStyle w:val="8"/>
        <w:rPr>
          <w:rFonts w:hint="default"/>
          <w:lang w:val="en-US" w:eastAsia="zh-CN"/>
        </w:rPr>
      </w:pPr>
    </w:p>
    <w:p w14:paraId="298B1C78">
      <w:pPr>
        <w:spacing w:line="480" w:lineRule="auto"/>
        <w:jc w:val="both"/>
        <w:rPr>
          <w:rFonts w:hint="eastAsia" w:ascii="宋体" w:hAnsi="宋体" w:eastAsia="宋体" w:cs="宋体"/>
          <w:b/>
          <w:bCs/>
          <w:color w:val="000000"/>
          <w:sz w:val="32"/>
          <w:szCs w:val="32"/>
          <w:lang w:eastAsia="zh-CN"/>
        </w:rPr>
      </w:pPr>
    </w:p>
    <w:p w14:paraId="6B43DCF6">
      <w:pPr>
        <w:pStyle w:val="8"/>
        <w:rPr>
          <w:rFonts w:hint="eastAsia" w:ascii="宋体" w:hAnsi="宋体" w:eastAsia="宋体" w:cs="宋体"/>
          <w:b/>
          <w:bCs/>
          <w:color w:val="000000"/>
          <w:sz w:val="32"/>
          <w:szCs w:val="32"/>
          <w:lang w:eastAsia="zh-CN"/>
        </w:rPr>
      </w:pPr>
    </w:p>
    <w:p w14:paraId="599AB50C">
      <w:pPr>
        <w:pStyle w:val="8"/>
        <w:rPr>
          <w:rFonts w:hint="eastAsia" w:ascii="宋体" w:hAnsi="宋体" w:eastAsia="宋体" w:cs="宋体"/>
          <w:b/>
          <w:bCs/>
          <w:color w:val="000000"/>
          <w:sz w:val="32"/>
          <w:szCs w:val="32"/>
          <w:lang w:eastAsia="zh-CN"/>
        </w:rPr>
      </w:pPr>
    </w:p>
    <w:p w14:paraId="17A584D4">
      <w:pPr>
        <w:pStyle w:val="8"/>
        <w:rPr>
          <w:rFonts w:hint="eastAsia" w:ascii="宋体" w:hAnsi="宋体" w:eastAsia="宋体" w:cs="宋体"/>
          <w:b/>
          <w:bCs/>
          <w:color w:val="000000"/>
          <w:sz w:val="32"/>
          <w:szCs w:val="32"/>
          <w:lang w:eastAsia="zh-CN"/>
        </w:rPr>
      </w:pPr>
    </w:p>
    <w:p w14:paraId="2CFFAB8D">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bookmarkStart w:id="327" w:name="_Toc18072"/>
      <w:bookmarkStart w:id="328" w:name="_Toc27992"/>
      <w:bookmarkStart w:id="329" w:name="_Toc7166"/>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23A62A06">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55D7171A">
      <w:pPr>
        <w:spacing w:line="360" w:lineRule="auto"/>
        <w:ind w:left="0" w:leftChars="0" w:firstLine="3600" w:firstLineChars="1500"/>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期：   年   月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日</w:t>
      </w:r>
    </w:p>
    <w:p w14:paraId="723492B5">
      <w:pPr>
        <w:rPr>
          <w:rFonts w:hint="eastAsia" w:ascii="宋体" w:hAnsi="宋体" w:eastAsia="宋体" w:cs="宋体"/>
          <w:b/>
          <w:bCs/>
          <w:sz w:val="24"/>
          <w:szCs w:val="18"/>
          <w:lang w:val="en-US" w:eastAsia="zh-CN"/>
        </w:rPr>
      </w:pPr>
      <w:r>
        <w:rPr>
          <w:rFonts w:hint="eastAsia" w:ascii="宋体" w:hAnsi="宋体" w:eastAsia="宋体" w:cs="宋体"/>
          <w:b/>
          <w:bCs/>
          <w:sz w:val="24"/>
          <w:szCs w:val="18"/>
          <w:lang w:val="en-US" w:eastAsia="zh-CN"/>
        </w:rPr>
        <w:br w:type="page"/>
      </w:r>
    </w:p>
    <w:p w14:paraId="182F274F">
      <w:pPr>
        <w:spacing w:line="480" w:lineRule="auto"/>
        <w:jc w:val="center"/>
        <w:rPr>
          <w:rFonts w:hint="default" w:ascii="宋体" w:hAnsi="宋体" w:cs="宋体"/>
          <w:b/>
          <w:sz w:val="28"/>
          <w:szCs w:val="28"/>
          <w:lang w:val="en-US" w:eastAsia="zh-CN"/>
        </w:rPr>
      </w:pPr>
      <w:r>
        <w:rPr>
          <w:rFonts w:hint="eastAsia" w:ascii="宋体" w:hAnsi="宋体" w:eastAsia="宋体" w:cs="宋体"/>
          <w:b/>
          <w:sz w:val="28"/>
          <w:szCs w:val="28"/>
        </w:rPr>
        <w:t>（</w:t>
      </w:r>
      <w:r>
        <w:rPr>
          <w:rFonts w:hint="eastAsia" w:ascii="宋体" w:hAnsi="宋体" w:cs="宋体"/>
          <w:b/>
          <w:sz w:val="28"/>
          <w:szCs w:val="28"/>
          <w:lang w:val="en-US" w:eastAsia="zh-CN"/>
        </w:rPr>
        <w:t>二</w:t>
      </w:r>
      <w:r>
        <w:rPr>
          <w:rFonts w:hint="eastAsia" w:ascii="宋体" w:hAnsi="宋体" w:eastAsia="宋体" w:cs="宋体"/>
          <w:b/>
          <w:sz w:val="28"/>
          <w:szCs w:val="28"/>
        </w:rPr>
        <w:t>）</w:t>
      </w:r>
      <w:r>
        <w:rPr>
          <w:rFonts w:hint="eastAsia" w:ascii="宋体" w:hAnsi="宋体" w:cs="宋体"/>
          <w:b/>
          <w:sz w:val="28"/>
          <w:szCs w:val="28"/>
          <w:lang w:val="en-US" w:eastAsia="zh-CN"/>
        </w:rPr>
        <w:t>其他技术证明文件</w:t>
      </w:r>
    </w:p>
    <w:p w14:paraId="60E6A7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rPr>
        <w:t>1.招标文件要求提供的其它技术资料和证明材料</w:t>
      </w:r>
      <w:r>
        <w:rPr>
          <w:rFonts w:hint="eastAsia" w:ascii="宋体" w:hAnsi="宋体" w:cs="宋体"/>
          <w:b w:val="0"/>
          <w:bCs/>
          <w:sz w:val="24"/>
          <w:szCs w:val="24"/>
          <w:lang w:eastAsia="zh-CN"/>
        </w:rPr>
        <w:t>；</w:t>
      </w:r>
    </w:p>
    <w:p w14:paraId="4BB25E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sz w:val="28"/>
          <w:szCs w:val="28"/>
        </w:rPr>
      </w:pPr>
      <w:r>
        <w:rPr>
          <w:rFonts w:hint="eastAsia" w:ascii="宋体" w:hAnsi="宋体" w:eastAsia="宋体" w:cs="宋体"/>
          <w:b w:val="0"/>
          <w:bCs/>
          <w:sz w:val="24"/>
          <w:szCs w:val="24"/>
        </w:rPr>
        <w:t>2.投标人认为需要提供的其它技术资料和说明。</w:t>
      </w:r>
      <w:r>
        <w:rPr>
          <w:rFonts w:hint="eastAsia" w:ascii="宋体" w:hAnsi="宋体" w:eastAsia="宋体" w:cs="宋体"/>
          <w:b/>
          <w:sz w:val="28"/>
          <w:szCs w:val="28"/>
        </w:rPr>
        <w:br w:type="page"/>
      </w:r>
    </w:p>
    <w:p w14:paraId="47D6798B">
      <w:pPr>
        <w:jc w:val="center"/>
        <w:rPr>
          <w:rFonts w:hint="default" w:ascii="宋体" w:hAnsi="宋体" w:cs="宋体"/>
          <w:b/>
          <w:sz w:val="28"/>
          <w:szCs w:val="28"/>
          <w:lang w:val="en-US" w:eastAsia="zh-CN"/>
        </w:rPr>
      </w:pPr>
      <w:r>
        <w:rPr>
          <w:rFonts w:hint="eastAsia" w:ascii="宋体" w:hAnsi="宋体" w:eastAsia="宋体" w:cs="宋体"/>
          <w:b/>
          <w:sz w:val="28"/>
          <w:szCs w:val="28"/>
        </w:rPr>
        <w:t>（</w:t>
      </w:r>
      <w:r>
        <w:rPr>
          <w:rFonts w:hint="eastAsia" w:ascii="宋体" w:hAnsi="宋体" w:cs="宋体"/>
          <w:b/>
          <w:sz w:val="28"/>
          <w:szCs w:val="28"/>
          <w:lang w:val="en-US" w:eastAsia="zh-CN"/>
        </w:rPr>
        <w:t>三</w:t>
      </w:r>
      <w:r>
        <w:rPr>
          <w:rFonts w:hint="eastAsia" w:ascii="宋体" w:hAnsi="宋体" w:eastAsia="宋体" w:cs="宋体"/>
          <w:b/>
          <w:sz w:val="28"/>
          <w:szCs w:val="28"/>
        </w:rPr>
        <w:t>）</w:t>
      </w:r>
      <w:r>
        <w:rPr>
          <w:rFonts w:hint="eastAsia" w:ascii="宋体" w:hAnsi="宋体" w:cs="宋体"/>
          <w:b/>
          <w:sz w:val="28"/>
          <w:szCs w:val="28"/>
          <w:lang w:val="en-US" w:eastAsia="zh-CN"/>
        </w:rPr>
        <w:t>技术方案</w:t>
      </w:r>
    </w:p>
    <w:p w14:paraId="6D8A38FD">
      <w:pPr>
        <w:jc w:val="center"/>
        <w:rPr>
          <w:rFonts w:hint="eastAsia" w:ascii="宋体" w:hAnsi="宋体" w:cs="宋体"/>
          <w:b/>
          <w:sz w:val="28"/>
          <w:szCs w:val="28"/>
          <w:lang w:val="en-US" w:eastAsia="zh-CN"/>
        </w:rPr>
      </w:pPr>
    </w:p>
    <w:p w14:paraId="0B5AA5A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auto"/>
          <w:sz w:val="24"/>
          <w:szCs w:val="24"/>
          <w:highlight w:val="none"/>
        </w:rPr>
        <w:t>（内容及格式由投标人自拟）</w:t>
      </w:r>
    </w:p>
    <w:p w14:paraId="32C44A9A">
      <w:pPr>
        <w:jc w:val="center"/>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br w:type="page"/>
      </w:r>
    </w:p>
    <w:p w14:paraId="70CC0AF4">
      <w:pPr>
        <w:spacing w:line="360" w:lineRule="auto"/>
        <w:jc w:val="center"/>
        <w:rPr>
          <w:rFonts w:hint="eastAsia" w:ascii="宋体" w:hAnsi="宋体" w:eastAsia="宋体" w:cs="宋体"/>
          <w:b w:val="0"/>
          <w:bCs w:val="0"/>
          <w:color w:val="auto"/>
          <w:sz w:val="24"/>
          <w:szCs w:val="28"/>
          <w:highlight w:val="none"/>
        </w:rPr>
      </w:pPr>
      <w:r>
        <w:rPr>
          <w:rFonts w:hint="eastAsia" w:ascii="宋体" w:hAnsi="宋体" w:eastAsia="宋体" w:cs="宋体"/>
          <w:b/>
          <w:bCs/>
          <w:sz w:val="32"/>
          <w:szCs w:val="21"/>
          <w:lang w:val="en-US" w:eastAsia="zh-CN"/>
        </w:rPr>
        <w:t>六、综合部分</w:t>
      </w:r>
    </w:p>
    <w:p w14:paraId="18867A2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auto"/>
          <w:sz w:val="24"/>
          <w:szCs w:val="24"/>
          <w:highlight w:val="none"/>
        </w:rPr>
        <w:t>（内容及格式由投标人自拟）</w:t>
      </w:r>
    </w:p>
    <w:p w14:paraId="57CE2AB1">
      <w:pP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eastAsia="zh-CN"/>
        </w:rPr>
        <w:br w:type="page"/>
      </w:r>
    </w:p>
    <w:p w14:paraId="59CEBC95">
      <w:pPr>
        <w:pStyle w:val="5"/>
        <w:numPr>
          <w:ilvl w:val="3"/>
          <w:numId w:val="0"/>
        </w:numPr>
        <w:spacing w:before="0" w:beforeLines="0" w:after="0" w:afterLines="0" w:line="360" w:lineRule="auto"/>
        <w:jc w:val="both"/>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附件：</w:t>
      </w:r>
    </w:p>
    <w:p w14:paraId="15609735">
      <w:pPr>
        <w:pStyle w:val="5"/>
        <w:numPr>
          <w:ilvl w:val="3"/>
          <w:numId w:val="0"/>
        </w:numPr>
        <w:spacing w:before="0" w:beforeLines="0" w:after="0" w:afterLines="0"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项目团队</w:t>
      </w:r>
      <w:r>
        <w:rPr>
          <w:rFonts w:hint="eastAsia" w:ascii="宋体" w:hAnsi="宋体" w:eastAsia="宋体" w:cs="宋体"/>
          <w:color w:val="auto"/>
          <w:sz w:val="28"/>
          <w:szCs w:val="28"/>
          <w:lang w:val="en-US" w:eastAsia="zh-CN"/>
        </w:rPr>
        <w:t>成员</w:t>
      </w:r>
      <w:r>
        <w:rPr>
          <w:rFonts w:hint="eastAsia" w:ascii="宋体" w:hAnsi="宋体" w:eastAsia="宋体" w:cs="宋体"/>
          <w:color w:val="auto"/>
          <w:sz w:val="28"/>
          <w:szCs w:val="28"/>
        </w:rPr>
        <w:t>组成表</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028"/>
        <w:gridCol w:w="1027"/>
        <w:gridCol w:w="1643"/>
        <w:gridCol w:w="1116"/>
        <w:gridCol w:w="1142"/>
        <w:gridCol w:w="1231"/>
        <w:gridCol w:w="1026"/>
      </w:tblGrid>
      <w:tr w14:paraId="1421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restart"/>
            <w:noWrap w:val="0"/>
            <w:vAlign w:val="center"/>
          </w:tcPr>
          <w:p w14:paraId="67E09A4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职务</w:t>
            </w:r>
          </w:p>
        </w:tc>
        <w:tc>
          <w:tcPr>
            <w:tcW w:w="1028" w:type="dxa"/>
            <w:vMerge w:val="restart"/>
            <w:noWrap w:val="0"/>
            <w:vAlign w:val="center"/>
          </w:tcPr>
          <w:p w14:paraId="41B8AFDD">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姓名</w:t>
            </w:r>
          </w:p>
        </w:tc>
        <w:tc>
          <w:tcPr>
            <w:tcW w:w="1027" w:type="dxa"/>
            <w:vMerge w:val="restart"/>
            <w:noWrap w:val="0"/>
            <w:vAlign w:val="center"/>
          </w:tcPr>
          <w:p w14:paraId="7BDB665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职称</w:t>
            </w:r>
          </w:p>
        </w:tc>
        <w:tc>
          <w:tcPr>
            <w:tcW w:w="5132" w:type="dxa"/>
            <w:gridSpan w:val="4"/>
            <w:noWrap w:val="0"/>
            <w:vAlign w:val="center"/>
          </w:tcPr>
          <w:p w14:paraId="08546944">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执业或职业资格证明</w:t>
            </w:r>
          </w:p>
        </w:tc>
        <w:tc>
          <w:tcPr>
            <w:tcW w:w="1026" w:type="dxa"/>
            <w:vMerge w:val="restart"/>
            <w:noWrap w:val="0"/>
            <w:vAlign w:val="center"/>
          </w:tcPr>
          <w:p w14:paraId="396B1FF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r>
      <w:tr w14:paraId="7487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continue"/>
            <w:noWrap w:val="0"/>
            <w:vAlign w:val="center"/>
          </w:tcPr>
          <w:p w14:paraId="4359D4AD">
            <w:pPr>
              <w:jc w:val="center"/>
              <w:rPr>
                <w:rFonts w:hint="eastAsia" w:ascii="宋体" w:hAnsi="宋体" w:eastAsia="宋体" w:cs="宋体"/>
                <w:color w:val="auto"/>
                <w:sz w:val="21"/>
                <w:szCs w:val="21"/>
              </w:rPr>
            </w:pPr>
          </w:p>
        </w:tc>
        <w:tc>
          <w:tcPr>
            <w:tcW w:w="1028" w:type="dxa"/>
            <w:vMerge w:val="continue"/>
            <w:noWrap w:val="0"/>
            <w:vAlign w:val="center"/>
          </w:tcPr>
          <w:p w14:paraId="70DD9C4D">
            <w:pPr>
              <w:jc w:val="center"/>
              <w:rPr>
                <w:rFonts w:hint="eastAsia" w:ascii="宋体" w:hAnsi="宋体" w:eastAsia="宋体" w:cs="宋体"/>
                <w:color w:val="auto"/>
                <w:sz w:val="21"/>
                <w:szCs w:val="21"/>
              </w:rPr>
            </w:pPr>
          </w:p>
        </w:tc>
        <w:tc>
          <w:tcPr>
            <w:tcW w:w="1027" w:type="dxa"/>
            <w:vMerge w:val="continue"/>
            <w:noWrap w:val="0"/>
            <w:vAlign w:val="center"/>
          </w:tcPr>
          <w:p w14:paraId="7C4FD1AE">
            <w:pPr>
              <w:jc w:val="center"/>
              <w:rPr>
                <w:rFonts w:hint="eastAsia" w:ascii="宋体" w:hAnsi="宋体" w:eastAsia="宋体" w:cs="宋体"/>
                <w:color w:val="auto"/>
                <w:sz w:val="21"/>
                <w:szCs w:val="21"/>
              </w:rPr>
            </w:pPr>
          </w:p>
        </w:tc>
        <w:tc>
          <w:tcPr>
            <w:tcW w:w="1643" w:type="dxa"/>
            <w:noWrap w:val="0"/>
            <w:vAlign w:val="center"/>
          </w:tcPr>
          <w:p w14:paraId="1230429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证书名称</w:t>
            </w:r>
          </w:p>
        </w:tc>
        <w:tc>
          <w:tcPr>
            <w:tcW w:w="1116" w:type="dxa"/>
            <w:noWrap w:val="0"/>
            <w:vAlign w:val="center"/>
          </w:tcPr>
          <w:p w14:paraId="0C352FA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级别</w:t>
            </w:r>
          </w:p>
        </w:tc>
        <w:tc>
          <w:tcPr>
            <w:tcW w:w="1142" w:type="dxa"/>
            <w:noWrap w:val="0"/>
            <w:vAlign w:val="center"/>
          </w:tcPr>
          <w:p w14:paraId="3F4D895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证号</w:t>
            </w:r>
          </w:p>
        </w:tc>
        <w:tc>
          <w:tcPr>
            <w:tcW w:w="1231" w:type="dxa"/>
            <w:noWrap w:val="0"/>
            <w:vAlign w:val="center"/>
          </w:tcPr>
          <w:p w14:paraId="08B0D6CF">
            <w:pPr>
              <w:jc w:val="center"/>
              <w:rPr>
                <w:rFonts w:hint="eastAsia" w:ascii="宋体" w:hAnsi="宋体" w:eastAsia="宋体" w:cs="宋体"/>
                <w:color w:val="auto"/>
                <w:sz w:val="21"/>
                <w:szCs w:val="21"/>
              </w:rPr>
            </w:pPr>
            <w:r>
              <w:rPr>
                <w:rFonts w:hint="eastAsia" w:ascii="宋体" w:hAnsi="宋体" w:eastAsia="宋体" w:cs="宋体"/>
                <w:color w:val="auto"/>
                <w:sz w:val="21"/>
                <w:szCs w:val="21"/>
              </w:rPr>
              <w:t>专业</w:t>
            </w:r>
          </w:p>
        </w:tc>
        <w:tc>
          <w:tcPr>
            <w:tcW w:w="1026" w:type="dxa"/>
            <w:vMerge w:val="continue"/>
            <w:noWrap w:val="0"/>
            <w:vAlign w:val="center"/>
          </w:tcPr>
          <w:p w14:paraId="15BC0E43">
            <w:pPr>
              <w:jc w:val="center"/>
              <w:rPr>
                <w:rFonts w:hint="eastAsia" w:ascii="宋体" w:hAnsi="宋体" w:eastAsia="宋体" w:cs="宋体"/>
                <w:color w:val="auto"/>
                <w:sz w:val="21"/>
                <w:szCs w:val="21"/>
              </w:rPr>
            </w:pPr>
          </w:p>
        </w:tc>
      </w:tr>
      <w:tr w14:paraId="68FC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E6E5DA9">
            <w:pPr>
              <w:jc w:val="center"/>
              <w:rPr>
                <w:rFonts w:hint="eastAsia" w:ascii="宋体" w:hAnsi="宋体" w:eastAsia="宋体" w:cs="宋体"/>
                <w:color w:val="auto"/>
                <w:sz w:val="21"/>
                <w:szCs w:val="21"/>
                <w:lang w:eastAsia="zh-CN"/>
              </w:rPr>
            </w:pPr>
          </w:p>
        </w:tc>
        <w:tc>
          <w:tcPr>
            <w:tcW w:w="1028" w:type="dxa"/>
            <w:noWrap w:val="0"/>
            <w:vAlign w:val="center"/>
          </w:tcPr>
          <w:p w14:paraId="34076009">
            <w:pPr>
              <w:jc w:val="center"/>
              <w:rPr>
                <w:rFonts w:hint="eastAsia" w:ascii="宋体" w:hAnsi="宋体" w:eastAsia="宋体" w:cs="宋体"/>
                <w:color w:val="auto"/>
                <w:sz w:val="21"/>
                <w:szCs w:val="21"/>
              </w:rPr>
            </w:pPr>
          </w:p>
        </w:tc>
        <w:tc>
          <w:tcPr>
            <w:tcW w:w="1027" w:type="dxa"/>
            <w:noWrap w:val="0"/>
            <w:vAlign w:val="center"/>
          </w:tcPr>
          <w:p w14:paraId="3FC70C39">
            <w:pPr>
              <w:jc w:val="center"/>
              <w:rPr>
                <w:rFonts w:hint="eastAsia" w:ascii="宋体" w:hAnsi="宋体" w:eastAsia="宋体" w:cs="宋体"/>
                <w:color w:val="auto"/>
                <w:sz w:val="21"/>
                <w:szCs w:val="21"/>
              </w:rPr>
            </w:pPr>
          </w:p>
        </w:tc>
        <w:tc>
          <w:tcPr>
            <w:tcW w:w="1643" w:type="dxa"/>
            <w:noWrap w:val="0"/>
            <w:vAlign w:val="center"/>
          </w:tcPr>
          <w:p w14:paraId="44B3FD1E">
            <w:pPr>
              <w:jc w:val="center"/>
              <w:rPr>
                <w:rFonts w:hint="eastAsia" w:ascii="宋体" w:hAnsi="宋体" w:eastAsia="宋体" w:cs="宋体"/>
                <w:color w:val="auto"/>
                <w:sz w:val="21"/>
                <w:szCs w:val="21"/>
              </w:rPr>
            </w:pPr>
          </w:p>
        </w:tc>
        <w:tc>
          <w:tcPr>
            <w:tcW w:w="1116" w:type="dxa"/>
            <w:noWrap w:val="0"/>
            <w:vAlign w:val="center"/>
          </w:tcPr>
          <w:p w14:paraId="332D8715">
            <w:pPr>
              <w:jc w:val="center"/>
              <w:rPr>
                <w:rFonts w:hint="eastAsia" w:ascii="宋体" w:hAnsi="宋体" w:eastAsia="宋体" w:cs="宋体"/>
                <w:color w:val="auto"/>
                <w:sz w:val="21"/>
                <w:szCs w:val="21"/>
              </w:rPr>
            </w:pPr>
          </w:p>
        </w:tc>
        <w:tc>
          <w:tcPr>
            <w:tcW w:w="1142" w:type="dxa"/>
            <w:noWrap w:val="0"/>
            <w:vAlign w:val="center"/>
          </w:tcPr>
          <w:p w14:paraId="182B65EF">
            <w:pPr>
              <w:jc w:val="center"/>
              <w:rPr>
                <w:rFonts w:hint="eastAsia" w:ascii="宋体" w:hAnsi="宋体" w:eastAsia="宋体" w:cs="宋体"/>
                <w:color w:val="auto"/>
                <w:sz w:val="21"/>
                <w:szCs w:val="21"/>
              </w:rPr>
            </w:pPr>
          </w:p>
        </w:tc>
        <w:tc>
          <w:tcPr>
            <w:tcW w:w="1231" w:type="dxa"/>
            <w:noWrap w:val="0"/>
            <w:vAlign w:val="center"/>
          </w:tcPr>
          <w:p w14:paraId="0A1D08CE">
            <w:pPr>
              <w:jc w:val="center"/>
              <w:rPr>
                <w:rFonts w:hint="eastAsia" w:ascii="宋体" w:hAnsi="宋体" w:eastAsia="宋体" w:cs="宋体"/>
                <w:color w:val="auto"/>
                <w:sz w:val="21"/>
                <w:szCs w:val="21"/>
              </w:rPr>
            </w:pPr>
          </w:p>
        </w:tc>
        <w:tc>
          <w:tcPr>
            <w:tcW w:w="1026" w:type="dxa"/>
            <w:noWrap w:val="0"/>
            <w:vAlign w:val="center"/>
          </w:tcPr>
          <w:p w14:paraId="4E06F30F">
            <w:pPr>
              <w:jc w:val="center"/>
              <w:rPr>
                <w:rFonts w:hint="eastAsia" w:ascii="宋体" w:hAnsi="宋体" w:eastAsia="宋体" w:cs="宋体"/>
                <w:color w:val="auto"/>
                <w:sz w:val="21"/>
                <w:szCs w:val="21"/>
              </w:rPr>
            </w:pPr>
          </w:p>
        </w:tc>
      </w:tr>
      <w:tr w14:paraId="2766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5E6355DC">
            <w:pPr>
              <w:jc w:val="center"/>
              <w:rPr>
                <w:rFonts w:hint="eastAsia" w:ascii="宋体" w:hAnsi="宋体" w:eastAsia="宋体" w:cs="宋体"/>
                <w:color w:val="auto"/>
                <w:sz w:val="21"/>
                <w:szCs w:val="21"/>
                <w:lang w:eastAsia="zh-CN"/>
              </w:rPr>
            </w:pPr>
          </w:p>
        </w:tc>
        <w:tc>
          <w:tcPr>
            <w:tcW w:w="1028" w:type="dxa"/>
            <w:noWrap w:val="0"/>
            <w:vAlign w:val="center"/>
          </w:tcPr>
          <w:p w14:paraId="3F90B3AB">
            <w:pPr>
              <w:jc w:val="center"/>
              <w:rPr>
                <w:rFonts w:hint="eastAsia" w:ascii="宋体" w:hAnsi="宋体" w:eastAsia="宋体" w:cs="宋体"/>
                <w:color w:val="auto"/>
                <w:sz w:val="21"/>
                <w:szCs w:val="21"/>
              </w:rPr>
            </w:pPr>
          </w:p>
        </w:tc>
        <w:tc>
          <w:tcPr>
            <w:tcW w:w="1027" w:type="dxa"/>
            <w:noWrap w:val="0"/>
            <w:vAlign w:val="center"/>
          </w:tcPr>
          <w:p w14:paraId="63C50D24">
            <w:pPr>
              <w:jc w:val="center"/>
              <w:rPr>
                <w:rFonts w:hint="eastAsia" w:ascii="宋体" w:hAnsi="宋体" w:eastAsia="宋体" w:cs="宋体"/>
                <w:color w:val="auto"/>
                <w:sz w:val="21"/>
                <w:szCs w:val="21"/>
              </w:rPr>
            </w:pPr>
          </w:p>
        </w:tc>
        <w:tc>
          <w:tcPr>
            <w:tcW w:w="1643" w:type="dxa"/>
            <w:noWrap w:val="0"/>
            <w:vAlign w:val="center"/>
          </w:tcPr>
          <w:p w14:paraId="22AB6413">
            <w:pPr>
              <w:jc w:val="center"/>
              <w:rPr>
                <w:rFonts w:hint="eastAsia" w:ascii="宋体" w:hAnsi="宋体" w:eastAsia="宋体" w:cs="宋体"/>
                <w:color w:val="auto"/>
                <w:sz w:val="21"/>
                <w:szCs w:val="21"/>
              </w:rPr>
            </w:pPr>
          </w:p>
        </w:tc>
        <w:tc>
          <w:tcPr>
            <w:tcW w:w="1116" w:type="dxa"/>
            <w:noWrap w:val="0"/>
            <w:vAlign w:val="center"/>
          </w:tcPr>
          <w:p w14:paraId="33EEDDF4">
            <w:pPr>
              <w:jc w:val="center"/>
              <w:rPr>
                <w:rFonts w:hint="eastAsia" w:ascii="宋体" w:hAnsi="宋体" w:eastAsia="宋体" w:cs="宋体"/>
                <w:color w:val="auto"/>
                <w:sz w:val="21"/>
                <w:szCs w:val="21"/>
              </w:rPr>
            </w:pPr>
          </w:p>
        </w:tc>
        <w:tc>
          <w:tcPr>
            <w:tcW w:w="1142" w:type="dxa"/>
            <w:noWrap w:val="0"/>
            <w:vAlign w:val="center"/>
          </w:tcPr>
          <w:p w14:paraId="278332D5">
            <w:pPr>
              <w:jc w:val="center"/>
              <w:rPr>
                <w:rFonts w:hint="eastAsia" w:ascii="宋体" w:hAnsi="宋体" w:eastAsia="宋体" w:cs="宋体"/>
                <w:color w:val="auto"/>
                <w:sz w:val="21"/>
                <w:szCs w:val="21"/>
              </w:rPr>
            </w:pPr>
          </w:p>
        </w:tc>
        <w:tc>
          <w:tcPr>
            <w:tcW w:w="1231" w:type="dxa"/>
            <w:noWrap w:val="0"/>
            <w:vAlign w:val="center"/>
          </w:tcPr>
          <w:p w14:paraId="576B6C7F">
            <w:pPr>
              <w:jc w:val="center"/>
              <w:rPr>
                <w:rFonts w:hint="eastAsia" w:ascii="宋体" w:hAnsi="宋体" w:eastAsia="宋体" w:cs="宋体"/>
                <w:color w:val="auto"/>
                <w:sz w:val="21"/>
                <w:szCs w:val="21"/>
              </w:rPr>
            </w:pPr>
          </w:p>
        </w:tc>
        <w:tc>
          <w:tcPr>
            <w:tcW w:w="1026" w:type="dxa"/>
            <w:noWrap w:val="0"/>
            <w:vAlign w:val="center"/>
          </w:tcPr>
          <w:p w14:paraId="21FF126C">
            <w:pPr>
              <w:jc w:val="center"/>
              <w:rPr>
                <w:rFonts w:hint="eastAsia" w:ascii="宋体" w:hAnsi="宋体" w:eastAsia="宋体" w:cs="宋体"/>
                <w:color w:val="auto"/>
                <w:sz w:val="21"/>
                <w:szCs w:val="21"/>
              </w:rPr>
            </w:pPr>
          </w:p>
        </w:tc>
      </w:tr>
      <w:tr w14:paraId="4D5C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824F3DF">
            <w:pPr>
              <w:jc w:val="center"/>
              <w:rPr>
                <w:rFonts w:hint="eastAsia" w:ascii="宋体" w:hAnsi="宋体" w:eastAsia="宋体" w:cs="宋体"/>
                <w:color w:val="auto"/>
                <w:sz w:val="21"/>
                <w:szCs w:val="21"/>
                <w:lang w:val="en-US" w:eastAsia="zh-CN"/>
              </w:rPr>
            </w:pPr>
          </w:p>
        </w:tc>
        <w:tc>
          <w:tcPr>
            <w:tcW w:w="1028" w:type="dxa"/>
            <w:noWrap w:val="0"/>
            <w:vAlign w:val="center"/>
          </w:tcPr>
          <w:p w14:paraId="5FA6ACA9">
            <w:pPr>
              <w:jc w:val="center"/>
              <w:rPr>
                <w:rFonts w:hint="eastAsia" w:ascii="宋体" w:hAnsi="宋体" w:eastAsia="宋体" w:cs="宋体"/>
                <w:color w:val="auto"/>
                <w:sz w:val="21"/>
                <w:szCs w:val="21"/>
              </w:rPr>
            </w:pPr>
          </w:p>
        </w:tc>
        <w:tc>
          <w:tcPr>
            <w:tcW w:w="1027" w:type="dxa"/>
            <w:noWrap w:val="0"/>
            <w:vAlign w:val="center"/>
          </w:tcPr>
          <w:p w14:paraId="323BE5A0">
            <w:pPr>
              <w:jc w:val="center"/>
              <w:rPr>
                <w:rFonts w:hint="eastAsia" w:ascii="宋体" w:hAnsi="宋体" w:eastAsia="宋体" w:cs="宋体"/>
                <w:color w:val="auto"/>
                <w:sz w:val="21"/>
                <w:szCs w:val="21"/>
              </w:rPr>
            </w:pPr>
          </w:p>
        </w:tc>
        <w:tc>
          <w:tcPr>
            <w:tcW w:w="1643" w:type="dxa"/>
            <w:noWrap w:val="0"/>
            <w:vAlign w:val="center"/>
          </w:tcPr>
          <w:p w14:paraId="2990751A">
            <w:pPr>
              <w:jc w:val="center"/>
              <w:rPr>
                <w:rFonts w:hint="eastAsia" w:ascii="宋体" w:hAnsi="宋体" w:eastAsia="宋体" w:cs="宋体"/>
                <w:color w:val="auto"/>
                <w:sz w:val="21"/>
                <w:szCs w:val="21"/>
              </w:rPr>
            </w:pPr>
          </w:p>
        </w:tc>
        <w:tc>
          <w:tcPr>
            <w:tcW w:w="1116" w:type="dxa"/>
            <w:noWrap w:val="0"/>
            <w:vAlign w:val="center"/>
          </w:tcPr>
          <w:p w14:paraId="0040C16D">
            <w:pPr>
              <w:jc w:val="center"/>
              <w:rPr>
                <w:rFonts w:hint="eastAsia" w:ascii="宋体" w:hAnsi="宋体" w:eastAsia="宋体" w:cs="宋体"/>
                <w:color w:val="auto"/>
                <w:sz w:val="21"/>
                <w:szCs w:val="21"/>
              </w:rPr>
            </w:pPr>
          </w:p>
        </w:tc>
        <w:tc>
          <w:tcPr>
            <w:tcW w:w="1142" w:type="dxa"/>
            <w:noWrap w:val="0"/>
            <w:vAlign w:val="center"/>
          </w:tcPr>
          <w:p w14:paraId="5FAD2656">
            <w:pPr>
              <w:jc w:val="center"/>
              <w:rPr>
                <w:rFonts w:hint="eastAsia" w:ascii="宋体" w:hAnsi="宋体" w:eastAsia="宋体" w:cs="宋体"/>
                <w:color w:val="auto"/>
                <w:sz w:val="21"/>
                <w:szCs w:val="21"/>
              </w:rPr>
            </w:pPr>
          </w:p>
        </w:tc>
        <w:tc>
          <w:tcPr>
            <w:tcW w:w="1231" w:type="dxa"/>
            <w:noWrap w:val="0"/>
            <w:vAlign w:val="center"/>
          </w:tcPr>
          <w:p w14:paraId="53C28603">
            <w:pPr>
              <w:jc w:val="center"/>
              <w:rPr>
                <w:rFonts w:hint="eastAsia" w:ascii="宋体" w:hAnsi="宋体" w:eastAsia="宋体" w:cs="宋体"/>
                <w:color w:val="auto"/>
                <w:sz w:val="21"/>
                <w:szCs w:val="21"/>
              </w:rPr>
            </w:pPr>
          </w:p>
        </w:tc>
        <w:tc>
          <w:tcPr>
            <w:tcW w:w="1026" w:type="dxa"/>
            <w:noWrap w:val="0"/>
            <w:vAlign w:val="center"/>
          </w:tcPr>
          <w:p w14:paraId="472FCCBD">
            <w:pPr>
              <w:jc w:val="center"/>
              <w:rPr>
                <w:rFonts w:hint="eastAsia" w:ascii="宋体" w:hAnsi="宋体" w:eastAsia="宋体" w:cs="宋体"/>
                <w:color w:val="auto"/>
                <w:sz w:val="21"/>
                <w:szCs w:val="21"/>
              </w:rPr>
            </w:pPr>
          </w:p>
        </w:tc>
      </w:tr>
      <w:tr w14:paraId="17B2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46971E1">
            <w:pPr>
              <w:jc w:val="center"/>
              <w:rPr>
                <w:rFonts w:hint="eastAsia" w:ascii="宋体" w:hAnsi="宋体" w:eastAsia="宋体" w:cs="宋体"/>
                <w:color w:val="auto"/>
                <w:sz w:val="21"/>
                <w:szCs w:val="21"/>
              </w:rPr>
            </w:pPr>
          </w:p>
        </w:tc>
        <w:tc>
          <w:tcPr>
            <w:tcW w:w="1028" w:type="dxa"/>
            <w:noWrap w:val="0"/>
            <w:vAlign w:val="center"/>
          </w:tcPr>
          <w:p w14:paraId="2F3AB020">
            <w:pPr>
              <w:jc w:val="center"/>
              <w:rPr>
                <w:rFonts w:hint="eastAsia" w:ascii="宋体" w:hAnsi="宋体" w:eastAsia="宋体" w:cs="宋体"/>
                <w:color w:val="auto"/>
                <w:sz w:val="21"/>
                <w:szCs w:val="21"/>
              </w:rPr>
            </w:pPr>
          </w:p>
        </w:tc>
        <w:tc>
          <w:tcPr>
            <w:tcW w:w="1027" w:type="dxa"/>
            <w:noWrap w:val="0"/>
            <w:vAlign w:val="center"/>
          </w:tcPr>
          <w:p w14:paraId="638418F1">
            <w:pPr>
              <w:jc w:val="center"/>
              <w:rPr>
                <w:rFonts w:hint="eastAsia" w:ascii="宋体" w:hAnsi="宋体" w:eastAsia="宋体" w:cs="宋体"/>
                <w:color w:val="auto"/>
                <w:sz w:val="21"/>
                <w:szCs w:val="21"/>
              </w:rPr>
            </w:pPr>
          </w:p>
        </w:tc>
        <w:tc>
          <w:tcPr>
            <w:tcW w:w="1643" w:type="dxa"/>
            <w:noWrap w:val="0"/>
            <w:vAlign w:val="center"/>
          </w:tcPr>
          <w:p w14:paraId="58606695">
            <w:pPr>
              <w:jc w:val="center"/>
              <w:rPr>
                <w:rFonts w:hint="eastAsia" w:ascii="宋体" w:hAnsi="宋体" w:eastAsia="宋体" w:cs="宋体"/>
                <w:color w:val="auto"/>
                <w:sz w:val="21"/>
                <w:szCs w:val="21"/>
              </w:rPr>
            </w:pPr>
          </w:p>
        </w:tc>
        <w:tc>
          <w:tcPr>
            <w:tcW w:w="1116" w:type="dxa"/>
            <w:noWrap w:val="0"/>
            <w:vAlign w:val="center"/>
          </w:tcPr>
          <w:p w14:paraId="6E6BCF4A">
            <w:pPr>
              <w:jc w:val="center"/>
              <w:rPr>
                <w:rFonts w:hint="eastAsia" w:ascii="宋体" w:hAnsi="宋体" w:eastAsia="宋体" w:cs="宋体"/>
                <w:color w:val="auto"/>
                <w:sz w:val="21"/>
                <w:szCs w:val="21"/>
              </w:rPr>
            </w:pPr>
          </w:p>
        </w:tc>
        <w:tc>
          <w:tcPr>
            <w:tcW w:w="1142" w:type="dxa"/>
            <w:noWrap w:val="0"/>
            <w:vAlign w:val="center"/>
          </w:tcPr>
          <w:p w14:paraId="502A490B">
            <w:pPr>
              <w:jc w:val="center"/>
              <w:rPr>
                <w:rFonts w:hint="eastAsia" w:ascii="宋体" w:hAnsi="宋体" w:eastAsia="宋体" w:cs="宋体"/>
                <w:color w:val="auto"/>
                <w:sz w:val="21"/>
                <w:szCs w:val="21"/>
              </w:rPr>
            </w:pPr>
          </w:p>
        </w:tc>
        <w:tc>
          <w:tcPr>
            <w:tcW w:w="1231" w:type="dxa"/>
            <w:noWrap w:val="0"/>
            <w:vAlign w:val="center"/>
          </w:tcPr>
          <w:p w14:paraId="2BE97E17">
            <w:pPr>
              <w:jc w:val="center"/>
              <w:rPr>
                <w:rFonts w:hint="eastAsia" w:ascii="宋体" w:hAnsi="宋体" w:eastAsia="宋体" w:cs="宋体"/>
                <w:color w:val="auto"/>
                <w:sz w:val="21"/>
                <w:szCs w:val="21"/>
              </w:rPr>
            </w:pPr>
          </w:p>
        </w:tc>
        <w:tc>
          <w:tcPr>
            <w:tcW w:w="1026" w:type="dxa"/>
            <w:noWrap w:val="0"/>
            <w:vAlign w:val="center"/>
          </w:tcPr>
          <w:p w14:paraId="4F244702">
            <w:pPr>
              <w:jc w:val="center"/>
              <w:rPr>
                <w:rFonts w:hint="eastAsia" w:ascii="宋体" w:hAnsi="宋体" w:eastAsia="宋体" w:cs="宋体"/>
                <w:color w:val="auto"/>
                <w:sz w:val="21"/>
                <w:szCs w:val="21"/>
              </w:rPr>
            </w:pPr>
          </w:p>
        </w:tc>
      </w:tr>
      <w:tr w14:paraId="4DBD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8995096">
            <w:pPr>
              <w:jc w:val="center"/>
              <w:rPr>
                <w:rFonts w:hint="eastAsia" w:ascii="宋体" w:hAnsi="宋体" w:eastAsia="宋体" w:cs="宋体"/>
                <w:color w:val="auto"/>
                <w:sz w:val="21"/>
                <w:szCs w:val="21"/>
              </w:rPr>
            </w:pPr>
          </w:p>
        </w:tc>
        <w:tc>
          <w:tcPr>
            <w:tcW w:w="1028" w:type="dxa"/>
            <w:noWrap w:val="0"/>
            <w:vAlign w:val="center"/>
          </w:tcPr>
          <w:p w14:paraId="57570F80">
            <w:pPr>
              <w:jc w:val="center"/>
              <w:rPr>
                <w:rFonts w:hint="eastAsia" w:ascii="宋体" w:hAnsi="宋体" w:eastAsia="宋体" w:cs="宋体"/>
                <w:color w:val="auto"/>
                <w:sz w:val="21"/>
                <w:szCs w:val="21"/>
              </w:rPr>
            </w:pPr>
          </w:p>
        </w:tc>
        <w:tc>
          <w:tcPr>
            <w:tcW w:w="1027" w:type="dxa"/>
            <w:noWrap w:val="0"/>
            <w:vAlign w:val="center"/>
          </w:tcPr>
          <w:p w14:paraId="7D345F34">
            <w:pPr>
              <w:jc w:val="center"/>
              <w:rPr>
                <w:rFonts w:hint="eastAsia" w:ascii="宋体" w:hAnsi="宋体" w:eastAsia="宋体" w:cs="宋体"/>
                <w:color w:val="auto"/>
                <w:sz w:val="21"/>
                <w:szCs w:val="21"/>
              </w:rPr>
            </w:pPr>
          </w:p>
        </w:tc>
        <w:tc>
          <w:tcPr>
            <w:tcW w:w="1643" w:type="dxa"/>
            <w:noWrap w:val="0"/>
            <w:vAlign w:val="center"/>
          </w:tcPr>
          <w:p w14:paraId="01E00250">
            <w:pPr>
              <w:jc w:val="center"/>
              <w:rPr>
                <w:rFonts w:hint="eastAsia" w:ascii="宋体" w:hAnsi="宋体" w:eastAsia="宋体" w:cs="宋体"/>
                <w:color w:val="auto"/>
                <w:sz w:val="21"/>
                <w:szCs w:val="21"/>
              </w:rPr>
            </w:pPr>
          </w:p>
        </w:tc>
        <w:tc>
          <w:tcPr>
            <w:tcW w:w="1116" w:type="dxa"/>
            <w:noWrap w:val="0"/>
            <w:vAlign w:val="center"/>
          </w:tcPr>
          <w:p w14:paraId="235D5CC6">
            <w:pPr>
              <w:jc w:val="center"/>
              <w:rPr>
                <w:rFonts w:hint="eastAsia" w:ascii="宋体" w:hAnsi="宋体" w:eastAsia="宋体" w:cs="宋体"/>
                <w:color w:val="auto"/>
                <w:sz w:val="21"/>
                <w:szCs w:val="21"/>
              </w:rPr>
            </w:pPr>
          </w:p>
        </w:tc>
        <w:tc>
          <w:tcPr>
            <w:tcW w:w="1142" w:type="dxa"/>
            <w:noWrap w:val="0"/>
            <w:vAlign w:val="center"/>
          </w:tcPr>
          <w:p w14:paraId="0A54499D">
            <w:pPr>
              <w:jc w:val="center"/>
              <w:rPr>
                <w:rFonts w:hint="eastAsia" w:ascii="宋体" w:hAnsi="宋体" w:eastAsia="宋体" w:cs="宋体"/>
                <w:color w:val="auto"/>
                <w:sz w:val="21"/>
                <w:szCs w:val="21"/>
              </w:rPr>
            </w:pPr>
          </w:p>
        </w:tc>
        <w:tc>
          <w:tcPr>
            <w:tcW w:w="1231" w:type="dxa"/>
            <w:noWrap w:val="0"/>
            <w:vAlign w:val="center"/>
          </w:tcPr>
          <w:p w14:paraId="2DFB1B2F">
            <w:pPr>
              <w:jc w:val="center"/>
              <w:rPr>
                <w:rFonts w:hint="eastAsia" w:ascii="宋体" w:hAnsi="宋体" w:eastAsia="宋体" w:cs="宋体"/>
                <w:color w:val="auto"/>
                <w:sz w:val="21"/>
                <w:szCs w:val="21"/>
              </w:rPr>
            </w:pPr>
          </w:p>
        </w:tc>
        <w:tc>
          <w:tcPr>
            <w:tcW w:w="1026" w:type="dxa"/>
            <w:noWrap w:val="0"/>
            <w:vAlign w:val="center"/>
          </w:tcPr>
          <w:p w14:paraId="62610F18">
            <w:pPr>
              <w:jc w:val="center"/>
              <w:rPr>
                <w:rFonts w:hint="eastAsia" w:ascii="宋体" w:hAnsi="宋体" w:eastAsia="宋体" w:cs="宋体"/>
                <w:color w:val="auto"/>
                <w:sz w:val="21"/>
                <w:szCs w:val="21"/>
              </w:rPr>
            </w:pPr>
          </w:p>
        </w:tc>
      </w:tr>
      <w:tr w14:paraId="1AFC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1C9A95A">
            <w:pPr>
              <w:jc w:val="center"/>
              <w:rPr>
                <w:rFonts w:hint="eastAsia" w:ascii="宋体" w:hAnsi="宋体" w:eastAsia="宋体" w:cs="宋体"/>
                <w:color w:val="auto"/>
                <w:sz w:val="21"/>
                <w:szCs w:val="21"/>
              </w:rPr>
            </w:pPr>
          </w:p>
        </w:tc>
        <w:tc>
          <w:tcPr>
            <w:tcW w:w="1028" w:type="dxa"/>
            <w:noWrap w:val="0"/>
            <w:vAlign w:val="center"/>
          </w:tcPr>
          <w:p w14:paraId="53BCB52F">
            <w:pPr>
              <w:jc w:val="center"/>
              <w:rPr>
                <w:rFonts w:hint="eastAsia" w:ascii="宋体" w:hAnsi="宋体" w:eastAsia="宋体" w:cs="宋体"/>
                <w:color w:val="auto"/>
                <w:sz w:val="21"/>
                <w:szCs w:val="21"/>
              </w:rPr>
            </w:pPr>
          </w:p>
        </w:tc>
        <w:tc>
          <w:tcPr>
            <w:tcW w:w="1027" w:type="dxa"/>
            <w:noWrap w:val="0"/>
            <w:vAlign w:val="center"/>
          </w:tcPr>
          <w:p w14:paraId="4D91127A">
            <w:pPr>
              <w:jc w:val="center"/>
              <w:rPr>
                <w:rFonts w:hint="eastAsia" w:ascii="宋体" w:hAnsi="宋体" w:eastAsia="宋体" w:cs="宋体"/>
                <w:color w:val="auto"/>
                <w:sz w:val="21"/>
                <w:szCs w:val="21"/>
              </w:rPr>
            </w:pPr>
          </w:p>
        </w:tc>
        <w:tc>
          <w:tcPr>
            <w:tcW w:w="1643" w:type="dxa"/>
            <w:noWrap w:val="0"/>
            <w:vAlign w:val="center"/>
          </w:tcPr>
          <w:p w14:paraId="16D408F1">
            <w:pPr>
              <w:jc w:val="center"/>
              <w:rPr>
                <w:rFonts w:hint="eastAsia" w:ascii="宋体" w:hAnsi="宋体" w:eastAsia="宋体" w:cs="宋体"/>
                <w:color w:val="auto"/>
                <w:sz w:val="21"/>
                <w:szCs w:val="21"/>
              </w:rPr>
            </w:pPr>
          </w:p>
        </w:tc>
        <w:tc>
          <w:tcPr>
            <w:tcW w:w="1116" w:type="dxa"/>
            <w:noWrap w:val="0"/>
            <w:vAlign w:val="center"/>
          </w:tcPr>
          <w:p w14:paraId="30A177A7">
            <w:pPr>
              <w:jc w:val="center"/>
              <w:rPr>
                <w:rFonts w:hint="eastAsia" w:ascii="宋体" w:hAnsi="宋体" w:eastAsia="宋体" w:cs="宋体"/>
                <w:color w:val="auto"/>
                <w:sz w:val="21"/>
                <w:szCs w:val="21"/>
              </w:rPr>
            </w:pPr>
          </w:p>
        </w:tc>
        <w:tc>
          <w:tcPr>
            <w:tcW w:w="1142" w:type="dxa"/>
            <w:noWrap w:val="0"/>
            <w:vAlign w:val="center"/>
          </w:tcPr>
          <w:p w14:paraId="698B0B13">
            <w:pPr>
              <w:jc w:val="center"/>
              <w:rPr>
                <w:rFonts w:hint="eastAsia" w:ascii="宋体" w:hAnsi="宋体" w:eastAsia="宋体" w:cs="宋体"/>
                <w:color w:val="auto"/>
                <w:sz w:val="21"/>
                <w:szCs w:val="21"/>
              </w:rPr>
            </w:pPr>
          </w:p>
        </w:tc>
        <w:tc>
          <w:tcPr>
            <w:tcW w:w="1231" w:type="dxa"/>
            <w:noWrap w:val="0"/>
            <w:vAlign w:val="center"/>
          </w:tcPr>
          <w:p w14:paraId="6F133FD8">
            <w:pPr>
              <w:jc w:val="center"/>
              <w:rPr>
                <w:rFonts w:hint="eastAsia" w:ascii="宋体" w:hAnsi="宋体" w:eastAsia="宋体" w:cs="宋体"/>
                <w:color w:val="auto"/>
                <w:sz w:val="21"/>
                <w:szCs w:val="21"/>
              </w:rPr>
            </w:pPr>
          </w:p>
        </w:tc>
        <w:tc>
          <w:tcPr>
            <w:tcW w:w="1026" w:type="dxa"/>
            <w:noWrap w:val="0"/>
            <w:vAlign w:val="center"/>
          </w:tcPr>
          <w:p w14:paraId="57F5BA8F">
            <w:pPr>
              <w:jc w:val="center"/>
              <w:rPr>
                <w:rFonts w:hint="eastAsia" w:ascii="宋体" w:hAnsi="宋体" w:eastAsia="宋体" w:cs="宋体"/>
                <w:color w:val="auto"/>
                <w:sz w:val="21"/>
                <w:szCs w:val="21"/>
              </w:rPr>
            </w:pPr>
          </w:p>
        </w:tc>
      </w:tr>
      <w:tr w14:paraId="06CB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187FFC0">
            <w:pPr>
              <w:jc w:val="center"/>
              <w:rPr>
                <w:rFonts w:hint="eastAsia" w:ascii="宋体" w:hAnsi="宋体" w:eastAsia="宋体" w:cs="宋体"/>
                <w:color w:val="auto"/>
                <w:sz w:val="21"/>
                <w:szCs w:val="21"/>
              </w:rPr>
            </w:pPr>
          </w:p>
        </w:tc>
        <w:tc>
          <w:tcPr>
            <w:tcW w:w="1028" w:type="dxa"/>
            <w:noWrap w:val="0"/>
            <w:vAlign w:val="center"/>
          </w:tcPr>
          <w:p w14:paraId="7579BB71">
            <w:pPr>
              <w:jc w:val="center"/>
              <w:rPr>
                <w:rFonts w:hint="eastAsia" w:ascii="宋体" w:hAnsi="宋体" w:eastAsia="宋体" w:cs="宋体"/>
                <w:color w:val="auto"/>
                <w:sz w:val="21"/>
                <w:szCs w:val="21"/>
              </w:rPr>
            </w:pPr>
          </w:p>
        </w:tc>
        <w:tc>
          <w:tcPr>
            <w:tcW w:w="1027" w:type="dxa"/>
            <w:noWrap w:val="0"/>
            <w:vAlign w:val="center"/>
          </w:tcPr>
          <w:p w14:paraId="3D9D9001">
            <w:pPr>
              <w:jc w:val="center"/>
              <w:rPr>
                <w:rFonts w:hint="eastAsia" w:ascii="宋体" w:hAnsi="宋体" w:eastAsia="宋体" w:cs="宋体"/>
                <w:color w:val="auto"/>
                <w:sz w:val="21"/>
                <w:szCs w:val="21"/>
              </w:rPr>
            </w:pPr>
          </w:p>
        </w:tc>
        <w:tc>
          <w:tcPr>
            <w:tcW w:w="1643" w:type="dxa"/>
            <w:noWrap w:val="0"/>
            <w:vAlign w:val="center"/>
          </w:tcPr>
          <w:p w14:paraId="676F32DF">
            <w:pPr>
              <w:jc w:val="center"/>
              <w:rPr>
                <w:rFonts w:hint="eastAsia" w:ascii="宋体" w:hAnsi="宋体" w:eastAsia="宋体" w:cs="宋体"/>
                <w:color w:val="auto"/>
                <w:sz w:val="21"/>
                <w:szCs w:val="21"/>
              </w:rPr>
            </w:pPr>
          </w:p>
        </w:tc>
        <w:tc>
          <w:tcPr>
            <w:tcW w:w="1116" w:type="dxa"/>
            <w:noWrap w:val="0"/>
            <w:vAlign w:val="center"/>
          </w:tcPr>
          <w:p w14:paraId="29B7A783">
            <w:pPr>
              <w:jc w:val="center"/>
              <w:rPr>
                <w:rFonts w:hint="eastAsia" w:ascii="宋体" w:hAnsi="宋体" w:eastAsia="宋体" w:cs="宋体"/>
                <w:color w:val="auto"/>
                <w:sz w:val="21"/>
                <w:szCs w:val="21"/>
              </w:rPr>
            </w:pPr>
          </w:p>
        </w:tc>
        <w:tc>
          <w:tcPr>
            <w:tcW w:w="1142" w:type="dxa"/>
            <w:noWrap w:val="0"/>
            <w:vAlign w:val="center"/>
          </w:tcPr>
          <w:p w14:paraId="21F6273F">
            <w:pPr>
              <w:jc w:val="center"/>
              <w:rPr>
                <w:rFonts w:hint="eastAsia" w:ascii="宋体" w:hAnsi="宋体" w:eastAsia="宋体" w:cs="宋体"/>
                <w:color w:val="auto"/>
                <w:sz w:val="21"/>
                <w:szCs w:val="21"/>
              </w:rPr>
            </w:pPr>
          </w:p>
        </w:tc>
        <w:tc>
          <w:tcPr>
            <w:tcW w:w="1231" w:type="dxa"/>
            <w:noWrap w:val="0"/>
            <w:vAlign w:val="center"/>
          </w:tcPr>
          <w:p w14:paraId="49280DC2">
            <w:pPr>
              <w:jc w:val="center"/>
              <w:rPr>
                <w:rFonts w:hint="eastAsia" w:ascii="宋体" w:hAnsi="宋体" w:eastAsia="宋体" w:cs="宋体"/>
                <w:color w:val="auto"/>
                <w:sz w:val="21"/>
                <w:szCs w:val="21"/>
              </w:rPr>
            </w:pPr>
          </w:p>
        </w:tc>
        <w:tc>
          <w:tcPr>
            <w:tcW w:w="1026" w:type="dxa"/>
            <w:noWrap w:val="0"/>
            <w:vAlign w:val="center"/>
          </w:tcPr>
          <w:p w14:paraId="5487A627">
            <w:pPr>
              <w:jc w:val="center"/>
              <w:rPr>
                <w:rFonts w:hint="eastAsia" w:ascii="宋体" w:hAnsi="宋体" w:eastAsia="宋体" w:cs="宋体"/>
                <w:color w:val="auto"/>
                <w:sz w:val="21"/>
                <w:szCs w:val="21"/>
              </w:rPr>
            </w:pPr>
          </w:p>
        </w:tc>
      </w:tr>
      <w:tr w14:paraId="42F1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23C5214">
            <w:pPr>
              <w:jc w:val="center"/>
              <w:rPr>
                <w:rFonts w:hint="eastAsia" w:ascii="宋体" w:hAnsi="宋体" w:eastAsia="宋体" w:cs="宋体"/>
                <w:color w:val="auto"/>
                <w:sz w:val="21"/>
                <w:szCs w:val="21"/>
              </w:rPr>
            </w:pPr>
          </w:p>
        </w:tc>
        <w:tc>
          <w:tcPr>
            <w:tcW w:w="1028" w:type="dxa"/>
            <w:noWrap w:val="0"/>
            <w:vAlign w:val="center"/>
          </w:tcPr>
          <w:p w14:paraId="0A3C33ED">
            <w:pPr>
              <w:jc w:val="center"/>
              <w:rPr>
                <w:rFonts w:hint="eastAsia" w:ascii="宋体" w:hAnsi="宋体" w:eastAsia="宋体" w:cs="宋体"/>
                <w:color w:val="auto"/>
                <w:sz w:val="21"/>
                <w:szCs w:val="21"/>
              </w:rPr>
            </w:pPr>
          </w:p>
        </w:tc>
        <w:tc>
          <w:tcPr>
            <w:tcW w:w="1027" w:type="dxa"/>
            <w:noWrap w:val="0"/>
            <w:vAlign w:val="center"/>
          </w:tcPr>
          <w:p w14:paraId="6FCC1A40">
            <w:pPr>
              <w:jc w:val="center"/>
              <w:rPr>
                <w:rFonts w:hint="eastAsia" w:ascii="宋体" w:hAnsi="宋体" w:eastAsia="宋体" w:cs="宋体"/>
                <w:color w:val="auto"/>
                <w:sz w:val="21"/>
                <w:szCs w:val="21"/>
              </w:rPr>
            </w:pPr>
          </w:p>
        </w:tc>
        <w:tc>
          <w:tcPr>
            <w:tcW w:w="1643" w:type="dxa"/>
            <w:noWrap w:val="0"/>
            <w:vAlign w:val="center"/>
          </w:tcPr>
          <w:p w14:paraId="6630BEA5">
            <w:pPr>
              <w:jc w:val="center"/>
              <w:rPr>
                <w:rFonts w:hint="eastAsia" w:ascii="宋体" w:hAnsi="宋体" w:eastAsia="宋体" w:cs="宋体"/>
                <w:color w:val="auto"/>
                <w:sz w:val="21"/>
                <w:szCs w:val="21"/>
              </w:rPr>
            </w:pPr>
          </w:p>
        </w:tc>
        <w:tc>
          <w:tcPr>
            <w:tcW w:w="1116" w:type="dxa"/>
            <w:noWrap w:val="0"/>
            <w:vAlign w:val="center"/>
          </w:tcPr>
          <w:p w14:paraId="663DCD11">
            <w:pPr>
              <w:jc w:val="center"/>
              <w:rPr>
                <w:rFonts w:hint="eastAsia" w:ascii="宋体" w:hAnsi="宋体" w:eastAsia="宋体" w:cs="宋体"/>
                <w:color w:val="auto"/>
                <w:sz w:val="21"/>
                <w:szCs w:val="21"/>
              </w:rPr>
            </w:pPr>
          </w:p>
        </w:tc>
        <w:tc>
          <w:tcPr>
            <w:tcW w:w="1142" w:type="dxa"/>
            <w:noWrap w:val="0"/>
            <w:vAlign w:val="center"/>
          </w:tcPr>
          <w:p w14:paraId="5F0F9D01">
            <w:pPr>
              <w:jc w:val="center"/>
              <w:rPr>
                <w:rFonts w:hint="eastAsia" w:ascii="宋体" w:hAnsi="宋体" w:eastAsia="宋体" w:cs="宋体"/>
                <w:color w:val="auto"/>
                <w:sz w:val="21"/>
                <w:szCs w:val="21"/>
              </w:rPr>
            </w:pPr>
          </w:p>
        </w:tc>
        <w:tc>
          <w:tcPr>
            <w:tcW w:w="1231" w:type="dxa"/>
            <w:noWrap w:val="0"/>
            <w:vAlign w:val="center"/>
          </w:tcPr>
          <w:p w14:paraId="25571E36">
            <w:pPr>
              <w:jc w:val="center"/>
              <w:rPr>
                <w:rFonts w:hint="eastAsia" w:ascii="宋体" w:hAnsi="宋体" w:eastAsia="宋体" w:cs="宋体"/>
                <w:color w:val="auto"/>
                <w:sz w:val="21"/>
                <w:szCs w:val="21"/>
              </w:rPr>
            </w:pPr>
          </w:p>
        </w:tc>
        <w:tc>
          <w:tcPr>
            <w:tcW w:w="1026" w:type="dxa"/>
            <w:noWrap w:val="0"/>
            <w:vAlign w:val="center"/>
          </w:tcPr>
          <w:p w14:paraId="45C511A8">
            <w:pPr>
              <w:jc w:val="center"/>
              <w:rPr>
                <w:rFonts w:hint="eastAsia" w:ascii="宋体" w:hAnsi="宋体" w:eastAsia="宋体" w:cs="宋体"/>
                <w:color w:val="auto"/>
                <w:sz w:val="21"/>
                <w:szCs w:val="21"/>
              </w:rPr>
            </w:pPr>
          </w:p>
        </w:tc>
      </w:tr>
      <w:tr w14:paraId="5540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4C2C988">
            <w:pPr>
              <w:jc w:val="center"/>
              <w:rPr>
                <w:rFonts w:hint="eastAsia" w:ascii="宋体" w:hAnsi="宋体" w:eastAsia="宋体" w:cs="宋体"/>
                <w:color w:val="auto"/>
                <w:sz w:val="21"/>
                <w:szCs w:val="21"/>
              </w:rPr>
            </w:pPr>
          </w:p>
        </w:tc>
        <w:tc>
          <w:tcPr>
            <w:tcW w:w="1028" w:type="dxa"/>
            <w:noWrap w:val="0"/>
            <w:vAlign w:val="center"/>
          </w:tcPr>
          <w:p w14:paraId="305571CA">
            <w:pPr>
              <w:jc w:val="center"/>
              <w:rPr>
                <w:rFonts w:hint="eastAsia" w:ascii="宋体" w:hAnsi="宋体" w:eastAsia="宋体" w:cs="宋体"/>
                <w:color w:val="auto"/>
                <w:sz w:val="21"/>
                <w:szCs w:val="21"/>
              </w:rPr>
            </w:pPr>
          </w:p>
        </w:tc>
        <w:tc>
          <w:tcPr>
            <w:tcW w:w="1027" w:type="dxa"/>
            <w:noWrap w:val="0"/>
            <w:vAlign w:val="center"/>
          </w:tcPr>
          <w:p w14:paraId="0EC8AB50">
            <w:pPr>
              <w:jc w:val="center"/>
              <w:rPr>
                <w:rFonts w:hint="eastAsia" w:ascii="宋体" w:hAnsi="宋体" w:eastAsia="宋体" w:cs="宋体"/>
                <w:color w:val="auto"/>
                <w:sz w:val="21"/>
                <w:szCs w:val="21"/>
              </w:rPr>
            </w:pPr>
          </w:p>
        </w:tc>
        <w:tc>
          <w:tcPr>
            <w:tcW w:w="1643" w:type="dxa"/>
            <w:noWrap w:val="0"/>
            <w:vAlign w:val="center"/>
          </w:tcPr>
          <w:p w14:paraId="7C4CE48A">
            <w:pPr>
              <w:jc w:val="center"/>
              <w:rPr>
                <w:rFonts w:hint="eastAsia" w:ascii="宋体" w:hAnsi="宋体" w:eastAsia="宋体" w:cs="宋体"/>
                <w:color w:val="auto"/>
                <w:sz w:val="21"/>
                <w:szCs w:val="21"/>
              </w:rPr>
            </w:pPr>
          </w:p>
        </w:tc>
        <w:tc>
          <w:tcPr>
            <w:tcW w:w="1116" w:type="dxa"/>
            <w:noWrap w:val="0"/>
            <w:vAlign w:val="center"/>
          </w:tcPr>
          <w:p w14:paraId="7FA779BF">
            <w:pPr>
              <w:jc w:val="center"/>
              <w:rPr>
                <w:rFonts w:hint="eastAsia" w:ascii="宋体" w:hAnsi="宋体" w:eastAsia="宋体" w:cs="宋体"/>
                <w:color w:val="auto"/>
                <w:sz w:val="21"/>
                <w:szCs w:val="21"/>
              </w:rPr>
            </w:pPr>
          </w:p>
        </w:tc>
        <w:tc>
          <w:tcPr>
            <w:tcW w:w="1142" w:type="dxa"/>
            <w:noWrap w:val="0"/>
            <w:vAlign w:val="center"/>
          </w:tcPr>
          <w:p w14:paraId="1ECCCA98">
            <w:pPr>
              <w:jc w:val="center"/>
              <w:rPr>
                <w:rFonts w:hint="eastAsia" w:ascii="宋体" w:hAnsi="宋体" w:eastAsia="宋体" w:cs="宋体"/>
                <w:color w:val="auto"/>
                <w:sz w:val="21"/>
                <w:szCs w:val="21"/>
              </w:rPr>
            </w:pPr>
          </w:p>
        </w:tc>
        <w:tc>
          <w:tcPr>
            <w:tcW w:w="1231" w:type="dxa"/>
            <w:noWrap w:val="0"/>
            <w:vAlign w:val="center"/>
          </w:tcPr>
          <w:p w14:paraId="687B2566">
            <w:pPr>
              <w:jc w:val="center"/>
              <w:rPr>
                <w:rFonts w:hint="eastAsia" w:ascii="宋体" w:hAnsi="宋体" w:eastAsia="宋体" w:cs="宋体"/>
                <w:color w:val="auto"/>
                <w:sz w:val="21"/>
                <w:szCs w:val="21"/>
              </w:rPr>
            </w:pPr>
          </w:p>
        </w:tc>
        <w:tc>
          <w:tcPr>
            <w:tcW w:w="1026" w:type="dxa"/>
            <w:noWrap w:val="0"/>
            <w:vAlign w:val="center"/>
          </w:tcPr>
          <w:p w14:paraId="05961603">
            <w:pPr>
              <w:jc w:val="center"/>
              <w:rPr>
                <w:rFonts w:hint="eastAsia" w:ascii="宋体" w:hAnsi="宋体" w:eastAsia="宋体" w:cs="宋体"/>
                <w:color w:val="auto"/>
                <w:sz w:val="21"/>
                <w:szCs w:val="21"/>
              </w:rPr>
            </w:pPr>
          </w:p>
        </w:tc>
      </w:tr>
      <w:tr w14:paraId="19D9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772F5F89">
            <w:pPr>
              <w:jc w:val="center"/>
              <w:rPr>
                <w:rFonts w:hint="eastAsia" w:ascii="宋体" w:hAnsi="宋体" w:eastAsia="宋体" w:cs="宋体"/>
                <w:color w:val="auto"/>
                <w:sz w:val="21"/>
                <w:szCs w:val="21"/>
              </w:rPr>
            </w:pPr>
          </w:p>
        </w:tc>
        <w:tc>
          <w:tcPr>
            <w:tcW w:w="1028" w:type="dxa"/>
            <w:noWrap w:val="0"/>
            <w:vAlign w:val="center"/>
          </w:tcPr>
          <w:p w14:paraId="13B01EF6">
            <w:pPr>
              <w:jc w:val="center"/>
              <w:rPr>
                <w:rFonts w:hint="eastAsia" w:ascii="宋体" w:hAnsi="宋体" w:eastAsia="宋体" w:cs="宋体"/>
                <w:color w:val="auto"/>
                <w:sz w:val="21"/>
                <w:szCs w:val="21"/>
              </w:rPr>
            </w:pPr>
          </w:p>
        </w:tc>
        <w:tc>
          <w:tcPr>
            <w:tcW w:w="1027" w:type="dxa"/>
            <w:noWrap w:val="0"/>
            <w:vAlign w:val="center"/>
          </w:tcPr>
          <w:p w14:paraId="4A19FFB3">
            <w:pPr>
              <w:jc w:val="center"/>
              <w:rPr>
                <w:rFonts w:hint="eastAsia" w:ascii="宋体" w:hAnsi="宋体" w:eastAsia="宋体" w:cs="宋体"/>
                <w:color w:val="auto"/>
                <w:sz w:val="21"/>
                <w:szCs w:val="21"/>
              </w:rPr>
            </w:pPr>
          </w:p>
        </w:tc>
        <w:tc>
          <w:tcPr>
            <w:tcW w:w="1643" w:type="dxa"/>
            <w:noWrap w:val="0"/>
            <w:vAlign w:val="center"/>
          </w:tcPr>
          <w:p w14:paraId="6541DD5C">
            <w:pPr>
              <w:jc w:val="center"/>
              <w:rPr>
                <w:rFonts w:hint="eastAsia" w:ascii="宋体" w:hAnsi="宋体" w:eastAsia="宋体" w:cs="宋体"/>
                <w:color w:val="auto"/>
                <w:sz w:val="21"/>
                <w:szCs w:val="21"/>
              </w:rPr>
            </w:pPr>
          </w:p>
        </w:tc>
        <w:tc>
          <w:tcPr>
            <w:tcW w:w="1116" w:type="dxa"/>
            <w:noWrap w:val="0"/>
            <w:vAlign w:val="center"/>
          </w:tcPr>
          <w:p w14:paraId="6808ECD7">
            <w:pPr>
              <w:jc w:val="center"/>
              <w:rPr>
                <w:rFonts w:hint="eastAsia" w:ascii="宋体" w:hAnsi="宋体" w:eastAsia="宋体" w:cs="宋体"/>
                <w:color w:val="auto"/>
                <w:sz w:val="21"/>
                <w:szCs w:val="21"/>
              </w:rPr>
            </w:pPr>
          </w:p>
        </w:tc>
        <w:tc>
          <w:tcPr>
            <w:tcW w:w="1142" w:type="dxa"/>
            <w:noWrap w:val="0"/>
            <w:vAlign w:val="center"/>
          </w:tcPr>
          <w:p w14:paraId="1424D11B">
            <w:pPr>
              <w:jc w:val="center"/>
              <w:rPr>
                <w:rFonts w:hint="eastAsia" w:ascii="宋体" w:hAnsi="宋体" w:eastAsia="宋体" w:cs="宋体"/>
                <w:color w:val="auto"/>
                <w:sz w:val="21"/>
                <w:szCs w:val="21"/>
              </w:rPr>
            </w:pPr>
          </w:p>
        </w:tc>
        <w:tc>
          <w:tcPr>
            <w:tcW w:w="1231" w:type="dxa"/>
            <w:noWrap w:val="0"/>
            <w:vAlign w:val="center"/>
          </w:tcPr>
          <w:p w14:paraId="1130A839">
            <w:pPr>
              <w:jc w:val="center"/>
              <w:rPr>
                <w:rFonts w:hint="eastAsia" w:ascii="宋体" w:hAnsi="宋体" w:eastAsia="宋体" w:cs="宋体"/>
                <w:color w:val="auto"/>
                <w:sz w:val="21"/>
                <w:szCs w:val="21"/>
              </w:rPr>
            </w:pPr>
          </w:p>
        </w:tc>
        <w:tc>
          <w:tcPr>
            <w:tcW w:w="1026" w:type="dxa"/>
            <w:noWrap w:val="0"/>
            <w:vAlign w:val="center"/>
          </w:tcPr>
          <w:p w14:paraId="74DB71DD">
            <w:pPr>
              <w:jc w:val="center"/>
              <w:rPr>
                <w:rFonts w:hint="eastAsia" w:ascii="宋体" w:hAnsi="宋体" w:eastAsia="宋体" w:cs="宋体"/>
                <w:color w:val="auto"/>
                <w:sz w:val="21"/>
                <w:szCs w:val="21"/>
              </w:rPr>
            </w:pPr>
          </w:p>
        </w:tc>
      </w:tr>
      <w:tr w14:paraId="6CF5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104750C">
            <w:pPr>
              <w:jc w:val="center"/>
              <w:rPr>
                <w:rFonts w:hint="eastAsia" w:ascii="宋体" w:hAnsi="宋体" w:eastAsia="宋体" w:cs="宋体"/>
                <w:color w:val="auto"/>
                <w:sz w:val="21"/>
                <w:szCs w:val="21"/>
              </w:rPr>
            </w:pPr>
          </w:p>
        </w:tc>
        <w:tc>
          <w:tcPr>
            <w:tcW w:w="1028" w:type="dxa"/>
            <w:noWrap w:val="0"/>
            <w:vAlign w:val="center"/>
          </w:tcPr>
          <w:p w14:paraId="1CFA001F">
            <w:pPr>
              <w:jc w:val="center"/>
              <w:rPr>
                <w:rFonts w:hint="eastAsia" w:ascii="宋体" w:hAnsi="宋体" w:eastAsia="宋体" w:cs="宋体"/>
                <w:color w:val="auto"/>
                <w:sz w:val="21"/>
                <w:szCs w:val="21"/>
              </w:rPr>
            </w:pPr>
          </w:p>
        </w:tc>
        <w:tc>
          <w:tcPr>
            <w:tcW w:w="1027" w:type="dxa"/>
            <w:noWrap w:val="0"/>
            <w:vAlign w:val="center"/>
          </w:tcPr>
          <w:p w14:paraId="1B9B83CC">
            <w:pPr>
              <w:jc w:val="center"/>
              <w:rPr>
                <w:rFonts w:hint="eastAsia" w:ascii="宋体" w:hAnsi="宋体" w:eastAsia="宋体" w:cs="宋体"/>
                <w:color w:val="auto"/>
                <w:sz w:val="21"/>
                <w:szCs w:val="21"/>
              </w:rPr>
            </w:pPr>
          </w:p>
        </w:tc>
        <w:tc>
          <w:tcPr>
            <w:tcW w:w="1643" w:type="dxa"/>
            <w:noWrap w:val="0"/>
            <w:vAlign w:val="center"/>
          </w:tcPr>
          <w:p w14:paraId="6D63C4AC">
            <w:pPr>
              <w:jc w:val="center"/>
              <w:rPr>
                <w:rFonts w:hint="eastAsia" w:ascii="宋体" w:hAnsi="宋体" w:eastAsia="宋体" w:cs="宋体"/>
                <w:color w:val="auto"/>
                <w:sz w:val="21"/>
                <w:szCs w:val="21"/>
              </w:rPr>
            </w:pPr>
          </w:p>
        </w:tc>
        <w:tc>
          <w:tcPr>
            <w:tcW w:w="1116" w:type="dxa"/>
            <w:noWrap w:val="0"/>
            <w:vAlign w:val="center"/>
          </w:tcPr>
          <w:p w14:paraId="635838BC">
            <w:pPr>
              <w:jc w:val="center"/>
              <w:rPr>
                <w:rFonts w:hint="eastAsia" w:ascii="宋体" w:hAnsi="宋体" w:eastAsia="宋体" w:cs="宋体"/>
                <w:color w:val="auto"/>
                <w:sz w:val="21"/>
                <w:szCs w:val="21"/>
              </w:rPr>
            </w:pPr>
          </w:p>
        </w:tc>
        <w:tc>
          <w:tcPr>
            <w:tcW w:w="1142" w:type="dxa"/>
            <w:noWrap w:val="0"/>
            <w:vAlign w:val="center"/>
          </w:tcPr>
          <w:p w14:paraId="7AADD89B">
            <w:pPr>
              <w:jc w:val="center"/>
              <w:rPr>
                <w:rFonts w:hint="eastAsia" w:ascii="宋体" w:hAnsi="宋体" w:eastAsia="宋体" w:cs="宋体"/>
                <w:color w:val="auto"/>
                <w:sz w:val="21"/>
                <w:szCs w:val="21"/>
              </w:rPr>
            </w:pPr>
          </w:p>
        </w:tc>
        <w:tc>
          <w:tcPr>
            <w:tcW w:w="1231" w:type="dxa"/>
            <w:noWrap w:val="0"/>
            <w:vAlign w:val="center"/>
          </w:tcPr>
          <w:p w14:paraId="68C77000">
            <w:pPr>
              <w:jc w:val="center"/>
              <w:rPr>
                <w:rFonts w:hint="eastAsia" w:ascii="宋体" w:hAnsi="宋体" w:eastAsia="宋体" w:cs="宋体"/>
                <w:color w:val="auto"/>
                <w:sz w:val="21"/>
                <w:szCs w:val="21"/>
              </w:rPr>
            </w:pPr>
          </w:p>
        </w:tc>
        <w:tc>
          <w:tcPr>
            <w:tcW w:w="1026" w:type="dxa"/>
            <w:noWrap w:val="0"/>
            <w:vAlign w:val="center"/>
          </w:tcPr>
          <w:p w14:paraId="46709128">
            <w:pPr>
              <w:jc w:val="center"/>
              <w:rPr>
                <w:rFonts w:hint="eastAsia" w:ascii="宋体" w:hAnsi="宋体" w:eastAsia="宋体" w:cs="宋体"/>
                <w:color w:val="auto"/>
                <w:sz w:val="21"/>
                <w:szCs w:val="21"/>
              </w:rPr>
            </w:pPr>
          </w:p>
        </w:tc>
      </w:tr>
      <w:tr w14:paraId="3867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9A7FF7A">
            <w:pPr>
              <w:jc w:val="center"/>
              <w:rPr>
                <w:rFonts w:hint="eastAsia" w:ascii="宋体" w:hAnsi="宋体" w:eastAsia="宋体" w:cs="宋体"/>
                <w:color w:val="auto"/>
                <w:sz w:val="21"/>
                <w:szCs w:val="21"/>
              </w:rPr>
            </w:pPr>
          </w:p>
        </w:tc>
        <w:tc>
          <w:tcPr>
            <w:tcW w:w="1028" w:type="dxa"/>
            <w:noWrap w:val="0"/>
            <w:vAlign w:val="center"/>
          </w:tcPr>
          <w:p w14:paraId="5408007C">
            <w:pPr>
              <w:jc w:val="center"/>
              <w:rPr>
                <w:rFonts w:hint="eastAsia" w:ascii="宋体" w:hAnsi="宋体" w:eastAsia="宋体" w:cs="宋体"/>
                <w:color w:val="auto"/>
                <w:sz w:val="21"/>
                <w:szCs w:val="21"/>
              </w:rPr>
            </w:pPr>
          </w:p>
        </w:tc>
        <w:tc>
          <w:tcPr>
            <w:tcW w:w="1027" w:type="dxa"/>
            <w:noWrap w:val="0"/>
            <w:vAlign w:val="center"/>
          </w:tcPr>
          <w:p w14:paraId="3250427A">
            <w:pPr>
              <w:jc w:val="center"/>
              <w:rPr>
                <w:rFonts w:hint="eastAsia" w:ascii="宋体" w:hAnsi="宋体" w:eastAsia="宋体" w:cs="宋体"/>
                <w:color w:val="auto"/>
                <w:sz w:val="21"/>
                <w:szCs w:val="21"/>
              </w:rPr>
            </w:pPr>
          </w:p>
        </w:tc>
        <w:tc>
          <w:tcPr>
            <w:tcW w:w="1643" w:type="dxa"/>
            <w:noWrap w:val="0"/>
            <w:vAlign w:val="center"/>
          </w:tcPr>
          <w:p w14:paraId="74309071">
            <w:pPr>
              <w:jc w:val="center"/>
              <w:rPr>
                <w:rFonts w:hint="eastAsia" w:ascii="宋体" w:hAnsi="宋体" w:eastAsia="宋体" w:cs="宋体"/>
                <w:color w:val="auto"/>
                <w:sz w:val="21"/>
                <w:szCs w:val="21"/>
              </w:rPr>
            </w:pPr>
          </w:p>
        </w:tc>
        <w:tc>
          <w:tcPr>
            <w:tcW w:w="1116" w:type="dxa"/>
            <w:noWrap w:val="0"/>
            <w:vAlign w:val="center"/>
          </w:tcPr>
          <w:p w14:paraId="31D82516">
            <w:pPr>
              <w:jc w:val="center"/>
              <w:rPr>
                <w:rFonts w:hint="eastAsia" w:ascii="宋体" w:hAnsi="宋体" w:eastAsia="宋体" w:cs="宋体"/>
                <w:color w:val="auto"/>
                <w:sz w:val="21"/>
                <w:szCs w:val="21"/>
              </w:rPr>
            </w:pPr>
          </w:p>
        </w:tc>
        <w:tc>
          <w:tcPr>
            <w:tcW w:w="1142" w:type="dxa"/>
            <w:noWrap w:val="0"/>
            <w:vAlign w:val="center"/>
          </w:tcPr>
          <w:p w14:paraId="4EC95EEE">
            <w:pPr>
              <w:jc w:val="center"/>
              <w:rPr>
                <w:rFonts w:hint="eastAsia" w:ascii="宋体" w:hAnsi="宋体" w:eastAsia="宋体" w:cs="宋体"/>
                <w:color w:val="auto"/>
                <w:sz w:val="21"/>
                <w:szCs w:val="21"/>
              </w:rPr>
            </w:pPr>
          </w:p>
        </w:tc>
        <w:tc>
          <w:tcPr>
            <w:tcW w:w="1231" w:type="dxa"/>
            <w:noWrap w:val="0"/>
            <w:vAlign w:val="center"/>
          </w:tcPr>
          <w:p w14:paraId="59FFCC62">
            <w:pPr>
              <w:jc w:val="center"/>
              <w:rPr>
                <w:rFonts w:hint="eastAsia" w:ascii="宋体" w:hAnsi="宋体" w:eastAsia="宋体" w:cs="宋体"/>
                <w:color w:val="auto"/>
                <w:sz w:val="21"/>
                <w:szCs w:val="21"/>
              </w:rPr>
            </w:pPr>
          </w:p>
        </w:tc>
        <w:tc>
          <w:tcPr>
            <w:tcW w:w="1026" w:type="dxa"/>
            <w:noWrap w:val="0"/>
            <w:vAlign w:val="center"/>
          </w:tcPr>
          <w:p w14:paraId="227DB98C">
            <w:pPr>
              <w:jc w:val="center"/>
              <w:rPr>
                <w:rFonts w:hint="eastAsia" w:ascii="宋体" w:hAnsi="宋体" w:eastAsia="宋体" w:cs="宋体"/>
                <w:color w:val="auto"/>
                <w:sz w:val="21"/>
                <w:szCs w:val="21"/>
              </w:rPr>
            </w:pPr>
          </w:p>
        </w:tc>
      </w:tr>
      <w:tr w14:paraId="5339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27" w:type="dxa"/>
            <w:noWrap w:val="0"/>
            <w:vAlign w:val="center"/>
          </w:tcPr>
          <w:p w14:paraId="26253A00">
            <w:pPr>
              <w:jc w:val="center"/>
              <w:rPr>
                <w:rFonts w:hint="eastAsia" w:ascii="宋体" w:hAnsi="宋体" w:eastAsia="宋体" w:cs="宋体"/>
                <w:color w:val="auto"/>
                <w:sz w:val="21"/>
                <w:szCs w:val="21"/>
              </w:rPr>
            </w:pPr>
          </w:p>
        </w:tc>
        <w:tc>
          <w:tcPr>
            <w:tcW w:w="1028" w:type="dxa"/>
            <w:noWrap w:val="0"/>
            <w:vAlign w:val="center"/>
          </w:tcPr>
          <w:p w14:paraId="5F8DDE07">
            <w:pPr>
              <w:jc w:val="center"/>
              <w:rPr>
                <w:rFonts w:hint="eastAsia" w:ascii="宋体" w:hAnsi="宋体" w:eastAsia="宋体" w:cs="宋体"/>
                <w:color w:val="auto"/>
                <w:sz w:val="21"/>
                <w:szCs w:val="21"/>
              </w:rPr>
            </w:pPr>
          </w:p>
        </w:tc>
        <w:tc>
          <w:tcPr>
            <w:tcW w:w="1027" w:type="dxa"/>
            <w:noWrap w:val="0"/>
            <w:vAlign w:val="center"/>
          </w:tcPr>
          <w:p w14:paraId="34ACDF2C">
            <w:pPr>
              <w:jc w:val="center"/>
              <w:rPr>
                <w:rFonts w:hint="eastAsia" w:ascii="宋体" w:hAnsi="宋体" w:eastAsia="宋体" w:cs="宋体"/>
                <w:color w:val="auto"/>
                <w:sz w:val="21"/>
                <w:szCs w:val="21"/>
              </w:rPr>
            </w:pPr>
          </w:p>
        </w:tc>
        <w:tc>
          <w:tcPr>
            <w:tcW w:w="1643" w:type="dxa"/>
            <w:noWrap w:val="0"/>
            <w:vAlign w:val="center"/>
          </w:tcPr>
          <w:p w14:paraId="48497A9B">
            <w:pPr>
              <w:jc w:val="center"/>
              <w:rPr>
                <w:rFonts w:hint="eastAsia" w:ascii="宋体" w:hAnsi="宋体" w:eastAsia="宋体" w:cs="宋体"/>
                <w:color w:val="auto"/>
                <w:sz w:val="21"/>
                <w:szCs w:val="21"/>
              </w:rPr>
            </w:pPr>
          </w:p>
        </w:tc>
        <w:tc>
          <w:tcPr>
            <w:tcW w:w="1116" w:type="dxa"/>
            <w:noWrap w:val="0"/>
            <w:vAlign w:val="center"/>
          </w:tcPr>
          <w:p w14:paraId="7A4F2008">
            <w:pPr>
              <w:jc w:val="center"/>
              <w:rPr>
                <w:rFonts w:hint="eastAsia" w:ascii="宋体" w:hAnsi="宋体" w:eastAsia="宋体" w:cs="宋体"/>
                <w:color w:val="auto"/>
                <w:sz w:val="21"/>
                <w:szCs w:val="21"/>
              </w:rPr>
            </w:pPr>
          </w:p>
        </w:tc>
        <w:tc>
          <w:tcPr>
            <w:tcW w:w="1142" w:type="dxa"/>
            <w:noWrap w:val="0"/>
            <w:vAlign w:val="center"/>
          </w:tcPr>
          <w:p w14:paraId="5732BE2D">
            <w:pPr>
              <w:jc w:val="center"/>
              <w:rPr>
                <w:rFonts w:hint="eastAsia" w:ascii="宋体" w:hAnsi="宋体" w:eastAsia="宋体" w:cs="宋体"/>
                <w:color w:val="auto"/>
                <w:sz w:val="21"/>
                <w:szCs w:val="21"/>
              </w:rPr>
            </w:pPr>
          </w:p>
        </w:tc>
        <w:tc>
          <w:tcPr>
            <w:tcW w:w="1231" w:type="dxa"/>
            <w:noWrap w:val="0"/>
            <w:vAlign w:val="center"/>
          </w:tcPr>
          <w:p w14:paraId="08F55641">
            <w:pPr>
              <w:jc w:val="center"/>
              <w:rPr>
                <w:rFonts w:hint="eastAsia" w:ascii="宋体" w:hAnsi="宋体" w:eastAsia="宋体" w:cs="宋体"/>
                <w:color w:val="auto"/>
                <w:sz w:val="21"/>
                <w:szCs w:val="21"/>
              </w:rPr>
            </w:pPr>
          </w:p>
        </w:tc>
        <w:tc>
          <w:tcPr>
            <w:tcW w:w="1026" w:type="dxa"/>
            <w:noWrap w:val="0"/>
            <w:vAlign w:val="center"/>
          </w:tcPr>
          <w:p w14:paraId="06E9B109">
            <w:pPr>
              <w:jc w:val="center"/>
              <w:rPr>
                <w:rFonts w:hint="eastAsia" w:ascii="宋体" w:hAnsi="宋体" w:eastAsia="宋体" w:cs="宋体"/>
                <w:color w:val="auto"/>
                <w:sz w:val="21"/>
                <w:szCs w:val="21"/>
              </w:rPr>
            </w:pPr>
          </w:p>
        </w:tc>
      </w:tr>
    </w:tbl>
    <w:p w14:paraId="242BD8BD">
      <w:pPr>
        <w:rPr>
          <w:rFonts w:hint="eastAsia" w:ascii="宋体" w:hAnsi="宋体" w:eastAsia="宋体" w:cs="宋体"/>
          <w:b/>
          <w:bCs/>
          <w:color w:val="000000"/>
          <w:sz w:val="32"/>
          <w:szCs w:val="32"/>
          <w:lang w:eastAsia="zh-CN"/>
        </w:rPr>
      </w:pPr>
    </w:p>
    <w:p w14:paraId="37D0C45B">
      <w:pPr>
        <w:rPr>
          <w:rFonts w:hint="eastAsia" w:ascii="宋体" w:hAnsi="宋体" w:eastAsia="宋体" w:cs="宋体"/>
          <w:b/>
          <w:bCs/>
          <w:color w:val="000000"/>
          <w:sz w:val="32"/>
          <w:szCs w:val="32"/>
          <w:lang w:eastAsia="zh-CN"/>
        </w:rPr>
      </w:pPr>
      <w:r>
        <w:rPr>
          <w:rFonts w:hint="eastAsia" w:ascii="宋体" w:hAnsi="宋体" w:eastAsia="宋体" w:cs="宋体"/>
          <w:b/>
          <w:bCs/>
          <w:color w:val="000000"/>
          <w:sz w:val="32"/>
          <w:szCs w:val="32"/>
          <w:lang w:eastAsia="zh-CN"/>
        </w:rPr>
        <w:br w:type="page"/>
      </w:r>
    </w:p>
    <w:p w14:paraId="48DD4AE5">
      <w:pPr>
        <w:spacing w:line="360" w:lineRule="auto"/>
        <w:jc w:val="center"/>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七、中小企业声明函(服务)</w:t>
      </w:r>
      <w:bookmarkEnd w:id="327"/>
      <w:bookmarkEnd w:id="328"/>
      <w:bookmarkEnd w:id="329"/>
    </w:p>
    <w:p w14:paraId="6014608D">
      <w:pPr>
        <w:pStyle w:val="2"/>
        <w:numPr>
          <w:ilvl w:val="0"/>
          <w:numId w:val="0"/>
        </w:numPr>
        <w:rPr>
          <w:rFonts w:hint="eastAsia" w:ascii="宋体" w:hAnsi="宋体" w:eastAsia="宋体" w:cs="宋体"/>
        </w:rPr>
      </w:pPr>
      <w:r>
        <w:rPr>
          <w:rFonts w:hint="eastAsia" w:ascii="宋体" w:hAnsi="宋体" w:eastAsia="宋体" w:cs="宋体"/>
          <w:sz w:val="24"/>
          <w:szCs w:val="11"/>
        </w:rPr>
        <w:t>（属于的填写，不属于的无需填写此项内容，只要加盖</w:t>
      </w:r>
      <w:r>
        <w:rPr>
          <w:rFonts w:hint="eastAsia" w:ascii="宋体" w:hAnsi="宋体" w:eastAsia="宋体" w:cs="宋体"/>
          <w:sz w:val="24"/>
          <w:szCs w:val="11"/>
          <w:lang w:val="en-US" w:eastAsia="zh-CN"/>
        </w:rPr>
        <w:t>投标人</w:t>
      </w:r>
      <w:r>
        <w:rPr>
          <w:rFonts w:hint="eastAsia" w:ascii="宋体" w:hAnsi="宋体" w:eastAsia="宋体" w:cs="宋体"/>
          <w:sz w:val="24"/>
          <w:szCs w:val="11"/>
        </w:rPr>
        <w:t>公章即可）</w:t>
      </w:r>
    </w:p>
    <w:p w14:paraId="58001B8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p>
    <w:p w14:paraId="3DADCE6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本公司郑重声明，根据《政府采购促进中小企业发展管理办法》（财库﹝2020﹞46号）的规定，本公司）参加</w:t>
      </w:r>
      <w:r>
        <w:rPr>
          <w:rFonts w:hint="eastAsia" w:ascii="宋体" w:hAnsi="宋体" w:eastAsia="宋体" w:cs="宋体"/>
          <w:color w:val="000000"/>
          <w:sz w:val="24"/>
          <w:szCs w:val="24"/>
          <w:u w:val="single"/>
          <w:lang w:val="en-US" w:eastAsia="zh-CN"/>
        </w:rPr>
        <w:t xml:space="preserve">  （单位名称）   </w:t>
      </w:r>
      <w:r>
        <w:rPr>
          <w:rFonts w:hint="eastAsia" w:ascii="宋体" w:hAnsi="宋体" w:eastAsia="宋体" w:cs="宋体"/>
          <w:color w:val="000000"/>
          <w:sz w:val="24"/>
          <w:szCs w:val="24"/>
          <w:lang w:val="en-US" w:eastAsia="zh-CN"/>
        </w:rPr>
        <w:t>的</w:t>
      </w:r>
      <w:r>
        <w:rPr>
          <w:rFonts w:hint="eastAsia" w:ascii="宋体" w:hAnsi="宋体" w:eastAsia="宋体" w:cs="宋体"/>
          <w:color w:val="000000"/>
          <w:sz w:val="24"/>
          <w:szCs w:val="24"/>
          <w:u w:val="single"/>
          <w:lang w:val="en-US" w:eastAsia="zh-CN"/>
        </w:rPr>
        <w:t xml:space="preserve">  （项目名称）  </w:t>
      </w:r>
      <w:r>
        <w:rPr>
          <w:rFonts w:hint="eastAsia" w:ascii="宋体" w:hAnsi="宋体" w:eastAsia="宋体" w:cs="宋体"/>
          <w:color w:val="000000"/>
          <w:sz w:val="24"/>
          <w:szCs w:val="24"/>
          <w:lang w:val="en-US" w:eastAsia="zh-CN"/>
        </w:rPr>
        <w:t>采购活动，服务全部由符合政策要求的中小企业承接。相关企业的具体情况如下：</w:t>
      </w:r>
    </w:p>
    <w:p w14:paraId="1B62BBD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u w:val="single"/>
          <w:lang w:val="en-US" w:eastAsia="zh-CN"/>
        </w:rPr>
        <w:t xml:space="preserve"> （标的名称）</w:t>
      </w:r>
      <w:r>
        <w:rPr>
          <w:rFonts w:hint="eastAsia" w:ascii="宋体" w:hAnsi="宋体" w:eastAsia="宋体" w:cs="宋体"/>
          <w:color w:val="000000"/>
          <w:sz w:val="24"/>
          <w:szCs w:val="24"/>
          <w:lang w:val="en-US" w:eastAsia="zh-CN"/>
        </w:rPr>
        <w:t xml:space="preserve"> ，属于</w:t>
      </w:r>
      <w:r>
        <w:rPr>
          <w:rFonts w:hint="eastAsia" w:ascii="宋体" w:hAnsi="宋体" w:eastAsia="宋体" w:cs="宋体"/>
          <w:color w:val="000000"/>
          <w:sz w:val="24"/>
          <w:szCs w:val="24"/>
          <w:u w:val="single"/>
          <w:lang w:val="en-US" w:eastAsia="zh-CN"/>
        </w:rPr>
        <w:t>（招标文件中明确的所属行业）</w:t>
      </w:r>
      <w:r>
        <w:rPr>
          <w:rFonts w:hint="eastAsia" w:ascii="宋体" w:hAnsi="宋体" w:eastAsia="宋体" w:cs="宋体"/>
          <w:color w:val="000000"/>
          <w:sz w:val="24"/>
          <w:szCs w:val="24"/>
          <w:lang w:val="en-US" w:eastAsia="zh-CN"/>
        </w:rPr>
        <w:t>；承接企业为</w:t>
      </w:r>
      <w:r>
        <w:rPr>
          <w:rFonts w:hint="eastAsia" w:ascii="宋体" w:hAnsi="宋体" w:eastAsia="宋体" w:cs="宋体"/>
          <w:color w:val="000000"/>
          <w:sz w:val="24"/>
          <w:szCs w:val="24"/>
          <w:u w:val="single"/>
          <w:lang w:val="en-US" w:eastAsia="zh-CN"/>
        </w:rPr>
        <w:t>（企业名称）</w:t>
      </w:r>
      <w:r>
        <w:rPr>
          <w:rFonts w:hint="eastAsia" w:ascii="宋体" w:hAnsi="宋体" w:eastAsia="宋体" w:cs="宋体"/>
          <w:color w:val="000000"/>
          <w:sz w:val="24"/>
          <w:szCs w:val="24"/>
          <w:lang w:val="en-US" w:eastAsia="zh-CN"/>
        </w:rPr>
        <w:t>，从业人员</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人，营业收入为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万元，资产总额为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万元，属于</w:t>
      </w:r>
      <w:r>
        <w:rPr>
          <w:rFonts w:hint="eastAsia" w:ascii="宋体" w:hAnsi="宋体" w:eastAsia="宋体" w:cs="宋体"/>
          <w:color w:val="000000"/>
          <w:sz w:val="24"/>
          <w:szCs w:val="24"/>
          <w:u w:val="single"/>
          <w:lang w:val="en-US" w:eastAsia="zh-CN"/>
        </w:rPr>
        <w:t>（中型企业、小型企业、微型企业）</w:t>
      </w:r>
      <w:r>
        <w:rPr>
          <w:rFonts w:hint="eastAsia" w:ascii="宋体" w:hAnsi="宋体" w:eastAsia="宋体" w:cs="宋体"/>
          <w:color w:val="000000"/>
          <w:sz w:val="24"/>
          <w:szCs w:val="24"/>
          <w:u w:val="none"/>
          <w:lang w:val="en-US" w:eastAsia="zh-CN"/>
        </w:rPr>
        <w:t>；</w:t>
      </w:r>
      <w:r>
        <w:rPr>
          <w:rFonts w:hint="eastAsia" w:ascii="宋体" w:hAnsi="宋体" w:eastAsia="宋体" w:cs="宋体"/>
          <w:color w:val="000000"/>
          <w:sz w:val="24"/>
          <w:szCs w:val="24"/>
          <w:lang w:val="en-US" w:eastAsia="zh-CN"/>
        </w:rPr>
        <w:t xml:space="preserve"> </w:t>
      </w:r>
    </w:p>
    <w:p w14:paraId="5F0B120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p w14:paraId="66AC22C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以上企业，不属于大企业的分支机构，不存在控股股东为大企业的情形，也不存在与大企业的负责人为同一人的情形。</w:t>
      </w:r>
    </w:p>
    <w:p w14:paraId="57CC5E6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本企业对上述声明内容的真实性负责。如有虚假，将依法承担相应责任。 </w:t>
      </w:r>
    </w:p>
    <w:p w14:paraId="720B41C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p>
    <w:p w14:paraId="30FFBB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bookmarkStart w:id="330" w:name="OLE_LINK32"/>
      <w:r>
        <w:rPr>
          <w:rFonts w:hint="eastAsia" w:ascii="宋体" w:hAnsi="宋体" w:eastAsia="宋体" w:cs="宋体"/>
          <w:color w:val="000000"/>
          <w:sz w:val="24"/>
          <w:szCs w:val="24"/>
          <w:lang w:val="en-US" w:eastAsia="zh-CN"/>
        </w:rPr>
        <w:t xml:space="preserve">企业名称（单位电子签章）：                      </w:t>
      </w:r>
    </w:p>
    <w:p w14:paraId="40CFAFF4">
      <w:pPr>
        <w:keepNext w:val="0"/>
        <w:keepLines w:val="0"/>
        <w:pageBreakBefore w:val="0"/>
        <w:widowControl w:val="0"/>
        <w:kinsoku/>
        <w:wordWrap/>
        <w:overflowPunct/>
        <w:topLinePunct w:val="0"/>
        <w:autoSpaceDE/>
        <w:autoSpaceDN/>
        <w:bidi w:val="0"/>
        <w:adjustRightInd/>
        <w:snapToGrid/>
        <w:spacing w:line="360" w:lineRule="auto"/>
        <w:ind w:firstLine="4560" w:firstLineChars="19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日    期：    年   月   日</w:t>
      </w:r>
      <w:bookmarkEnd w:id="330"/>
      <w:r>
        <w:rPr>
          <w:rFonts w:hint="eastAsia" w:ascii="宋体" w:hAnsi="宋体" w:eastAsia="宋体" w:cs="宋体"/>
          <w:color w:val="000000"/>
          <w:sz w:val="24"/>
          <w:szCs w:val="24"/>
          <w:lang w:val="en-US" w:eastAsia="zh-CN"/>
        </w:rPr>
        <w:t xml:space="preserve"> </w:t>
      </w:r>
    </w:p>
    <w:p w14:paraId="2ADC0B6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p>
    <w:p w14:paraId="1D73DEA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p>
    <w:p w14:paraId="71D7FAE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z w:val="24"/>
          <w:szCs w:val="24"/>
          <w:lang w:val="en-US" w:eastAsia="zh-CN"/>
        </w:rPr>
      </w:pPr>
    </w:p>
    <w:p w14:paraId="5D062F3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spacing w:val="-6"/>
          <w:sz w:val="24"/>
          <w:szCs w:val="24"/>
        </w:rPr>
      </w:pPr>
      <w:r>
        <w:rPr>
          <w:rFonts w:hint="eastAsia" w:ascii="宋体" w:hAnsi="宋体" w:eastAsia="宋体" w:cs="宋体"/>
          <w:color w:val="000000"/>
          <w:sz w:val="24"/>
          <w:szCs w:val="24"/>
          <w:lang w:val="en-US" w:eastAsia="zh-CN"/>
        </w:rPr>
        <w:t>注：</w:t>
      </w:r>
      <w:r>
        <w:rPr>
          <w:rFonts w:hint="eastAsia" w:ascii="宋体" w:hAnsi="宋体" w:eastAsia="宋体" w:cs="宋体"/>
          <w:color w:val="000000"/>
          <w:spacing w:val="-6"/>
          <w:sz w:val="24"/>
          <w:szCs w:val="24"/>
          <w:lang w:val="en-US" w:eastAsia="zh-CN"/>
        </w:rPr>
        <w:t>（1）</w:t>
      </w:r>
      <w:r>
        <w:rPr>
          <w:rFonts w:hint="eastAsia" w:ascii="宋体" w:hAnsi="宋体" w:eastAsia="宋体" w:cs="宋体"/>
          <w:color w:val="000000"/>
          <w:spacing w:val="-17"/>
          <w:sz w:val="24"/>
          <w:szCs w:val="24"/>
          <w:lang w:val="en-US" w:eastAsia="zh-CN"/>
        </w:rPr>
        <w:t>从业人员、营业收入、资产总额填报上一年度数据，无上一年度数据的新成立企业可不填报。</w:t>
      </w:r>
    </w:p>
    <w:p w14:paraId="4E102BB4">
      <w:pPr>
        <w:keepNext w:val="0"/>
        <w:keepLines w:val="0"/>
        <w:pageBreakBefore w:val="0"/>
        <w:widowControl w:val="0"/>
        <w:kinsoku/>
        <w:wordWrap/>
        <w:overflowPunct/>
        <w:topLinePunct w:val="0"/>
        <w:autoSpaceDE/>
        <w:autoSpaceDN/>
        <w:bidi w:val="0"/>
        <w:adjustRightInd/>
        <w:snapToGrid/>
        <w:spacing w:line="360" w:lineRule="auto"/>
        <w:ind w:left="0" w:leftChars="0" w:firstLine="900" w:firstLineChars="375"/>
        <w:textAlignment w:val="auto"/>
        <w:rPr>
          <w:rFonts w:hint="eastAsia" w:ascii="宋体" w:hAnsi="宋体" w:eastAsia="宋体" w:cs="宋体"/>
          <w:color w:val="000000"/>
          <w:sz w:val="28"/>
          <w:szCs w:val="28"/>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本企业对上述声明内容的真实性负责。如有虚假,将依法承担相应责任。</w:t>
      </w:r>
    </w:p>
    <w:p w14:paraId="093052BC">
      <w:pPr>
        <w:spacing w:line="588" w:lineRule="exact"/>
        <w:jc w:val="center"/>
        <w:rPr>
          <w:rFonts w:hint="eastAsia" w:ascii="宋体" w:hAnsi="宋体" w:eastAsia="宋体" w:cs="宋体"/>
          <w:b/>
          <w:spacing w:val="6"/>
          <w:sz w:val="32"/>
          <w:szCs w:val="32"/>
        </w:rPr>
      </w:pPr>
    </w:p>
    <w:p w14:paraId="0D74ED26">
      <w:pPr>
        <w:pStyle w:val="20"/>
        <w:rPr>
          <w:rFonts w:hint="eastAsia" w:ascii="宋体" w:hAnsi="宋体" w:eastAsia="宋体" w:cs="宋体"/>
          <w:b/>
          <w:spacing w:val="6"/>
          <w:sz w:val="32"/>
          <w:szCs w:val="32"/>
        </w:rPr>
      </w:pPr>
    </w:p>
    <w:p w14:paraId="7BB8D5FF">
      <w:pPr>
        <w:pStyle w:val="20"/>
        <w:rPr>
          <w:rFonts w:hint="eastAsia" w:ascii="宋体" w:hAnsi="宋体" w:eastAsia="宋体" w:cs="宋体"/>
          <w:b/>
          <w:spacing w:val="6"/>
          <w:sz w:val="32"/>
          <w:szCs w:val="32"/>
        </w:rPr>
      </w:pPr>
    </w:p>
    <w:p w14:paraId="29CE5D30">
      <w:pPr>
        <w:pStyle w:val="20"/>
        <w:rPr>
          <w:rFonts w:hint="eastAsia" w:ascii="宋体" w:hAnsi="宋体" w:eastAsia="宋体" w:cs="宋体"/>
          <w:b/>
          <w:spacing w:val="6"/>
          <w:sz w:val="32"/>
          <w:szCs w:val="32"/>
        </w:rPr>
      </w:pPr>
    </w:p>
    <w:p w14:paraId="2AEF0723">
      <w:pPr>
        <w:pStyle w:val="20"/>
        <w:rPr>
          <w:rFonts w:hint="eastAsia" w:ascii="宋体" w:hAnsi="宋体" w:eastAsia="宋体" w:cs="宋体"/>
          <w:b/>
          <w:spacing w:val="6"/>
          <w:sz w:val="32"/>
          <w:szCs w:val="32"/>
        </w:rPr>
      </w:pPr>
    </w:p>
    <w:p w14:paraId="5FA57BFA">
      <w:pPr>
        <w:pStyle w:val="20"/>
        <w:ind w:left="0" w:leftChars="0" w:firstLine="0" w:firstLineChars="0"/>
        <w:rPr>
          <w:rFonts w:hint="eastAsia" w:ascii="宋体" w:hAnsi="宋体" w:eastAsia="宋体" w:cs="宋体"/>
        </w:rPr>
      </w:pPr>
    </w:p>
    <w:p w14:paraId="55B456E7">
      <w:pPr>
        <w:rPr>
          <w:rFonts w:hint="eastAsia" w:ascii="宋体" w:hAnsi="宋体" w:eastAsia="宋体" w:cs="宋体"/>
          <w:color w:val="000000"/>
          <w:spacing w:val="8"/>
          <w:sz w:val="21"/>
          <w:szCs w:val="21"/>
        </w:rPr>
      </w:pPr>
      <w:r>
        <w:rPr>
          <w:rFonts w:hint="eastAsia" w:ascii="宋体" w:hAnsi="宋体" w:eastAsia="宋体" w:cs="宋体"/>
          <w:color w:val="auto"/>
          <w:highlight w:val="none"/>
        </w:rPr>
        <w:drawing>
          <wp:anchor distT="0" distB="0" distL="114300" distR="114300" simplePos="0" relativeHeight="251662336" behindDoc="1" locked="0" layoutInCell="1" allowOverlap="1">
            <wp:simplePos x="0" y="0"/>
            <wp:positionH relativeFrom="column">
              <wp:posOffset>6985</wp:posOffset>
            </wp:positionH>
            <wp:positionV relativeFrom="page">
              <wp:posOffset>994410</wp:posOffset>
            </wp:positionV>
            <wp:extent cx="6150610" cy="8435975"/>
            <wp:effectExtent l="0" t="0" r="0" b="0"/>
            <wp:wrapThrough wrapText="bothSides">
              <wp:wrapPolygon>
                <wp:start x="0" y="0"/>
                <wp:lineTo x="0" y="21067"/>
                <wp:lineTo x="21074" y="21067"/>
                <wp:lineTo x="21074" y="0"/>
                <wp:lineTo x="0" y="0"/>
              </wp:wrapPolygon>
            </wp:wrapThrough>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4"/>
                    <a:stretch>
                      <a:fillRect/>
                    </a:stretch>
                  </pic:blipFill>
                  <pic:spPr>
                    <a:xfrm>
                      <a:off x="0" y="0"/>
                      <a:ext cx="6150610" cy="8435975"/>
                    </a:xfrm>
                    <a:prstGeom prst="rect">
                      <a:avLst/>
                    </a:prstGeom>
                    <a:noFill/>
                    <a:ln>
                      <a:noFill/>
                    </a:ln>
                  </pic:spPr>
                </pic:pic>
              </a:graphicData>
            </a:graphic>
          </wp:anchor>
        </w:drawing>
      </w:r>
      <w:r>
        <w:rPr>
          <w:rFonts w:hint="eastAsia" w:ascii="宋体" w:hAnsi="宋体" w:eastAsia="宋体" w:cs="宋体"/>
          <w:color w:val="000000"/>
          <w:spacing w:val="8"/>
          <w:sz w:val="21"/>
          <w:szCs w:val="21"/>
        </w:rPr>
        <w:br w:type="page"/>
      </w:r>
    </w:p>
    <w:p w14:paraId="10AC5485">
      <w:pPr>
        <w:pStyle w:val="7"/>
        <w:keepNext w:val="0"/>
        <w:keepLines w:val="0"/>
        <w:pageBreakBefore w:val="0"/>
        <w:kinsoku/>
        <w:wordWrap/>
        <w:overflowPunct/>
        <w:topLinePunct w:val="0"/>
        <w:autoSpaceDE w:val="0"/>
        <w:autoSpaceDN w:val="0"/>
        <w:bidi w:val="0"/>
        <w:adjustRightInd/>
        <w:snapToGrid/>
        <w:spacing w:line="44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color w:val="auto"/>
          <w:highlight w:val="none"/>
        </w:rPr>
        <w:drawing>
          <wp:anchor distT="0" distB="0" distL="114300" distR="114300" simplePos="0" relativeHeight="251662336" behindDoc="1" locked="0" layoutInCell="1" allowOverlap="1">
            <wp:simplePos x="0" y="0"/>
            <wp:positionH relativeFrom="column">
              <wp:posOffset>295275</wp:posOffset>
            </wp:positionH>
            <wp:positionV relativeFrom="paragraph">
              <wp:posOffset>234950</wp:posOffset>
            </wp:positionV>
            <wp:extent cx="5313680" cy="6966585"/>
            <wp:effectExtent l="0" t="0" r="6985" b="762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5"/>
                    <a:stretch>
                      <a:fillRect/>
                    </a:stretch>
                  </pic:blipFill>
                  <pic:spPr>
                    <a:xfrm>
                      <a:off x="0" y="0"/>
                      <a:ext cx="5313680" cy="6966585"/>
                    </a:xfrm>
                    <a:prstGeom prst="rect">
                      <a:avLst/>
                    </a:prstGeom>
                    <a:noFill/>
                    <a:ln>
                      <a:noFill/>
                    </a:ln>
                  </pic:spPr>
                </pic:pic>
              </a:graphicData>
            </a:graphic>
          </wp:anchor>
        </w:drawing>
      </w:r>
    </w:p>
    <w:p w14:paraId="43F5BE9A">
      <w:pPr>
        <w:spacing w:line="360" w:lineRule="auto"/>
        <w:jc w:val="center"/>
        <w:rPr>
          <w:rFonts w:hint="eastAsia" w:ascii="宋体" w:hAnsi="宋体" w:eastAsia="宋体" w:cs="宋体"/>
          <w:b/>
          <w:color w:val="000000"/>
          <w:sz w:val="32"/>
          <w:szCs w:val="32"/>
          <w:lang w:val="en-US" w:eastAsia="zh-CN"/>
        </w:rPr>
      </w:pPr>
      <w:bookmarkStart w:id="331" w:name="_Toc7056"/>
      <w:bookmarkStart w:id="332" w:name="_Toc10962"/>
      <w:bookmarkStart w:id="333" w:name="_Toc14726"/>
      <w:r>
        <w:rPr>
          <w:rFonts w:hint="eastAsia" w:ascii="宋体" w:hAnsi="宋体" w:eastAsia="宋体" w:cs="宋体"/>
          <w:b/>
          <w:color w:val="000000"/>
          <w:sz w:val="32"/>
          <w:szCs w:val="32"/>
          <w:lang w:val="en-US" w:eastAsia="zh-CN"/>
        </w:rPr>
        <w:br w:type="page"/>
      </w:r>
      <w:bookmarkEnd w:id="331"/>
      <w:bookmarkEnd w:id="332"/>
      <w:bookmarkEnd w:id="333"/>
      <w:bookmarkStart w:id="334" w:name="_Toc457469585"/>
    </w:p>
    <w:p w14:paraId="620B4089">
      <w:pPr>
        <w:spacing w:line="360" w:lineRule="auto"/>
        <w:jc w:val="center"/>
        <w:rPr>
          <w:rFonts w:hint="eastAsia" w:ascii="宋体" w:hAnsi="宋体" w:eastAsia="宋体" w:cs="宋体"/>
          <w:b/>
          <w:color w:val="000000"/>
          <w:sz w:val="32"/>
          <w:szCs w:val="32"/>
          <w:lang w:val="en-US" w:eastAsia="zh-CN"/>
        </w:rPr>
      </w:pPr>
      <w:r>
        <w:rPr>
          <w:rFonts w:hint="eastAsia" w:ascii="宋体" w:hAnsi="宋体" w:eastAsia="宋体" w:cs="宋体"/>
          <w:b/>
          <w:bCs/>
          <w:sz w:val="32"/>
          <w:szCs w:val="21"/>
          <w:lang w:val="en-US" w:eastAsia="zh-CN"/>
        </w:rPr>
        <w:t>八、其他材料</w:t>
      </w:r>
    </w:p>
    <w:p w14:paraId="36546A18">
      <w:pPr>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lang w:val="en-US" w:eastAsia="zh-CN"/>
        </w:rPr>
        <w:t>一</w:t>
      </w:r>
      <w:r>
        <w:rPr>
          <w:rFonts w:hint="eastAsia" w:ascii="宋体" w:hAnsi="宋体" w:eastAsia="宋体" w:cs="宋体"/>
          <w:b/>
          <w:sz w:val="28"/>
          <w:szCs w:val="28"/>
          <w:highlight w:val="none"/>
          <w:lang w:eastAsia="zh-CN"/>
        </w:rPr>
        <w:t>）</w:t>
      </w:r>
      <w:r>
        <w:rPr>
          <w:rFonts w:hint="eastAsia" w:ascii="宋体" w:hAnsi="宋体" w:eastAsia="宋体" w:cs="宋体"/>
          <w:b/>
          <w:sz w:val="28"/>
          <w:szCs w:val="28"/>
          <w:highlight w:val="none"/>
        </w:rPr>
        <w:t>反商业贿赂承诺书</w:t>
      </w:r>
      <w:bookmarkEnd w:id="334"/>
    </w:p>
    <w:p w14:paraId="303520D6">
      <w:pPr>
        <w:pStyle w:val="20"/>
        <w:ind w:firstLine="210"/>
        <w:rPr>
          <w:rFonts w:hint="eastAsia" w:ascii="宋体" w:hAnsi="宋体" w:eastAsia="宋体" w:cs="宋体"/>
          <w:szCs w:val="21"/>
          <w:highlight w:val="none"/>
        </w:rPr>
      </w:pPr>
    </w:p>
    <w:p w14:paraId="1F9F06B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我方承诺：</w:t>
      </w:r>
    </w:p>
    <w:p w14:paraId="7E6BBD5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在</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zh-CN"/>
        </w:rPr>
        <w:t>（项目名称）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zh-CN"/>
        </w:rPr>
        <w:t>（</w:t>
      </w:r>
      <w:r>
        <w:rPr>
          <w:rFonts w:hint="eastAsia" w:ascii="宋体" w:hAnsi="宋体" w:eastAsia="宋体" w:cs="宋体"/>
          <w:sz w:val="24"/>
          <w:szCs w:val="24"/>
          <w:highlight w:val="none"/>
          <w:u w:val="single"/>
          <w:lang w:val="en-US" w:eastAsia="zh-CN"/>
        </w:rPr>
        <w:t>采购</w:t>
      </w:r>
      <w:r>
        <w:rPr>
          <w:rFonts w:hint="eastAsia" w:ascii="宋体" w:hAnsi="宋体" w:eastAsia="宋体" w:cs="宋体"/>
          <w:sz w:val="24"/>
          <w:szCs w:val="24"/>
          <w:highlight w:val="none"/>
          <w:u w:val="single"/>
          <w:lang w:val="zh-CN"/>
        </w:rPr>
        <w:t>编号：  ）</w:t>
      </w:r>
      <w:r>
        <w:rPr>
          <w:rFonts w:hint="eastAsia" w:ascii="宋体" w:hAnsi="宋体" w:eastAsia="宋体" w:cs="宋体"/>
          <w:sz w:val="24"/>
          <w:szCs w:val="24"/>
          <w:highlight w:val="none"/>
          <w:lang w:val="en-US" w:eastAsia="zh-CN"/>
        </w:rPr>
        <w:t>招标</w:t>
      </w:r>
      <w:r>
        <w:rPr>
          <w:rFonts w:hint="eastAsia" w:ascii="宋体" w:hAnsi="宋体" w:eastAsia="宋体" w:cs="宋体"/>
          <w:sz w:val="24"/>
          <w:szCs w:val="24"/>
          <w:highlight w:val="none"/>
          <w:lang w:val="zh-CN"/>
        </w:rPr>
        <w:t>活动中，我方保证做到：</w:t>
      </w:r>
    </w:p>
    <w:p w14:paraId="64D1949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一、公平竞争参加本次</w:t>
      </w:r>
      <w:r>
        <w:rPr>
          <w:rFonts w:hint="eastAsia" w:ascii="宋体" w:hAnsi="宋体" w:eastAsia="宋体" w:cs="宋体"/>
          <w:sz w:val="24"/>
          <w:szCs w:val="24"/>
          <w:highlight w:val="none"/>
          <w:lang w:val="en-US" w:eastAsia="zh-CN"/>
        </w:rPr>
        <w:t>招标</w:t>
      </w:r>
      <w:r>
        <w:rPr>
          <w:rFonts w:hint="eastAsia" w:ascii="宋体" w:hAnsi="宋体" w:eastAsia="宋体" w:cs="宋体"/>
          <w:sz w:val="24"/>
          <w:szCs w:val="24"/>
          <w:highlight w:val="none"/>
          <w:lang w:val="zh-CN"/>
        </w:rPr>
        <w:t>采购活动。</w:t>
      </w:r>
    </w:p>
    <w:p w14:paraId="2CA2864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942AEF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三、若出现上述行为，我方及参与投标的工作人员愿意接受按照国家法律法规等有关规定给予的处罚。</w:t>
      </w:r>
    </w:p>
    <w:p w14:paraId="4A1B90F3">
      <w:pPr>
        <w:spacing w:line="360" w:lineRule="auto"/>
        <w:ind w:left="645"/>
        <w:outlineLvl w:val="9"/>
        <w:rPr>
          <w:rFonts w:hint="eastAsia" w:ascii="宋体" w:hAnsi="宋体" w:eastAsia="宋体" w:cs="宋体"/>
          <w:szCs w:val="21"/>
          <w:highlight w:val="none"/>
        </w:rPr>
      </w:pPr>
    </w:p>
    <w:p w14:paraId="675BD9F1">
      <w:pPr>
        <w:spacing w:line="360" w:lineRule="auto"/>
        <w:ind w:left="645"/>
        <w:outlineLvl w:val="9"/>
        <w:rPr>
          <w:rFonts w:hint="eastAsia" w:ascii="宋体" w:hAnsi="宋体" w:eastAsia="宋体" w:cs="宋体"/>
          <w:szCs w:val="21"/>
          <w:highlight w:val="none"/>
        </w:rPr>
      </w:pPr>
    </w:p>
    <w:p w14:paraId="58CBFAC3">
      <w:pPr>
        <w:spacing w:line="360" w:lineRule="auto"/>
        <w:ind w:left="645"/>
        <w:outlineLvl w:val="9"/>
        <w:rPr>
          <w:rFonts w:hint="eastAsia" w:ascii="宋体" w:hAnsi="宋体" w:eastAsia="宋体" w:cs="宋体"/>
          <w:szCs w:val="21"/>
          <w:highlight w:val="none"/>
        </w:rPr>
      </w:pPr>
    </w:p>
    <w:p w14:paraId="04B9713E">
      <w:pPr>
        <w:pStyle w:val="2"/>
        <w:rPr>
          <w:rFonts w:hint="eastAsia" w:ascii="宋体" w:hAnsi="宋体" w:eastAsia="宋体" w:cs="宋体"/>
          <w:szCs w:val="21"/>
          <w:highlight w:val="none"/>
        </w:rPr>
      </w:pPr>
    </w:p>
    <w:p w14:paraId="5489E390">
      <w:pPr>
        <w:rPr>
          <w:rFonts w:hint="eastAsia" w:ascii="宋体" w:hAnsi="宋体" w:eastAsia="宋体" w:cs="宋体"/>
        </w:rPr>
      </w:pPr>
    </w:p>
    <w:p w14:paraId="0116D2BF">
      <w:pPr>
        <w:spacing w:line="360" w:lineRule="auto"/>
        <w:ind w:left="645"/>
        <w:outlineLvl w:val="9"/>
        <w:rPr>
          <w:rFonts w:hint="eastAsia" w:ascii="宋体" w:hAnsi="宋体" w:eastAsia="宋体" w:cs="宋体"/>
          <w:szCs w:val="21"/>
          <w:highlight w:val="none"/>
        </w:rPr>
      </w:pPr>
    </w:p>
    <w:p w14:paraId="28DC04A4">
      <w:pPr>
        <w:spacing w:line="360" w:lineRule="auto"/>
        <w:ind w:left="645"/>
        <w:outlineLvl w:val="9"/>
        <w:rPr>
          <w:rFonts w:hint="eastAsia" w:ascii="宋体" w:hAnsi="宋体" w:eastAsia="宋体" w:cs="宋体"/>
          <w:szCs w:val="21"/>
          <w:highlight w:val="none"/>
        </w:rPr>
      </w:pPr>
    </w:p>
    <w:p w14:paraId="3D718AB7">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54715E36">
      <w:pPr>
        <w:pStyle w:val="11"/>
        <w:pageBreakBefore w:val="0"/>
        <w:widowControl w:val="0"/>
        <w:kinsoku/>
        <w:wordWrap/>
        <w:overflowPunct/>
        <w:topLinePunct w:val="0"/>
        <w:autoSpaceDE/>
        <w:autoSpaceDN/>
        <w:bidi w:val="0"/>
        <w:adjustRightInd/>
        <w:snapToGrid/>
        <w:spacing w:line="360" w:lineRule="auto"/>
        <w:ind w:left="0" w:leftChars="0" w:firstLine="3600" w:firstLineChars="15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6521077F">
      <w:pPr>
        <w:ind w:left="0" w:leftChars="0" w:firstLine="3600" w:firstLineChars="1500"/>
        <w:rPr>
          <w:rFonts w:hint="eastAsia" w:ascii="宋体" w:hAnsi="宋体" w:eastAsia="宋体" w:cs="宋体"/>
          <w:color w:val="000000"/>
          <w:sz w:val="24"/>
          <w:szCs w:val="24"/>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color w:val="000000"/>
          <w:sz w:val="24"/>
          <w:szCs w:val="24"/>
        </w:rPr>
        <w:t>日</w:t>
      </w:r>
    </w:p>
    <w:p w14:paraId="23AF2908">
      <w:pPr>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325D5A96">
      <w:pPr>
        <w:spacing w:line="360" w:lineRule="auto"/>
        <w:jc w:val="center"/>
        <w:rPr>
          <w:rFonts w:hint="eastAsia" w:ascii="宋体" w:hAnsi="宋体" w:eastAsia="宋体" w:cs="宋体"/>
          <w:b/>
          <w:bCs/>
          <w:spacing w:val="-1"/>
          <w:sz w:val="24"/>
          <w:szCs w:val="24"/>
        </w:rPr>
      </w:pPr>
      <w:r>
        <w:rPr>
          <w:rFonts w:hint="eastAsia" w:ascii="宋体" w:hAnsi="宋体" w:eastAsia="宋体" w:cs="宋体"/>
          <w:b/>
          <w:bCs/>
          <w:spacing w:val="-4"/>
          <w:sz w:val="28"/>
          <w:szCs w:val="28"/>
          <w:lang w:eastAsia="zh-CN"/>
        </w:rPr>
        <w:t>（</w:t>
      </w:r>
      <w:r>
        <w:rPr>
          <w:rFonts w:hint="eastAsia" w:ascii="宋体" w:hAnsi="宋体" w:eastAsia="宋体" w:cs="宋体"/>
          <w:b/>
          <w:bCs/>
          <w:spacing w:val="-4"/>
          <w:sz w:val="28"/>
          <w:szCs w:val="28"/>
          <w:lang w:val="en-US" w:eastAsia="zh-CN"/>
        </w:rPr>
        <w:t>二</w:t>
      </w:r>
      <w:r>
        <w:rPr>
          <w:rFonts w:hint="eastAsia" w:ascii="宋体" w:hAnsi="宋体" w:eastAsia="宋体" w:cs="宋体"/>
          <w:b/>
          <w:bCs/>
          <w:spacing w:val="-4"/>
          <w:sz w:val="28"/>
          <w:szCs w:val="28"/>
          <w:lang w:eastAsia="zh-CN"/>
        </w:rPr>
        <w:t>）</w:t>
      </w:r>
      <w:r>
        <w:rPr>
          <w:rFonts w:hint="eastAsia" w:ascii="宋体" w:hAnsi="宋体" w:eastAsia="宋体" w:cs="宋体"/>
          <w:b/>
          <w:sz w:val="28"/>
          <w:szCs w:val="28"/>
          <w:highlight w:val="none"/>
          <w:lang w:eastAsia="zh-CN"/>
        </w:rPr>
        <w:t>残疾人福利性单位声明函</w:t>
      </w:r>
    </w:p>
    <w:p w14:paraId="6332C592">
      <w:pPr>
        <w:spacing w:before="233" w:line="220" w:lineRule="auto"/>
        <w:ind w:left="1554"/>
        <w:rPr>
          <w:rFonts w:hint="eastAsia" w:ascii="宋体" w:hAnsi="宋体" w:eastAsia="宋体" w:cs="宋体"/>
          <w:b/>
          <w:bCs/>
          <w:sz w:val="24"/>
          <w:szCs w:val="24"/>
        </w:rPr>
      </w:pPr>
      <w:r>
        <w:rPr>
          <w:rFonts w:hint="eastAsia" w:ascii="宋体" w:hAnsi="宋体" w:eastAsia="宋体" w:cs="宋体"/>
          <w:b/>
          <w:bCs/>
          <w:spacing w:val="-1"/>
          <w:sz w:val="24"/>
          <w:szCs w:val="24"/>
        </w:rPr>
        <w:t>（属于残疾人福利企业的填写，不属于的无需填写此项内容）</w:t>
      </w:r>
    </w:p>
    <w:p w14:paraId="40463143">
      <w:pPr>
        <w:pStyle w:val="8"/>
        <w:spacing w:line="324" w:lineRule="auto"/>
        <w:rPr>
          <w:rFonts w:hint="eastAsia" w:ascii="宋体" w:hAnsi="宋体" w:eastAsia="宋体" w:cs="宋体"/>
        </w:rPr>
      </w:pPr>
    </w:p>
    <w:p w14:paraId="481A4095">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本单位郑重声明，根据《财政部</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民政部</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 xml:space="preserve">中国残疾人联合会关于促进残疾人就业政府采购政策的通知》 （财库〔2017〕141 号） 的规定，本单位为符合条件的残疾人福利性单位，且本单位参加 </w:t>
      </w:r>
      <w:r>
        <w:rPr>
          <w:rFonts w:hint="eastAsia" w:ascii="宋体" w:hAnsi="宋体" w:eastAsia="宋体" w:cs="宋体"/>
          <w:spacing w:val="0"/>
          <w:sz w:val="24"/>
          <w:szCs w:val="24"/>
          <w:u w:val="single" w:color="auto"/>
        </w:rPr>
        <w:t xml:space="preserve">   </w:t>
      </w:r>
      <w:r>
        <w:rPr>
          <w:rFonts w:hint="eastAsia" w:ascii="宋体" w:hAnsi="宋体" w:eastAsia="宋体" w:cs="宋体"/>
          <w:spacing w:val="0"/>
          <w:sz w:val="24"/>
          <w:szCs w:val="24"/>
          <w:u w:val="single" w:color="auto"/>
          <w:lang w:val="en-US" w:eastAsia="zh-CN"/>
        </w:rPr>
        <w:t xml:space="preserve">               </w:t>
      </w:r>
      <w:r>
        <w:rPr>
          <w:rFonts w:hint="eastAsia" w:ascii="宋体" w:hAnsi="宋体" w:eastAsia="宋体" w:cs="宋体"/>
          <w:spacing w:val="0"/>
          <w:sz w:val="24"/>
          <w:szCs w:val="24"/>
          <w:u w:val="single" w:color="auto"/>
        </w:rPr>
        <w:t xml:space="preserve">   </w:t>
      </w:r>
      <w:r>
        <w:rPr>
          <w:rFonts w:hint="eastAsia" w:ascii="宋体" w:hAnsi="宋体" w:eastAsia="宋体" w:cs="宋体"/>
          <w:spacing w:val="0"/>
          <w:sz w:val="24"/>
          <w:szCs w:val="24"/>
        </w:rPr>
        <w:t xml:space="preserve"> 单位的 </w:t>
      </w:r>
      <w:r>
        <w:rPr>
          <w:rFonts w:hint="eastAsia" w:ascii="宋体" w:hAnsi="宋体" w:eastAsia="宋体" w:cs="宋体"/>
          <w:spacing w:val="0"/>
          <w:sz w:val="24"/>
          <w:szCs w:val="24"/>
          <w:u w:val="single" w:color="auto"/>
        </w:rPr>
        <w:t xml:space="preserve">  </w:t>
      </w:r>
      <w:r>
        <w:rPr>
          <w:rFonts w:hint="eastAsia" w:ascii="宋体" w:hAnsi="宋体" w:eastAsia="宋体" w:cs="宋体"/>
          <w:spacing w:val="0"/>
          <w:sz w:val="24"/>
          <w:szCs w:val="24"/>
          <w:u w:val="single" w:color="auto"/>
          <w:lang w:val="en-US" w:eastAsia="zh-CN"/>
        </w:rPr>
        <w:t xml:space="preserve">      </w:t>
      </w:r>
      <w:r>
        <w:rPr>
          <w:rFonts w:hint="eastAsia" w:ascii="宋体" w:hAnsi="宋体" w:eastAsia="宋体" w:cs="宋体"/>
          <w:spacing w:val="0"/>
          <w:sz w:val="24"/>
          <w:szCs w:val="24"/>
          <w:u w:val="single" w:color="auto"/>
        </w:rPr>
        <w:t xml:space="preserve">    </w:t>
      </w:r>
      <w:r>
        <w:rPr>
          <w:rFonts w:hint="eastAsia" w:ascii="宋体" w:hAnsi="宋体" w:eastAsia="宋体" w:cs="宋体"/>
          <w:spacing w:val="0"/>
          <w:sz w:val="24"/>
          <w:szCs w:val="24"/>
        </w:rPr>
        <w:t xml:space="preserve"> 项目采购活动提供本单位制造的货物（ 由本单位承担工程/提供服务） ，或者提供其他残疾人福利性单位制造的货物（不包括使用非残疾人福利性单位注册商标的货物）。</w:t>
      </w:r>
    </w:p>
    <w:p w14:paraId="6EA58CE9">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ascii="宋体" w:hAnsi="宋体" w:eastAsia="宋体" w:cs="宋体"/>
          <w:sz w:val="24"/>
          <w:szCs w:val="24"/>
        </w:rPr>
      </w:pPr>
      <w:r>
        <w:rPr>
          <w:rFonts w:hint="eastAsia" w:ascii="宋体" w:hAnsi="宋体" w:eastAsia="宋体" w:cs="宋体"/>
          <w:spacing w:val="0"/>
          <w:sz w:val="24"/>
          <w:szCs w:val="24"/>
        </w:rPr>
        <w:t>本单位对上述声明的真实性负责。如有虚假，将依法承担相应责任。</w:t>
      </w:r>
    </w:p>
    <w:p w14:paraId="65561D7D">
      <w:pPr>
        <w:pStyle w:val="8"/>
        <w:spacing w:line="330" w:lineRule="auto"/>
        <w:rPr>
          <w:rFonts w:hint="eastAsia" w:ascii="宋体" w:hAnsi="宋体" w:eastAsia="宋体" w:cs="宋体"/>
        </w:rPr>
      </w:pPr>
    </w:p>
    <w:p w14:paraId="2697AFB1">
      <w:pPr>
        <w:pStyle w:val="11"/>
        <w:pageBreakBefore w:val="0"/>
        <w:widowControl w:val="0"/>
        <w:kinsoku/>
        <w:wordWrap/>
        <w:overflowPunct/>
        <w:topLinePunct w:val="0"/>
        <w:autoSpaceDE/>
        <w:autoSpaceDN/>
        <w:bidi w:val="0"/>
        <w:adjustRightInd/>
        <w:snapToGrid/>
        <w:spacing w:line="360" w:lineRule="auto"/>
        <w:ind w:left="0" w:leftChars="0" w:firstLine="4200" w:firstLineChars="1750"/>
        <w:jc w:val="left"/>
        <w:textAlignment w:val="auto"/>
        <w:rPr>
          <w:rFonts w:hint="eastAsia" w:ascii="宋体" w:hAnsi="宋体" w:eastAsia="宋体" w:cs="宋体"/>
          <w:sz w:val="24"/>
          <w:szCs w:val="24"/>
          <w:highlight w:val="none"/>
        </w:rPr>
      </w:pPr>
      <w:bookmarkStart w:id="335" w:name="_Toc29062"/>
      <w:r>
        <w:rPr>
          <w:rFonts w:hint="eastAsia" w:ascii="宋体" w:hAnsi="宋体" w:eastAsia="宋体" w:cs="宋体"/>
          <w:sz w:val="24"/>
          <w:szCs w:val="24"/>
          <w:highlight w:val="none"/>
          <w:lang w:val="en-US" w:eastAsia="zh-CN"/>
        </w:rPr>
        <w:t>投标企业</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266F373B">
      <w:pPr>
        <w:spacing w:before="91" w:line="221" w:lineRule="auto"/>
        <w:ind w:left="0" w:leftChars="0" w:firstLine="4200" w:firstLineChars="1750"/>
        <w:jc w:val="both"/>
        <w:outlineLvl w:val="0"/>
        <w:rPr>
          <w:rFonts w:hint="eastAsia" w:ascii="宋体" w:hAnsi="宋体" w:eastAsia="宋体" w:cs="宋体"/>
          <w:sz w:val="24"/>
          <w:szCs w:val="24"/>
          <w:highlight w:val="none"/>
        </w:rPr>
      </w:pPr>
      <w:bookmarkStart w:id="336" w:name="_Toc12084"/>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bookmarkEnd w:id="336"/>
    </w:p>
    <w:p w14:paraId="475BFE1A">
      <w:pPr>
        <w:spacing w:line="360" w:lineRule="auto"/>
        <w:jc w:val="both"/>
        <w:rPr>
          <w:rFonts w:hint="eastAsia" w:ascii="宋体" w:hAnsi="宋体" w:eastAsia="宋体" w:cs="宋体"/>
          <w:sz w:val="24"/>
          <w:szCs w:val="24"/>
          <w:highlight w:val="none"/>
        </w:rPr>
      </w:pPr>
    </w:p>
    <w:p w14:paraId="512116B1">
      <w:pPr>
        <w:spacing w:line="360" w:lineRule="auto"/>
        <w:ind w:firstLine="482" w:firstLineChars="20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注</w:t>
      </w:r>
      <w:r>
        <w:rPr>
          <w:rFonts w:hint="eastAsia" w:ascii="宋体" w:hAnsi="宋体" w:eastAsia="宋体" w:cs="宋体"/>
          <w:b/>
          <w:bCs/>
          <w:sz w:val="24"/>
          <w:szCs w:val="24"/>
          <w:highlight w:val="none"/>
        </w:rPr>
        <w:t>：如果</w:t>
      </w:r>
      <w:r>
        <w:rPr>
          <w:rFonts w:hint="eastAsia" w:ascii="宋体" w:hAnsi="宋体" w:eastAsia="宋体" w:cs="宋体"/>
          <w:b/>
          <w:bCs/>
          <w:sz w:val="24"/>
          <w:szCs w:val="24"/>
          <w:highlight w:val="none"/>
          <w:lang w:val="en-US" w:eastAsia="zh-CN"/>
        </w:rPr>
        <w:t>投标人</w:t>
      </w:r>
      <w:r>
        <w:rPr>
          <w:rFonts w:hint="eastAsia" w:ascii="宋体" w:hAnsi="宋体" w:eastAsia="宋体" w:cs="宋体"/>
          <w:b/>
          <w:bCs/>
          <w:sz w:val="24"/>
          <w:szCs w:val="24"/>
          <w:highlight w:val="none"/>
        </w:rPr>
        <w:t>不是残疾人福利性单位，此项加盖</w:t>
      </w:r>
      <w:r>
        <w:rPr>
          <w:rFonts w:hint="eastAsia" w:ascii="宋体" w:hAnsi="宋体" w:eastAsia="宋体" w:cs="宋体"/>
          <w:b/>
          <w:bCs/>
          <w:sz w:val="24"/>
          <w:szCs w:val="24"/>
          <w:highlight w:val="none"/>
          <w:lang w:val="en-US" w:eastAsia="zh-CN"/>
        </w:rPr>
        <w:t>投标企业</w:t>
      </w:r>
      <w:r>
        <w:rPr>
          <w:rFonts w:hint="eastAsia" w:ascii="宋体" w:hAnsi="宋体" w:eastAsia="宋体" w:cs="宋体"/>
          <w:b/>
          <w:bCs/>
          <w:sz w:val="24"/>
          <w:szCs w:val="24"/>
          <w:highlight w:val="none"/>
        </w:rPr>
        <w:t>公章即可。否则，因此导致虚假投标的后果由</w:t>
      </w:r>
      <w:r>
        <w:rPr>
          <w:rFonts w:hint="eastAsia" w:ascii="宋体" w:hAnsi="宋体" w:eastAsia="宋体" w:cs="宋体"/>
          <w:b/>
          <w:bCs/>
          <w:sz w:val="24"/>
          <w:szCs w:val="24"/>
          <w:highlight w:val="none"/>
          <w:lang w:val="en-US" w:eastAsia="zh-CN"/>
        </w:rPr>
        <w:t>投标人</w:t>
      </w:r>
      <w:r>
        <w:rPr>
          <w:rFonts w:hint="eastAsia" w:ascii="宋体" w:hAnsi="宋体" w:eastAsia="宋体" w:cs="宋体"/>
          <w:b/>
          <w:bCs/>
          <w:sz w:val="24"/>
          <w:szCs w:val="24"/>
          <w:highlight w:val="none"/>
        </w:rPr>
        <w:t>自行承担。</w:t>
      </w:r>
    </w:p>
    <w:p w14:paraId="57B0988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《财政部民政部中国残疾人联合会关于促进残疾人就业政府采购政策的通知》（财库（2017〔141〕号）的规定：</w:t>
      </w:r>
    </w:p>
    <w:p w14:paraId="458E37F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享受政府采购支持政策的残疾人福利性单位应当同时满足以下条件：</w:t>
      </w:r>
    </w:p>
    <w:p w14:paraId="7A364DF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（1）安置的残疾人占本单位在职职工人数的比例不低于 25%（含 25%）， 并且安置的残疾人人数不少于 10 人（含 10 人）；</w:t>
      </w:r>
    </w:p>
    <w:p w14:paraId="539CD93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（2）依法与安置的每位残疾人签订了一年以上（含一年） 的劳动合同或服务协议；</w:t>
      </w:r>
    </w:p>
    <w:p w14:paraId="2104D44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（3）为安置的每位残疾人按月足额缴纳了基本养老保险、基本医疗保险、失业保险、工伤保险和生育保险等社会保险费；</w:t>
      </w:r>
    </w:p>
    <w:p w14:paraId="0A29633F">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（4）通过银行等金融机构向安置的每位残疾人，按月支付了不低于单位所在区县适用的经省级人民政府批准的月最低工资标准的工资；</w:t>
      </w:r>
    </w:p>
    <w:p w14:paraId="1B6B807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（5）提供本单位制造的货物、承担的工程或者服务（以下简称产品），或者提供其他残疾人福利性单位制造的货物（不包括使用非残疾人福利性单位注册商标的货物）。</w:t>
      </w:r>
    </w:p>
    <w:p w14:paraId="4C6856C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中标人为残疾人福利性单位的，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或者其委托的招标代理机构应当随中标、成交结果同时公告其《残疾人福利性单位声明函》， 接受社会监督，一旦发现弄虚作假提供虚假信息的，承担相应的法律责任。</w:t>
      </w:r>
    </w:p>
    <w:p w14:paraId="33399FE2">
      <w:pPr>
        <w:spacing w:line="360" w:lineRule="auto"/>
        <w:jc w:val="center"/>
        <w:rPr>
          <w:rFonts w:hint="eastAsia" w:ascii="宋体" w:hAnsi="宋体" w:eastAsia="宋体" w:cs="宋体"/>
          <w:b/>
          <w:bCs/>
          <w:spacing w:val="-4"/>
          <w:sz w:val="28"/>
          <w:szCs w:val="28"/>
          <w:lang w:eastAsia="zh-CN"/>
        </w:rPr>
      </w:pPr>
      <w:r>
        <w:rPr>
          <w:rFonts w:hint="eastAsia" w:ascii="宋体" w:hAnsi="宋体" w:eastAsia="宋体" w:cs="宋体"/>
          <w:b/>
          <w:bCs/>
          <w:spacing w:val="-4"/>
          <w:sz w:val="28"/>
          <w:szCs w:val="28"/>
          <w:lang w:eastAsia="zh-CN"/>
        </w:rPr>
        <w:t>（</w:t>
      </w:r>
      <w:r>
        <w:rPr>
          <w:rFonts w:hint="eastAsia" w:ascii="宋体" w:hAnsi="宋体" w:eastAsia="宋体" w:cs="宋体"/>
          <w:b/>
          <w:bCs/>
          <w:spacing w:val="-4"/>
          <w:sz w:val="28"/>
          <w:szCs w:val="28"/>
          <w:lang w:val="en-US" w:eastAsia="zh-CN"/>
        </w:rPr>
        <w:t>三</w:t>
      </w:r>
      <w:r>
        <w:rPr>
          <w:rFonts w:hint="eastAsia" w:ascii="宋体" w:hAnsi="宋体" w:eastAsia="宋体" w:cs="宋体"/>
          <w:b/>
          <w:bCs/>
          <w:spacing w:val="-4"/>
          <w:sz w:val="28"/>
          <w:szCs w:val="28"/>
          <w:lang w:eastAsia="zh-CN"/>
        </w:rPr>
        <w:t>）监狱企业证明文件（如有）</w:t>
      </w:r>
      <w:bookmarkEnd w:id="335"/>
    </w:p>
    <w:p w14:paraId="0B113214">
      <w:pPr>
        <w:spacing w:before="141" w:line="360" w:lineRule="auto"/>
        <w:jc w:val="center"/>
        <w:rPr>
          <w:rFonts w:hint="eastAsia" w:ascii="宋体" w:hAnsi="宋体" w:eastAsia="宋体" w:cs="宋体"/>
          <w:spacing w:val="-1"/>
          <w:sz w:val="24"/>
          <w:szCs w:val="24"/>
        </w:rPr>
      </w:pPr>
      <w:r>
        <w:rPr>
          <w:rFonts w:hint="eastAsia" w:ascii="宋体" w:hAnsi="宋体" w:eastAsia="宋体" w:cs="宋体"/>
          <w:b/>
          <w:bCs/>
          <w:spacing w:val="-1"/>
          <w:sz w:val="24"/>
          <w:szCs w:val="24"/>
        </w:rPr>
        <w:t>（属于</w:t>
      </w:r>
      <w:r>
        <w:rPr>
          <w:rFonts w:hint="eastAsia" w:ascii="宋体" w:hAnsi="宋体" w:eastAsia="宋体" w:cs="宋体"/>
          <w:b/>
          <w:bCs/>
          <w:spacing w:val="-1"/>
          <w:sz w:val="24"/>
          <w:szCs w:val="24"/>
          <w:lang w:val="en-US" w:eastAsia="zh-CN"/>
        </w:rPr>
        <w:t>监狱</w:t>
      </w:r>
      <w:r>
        <w:rPr>
          <w:rFonts w:hint="eastAsia" w:ascii="宋体" w:hAnsi="宋体" w:eastAsia="宋体" w:cs="宋体"/>
          <w:b/>
          <w:bCs/>
          <w:spacing w:val="-1"/>
          <w:sz w:val="24"/>
          <w:szCs w:val="24"/>
        </w:rPr>
        <w:t>企业的填写，不属于的无需填写此项内容）</w:t>
      </w:r>
    </w:p>
    <w:p w14:paraId="51CB38B2">
      <w:pPr>
        <w:spacing w:before="141" w:line="360" w:lineRule="auto"/>
        <w:ind w:firstLine="476" w:firstLineChars="200"/>
        <w:jc w:val="both"/>
        <w:rPr>
          <w:rFonts w:hint="eastAsia" w:ascii="宋体" w:hAnsi="宋体" w:eastAsia="宋体" w:cs="宋体"/>
          <w:spacing w:val="-1"/>
          <w:sz w:val="24"/>
          <w:szCs w:val="24"/>
        </w:rPr>
      </w:pPr>
    </w:p>
    <w:p w14:paraId="2778993A">
      <w:pPr>
        <w:spacing w:before="141" w:line="360" w:lineRule="auto"/>
        <w:ind w:firstLine="476" w:firstLineChars="200"/>
        <w:jc w:val="both"/>
        <w:rPr>
          <w:rFonts w:hint="eastAsia" w:ascii="宋体" w:hAnsi="宋体" w:eastAsia="宋体" w:cs="宋体"/>
          <w:sz w:val="24"/>
          <w:szCs w:val="24"/>
        </w:rPr>
      </w:pPr>
      <w:r>
        <w:rPr>
          <w:rFonts w:hint="eastAsia" w:ascii="宋体" w:hAnsi="宋体" w:eastAsia="宋体" w:cs="宋体"/>
          <w:spacing w:val="-1"/>
          <w:sz w:val="24"/>
          <w:szCs w:val="24"/>
        </w:rPr>
        <w:t>根据财政部、司法部联合印发《关于政府采购支持监狱企业发展有关问题的通知》</w:t>
      </w:r>
      <w:r>
        <w:rPr>
          <w:rFonts w:hint="eastAsia" w:ascii="宋体" w:hAnsi="宋体" w:eastAsia="宋体" w:cs="宋体"/>
          <w:spacing w:val="-2"/>
          <w:sz w:val="24"/>
          <w:szCs w:val="24"/>
        </w:rPr>
        <w:t>（财库【2014】68</w:t>
      </w:r>
      <w:r>
        <w:rPr>
          <w:rFonts w:hint="eastAsia" w:ascii="宋体" w:hAnsi="宋体" w:eastAsia="宋体" w:cs="宋体"/>
          <w:spacing w:val="-44"/>
          <w:sz w:val="24"/>
          <w:szCs w:val="24"/>
        </w:rPr>
        <w:t xml:space="preserve"> </w:t>
      </w:r>
      <w:r>
        <w:rPr>
          <w:rFonts w:hint="eastAsia" w:ascii="宋体" w:hAnsi="宋体" w:eastAsia="宋体" w:cs="宋体"/>
          <w:spacing w:val="-2"/>
          <w:sz w:val="24"/>
          <w:szCs w:val="24"/>
        </w:rPr>
        <w:t>号）文件规定，凡监狱企业参加政府采购活动视同小型、微型企</w:t>
      </w:r>
      <w:r>
        <w:rPr>
          <w:rFonts w:hint="eastAsia" w:ascii="宋体" w:hAnsi="宋体" w:eastAsia="宋体" w:cs="宋体"/>
          <w:spacing w:val="-3"/>
          <w:sz w:val="24"/>
          <w:szCs w:val="24"/>
        </w:rPr>
        <w:t>业，</w:t>
      </w:r>
      <w:r>
        <w:rPr>
          <w:rFonts w:hint="eastAsia" w:ascii="宋体" w:hAnsi="宋体" w:eastAsia="宋体" w:cs="宋体"/>
          <w:sz w:val="24"/>
          <w:szCs w:val="24"/>
        </w:rPr>
        <w:t xml:space="preserve"> 享受评审价格扣除的政府采购优惠政策。此次若有监狱企</w:t>
      </w:r>
      <w:r>
        <w:rPr>
          <w:rFonts w:hint="eastAsia" w:ascii="宋体" w:hAnsi="宋体" w:eastAsia="宋体" w:cs="宋体"/>
          <w:spacing w:val="-1"/>
          <w:sz w:val="24"/>
          <w:szCs w:val="24"/>
        </w:rPr>
        <w:t>业参加投标的其报价享受</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20%</w:t>
      </w:r>
      <w:r>
        <w:rPr>
          <w:rFonts w:hint="eastAsia" w:ascii="宋体" w:hAnsi="宋体" w:eastAsia="宋体" w:cs="宋体"/>
          <w:sz w:val="24"/>
          <w:szCs w:val="24"/>
        </w:rPr>
        <w:t xml:space="preserve"> </w:t>
      </w:r>
      <w:r>
        <w:rPr>
          <w:rFonts w:hint="eastAsia" w:ascii="宋体" w:hAnsi="宋体" w:eastAsia="宋体" w:cs="宋体"/>
          <w:spacing w:val="-1"/>
          <w:sz w:val="24"/>
          <w:szCs w:val="24"/>
        </w:rPr>
        <w:t>的价格扣除，但必须提供由省级以上监狱管理局、戒毒管理局（含新疆生产建设兵团）</w:t>
      </w:r>
      <w:r>
        <w:rPr>
          <w:rFonts w:hint="eastAsia" w:ascii="宋体" w:hAnsi="宋体" w:eastAsia="宋体" w:cs="宋体"/>
          <w:spacing w:val="10"/>
          <w:sz w:val="24"/>
          <w:szCs w:val="24"/>
        </w:rPr>
        <w:t xml:space="preserve"> </w:t>
      </w:r>
      <w:r>
        <w:rPr>
          <w:rFonts w:hint="eastAsia" w:ascii="宋体" w:hAnsi="宋体" w:eastAsia="宋体" w:cs="宋体"/>
          <w:spacing w:val="-1"/>
          <w:sz w:val="24"/>
          <w:szCs w:val="24"/>
        </w:rPr>
        <w:t>出具的属于监狱企业的证明文件，否则评审时不予价格扣除优惠。</w:t>
      </w:r>
    </w:p>
    <w:p w14:paraId="6F4CA8FA">
      <w:pPr>
        <w:pStyle w:val="8"/>
        <w:spacing w:line="296" w:lineRule="auto"/>
        <w:rPr>
          <w:rFonts w:hint="eastAsia" w:ascii="宋体" w:hAnsi="宋体" w:eastAsia="宋体" w:cs="宋体"/>
          <w:sz w:val="24"/>
          <w:szCs w:val="24"/>
        </w:rPr>
      </w:pPr>
    </w:p>
    <w:p w14:paraId="0531825A">
      <w:pPr>
        <w:pStyle w:val="8"/>
        <w:spacing w:line="296" w:lineRule="auto"/>
        <w:rPr>
          <w:rFonts w:hint="eastAsia" w:ascii="宋体" w:hAnsi="宋体" w:eastAsia="宋体" w:cs="宋体"/>
          <w:sz w:val="24"/>
          <w:szCs w:val="24"/>
        </w:rPr>
      </w:pPr>
    </w:p>
    <w:p w14:paraId="20FCDE0B">
      <w:pPr>
        <w:pStyle w:val="8"/>
        <w:spacing w:line="297" w:lineRule="auto"/>
        <w:rPr>
          <w:rFonts w:hint="eastAsia" w:ascii="宋体" w:hAnsi="宋体" w:eastAsia="宋体" w:cs="宋体"/>
          <w:sz w:val="24"/>
          <w:szCs w:val="24"/>
        </w:rPr>
      </w:pPr>
    </w:p>
    <w:p w14:paraId="38A54F8D">
      <w:pPr>
        <w:spacing w:before="78" w:line="219" w:lineRule="auto"/>
        <w:ind w:firstLine="476" w:firstLineChars="200"/>
        <w:rPr>
          <w:rFonts w:hint="eastAsia" w:ascii="宋体" w:hAnsi="宋体" w:eastAsia="宋体" w:cs="宋体"/>
          <w:sz w:val="24"/>
          <w:szCs w:val="24"/>
        </w:rPr>
        <w:sectPr>
          <w:pgSz w:w="11906" w:h="16839"/>
          <w:pgMar w:top="1440" w:right="1080" w:bottom="1440" w:left="1080" w:header="850" w:footer="850" w:gutter="0"/>
          <w:pgBorders>
            <w:top w:val="none" w:sz="0" w:space="0"/>
            <w:left w:val="none" w:sz="0" w:space="0"/>
            <w:bottom w:val="none" w:sz="0" w:space="0"/>
            <w:right w:val="none" w:sz="0" w:space="0"/>
          </w:pgBorders>
          <w:pgNumType w:fmt="decimalFullWidth"/>
          <w:cols w:space="720" w:num="1"/>
        </w:sectPr>
      </w:pPr>
      <w:r>
        <w:rPr>
          <w:rFonts w:hint="eastAsia" w:ascii="宋体" w:hAnsi="宋体" w:eastAsia="宋体" w:cs="宋体"/>
          <w:spacing w:val="-1"/>
          <w:sz w:val="24"/>
          <w:szCs w:val="24"/>
        </w:rPr>
        <w:t>注：在投标文件中附扫描件。</w:t>
      </w:r>
    </w:p>
    <w:p w14:paraId="5A252C3A">
      <w:pPr>
        <w:spacing w:line="360" w:lineRule="auto"/>
        <w:jc w:val="center"/>
        <w:rPr>
          <w:rFonts w:hint="eastAsia" w:ascii="宋体" w:hAnsi="宋体" w:eastAsia="宋体" w:cs="宋体"/>
          <w:b/>
          <w:bCs/>
          <w:spacing w:val="-4"/>
          <w:sz w:val="28"/>
          <w:szCs w:val="28"/>
          <w:lang w:eastAsia="zh-CN"/>
        </w:rPr>
      </w:pPr>
      <w:r>
        <w:rPr>
          <w:rFonts w:hint="eastAsia" w:ascii="宋体" w:hAnsi="宋体" w:eastAsia="宋体" w:cs="宋体"/>
          <w:b/>
          <w:bCs/>
          <w:spacing w:val="-4"/>
          <w:sz w:val="28"/>
          <w:szCs w:val="28"/>
          <w:lang w:val="en-US" w:eastAsia="zh-CN"/>
        </w:rPr>
        <w:t>（四）</w:t>
      </w:r>
      <w:r>
        <w:rPr>
          <w:rFonts w:hint="eastAsia" w:ascii="宋体" w:hAnsi="宋体" w:eastAsia="宋体" w:cs="宋体"/>
          <w:b/>
          <w:bCs/>
          <w:spacing w:val="-4"/>
          <w:sz w:val="28"/>
          <w:szCs w:val="28"/>
          <w:lang w:eastAsia="zh-CN"/>
        </w:rPr>
        <w:t>投标承诺函</w:t>
      </w:r>
    </w:p>
    <w:p w14:paraId="7A30A527">
      <w:pPr>
        <w:pStyle w:val="18"/>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360" w:lineRule="auto"/>
        <w:jc w:val="both"/>
        <w:textAlignment w:val="auto"/>
        <w:rPr>
          <w:rFonts w:hint="eastAsia" w:ascii="宋体" w:hAnsi="宋体" w:eastAsia="宋体" w:cs="宋体"/>
          <w:sz w:val="24"/>
          <w:szCs w:val="24"/>
          <w:highlight w:val="none"/>
          <w:u w:val="single"/>
          <w:shd w:val="clear" w:color="auto" w:fill="FFFFFF"/>
        </w:rPr>
      </w:pPr>
    </w:p>
    <w:p w14:paraId="44C3FF57">
      <w:pPr>
        <w:pStyle w:val="18"/>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360" w:lineRule="auto"/>
        <w:jc w:val="both"/>
        <w:textAlignment w:val="auto"/>
        <w:rPr>
          <w:rFonts w:hint="eastAsia" w:ascii="宋体" w:hAnsi="宋体" w:eastAsia="宋体" w:cs="宋体"/>
          <w:spacing w:val="8"/>
          <w:sz w:val="24"/>
          <w:szCs w:val="24"/>
          <w:highlight w:val="none"/>
          <w:u w:val="single"/>
        </w:rPr>
      </w:pPr>
      <w:r>
        <w:rPr>
          <w:rFonts w:hint="eastAsia" w:ascii="宋体" w:hAnsi="宋体" w:eastAsia="宋体" w:cs="宋体"/>
          <w:sz w:val="24"/>
          <w:szCs w:val="24"/>
          <w:highlight w:val="none"/>
          <w:u w:val="single"/>
          <w:shd w:val="clear" w:color="auto" w:fill="FFFFFF"/>
        </w:rPr>
        <w:t>致（采购人及采购代理机构）</w:t>
      </w:r>
      <w:r>
        <w:rPr>
          <w:rFonts w:hint="eastAsia" w:ascii="宋体" w:hAnsi="宋体" w:eastAsia="宋体" w:cs="宋体"/>
          <w:spacing w:val="8"/>
          <w:sz w:val="24"/>
          <w:szCs w:val="24"/>
          <w:highlight w:val="none"/>
          <w:u w:val="single"/>
          <w:shd w:val="clear" w:color="auto" w:fill="FFFFFF"/>
        </w:rPr>
        <w:t>：</w:t>
      </w:r>
    </w:p>
    <w:p w14:paraId="449DF7ED">
      <w:pPr>
        <w:keepNext w:val="0"/>
        <w:keepLines w:val="0"/>
        <w:pageBreakBefore w:val="0"/>
        <w:kinsoku/>
        <w:wordWrap/>
        <w:overflowPunct/>
        <w:topLinePunct w:val="0"/>
        <w:autoSpaceDE/>
        <w:autoSpaceDN/>
        <w:bidi w:val="0"/>
        <w:adjustRightInd/>
        <w:snapToGrid/>
        <w:spacing w:line="360" w:lineRule="auto"/>
        <w:ind w:firstLine="512" w:firstLineChars="200"/>
        <w:textAlignment w:val="auto"/>
        <w:rPr>
          <w:rFonts w:hint="eastAsia" w:ascii="宋体" w:hAnsi="宋体" w:eastAsia="宋体" w:cs="宋体"/>
          <w:spacing w:val="8"/>
          <w:sz w:val="24"/>
          <w:szCs w:val="24"/>
          <w:highlight w:val="none"/>
          <w:shd w:val="clear" w:color="auto" w:fill="FFFFFF"/>
        </w:rPr>
      </w:pPr>
    </w:p>
    <w:p w14:paraId="4A205365">
      <w:pPr>
        <w:keepNext w:val="0"/>
        <w:keepLines w:val="0"/>
        <w:pageBreakBefore w:val="0"/>
        <w:kinsoku/>
        <w:wordWrap/>
        <w:overflowPunct/>
        <w:topLinePunct w:val="0"/>
        <w:autoSpaceDE/>
        <w:autoSpaceDN/>
        <w:bidi w:val="0"/>
        <w:adjustRightInd/>
        <w:snapToGrid/>
        <w:spacing w:line="360" w:lineRule="auto"/>
        <w:ind w:firstLine="512" w:firstLineChars="200"/>
        <w:textAlignment w:val="auto"/>
        <w:rPr>
          <w:rFonts w:hint="eastAsia" w:ascii="宋体" w:hAnsi="宋体" w:eastAsia="宋体" w:cs="宋体"/>
          <w:sz w:val="24"/>
          <w:szCs w:val="24"/>
          <w:highlight w:val="none"/>
        </w:rPr>
      </w:pPr>
      <w:r>
        <w:rPr>
          <w:rFonts w:hint="eastAsia" w:ascii="宋体" w:hAnsi="宋体" w:eastAsia="宋体" w:cs="宋体"/>
          <w:spacing w:val="8"/>
          <w:sz w:val="24"/>
          <w:szCs w:val="24"/>
          <w:highlight w:val="none"/>
          <w:shd w:val="clear" w:color="auto" w:fill="FFFFFF"/>
        </w:rPr>
        <w:t>我</w:t>
      </w:r>
      <w:r>
        <w:rPr>
          <w:rFonts w:hint="eastAsia" w:ascii="宋体" w:hAnsi="宋体" w:eastAsia="宋体" w:cs="宋体"/>
          <w:sz w:val="24"/>
          <w:szCs w:val="24"/>
          <w:highlight w:val="none"/>
        </w:rPr>
        <w:t>公司作为本次采购项目的</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，根据磋商文件要求，现郑重承诺如下：</w:t>
      </w:r>
    </w:p>
    <w:p w14:paraId="538872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一、具备《中华人民共和国政府采购法》第二十二条第一款和本项目规定的条件：</w:t>
      </w:r>
    </w:p>
    <w:p w14:paraId="7177EB2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（一）具有独立承担民事责任的能力； 　　</w:t>
      </w:r>
    </w:p>
    <w:p w14:paraId="7ED70C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（二）具有良好的商业信誉和健全的财务会计制度； 　</w:t>
      </w:r>
    </w:p>
    <w:p w14:paraId="439266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（三）具有履行合同所必需的设备和专业技术能力； 　　</w:t>
      </w:r>
    </w:p>
    <w:p w14:paraId="042E5E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（四）有依法缴纳税收和社会保障资金的良好记录； 　　</w:t>
      </w:r>
    </w:p>
    <w:p w14:paraId="4D90A73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（五）参加政府采购活动前三年内，在经营活动中没有重大违法记录；</w:t>
      </w:r>
    </w:p>
    <w:p w14:paraId="0BD070C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（六）法律、行政法规规定的其他条件；</w:t>
      </w:r>
    </w:p>
    <w:p w14:paraId="5B0780A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（七）根据采购项目提出的特殊条件。</w:t>
      </w:r>
    </w:p>
    <w:p w14:paraId="1F24A3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09B3B81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三、参加本次招标采购活动，不存在与单位负责人为同一人或者存在直接控股、管理关系的其他</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参与同一合同项下的政府采购活动的行为。    </w:t>
      </w:r>
    </w:p>
    <w:p w14:paraId="5DEE93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四、参加本次招标采购活动，不存在为采购项目提供整体设计、规范编制或者项目管理、监理、检测等服务的行为。</w:t>
      </w:r>
    </w:p>
    <w:p w14:paraId="66D314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五、参加本次招标采购活动，不存在和其他</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在同一合同项下的采购项目中，同时委托同一个自然人、同一家庭的人员、同一单位的人员作为代理人的行为。</w:t>
      </w:r>
    </w:p>
    <w:p w14:paraId="54A3B80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w:t>
      </w:r>
      <w:r>
        <w:rPr>
          <w:rFonts w:hint="eastAsia" w:ascii="宋体" w:hAnsi="宋体" w:eastAsia="宋体" w:cs="宋体"/>
          <w:spacing w:val="-6"/>
          <w:sz w:val="24"/>
          <w:szCs w:val="24"/>
          <w:highlight w:val="none"/>
          <w:lang w:val="en-US" w:eastAsia="zh-CN"/>
        </w:rPr>
        <w:t>投标人</w:t>
      </w:r>
      <w:r>
        <w:rPr>
          <w:rFonts w:hint="eastAsia" w:ascii="宋体" w:hAnsi="宋体" w:eastAsia="宋体" w:cs="宋体"/>
          <w:spacing w:val="-6"/>
          <w:sz w:val="24"/>
          <w:szCs w:val="24"/>
          <w:highlight w:val="none"/>
        </w:rPr>
        <w:t>参加本次政府采购活动要求在近三年内</w:t>
      </w:r>
      <w:r>
        <w:rPr>
          <w:rFonts w:hint="eastAsia" w:ascii="宋体" w:hAnsi="宋体" w:eastAsia="宋体" w:cs="宋体"/>
          <w:spacing w:val="-6"/>
          <w:sz w:val="24"/>
          <w:szCs w:val="24"/>
          <w:highlight w:val="none"/>
          <w:lang w:val="en-US" w:eastAsia="zh-CN"/>
        </w:rPr>
        <w:t>投标人</w:t>
      </w:r>
      <w:r>
        <w:rPr>
          <w:rFonts w:hint="eastAsia" w:ascii="宋体" w:hAnsi="宋体" w:eastAsia="宋体" w:cs="宋体"/>
          <w:spacing w:val="-6"/>
          <w:sz w:val="24"/>
          <w:szCs w:val="24"/>
          <w:highlight w:val="none"/>
        </w:rPr>
        <w:t>和其法定代表人没有行贿犯罪行为。</w:t>
      </w:r>
    </w:p>
    <w:p w14:paraId="159E5E3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七、参加本次招标采购活动，不存在联合体投标。</w:t>
      </w:r>
    </w:p>
    <w:p w14:paraId="6ACD05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八、响应文件中提供的能够给予我公司带来优惠、好处的任何材料资料和技术、服务、商务等响应承诺情况都是真实的、有效的、合法的。</w:t>
      </w:r>
    </w:p>
    <w:p w14:paraId="12E50CA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九、如本项目评标过程中需要提供样品，则我公司提供的样品即为中标后将要提供的中标产品，我公司对提供样品的性能和质量负责，因样品存在缺陷或者不符合磋商文件要求导致未能中标的，我公司愿意承担相应不利后果。（如提供样品）    </w:t>
      </w:r>
    </w:p>
    <w:p w14:paraId="700FFB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十、存在以下行为之一的愿意接受相关部门的处理：</w:t>
      </w:r>
    </w:p>
    <w:p w14:paraId="339F00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（一）投标有效期内撤销响应文件的；</w:t>
      </w:r>
    </w:p>
    <w:p w14:paraId="0E35D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（二）在采购人确定成交人以前放弃中标候选资格的；</w:t>
      </w:r>
    </w:p>
    <w:p w14:paraId="6E98D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（三）由于成交人的原因未能按照磋商文件的规定与采购人签订合同；</w:t>
      </w:r>
    </w:p>
    <w:p w14:paraId="56AFE3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（四）由于成交人的原因未能按照磋商文件的规定</w:t>
      </w:r>
      <w:r>
        <w:rPr>
          <w:rFonts w:hint="eastAsia" w:ascii="宋体" w:hAnsi="宋体" w:eastAsia="宋体" w:cs="宋体"/>
          <w:sz w:val="24"/>
          <w:szCs w:val="24"/>
          <w:highlight w:val="none"/>
          <w:lang w:eastAsia="zh-CN"/>
        </w:rPr>
        <w:t>缴纳</w:t>
      </w:r>
      <w:r>
        <w:rPr>
          <w:rFonts w:hint="eastAsia" w:ascii="宋体" w:hAnsi="宋体" w:eastAsia="宋体" w:cs="宋体"/>
          <w:sz w:val="24"/>
          <w:szCs w:val="24"/>
          <w:highlight w:val="none"/>
        </w:rPr>
        <w:t>履约保证金；</w:t>
      </w:r>
    </w:p>
    <w:p w14:paraId="2FA7C9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（五）在响应文件中提供虚假材料谋取中标；</w:t>
      </w:r>
    </w:p>
    <w:p w14:paraId="450A7A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（六）与采购人、其他</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或者采购代理机构恶意串通的；</w:t>
      </w:r>
    </w:p>
    <w:p w14:paraId="701F05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（七）磋商有效期内，</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在政府采购活动中有违法、违规、违纪行为。</w:t>
      </w:r>
    </w:p>
    <w:p w14:paraId="20E19A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由此产生的一切法律后果和责任由我公司承担。我公司声明放弃对此提出任何异议和追索的权利。</w:t>
      </w:r>
    </w:p>
    <w:p w14:paraId="2AD29A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本公司对上述承诺的内</w:t>
      </w:r>
      <w:r>
        <w:rPr>
          <w:rFonts w:hint="eastAsia" w:ascii="宋体" w:hAnsi="宋体" w:eastAsia="宋体" w:cs="宋体"/>
          <w:sz w:val="24"/>
          <w:szCs w:val="24"/>
          <w:highlight w:val="none"/>
          <w:lang w:eastAsia="zh-CN"/>
        </w:rPr>
        <w:t>容和</w:t>
      </w:r>
      <w:r>
        <w:rPr>
          <w:rFonts w:hint="eastAsia" w:ascii="宋体" w:hAnsi="宋体" w:eastAsia="宋体" w:cs="宋体"/>
          <w:sz w:val="24"/>
          <w:szCs w:val="24"/>
          <w:highlight w:val="none"/>
        </w:rPr>
        <w:t>事项真实性负责。如经查实上述承诺的内容事项存在虚假，我公司愿意接受以提供虚假材料谋取中标追究法律责任。</w:t>
      </w:r>
    </w:p>
    <w:p w14:paraId="63EE88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79A42CA1">
      <w:pPr>
        <w:pStyle w:val="25"/>
        <w:rPr>
          <w:rFonts w:hint="eastAsia" w:ascii="宋体" w:hAnsi="宋体" w:eastAsia="宋体" w:cs="宋体"/>
          <w:sz w:val="24"/>
          <w:szCs w:val="24"/>
          <w:highlight w:val="none"/>
        </w:rPr>
      </w:pPr>
    </w:p>
    <w:p w14:paraId="4D4D7153">
      <w:pPr>
        <w:pStyle w:val="6"/>
        <w:rPr>
          <w:rFonts w:hint="eastAsia" w:ascii="宋体" w:hAnsi="宋体" w:eastAsia="宋体" w:cs="宋体"/>
          <w:sz w:val="24"/>
          <w:szCs w:val="24"/>
          <w:highlight w:val="none"/>
        </w:rPr>
      </w:pPr>
    </w:p>
    <w:p w14:paraId="5F8DA8C0">
      <w:pPr>
        <w:rPr>
          <w:rFonts w:hint="eastAsia" w:ascii="宋体" w:hAnsi="宋体" w:eastAsia="宋体" w:cs="宋体"/>
          <w:sz w:val="24"/>
          <w:szCs w:val="24"/>
          <w:highlight w:val="none"/>
        </w:rPr>
      </w:pPr>
    </w:p>
    <w:p w14:paraId="27B7E90C">
      <w:pPr>
        <w:pStyle w:val="25"/>
        <w:rPr>
          <w:rFonts w:hint="eastAsia" w:ascii="宋体" w:hAnsi="宋体" w:eastAsia="宋体" w:cs="宋体"/>
          <w:sz w:val="24"/>
          <w:szCs w:val="24"/>
          <w:highlight w:val="none"/>
        </w:rPr>
      </w:pPr>
    </w:p>
    <w:p w14:paraId="608298F5">
      <w:pPr>
        <w:pStyle w:val="6"/>
        <w:rPr>
          <w:rFonts w:hint="eastAsia" w:ascii="宋体" w:hAnsi="宋体" w:eastAsia="宋体" w:cs="宋体"/>
        </w:rPr>
      </w:pPr>
    </w:p>
    <w:p w14:paraId="626253DD">
      <w:pPr>
        <w:pStyle w:val="11"/>
        <w:pageBreakBefore w:val="0"/>
        <w:widowControl w:val="0"/>
        <w:kinsoku/>
        <w:wordWrap/>
        <w:overflowPunct/>
        <w:topLinePunct w:val="0"/>
        <w:autoSpaceDE/>
        <w:autoSpaceDN/>
        <w:bidi w:val="0"/>
        <w:adjustRightInd/>
        <w:snapToGrid/>
        <w:spacing w:line="360" w:lineRule="auto"/>
        <w:ind w:left="0" w:leftChars="0" w:firstLine="3360" w:firstLineChars="1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59055605">
      <w:pPr>
        <w:pStyle w:val="11"/>
        <w:pageBreakBefore w:val="0"/>
        <w:widowControl w:val="0"/>
        <w:kinsoku/>
        <w:wordWrap/>
        <w:overflowPunct/>
        <w:topLinePunct w:val="0"/>
        <w:autoSpaceDE/>
        <w:autoSpaceDN/>
        <w:bidi w:val="0"/>
        <w:adjustRightInd/>
        <w:snapToGrid/>
        <w:spacing w:line="360" w:lineRule="auto"/>
        <w:ind w:left="0" w:leftChars="0" w:firstLine="3360" w:firstLineChars="1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3DA47171">
      <w:pPr>
        <w:keepNext w:val="0"/>
        <w:keepLines w:val="0"/>
        <w:pageBreakBefore w:val="0"/>
        <w:kinsoku/>
        <w:wordWrap/>
        <w:overflowPunct/>
        <w:topLinePunct w:val="0"/>
        <w:autoSpaceDE/>
        <w:autoSpaceDN/>
        <w:bidi w:val="0"/>
        <w:adjustRightInd/>
        <w:snapToGrid/>
        <w:spacing w:line="360" w:lineRule="auto"/>
        <w:ind w:left="0" w:leftChars="0" w:firstLine="3360" w:firstLineChars="14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p w14:paraId="42BF4CCE">
      <w:pPr>
        <w:rPr>
          <w:rFonts w:hint="eastAsia" w:ascii="宋体" w:hAnsi="宋体" w:eastAsia="宋体" w:cs="宋体"/>
        </w:rPr>
      </w:pPr>
    </w:p>
    <w:p w14:paraId="36B636D3">
      <w:pPr>
        <w:spacing w:line="360" w:lineRule="auto"/>
        <w:jc w:val="center"/>
        <w:rPr>
          <w:rFonts w:hint="eastAsia" w:ascii="宋体" w:hAnsi="宋体" w:eastAsia="宋体" w:cs="宋体"/>
          <w:b/>
          <w:bCs/>
          <w:spacing w:val="-4"/>
          <w:sz w:val="28"/>
          <w:szCs w:val="28"/>
          <w:lang w:val="en-US" w:eastAsia="zh-CN"/>
        </w:rPr>
      </w:pPr>
      <w:r>
        <w:rPr>
          <w:rFonts w:hint="eastAsia" w:ascii="宋体" w:hAnsi="宋体" w:eastAsia="宋体" w:cs="宋体"/>
          <w:sz w:val="21"/>
          <w:szCs w:val="21"/>
          <w:highlight w:val="none"/>
          <w:shd w:val="clear" w:color="auto" w:fill="FFFFFF"/>
        </w:rPr>
        <w:br w:type="page"/>
      </w:r>
      <w:r>
        <w:rPr>
          <w:rFonts w:hint="eastAsia" w:ascii="宋体" w:hAnsi="宋体" w:eastAsia="宋体" w:cs="宋体"/>
          <w:b/>
          <w:bCs/>
          <w:spacing w:val="-4"/>
          <w:sz w:val="28"/>
          <w:szCs w:val="28"/>
          <w:lang w:val="en-US" w:eastAsia="zh-CN"/>
        </w:rPr>
        <w:t>（五）采购代理服务费承诺函</w:t>
      </w:r>
    </w:p>
    <w:p w14:paraId="1918E260">
      <w:pPr>
        <w:pStyle w:val="18"/>
        <w:shd w:val="clear" w:color="auto" w:fill="FFFFFF"/>
        <w:spacing w:before="0" w:beforeAutospacing="0" w:after="0" w:afterAutospacing="0"/>
        <w:jc w:val="both"/>
        <w:rPr>
          <w:rFonts w:hint="eastAsia" w:ascii="宋体" w:hAnsi="宋体" w:eastAsia="宋体" w:cs="宋体"/>
          <w:spacing w:val="8"/>
          <w:sz w:val="21"/>
          <w:szCs w:val="21"/>
          <w:highlight w:val="none"/>
        </w:rPr>
      </w:pPr>
      <w:r>
        <w:rPr>
          <w:rFonts w:hint="eastAsia" w:ascii="宋体" w:hAnsi="宋体" w:eastAsia="宋体" w:cs="宋体"/>
          <w:spacing w:val="8"/>
          <w:sz w:val="21"/>
          <w:szCs w:val="21"/>
          <w:highlight w:val="none"/>
          <w:shd w:val="clear" w:color="auto" w:fill="FFFFFF"/>
        </w:rPr>
        <w:t> </w:t>
      </w:r>
    </w:p>
    <w:p w14:paraId="5AB19E61">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pacing w:val="0"/>
          <w:sz w:val="24"/>
          <w:szCs w:val="24"/>
          <w:highlight w:val="none"/>
          <w:u w:val="single"/>
        </w:rPr>
      </w:pPr>
      <w:r>
        <w:rPr>
          <w:rFonts w:hint="eastAsia" w:ascii="宋体" w:hAnsi="宋体" w:eastAsia="宋体" w:cs="宋体"/>
          <w:spacing w:val="0"/>
          <w:sz w:val="24"/>
          <w:szCs w:val="24"/>
          <w:highlight w:val="none"/>
          <w:u w:val="single"/>
          <w:shd w:val="clear" w:color="auto" w:fill="FFFFFF"/>
        </w:rPr>
        <w:t>致（采购人及采购代理机构） ：</w:t>
      </w:r>
    </w:p>
    <w:p w14:paraId="58A70CC2">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pacing w:val="0"/>
          <w:sz w:val="24"/>
          <w:szCs w:val="24"/>
          <w:highlight w:val="none"/>
          <w:shd w:val="clear" w:color="auto" w:fill="FFFFFF"/>
        </w:rPr>
      </w:pPr>
    </w:p>
    <w:p w14:paraId="5E7B293E">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pacing w:val="0"/>
          <w:sz w:val="24"/>
          <w:szCs w:val="24"/>
          <w:highlight w:val="none"/>
        </w:rPr>
      </w:pPr>
      <w:r>
        <w:rPr>
          <w:rFonts w:hint="eastAsia" w:ascii="宋体" w:hAnsi="宋体" w:eastAsia="宋体" w:cs="宋体"/>
          <w:spacing w:val="0"/>
          <w:sz w:val="24"/>
          <w:szCs w:val="24"/>
          <w:highlight w:val="none"/>
          <w:shd w:val="clear" w:color="auto" w:fill="FFFFFF"/>
        </w:rPr>
        <w:t>我们在贵公司组织的（项目名称：</w:t>
      </w:r>
      <w:r>
        <w:rPr>
          <w:rFonts w:hint="eastAsia" w:ascii="宋体" w:hAnsi="宋体" w:eastAsia="宋体" w:cs="宋体"/>
          <w:spacing w:val="0"/>
          <w:sz w:val="24"/>
          <w:szCs w:val="24"/>
          <w:highlight w:val="none"/>
          <w:u w:val="single"/>
          <w:shd w:val="clear" w:color="auto" w:fill="FFFFFF"/>
        </w:rPr>
        <w:t xml:space="preserve">   </w:t>
      </w:r>
      <w:r>
        <w:rPr>
          <w:rFonts w:hint="eastAsia" w:ascii="宋体" w:hAnsi="宋体" w:eastAsia="宋体" w:cs="宋体"/>
          <w:spacing w:val="0"/>
          <w:sz w:val="24"/>
          <w:szCs w:val="24"/>
          <w:highlight w:val="none"/>
          <w:u w:val="single"/>
          <w:shd w:val="clear" w:color="auto" w:fill="FFFFFF"/>
          <w:lang w:val="en-US" w:eastAsia="zh-CN"/>
        </w:rPr>
        <w:t xml:space="preserve">            </w:t>
      </w:r>
      <w:r>
        <w:rPr>
          <w:rFonts w:hint="eastAsia" w:ascii="宋体" w:hAnsi="宋体" w:eastAsia="宋体" w:cs="宋体"/>
          <w:spacing w:val="0"/>
          <w:sz w:val="24"/>
          <w:szCs w:val="24"/>
          <w:highlight w:val="none"/>
          <w:u w:val="single"/>
          <w:shd w:val="clear" w:color="auto" w:fill="FFFFFF"/>
        </w:rPr>
        <w:t xml:space="preserve"> </w:t>
      </w:r>
      <w:r>
        <w:rPr>
          <w:rFonts w:hint="eastAsia" w:ascii="宋体" w:hAnsi="宋体" w:eastAsia="宋体" w:cs="宋体"/>
          <w:spacing w:val="0"/>
          <w:sz w:val="24"/>
          <w:szCs w:val="24"/>
          <w:highlight w:val="none"/>
          <w:shd w:val="clear" w:color="auto" w:fill="FFFFFF"/>
          <w:lang w:val="en-US" w:eastAsia="zh-CN"/>
        </w:rPr>
        <w:t>项目</w:t>
      </w:r>
      <w:r>
        <w:rPr>
          <w:rFonts w:hint="eastAsia" w:ascii="宋体" w:hAnsi="宋体" w:eastAsia="宋体" w:cs="宋体"/>
          <w:spacing w:val="0"/>
          <w:sz w:val="24"/>
          <w:szCs w:val="24"/>
          <w:highlight w:val="none"/>
          <w:shd w:val="clear" w:color="auto" w:fill="FFFFFF"/>
        </w:rPr>
        <w:t>编号：</w:t>
      </w:r>
      <w:r>
        <w:rPr>
          <w:rFonts w:hint="eastAsia" w:ascii="宋体" w:hAnsi="宋体" w:eastAsia="宋体" w:cs="宋体"/>
          <w:spacing w:val="0"/>
          <w:sz w:val="24"/>
          <w:szCs w:val="24"/>
          <w:highlight w:val="none"/>
          <w:u w:val="single"/>
          <w:shd w:val="clear" w:color="auto" w:fill="FFFFFF"/>
        </w:rPr>
        <w:t xml:space="preserve">    </w:t>
      </w:r>
      <w:r>
        <w:rPr>
          <w:rFonts w:hint="eastAsia" w:ascii="宋体" w:hAnsi="宋体" w:eastAsia="宋体" w:cs="宋体"/>
          <w:spacing w:val="0"/>
          <w:sz w:val="24"/>
          <w:szCs w:val="24"/>
          <w:highlight w:val="none"/>
          <w:u w:val="single"/>
          <w:shd w:val="clear" w:color="auto" w:fill="FFFFFF"/>
          <w:lang w:val="en-US" w:eastAsia="zh-CN"/>
        </w:rPr>
        <w:t xml:space="preserve">       </w:t>
      </w:r>
      <w:r>
        <w:rPr>
          <w:rFonts w:hint="eastAsia" w:ascii="宋体" w:hAnsi="宋体" w:eastAsia="宋体" w:cs="宋体"/>
          <w:spacing w:val="0"/>
          <w:sz w:val="24"/>
          <w:szCs w:val="24"/>
          <w:highlight w:val="none"/>
          <w:u w:val="single"/>
          <w:shd w:val="clear" w:color="auto" w:fill="FFFFFF"/>
        </w:rPr>
        <w:t xml:space="preserve"> </w:t>
      </w:r>
      <w:r>
        <w:rPr>
          <w:rFonts w:hint="eastAsia" w:ascii="宋体" w:hAnsi="宋体" w:eastAsia="宋体" w:cs="宋体"/>
          <w:spacing w:val="0"/>
          <w:sz w:val="24"/>
          <w:szCs w:val="24"/>
          <w:highlight w:val="none"/>
          <w:shd w:val="clear" w:color="auto" w:fill="FFFFFF"/>
        </w:rPr>
        <w:t>）招标采购中若获中标（成交），我们保证在中标</w:t>
      </w:r>
      <w:r>
        <w:rPr>
          <w:rFonts w:hint="eastAsia" w:ascii="宋体" w:hAnsi="宋体" w:eastAsia="宋体" w:cs="宋体"/>
          <w:spacing w:val="0"/>
          <w:sz w:val="24"/>
          <w:szCs w:val="24"/>
          <w:highlight w:val="none"/>
          <w:shd w:val="clear" w:color="auto" w:fill="FFFFFF"/>
          <w:lang w:eastAsia="zh-CN"/>
        </w:rPr>
        <w:t>（</w:t>
      </w:r>
      <w:r>
        <w:rPr>
          <w:rFonts w:hint="eastAsia" w:ascii="宋体" w:hAnsi="宋体" w:eastAsia="宋体" w:cs="宋体"/>
          <w:spacing w:val="0"/>
          <w:sz w:val="24"/>
          <w:szCs w:val="24"/>
          <w:highlight w:val="none"/>
          <w:shd w:val="clear" w:color="auto" w:fill="FFFFFF"/>
        </w:rPr>
        <w:t>成交）结果公告发布后5个工作日内，按磋商文件的规定，以支票、银行转账、汇票或现金，向贵公司一次性支付招标代理服务费用。否则，由此产生的一切法律后果和责任由我公司承担。我公司声明放弃对此提出任何异议和追索的权利。</w:t>
      </w:r>
    </w:p>
    <w:p w14:paraId="0AFB2FCA">
      <w:pPr>
        <w:pStyle w:val="1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pacing w:val="0"/>
          <w:sz w:val="21"/>
          <w:szCs w:val="21"/>
          <w:highlight w:val="none"/>
        </w:rPr>
      </w:pPr>
      <w:r>
        <w:rPr>
          <w:rFonts w:hint="eastAsia" w:ascii="宋体" w:hAnsi="宋体" w:eastAsia="宋体" w:cs="宋体"/>
          <w:spacing w:val="0"/>
          <w:sz w:val="24"/>
          <w:szCs w:val="24"/>
          <w:highlight w:val="none"/>
          <w:shd w:val="clear" w:color="auto" w:fill="FFFFFF"/>
        </w:rPr>
        <w:t>特此承诺。</w:t>
      </w:r>
    </w:p>
    <w:p w14:paraId="127A137A">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r>
        <w:rPr>
          <w:rFonts w:hint="eastAsia" w:ascii="宋体" w:hAnsi="宋体" w:eastAsia="宋体" w:cs="宋体"/>
          <w:spacing w:val="8"/>
          <w:sz w:val="21"/>
          <w:szCs w:val="21"/>
          <w:highlight w:val="none"/>
          <w:shd w:val="clear" w:color="auto" w:fill="FFFFFF"/>
        </w:rPr>
        <w:t> </w:t>
      </w:r>
    </w:p>
    <w:p w14:paraId="57916588">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p>
    <w:p w14:paraId="6E75EE48">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p>
    <w:p w14:paraId="3C1251EE">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p>
    <w:p w14:paraId="1C25CE31">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p>
    <w:p w14:paraId="0E443EAB">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shd w:val="clear" w:color="auto" w:fill="FFFFFF"/>
        </w:rPr>
      </w:pPr>
    </w:p>
    <w:p w14:paraId="7A6D865F">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rPr>
      </w:pPr>
      <w:r>
        <w:rPr>
          <w:rFonts w:hint="eastAsia" w:ascii="宋体" w:hAnsi="宋体" w:eastAsia="宋体" w:cs="宋体"/>
          <w:spacing w:val="8"/>
          <w:sz w:val="21"/>
          <w:szCs w:val="21"/>
          <w:highlight w:val="none"/>
          <w:shd w:val="clear" w:color="auto" w:fill="FFFFFF"/>
        </w:rPr>
        <w:t> </w:t>
      </w:r>
    </w:p>
    <w:p w14:paraId="20354D92">
      <w:pPr>
        <w:pStyle w:val="11"/>
        <w:pageBreakBefore w:val="0"/>
        <w:widowControl w:val="0"/>
        <w:kinsoku/>
        <w:wordWrap/>
        <w:overflowPunct/>
        <w:topLinePunct w:val="0"/>
        <w:autoSpaceDE/>
        <w:autoSpaceDN/>
        <w:bidi w:val="0"/>
        <w:adjustRightInd/>
        <w:snapToGrid/>
        <w:spacing w:line="360" w:lineRule="auto"/>
        <w:ind w:left="0" w:leftChars="0" w:firstLine="3360" w:firstLineChars="1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（单位电子签章）</w:t>
      </w:r>
    </w:p>
    <w:p w14:paraId="3816F889">
      <w:pPr>
        <w:pStyle w:val="11"/>
        <w:pageBreakBefore w:val="0"/>
        <w:widowControl w:val="0"/>
        <w:kinsoku/>
        <w:wordWrap/>
        <w:overflowPunct/>
        <w:topLinePunct w:val="0"/>
        <w:autoSpaceDE/>
        <w:autoSpaceDN/>
        <w:bidi w:val="0"/>
        <w:adjustRightInd/>
        <w:snapToGrid/>
        <w:spacing w:line="360" w:lineRule="auto"/>
        <w:ind w:left="0" w:leftChars="0" w:firstLine="3360" w:firstLineChars="14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或</w:t>
      </w: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（电子签名或盖章）</w:t>
      </w:r>
    </w:p>
    <w:p w14:paraId="2756E4EF">
      <w:pPr>
        <w:pStyle w:val="18"/>
        <w:shd w:val="clear" w:color="auto" w:fill="FFFFFF"/>
        <w:spacing w:before="0" w:beforeAutospacing="0" w:after="0" w:afterAutospacing="0" w:line="360" w:lineRule="auto"/>
        <w:ind w:left="0" w:leftChars="0" w:firstLine="3360" w:firstLineChars="0"/>
        <w:jc w:val="both"/>
        <w:rPr>
          <w:rFonts w:hint="eastAsia" w:ascii="宋体" w:hAnsi="宋体" w:eastAsia="宋体" w:cs="宋体"/>
          <w:spacing w:val="8"/>
          <w:sz w:val="21"/>
          <w:szCs w:val="21"/>
          <w:highlight w:val="none"/>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期：     年    月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p>
    <w:p w14:paraId="19375953">
      <w:pPr>
        <w:pStyle w:val="18"/>
        <w:shd w:val="clear" w:color="auto" w:fill="FFFFFF"/>
        <w:spacing w:before="0" w:beforeAutospacing="0" w:after="0" w:afterAutospacing="0" w:line="360" w:lineRule="auto"/>
        <w:jc w:val="both"/>
        <w:rPr>
          <w:rFonts w:hint="eastAsia" w:ascii="宋体" w:hAnsi="宋体" w:eastAsia="宋体" w:cs="宋体"/>
          <w:spacing w:val="8"/>
          <w:sz w:val="21"/>
          <w:szCs w:val="21"/>
          <w:highlight w:val="none"/>
        </w:rPr>
      </w:pPr>
      <w:r>
        <w:rPr>
          <w:rFonts w:hint="eastAsia" w:ascii="宋体" w:hAnsi="宋体" w:eastAsia="宋体" w:cs="宋体"/>
          <w:spacing w:val="8"/>
          <w:sz w:val="21"/>
          <w:szCs w:val="21"/>
          <w:highlight w:val="none"/>
          <w:shd w:val="clear" w:color="auto" w:fill="FFFFFF"/>
        </w:rPr>
        <w:t> </w:t>
      </w:r>
    </w:p>
    <w:p w14:paraId="4A2589FA">
      <w:pPr>
        <w:rPr>
          <w:rFonts w:hint="eastAsia" w:ascii="宋体" w:hAnsi="宋体" w:eastAsia="宋体" w:cs="宋体"/>
          <w:szCs w:val="21"/>
          <w:highlight w:val="none"/>
        </w:rPr>
      </w:pPr>
    </w:p>
    <w:p w14:paraId="2F1ED9FC">
      <w:pPr>
        <w:spacing w:line="360" w:lineRule="auto"/>
        <w:jc w:val="center"/>
        <w:rPr>
          <w:rFonts w:hint="eastAsia" w:ascii="宋体" w:hAnsi="宋体" w:eastAsia="宋体" w:cs="宋体"/>
          <w:szCs w:val="21"/>
          <w:highlight w:val="none"/>
        </w:rPr>
      </w:pPr>
    </w:p>
    <w:p w14:paraId="5A30E816">
      <w:pPr>
        <w:spacing w:line="360" w:lineRule="auto"/>
        <w:jc w:val="center"/>
        <w:rPr>
          <w:rFonts w:hint="eastAsia" w:ascii="宋体" w:hAnsi="宋体" w:eastAsia="宋体" w:cs="宋体"/>
          <w:b/>
          <w:bCs/>
          <w:spacing w:val="-4"/>
          <w:sz w:val="28"/>
          <w:szCs w:val="28"/>
          <w:lang w:val="en-US" w:eastAsia="zh-CN"/>
        </w:rPr>
      </w:pPr>
      <w:r>
        <w:rPr>
          <w:rFonts w:hint="eastAsia" w:ascii="宋体" w:hAnsi="宋体" w:eastAsia="宋体" w:cs="宋体"/>
          <w:szCs w:val="21"/>
          <w:highlight w:val="none"/>
        </w:rPr>
        <w:br w:type="page"/>
      </w:r>
      <w:r>
        <w:rPr>
          <w:rFonts w:hint="eastAsia" w:ascii="宋体" w:hAnsi="宋体" w:eastAsia="宋体" w:cs="宋体"/>
          <w:b/>
          <w:bCs/>
          <w:spacing w:val="-4"/>
          <w:sz w:val="28"/>
          <w:szCs w:val="28"/>
          <w:lang w:val="en-US" w:eastAsia="zh-CN"/>
        </w:rPr>
        <w:t>（六）投标人认为需要的其他资料</w:t>
      </w:r>
    </w:p>
    <w:p w14:paraId="20BB7BA5">
      <w:pPr>
        <w:pStyle w:val="8"/>
        <w:rPr>
          <w:rFonts w:hint="eastAsia" w:ascii="宋体" w:hAnsi="宋体" w:eastAsia="宋体" w:cs="宋体"/>
          <w:sz w:val="21"/>
          <w:szCs w:val="21"/>
          <w:highlight w:val="none"/>
        </w:rPr>
      </w:pPr>
    </w:p>
    <w:p w14:paraId="7F4A8AAD">
      <w:pPr>
        <w:pStyle w:val="26"/>
        <w:autoSpaceDE w:val="0"/>
        <w:autoSpaceDN w:val="0"/>
        <w:ind w:left="0" w:leftChars="0" w:firstLine="0" w:firstLineChars="0"/>
        <w:jc w:val="left"/>
        <w:rPr>
          <w:rFonts w:hint="eastAsia" w:ascii="宋体" w:hAnsi="宋体" w:eastAsia="宋体" w:cs="宋体"/>
          <w:kern w:val="0"/>
          <w:szCs w:val="22"/>
          <w:lang w:val="zh-CN" w:bidi="zh-CN"/>
        </w:rPr>
      </w:pPr>
    </w:p>
    <w:p w14:paraId="34887C93">
      <w:pPr>
        <w:widowControl w:val="0"/>
        <w:autoSpaceDE w:val="0"/>
        <w:autoSpaceDN w:val="0"/>
        <w:spacing w:line="480" w:lineRule="auto"/>
        <w:ind w:firstLine="643" w:firstLineChars="200"/>
        <w:jc w:val="left"/>
        <w:rPr>
          <w:rFonts w:hint="eastAsia" w:ascii="宋体" w:hAnsi="宋体" w:eastAsia="宋体" w:cs="宋体"/>
          <w:b/>
          <w:sz w:val="32"/>
          <w:szCs w:val="32"/>
          <w:lang w:val="zh-CN" w:eastAsia="zh-CN" w:bidi="zh-CN"/>
        </w:rPr>
      </w:pPr>
    </w:p>
    <w:p w14:paraId="340AC8F1">
      <w:pPr>
        <w:rPr>
          <w:rFonts w:hint="eastAsia" w:ascii="宋体" w:hAnsi="宋体" w:eastAsia="宋体" w:cs="宋体"/>
        </w:rPr>
      </w:pPr>
    </w:p>
    <w:p w14:paraId="45B9604E">
      <w:pPr>
        <w:pStyle w:val="36"/>
        <w:rPr>
          <w:rFonts w:hint="eastAsia" w:ascii="宋体" w:hAnsi="宋体" w:eastAsia="宋体" w:cs="宋体"/>
        </w:rPr>
      </w:pPr>
    </w:p>
    <w:p w14:paraId="10AAF02F">
      <w:pPr>
        <w:pStyle w:val="21"/>
        <w:ind w:left="0" w:leftChars="0" w:firstLine="0" w:firstLineChars="0"/>
        <w:rPr>
          <w:rFonts w:hint="eastAsia" w:ascii="宋体" w:hAnsi="宋体" w:eastAsia="宋体" w:cs="宋体"/>
          <w:color w:val="auto"/>
          <w:sz w:val="24"/>
          <w:szCs w:val="24"/>
        </w:rPr>
      </w:pPr>
    </w:p>
    <w:p w14:paraId="613D3E09">
      <w:pPr>
        <w:pStyle w:val="2"/>
        <w:rPr>
          <w:rFonts w:hint="eastAsia" w:ascii="宋体" w:hAnsi="宋体" w:eastAsia="宋体" w:cs="宋体"/>
        </w:rPr>
      </w:pPr>
    </w:p>
    <w:sectPr>
      <w:headerReference r:id="rId11" w:type="first"/>
      <w:footerReference r:id="rId12" w:type="first"/>
      <w:pgSz w:w="11907" w:h="16840"/>
      <w:pgMar w:top="1440" w:right="1080" w:bottom="1440" w:left="1080" w:header="851" w:footer="992" w:gutter="0"/>
      <w:pgBorders>
        <w:top w:val="none" w:sz="0" w:space="0"/>
        <w:left w:val="none" w:sz="0" w:space="0"/>
        <w:bottom w:val="none" w:sz="0" w:space="0"/>
        <w:right w:val="none" w:sz="0" w:space="0"/>
      </w:pgBorders>
      <w:pgNumType w:fmt="decimalFullWidt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E2E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23DBC">
    <w:pPr>
      <w:pStyle w:val="13"/>
      <w:jc w:val="left"/>
      <w:rPr>
        <w:rFonts w:hint="eastAsia" w:ascii="宋体" w:hAnsi="宋体" w:eastAsia="宋体" w:cs="宋体"/>
        <w:i w:val="0"/>
        <w:iCs w:val="0"/>
        <w:color w:val="588E32" w:themeColor="accent4" w:themeShade="BF"/>
        <w:sz w:val="24"/>
        <w:szCs w:val="24"/>
        <w:u w:val="dotDotDash"/>
      </w:rPr>
    </w:pPr>
    <w:r>
      <w:rPr>
        <w:rFonts w:hint="eastAsia" w:ascii="宋体" w:hAnsi="宋体" w:eastAsia="宋体" w:cs="宋体"/>
        <w:i w:val="0"/>
        <w:iCs w:val="0"/>
        <w:color w:val="588E32" w:themeColor="accent4" w:themeShade="BF"/>
        <w:sz w:val="24"/>
        <w:szCs w:val="22"/>
        <w:u w:val="dotDotDash"/>
      </w:rPr>
      <mc:AlternateContent>
        <mc:Choice Requires="wps">
          <w:drawing>
            <wp:anchor distT="0" distB="0" distL="114300" distR="114300" simplePos="0" relativeHeight="251659264" behindDoc="0" locked="0" layoutInCell="1" allowOverlap="1">
              <wp:simplePos x="0" y="0"/>
              <wp:positionH relativeFrom="margin">
                <wp:posOffset>5713095</wp:posOffset>
              </wp:positionH>
              <wp:positionV relativeFrom="paragraph">
                <wp:posOffset>-635</wp:posOffset>
              </wp:positionV>
              <wp:extent cx="475615" cy="22479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75615" cy="224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E0558">
                          <w:pPr>
                            <w:pStyle w:val="13"/>
                            <w:rPr>
                              <w:b w:val="0"/>
                              <w:bCs w:val="0"/>
                              <w:color w:val="588E32" w:themeColor="accent4" w:themeShade="BF"/>
                              <w:sz w:val="20"/>
                              <w:szCs w:val="21"/>
                            </w:rPr>
                          </w:pPr>
                          <w:r>
                            <w:rPr>
                              <w:b w:val="0"/>
                              <w:bCs w:val="0"/>
                              <w:color w:val="588E32" w:themeColor="accent4" w:themeShade="BF"/>
                              <w:sz w:val="24"/>
                              <w:szCs w:val="28"/>
                            </w:rPr>
                            <w:fldChar w:fldCharType="begin"/>
                          </w:r>
                          <w:r>
                            <w:rPr>
                              <w:b w:val="0"/>
                              <w:bCs w:val="0"/>
                              <w:color w:val="588E32" w:themeColor="accent4" w:themeShade="BF"/>
                              <w:sz w:val="24"/>
                              <w:szCs w:val="28"/>
                            </w:rPr>
                            <w:instrText xml:space="preserve"> PAGE  \* MERGEFORMAT </w:instrText>
                          </w:r>
                          <w:r>
                            <w:rPr>
                              <w:b w:val="0"/>
                              <w:bCs w:val="0"/>
                              <w:color w:val="588E32" w:themeColor="accent4" w:themeShade="BF"/>
                              <w:sz w:val="24"/>
                              <w:szCs w:val="28"/>
                            </w:rPr>
                            <w:fldChar w:fldCharType="separate"/>
                          </w:r>
                          <w:r>
                            <w:rPr>
                              <w:b w:val="0"/>
                              <w:bCs w:val="0"/>
                              <w:color w:val="588E32" w:themeColor="accent4" w:themeShade="BF"/>
                              <w:sz w:val="24"/>
                              <w:szCs w:val="28"/>
                            </w:rPr>
                            <w:t>- 1 -</w:t>
                          </w:r>
                          <w:r>
                            <w:rPr>
                              <w:b w:val="0"/>
                              <w:bCs w:val="0"/>
                              <w:color w:val="588E32" w:themeColor="accent4" w:themeShade="BF"/>
                              <w:sz w:val="24"/>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49.85pt;margin-top:-0.05pt;height:17.7pt;width:37.45pt;mso-position-horizontal-relative:margin;z-index:251659264;mso-width-relative:page;mso-height-relative:page;" filled="f" stroked="f" coordsize="21600,21600" o:gfxdata="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ld0vM2AAAAAgBAAAPAAAAAAAAAAEAIAAAACIAAABkcnMvZG93&#10;bnJldi54bWxQSwECFAAUAAAACACHTuJAWvispjkCAABjBAAADgAAAAAAAAABACAAAAAnAQAAZHJz&#10;L2Uyb0RvYy54bWxQSwUGAAAAAAYABgBZAQAA0gUAAAAA&#10;">
              <v:fill on="f" focussize="0,0"/>
              <v:stroke on="f" weight="0.5pt"/>
              <v:imagedata o:title=""/>
              <o:lock v:ext="edit" aspectratio="f"/>
              <v:textbox inset="0mm,0mm,0mm,0mm">
                <w:txbxContent>
                  <w:p w14:paraId="23BE0558">
                    <w:pPr>
                      <w:pStyle w:val="13"/>
                      <w:rPr>
                        <w:b w:val="0"/>
                        <w:bCs w:val="0"/>
                        <w:color w:val="588E32" w:themeColor="accent4" w:themeShade="BF"/>
                        <w:sz w:val="20"/>
                        <w:szCs w:val="21"/>
                      </w:rPr>
                    </w:pPr>
                    <w:r>
                      <w:rPr>
                        <w:b w:val="0"/>
                        <w:bCs w:val="0"/>
                        <w:color w:val="588E32" w:themeColor="accent4" w:themeShade="BF"/>
                        <w:sz w:val="24"/>
                        <w:szCs w:val="28"/>
                      </w:rPr>
                      <w:fldChar w:fldCharType="begin"/>
                    </w:r>
                    <w:r>
                      <w:rPr>
                        <w:b w:val="0"/>
                        <w:bCs w:val="0"/>
                        <w:color w:val="588E32" w:themeColor="accent4" w:themeShade="BF"/>
                        <w:sz w:val="24"/>
                        <w:szCs w:val="28"/>
                      </w:rPr>
                      <w:instrText xml:space="preserve"> PAGE  \* MERGEFORMAT </w:instrText>
                    </w:r>
                    <w:r>
                      <w:rPr>
                        <w:b w:val="0"/>
                        <w:bCs w:val="0"/>
                        <w:color w:val="588E32" w:themeColor="accent4" w:themeShade="BF"/>
                        <w:sz w:val="24"/>
                        <w:szCs w:val="28"/>
                      </w:rPr>
                      <w:fldChar w:fldCharType="separate"/>
                    </w:r>
                    <w:r>
                      <w:rPr>
                        <w:b w:val="0"/>
                        <w:bCs w:val="0"/>
                        <w:color w:val="588E32" w:themeColor="accent4" w:themeShade="BF"/>
                        <w:sz w:val="24"/>
                        <w:szCs w:val="28"/>
                      </w:rPr>
                      <w:t>- 1 -</w:t>
                    </w:r>
                    <w:r>
                      <w:rPr>
                        <w:b w:val="0"/>
                        <w:bCs w:val="0"/>
                        <w:color w:val="588E32" w:themeColor="accent4" w:themeShade="BF"/>
                        <w:sz w:val="24"/>
                        <w:szCs w:val="28"/>
                      </w:rPr>
                      <w:fldChar w:fldCharType="end"/>
                    </w:r>
                  </w:p>
                </w:txbxContent>
              </v:textbox>
            </v:shape>
          </w:pict>
        </mc:Fallback>
      </mc:AlternateContent>
    </w:r>
    <w:r>
      <w:rPr>
        <w:rFonts w:hint="eastAsia" w:ascii="宋体" w:hAnsi="宋体" w:eastAsia="宋体" w:cs="宋体"/>
        <w:i w:val="0"/>
        <w:iCs w:val="0"/>
        <w:color w:val="588E32" w:themeColor="accent4" w:themeShade="BF"/>
        <w:sz w:val="24"/>
        <w:szCs w:val="24"/>
        <w:u w:val="dotDotDash"/>
        <w:lang w:eastAsia="zh-CN"/>
      </w:rPr>
      <w:t>河南奥量项目管理有限公司</w:t>
    </w:r>
    <w:r>
      <w:rPr>
        <w:rFonts w:hint="eastAsia" w:ascii="宋体" w:hAnsi="宋体" w:eastAsia="宋体" w:cs="宋体"/>
        <w:i w:val="0"/>
        <w:iCs w:val="0"/>
        <w:color w:val="588E32" w:themeColor="accent4" w:themeShade="BF"/>
        <w:sz w:val="24"/>
        <w:szCs w:val="24"/>
        <w:u w:val="dotDotDash"/>
        <w:lang w:val="en-US" w:eastAsia="zh-CN"/>
      </w:rPr>
      <w:t>编制</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1E19A">
    <w:pPr>
      <w:pStyle w:val="13"/>
      <w:rPr>
        <w:i w:val="0"/>
        <w:iCs w:val="0"/>
        <w:u w:val="dotDotDash"/>
      </w:rPr>
    </w:pPr>
    <w:r>
      <w:rPr>
        <w:i w:val="0"/>
        <w:iCs w:val="0"/>
        <w:sz w:val="18"/>
        <w:u w:val="dotDotDash"/>
      </w:rPr>
      <mc:AlternateContent>
        <mc:Choice Requires="wps">
          <w:drawing>
            <wp:anchor distT="0" distB="0" distL="114300" distR="114300" simplePos="0" relativeHeight="251660288" behindDoc="0" locked="0" layoutInCell="1" allowOverlap="1">
              <wp:simplePos x="0" y="0"/>
              <wp:positionH relativeFrom="margin">
                <wp:posOffset>5714365</wp:posOffset>
              </wp:positionH>
              <wp:positionV relativeFrom="paragraph">
                <wp:posOffset>-1905</wp:posOffset>
              </wp:positionV>
              <wp:extent cx="464820" cy="23622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64820" cy="236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9AAF7">
                          <w:pPr>
                            <w:pStyle w:val="13"/>
                            <w:rPr>
                              <w:b/>
                              <w:bCs/>
                              <w:color w:val="588E32" w:themeColor="accent4" w:themeShade="BF"/>
                              <w:sz w:val="24"/>
                              <w:szCs w:val="28"/>
                            </w:rPr>
                          </w:pPr>
                          <w:r>
                            <w:rPr>
                              <w:b w:val="0"/>
                              <w:bCs w:val="0"/>
                              <w:color w:val="588E32" w:themeColor="accent4" w:themeShade="BF"/>
                              <w:sz w:val="24"/>
                              <w:szCs w:val="28"/>
                            </w:rPr>
                            <w:fldChar w:fldCharType="begin"/>
                          </w:r>
                          <w:r>
                            <w:rPr>
                              <w:b w:val="0"/>
                              <w:bCs w:val="0"/>
                              <w:color w:val="588E32" w:themeColor="accent4" w:themeShade="BF"/>
                              <w:sz w:val="24"/>
                              <w:szCs w:val="28"/>
                            </w:rPr>
                            <w:instrText xml:space="preserve"> PAGE  \* MERGEFORMAT </w:instrText>
                          </w:r>
                          <w:r>
                            <w:rPr>
                              <w:b w:val="0"/>
                              <w:bCs w:val="0"/>
                              <w:color w:val="588E32" w:themeColor="accent4" w:themeShade="BF"/>
                              <w:sz w:val="24"/>
                              <w:szCs w:val="28"/>
                            </w:rPr>
                            <w:fldChar w:fldCharType="separate"/>
                          </w:r>
                          <w:r>
                            <w:rPr>
                              <w:b w:val="0"/>
                              <w:bCs w:val="0"/>
                              <w:color w:val="588E32" w:themeColor="accent4" w:themeShade="BF"/>
                              <w:sz w:val="24"/>
                              <w:szCs w:val="28"/>
                            </w:rPr>
                            <w:t>- 1 -</w:t>
                          </w:r>
                          <w:r>
                            <w:rPr>
                              <w:b w:val="0"/>
                              <w:bCs w:val="0"/>
                              <w:color w:val="588E32" w:themeColor="accent4" w:themeShade="BF"/>
                              <w:sz w:val="24"/>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49.95pt;margin-top:-0.15pt;height:18.6pt;width:36.6pt;mso-position-horizontal-relative:margin;z-index:251660288;mso-width-relative:page;mso-height-relative:page;" filled="f" stroked="f" coordsize="21600,21600" o:gfxdata="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ltq4l2AAAAAgBAAAPAAAAAAAAAAEAIAAAACIAAABkcnMvZG93bnJl&#10;di54bWxQSwECFAAUAAAACACHTuJAifaLrzYCAABjBAAADgAAAAAAAAABACAAAAAnAQAAZHJzL2Uy&#10;b0RvYy54bWxQSwUGAAAAAAYABgBZAQAAzwUAAAAA&#10;">
              <v:fill on="f" focussize="0,0"/>
              <v:stroke on="f" weight="0.5pt"/>
              <v:imagedata o:title=""/>
              <o:lock v:ext="edit" aspectratio="f"/>
              <v:textbox inset="0mm,0mm,0mm,0mm">
                <w:txbxContent>
                  <w:p w14:paraId="2BD9AAF7">
                    <w:pPr>
                      <w:pStyle w:val="13"/>
                      <w:rPr>
                        <w:b/>
                        <w:bCs/>
                        <w:color w:val="588E32" w:themeColor="accent4" w:themeShade="BF"/>
                        <w:sz w:val="24"/>
                        <w:szCs w:val="28"/>
                      </w:rPr>
                    </w:pPr>
                    <w:r>
                      <w:rPr>
                        <w:b w:val="0"/>
                        <w:bCs w:val="0"/>
                        <w:color w:val="588E32" w:themeColor="accent4" w:themeShade="BF"/>
                        <w:sz w:val="24"/>
                        <w:szCs w:val="28"/>
                      </w:rPr>
                      <w:fldChar w:fldCharType="begin"/>
                    </w:r>
                    <w:r>
                      <w:rPr>
                        <w:b w:val="0"/>
                        <w:bCs w:val="0"/>
                        <w:color w:val="588E32" w:themeColor="accent4" w:themeShade="BF"/>
                        <w:sz w:val="24"/>
                        <w:szCs w:val="28"/>
                      </w:rPr>
                      <w:instrText xml:space="preserve"> PAGE  \* MERGEFORMAT </w:instrText>
                    </w:r>
                    <w:r>
                      <w:rPr>
                        <w:b w:val="0"/>
                        <w:bCs w:val="0"/>
                        <w:color w:val="588E32" w:themeColor="accent4" w:themeShade="BF"/>
                        <w:sz w:val="24"/>
                        <w:szCs w:val="28"/>
                      </w:rPr>
                      <w:fldChar w:fldCharType="separate"/>
                    </w:r>
                    <w:r>
                      <w:rPr>
                        <w:b w:val="0"/>
                        <w:bCs w:val="0"/>
                        <w:color w:val="588E32" w:themeColor="accent4" w:themeShade="BF"/>
                        <w:sz w:val="24"/>
                        <w:szCs w:val="28"/>
                      </w:rPr>
                      <w:t>- 1 -</w:t>
                    </w:r>
                    <w:r>
                      <w:rPr>
                        <w:b w:val="0"/>
                        <w:bCs w:val="0"/>
                        <w:color w:val="588E32" w:themeColor="accent4" w:themeShade="BF"/>
                        <w:sz w:val="24"/>
                        <w:szCs w:val="28"/>
                      </w:rPr>
                      <w:fldChar w:fldCharType="end"/>
                    </w:r>
                  </w:p>
                </w:txbxContent>
              </v:textbox>
            </v:shape>
          </w:pict>
        </mc:Fallback>
      </mc:AlternateContent>
    </w:r>
    <w:r>
      <w:rPr>
        <w:rFonts w:hint="eastAsia" w:ascii="宋体" w:hAnsi="宋体" w:eastAsia="宋体" w:cs="宋体"/>
        <w:i w:val="0"/>
        <w:iCs w:val="0"/>
        <w:color w:val="588E32" w:themeColor="accent4" w:themeShade="BF"/>
        <w:sz w:val="24"/>
        <w:szCs w:val="24"/>
        <w:u w:val="dotDotDash"/>
        <w:lang w:eastAsia="zh-CN"/>
      </w:rPr>
      <w:t>河南奥量项目管理有限公司</w:t>
    </w:r>
    <w:r>
      <w:rPr>
        <w:rFonts w:hint="eastAsia" w:ascii="宋体" w:hAnsi="宋体" w:eastAsia="宋体" w:cs="宋体"/>
        <w:i w:val="0"/>
        <w:iCs w:val="0"/>
        <w:color w:val="588E32" w:themeColor="accent4" w:themeShade="BF"/>
        <w:sz w:val="24"/>
        <w:szCs w:val="24"/>
        <w:u w:val="dotDotDash"/>
        <w:lang w:val="en-US" w:eastAsia="zh-CN"/>
      </w:rPr>
      <w:t>编制</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56B58">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73406">
                          <w:pPr>
                            <w:pStyle w:val="13"/>
                          </w:pPr>
                          <w:r>
                            <w:fldChar w:fldCharType="begin"/>
                          </w:r>
                          <w:r>
                            <w:instrText xml:space="preserve"> PAGE  \* MERGEFORMAT </w:instrText>
                          </w:r>
                          <w:r>
                            <w:fldChar w:fldCharType="separate"/>
                          </w:r>
                          <w:r>
                            <w:t>- 34 -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7073406">
                    <w:pPr>
                      <w:pStyle w:val="13"/>
                    </w:pPr>
                    <w:r>
                      <w:fldChar w:fldCharType="begin"/>
                    </w:r>
                    <w:r>
                      <w:instrText xml:space="preserve"> PAGE  \* MERGEFORMAT </w:instrText>
                    </w:r>
                    <w:r>
                      <w:fldChar w:fldCharType="separate"/>
                    </w:r>
                    <w:r>
                      <w:t>- 34 -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F2AA1">
    <w:pPr>
      <w:pStyle w:val="14"/>
      <w:pBdr>
        <w:bottom w:val="none" w:color="auto" w:sz="0" w:space="1"/>
      </w:pBdr>
      <w:jc w:val="left"/>
      <w:rPr>
        <w:rFonts w:hint="default"/>
        <w:color w:val="08949C"/>
        <w:sz w:val="21"/>
        <w:szCs w:val="21"/>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D8A06">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6112">
    <w:pPr>
      <w:pStyle w:val="14"/>
      <w:pBdr>
        <w:bottom w:val="none" w:color="auto" w:sz="0" w:space="1"/>
      </w:pBdr>
      <w:jc w:val="left"/>
      <w:rPr>
        <w:rFonts w:hint="default"/>
        <w:color w:val="08949C"/>
        <w:sz w:val="21"/>
        <w:szCs w:val="21"/>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4C802">
    <w:pPr>
      <w:pStyle w:val="14"/>
      <w:pBdr>
        <w:bottom w:val="dotDotDash" w:color="008000" w:sz="4" w:space="1"/>
      </w:pBdr>
      <w:jc w:val="left"/>
      <w:rPr>
        <w:rFonts w:hint="eastAsia" w:ascii="宋体" w:hAnsi="宋体" w:eastAsia="宋体" w:cs="宋体"/>
        <w:b/>
        <w:bCs/>
        <w:sz w:val="24"/>
        <w:szCs w:val="24"/>
      </w:rPr>
    </w:pPr>
    <w:r>
      <w:rPr>
        <w:rFonts w:hint="eastAsia" w:ascii="宋体" w:hAnsi="宋体" w:eastAsia="宋体" w:cs="宋体"/>
        <w:b w:val="0"/>
        <w:bCs w:val="0"/>
        <w:color w:val="588E32" w:themeColor="accent4" w:themeShade="BF"/>
        <w:kern w:val="2"/>
        <w:sz w:val="24"/>
        <w:szCs w:val="24"/>
        <w:lang w:val="en-US" w:eastAsia="zh-CN" w:bidi="ar-SA"/>
      </w:rPr>
      <w:t>信阳市羊山新区住房建设和交通运输局羊山新区水环境数字化监测监管体系项目   公开招标</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7D9C">
    <w:pPr>
      <w:pStyle w:val="14"/>
      <w:pBdr>
        <w:bottom w:val="dotDotDash" w:color="008000" w:sz="4" w:space="1"/>
      </w:pBdr>
      <w:jc w:val="left"/>
      <w:rPr>
        <w:rFonts w:hint="eastAsia" w:ascii="宋体" w:hAnsi="宋体" w:eastAsia="宋体" w:cs="宋体"/>
        <w:color w:val="588E32" w:themeColor="accent4" w:themeShade="BF"/>
        <w:sz w:val="21"/>
        <w:szCs w:val="21"/>
        <w:lang w:val="en-US"/>
      </w:rPr>
    </w:pPr>
    <w:r>
      <w:rPr>
        <w:rFonts w:hint="eastAsia" w:ascii="宋体" w:hAnsi="宋体" w:eastAsia="宋体" w:cs="宋体"/>
        <w:b w:val="0"/>
        <w:bCs w:val="0"/>
        <w:color w:val="588E32" w:themeColor="accent4" w:themeShade="BF"/>
        <w:kern w:val="2"/>
        <w:sz w:val="24"/>
        <w:szCs w:val="24"/>
        <w:lang w:val="en-US" w:eastAsia="zh-CN" w:bidi="ar-SA"/>
      </w:rPr>
      <w:t>信阳市羊山新区住房建设和交通运输局羊山新区水环境数字化监测监管体系项目   公开招标</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70943">
    <w:pPr>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5527FF"/>
    <w:multiLevelType w:val="multilevel"/>
    <w:tmpl w:val="BB5527FF"/>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pStyle w:val="5"/>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80D93"/>
    <w:rsid w:val="00271E37"/>
    <w:rsid w:val="00CE37E1"/>
    <w:rsid w:val="01517FAB"/>
    <w:rsid w:val="01DA4E05"/>
    <w:rsid w:val="02695738"/>
    <w:rsid w:val="028666DE"/>
    <w:rsid w:val="02920BA5"/>
    <w:rsid w:val="02FA36A1"/>
    <w:rsid w:val="0346596A"/>
    <w:rsid w:val="038B593F"/>
    <w:rsid w:val="045F4DED"/>
    <w:rsid w:val="046D08F5"/>
    <w:rsid w:val="04A12750"/>
    <w:rsid w:val="04C005D6"/>
    <w:rsid w:val="04DF4487"/>
    <w:rsid w:val="05A52CD4"/>
    <w:rsid w:val="05D932E2"/>
    <w:rsid w:val="064A7E58"/>
    <w:rsid w:val="067B24E0"/>
    <w:rsid w:val="073360BD"/>
    <w:rsid w:val="07A5670A"/>
    <w:rsid w:val="07CD206E"/>
    <w:rsid w:val="07EE0096"/>
    <w:rsid w:val="080F500B"/>
    <w:rsid w:val="082A4A66"/>
    <w:rsid w:val="08887E9A"/>
    <w:rsid w:val="08C42806"/>
    <w:rsid w:val="08DE653E"/>
    <w:rsid w:val="09286A2C"/>
    <w:rsid w:val="09371163"/>
    <w:rsid w:val="094D35AF"/>
    <w:rsid w:val="0AA32968"/>
    <w:rsid w:val="0AFF362D"/>
    <w:rsid w:val="0B0536E5"/>
    <w:rsid w:val="0B3A5C6C"/>
    <w:rsid w:val="0B951E99"/>
    <w:rsid w:val="0C175925"/>
    <w:rsid w:val="0C357A34"/>
    <w:rsid w:val="0C794286"/>
    <w:rsid w:val="0C9149E6"/>
    <w:rsid w:val="0D0B6ECE"/>
    <w:rsid w:val="0D105594"/>
    <w:rsid w:val="0D2D0C59"/>
    <w:rsid w:val="0D8B07E2"/>
    <w:rsid w:val="0DC9777B"/>
    <w:rsid w:val="0DF052D2"/>
    <w:rsid w:val="0E0F33E0"/>
    <w:rsid w:val="0E5434E9"/>
    <w:rsid w:val="0E86664F"/>
    <w:rsid w:val="0E9C7B85"/>
    <w:rsid w:val="0F2F477D"/>
    <w:rsid w:val="0F417360"/>
    <w:rsid w:val="0F7A1EBC"/>
    <w:rsid w:val="1054055F"/>
    <w:rsid w:val="10623BE1"/>
    <w:rsid w:val="106D1372"/>
    <w:rsid w:val="10904EBC"/>
    <w:rsid w:val="10DB41CE"/>
    <w:rsid w:val="112C7DF0"/>
    <w:rsid w:val="118F5086"/>
    <w:rsid w:val="11E93789"/>
    <w:rsid w:val="11E94339"/>
    <w:rsid w:val="120945EA"/>
    <w:rsid w:val="12180D93"/>
    <w:rsid w:val="128B7330"/>
    <w:rsid w:val="12F93E7C"/>
    <w:rsid w:val="132359A8"/>
    <w:rsid w:val="13E44C8B"/>
    <w:rsid w:val="14331E76"/>
    <w:rsid w:val="143C02F2"/>
    <w:rsid w:val="14BF7EEE"/>
    <w:rsid w:val="15D55902"/>
    <w:rsid w:val="15EA7C70"/>
    <w:rsid w:val="15FD4466"/>
    <w:rsid w:val="16501984"/>
    <w:rsid w:val="169C3C7F"/>
    <w:rsid w:val="16BA47A9"/>
    <w:rsid w:val="17401FB1"/>
    <w:rsid w:val="17575DF8"/>
    <w:rsid w:val="176A7017"/>
    <w:rsid w:val="177F15AE"/>
    <w:rsid w:val="17AF744B"/>
    <w:rsid w:val="18397308"/>
    <w:rsid w:val="18CA610E"/>
    <w:rsid w:val="19561AE2"/>
    <w:rsid w:val="1971494E"/>
    <w:rsid w:val="19A01503"/>
    <w:rsid w:val="19A355DE"/>
    <w:rsid w:val="19D3098F"/>
    <w:rsid w:val="1A174AC0"/>
    <w:rsid w:val="1A2D0B04"/>
    <w:rsid w:val="1A3F329F"/>
    <w:rsid w:val="1A787EBD"/>
    <w:rsid w:val="1A7C39EF"/>
    <w:rsid w:val="1AC612CA"/>
    <w:rsid w:val="1B466AA1"/>
    <w:rsid w:val="1BF62AA2"/>
    <w:rsid w:val="1CB5175D"/>
    <w:rsid w:val="1CE077A0"/>
    <w:rsid w:val="1D027681"/>
    <w:rsid w:val="1D261066"/>
    <w:rsid w:val="1D3A5FA0"/>
    <w:rsid w:val="1D3D7B5A"/>
    <w:rsid w:val="1DF63C5A"/>
    <w:rsid w:val="1E477436"/>
    <w:rsid w:val="1E82745E"/>
    <w:rsid w:val="1E8D6508"/>
    <w:rsid w:val="1EA43A51"/>
    <w:rsid w:val="1EB4768C"/>
    <w:rsid w:val="1EFA3C38"/>
    <w:rsid w:val="1F6B0692"/>
    <w:rsid w:val="1F6D7065"/>
    <w:rsid w:val="1FF9769A"/>
    <w:rsid w:val="202565ED"/>
    <w:rsid w:val="202C31C3"/>
    <w:rsid w:val="20822C1F"/>
    <w:rsid w:val="20855784"/>
    <w:rsid w:val="20AA5114"/>
    <w:rsid w:val="20DA53AA"/>
    <w:rsid w:val="20E92D0F"/>
    <w:rsid w:val="217E521E"/>
    <w:rsid w:val="21C8698C"/>
    <w:rsid w:val="21F11B29"/>
    <w:rsid w:val="226D0596"/>
    <w:rsid w:val="22A75E85"/>
    <w:rsid w:val="23346B90"/>
    <w:rsid w:val="24087D6B"/>
    <w:rsid w:val="24E4602F"/>
    <w:rsid w:val="24E61397"/>
    <w:rsid w:val="24F641B7"/>
    <w:rsid w:val="25063433"/>
    <w:rsid w:val="25362BE9"/>
    <w:rsid w:val="25B74E88"/>
    <w:rsid w:val="26234045"/>
    <w:rsid w:val="266D6CAE"/>
    <w:rsid w:val="268F003B"/>
    <w:rsid w:val="26D718D7"/>
    <w:rsid w:val="27961C6A"/>
    <w:rsid w:val="27F1686F"/>
    <w:rsid w:val="281A7EDF"/>
    <w:rsid w:val="28D70184"/>
    <w:rsid w:val="28E3330C"/>
    <w:rsid w:val="28E559B8"/>
    <w:rsid w:val="28F136C8"/>
    <w:rsid w:val="293025DC"/>
    <w:rsid w:val="293611C9"/>
    <w:rsid w:val="29D83A50"/>
    <w:rsid w:val="2A2B55D0"/>
    <w:rsid w:val="2A641572"/>
    <w:rsid w:val="2A8C68C0"/>
    <w:rsid w:val="2AD01CF1"/>
    <w:rsid w:val="2B4B1769"/>
    <w:rsid w:val="2B4B3DD2"/>
    <w:rsid w:val="2B983F04"/>
    <w:rsid w:val="2BA50A88"/>
    <w:rsid w:val="2BC2788C"/>
    <w:rsid w:val="2BD26A83"/>
    <w:rsid w:val="2C82640C"/>
    <w:rsid w:val="2CC176E5"/>
    <w:rsid w:val="2D270830"/>
    <w:rsid w:val="2D4126D0"/>
    <w:rsid w:val="2D4652DE"/>
    <w:rsid w:val="2D6707DA"/>
    <w:rsid w:val="2D9C7220"/>
    <w:rsid w:val="2E132621"/>
    <w:rsid w:val="2E7477CD"/>
    <w:rsid w:val="2E8C4181"/>
    <w:rsid w:val="303F6839"/>
    <w:rsid w:val="3048309B"/>
    <w:rsid w:val="30793886"/>
    <w:rsid w:val="30861F71"/>
    <w:rsid w:val="3090452A"/>
    <w:rsid w:val="30D247F9"/>
    <w:rsid w:val="31462D0D"/>
    <w:rsid w:val="31745D1A"/>
    <w:rsid w:val="31772AA4"/>
    <w:rsid w:val="318F27FC"/>
    <w:rsid w:val="3199108F"/>
    <w:rsid w:val="31D01F88"/>
    <w:rsid w:val="31DF5354"/>
    <w:rsid w:val="329C281F"/>
    <w:rsid w:val="32B35B90"/>
    <w:rsid w:val="32F76721"/>
    <w:rsid w:val="3363215A"/>
    <w:rsid w:val="337C53F8"/>
    <w:rsid w:val="33F372DE"/>
    <w:rsid w:val="34310045"/>
    <w:rsid w:val="343F41D4"/>
    <w:rsid w:val="34B52CC0"/>
    <w:rsid w:val="36557C1C"/>
    <w:rsid w:val="369A606A"/>
    <w:rsid w:val="36C22E36"/>
    <w:rsid w:val="374D6B0E"/>
    <w:rsid w:val="37966F16"/>
    <w:rsid w:val="381551E7"/>
    <w:rsid w:val="3842527F"/>
    <w:rsid w:val="3873599C"/>
    <w:rsid w:val="389044E9"/>
    <w:rsid w:val="38C613AA"/>
    <w:rsid w:val="3A2B1265"/>
    <w:rsid w:val="3A2F4A35"/>
    <w:rsid w:val="3A87703F"/>
    <w:rsid w:val="3AAB597F"/>
    <w:rsid w:val="3AAD7959"/>
    <w:rsid w:val="3AE730C7"/>
    <w:rsid w:val="3B1B6987"/>
    <w:rsid w:val="3B5163AD"/>
    <w:rsid w:val="3B653D90"/>
    <w:rsid w:val="3B841D82"/>
    <w:rsid w:val="3C135C41"/>
    <w:rsid w:val="3C3B0093"/>
    <w:rsid w:val="3C5C5193"/>
    <w:rsid w:val="3C644A67"/>
    <w:rsid w:val="3CAA3339"/>
    <w:rsid w:val="3D5347E8"/>
    <w:rsid w:val="3D563C8B"/>
    <w:rsid w:val="3D6732A5"/>
    <w:rsid w:val="3E160B2C"/>
    <w:rsid w:val="3E1F291C"/>
    <w:rsid w:val="3E6A018B"/>
    <w:rsid w:val="3E94750E"/>
    <w:rsid w:val="3F066241"/>
    <w:rsid w:val="3F0E5854"/>
    <w:rsid w:val="3F6A5E19"/>
    <w:rsid w:val="3FF64CD5"/>
    <w:rsid w:val="40242E01"/>
    <w:rsid w:val="402B5871"/>
    <w:rsid w:val="402C3CE9"/>
    <w:rsid w:val="4053333C"/>
    <w:rsid w:val="40A52AD1"/>
    <w:rsid w:val="40FD0592"/>
    <w:rsid w:val="410A1661"/>
    <w:rsid w:val="418B7464"/>
    <w:rsid w:val="419B07AF"/>
    <w:rsid w:val="41B95CFE"/>
    <w:rsid w:val="42342111"/>
    <w:rsid w:val="425F55F2"/>
    <w:rsid w:val="4264772E"/>
    <w:rsid w:val="42C55D49"/>
    <w:rsid w:val="43072799"/>
    <w:rsid w:val="434C12B5"/>
    <w:rsid w:val="44402CF9"/>
    <w:rsid w:val="44677482"/>
    <w:rsid w:val="4471638C"/>
    <w:rsid w:val="4492120B"/>
    <w:rsid w:val="44AA780A"/>
    <w:rsid w:val="44C77C08"/>
    <w:rsid w:val="44D429B9"/>
    <w:rsid w:val="45281A9C"/>
    <w:rsid w:val="45BF2E99"/>
    <w:rsid w:val="45F85EB1"/>
    <w:rsid w:val="463B406B"/>
    <w:rsid w:val="471B0ACA"/>
    <w:rsid w:val="47DF45A2"/>
    <w:rsid w:val="482E6AD0"/>
    <w:rsid w:val="485936F7"/>
    <w:rsid w:val="49417053"/>
    <w:rsid w:val="4977742C"/>
    <w:rsid w:val="49F02B03"/>
    <w:rsid w:val="4A4A7E4D"/>
    <w:rsid w:val="4A757926"/>
    <w:rsid w:val="4AA5064D"/>
    <w:rsid w:val="4AB54F08"/>
    <w:rsid w:val="4AE22CEC"/>
    <w:rsid w:val="4B5A31E5"/>
    <w:rsid w:val="4B83273C"/>
    <w:rsid w:val="4B8D35BB"/>
    <w:rsid w:val="4BA80A7B"/>
    <w:rsid w:val="4C171438"/>
    <w:rsid w:val="4C395293"/>
    <w:rsid w:val="4C71390E"/>
    <w:rsid w:val="4CC1019B"/>
    <w:rsid w:val="4CE657E6"/>
    <w:rsid w:val="4D2011EA"/>
    <w:rsid w:val="4D74184E"/>
    <w:rsid w:val="4D916D16"/>
    <w:rsid w:val="4DA54827"/>
    <w:rsid w:val="4DE43069"/>
    <w:rsid w:val="4E9F0C87"/>
    <w:rsid w:val="4EAC01FC"/>
    <w:rsid w:val="4F377967"/>
    <w:rsid w:val="4F6665FD"/>
    <w:rsid w:val="4F6B6A82"/>
    <w:rsid w:val="500C32C9"/>
    <w:rsid w:val="50441CEB"/>
    <w:rsid w:val="510E695C"/>
    <w:rsid w:val="51782617"/>
    <w:rsid w:val="51901371"/>
    <w:rsid w:val="525612EE"/>
    <w:rsid w:val="52911BE2"/>
    <w:rsid w:val="532A07F5"/>
    <w:rsid w:val="541F3B19"/>
    <w:rsid w:val="542504D6"/>
    <w:rsid w:val="54444A33"/>
    <w:rsid w:val="54614D24"/>
    <w:rsid w:val="54685C98"/>
    <w:rsid w:val="554D7D08"/>
    <w:rsid w:val="5587776C"/>
    <w:rsid w:val="55F20403"/>
    <w:rsid w:val="56051FA0"/>
    <w:rsid w:val="5621502B"/>
    <w:rsid w:val="563635FA"/>
    <w:rsid w:val="56454871"/>
    <w:rsid w:val="56504B81"/>
    <w:rsid w:val="566C201F"/>
    <w:rsid w:val="56D81E06"/>
    <w:rsid w:val="56EB5639"/>
    <w:rsid w:val="572D7A00"/>
    <w:rsid w:val="575C591E"/>
    <w:rsid w:val="576A7087"/>
    <w:rsid w:val="57892F64"/>
    <w:rsid w:val="578D1B0B"/>
    <w:rsid w:val="57EC2624"/>
    <w:rsid w:val="58377D55"/>
    <w:rsid w:val="58874CDC"/>
    <w:rsid w:val="58A45D91"/>
    <w:rsid w:val="59084D88"/>
    <w:rsid w:val="592866D1"/>
    <w:rsid w:val="593C25F7"/>
    <w:rsid w:val="597F4D68"/>
    <w:rsid w:val="5A4E720D"/>
    <w:rsid w:val="5ADB7437"/>
    <w:rsid w:val="5AE06E11"/>
    <w:rsid w:val="5AE4254D"/>
    <w:rsid w:val="5B35258E"/>
    <w:rsid w:val="5B9D356E"/>
    <w:rsid w:val="5BD72AE5"/>
    <w:rsid w:val="5C163158"/>
    <w:rsid w:val="5C931690"/>
    <w:rsid w:val="5CE5195D"/>
    <w:rsid w:val="5D191C37"/>
    <w:rsid w:val="5E0B450A"/>
    <w:rsid w:val="5E114713"/>
    <w:rsid w:val="5EA05A1B"/>
    <w:rsid w:val="5EBE3180"/>
    <w:rsid w:val="61076A95"/>
    <w:rsid w:val="61655A5C"/>
    <w:rsid w:val="61F651DA"/>
    <w:rsid w:val="624F2F92"/>
    <w:rsid w:val="6255644E"/>
    <w:rsid w:val="62665D43"/>
    <w:rsid w:val="62807A73"/>
    <w:rsid w:val="62C851F4"/>
    <w:rsid w:val="62F64EE5"/>
    <w:rsid w:val="63A05C8A"/>
    <w:rsid w:val="63E453B6"/>
    <w:rsid w:val="645343BC"/>
    <w:rsid w:val="645E0594"/>
    <w:rsid w:val="64A43369"/>
    <w:rsid w:val="65034576"/>
    <w:rsid w:val="65156398"/>
    <w:rsid w:val="65156591"/>
    <w:rsid w:val="65415E54"/>
    <w:rsid w:val="65D461DD"/>
    <w:rsid w:val="65DD571B"/>
    <w:rsid w:val="6619269B"/>
    <w:rsid w:val="66427DBB"/>
    <w:rsid w:val="66B05AB8"/>
    <w:rsid w:val="67DC16AD"/>
    <w:rsid w:val="68BF1E69"/>
    <w:rsid w:val="68F241F9"/>
    <w:rsid w:val="68FF07A9"/>
    <w:rsid w:val="69926EFD"/>
    <w:rsid w:val="699E451D"/>
    <w:rsid w:val="69D45841"/>
    <w:rsid w:val="6A1F00A3"/>
    <w:rsid w:val="6AA04B14"/>
    <w:rsid w:val="6ABE0726"/>
    <w:rsid w:val="6BDF478E"/>
    <w:rsid w:val="6C7B7324"/>
    <w:rsid w:val="6CEC6BFE"/>
    <w:rsid w:val="6D1352B0"/>
    <w:rsid w:val="6D142D9C"/>
    <w:rsid w:val="6D787A6F"/>
    <w:rsid w:val="6D861D08"/>
    <w:rsid w:val="6D991A45"/>
    <w:rsid w:val="6DA265FA"/>
    <w:rsid w:val="6DA85BDA"/>
    <w:rsid w:val="6E324319"/>
    <w:rsid w:val="6EB26D11"/>
    <w:rsid w:val="6EC86534"/>
    <w:rsid w:val="6ECB3019"/>
    <w:rsid w:val="6F2C51CE"/>
    <w:rsid w:val="6F373953"/>
    <w:rsid w:val="6F9C0E28"/>
    <w:rsid w:val="6FC2074D"/>
    <w:rsid w:val="701E394C"/>
    <w:rsid w:val="70606EF9"/>
    <w:rsid w:val="70CF52F0"/>
    <w:rsid w:val="70E41082"/>
    <w:rsid w:val="718B3849"/>
    <w:rsid w:val="71AD7AB4"/>
    <w:rsid w:val="71D84CE0"/>
    <w:rsid w:val="72060C06"/>
    <w:rsid w:val="724C31D5"/>
    <w:rsid w:val="72B61974"/>
    <w:rsid w:val="72F647DD"/>
    <w:rsid w:val="734737A0"/>
    <w:rsid w:val="73A26DE2"/>
    <w:rsid w:val="73EA0CFB"/>
    <w:rsid w:val="74BE7037"/>
    <w:rsid w:val="751D5399"/>
    <w:rsid w:val="753802FF"/>
    <w:rsid w:val="76677F63"/>
    <w:rsid w:val="76750E5E"/>
    <w:rsid w:val="76FB7612"/>
    <w:rsid w:val="772B4E62"/>
    <w:rsid w:val="77503306"/>
    <w:rsid w:val="779B56B6"/>
    <w:rsid w:val="77DD7865"/>
    <w:rsid w:val="77EB778B"/>
    <w:rsid w:val="78751930"/>
    <w:rsid w:val="78772BA5"/>
    <w:rsid w:val="79863131"/>
    <w:rsid w:val="7994028D"/>
    <w:rsid w:val="79EF706B"/>
    <w:rsid w:val="7A1B3BCC"/>
    <w:rsid w:val="7AE4047C"/>
    <w:rsid w:val="7AE97E6C"/>
    <w:rsid w:val="7B862447"/>
    <w:rsid w:val="7BC67474"/>
    <w:rsid w:val="7BDC0007"/>
    <w:rsid w:val="7BFD3FEB"/>
    <w:rsid w:val="7C675A80"/>
    <w:rsid w:val="7CBC0311"/>
    <w:rsid w:val="7D1E1FAC"/>
    <w:rsid w:val="7D1E2A77"/>
    <w:rsid w:val="7D7564C5"/>
    <w:rsid w:val="7D775521"/>
    <w:rsid w:val="7E4C20F9"/>
    <w:rsid w:val="7ED553F9"/>
    <w:rsid w:val="7EF173E1"/>
    <w:rsid w:val="7F8C710A"/>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0"/>
      <w:lang w:val="en-US" w:eastAsia="zh-CN" w:bidi="ar-SA"/>
    </w:rPr>
  </w:style>
  <w:style w:type="paragraph" w:styleId="2">
    <w:name w:val="heading 1"/>
    <w:basedOn w:val="1"/>
    <w:next w:val="1"/>
    <w:qFormat/>
    <w:uiPriority w:val="0"/>
    <w:pPr>
      <w:keepNext/>
      <w:spacing w:line="360" w:lineRule="auto"/>
      <w:jc w:val="center"/>
      <w:outlineLvl w:val="0"/>
    </w:pPr>
    <w:rPr>
      <w:rFonts w:ascii="Times New Roman" w:hAnsi="Times New Roman" w:eastAsia="仿宋"/>
      <w:b/>
      <w:bCs/>
      <w:color w:val="000000"/>
      <w:sz w:val="44"/>
    </w:rPr>
  </w:style>
  <w:style w:type="paragraph" w:styleId="3">
    <w:name w:val="heading 2"/>
    <w:basedOn w:val="1"/>
    <w:next w:val="1"/>
    <w:qFormat/>
    <w:uiPriority w:val="0"/>
    <w:pPr>
      <w:keepNext/>
      <w:keepLines/>
      <w:spacing w:after="0" w:afterLines="0" w:line="460" w:lineRule="exact"/>
      <w:outlineLvl w:val="1"/>
    </w:pPr>
    <w:rPr>
      <w:rFonts w:ascii="宋体" w:hAnsi="宋体"/>
      <w:b/>
      <w:sz w:val="30"/>
      <w:szCs w:val="30"/>
    </w:rPr>
  </w:style>
  <w:style w:type="paragraph" w:styleId="4">
    <w:name w:val="heading 3"/>
    <w:basedOn w:val="1"/>
    <w:next w:val="1"/>
    <w:qFormat/>
    <w:uiPriority w:val="0"/>
    <w:pPr>
      <w:keepNext/>
      <w:keepLines/>
      <w:spacing w:after="0" w:afterLines="0" w:line="460" w:lineRule="exact"/>
      <w:jc w:val="left"/>
      <w:outlineLvl w:val="2"/>
    </w:pPr>
    <w:rPr>
      <w:b/>
      <w:sz w:val="24"/>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Normal Indent"/>
    <w:basedOn w:val="1"/>
    <w:qFormat/>
    <w:uiPriority w:val="0"/>
    <w:pPr>
      <w:ind w:firstLine="420"/>
    </w:pPr>
    <w:rPr>
      <w:sz w:val="21"/>
    </w:rPr>
  </w:style>
  <w:style w:type="paragraph" w:styleId="8">
    <w:name w:val="Body Text"/>
    <w:basedOn w:val="1"/>
    <w:qFormat/>
    <w:uiPriority w:val="0"/>
    <w:pPr>
      <w:spacing w:after="120" w:afterLines="0" w:afterAutospacing="0"/>
    </w:pPr>
    <w:rPr>
      <w:sz w:val="21"/>
    </w:rPr>
  </w:style>
  <w:style w:type="paragraph" w:styleId="9">
    <w:name w:val="Body Text Indent"/>
    <w:basedOn w:val="1"/>
    <w:next w:val="10"/>
    <w:qFormat/>
    <w:uiPriority w:val="0"/>
    <w:pPr>
      <w:spacing w:line="312" w:lineRule="auto"/>
      <w:ind w:firstLine="735" w:firstLineChars="245"/>
    </w:pPr>
  </w:style>
  <w:style w:type="paragraph" w:styleId="10">
    <w:name w:val="envelope return"/>
    <w:basedOn w:val="1"/>
    <w:qFormat/>
    <w:uiPriority w:val="99"/>
    <w:pPr>
      <w:snapToGrid w:val="0"/>
    </w:pPr>
    <w:rPr>
      <w:rFonts w:ascii="Arial" w:hAnsi="Arial" w:cs="Arial"/>
    </w:rPr>
  </w:style>
  <w:style w:type="paragraph" w:styleId="11">
    <w:name w:val="List 2"/>
    <w:basedOn w:val="1"/>
    <w:qFormat/>
    <w:uiPriority w:val="0"/>
    <w:pPr>
      <w:ind w:left="100" w:leftChars="200" w:hanging="200" w:hangingChars="200"/>
    </w:pPr>
    <w:rPr>
      <w:sz w:val="21"/>
      <w:szCs w:val="24"/>
    </w:rPr>
  </w:style>
  <w:style w:type="paragraph" w:styleId="12">
    <w:name w:val="Plain Text"/>
    <w:basedOn w:val="1"/>
    <w:next w:val="8"/>
    <w:qFormat/>
    <w:uiPriority w:val="0"/>
    <w:rPr>
      <w:rFonts w:ascii="宋体" w:hAnsi="Courier New" w:cs="Courier New"/>
      <w:szCs w:val="21"/>
    </w:rPr>
  </w:style>
  <w:style w:type="paragraph" w:styleId="13">
    <w:name w:val="footer"/>
    <w:basedOn w:val="1"/>
    <w:qFormat/>
    <w:uiPriority w:val="99"/>
    <w:pPr>
      <w:tabs>
        <w:tab w:val="center" w:pos="4153"/>
        <w:tab w:val="right" w:pos="8306"/>
      </w:tabs>
      <w:snapToGrid w:val="0"/>
      <w:jc w:val="left"/>
    </w:pPr>
    <w:rPr>
      <w:sz w:val="18"/>
    </w:rPr>
  </w:style>
  <w:style w:type="paragraph" w:styleId="14">
    <w:name w:val="header"/>
    <w:basedOn w:val="1"/>
    <w:next w:val="8"/>
    <w:qFormat/>
    <w:uiPriority w:val="99"/>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39"/>
  </w:style>
  <w:style w:type="paragraph" w:styleId="16">
    <w:name w:val="footnote text"/>
    <w:basedOn w:val="1"/>
    <w:qFormat/>
    <w:uiPriority w:val="0"/>
    <w:pPr>
      <w:snapToGrid w:val="0"/>
      <w:jc w:val="left"/>
    </w:pPr>
    <w:rPr>
      <w:sz w:val="18"/>
      <w:szCs w:val="18"/>
    </w:rPr>
  </w:style>
  <w:style w:type="paragraph" w:styleId="17">
    <w:name w:val="Body Text 2"/>
    <w:basedOn w:val="1"/>
    <w:next w:val="1"/>
    <w:qFormat/>
    <w:uiPriority w:val="0"/>
    <w:pPr>
      <w:spacing w:after="120" w:afterLines="0" w:afterAutospacing="0" w:line="480" w:lineRule="auto"/>
    </w:pPr>
    <w:rPr>
      <w:sz w:val="21"/>
    </w:rPr>
  </w:style>
  <w:style w:type="paragraph" w:styleId="18">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19">
    <w:name w:val="Title"/>
    <w:basedOn w:val="1"/>
    <w:next w:val="1"/>
    <w:qFormat/>
    <w:uiPriority w:val="0"/>
    <w:pPr>
      <w:spacing w:before="240" w:beforeLines="0" w:after="60" w:afterLines="0"/>
      <w:jc w:val="center"/>
      <w:outlineLvl w:val="0"/>
    </w:pPr>
    <w:rPr>
      <w:rFonts w:ascii="Cambria" w:hAnsi="Cambria"/>
      <w:b/>
      <w:bCs/>
      <w:sz w:val="32"/>
      <w:szCs w:val="32"/>
    </w:rPr>
  </w:style>
  <w:style w:type="paragraph" w:styleId="20">
    <w:name w:val="Body Text First Indent"/>
    <w:basedOn w:val="8"/>
    <w:next w:val="21"/>
    <w:qFormat/>
    <w:uiPriority w:val="0"/>
    <w:pPr>
      <w:ind w:firstLine="420" w:firstLineChars="100"/>
    </w:pPr>
  </w:style>
  <w:style w:type="paragraph" w:styleId="21">
    <w:name w:val="Body Text First Indent 2"/>
    <w:basedOn w:val="9"/>
    <w:next w:val="1"/>
    <w:qFormat/>
    <w:uiPriority w:val="0"/>
    <w:pPr>
      <w:spacing w:after="120" w:line="240" w:lineRule="auto"/>
      <w:ind w:left="420" w:leftChars="200" w:firstLine="420" w:firstLineChars="200"/>
    </w:p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Default"/>
    <w:basedOn w:val="12"/>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首行缩进"/>
    <w:basedOn w:val="1"/>
    <w:autoRedefine/>
    <w:qFormat/>
    <w:uiPriority w:val="0"/>
    <w:pPr>
      <w:spacing w:line="360" w:lineRule="auto"/>
      <w:ind w:firstLine="480" w:firstLineChars="200"/>
      <w:jc w:val="left"/>
    </w:pPr>
    <w:rPr>
      <w:rFonts w:ascii="宋体" w:hAnsi="宋体"/>
      <w:sz w:val="24"/>
    </w:rPr>
  </w:style>
  <w:style w:type="paragraph" w:customStyle="1" w:styleId="27">
    <w:name w:val="*正文"/>
    <w:basedOn w:val="1"/>
    <w:next w:val="1"/>
    <w:autoRedefine/>
    <w:qFormat/>
    <w:uiPriority w:val="0"/>
    <w:pPr>
      <w:spacing w:line="360" w:lineRule="auto"/>
      <w:ind w:firstLine="200" w:firstLineChars="200"/>
    </w:pPr>
    <w:rPr>
      <w:rFonts w:hint="eastAsia" w:ascii="宋体" w:hAnsi="宋体" w:eastAsia="宋体" w:cs="Times New Roman"/>
      <w:kern w:val="0"/>
      <w:sz w:val="20"/>
      <w:szCs w:val="24"/>
    </w:rPr>
  </w:style>
  <w:style w:type="paragraph" w:customStyle="1" w:styleId="28">
    <w:name w:val="无间隔1"/>
    <w:basedOn w:val="1"/>
    <w:autoRedefine/>
    <w:qFormat/>
    <w:uiPriority w:val="1"/>
    <w:pPr>
      <w:spacing w:line="400" w:lineRule="exact"/>
    </w:pPr>
  </w:style>
  <w:style w:type="paragraph" w:styleId="29">
    <w:name w:val="List Paragraph"/>
    <w:basedOn w:val="1"/>
    <w:autoRedefine/>
    <w:qFormat/>
    <w:uiPriority w:val="0"/>
    <w:pPr>
      <w:ind w:firstLine="420" w:firstLineChars="200"/>
    </w:pPr>
    <w:rPr>
      <w:sz w:val="21"/>
      <w:szCs w:val="24"/>
    </w:rPr>
  </w:style>
  <w:style w:type="paragraph" w:customStyle="1" w:styleId="30">
    <w:name w:val="招标正文"/>
    <w:basedOn w:val="1"/>
    <w:autoRedefine/>
    <w:qFormat/>
    <w:uiPriority w:val="0"/>
    <w:pPr>
      <w:spacing w:line="360" w:lineRule="auto"/>
      <w:ind w:firstLine="480" w:firstLineChars="200"/>
    </w:pPr>
    <w:rPr>
      <w:rFonts w:ascii="宋体" w:hAnsi="宋体"/>
      <w:sz w:val="24"/>
      <w:szCs w:val="24"/>
    </w:rPr>
  </w:style>
  <w:style w:type="paragraph" w:customStyle="1" w:styleId="31">
    <w:name w:val="普通(网站)1"/>
    <w:basedOn w:val="1"/>
    <w:qFormat/>
    <w:uiPriority w:val="0"/>
    <w:rPr>
      <w:sz w:val="24"/>
    </w:rPr>
  </w:style>
  <w:style w:type="paragraph" w:customStyle="1" w:styleId="32">
    <w:name w:val="正文 A"/>
    <w:qFormat/>
    <w:uiPriority w:val="99"/>
    <w:pPr>
      <w:widowControl w:val="0"/>
      <w:jc w:val="both"/>
    </w:pPr>
    <w:rPr>
      <w:rFonts w:ascii="Arial Unicode MS" w:hAnsi="Arial Unicode MS" w:eastAsia="宋体" w:cs="Arial Unicode MS"/>
      <w:color w:val="000000"/>
      <w:kern w:val="2"/>
      <w:sz w:val="21"/>
      <w:szCs w:val="21"/>
      <w:lang w:val="en-US" w:eastAsia="zh-CN" w:bidi="ar-SA"/>
    </w:rPr>
  </w:style>
  <w:style w:type="paragraph" w:customStyle="1" w:styleId="33">
    <w:name w:val="No Spacing1"/>
    <w:basedOn w:val="1"/>
    <w:qFormat/>
    <w:uiPriority w:val="0"/>
    <w:pPr>
      <w:spacing w:line="400" w:lineRule="exact"/>
    </w:pPr>
    <w:rPr>
      <w:sz w:val="24"/>
    </w:rPr>
  </w:style>
  <w:style w:type="paragraph" w:customStyle="1" w:styleId="34">
    <w:name w:val="表"/>
    <w:basedOn w:val="1"/>
    <w:qFormat/>
    <w:uiPriority w:val="0"/>
    <w:pPr>
      <w:spacing w:line="360" w:lineRule="auto"/>
    </w:pPr>
    <w:rPr>
      <w:rFonts w:ascii="宋体" w:hAnsi="宋体"/>
      <w:b/>
      <w:bCs/>
    </w:rPr>
  </w:style>
  <w:style w:type="paragraph" w:customStyle="1" w:styleId="35">
    <w:name w:val="样式 标题 2 + Times New Roman 四号 非加粗 段前: 5 磅 段后: 0 磅 行距: 固定值 20..."/>
    <w:basedOn w:val="3"/>
    <w:qFormat/>
    <w:uiPriority w:val="0"/>
    <w:pPr>
      <w:spacing w:before="100" w:beforeLines="0" w:line="400" w:lineRule="exact"/>
      <w:ind w:left="425" w:hanging="425"/>
    </w:pPr>
    <w:rPr>
      <w:rFonts w:ascii="Times New Roman" w:hAnsi="Times New Roman" w:eastAsia="黑体" w:cs="宋体"/>
      <w:b w:val="0"/>
      <w:sz w:val="28"/>
      <w:szCs w:val="20"/>
    </w:rPr>
  </w:style>
  <w:style w:type="paragraph" w:customStyle="1" w:styleId="36">
    <w:name w:val="style4"/>
    <w:basedOn w:val="37"/>
    <w:next w:val="38"/>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37">
    <w:name w:val="正文_0"/>
    <w:next w:val="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Table Paragraph"/>
    <w:basedOn w:val="1"/>
    <w:qFormat/>
    <w:uiPriority w:val="1"/>
    <w:pPr>
      <w:jc w:val="left"/>
    </w:pPr>
    <w:rPr>
      <w:rFonts w:ascii="宋体" w:hAnsi="宋体" w:eastAsia="宋体" w:cs="宋体"/>
      <w:kern w:val="0"/>
      <w:sz w:val="22"/>
      <w:szCs w:val="22"/>
      <w:lang w:eastAsia="en-US"/>
    </w:rPr>
  </w:style>
  <w:style w:type="paragraph" w:customStyle="1" w:styleId="40">
    <w:name w:val="样式 标题 3 + (中文) 黑体 小四 非加粗 段前: 7.8 磅 段后: 0 磅 行距: 固定值 20 磅"/>
    <w:basedOn w:val="4"/>
    <w:qFormat/>
    <w:uiPriority w:val="0"/>
    <w:pPr>
      <w:spacing w:line="400" w:lineRule="exact"/>
      <w:jc w:val="both"/>
    </w:pPr>
    <w:rPr>
      <w:rFonts w:eastAsia="黑体" w:cs="宋体"/>
      <w:b w:val="0"/>
    </w:rPr>
  </w:style>
  <w:style w:type="paragraph" w:customStyle="1" w:styleId="41">
    <w:name w:val="Table Text"/>
    <w:basedOn w:val="1"/>
    <w:semiHidden/>
    <w:qFormat/>
    <w:uiPriority w:val="0"/>
    <w:rPr>
      <w:rFonts w:ascii="宋体" w:hAnsi="宋体" w:eastAsia="宋体" w:cs="宋体"/>
      <w:sz w:val="20"/>
      <w:szCs w:val="20"/>
    </w:rPr>
  </w:style>
  <w:style w:type="table" w:customStyle="1" w:styleId="42">
    <w:name w:val="Table Normal"/>
    <w:semiHidden/>
    <w:unhideWhenUsed/>
    <w:qFormat/>
    <w:uiPriority w:val="0"/>
    <w:tblPr>
      <w:tblCellMar>
        <w:top w:w="0" w:type="dxa"/>
        <w:left w:w="0" w:type="dxa"/>
        <w:bottom w:w="0" w:type="dxa"/>
        <w:right w:w="0" w:type="dxa"/>
      </w:tblCellMar>
    </w:tblPr>
  </w:style>
  <w:style w:type="paragraph" w:customStyle="1" w:styleId="43">
    <w:name w:val="图片"/>
    <w:basedOn w:val="1"/>
    <w:qFormat/>
    <w:uiPriority w:val="0"/>
    <w:pPr>
      <w:tabs>
        <w:tab w:val="center" w:pos="4157"/>
        <w:tab w:val="right" w:pos="10111"/>
      </w:tabs>
      <w:spacing w:line="240" w:lineRule="auto"/>
      <w:ind w:firstLine="0" w:firstLineChars="0"/>
      <w:jc w:val="center"/>
    </w:pPr>
  </w:style>
  <w:style w:type="table" w:customStyle="1" w:styleId="44">
    <w:name w:val="网格型2"/>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45">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16220</Words>
  <Characters>17620</Characters>
  <Lines>0</Lines>
  <Paragraphs>0</Paragraphs>
  <TotalTime>41</TotalTime>
  <ScaleCrop>false</ScaleCrop>
  <LinksUpToDate>false</LinksUpToDate>
  <CharactersWithSpaces>18214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2025-03-25T01:24:00Z</dcterms:created>
  <dc:creator>陈连敏</dc:creator>
  <cp:lastModifiedBy>Administrator</cp:lastModifiedBy>
  <cp:lastPrinted>2026-10-14T02:25:40Z</cp:lastPrinted>
  <dcterms:modified xsi:type="dcterms:W3CDTF">2026-10-14T02:47:02Z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9C8D86713A504572B91F2537F736AEF0_11</vt:lpwstr>
  </property>
  <property fmtid="{D5CDD505-2E9C-101B-9397-08002B2CF9AE}" pid="4" name="KSOTemplateDocerSaveRecord">
    <vt:lpwstr>eyJoZGlkIjoiNWE5YmI1ZjY2NGE1MDJlOWI4ZGE2NjliNjJiYjRjMTkiLCJ1c2VySWQiOiIzMjI2MTIxNzUifQ==</vt:lpwstr>
  </property>
</Properties>
</file>