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668B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heme="minorEastAsia" w:hAnsiTheme="minorEastAsia" w:eastAsiaTheme="minorEastAsia" w:cstheme="minorEastAsia"/>
          <w:b/>
          <w:bCs/>
          <w:color w:val="auto"/>
          <w:kern w:val="2"/>
          <w:sz w:val="21"/>
          <w:szCs w:val="21"/>
          <w:lang w:val="en-US" w:eastAsia="zh-CN" w:bidi="ar-SA"/>
        </w:rPr>
      </w:pPr>
      <w:r>
        <w:rPr>
          <w:rFonts w:hint="eastAsia" w:ascii="宋体" w:hAnsi="宋体" w:cs="宋体"/>
          <w:b/>
          <w:bCs/>
          <w:color w:val="auto"/>
          <w:kern w:val="0"/>
          <w:sz w:val="32"/>
          <w:szCs w:val="32"/>
          <w:shd w:val="clear" w:color="auto" w:fill="FFFFFF"/>
          <w:lang w:val="en-US" w:eastAsia="zh-CN"/>
        </w:rPr>
        <w:t>光山县自然资源卫星应用技术中心建设项目答疑说明文件</w:t>
      </w:r>
      <w:bookmarkStart w:id="1" w:name="_GoBack"/>
      <w:bookmarkEnd w:id="1"/>
    </w:p>
    <w:p w14:paraId="20FFBACF">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kern w:val="2"/>
          <w:sz w:val="21"/>
          <w:szCs w:val="21"/>
          <w:lang w:val="en-US" w:eastAsia="zh-CN" w:bidi="ar-SA"/>
        </w:rPr>
        <w:t>1、原磋商公告申请人的资格要求中“3、本项目的特定资格要求3.1投标人须具有测绘乙级及以上资质，拟派项目负责人具备测绘相关专业中级及以上技术职称；并提供有效的劳动合同、本单位已缴纳的开标前12个月内连续半年及以上的社保证明）；”</w:t>
      </w:r>
      <w:r>
        <w:rPr>
          <w:rFonts w:hint="eastAsia" w:asciiTheme="minorEastAsia" w:hAnsiTheme="minorEastAsia" w:eastAsiaTheme="minorEastAsia" w:cstheme="minorEastAsia"/>
          <w:b/>
          <w:bCs/>
          <w:color w:val="auto"/>
          <w:kern w:val="2"/>
          <w:sz w:val="21"/>
          <w:szCs w:val="21"/>
          <w:lang w:val="en-US" w:eastAsia="zh-CN" w:bidi="ar-SA"/>
        </w:rPr>
        <w:t>现</w:t>
      </w:r>
      <w:r>
        <w:rPr>
          <w:rFonts w:hint="default" w:asciiTheme="minorEastAsia" w:hAnsiTheme="minorEastAsia" w:eastAsiaTheme="minorEastAsia" w:cstheme="minorEastAsia"/>
          <w:b/>
          <w:bCs/>
          <w:color w:val="auto"/>
          <w:kern w:val="2"/>
          <w:sz w:val="21"/>
          <w:szCs w:val="21"/>
          <w:lang w:val="en-US" w:eastAsia="zh-CN" w:bidi="ar-SA"/>
        </w:rPr>
        <w:t>变更为</w:t>
      </w:r>
      <w:r>
        <w:rPr>
          <w:rFonts w:hint="eastAsia" w:asciiTheme="minorEastAsia" w:hAnsiTheme="minorEastAsia" w:eastAsiaTheme="minorEastAsia" w:cstheme="minorEastAsia"/>
          <w:b/>
          <w:bCs/>
          <w:color w:val="auto"/>
          <w:kern w:val="2"/>
          <w:sz w:val="21"/>
          <w:szCs w:val="21"/>
          <w:lang w:val="en-US" w:eastAsia="zh-CN" w:bidi="ar-SA"/>
        </w:rPr>
        <w:t>：</w:t>
      </w:r>
      <w:r>
        <w:rPr>
          <w:rFonts w:hint="eastAsia" w:asciiTheme="minorEastAsia" w:hAnsiTheme="minorEastAsia" w:eastAsiaTheme="minorEastAsia" w:cstheme="minorEastAsia"/>
          <w:b w:val="0"/>
          <w:bCs w:val="0"/>
          <w:color w:val="auto"/>
          <w:kern w:val="2"/>
          <w:sz w:val="21"/>
          <w:szCs w:val="21"/>
          <w:lang w:val="en-US" w:eastAsia="zh-CN" w:bidi="ar-SA"/>
        </w:rPr>
        <w:t>“3、本项目的特定资格要求3.1投标人须具有测绘乙级及以上资质，拟派项目负责人具备测绘相关专业中级及以上技术职称，并提供有效的劳动合同；”</w:t>
      </w:r>
    </w:p>
    <w:p w14:paraId="2288C21C">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kern w:val="2"/>
          <w:sz w:val="21"/>
          <w:szCs w:val="21"/>
          <w:lang w:val="en-US" w:eastAsia="zh-CN" w:bidi="ar-SA"/>
        </w:rPr>
        <w:t>2、原磋商文件第二章投标人须知前附表1.4.1投标人资格条件中“3、本项目的特定资格要求3.1投标人须具有测绘乙级及以上资质，拟派项目负责人具备测绘相关专业中级及以上技术职称；并提供有效的劳动合同、本单位已缴纳的开标前12个月内连续半年及以上的社保证明）；”</w:t>
      </w:r>
      <w:r>
        <w:rPr>
          <w:rFonts w:hint="eastAsia" w:asciiTheme="minorEastAsia" w:hAnsiTheme="minorEastAsia" w:eastAsiaTheme="minorEastAsia" w:cstheme="minorEastAsia"/>
          <w:b/>
          <w:bCs/>
          <w:color w:val="auto"/>
          <w:kern w:val="2"/>
          <w:sz w:val="21"/>
          <w:szCs w:val="21"/>
          <w:lang w:val="en-US" w:eastAsia="zh-CN" w:bidi="ar-SA"/>
        </w:rPr>
        <w:t>现</w:t>
      </w:r>
      <w:r>
        <w:rPr>
          <w:rFonts w:hint="default" w:asciiTheme="minorEastAsia" w:hAnsiTheme="minorEastAsia" w:eastAsiaTheme="minorEastAsia" w:cstheme="minorEastAsia"/>
          <w:b/>
          <w:bCs/>
          <w:color w:val="auto"/>
          <w:kern w:val="2"/>
          <w:sz w:val="21"/>
          <w:szCs w:val="21"/>
          <w:lang w:val="en-US" w:eastAsia="zh-CN" w:bidi="ar-SA"/>
        </w:rPr>
        <w:t>变更为</w:t>
      </w:r>
      <w:r>
        <w:rPr>
          <w:rFonts w:hint="eastAsia" w:asciiTheme="minorEastAsia" w:hAnsiTheme="minorEastAsia" w:eastAsiaTheme="minorEastAsia" w:cstheme="minorEastAsia"/>
          <w:b/>
          <w:bCs/>
          <w:color w:val="auto"/>
          <w:kern w:val="2"/>
          <w:sz w:val="21"/>
          <w:szCs w:val="21"/>
          <w:lang w:val="en-US" w:eastAsia="zh-CN" w:bidi="ar-SA"/>
        </w:rPr>
        <w:t>：</w:t>
      </w:r>
      <w:r>
        <w:rPr>
          <w:rFonts w:hint="eastAsia" w:asciiTheme="minorEastAsia" w:hAnsiTheme="minorEastAsia" w:eastAsiaTheme="minorEastAsia" w:cstheme="minorEastAsia"/>
          <w:b w:val="0"/>
          <w:bCs w:val="0"/>
          <w:color w:val="auto"/>
          <w:kern w:val="2"/>
          <w:sz w:val="21"/>
          <w:szCs w:val="21"/>
          <w:lang w:val="en-US" w:eastAsia="zh-CN" w:bidi="ar-SA"/>
        </w:rPr>
        <w:t>“3、本项目的特定资格要求3.1投标人须具有测绘乙级及以上资质，拟派项目负责人具备测绘相关专业中级及以上技术职称，并提供有效的劳动合同；”</w:t>
      </w:r>
    </w:p>
    <w:p w14:paraId="0BDCAA40">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kern w:val="2"/>
          <w:sz w:val="21"/>
          <w:szCs w:val="21"/>
          <w:lang w:val="en-US" w:eastAsia="zh-CN" w:bidi="ar-SA"/>
        </w:rPr>
        <w:t>3、原磋商文件中第三章评标办法前附表中全部内容如下：</w:t>
      </w:r>
    </w:p>
    <w:tbl>
      <w:tblPr>
        <w:tblStyle w:val="4"/>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915"/>
        <w:gridCol w:w="1563"/>
        <w:gridCol w:w="5929"/>
      </w:tblGrid>
      <w:tr w14:paraId="3CCD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809" w:type="dxa"/>
            <w:gridSpan w:val="2"/>
            <w:noWrap w:val="0"/>
            <w:vAlign w:val="center"/>
          </w:tcPr>
          <w:p w14:paraId="1721418A">
            <w:pPr>
              <w:adjustRightInd w:val="0"/>
              <w:snapToGrid w:val="0"/>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条款号</w:t>
            </w:r>
          </w:p>
        </w:tc>
        <w:tc>
          <w:tcPr>
            <w:tcW w:w="1563" w:type="dxa"/>
            <w:noWrap w:val="0"/>
            <w:vAlign w:val="center"/>
          </w:tcPr>
          <w:p w14:paraId="514AB835">
            <w:pPr>
              <w:adjustRightInd w:val="0"/>
              <w:snapToGrid w:val="0"/>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评审因素</w:t>
            </w:r>
          </w:p>
        </w:tc>
        <w:tc>
          <w:tcPr>
            <w:tcW w:w="5929" w:type="dxa"/>
            <w:noWrap w:val="0"/>
            <w:vAlign w:val="center"/>
          </w:tcPr>
          <w:p w14:paraId="0D1D3F73">
            <w:pPr>
              <w:adjustRightInd w:val="0"/>
              <w:snapToGrid w:val="0"/>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评审标准</w:t>
            </w:r>
          </w:p>
        </w:tc>
      </w:tr>
      <w:tr w14:paraId="6689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94" w:type="dxa"/>
            <w:vMerge w:val="restart"/>
            <w:noWrap w:val="0"/>
            <w:vAlign w:val="center"/>
          </w:tcPr>
          <w:p w14:paraId="1FF31A95">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2.1.1</w:t>
            </w:r>
          </w:p>
        </w:tc>
        <w:tc>
          <w:tcPr>
            <w:tcW w:w="915" w:type="dxa"/>
            <w:vMerge w:val="restart"/>
            <w:noWrap w:val="0"/>
            <w:vAlign w:val="center"/>
          </w:tcPr>
          <w:p w14:paraId="2CF6FB42">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资格</w:t>
            </w:r>
          </w:p>
          <w:p w14:paraId="06E91E1C">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评审</w:t>
            </w:r>
          </w:p>
          <w:p w14:paraId="492D8338">
            <w:pPr>
              <w:adjustRightInd w:val="0"/>
              <w:snapToGrid w:val="0"/>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标准</w:t>
            </w:r>
          </w:p>
        </w:tc>
        <w:tc>
          <w:tcPr>
            <w:tcW w:w="1563" w:type="dxa"/>
            <w:noWrap w:val="0"/>
            <w:vAlign w:val="center"/>
          </w:tcPr>
          <w:p w14:paraId="776BD65A">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符合《中华人民共和国政府采购法》第二十二条规定</w:t>
            </w:r>
          </w:p>
        </w:tc>
        <w:tc>
          <w:tcPr>
            <w:tcW w:w="5929" w:type="dxa"/>
            <w:noWrap w:val="0"/>
            <w:vAlign w:val="center"/>
          </w:tcPr>
          <w:p w14:paraId="5853E874">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符合第二章“投标人须知”第1.4.1项规定</w:t>
            </w:r>
          </w:p>
        </w:tc>
      </w:tr>
      <w:tr w14:paraId="731C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94" w:type="dxa"/>
            <w:vMerge w:val="continue"/>
            <w:noWrap w:val="0"/>
            <w:vAlign w:val="center"/>
          </w:tcPr>
          <w:p w14:paraId="2CA1D780">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45D97D74">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7B7679A2">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企业资质证书</w:t>
            </w:r>
          </w:p>
        </w:tc>
        <w:tc>
          <w:tcPr>
            <w:tcW w:w="5929" w:type="dxa"/>
            <w:noWrap w:val="0"/>
            <w:vAlign w:val="center"/>
          </w:tcPr>
          <w:p w14:paraId="5DD62000">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08E7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94" w:type="dxa"/>
            <w:vMerge w:val="continue"/>
            <w:noWrap w:val="0"/>
            <w:vAlign w:val="center"/>
          </w:tcPr>
          <w:p w14:paraId="68C71A3E">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345F4B0D">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36D6F0C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项目负责人</w:t>
            </w:r>
          </w:p>
        </w:tc>
        <w:tc>
          <w:tcPr>
            <w:tcW w:w="5929" w:type="dxa"/>
            <w:noWrap w:val="0"/>
            <w:vAlign w:val="center"/>
          </w:tcPr>
          <w:p w14:paraId="264DB03E">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6ACF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4D29309D">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4CBA1A25">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28A8505E">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信用查询</w:t>
            </w:r>
          </w:p>
        </w:tc>
        <w:tc>
          <w:tcPr>
            <w:tcW w:w="5929" w:type="dxa"/>
            <w:noWrap w:val="0"/>
            <w:vAlign w:val="center"/>
          </w:tcPr>
          <w:p w14:paraId="49BF81EC">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符合第二章“投标人须知”第1.4.1项规定</w:t>
            </w:r>
          </w:p>
        </w:tc>
      </w:tr>
      <w:tr w14:paraId="470D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restart"/>
            <w:noWrap w:val="0"/>
            <w:vAlign w:val="center"/>
          </w:tcPr>
          <w:p w14:paraId="2561D2F5">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2.1.2</w:t>
            </w:r>
          </w:p>
        </w:tc>
        <w:tc>
          <w:tcPr>
            <w:tcW w:w="915" w:type="dxa"/>
            <w:vMerge w:val="restart"/>
            <w:noWrap w:val="0"/>
            <w:vAlign w:val="center"/>
          </w:tcPr>
          <w:p w14:paraId="435BF59C">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符合性</w:t>
            </w:r>
          </w:p>
          <w:p w14:paraId="48A7823D">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评审</w:t>
            </w:r>
          </w:p>
          <w:p w14:paraId="16CD0C41">
            <w:pPr>
              <w:adjustRightInd w:val="0"/>
              <w:snapToGrid w:val="0"/>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标准</w:t>
            </w:r>
          </w:p>
        </w:tc>
        <w:tc>
          <w:tcPr>
            <w:tcW w:w="1563" w:type="dxa"/>
            <w:noWrap w:val="0"/>
            <w:vAlign w:val="center"/>
          </w:tcPr>
          <w:p w14:paraId="0A6FD60F">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投标人名称</w:t>
            </w:r>
          </w:p>
        </w:tc>
        <w:tc>
          <w:tcPr>
            <w:tcW w:w="5929" w:type="dxa"/>
            <w:noWrap w:val="0"/>
            <w:vAlign w:val="bottom"/>
          </w:tcPr>
          <w:p w14:paraId="2A398811">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与营业执照、资质证书上的名称一致</w:t>
            </w:r>
          </w:p>
        </w:tc>
      </w:tr>
      <w:tr w14:paraId="1C6D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0A68AF80">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6DED0E9B">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44D74A96">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投标函签字盖章</w:t>
            </w:r>
          </w:p>
        </w:tc>
        <w:tc>
          <w:tcPr>
            <w:tcW w:w="5929" w:type="dxa"/>
            <w:noWrap w:val="0"/>
            <w:vAlign w:val="center"/>
          </w:tcPr>
          <w:p w14:paraId="20E79C14">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符合第六章“</w:t>
            </w:r>
            <w:r>
              <w:rPr>
                <w:rFonts w:hint="eastAsia" w:asciiTheme="minorEastAsia" w:hAnsiTheme="minorEastAsia" w:eastAsiaTheme="minorEastAsia" w:cstheme="minorEastAsia"/>
                <w:color w:val="auto"/>
                <w:sz w:val="21"/>
                <w:szCs w:val="21"/>
                <w:lang w:eastAsia="zh-CN"/>
              </w:rPr>
              <w:t>投标</w:t>
            </w:r>
            <w:r>
              <w:rPr>
                <w:rFonts w:hint="eastAsia" w:asciiTheme="minorEastAsia" w:hAnsiTheme="minorEastAsia" w:eastAsiaTheme="minorEastAsia" w:cstheme="minorEastAsia"/>
                <w:color w:val="auto"/>
                <w:sz w:val="21"/>
                <w:szCs w:val="21"/>
              </w:rPr>
              <w:t>文件格式”签字盖章的要求</w:t>
            </w:r>
          </w:p>
        </w:tc>
      </w:tr>
      <w:tr w14:paraId="0175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09991AF1">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64BA0AFA">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31BBB1B7">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投标文件格式</w:t>
            </w:r>
          </w:p>
        </w:tc>
        <w:tc>
          <w:tcPr>
            <w:tcW w:w="5929" w:type="dxa"/>
            <w:noWrap w:val="0"/>
            <w:vAlign w:val="center"/>
          </w:tcPr>
          <w:p w14:paraId="7FCC53A0">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符合第六章“</w:t>
            </w:r>
            <w:r>
              <w:rPr>
                <w:rFonts w:hint="eastAsia" w:asciiTheme="minorEastAsia" w:hAnsiTheme="minorEastAsia" w:eastAsiaTheme="minorEastAsia" w:cstheme="minorEastAsia"/>
                <w:color w:val="auto"/>
                <w:sz w:val="21"/>
                <w:szCs w:val="21"/>
                <w:lang w:eastAsia="zh-CN"/>
              </w:rPr>
              <w:t>投标</w:t>
            </w:r>
            <w:r>
              <w:rPr>
                <w:rFonts w:hint="eastAsia" w:asciiTheme="minorEastAsia" w:hAnsiTheme="minorEastAsia" w:eastAsiaTheme="minorEastAsia" w:cstheme="minorEastAsia"/>
                <w:color w:val="auto"/>
                <w:sz w:val="21"/>
                <w:szCs w:val="21"/>
              </w:rPr>
              <w:t>文件格式”格式的要求</w:t>
            </w:r>
          </w:p>
        </w:tc>
      </w:tr>
      <w:tr w14:paraId="6378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117F5DD6">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1C620326">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04BBB2CD">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服务内容</w:t>
            </w:r>
          </w:p>
        </w:tc>
        <w:tc>
          <w:tcPr>
            <w:tcW w:w="5929" w:type="dxa"/>
            <w:noWrap w:val="0"/>
            <w:vAlign w:val="center"/>
          </w:tcPr>
          <w:p w14:paraId="544FEAE3">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符合第二章“投标人须知”第1.3.1项规定</w:t>
            </w:r>
          </w:p>
        </w:tc>
      </w:tr>
      <w:tr w14:paraId="4FE0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348B45E1">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19CFFF43">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7E53810B">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合同履行期限</w:t>
            </w:r>
          </w:p>
        </w:tc>
        <w:tc>
          <w:tcPr>
            <w:tcW w:w="5929" w:type="dxa"/>
            <w:noWrap w:val="0"/>
            <w:vAlign w:val="center"/>
          </w:tcPr>
          <w:p w14:paraId="09E46306">
            <w:pPr>
              <w:adjustRightInd w:val="0"/>
              <w:snapToGrid w:val="0"/>
              <w:spacing w:line="27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符合第二章“投标人须知”第1.3.2项规定</w:t>
            </w:r>
          </w:p>
        </w:tc>
      </w:tr>
      <w:tr w14:paraId="58D7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2776319A">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5F9B3E1C">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7BCF6D47">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质量</w:t>
            </w:r>
          </w:p>
        </w:tc>
        <w:tc>
          <w:tcPr>
            <w:tcW w:w="5929" w:type="dxa"/>
            <w:noWrap w:val="0"/>
            <w:vAlign w:val="center"/>
          </w:tcPr>
          <w:p w14:paraId="10606E46">
            <w:pPr>
              <w:adjustRightInd w:val="0"/>
              <w:snapToGrid w:val="0"/>
              <w:spacing w:line="27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符合第二章“投标人须知”第1.3.3项规定</w:t>
            </w:r>
          </w:p>
        </w:tc>
      </w:tr>
      <w:tr w14:paraId="1C93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6A2F17B9">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1DBC9F4E">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64BF680A">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投标有效期</w:t>
            </w:r>
          </w:p>
        </w:tc>
        <w:tc>
          <w:tcPr>
            <w:tcW w:w="5929" w:type="dxa"/>
            <w:noWrap w:val="0"/>
            <w:vAlign w:val="center"/>
          </w:tcPr>
          <w:p w14:paraId="6544654C">
            <w:pPr>
              <w:adjustRightInd w:val="0"/>
              <w:snapToGrid w:val="0"/>
              <w:spacing w:line="27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符合第二章“投标人须知”第3.1.2项规定</w:t>
            </w:r>
          </w:p>
        </w:tc>
      </w:tr>
      <w:tr w14:paraId="6C14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94" w:type="dxa"/>
            <w:vMerge w:val="continue"/>
            <w:noWrap w:val="0"/>
            <w:vAlign w:val="center"/>
          </w:tcPr>
          <w:p w14:paraId="504BB098">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2B25D4F6">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201CF5BF">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投标报价</w:t>
            </w:r>
          </w:p>
        </w:tc>
        <w:tc>
          <w:tcPr>
            <w:tcW w:w="5929" w:type="dxa"/>
            <w:noWrap w:val="0"/>
            <w:vAlign w:val="center"/>
          </w:tcPr>
          <w:p w14:paraId="7A6753D0">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投标总报价未高于本项目竞争性磋商文件中规定的预算金额或者最高限价。</w:t>
            </w:r>
          </w:p>
        </w:tc>
      </w:tr>
      <w:tr w14:paraId="7048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809" w:type="dxa"/>
            <w:gridSpan w:val="2"/>
            <w:noWrap w:val="0"/>
            <w:vAlign w:val="center"/>
          </w:tcPr>
          <w:p w14:paraId="0812839C">
            <w:pPr>
              <w:adjustRightInd w:val="0"/>
              <w:snapToGrid w:val="0"/>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2.2.1</w:t>
            </w:r>
          </w:p>
        </w:tc>
        <w:tc>
          <w:tcPr>
            <w:tcW w:w="1563" w:type="dxa"/>
            <w:noWrap w:val="0"/>
            <w:vAlign w:val="center"/>
          </w:tcPr>
          <w:p w14:paraId="2C507678">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分值构成</w:t>
            </w:r>
          </w:p>
          <w:p w14:paraId="2198376E">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(总分100分)</w:t>
            </w:r>
          </w:p>
        </w:tc>
        <w:tc>
          <w:tcPr>
            <w:tcW w:w="5929" w:type="dxa"/>
            <w:noWrap w:val="0"/>
            <w:vAlign w:val="center"/>
          </w:tcPr>
          <w:p w14:paraId="2A03668A">
            <w:pPr>
              <w:adjustRightInd w:val="0"/>
              <w:snapToGrid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报价</w:t>
            </w:r>
            <w:r>
              <w:rPr>
                <w:rFonts w:hint="eastAsia" w:asciiTheme="minorEastAsia" w:hAnsiTheme="minorEastAsia" w:eastAsiaTheme="minorEastAsia" w:cstheme="minorEastAsia"/>
                <w:b/>
                <w:bCs/>
                <w:color w:val="auto"/>
                <w:sz w:val="21"/>
                <w:szCs w:val="21"/>
              </w:rPr>
              <w:t>：30分</w:t>
            </w:r>
          </w:p>
          <w:p w14:paraId="5EBB7E3D">
            <w:pPr>
              <w:adjustRightInd w:val="0"/>
              <w:snapToGrid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技术：</w:t>
            </w:r>
            <w:r>
              <w:rPr>
                <w:rFonts w:hint="eastAsia" w:asciiTheme="minorEastAsia" w:hAnsiTheme="minorEastAsia" w:eastAsiaTheme="minorEastAsia" w:cstheme="minorEastAsia"/>
                <w:b/>
                <w:bCs/>
                <w:color w:val="auto"/>
                <w:sz w:val="21"/>
                <w:szCs w:val="21"/>
                <w:lang w:val="en-US" w:eastAsia="zh-CN"/>
              </w:rPr>
              <w:t>26</w:t>
            </w:r>
            <w:r>
              <w:rPr>
                <w:rFonts w:hint="eastAsia" w:asciiTheme="minorEastAsia" w:hAnsiTheme="minorEastAsia" w:eastAsiaTheme="minorEastAsia" w:cstheme="minorEastAsia"/>
                <w:b/>
                <w:bCs/>
                <w:color w:val="auto"/>
                <w:sz w:val="21"/>
                <w:szCs w:val="21"/>
              </w:rPr>
              <w:t>分</w:t>
            </w:r>
          </w:p>
          <w:p w14:paraId="103E76E4">
            <w:pPr>
              <w:adjustRightInd w:val="0"/>
              <w:snapToGrid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综合</w:t>
            </w: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44</w:t>
            </w:r>
            <w:r>
              <w:rPr>
                <w:rFonts w:hint="eastAsia" w:asciiTheme="minorEastAsia" w:hAnsiTheme="minorEastAsia" w:eastAsiaTheme="minorEastAsia" w:cstheme="minorEastAsia"/>
                <w:b/>
                <w:bCs/>
                <w:color w:val="auto"/>
                <w:sz w:val="21"/>
                <w:szCs w:val="21"/>
              </w:rPr>
              <w:t>分</w:t>
            </w:r>
          </w:p>
        </w:tc>
      </w:tr>
      <w:tr w14:paraId="3A15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894" w:type="dxa"/>
            <w:noWrap w:val="0"/>
            <w:vAlign w:val="center"/>
          </w:tcPr>
          <w:p w14:paraId="587C2DA9">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2.2.2</w:t>
            </w:r>
          </w:p>
        </w:tc>
        <w:tc>
          <w:tcPr>
            <w:tcW w:w="915" w:type="dxa"/>
            <w:noWrap w:val="0"/>
            <w:vAlign w:val="center"/>
          </w:tcPr>
          <w:p w14:paraId="65EEAE52">
            <w:pPr>
              <w:spacing w:line="40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lang w:val="en-US" w:eastAsia="zh-CN"/>
              </w:rPr>
              <w:t>报价部分</w:t>
            </w:r>
            <w:r>
              <w:rPr>
                <w:rFonts w:hint="eastAsia" w:asciiTheme="minorEastAsia" w:hAnsiTheme="minorEastAsia" w:eastAsiaTheme="minorEastAsia" w:cstheme="minorEastAsia"/>
                <w:b/>
                <w:bCs/>
                <w:color w:val="auto"/>
                <w:sz w:val="21"/>
                <w:szCs w:val="21"/>
              </w:rPr>
              <w:t>（30分）</w:t>
            </w:r>
          </w:p>
        </w:tc>
        <w:tc>
          <w:tcPr>
            <w:tcW w:w="1563" w:type="dxa"/>
            <w:noWrap w:val="0"/>
            <w:vAlign w:val="center"/>
          </w:tcPr>
          <w:p w14:paraId="36472F29">
            <w:pPr>
              <w:tabs>
                <w:tab w:val="left" w:pos="0"/>
                <w:tab w:val="left" w:pos="360"/>
              </w:tabs>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投标报价（30分）</w:t>
            </w:r>
          </w:p>
        </w:tc>
        <w:tc>
          <w:tcPr>
            <w:tcW w:w="5929" w:type="dxa"/>
            <w:noWrap w:val="0"/>
            <w:vAlign w:val="center"/>
          </w:tcPr>
          <w:p w14:paraId="37AAB010">
            <w:pPr>
              <w:spacing w:line="276" w:lineRule="auto"/>
              <w:ind w:firstLine="480"/>
              <w:textAlignment w:val="top"/>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满足磋商文件要求且最终磋商报价(第二轮报价) 最低的投标人的价格为磋商基准价，其价格分为满分其他投标人的价格分统一按照下列公式计算:磋商报价得分=(磋商基准价/最终磋商报价) </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0</w:t>
            </w:r>
          </w:p>
          <w:p w14:paraId="267147E3">
            <w:pPr>
              <w:spacing w:line="276" w:lineRule="auto"/>
              <w:ind w:firstLine="480"/>
              <w:textAlignment w:val="top"/>
              <w:rPr>
                <w:rFonts w:hint="eastAsia" w:asciiTheme="minorEastAsia" w:hAnsiTheme="minorEastAsia" w:eastAsiaTheme="minorEastAsia" w:cstheme="minorEastAsia"/>
                <w:color w:val="auto"/>
                <w:kern w:val="0"/>
                <w:sz w:val="21"/>
                <w:szCs w:val="21"/>
                <w:highlight w:val="yellow"/>
              </w:rPr>
            </w:pPr>
            <w:r>
              <w:rPr>
                <w:rFonts w:hint="eastAsia" w:asciiTheme="minorEastAsia" w:hAnsiTheme="minorEastAsia" w:eastAsiaTheme="minorEastAsia" w:cstheme="minorEastAsia"/>
                <w:color w:val="auto"/>
                <w:sz w:val="21"/>
                <w:szCs w:val="21"/>
              </w:rPr>
              <w:t>注:报价得分按四舍五入保留两位小数。按照《关于进一步加大政府采购支持中小企业力度的通知》财库[2022] 19 号的要求，货物服务采购项目对小型、微型、残疾人企业及监狱企业产品的价格给予 10%~20%的扣除，用扣除后的价格参与评审，本项目的扣除比例为:小型、微型企业、残疾人及监狱企业扣除 20%。(参加本项目的中小企业应当提供《《中小企业声明函》 格式详见竞争性磋商文件内《中小企业声明函》样本) 残疾人福利性企业监狱企业视同小微企业,价格扣除只享受一次，不重复享受)</w:t>
            </w:r>
          </w:p>
        </w:tc>
      </w:tr>
      <w:tr w14:paraId="0C62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94" w:type="dxa"/>
            <w:vMerge w:val="restart"/>
            <w:shd w:val="clear" w:color="auto" w:fill="FFFFFF"/>
            <w:noWrap w:val="0"/>
            <w:vAlign w:val="center"/>
          </w:tcPr>
          <w:p w14:paraId="1C618A7E">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restart"/>
            <w:shd w:val="clear" w:color="auto" w:fill="FFFFFF"/>
            <w:noWrap w:val="0"/>
            <w:vAlign w:val="center"/>
          </w:tcPr>
          <w:p w14:paraId="16F8D5CB">
            <w:pPr>
              <w:spacing w:line="276" w:lineRule="auto"/>
              <w:jc w:val="center"/>
              <w:textAlignment w:val="top"/>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技术部分</w:t>
            </w:r>
          </w:p>
          <w:p w14:paraId="453E5262">
            <w:pPr>
              <w:spacing w:line="276" w:lineRule="auto"/>
              <w:textAlignment w:val="top"/>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26</w:t>
            </w:r>
            <w:r>
              <w:rPr>
                <w:rFonts w:hint="eastAsia" w:asciiTheme="minorEastAsia" w:hAnsiTheme="minorEastAsia" w:eastAsiaTheme="minorEastAsia" w:cstheme="minorEastAsia"/>
                <w:b/>
                <w:bCs/>
                <w:color w:val="auto"/>
                <w:sz w:val="21"/>
                <w:szCs w:val="21"/>
              </w:rPr>
              <w:t>分）</w:t>
            </w:r>
          </w:p>
          <w:p w14:paraId="5C37CD1F">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20637B10">
            <w:pPr>
              <w:autoSpaceDE w:val="0"/>
              <w:autoSpaceDN w:val="0"/>
              <w:adjustRightIn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技术服务总体方案评价</w:t>
            </w: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568A3610">
            <w:pPr>
              <w:pStyle w:val="3"/>
              <w:ind w:left="0" w:left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招标项目技术服务总体方案全面完整、针对性强、切实可行得</w:t>
            </w:r>
            <w:r>
              <w:rPr>
                <w:rFonts w:hint="eastAsia" w:asciiTheme="minorEastAsia" w:hAnsiTheme="minorEastAsia" w:eastAsia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分；</w:t>
            </w:r>
          </w:p>
          <w:p w14:paraId="3E9DB41E">
            <w:pPr>
              <w:pStyle w:val="3"/>
              <w:ind w:left="0" w:left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招标项目技术服务总体方案较完整、针对性较强、可行性一般得</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分；</w:t>
            </w:r>
          </w:p>
          <w:p w14:paraId="5410A813">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招标项目技术服务总体方案不完整、针对性不强、可行性差得</w:t>
            </w: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分；</w:t>
            </w:r>
          </w:p>
          <w:p w14:paraId="53EBB039">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如若缺项则不得分。</w:t>
            </w:r>
          </w:p>
        </w:tc>
      </w:tr>
      <w:tr w14:paraId="281E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 w:type="dxa"/>
            <w:vMerge w:val="continue"/>
            <w:shd w:val="clear" w:color="auto" w:fill="FFFFFF"/>
            <w:noWrap w:val="0"/>
            <w:vAlign w:val="center"/>
          </w:tcPr>
          <w:p w14:paraId="6DE17EE9">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5C291730">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7A5768C0">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项目实施方案（0-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265D20E6">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实施方案详尽、考虑全面，科学性强得</w:t>
            </w:r>
            <w:r>
              <w:rPr>
                <w:rFonts w:hint="eastAsia" w:asciiTheme="minorEastAsia" w:hAnsiTheme="minorEastAsia" w:eastAsia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分；</w:t>
            </w:r>
          </w:p>
          <w:p w14:paraId="5902F432">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实施方案较详尽、考虑较全面，科学性较强得</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分；</w:t>
            </w:r>
          </w:p>
          <w:p w14:paraId="79479A23">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实施方案较差、考虑不全面，科学性不强得</w:t>
            </w: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分；</w:t>
            </w:r>
          </w:p>
          <w:p w14:paraId="0A22999F">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如若缺项则不得分。</w:t>
            </w:r>
          </w:p>
        </w:tc>
      </w:tr>
      <w:tr w14:paraId="263C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894" w:type="dxa"/>
            <w:vMerge w:val="continue"/>
            <w:shd w:val="clear" w:color="auto" w:fill="FFFFFF"/>
            <w:noWrap w:val="0"/>
            <w:vAlign w:val="center"/>
          </w:tcPr>
          <w:p w14:paraId="3A9F9DCF">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7F957C34">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56D0975C">
            <w:pPr>
              <w:jc w:val="center"/>
              <w:rPr>
                <w:rFonts w:hint="eastAsia" w:asciiTheme="minorEastAsia" w:hAnsiTheme="minorEastAsia" w:eastAsiaTheme="minorEastAsia" w:cstheme="minorEastAsia"/>
                <w:color w:val="auto"/>
                <w:spacing w:val="1"/>
                <w:kern w:val="0"/>
                <w:sz w:val="21"/>
                <w:szCs w:val="21"/>
              </w:rPr>
            </w:pPr>
            <w:r>
              <w:rPr>
                <w:rFonts w:hint="eastAsia" w:asciiTheme="minorEastAsia" w:hAnsiTheme="minorEastAsia" w:eastAsiaTheme="minorEastAsia" w:cstheme="minorEastAsia"/>
                <w:color w:val="auto"/>
                <w:spacing w:val="1"/>
                <w:kern w:val="0"/>
                <w:sz w:val="21"/>
                <w:szCs w:val="21"/>
              </w:rPr>
              <w:t>项目进度计划及保证措施</w:t>
            </w:r>
          </w:p>
          <w:p w14:paraId="57D37BA2">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70920B97">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项目进度计划安排合理，进度保证措施完善，得</w:t>
            </w:r>
            <w:r>
              <w:rPr>
                <w:rFonts w:hint="eastAsia" w:asciiTheme="minorEastAsia" w:hAnsiTheme="minorEastAsia" w:eastAsia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分；</w:t>
            </w:r>
          </w:p>
          <w:p w14:paraId="7FC7BFF8">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项目进度计划安排较合理，进度保证措施较完善；得 </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分；</w:t>
            </w:r>
          </w:p>
          <w:p w14:paraId="3244D20F">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项目进度计划安排不合理，进度保证措施不完善，得</w:t>
            </w: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分。</w:t>
            </w:r>
          </w:p>
          <w:p w14:paraId="4C5C8D41">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无项目进度计划不得分</w:t>
            </w:r>
          </w:p>
        </w:tc>
      </w:tr>
      <w:tr w14:paraId="324D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894" w:type="dxa"/>
            <w:vMerge w:val="continue"/>
            <w:shd w:val="clear" w:color="auto" w:fill="FFFFFF"/>
            <w:noWrap w:val="0"/>
            <w:vAlign w:val="center"/>
          </w:tcPr>
          <w:p w14:paraId="54BDA6A4">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74DA4936">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4ED62B41">
            <w:pPr>
              <w:jc w:val="center"/>
              <w:rPr>
                <w:rFonts w:hint="eastAsia" w:asciiTheme="minorEastAsia" w:hAnsiTheme="minorEastAsia" w:eastAsiaTheme="minorEastAsia" w:cstheme="minorEastAsia"/>
                <w:color w:val="auto"/>
                <w:spacing w:val="1"/>
                <w:kern w:val="0"/>
                <w:sz w:val="21"/>
                <w:szCs w:val="21"/>
              </w:rPr>
            </w:pPr>
            <w:r>
              <w:rPr>
                <w:rFonts w:hint="eastAsia" w:asciiTheme="minorEastAsia" w:hAnsiTheme="minorEastAsia" w:eastAsiaTheme="minorEastAsia" w:cstheme="minorEastAsia"/>
                <w:color w:val="auto"/>
                <w:spacing w:val="1"/>
                <w:kern w:val="0"/>
                <w:sz w:val="21"/>
                <w:szCs w:val="21"/>
              </w:rPr>
              <w:t>重点、难点分析及解决方案</w:t>
            </w:r>
          </w:p>
          <w:p w14:paraId="5D542656">
            <w:pPr>
              <w:jc w:val="center"/>
              <w:rPr>
                <w:rFonts w:hint="eastAsia" w:asciiTheme="minorEastAsia" w:hAnsiTheme="minorEastAsia" w:eastAsiaTheme="minorEastAsia" w:cstheme="minorEastAsia"/>
                <w:color w:val="auto"/>
                <w:spacing w:val="1"/>
                <w:kern w:val="0"/>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631E47D9">
            <w:pPr>
              <w:tabs>
                <w:tab w:val="left" w:pos="1032"/>
              </w:tabs>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对各供应商针对本项目实施中可能存在的重点、难点分析及解决方案进行打分；</w:t>
            </w:r>
            <w:r>
              <w:rPr>
                <w:rFonts w:hint="eastAsia" w:asciiTheme="minorEastAsia" w:hAnsiTheme="minorEastAsia" w:eastAsiaTheme="minorEastAsia" w:cstheme="minorEastAsia"/>
                <w:color w:val="auto"/>
                <w:spacing w:val="1"/>
                <w:kern w:val="0"/>
                <w:sz w:val="21"/>
                <w:szCs w:val="21"/>
              </w:rPr>
              <w:t>每有一项得1分，最高得</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r>
      <w:tr w14:paraId="6DD2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94" w:type="dxa"/>
            <w:vMerge w:val="continue"/>
            <w:shd w:val="clear" w:color="auto" w:fill="FFFFFF"/>
            <w:noWrap w:val="0"/>
            <w:vAlign w:val="center"/>
          </w:tcPr>
          <w:p w14:paraId="6EF6EF10">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70B80EEE">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5B6E4C9A">
            <w:pPr>
              <w:adjustRightInd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确保信息安全保密措施</w:t>
            </w:r>
          </w:p>
          <w:p w14:paraId="2D0DF0A4">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2</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6DE344F9">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数据安全保密措施合理、可行性高，满足项目要求的，得</w:t>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分；</w:t>
            </w:r>
          </w:p>
          <w:p w14:paraId="7F5691C4">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无信息安全保密措施不得分。</w:t>
            </w:r>
          </w:p>
        </w:tc>
      </w:tr>
      <w:tr w14:paraId="559D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94" w:type="dxa"/>
            <w:vMerge w:val="continue"/>
            <w:shd w:val="clear" w:color="auto" w:fill="FFFFFF"/>
            <w:noWrap w:val="0"/>
            <w:vAlign w:val="center"/>
          </w:tcPr>
          <w:p w14:paraId="2D514C26">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6676831E">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60A9C54B">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质量保证措施（0-</w:t>
            </w:r>
            <w:r>
              <w:rPr>
                <w:rFonts w:hint="eastAsia" w:asciiTheme="minorEastAsia" w:hAnsiTheme="minorEastAsia" w:eastAsiaTheme="minorEastAsia" w:cstheme="minorEastAsia"/>
                <w:color w:val="auto"/>
                <w:spacing w:val="1"/>
                <w:kern w:val="0"/>
                <w:sz w:val="21"/>
                <w:szCs w:val="21"/>
                <w:lang w:val="en-US" w:eastAsia="zh-CN"/>
              </w:rPr>
              <w:t>2</w:t>
            </w:r>
            <w:r>
              <w:rPr>
                <w:rFonts w:hint="eastAsia" w:asciiTheme="minorEastAsia" w:hAnsiTheme="minorEastAsia" w:eastAsiaTheme="minorEastAsia" w:cstheme="minorEastAsia"/>
                <w:color w:val="auto"/>
                <w:spacing w:val="1"/>
                <w:kern w:val="0"/>
                <w:sz w:val="21"/>
                <w:szCs w:val="21"/>
              </w:rPr>
              <w:t xml:space="preserve"> 分）</w:t>
            </w:r>
          </w:p>
        </w:tc>
        <w:tc>
          <w:tcPr>
            <w:tcW w:w="5929" w:type="dxa"/>
            <w:noWrap w:val="0"/>
            <w:vAlign w:val="center"/>
          </w:tcPr>
          <w:p w14:paraId="217006D4">
            <w:pPr>
              <w:adjustRightInd w:val="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建立全面且完善的质量保证体系，涵盖从项目启动到成果交付的各个环节，明确各环节的质量目标、责任人和工作流程</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得2分。</w:t>
            </w:r>
          </w:p>
          <w:p w14:paraId="7A52C1B8">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无质量保证措施，或没有可操作性，不得分。</w:t>
            </w:r>
          </w:p>
        </w:tc>
      </w:tr>
      <w:tr w14:paraId="21CF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894" w:type="dxa"/>
            <w:vMerge w:val="continue"/>
            <w:shd w:val="clear" w:color="auto" w:fill="FFFFFF"/>
            <w:noWrap w:val="0"/>
            <w:vAlign w:val="center"/>
          </w:tcPr>
          <w:p w14:paraId="3592D1CE">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18FCAD9B">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43D5D7E4">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后续服务及承诺</w:t>
            </w:r>
          </w:p>
          <w:p w14:paraId="4FFBDCF9">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2</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698CEAC2">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针对本项目有详细的售后服务方案，建立完善的后续可持续性技术支持体系，有完善的组织配置，</w:t>
            </w:r>
            <w:r>
              <w:rPr>
                <w:rFonts w:hint="eastAsia" w:asciiTheme="minorEastAsia" w:hAnsiTheme="minorEastAsia" w:eastAsiaTheme="minorEastAsia" w:cstheme="minorEastAsia"/>
                <w:color w:val="auto"/>
                <w:sz w:val="21"/>
                <w:szCs w:val="21"/>
              </w:rPr>
              <w:t>提供</w:t>
            </w:r>
            <w:r>
              <w:rPr>
                <w:rFonts w:hint="eastAsia" w:asciiTheme="minorEastAsia" w:hAnsiTheme="minorEastAsia" w:eastAsiaTheme="minorEastAsia" w:cstheme="minorEastAsia"/>
                <w:color w:val="auto"/>
                <w:sz w:val="21"/>
                <w:szCs w:val="21"/>
                <w:lang w:val="en-US" w:eastAsia="zh-CN"/>
              </w:rPr>
              <w:t>后续</w:t>
            </w:r>
            <w:r>
              <w:rPr>
                <w:rFonts w:hint="eastAsia" w:asciiTheme="minorEastAsia" w:hAnsiTheme="minorEastAsia" w:eastAsiaTheme="minorEastAsia" w:cstheme="minorEastAsia"/>
                <w:color w:val="auto"/>
                <w:sz w:val="21"/>
                <w:szCs w:val="21"/>
              </w:rPr>
              <w:t>服务及承诺得</w:t>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分；不提供不得分。</w:t>
            </w:r>
          </w:p>
        </w:tc>
      </w:tr>
      <w:tr w14:paraId="2D4C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 w:type="dxa"/>
            <w:vMerge w:val="restart"/>
            <w:noWrap w:val="0"/>
            <w:vAlign w:val="center"/>
          </w:tcPr>
          <w:p w14:paraId="553A6387">
            <w:pPr>
              <w:jc w:val="center"/>
              <w:rPr>
                <w:rFonts w:hint="eastAsia" w:asciiTheme="minorEastAsia" w:hAnsiTheme="minorEastAsia" w:eastAsiaTheme="minorEastAsia" w:cstheme="minorEastAsia"/>
                <w:bCs/>
                <w:color w:val="auto"/>
                <w:kern w:val="0"/>
                <w:sz w:val="21"/>
                <w:szCs w:val="21"/>
                <w:highlight w:val="yellow"/>
              </w:rPr>
            </w:pPr>
          </w:p>
        </w:tc>
        <w:tc>
          <w:tcPr>
            <w:tcW w:w="915" w:type="dxa"/>
            <w:vMerge w:val="restart"/>
            <w:noWrap w:val="0"/>
            <w:vAlign w:val="center"/>
          </w:tcPr>
          <w:p w14:paraId="727C3B89">
            <w:pPr>
              <w:spacing w:line="276" w:lineRule="auto"/>
              <w:jc w:val="center"/>
              <w:textAlignment w:val="top"/>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综合部分</w:t>
            </w:r>
          </w:p>
          <w:p w14:paraId="660BD9A1">
            <w:pPr>
              <w:spacing w:line="276" w:lineRule="auto"/>
              <w:jc w:val="left"/>
              <w:textAlignment w:val="top"/>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44</w:t>
            </w:r>
            <w:r>
              <w:rPr>
                <w:rFonts w:hint="eastAsia" w:asciiTheme="minorEastAsia" w:hAnsiTheme="minorEastAsia" w:eastAsiaTheme="minorEastAsia" w:cstheme="minorEastAsia"/>
                <w:b/>
                <w:bCs/>
                <w:color w:val="auto"/>
                <w:sz w:val="21"/>
                <w:szCs w:val="21"/>
                <w:highlight w:val="none"/>
              </w:rPr>
              <w:t>分）</w:t>
            </w:r>
          </w:p>
        </w:tc>
        <w:tc>
          <w:tcPr>
            <w:tcW w:w="1563" w:type="dxa"/>
            <w:noWrap w:val="0"/>
            <w:vAlign w:val="center"/>
          </w:tcPr>
          <w:p w14:paraId="77DB23BD">
            <w:pPr>
              <w:spacing w:line="320" w:lineRule="exact"/>
              <w:ind w:right="120" w:rightChars="50"/>
              <w:rPr>
                <w:rFonts w:hint="eastAsia" w:asciiTheme="minorEastAsia" w:hAnsiTheme="minorEastAsia" w:eastAsiaTheme="minorEastAsia" w:cstheme="minorEastAsia"/>
                <w:color w:val="auto"/>
                <w:kern w:val="1"/>
                <w:sz w:val="21"/>
                <w:szCs w:val="21"/>
                <w:highlight w:val="none"/>
              </w:rPr>
            </w:pPr>
            <w:r>
              <w:rPr>
                <w:rFonts w:hint="eastAsia" w:asciiTheme="minorEastAsia" w:hAnsiTheme="minorEastAsia" w:eastAsiaTheme="minorEastAsia" w:cstheme="minorEastAsia"/>
                <w:color w:val="auto"/>
                <w:kern w:val="1"/>
                <w:sz w:val="21"/>
                <w:szCs w:val="21"/>
                <w:highlight w:val="none"/>
              </w:rPr>
              <w:t>综合实力</w:t>
            </w:r>
          </w:p>
          <w:p w14:paraId="1AE5ED2F">
            <w:pPr>
              <w:spacing w:line="320" w:lineRule="exact"/>
              <w:ind w:right="120" w:rightChars="50"/>
              <w:rPr>
                <w:rFonts w:hint="eastAsia" w:asciiTheme="minorEastAsia" w:hAnsiTheme="minorEastAsia" w:eastAsiaTheme="minorEastAsia" w:cstheme="minorEastAsia"/>
                <w:color w:val="auto"/>
                <w:sz w:val="21"/>
                <w:szCs w:val="21"/>
                <w:highlight w:val="yellow"/>
                <w:lang w:eastAsia="zh-CN"/>
              </w:rPr>
            </w:pPr>
            <w:r>
              <w:rPr>
                <w:rFonts w:hint="eastAsia" w:asciiTheme="minorEastAsia" w:hAnsiTheme="minorEastAsia" w:eastAsiaTheme="minorEastAsia" w:cstheme="minorEastAsia"/>
                <w:color w:val="auto"/>
                <w:kern w:val="1"/>
                <w:sz w:val="21"/>
                <w:szCs w:val="21"/>
                <w:highlight w:val="none"/>
              </w:rPr>
              <w:t>（</w:t>
            </w:r>
            <w:r>
              <w:rPr>
                <w:rFonts w:hint="eastAsia" w:asciiTheme="minorEastAsia" w:hAnsiTheme="minorEastAsia" w:eastAsiaTheme="minorEastAsia" w:cstheme="minorEastAsia"/>
                <w:color w:val="auto"/>
                <w:kern w:val="1"/>
                <w:sz w:val="21"/>
                <w:szCs w:val="21"/>
                <w:highlight w:val="none"/>
                <w:lang w:val="en-US" w:eastAsia="zh-CN"/>
              </w:rPr>
              <w:t>12</w:t>
            </w:r>
            <w:r>
              <w:rPr>
                <w:rFonts w:hint="eastAsia" w:asciiTheme="minorEastAsia" w:hAnsiTheme="minorEastAsia" w:eastAsiaTheme="minorEastAsia" w:cstheme="minorEastAsia"/>
                <w:color w:val="auto"/>
                <w:kern w:val="1"/>
                <w:sz w:val="21"/>
                <w:szCs w:val="21"/>
                <w:highlight w:val="none"/>
              </w:rPr>
              <w:t>分）</w:t>
            </w:r>
          </w:p>
        </w:tc>
        <w:tc>
          <w:tcPr>
            <w:tcW w:w="5929" w:type="dxa"/>
            <w:noWrap w:val="0"/>
            <w:vAlign w:val="center"/>
          </w:tcPr>
          <w:p w14:paraId="3EA29D0C">
            <w:pPr>
              <w:widowControl/>
              <w:numPr>
                <w:ilvl w:val="0"/>
                <w:numId w:val="1"/>
              </w:numPr>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供应商具有</w:t>
            </w:r>
            <w:r>
              <w:rPr>
                <w:rFonts w:hint="eastAsia" w:asciiTheme="minorEastAsia" w:hAnsiTheme="minorEastAsia" w:eastAsiaTheme="minorEastAsia" w:cstheme="minorEastAsia"/>
                <w:color w:val="auto"/>
                <w:sz w:val="21"/>
                <w:szCs w:val="21"/>
                <w:highlight w:val="none"/>
                <w:lang w:val="en-US" w:eastAsia="zh-CN"/>
              </w:rPr>
              <w:t>有效期内的</w:t>
            </w:r>
            <w:r>
              <w:rPr>
                <w:rFonts w:hint="eastAsia" w:asciiTheme="minorEastAsia" w:hAnsiTheme="minorEastAsia" w:eastAsiaTheme="minorEastAsia" w:cstheme="minorEastAsia"/>
                <w:color w:val="auto"/>
                <w:sz w:val="21"/>
                <w:szCs w:val="21"/>
                <w:highlight w:val="none"/>
              </w:rPr>
              <w:t>质量管理体系认证、环境管理体系认证、</w:t>
            </w:r>
            <w:r>
              <w:rPr>
                <w:rFonts w:hint="eastAsia" w:asciiTheme="minorEastAsia" w:hAnsiTheme="minorEastAsia" w:eastAsiaTheme="minorEastAsia" w:cstheme="minorEastAsia"/>
                <w:color w:val="auto"/>
                <w:sz w:val="21"/>
                <w:szCs w:val="21"/>
                <w:highlight w:val="none"/>
                <w:lang w:val="en-US" w:eastAsia="zh-CN"/>
              </w:rPr>
              <w:t>职业健康安全管理体系认证、</w:t>
            </w:r>
            <w:r>
              <w:rPr>
                <w:rFonts w:hint="eastAsia" w:asciiTheme="minorEastAsia" w:hAnsiTheme="minorEastAsia" w:eastAsiaTheme="minorEastAsia" w:cstheme="minorEastAsia"/>
                <w:color w:val="auto"/>
                <w:sz w:val="21"/>
                <w:szCs w:val="21"/>
                <w:highlight w:val="none"/>
              </w:rPr>
              <w:t>信息安全管理体系认证证书的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每提供一项得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分，最多得</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分。</w:t>
            </w:r>
          </w:p>
          <w:p w14:paraId="02FDC24E">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投标截止日前近3年内</w:t>
            </w:r>
            <w:r>
              <w:rPr>
                <w:rFonts w:hint="eastAsia" w:asciiTheme="minorEastAsia" w:hAnsiTheme="minorEastAsia" w:eastAsiaTheme="minorEastAsia" w:cstheme="minorEastAsia"/>
                <w:color w:val="auto"/>
                <w:sz w:val="21"/>
                <w:szCs w:val="21"/>
                <w:highlight w:val="none"/>
              </w:rPr>
              <w:t>供应商获得过省级及以上优质测绘工程奖的，每提供一项得2分，最多得</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分。</w:t>
            </w:r>
          </w:p>
          <w:p w14:paraId="59580CFE">
            <w:pPr>
              <w:widowControl/>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、投标截止日前近3年内供应商获得过省级及以上</w:t>
            </w:r>
            <w:r>
              <w:rPr>
                <w:rFonts w:hint="eastAsia" w:asciiTheme="minorEastAsia" w:hAnsiTheme="minorEastAsia" w:eastAsiaTheme="minorEastAsia" w:cstheme="minorEastAsia"/>
                <w:color w:val="auto"/>
                <w:sz w:val="21"/>
                <w:szCs w:val="21"/>
                <w:highlight w:val="none"/>
                <w:lang w:val="en-US" w:eastAsia="zh-CN"/>
              </w:rPr>
              <w:t>测绘地理信息类科技进步奖的</w:t>
            </w:r>
            <w:r>
              <w:rPr>
                <w:rFonts w:hint="eastAsia" w:asciiTheme="minorEastAsia" w:hAnsiTheme="minorEastAsia" w:eastAsiaTheme="minorEastAsia" w:cstheme="minorEastAsia"/>
                <w:color w:val="auto"/>
                <w:sz w:val="21"/>
                <w:szCs w:val="21"/>
                <w:highlight w:val="none"/>
              </w:rPr>
              <w:t>，每提供一个得2分，最多得</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分；</w:t>
            </w:r>
          </w:p>
          <w:p w14:paraId="7CFEF0C0">
            <w:pPr>
              <w:widowControl/>
              <w:spacing w:line="320" w:lineRule="exact"/>
              <w:rPr>
                <w:rFonts w:hint="eastAsia" w:asciiTheme="minorEastAsia" w:hAnsiTheme="minorEastAsia" w:eastAsiaTheme="minorEastAsia" w:cstheme="minorEastAsia"/>
                <w:color w:val="auto"/>
                <w:sz w:val="21"/>
                <w:szCs w:val="21"/>
                <w:highlight w:val="yellow"/>
              </w:rPr>
            </w:pPr>
            <w:r>
              <w:rPr>
                <w:rFonts w:hint="eastAsia" w:asciiTheme="minorEastAsia" w:hAnsiTheme="minorEastAsia" w:eastAsiaTheme="minorEastAsia" w:cstheme="minorEastAsia"/>
                <w:color w:val="auto"/>
                <w:sz w:val="21"/>
                <w:szCs w:val="21"/>
                <w:highlight w:val="none"/>
              </w:rPr>
              <w:t>注：以上内容在投标文件中附相关证明材料扫描件。</w:t>
            </w:r>
          </w:p>
        </w:tc>
      </w:tr>
      <w:tr w14:paraId="4F5B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jc w:val="center"/>
        </w:trPr>
        <w:tc>
          <w:tcPr>
            <w:tcW w:w="894" w:type="dxa"/>
            <w:vMerge w:val="continue"/>
            <w:noWrap w:val="0"/>
            <w:vAlign w:val="center"/>
          </w:tcPr>
          <w:p w14:paraId="7AE5BADF">
            <w:pPr>
              <w:jc w:val="center"/>
              <w:rPr>
                <w:rFonts w:hint="eastAsia" w:asciiTheme="minorEastAsia" w:hAnsiTheme="minorEastAsia" w:eastAsiaTheme="minorEastAsia" w:cstheme="minorEastAsia"/>
                <w:bCs/>
                <w:color w:val="auto"/>
                <w:kern w:val="0"/>
                <w:sz w:val="21"/>
                <w:szCs w:val="21"/>
                <w:highlight w:val="yellow"/>
              </w:rPr>
            </w:pPr>
          </w:p>
        </w:tc>
        <w:tc>
          <w:tcPr>
            <w:tcW w:w="915" w:type="dxa"/>
            <w:vMerge w:val="continue"/>
            <w:noWrap w:val="0"/>
            <w:vAlign w:val="center"/>
          </w:tcPr>
          <w:p w14:paraId="464FC2D3">
            <w:pPr>
              <w:spacing w:line="276" w:lineRule="auto"/>
              <w:ind w:firstLine="480"/>
              <w:textAlignment w:val="top"/>
              <w:rPr>
                <w:rFonts w:hint="eastAsia" w:asciiTheme="minorEastAsia" w:hAnsiTheme="minorEastAsia" w:eastAsiaTheme="minorEastAsia" w:cstheme="minorEastAsia"/>
                <w:color w:val="auto"/>
                <w:sz w:val="21"/>
                <w:szCs w:val="21"/>
                <w:highlight w:val="yellow"/>
              </w:rPr>
            </w:pPr>
          </w:p>
        </w:tc>
        <w:tc>
          <w:tcPr>
            <w:tcW w:w="1563" w:type="dxa"/>
            <w:noWrap w:val="0"/>
            <w:vAlign w:val="center"/>
          </w:tcPr>
          <w:p w14:paraId="5DE806B3">
            <w:pPr>
              <w:widowControl/>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企业业绩</w:t>
            </w:r>
          </w:p>
          <w:p w14:paraId="3953C9EC">
            <w:pPr>
              <w:widowControl/>
              <w:spacing w:line="320" w:lineRule="exact"/>
              <w:rPr>
                <w:rFonts w:hint="eastAsia" w:asciiTheme="minorEastAsia" w:hAnsiTheme="minorEastAsia" w:eastAsiaTheme="minorEastAsia" w:cstheme="minorEastAsia"/>
                <w:color w:val="auto"/>
                <w:sz w:val="21"/>
                <w:szCs w:val="21"/>
                <w:highlight w:val="yellow"/>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12</w:t>
            </w:r>
            <w:r>
              <w:rPr>
                <w:rFonts w:hint="eastAsia" w:asciiTheme="minorEastAsia" w:hAnsiTheme="minorEastAsia" w:eastAsiaTheme="minorEastAsia" w:cstheme="minorEastAsia"/>
                <w:color w:val="auto"/>
                <w:sz w:val="21"/>
                <w:szCs w:val="21"/>
                <w:highlight w:val="none"/>
              </w:rPr>
              <w:t>分）</w:t>
            </w:r>
          </w:p>
        </w:tc>
        <w:tc>
          <w:tcPr>
            <w:tcW w:w="5929" w:type="dxa"/>
            <w:noWrap w:val="0"/>
            <w:vAlign w:val="center"/>
          </w:tcPr>
          <w:p w14:paraId="6D03601B">
            <w:pPr>
              <w:widowControl/>
              <w:spacing w:line="320" w:lineRule="exact"/>
              <w:rPr>
                <w:rFonts w:hint="eastAsia" w:asciiTheme="minorEastAsia" w:hAnsiTheme="minorEastAsia" w:eastAsiaTheme="minorEastAsia" w:cstheme="minorEastAsia"/>
                <w:color w:val="auto"/>
                <w:sz w:val="21"/>
                <w:szCs w:val="21"/>
                <w:highlight w:val="yellow"/>
              </w:rPr>
            </w:pPr>
            <w:r>
              <w:rPr>
                <w:rFonts w:hint="eastAsia" w:asciiTheme="minorEastAsia" w:hAnsiTheme="minorEastAsia" w:eastAsiaTheme="minorEastAsia" w:cstheme="minorEastAsia"/>
                <w:color w:val="auto"/>
                <w:sz w:val="21"/>
                <w:szCs w:val="21"/>
                <w:highlight w:val="none"/>
              </w:rPr>
              <w:t>投标截止日前近3年内投标人承担过类似项目（卫星遥感数据生产或监测类项目）的业绩，每有一项得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分，最多得</w:t>
            </w:r>
            <w:r>
              <w:rPr>
                <w:rFonts w:hint="eastAsia" w:asciiTheme="minorEastAsia" w:hAnsiTheme="minorEastAsia" w:eastAsiaTheme="minorEastAsia" w:cstheme="minorEastAsia"/>
                <w:color w:val="auto"/>
                <w:sz w:val="21"/>
                <w:szCs w:val="21"/>
                <w:highlight w:val="none"/>
                <w:lang w:val="en-US" w:eastAsia="zh-CN"/>
              </w:rPr>
              <w:t>12</w:t>
            </w:r>
            <w:r>
              <w:rPr>
                <w:rFonts w:hint="eastAsia" w:asciiTheme="minorEastAsia" w:hAnsiTheme="minorEastAsia" w:eastAsiaTheme="minorEastAsia" w:cstheme="minorEastAsia"/>
                <w:color w:val="auto"/>
                <w:sz w:val="21"/>
                <w:szCs w:val="21"/>
                <w:highlight w:val="none"/>
              </w:rPr>
              <w:t>分（投标文件中附中标通知书及合同或协议，时间以合同或协议签订时间为准）；</w:t>
            </w:r>
          </w:p>
        </w:tc>
      </w:tr>
      <w:tr w14:paraId="5903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7" w:hRule="atLeast"/>
          <w:jc w:val="center"/>
        </w:trPr>
        <w:tc>
          <w:tcPr>
            <w:tcW w:w="894" w:type="dxa"/>
            <w:vMerge w:val="continue"/>
            <w:noWrap w:val="0"/>
            <w:vAlign w:val="center"/>
          </w:tcPr>
          <w:p w14:paraId="2D1F71B6">
            <w:pPr>
              <w:jc w:val="center"/>
              <w:rPr>
                <w:rFonts w:hint="eastAsia" w:asciiTheme="minorEastAsia" w:hAnsiTheme="minorEastAsia" w:eastAsiaTheme="minorEastAsia" w:cstheme="minorEastAsia"/>
                <w:bCs/>
                <w:color w:val="auto"/>
                <w:kern w:val="0"/>
                <w:sz w:val="21"/>
                <w:szCs w:val="21"/>
                <w:highlight w:val="yellow"/>
              </w:rPr>
            </w:pPr>
          </w:p>
        </w:tc>
        <w:tc>
          <w:tcPr>
            <w:tcW w:w="915" w:type="dxa"/>
            <w:vMerge w:val="continue"/>
            <w:noWrap w:val="0"/>
            <w:vAlign w:val="center"/>
          </w:tcPr>
          <w:p w14:paraId="7B282ACA">
            <w:pPr>
              <w:spacing w:line="276" w:lineRule="auto"/>
              <w:ind w:firstLine="480"/>
              <w:textAlignment w:val="top"/>
              <w:rPr>
                <w:rFonts w:hint="eastAsia" w:asciiTheme="minorEastAsia" w:hAnsiTheme="minorEastAsia" w:eastAsiaTheme="minorEastAsia" w:cstheme="minorEastAsia"/>
                <w:color w:val="auto"/>
                <w:sz w:val="21"/>
                <w:szCs w:val="21"/>
                <w:highlight w:val="yellow"/>
              </w:rPr>
            </w:pPr>
          </w:p>
        </w:tc>
        <w:tc>
          <w:tcPr>
            <w:tcW w:w="1563" w:type="dxa"/>
            <w:noWrap w:val="0"/>
            <w:vAlign w:val="center"/>
          </w:tcPr>
          <w:p w14:paraId="6838DA32">
            <w:pPr>
              <w:widowControl/>
              <w:spacing w:line="4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投入人员</w:t>
            </w:r>
          </w:p>
          <w:p w14:paraId="0566F72F">
            <w:pPr>
              <w:widowControl/>
              <w:spacing w:line="4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分）</w:t>
            </w:r>
          </w:p>
        </w:tc>
        <w:tc>
          <w:tcPr>
            <w:tcW w:w="5929" w:type="dxa"/>
            <w:noWrap w:val="0"/>
            <w:vAlign w:val="center"/>
          </w:tcPr>
          <w:p w14:paraId="6A92C5D8">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1、项目负责人具有测绘类相关专业正高级职称的，得4分；具有副高级职称的，得2分；没有不得分。本项满分4分。</w:t>
            </w:r>
          </w:p>
          <w:p w14:paraId="6F4307D9">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2、项目技术负责人具有测绘类相关专业正高级及以上职称的，得4分；具有副高级职称的，得2分；没有不得分。本项满分4分。</w:t>
            </w:r>
          </w:p>
          <w:p w14:paraId="09517B7B">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3、拟投入的团队成员（不含项目负责人和技术负责人）按以下标准累计计分，本项满分12分。</w:t>
            </w:r>
          </w:p>
          <w:p w14:paraId="528A2257">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（1）拟派项目团队成员中具有测绘类相关专业副高级及以上职称的，每人得1分，本项最多得8分。</w:t>
            </w:r>
          </w:p>
          <w:p w14:paraId="5C839139">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（2）拟派项目团队成员中具有测绘类相关专业中级及以上职称的，每人得0.5分，本项最多得4分。</w:t>
            </w:r>
          </w:p>
          <w:p w14:paraId="7AB07B07">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    注：以上人员需提供证书扫描件、社保缴纳证明（退休人员可提供退休证和聘用合同，无需提供社保。新聘人员暂无法提供社保证明材料的，本项目不予得分。），1人有多个证书，只计最高分，不重复计分，未提供或不符合以上条件不得分。</w:t>
            </w:r>
          </w:p>
        </w:tc>
      </w:tr>
    </w:tbl>
    <w:p w14:paraId="4CDC3A94">
      <w:pPr>
        <w:pStyle w:val="2"/>
        <w:jc w:val="left"/>
        <w:rPr>
          <w:rFonts w:hint="eastAsia" w:asciiTheme="minorEastAsia" w:hAnsiTheme="minorEastAsia" w:eastAsiaTheme="minorEastAsia" w:cstheme="minorEastAsia"/>
          <w:b w:val="0"/>
          <w:bCs w:val="0"/>
          <w:color w:val="auto"/>
          <w:kern w:val="2"/>
          <w:sz w:val="21"/>
          <w:szCs w:val="21"/>
          <w:lang w:val="en-US" w:eastAsia="zh-CN" w:bidi="ar-SA"/>
        </w:rPr>
      </w:pPr>
    </w:p>
    <w:p w14:paraId="5FAA9CC5">
      <w:pPr>
        <w:pStyle w:val="2"/>
        <w:jc w:val="left"/>
        <w:rPr>
          <w:rFonts w:hint="default"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bCs/>
          <w:color w:val="auto"/>
          <w:kern w:val="2"/>
          <w:sz w:val="21"/>
          <w:szCs w:val="21"/>
          <w:lang w:val="en-US" w:eastAsia="zh-CN" w:bidi="ar-SA"/>
        </w:rPr>
        <w:t>现</w:t>
      </w:r>
      <w:r>
        <w:rPr>
          <w:rFonts w:hint="default" w:asciiTheme="minorEastAsia" w:hAnsiTheme="minorEastAsia" w:eastAsiaTheme="minorEastAsia" w:cstheme="minorEastAsia"/>
          <w:b/>
          <w:bCs/>
          <w:color w:val="auto"/>
          <w:kern w:val="2"/>
          <w:sz w:val="21"/>
          <w:szCs w:val="21"/>
          <w:lang w:val="en-US" w:eastAsia="zh-CN" w:bidi="ar-SA"/>
        </w:rPr>
        <w:t>变更为</w:t>
      </w:r>
      <w:r>
        <w:rPr>
          <w:rFonts w:hint="eastAsia" w:asciiTheme="minorEastAsia" w:hAnsiTheme="minorEastAsia" w:eastAsiaTheme="minorEastAsia" w:cstheme="minorEastAsia"/>
          <w:b/>
          <w:bCs/>
          <w:color w:val="auto"/>
          <w:kern w:val="2"/>
          <w:sz w:val="21"/>
          <w:szCs w:val="21"/>
          <w:lang w:val="en-US" w:eastAsia="zh-CN" w:bidi="ar-SA"/>
        </w:rPr>
        <w:t>：</w:t>
      </w:r>
    </w:p>
    <w:p w14:paraId="2D8B2979">
      <w:pPr>
        <w:jc w:val="center"/>
        <w:rPr>
          <w:rFonts w:ascii="宋体" w:hAnsi="宋体" w:cs="宋体"/>
          <w:b/>
          <w:color w:val="auto"/>
          <w:sz w:val="24"/>
          <w:szCs w:val="24"/>
        </w:rPr>
      </w:pPr>
      <w:r>
        <w:rPr>
          <w:rFonts w:hint="eastAsia" w:ascii="宋体" w:hAnsi="宋体" w:cs="宋体"/>
          <w:b/>
          <w:color w:val="auto"/>
          <w:sz w:val="24"/>
          <w:szCs w:val="24"/>
        </w:rPr>
        <w:t>评标办法前附表</w:t>
      </w:r>
    </w:p>
    <w:tbl>
      <w:tblPr>
        <w:tblStyle w:val="4"/>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915"/>
        <w:gridCol w:w="1563"/>
        <w:gridCol w:w="5929"/>
      </w:tblGrid>
      <w:tr w14:paraId="0497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809" w:type="dxa"/>
            <w:gridSpan w:val="2"/>
            <w:noWrap w:val="0"/>
            <w:vAlign w:val="center"/>
          </w:tcPr>
          <w:p w14:paraId="365E9A64">
            <w:pPr>
              <w:adjustRightInd w:val="0"/>
              <w:snapToGrid w:val="0"/>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条款号</w:t>
            </w:r>
          </w:p>
        </w:tc>
        <w:tc>
          <w:tcPr>
            <w:tcW w:w="1563" w:type="dxa"/>
            <w:noWrap w:val="0"/>
            <w:vAlign w:val="center"/>
          </w:tcPr>
          <w:p w14:paraId="0D692549">
            <w:pPr>
              <w:adjustRightInd w:val="0"/>
              <w:snapToGrid w:val="0"/>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评审因素</w:t>
            </w:r>
          </w:p>
        </w:tc>
        <w:tc>
          <w:tcPr>
            <w:tcW w:w="5929" w:type="dxa"/>
            <w:noWrap w:val="0"/>
            <w:vAlign w:val="center"/>
          </w:tcPr>
          <w:p w14:paraId="5ABE26F8">
            <w:pPr>
              <w:adjustRightInd w:val="0"/>
              <w:snapToGrid w:val="0"/>
              <w:jc w:val="cente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评审标准</w:t>
            </w:r>
          </w:p>
        </w:tc>
      </w:tr>
      <w:tr w14:paraId="339F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94" w:type="dxa"/>
            <w:vMerge w:val="restart"/>
            <w:noWrap w:val="0"/>
            <w:vAlign w:val="center"/>
          </w:tcPr>
          <w:p w14:paraId="0209F542">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2.1.1</w:t>
            </w:r>
          </w:p>
        </w:tc>
        <w:tc>
          <w:tcPr>
            <w:tcW w:w="915" w:type="dxa"/>
            <w:vMerge w:val="restart"/>
            <w:noWrap w:val="0"/>
            <w:vAlign w:val="center"/>
          </w:tcPr>
          <w:p w14:paraId="10CE9F48">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资格</w:t>
            </w:r>
          </w:p>
          <w:p w14:paraId="427D38AF">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评审</w:t>
            </w:r>
          </w:p>
          <w:p w14:paraId="103B6414">
            <w:pPr>
              <w:adjustRightInd w:val="0"/>
              <w:snapToGrid w:val="0"/>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标准</w:t>
            </w:r>
          </w:p>
        </w:tc>
        <w:tc>
          <w:tcPr>
            <w:tcW w:w="1563" w:type="dxa"/>
            <w:noWrap w:val="0"/>
            <w:vAlign w:val="center"/>
          </w:tcPr>
          <w:p w14:paraId="3E82DE96">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符合《中华人民共和国政府采购法》第二十二条规定</w:t>
            </w:r>
          </w:p>
        </w:tc>
        <w:tc>
          <w:tcPr>
            <w:tcW w:w="5929" w:type="dxa"/>
            <w:noWrap w:val="0"/>
            <w:vAlign w:val="center"/>
          </w:tcPr>
          <w:p w14:paraId="4B84ECD1">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符合第二章“投标人须知”第1.4.1项规定</w:t>
            </w:r>
          </w:p>
        </w:tc>
      </w:tr>
      <w:tr w14:paraId="3295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94" w:type="dxa"/>
            <w:vMerge w:val="continue"/>
            <w:noWrap w:val="0"/>
            <w:vAlign w:val="center"/>
          </w:tcPr>
          <w:p w14:paraId="511B2E00">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4F7000EB">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08EFC3C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企业资质证书</w:t>
            </w:r>
          </w:p>
        </w:tc>
        <w:tc>
          <w:tcPr>
            <w:tcW w:w="5929" w:type="dxa"/>
            <w:noWrap w:val="0"/>
            <w:vAlign w:val="center"/>
          </w:tcPr>
          <w:p w14:paraId="20024D98">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60FE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94" w:type="dxa"/>
            <w:vMerge w:val="continue"/>
            <w:noWrap w:val="0"/>
            <w:vAlign w:val="center"/>
          </w:tcPr>
          <w:p w14:paraId="5B3DE461">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7E6D7961">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49B2FDA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项目负责人</w:t>
            </w:r>
          </w:p>
        </w:tc>
        <w:tc>
          <w:tcPr>
            <w:tcW w:w="5929" w:type="dxa"/>
            <w:noWrap w:val="0"/>
            <w:vAlign w:val="center"/>
          </w:tcPr>
          <w:p w14:paraId="4762104F">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4382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521D8D55">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2F009B6B">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2567623E">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信用查询</w:t>
            </w:r>
          </w:p>
        </w:tc>
        <w:tc>
          <w:tcPr>
            <w:tcW w:w="5929" w:type="dxa"/>
            <w:noWrap w:val="0"/>
            <w:vAlign w:val="center"/>
          </w:tcPr>
          <w:p w14:paraId="144C5CD2">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符合第二章“投标人须知”第1.4.1项规定</w:t>
            </w:r>
          </w:p>
        </w:tc>
      </w:tr>
      <w:tr w14:paraId="40A7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restart"/>
            <w:noWrap w:val="0"/>
            <w:vAlign w:val="center"/>
          </w:tcPr>
          <w:p w14:paraId="3DEDADB4">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2.1.2</w:t>
            </w:r>
          </w:p>
        </w:tc>
        <w:tc>
          <w:tcPr>
            <w:tcW w:w="915" w:type="dxa"/>
            <w:vMerge w:val="restart"/>
            <w:noWrap w:val="0"/>
            <w:vAlign w:val="center"/>
          </w:tcPr>
          <w:p w14:paraId="27D6FA53">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符合性</w:t>
            </w:r>
          </w:p>
          <w:p w14:paraId="025D020F">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评审</w:t>
            </w:r>
          </w:p>
          <w:p w14:paraId="44DA1D43">
            <w:pPr>
              <w:adjustRightInd w:val="0"/>
              <w:snapToGrid w:val="0"/>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标准</w:t>
            </w:r>
          </w:p>
        </w:tc>
        <w:tc>
          <w:tcPr>
            <w:tcW w:w="1563" w:type="dxa"/>
            <w:noWrap w:val="0"/>
            <w:vAlign w:val="center"/>
          </w:tcPr>
          <w:p w14:paraId="62F061AD">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投标人名称</w:t>
            </w:r>
          </w:p>
        </w:tc>
        <w:tc>
          <w:tcPr>
            <w:tcW w:w="5929" w:type="dxa"/>
            <w:noWrap w:val="0"/>
            <w:vAlign w:val="bottom"/>
          </w:tcPr>
          <w:p w14:paraId="7A3C0353">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与营业执照、资质证书上的名称一致</w:t>
            </w:r>
          </w:p>
        </w:tc>
      </w:tr>
      <w:tr w14:paraId="3F79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26CDBEDF">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7921843D">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040860EF">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投标函签字盖章</w:t>
            </w:r>
          </w:p>
        </w:tc>
        <w:tc>
          <w:tcPr>
            <w:tcW w:w="5929" w:type="dxa"/>
            <w:noWrap w:val="0"/>
            <w:vAlign w:val="center"/>
          </w:tcPr>
          <w:p w14:paraId="739CF07A">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符合第六章“</w:t>
            </w:r>
            <w:r>
              <w:rPr>
                <w:rFonts w:hint="eastAsia" w:asciiTheme="minorEastAsia" w:hAnsiTheme="minorEastAsia" w:eastAsiaTheme="minorEastAsia" w:cstheme="minorEastAsia"/>
                <w:color w:val="auto"/>
                <w:sz w:val="21"/>
                <w:szCs w:val="21"/>
                <w:lang w:eastAsia="zh-CN"/>
              </w:rPr>
              <w:t>投标</w:t>
            </w:r>
            <w:r>
              <w:rPr>
                <w:rFonts w:hint="eastAsia" w:asciiTheme="minorEastAsia" w:hAnsiTheme="minorEastAsia" w:eastAsiaTheme="minorEastAsia" w:cstheme="minorEastAsia"/>
                <w:color w:val="auto"/>
                <w:sz w:val="21"/>
                <w:szCs w:val="21"/>
              </w:rPr>
              <w:t>文件格式”签字盖章的要求</w:t>
            </w:r>
          </w:p>
        </w:tc>
      </w:tr>
      <w:tr w14:paraId="7742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744530A6">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355A0277">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0849D629">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投标文件格式</w:t>
            </w:r>
          </w:p>
        </w:tc>
        <w:tc>
          <w:tcPr>
            <w:tcW w:w="5929" w:type="dxa"/>
            <w:noWrap w:val="0"/>
            <w:vAlign w:val="center"/>
          </w:tcPr>
          <w:p w14:paraId="4B7EAE3A">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符合第六章“</w:t>
            </w:r>
            <w:r>
              <w:rPr>
                <w:rFonts w:hint="eastAsia" w:asciiTheme="minorEastAsia" w:hAnsiTheme="minorEastAsia" w:eastAsiaTheme="minorEastAsia" w:cstheme="minorEastAsia"/>
                <w:color w:val="auto"/>
                <w:sz w:val="21"/>
                <w:szCs w:val="21"/>
                <w:lang w:eastAsia="zh-CN"/>
              </w:rPr>
              <w:t>投标</w:t>
            </w:r>
            <w:r>
              <w:rPr>
                <w:rFonts w:hint="eastAsia" w:asciiTheme="minorEastAsia" w:hAnsiTheme="minorEastAsia" w:eastAsiaTheme="minorEastAsia" w:cstheme="minorEastAsia"/>
                <w:color w:val="auto"/>
                <w:sz w:val="21"/>
                <w:szCs w:val="21"/>
              </w:rPr>
              <w:t>文件格式”格式的要求</w:t>
            </w:r>
          </w:p>
        </w:tc>
      </w:tr>
      <w:tr w14:paraId="2521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3CDAD997">
            <w:pPr>
              <w:adjustRightInd w:val="0"/>
              <w:snapToGrid w:val="0"/>
              <w:spacing w:line="360" w:lineRule="auto"/>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7CE5C931">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63A3E1FE">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服务内容</w:t>
            </w:r>
          </w:p>
        </w:tc>
        <w:tc>
          <w:tcPr>
            <w:tcW w:w="5929" w:type="dxa"/>
            <w:noWrap w:val="0"/>
            <w:vAlign w:val="center"/>
          </w:tcPr>
          <w:p w14:paraId="0B2B26B6">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符合第二章“投标人须知”第1.3.1项规定</w:t>
            </w:r>
          </w:p>
        </w:tc>
      </w:tr>
      <w:tr w14:paraId="1EB9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1A96DCCD">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72DBC065">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55F5253F">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合同履行期限</w:t>
            </w:r>
          </w:p>
        </w:tc>
        <w:tc>
          <w:tcPr>
            <w:tcW w:w="5929" w:type="dxa"/>
            <w:noWrap w:val="0"/>
            <w:vAlign w:val="center"/>
          </w:tcPr>
          <w:p w14:paraId="123BDCB6">
            <w:pPr>
              <w:adjustRightInd w:val="0"/>
              <w:snapToGrid w:val="0"/>
              <w:spacing w:line="27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符合第二章“投标人须知”第1.3.2项规定</w:t>
            </w:r>
          </w:p>
        </w:tc>
      </w:tr>
      <w:tr w14:paraId="7F43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03A19CE3">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6204EC94">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01A26C78">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质量</w:t>
            </w:r>
          </w:p>
        </w:tc>
        <w:tc>
          <w:tcPr>
            <w:tcW w:w="5929" w:type="dxa"/>
            <w:noWrap w:val="0"/>
            <w:vAlign w:val="center"/>
          </w:tcPr>
          <w:p w14:paraId="711600D9">
            <w:pPr>
              <w:adjustRightInd w:val="0"/>
              <w:snapToGrid w:val="0"/>
              <w:spacing w:line="27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符合第二章“投标人须知”第1.3.3项规定</w:t>
            </w:r>
          </w:p>
        </w:tc>
      </w:tr>
      <w:tr w14:paraId="45CA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 w:type="dxa"/>
            <w:vMerge w:val="continue"/>
            <w:noWrap w:val="0"/>
            <w:vAlign w:val="center"/>
          </w:tcPr>
          <w:p w14:paraId="30411D62">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687653E4">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7B107FFC">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投标有效期</w:t>
            </w:r>
          </w:p>
        </w:tc>
        <w:tc>
          <w:tcPr>
            <w:tcW w:w="5929" w:type="dxa"/>
            <w:noWrap w:val="0"/>
            <w:vAlign w:val="center"/>
          </w:tcPr>
          <w:p w14:paraId="2DD6AFB9">
            <w:pPr>
              <w:adjustRightInd w:val="0"/>
              <w:snapToGrid w:val="0"/>
              <w:spacing w:line="27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符合第二章“投标人须知”第3.1.2项规定</w:t>
            </w:r>
          </w:p>
        </w:tc>
      </w:tr>
      <w:tr w14:paraId="100A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94" w:type="dxa"/>
            <w:vMerge w:val="continue"/>
            <w:noWrap w:val="0"/>
            <w:vAlign w:val="center"/>
          </w:tcPr>
          <w:p w14:paraId="6FE6CB2F">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915" w:type="dxa"/>
            <w:vMerge w:val="continue"/>
            <w:noWrap w:val="0"/>
            <w:vAlign w:val="center"/>
          </w:tcPr>
          <w:p w14:paraId="18477AB3">
            <w:pPr>
              <w:adjustRightInd w:val="0"/>
              <w:snapToGrid w:val="0"/>
              <w:spacing w:line="360" w:lineRule="auto"/>
              <w:jc w:val="center"/>
              <w:rPr>
                <w:rFonts w:hint="eastAsia" w:asciiTheme="minorEastAsia" w:hAnsiTheme="minorEastAsia" w:eastAsiaTheme="minorEastAsia" w:cstheme="minorEastAsia"/>
                <w:color w:val="auto"/>
                <w:sz w:val="21"/>
                <w:szCs w:val="21"/>
              </w:rPr>
            </w:pPr>
          </w:p>
        </w:tc>
        <w:tc>
          <w:tcPr>
            <w:tcW w:w="1563" w:type="dxa"/>
            <w:noWrap w:val="0"/>
            <w:vAlign w:val="center"/>
          </w:tcPr>
          <w:p w14:paraId="289F0584">
            <w:pPr>
              <w:widowControl/>
              <w:spacing w:line="36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投标报价</w:t>
            </w:r>
          </w:p>
        </w:tc>
        <w:tc>
          <w:tcPr>
            <w:tcW w:w="5929" w:type="dxa"/>
            <w:noWrap w:val="0"/>
            <w:vAlign w:val="center"/>
          </w:tcPr>
          <w:p w14:paraId="7066CB11">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投标总报价未高于本项目竞争性磋商文件中规定的预算金额或者最高限价。</w:t>
            </w:r>
          </w:p>
        </w:tc>
      </w:tr>
      <w:tr w14:paraId="057E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809" w:type="dxa"/>
            <w:gridSpan w:val="2"/>
            <w:noWrap w:val="0"/>
            <w:vAlign w:val="center"/>
          </w:tcPr>
          <w:p w14:paraId="05233167">
            <w:pPr>
              <w:adjustRightInd w:val="0"/>
              <w:snapToGrid w:val="0"/>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2.2.1</w:t>
            </w:r>
          </w:p>
        </w:tc>
        <w:tc>
          <w:tcPr>
            <w:tcW w:w="1563" w:type="dxa"/>
            <w:noWrap w:val="0"/>
            <w:vAlign w:val="center"/>
          </w:tcPr>
          <w:p w14:paraId="61195665">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分值构成</w:t>
            </w:r>
          </w:p>
          <w:p w14:paraId="280904DC">
            <w:pPr>
              <w:adjustRightInd w:val="0"/>
              <w:snapToGrid w:val="0"/>
              <w:spacing w:line="360" w:lineRule="auto"/>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(总分100分)</w:t>
            </w:r>
          </w:p>
        </w:tc>
        <w:tc>
          <w:tcPr>
            <w:tcW w:w="5929" w:type="dxa"/>
            <w:noWrap w:val="0"/>
            <w:vAlign w:val="center"/>
          </w:tcPr>
          <w:p w14:paraId="1A1860D8">
            <w:pPr>
              <w:adjustRightInd w:val="0"/>
              <w:snapToGrid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报价</w:t>
            </w:r>
            <w:r>
              <w:rPr>
                <w:rFonts w:hint="eastAsia" w:asciiTheme="minorEastAsia" w:hAnsiTheme="minorEastAsia" w:eastAsiaTheme="minorEastAsia" w:cstheme="minorEastAsia"/>
                <w:b/>
                <w:bCs/>
                <w:color w:val="auto"/>
                <w:sz w:val="21"/>
                <w:szCs w:val="21"/>
              </w:rPr>
              <w:t>：30分</w:t>
            </w:r>
          </w:p>
          <w:p w14:paraId="210915C2">
            <w:pPr>
              <w:adjustRightInd w:val="0"/>
              <w:snapToGrid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技术：</w:t>
            </w:r>
            <w:r>
              <w:rPr>
                <w:rFonts w:hint="eastAsia" w:asciiTheme="minorEastAsia" w:hAnsiTheme="minorEastAsia" w:eastAsiaTheme="minorEastAsia" w:cstheme="minorEastAsia"/>
                <w:b/>
                <w:bCs/>
                <w:color w:val="auto"/>
                <w:sz w:val="21"/>
                <w:szCs w:val="21"/>
                <w:lang w:val="en-US" w:eastAsia="zh-CN"/>
              </w:rPr>
              <w:t>32</w:t>
            </w:r>
            <w:r>
              <w:rPr>
                <w:rFonts w:hint="eastAsia" w:asciiTheme="minorEastAsia" w:hAnsiTheme="minorEastAsia" w:eastAsiaTheme="minorEastAsia" w:cstheme="minorEastAsia"/>
                <w:b/>
                <w:bCs/>
                <w:color w:val="auto"/>
                <w:sz w:val="21"/>
                <w:szCs w:val="21"/>
              </w:rPr>
              <w:t>分</w:t>
            </w:r>
          </w:p>
          <w:p w14:paraId="373F881A">
            <w:pPr>
              <w:adjustRightInd w:val="0"/>
              <w:snapToGrid w:val="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综合</w:t>
            </w: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38</w:t>
            </w:r>
            <w:r>
              <w:rPr>
                <w:rFonts w:hint="eastAsia" w:asciiTheme="minorEastAsia" w:hAnsiTheme="minorEastAsia" w:eastAsiaTheme="minorEastAsia" w:cstheme="minorEastAsia"/>
                <w:b/>
                <w:bCs/>
                <w:color w:val="auto"/>
                <w:sz w:val="21"/>
                <w:szCs w:val="21"/>
              </w:rPr>
              <w:t>分</w:t>
            </w:r>
          </w:p>
        </w:tc>
      </w:tr>
      <w:tr w14:paraId="289E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894" w:type="dxa"/>
            <w:noWrap w:val="0"/>
            <w:vAlign w:val="center"/>
          </w:tcPr>
          <w:p w14:paraId="0325C2B9">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2.2.2</w:t>
            </w:r>
          </w:p>
        </w:tc>
        <w:tc>
          <w:tcPr>
            <w:tcW w:w="915" w:type="dxa"/>
            <w:noWrap w:val="0"/>
            <w:vAlign w:val="center"/>
          </w:tcPr>
          <w:p w14:paraId="7FDEF080">
            <w:pPr>
              <w:spacing w:line="40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lang w:val="en-US" w:eastAsia="zh-CN"/>
              </w:rPr>
              <w:t>报价部分</w:t>
            </w:r>
            <w:r>
              <w:rPr>
                <w:rFonts w:hint="eastAsia" w:asciiTheme="minorEastAsia" w:hAnsiTheme="minorEastAsia" w:eastAsiaTheme="minorEastAsia" w:cstheme="minorEastAsia"/>
                <w:b/>
                <w:bCs/>
                <w:color w:val="auto"/>
                <w:sz w:val="21"/>
                <w:szCs w:val="21"/>
              </w:rPr>
              <w:t>（30分）</w:t>
            </w:r>
          </w:p>
        </w:tc>
        <w:tc>
          <w:tcPr>
            <w:tcW w:w="1563" w:type="dxa"/>
            <w:noWrap w:val="0"/>
            <w:vAlign w:val="center"/>
          </w:tcPr>
          <w:p w14:paraId="52E90C04">
            <w:pPr>
              <w:tabs>
                <w:tab w:val="left" w:pos="0"/>
                <w:tab w:val="left" w:pos="360"/>
              </w:tabs>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投标报价（30分）</w:t>
            </w:r>
          </w:p>
        </w:tc>
        <w:tc>
          <w:tcPr>
            <w:tcW w:w="5929" w:type="dxa"/>
            <w:noWrap w:val="0"/>
            <w:vAlign w:val="center"/>
          </w:tcPr>
          <w:p w14:paraId="55F2009E">
            <w:pPr>
              <w:spacing w:line="276" w:lineRule="auto"/>
              <w:ind w:firstLine="480"/>
              <w:textAlignment w:val="top"/>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满足磋商文件要求且最终磋商报价(第二轮报价) 最低的投标人的价格为磋商基准价，其价格分为满分其他投标人的价格分统一按照下列公式计算:磋商报价得分=(磋商基准价/最终磋商报价) </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0</w:t>
            </w:r>
          </w:p>
          <w:p w14:paraId="3077C181">
            <w:pPr>
              <w:spacing w:line="276" w:lineRule="auto"/>
              <w:ind w:firstLine="480"/>
              <w:textAlignment w:val="top"/>
              <w:rPr>
                <w:rFonts w:hint="eastAsia" w:asciiTheme="minorEastAsia" w:hAnsiTheme="minorEastAsia" w:eastAsiaTheme="minorEastAsia" w:cstheme="minorEastAsia"/>
                <w:color w:val="auto"/>
                <w:kern w:val="0"/>
                <w:sz w:val="21"/>
                <w:szCs w:val="21"/>
                <w:highlight w:val="yellow"/>
              </w:rPr>
            </w:pPr>
            <w:r>
              <w:rPr>
                <w:rFonts w:hint="eastAsia" w:asciiTheme="minorEastAsia" w:hAnsiTheme="minorEastAsia" w:eastAsiaTheme="minorEastAsia" w:cstheme="minorEastAsia"/>
                <w:color w:val="auto"/>
                <w:sz w:val="21"/>
                <w:szCs w:val="21"/>
              </w:rPr>
              <w:t>注:报价得分按四舍五入保留两位小数。按照《关于进一步加大政府采购支持中小企业力度的通知》财库[2022] 19 号的要求，货物服务采购项目对小型、微型、残疾人企业及监狱企业产品的价格给予 10%~20%的扣除，用扣除后的价格参与评审，本项目的扣除比例为:小型、微型企业、残疾人及监狱企业扣除 20%。(参加本项目的中小企业应当提供《《中小企业声明函》 格式详见竞争性磋商文件内《中小企业声明函》样本) 残疾人福利性企业监狱企业视同小微企业,价格扣除只享受一次，不重复享受)</w:t>
            </w:r>
          </w:p>
        </w:tc>
      </w:tr>
      <w:tr w14:paraId="1C66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94" w:type="dxa"/>
            <w:vMerge w:val="restart"/>
            <w:shd w:val="clear" w:color="auto" w:fill="FFFFFF"/>
            <w:noWrap w:val="0"/>
            <w:vAlign w:val="center"/>
          </w:tcPr>
          <w:p w14:paraId="0B7A0CB7">
            <w:pPr>
              <w:widowControl/>
              <w:jc w:val="center"/>
              <w:rPr>
                <w:rFonts w:hint="eastAsia" w:asciiTheme="minorEastAsia" w:hAnsiTheme="minorEastAsia" w:eastAsiaTheme="minorEastAsia" w:cstheme="minorEastAsia"/>
                <w:color w:val="auto"/>
                <w:kern w:val="0"/>
                <w:sz w:val="21"/>
                <w:szCs w:val="21"/>
                <w:highlight w:val="yellow"/>
              </w:rPr>
            </w:pPr>
            <w:bookmarkStart w:id="0" w:name="_Hlk107647201"/>
          </w:p>
        </w:tc>
        <w:tc>
          <w:tcPr>
            <w:tcW w:w="915" w:type="dxa"/>
            <w:vMerge w:val="restart"/>
            <w:shd w:val="clear" w:color="auto" w:fill="FFFFFF"/>
            <w:noWrap w:val="0"/>
            <w:vAlign w:val="center"/>
          </w:tcPr>
          <w:p w14:paraId="322BF5D4">
            <w:pPr>
              <w:spacing w:line="276" w:lineRule="auto"/>
              <w:jc w:val="center"/>
              <w:textAlignment w:val="top"/>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技术部分</w:t>
            </w:r>
          </w:p>
          <w:p w14:paraId="58C6B7BD">
            <w:pPr>
              <w:spacing w:line="276" w:lineRule="auto"/>
              <w:textAlignment w:val="top"/>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32</w:t>
            </w:r>
            <w:r>
              <w:rPr>
                <w:rFonts w:hint="eastAsia" w:asciiTheme="minorEastAsia" w:hAnsiTheme="minorEastAsia" w:eastAsiaTheme="minorEastAsia" w:cstheme="minorEastAsia"/>
                <w:b/>
                <w:bCs/>
                <w:color w:val="auto"/>
                <w:sz w:val="21"/>
                <w:szCs w:val="21"/>
              </w:rPr>
              <w:t>分）</w:t>
            </w:r>
          </w:p>
          <w:p w14:paraId="1C5A32CB">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044DCB17">
            <w:pPr>
              <w:autoSpaceDE w:val="0"/>
              <w:autoSpaceDN w:val="0"/>
              <w:adjustRightInd w:val="0"/>
              <w:spacing w:line="32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技术服务总体方案评价</w:t>
            </w: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55372AB5">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投标人合理编制项目技术服务方案，技术服务方案需包含项目建设主要任务、分中心建设工作规划、需求统筹及产品服务、数据共享服务方案、与省市卫星中心对接方案、成果提交与验收等工作内容。</w:t>
            </w:r>
          </w:p>
          <w:p w14:paraId="5DCEB0E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方案总体思路清晰，各项内容前后呼应，具有较强的可操作性和针对性，得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52AA468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方案总体思路较清晰，能满足项目基本需求，得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w:t>
            </w:r>
          </w:p>
          <w:p w14:paraId="791D561E">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方案思路尚可，但内容不够详实，针对性不足，得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w:t>
            </w:r>
          </w:p>
          <w:p w14:paraId="62DB1AF8">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方案严重缺失或未提供，不得分。</w:t>
            </w:r>
          </w:p>
        </w:tc>
      </w:tr>
      <w:tr w14:paraId="24B2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 w:type="dxa"/>
            <w:vMerge w:val="continue"/>
            <w:shd w:val="clear" w:color="auto" w:fill="FFFFFF"/>
            <w:noWrap w:val="0"/>
            <w:vAlign w:val="center"/>
          </w:tcPr>
          <w:p w14:paraId="79106933">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4E421542">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0E25A262">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项目实施方案（0-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30694987">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投标人编制项目实施方案，实施方案需包含组织架构、人员分工、实施流程、质量管控、风险识别与处置、现场管理、对接协调等工作内容。</w:t>
            </w:r>
          </w:p>
          <w:p w14:paraId="2425DDAE">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实施方案体系完整、流程逻辑清晰，各项管控措施贴合项目实际，科学性、可落地性强，得 5 分；</w:t>
            </w:r>
          </w:p>
          <w:p w14:paraId="45AD62A6">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实施方案体系较完整、流程逻辑较清晰，管控措施基本满足项目实施需要，得 3 分；</w:t>
            </w:r>
          </w:p>
          <w:p w14:paraId="5F597103">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实施方案框架具备，但内容不够详实，管控措施简单笼统，针对性不足，得 1 分；</w:t>
            </w:r>
          </w:p>
          <w:p w14:paraId="7CF42269">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方案严重缺失或未提供，不得分。</w:t>
            </w:r>
          </w:p>
        </w:tc>
      </w:tr>
      <w:tr w14:paraId="0D94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894" w:type="dxa"/>
            <w:vMerge w:val="continue"/>
            <w:shd w:val="clear" w:color="auto" w:fill="FFFFFF"/>
            <w:noWrap w:val="0"/>
            <w:vAlign w:val="center"/>
          </w:tcPr>
          <w:p w14:paraId="2BEC67A2">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71B63FFC">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37190CC3">
            <w:pPr>
              <w:jc w:val="center"/>
              <w:rPr>
                <w:rFonts w:hint="eastAsia" w:asciiTheme="minorEastAsia" w:hAnsiTheme="minorEastAsia" w:eastAsiaTheme="minorEastAsia" w:cstheme="minorEastAsia"/>
                <w:color w:val="auto"/>
                <w:spacing w:val="1"/>
                <w:kern w:val="0"/>
                <w:sz w:val="21"/>
                <w:szCs w:val="21"/>
              </w:rPr>
            </w:pPr>
            <w:r>
              <w:rPr>
                <w:rFonts w:hint="eastAsia" w:asciiTheme="minorEastAsia" w:hAnsiTheme="minorEastAsia" w:eastAsiaTheme="minorEastAsia" w:cstheme="minorEastAsia"/>
                <w:color w:val="auto"/>
                <w:spacing w:val="1"/>
                <w:kern w:val="0"/>
                <w:sz w:val="21"/>
                <w:szCs w:val="21"/>
              </w:rPr>
              <w:t>项目进度计划及保证措施</w:t>
            </w:r>
          </w:p>
          <w:p w14:paraId="2393BE82">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7BA162F2">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投标人编制项目进度计划及保证措施，进度计划需结合项目建设主要任务、节点要求编制，配套措施包含资源保障、工期纠偏、动态管控、应急预案等内容。</w:t>
            </w:r>
          </w:p>
          <w:p w14:paraId="0114D4AA">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进度计划节点划分科学合理，保障措施体系完善，可有效保障按期交付，得 5 分；</w:t>
            </w:r>
          </w:p>
          <w:p w14:paraId="6D3FFF2A">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进度计划节点划分较合理，保障措施较齐全，能够满足项目基本工期要求，得 3 分；</w:t>
            </w:r>
          </w:p>
          <w:p w14:paraId="19944D93">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进度计划框架具备，但节点粗略，保障措施单薄，针对性不足，得 1 分；</w:t>
            </w:r>
          </w:p>
          <w:p w14:paraId="4727D09E">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方案严重缺失或未提供，不得分。</w:t>
            </w:r>
          </w:p>
        </w:tc>
      </w:tr>
      <w:tr w14:paraId="59E1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 w:type="dxa"/>
            <w:vMerge w:val="continue"/>
            <w:shd w:val="clear" w:color="auto" w:fill="FFFFFF"/>
            <w:noWrap w:val="0"/>
            <w:vAlign w:val="center"/>
          </w:tcPr>
          <w:p w14:paraId="6EB8B0C8">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33276F57">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6ACD8623">
            <w:pPr>
              <w:jc w:val="center"/>
              <w:rPr>
                <w:rFonts w:hint="eastAsia" w:asciiTheme="minorEastAsia" w:hAnsiTheme="minorEastAsia" w:eastAsiaTheme="minorEastAsia" w:cstheme="minorEastAsia"/>
                <w:color w:val="auto"/>
                <w:spacing w:val="1"/>
                <w:kern w:val="0"/>
                <w:sz w:val="21"/>
                <w:szCs w:val="21"/>
              </w:rPr>
            </w:pPr>
            <w:r>
              <w:rPr>
                <w:rFonts w:hint="eastAsia" w:asciiTheme="minorEastAsia" w:hAnsiTheme="minorEastAsia" w:eastAsiaTheme="minorEastAsia" w:cstheme="minorEastAsia"/>
                <w:color w:val="auto"/>
                <w:spacing w:val="1"/>
                <w:kern w:val="0"/>
                <w:sz w:val="21"/>
                <w:szCs w:val="21"/>
              </w:rPr>
              <w:t>重点、难点分析及解决方案</w:t>
            </w:r>
          </w:p>
          <w:p w14:paraId="2347969D">
            <w:pPr>
              <w:jc w:val="center"/>
              <w:rPr>
                <w:rFonts w:hint="eastAsia" w:asciiTheme="minorEastAsia" w:hAnsiTheme="minorEastAsia" w:eastAsiaTheme="minorEastAsia" w:cstheme="minorEastAsia"/>
                <w:color w:val="auto"/>
                <w:spacing w:val="1"/>
                <w:kern w:val="0"/>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41178513">
            <w:pPr>
              <w:tabs>
                <w:tab w:val="left" w:pos="1032"/>
              </w:tabs>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针对本项目采购需求制定工作重点难点分析和解决方案，包含但不限于：项目工作重点、项目工作重点解决方案、项目工作难点、项目工作难点解决方案。根据分析与方案科学性整体打分，满分</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79AEC73A">
            <w:pPr>
              <w:tabs>
                <w:tab w:val="left" w:pos="1032"/>
              </w:tabs>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1.对项目的工作重点、难点分析科学合理，提出的建议及对策措施针对性强、可操作性强，得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12048A3F">
            <w:pPr>
              <w:tabs>
                <w:tab w:val="left" w:pos="1032"/>
              </w:tabs>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2.对项目的工作重点、难点分析较为合理，提出的建议及对策措施具有针对性和可操作性，得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w:t>
            </w:r>
          </w:p>
          <w:p w14:paraId="4D74981B">
            <w:pPr>
              <w:tabs>
                <w:tab w:val="left" w:pos="1032"/>
              </w:tabs>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3.对项目的工作重点、难点分析不合理，提出的建议及对策措施针对性不强、可操作性不强，得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w:t>
            </w:r>
          </w:p>
          <w:p w14:paraId="21651348">
            <w:pPr>
              <w:tabs>
                <w:tab w:val="left" w:pos="1032"/>
              </w:tabs>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4.投标人未提供不得分。</w:t>
            </w:r>
          </w:p>
        </w:tc>
      </w:tr>
      <w:tr w14:paraId="05D9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94" w:type="dxa"/>
            <w:vMerge w:val="continue"/>
            <w:shd w:val="clear" w:color="auto" w:fill="FFFFFF"/>
            <w:noWrap w:val="0"/>
            <w:vAlign w:val="center"/>
          </w:tcPr>
          <w:p w14:paraId="57DB7923">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0645C624">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0FE8B952">
            <w:pPr>
              <w:adjustRightInd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确保信息安全保密措施</w:t>
            </w:r>
          </w:p>
          <w:p w14:paraId="394AB60E">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594DBBE1">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投标人提供满足采购需求保密制度及措施、档案管理制度，承诺资料所有权归属于采购方，未经采购方书面同意不向任何第三方透露项目相关资料，满分</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6118E633">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1.保密措施及档案管理制度齐全，对本项目针对性强，具有可操作性的，得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63E11238">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2.保密措施及档案管理制度基本齐全，对本项目针对性一般，基本具有可操作性的，并提供承诺函的，得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w:t>
            </w:r>
          </w:p>
          <w:p w14:paraId="675B24AC">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3.保密措施及档案管理制度缺失，对本项目不具有针对性、可操作性的，提供承诺函的，得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w:t>
            </w:r>
          </w:p>
          <w:p w14:paraId="13A2DB98">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4.投标人未提供不得分。</w:t>
            </w:r>
          </w:p>
        </w:tc>
      </w:tr>
      <w:tr w14:paraId="2AB5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94" w:type="dxa"/>
            <w:vMerge w:val="continue"/>
            <w:shd w:val="clear" w:color="auto" w:fill="FFFFFF"/>
            <w:noWrap w:val="0"/>
            <w:vAlign w:val="center"/>
          </w:tcPr>
          <w:p w14:paraId="03C2D210">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27276B50">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1289E627">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质量保证措施（0-</w:t>
            </w:r>
            <w:r>
              <w:rPr>
                <w:rFonts w:hint="eastAsia" w:asciiTheme="minorEastAsia" w:hAnsiTheme="minorEastAsia" w:eastAsiaTheme="minorEastAsia" w:cstheme="minorEastAsia"/>
                <w:color w:val="auto"/>
                <w:spacing w:val="1"/>
                <w:kern w:val="0"/>
                <w:sz w:val="21"/>
                <w:szCs w:val="21"/>
                <w:lang w:val="en-US" w:eastAsia="zh-CN"/>
              </w:rPr>
              <w:t>5</w:t>
            </w:r>
            <w:r>
              <w:rPr>
                <w:rFonts w:hint="eastAsia" w:asciiTheme="minorEastAsia" w:hAnsiTheme="minorEastAsia" w:eastAsiaTheme="minorEastAsia" w:cstheme="minorEastAsia"/>
                <w:color w:val="auto"/>
                <w:spacing w:val="1"/>
                <w:kern w:val="0"/>
                <w:sz w:val="21"/>
                <w:szCs w:val="21"/>
              </w:rPr>
              <w:t xml:space="preserve"> 分）</w:t>
            </w:r>
          </w:p>
        </w:tc>
        <w:tc>
          <w:tcPr>
            <w:tcW w:w="5929" w:type="dxa"/>
            <w:noWrap w:val="0"/>
            <w:vAlign w:val="center"/>
          </w:tcPr>
          <w:p w14:paraId="1189A03D">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针对本项目制定相应的内部质量保障方案，包括但不限于实施质量管理总体框架、质量管理保证措施、安全管理保障措施、项目实施质量控制措施等内容，满分</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4C55B3BD">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1.质量保证措施详细完整、可实施性、针对性强，能高质量的确保项目服务质量，得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77E69A63">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2.质量保障措施完整，可实施性及针对性较强以保证项目质量，得3分；</w:t>
            </w:r>
          </w:p>
          <w:p w14:paraId="18AFCCB8">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3.质量保障措施简单、合理性、可行性有待考究，得1分；</w:t>
            </w:r>
          </w:p>
          <w:p w14:paraId="6CE9FB3A">
            <w:pPr>
              <w:adjustRightInd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4.投标人未提供不得分。</w:t>
            </w:r>
          </w:p>
        </w:tc>
      </w:tr>
      <w:tr w14:paraId="5EFF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894" w:type="dxa"/>
            <w:vMerge w:val="continue"/>
            <w:shd w:val="clear" w:color="auto" w:fill="FFFFFF"/>
            <w:noWrap w:val="0"/>
            <w:vAlign w:val="center"/>
          </w:tcPr>
          <w:p w14:paraId="3124763C">
            <w:pPr>
              <w:widowControl/>
              <w:jc w:val="center"/>
              <w:rPr>
                <w:rFonts w:hint="eastAsia" w:asciiTheme="minorEastAsia" w:hAnsiTheme="minorEastAsia" w:eastAsiaTheme="minorEastAsia" w:cstheme="minorEastAsia"/>
                <w:color w:val="auto"/>
                <w:kern w:val="0"/>
                <w:sz w:val="21"/>
                <w:szCs w:val="21"/>
                <w:highlight w:val="yellow"/>
              </w:rPr>
            </w:pPr>
          </w:p>
        </w:tc>
        <w:tc>
          <w:tcPr>
            <w:tcW w:w="915" w:type="dxa"/>
            <w:vMerge w:val="continue"/>
            <w:shd w:val="clear" w:color="auto" w:fill="FFFFFF"/>
            <w:noWrap w:val="0"/>
            <w:vAlign w:val="center"/>
          </w:tcPr>
          <w:p w14:paraId="2B9E8B9F">
            <w:pPr>
              <w:spacing w:line="276" w:lineRule="auto"/>
              <w:ind w:firstLine="480"/>
              <w:textAlignment w:val="top"/>
              <w:rPr>
                <w:rFonts w:hint="eastAsia" w:asciiTheme="minorEastAsia" w:hAnsiTheme="minorEastAsia" w:eastAsiaTheme="minorEastAsia" w:cstheme="minorEastAsia"/>
                <w:color w:val="auto"/>
                <w:sz w:val="21"/>
                <w:szCs w:val="21"/>
              </w:rPr>
            </w:pPr>
          </w:p>
        </w:tc>
        <w:tc>
          <w:tcPr>
            <w:tcW w:w="1563" w:type="dxa"/>
            <w:noWrap w:val="0"/>
            <w:vAlign w:val="center"/>
          </w:tcPr>
          <w:p w14:paraId="1368338B">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后续服务及承诺</w:t>
            </w:r>
          </w:p>
          <w:p w14:paraId="13516699">
            <w:pPr>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kern w:val="0"/>
                <w:sz w:val="21"/>
                <w:szCs w:val="21"/>
              </w:rPr>
              <w:t>（0-</w:t>
            </w:r>
            <w:r>
              <w:rPr>
                <w:rFonts w:hint="eastAsia" w:asciiTheme="minorEastAsia" w:hAnsiTheme="minorEastAsia" w:eastAsiaTheme="minorEastAsia" w:cstheme="minorEastAsia"/>
                <w:color w:val="auto"/>
                <w:spacing w:val="1"/>
                <w:kern w:val="0"/>
                <w:sz w:val="21"/>
                <w:szCs w:val="21"/>
                <w:lang w:val="en-US" w:eastAsia="zh-CN"/>
              </w:rPr>
              <w:t>2</w:t>
            </w:r>
            <w:r>
              <w:rPr>
                <w:rFonts w:hint="eastAsia" w:asciiTheme="minorEastAsia" w:hAnsiTheme="minorEastAsia" w:eastAsiaTheme="minorEastAsia" w:cstheme="minorEastAsia"/>
                <w:color w:val="auto"/>
                <w:spacing w:val="1"/>
                <w:kern w:val="0"/>
                <w:sz w:val="21"/>
                <w:szCs w:val="21"/>
              </w:rPr>
              <w:t>分）</w:t>
            </w:r>
          </w:p>
        </w:tc>
        <w:tc>
          <w:tcPr>
            <w:tcW w:w="5929" w:type="dxa"/>
            <w:noWrap w:val="0"/>
            <w:vAlign w:val="center"/>
          </w:tcPr>
          <w:p w14:paraId="6C59EA5D">
            <w:pPr>
              <w:adjustRightInd w:val="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投标人合理编制后续服务及承诺方案，方案需包含运维保障机制、响应时效、技术支持、系统升级、问题处置、人员配置、质保服务、长期可持续服务保障等内容。</w:t>
            </w:r>
          </w:p>
          <w:p w14:paraId="4619D25E">
            <w:pPr>
              <w:adjustRightInd w:val="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1.后续服务体系完整、响应机制清晰，各项服务承诺贴合项目需求，可落地性强，得 2 分；</w:t>
            </w:r>
          </w:p>
          <w:p w14:paraId="07A8FD0E">
            <w:pPr>
              <w:adjustRightInd w:val="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2.后续服务框架具备，但内容较为简略，保障措施单薄，针对性不足，得 1 分；</w:t>
            </w:r>
          </w:p>
          <w:p w14:paraId="7A4BB652">
            <w:pPr>
              <w:adjustRightInd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3.方案严重缺失或未提供，不得分。</w:t>
            </w:r>
          </w:p>
        </w:tc>
      </w:tr>
      <w:tr w14:paraId="282A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 w:type="dxa"/>
            <w:vMerge w:val="restart"/>
            <w:noWrap w:val="0"/>
            <w:vAlign w:val="center"/>
          </w:tcPr>
          <w:p w14:paraId="08477EC6">
            <w:pPr>
              <w:jc w:val="center"/>
              <w:rPr>
                <w:rFonts w:hint="eastAsia" w:asciiTheme="minorEastAsia" w:hAnsiTheme="minorEastAsia" w:eastAsiaTheme="minorEastAsia" w:cstheme="minorEastAsia"/>
                <w:bCs/>
                <w:color w:val="auto"/>
                <w:kern w:val="0"/>
                <w:sz w:val="21"/>
                <w:szCs w:val="21"/>
                <w:highlight w:val="yellow"/>
              </w:rPr>
            </w:pPr>
          </w:p>
        </w:tc>
        <w:tc>
          <w:tcPr>
            <w:tcW w:w="915" w:type="dxa"/>
            <w:vMerge w:val="restart"/>
            <w:noWrap w:val="0"/>
            <w:vAlign w:val="center"/>
          </w:tcPr>
          <w:p w14:paraId="1F3FBC3C">
            <w:pPr>
              <w:spacing w:line="276" w:lineRule="auto"/>
              <w:jc w:val="center"/>
              <w:textAlignment w:val="top"/>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综合部分</w:t>
            </w:r>
          </w:p>
          <w:p w14:paraId="298CCA63">
            <w:pPr>
              <w:spacing w:line="276" w:lineRule="auto"/>
              <w:jc w:val="left"/>
              <w:textAlignment w:val="top"/>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38</w:t>
            </w:r>
            <w:r>
              <w:rPr>
                <w:rFonts w:hint="eastAsia" w:asciiTheme="minorEastAsia" w:hAnsiTheme="minorEastAsia" w:eastAsiaTheme="minorEastAsia" w:cstheme="minorEastAsia"/>
                <w:b/>
                <w:bCs/>
                <w:color w:val="auto"/>
                <w:sz w:val="21"/>
                <w:szCs w:val="21"/>
                <w:highlight w:val="none"/>
              </w:rPr>
              <w:t>分）</w:t>
            </w:r>
          </w:p>
        </w:tc>
        <w:tc>
          <w:tcPr>
            <w:tcW w:w="1563" w:type="dxa"/>
            <w:noWrap w:val="0"/>
            <w:vAlign w:val="center"/>
          </w:tcPr>
          <w:p w14:paraId="5579F2C2">
            <w:pPr>
              <w:spacing w:line="320" w:lineRule="exact"/>
              <w:ind w:right="120" w:rightChars="50"/>
              <w:rPr>
                <w:rFonts w:hint="eastAsia" w:asciiTheme="minorEastAsia" w:hAnsiTheme="minorEastAsia" w:eastAsiaTheme="minorEastAsia" w:cstheme="minorEastAsia"/>
                <w:color w:val="auto"/>
                <w:kern w:val="1"/>
                <w:sz w:val="21"/>
                <w:szCs w:val="21"/>
                <w:highlight w:val="none"/>
              </w:rPr>
            </w:pPr>
            <w:r>
              <w:rPr>
                <w:rFonts w:hint="eastAsia" w:asciiTheme="minorEastAsia" w:hAnsiTheme="minorEastAsia" w:eastAsiaTheme="minorEastAsia" w:cstheme="minorEastAsia"/>
                <w:color w:val="auto"/>
                <w:kern w:val="1"/>
                <w:sz w:val="21"/>
                <w:szCs w:val="21"/>
                <w:highlight w:val="none"/>
              </w:rPr>
              <w:t>综合实力</w:t>
            </w:r>
          </w:p>
          <w:p w14:paraId="09EB7AFC">
            <w:pPr>
              <w:spacing w:line="320" w:lineRule="exact"/>
              <w:ind w:right="120" w:rightChars="50"/>
              <w:rPr>
                <w:rFonts w:hint="eastAsia" w:asciiTheme="minorEastAsia" w:hAnsiTheme="minorEastAsia" w:eastAsiaTheme="minorEastAsia" w:cstheme="minorEastAsia"/>
                <w:color w:val="auto"/>
                <w:sz w:val="21"/>
                <w:szCs w:val="21"/>
                <w:highlight w:val="yellow"/>
                <w:lang w:eastAsia="zh-CN"/>
              </w:rPr>
            </w:pPr>
            <w:r>
              <w:rPr>
                <w:rFonts w:hint="eastAsia" w:asciiTheme="minorEastAsia" w:hAnsiTheme="minorEastAsia" w:eastAsiaTheme="minorEastAsia" w:cstheme="minorEastAsia"/>
                <w:color w:val="auto"/>
                <w:kern w:val="1"/>
                <w:sz w:val="21"/>
                <w:szCs w:val="21"/>
                <w:highlight w:val="none"/>
              </w:rPr>
              <w:t>（</w:t>
            </w:r>
            <w:r>
              <w:rPr>
                <w:rFonts w:hint="eastAsia" w:asciiTheme="minorEastAsia" w:hAnsiTheme="minorEastAsia" w:eastAsiaTheme="minorEastAsia" w:cstheme="minorEastAsia"/>
                <w:color w:val="auto"/>
                <w:kern w:val="1"/>
                <w:sz w:val="21"/>
                <w:szCs w:val="21"/>
                <w:highlight w:val="none"/>
                <w:lang w:val="en-US" w:eastAsia="zh-CN"/>
              </w:rPr>
              <w:t>12</w:t>
            </w:r>
            <w:r>
              <w:rPr>
                <w:rFonts w:hint="eastAsia" w:asciiTheme="minorEastAsia" w:hAnsiTheme="minorEastAsia" w:eastAsiaTheme="minorEastAsia" w:cstheme="minorEastAsia"/>
                <w:color w:val="auto"/>
                <w:kern w:val="1"/>
                <w:sz w:val="21"/>
                <w:szCs w:val="21"/>
                <w:highlight w:val="none"/>
              </w:rPr>
              <w:t>分）</w:t>
            </w:r>
          </w:p>
        </w:tc>
        <w:tc>
          <w:tcPr>
            <w:tcW w:w="5929" w:type="dxa"/>
            <w:noWrap w:val="0"/>
            <w:vAlign w:val="center"/>
          </w:tcPr>
          <w:p w14:paraId="0867C1F6">
            <w:pPr>
              <w:widowControl/>
              <w:numPr>
                <w:ilvl w:val="0"/>
                <w:numId w:val="1"/>
              </w:numPr>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供应商具有</w:t>
            </w:r>
            <w:r>
              <w:rPr>
                <w:rFonts w:hint="eastAsia" w:asciiTheme="minorEastAsia" w:hAnsiTheme="minorEastAsia" w:eastAsiaTheme="minorEastAsia" w:cstheme="minorEastAsia"/>
                <w:color w:val="auto"/>
                <w:sz w:val="21"/>
                <w:szCs w:val="21"/>
                <w:highlight w:val="none"/>
                <w:lang w:val="en-US" w:eastAsia="zh-CN"/>
              </w:rPr>
              <w:t>有效期内的</w:t>
            </w:r>
            <w:r>
              <w:rPr>
                <w:rFonts w:hint="eastAsia" w:asciiTheme="minorEastAsia" w:hAnsiTheme="minorEastAsia" w:eastAsiaTheme="minorEastAsia" w:cstheme="minorEastAsia"/>
                <w:color w:val="auto"/>
                <w:sz w:val="21"/>
                <w:szCs w:val="21"/>
                <w:highlight w:val="none"/>
              </w:rPr>
              <w:t>质量管理体系认证、环境管理体系认证、</w:t>
            </w:r>
            <w:r>
              <w:rPr>
                <w:rFonts w:hint="eastAsia" w:asciiTheme="minorEastAsia" w:hAnsiTheme="minorEastAsia" w:eastAsiaTheme="minorEastAsia" w:cstheme="minorEastAsia"/>
                <w:color w:val="auto"/>
                <w:sz w:val="21"/>
                <w:szCs w:val="21"/>
                <w:highlight w:val="none"/>
                <w:lang w:val="en-US" w:eastAsia="zh-CN"/>
              </w:rPr>
              <w:t>职业健康安全管理体系认证、</w:t>
            </w:r>
            <w:r>
              <w:rPr>
                <w:rFonts w:hint="eastAsia" w:asciiTheme="minorEastAsia" w:hAnsiTheme="minorEastAsia" w:eastAsiaTheme="minorEastAsia" w:cstheme="minorEastAsia"/>
                <w:color w:val="auto"/>
                <w:sz w:val="21"/>
                <w:szCs w:val="21"/>
                <w:highlight w:val="none"/>
              </w:rPr>
              <w:t>信息安全管理体系认证证书的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每提供一项得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分，最多得</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分。</w:t>
            </w:r>
          </w:p>
          <w:p w14:paraId="7C3C253C">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投标截止日前近3年内</w:t>
            </w:r>
            <w:r>
              <w:rPr>
                <w:rFonts w:hint="eastAsia" w:asciiTheme="minorEastAsia" w:hAnsiTheme="minorEastAsia" w:eastAsiaTheme="minorEastAsia" w:cstheme="minorEastAsia"/>
                <w:color w:val="auto"/>
                <w:sz w:val="21"/>
                <w:szCs w:val="21"/>
                <w:highlight w:val="none"/>
              </w:rPr>
              <w:t>供应商获得过测绘</w:t>
            </w:r>
            <w:r>
              <w:rPr>
                <w:rFonts w:hint="eastAsia" w:asciiTheme="minorEastAsia" w:hAnsiTheme="minorEastAsia" w:eastAsiaTheme="minorEastAsia" w:cstheme="minorEastAsia"/>
                <w:color w:val="auto"/>
                <w:sz w:val="21"/>
                <w:szCs w:val="21"/>
                <w:highlight w:val="none"/>
                <w:lang w:val="en-US" w:eastAsia="zh-CN"/>
              </w:rPr>
              <w:t>相关类奖项</w:t>
            </w:r>
            <w:r>
              <w:rPr>
                <w:rFonts w:hint="eastAsia" w:asciiTheme="minorEastAsia" w:hAnsiTheme="minorEastAsia" w:eastAsiaTheme="minorEastAsia" w:cstheme="minorEastAsia"/>
                <w:color w:val="auto"/>
                <w:sz w:val="21"/>
                <w:szCs w:val="21"/>
                <w:highlight w:val="none"/>
              </w:rPr>
              <w:t>的，每提供一项得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分，最多得</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分。</w:t>
            </w:r>
          </w:p>
          <w:p w14:paraId="6D4A52E7">
            <w:pPr>
              <w:widowControl/>
              <w:spacing w:line="320" w:lineRule="exact"/>
              <w:rPr>
                <w:rFonts w:hint="eastAsia" w:asciiTheme="minorEastAsia" w:hAnsiTheme="minorEastAsia" w:eastAsiaTheme="minorEastAsia" w:cstheme="minorEastAsia"/>
                <w:color w:val="auto"/>
                <w:sz w:val="21"/>
                <w:szCs w:val="21"/>
                <w:highlight w:val="yellow"/>
              </w:rPr>
            </w:pPr>
            <w:r>
              <w:rPr>
                <w:rFonts w:hint="eastAsia" w:asciiTheme="minorEastAsia" w:hAnsiTheme="minorEastAsia" w:eastAsiaTheme="minorEastAsia" w:cstheme="minorEastAsia"/>
                <w:color w:val="auto"/>
                <w:sz w:val="21"/>
                <w:szCs w:val="21"/>
                <w:highlight w:val="none"/>
              </w:rPr>
              <w:t>注：以上内容在投标文件中附相关证明材料扫描件。</w:t>
            </w:r>
          </w:p>
        </w:tc>
      </w:tr>
      <w:tr w14:paraId="2F53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jc w:val="center"/>
        </w:trPr>
        <w:tc>
          <w:tcPr>
            <w:tcW w:w="894" w:type="dxa"/>
            <w:vMerge w:val="continue"/>
            <w:noWrap w:val="0"/>
            <w:vAlign w:val="center"/>
          </w:tcPr>
          <w:p w14:paraId="219E8C97">
            <w:pPr>
              <w:jc w:val="center"/>
              <w:rPr>
                <w:rFonts w:hint="eastAsia" w:asciiTheme="minorEastAsia" w:hAnsiTheme="minorEastAsia" w:eastAsiaTheme="minorEastAsia" w:cstheme="minorEastAsia"/>
                <w:bCs/>
                <w:color w:val="auto"/>
                <w:kern w:val="0"/>
                <w:sz w:val="21"/>
                <w:szCs w:val="21"/>
                <w:highlight w:val="yellow"/>
              </w:rPr>
            </w:pPr>
          </w:p>
        </w:tc>
        <w:tc>
          <w:tcPr>
            <w:tcW w:w="915" w:type="dxa"/>
            <w:vMerge w:val="continue"/>
            <w:noWrap w:val="0"/>
            <w:vAlign w:val="center"/>
          </w:tcPr>
          <w:p w14:paraId="43C01EFD">
            <w:pPr>
              <w:spacing w:line="276" w:lineRule="auto"/>
              <w:ind w:firstLine="480"/>
              <w:textAlignment w:val="top"/>
              <w:rPr>
                <w:rFonts w:hint="eastAsia" w:asciiTheme="minorEastAsia" w:hAnsiTheme="minorEastAsia" w:eastAsiaTheme="minorEastAsia" w:cstheme="minorEastAsia"/>
                <w:color w:val="auto"/>
                <w:sz w:val="21"/>
                <w:szCs w:val="21"/>
                <w:highlight w:val="yellow"/>
              </w:rPr>
            </w:pPr>
          </w:p>
        </w:tc>
        <w:tc>
          <w:tcPr>
            <w:tcW w:w="1563" w:type="dxa"/>
            <w:noWrap w:val="0"/>
            <w:vAlign w:val="center"/>
          </w:tcPr>
          <w:p w14:paraId="133A587E">
            <w:pPr>
              <w:widowControl/>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企业业绩</w:t>
            </w:r>
          </w:p>
          <w:p w14:paraId="62E9B524">
            <w:pPr>
              <w:widowControl/>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分）</w:t>
            </w:r>
          </w:p>
        </w:tc>
        <w:tc>
          <w:tcPr>
            <w:tcW w:w="5929" w:type="dxa"/>
            <w:noWrap w:val="0"/>
            <w:vAlign w:val="center"/>
          </w:tcPr>
          <w:p w14:paraId="02D78B10">
            <w:pPr>
              <w:widowControl/>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投标截止日前近3年内投标人承担过类似项目（卫星遥感数据生产或监测类项目）的业绩，每有一项得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分，最多得</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分（投标文件中附中标通知书及合同或协议，时间以合同或协议签订时间为准）；</w:t>
            </w:r>
          </w:p>
        </w:tc>
      </w:tr>
      <w:tr w14:paraId="0D18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7" w:hRule="atLeast"/>
          <w:jc w:val="center"/>
        </w:trPr>
        <w:tc>
          <w:tcPr>
            <w:tcW w:w="894" w:type="dxa"/>
            <w:vMerge w:val="continue"/>
            <w:noWrap w:val="0"/>
            <w:vAlign w:val="center"/>
          </w:tcPr>
          <w:p w14:paraId="5AA3B128">
            <w:pPr>
              <w:jc w:val="center"/>
              <w:rPr>
                <w:rFonts w:hint="eastAsia" w:asciiTheme="minorEastAsia" w:hAnsiTheme="minorEastAsia" w:eastAsiaTheme="minorEastAsia" w:cstheme="minorEastAsia"/>
                <w:bCs/>
                <w:color w:val="auto"/>
                <w:kern w:val="0"/>
                <w:sz w:val="21"/>
                <w:szCs w:val="21"/>
                <w:highlight w:val="yellow"/>
              </w:rPr>
            </w:pPr>
          </w:p>
        </w:tc>
        <w:tc>
          <w:tcPr>
            <w:tcW w:w="915" w:type="dxa"/>
            <w:vMerge w:val="continue"/>
            <w:noWrap w:val="0"/>
            <w:vAlign w:val="center"/>
          </w:tcPr>
          <w:p w14:paraId="322D21DF">
            <w:pPr>
              <w:spacing w:line="276" w:lineRule="auto"/>
              <w:ind w:firstLine="480"/>
              <w:textAlignment w:val="top"/>
              <w:rPr>
                <w:rFonts w:hint="eastAsia" w:asciiTheme="minorEastAsia" w:hAnsiTheme="minorEastAsia" w:eastAsiaTheme="minorEastAsia" w:cstheme="minorEastAsia"/>
                <w:color w:val="auto"/>
                <w:sz w:val="21"/>
                <w:szCs w:val="21"/>
                <w:highlight w:val="yellow"/>
              </w:rPr>
            </w:pPr>
          </w:p>
        </w:tc>
        <w:tc>
          <w:tcPr>
            <w:tcW w:w="1563" w:type="dxa"/>
            <w:noWrap w:val="0"/>
            <w:vAlign w:val="center"/>
          </w:tcPr>
          <w:p w14:paraId="2B2DA7AD">
            <w:pPr>
              <w:widowControl/>
              <w:spacing w:line="4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投入人员</w:t>
            </w:r>
          </w:p>
          <w:p w14:paraId="13D31D91">
            <w:pPr>
              <w:widowControl/>
              <w:spacing w:line="4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分）</w:t>
            </w:r>
          </w:p>
        </w:tc>
        <w:tc>
          <w:tcPr>
            <w:tcW w:w="5929" w:type="dxa"/>
            <w:noWrap w:val="0"/>
            <w:vAlign w:val="center"/>
          </w:tcPr>
          <w:p w14:paraId="4B0744B2">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1、项目负责人具有测绘类相关专业正高级职称的，得4分；具有副高级职称的，得2分；没有不得分。本项满分4分。</w:t>
            </w:r>
          </w:p>
          <w:p w14:paraId="19E3711D">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2、项目技术负责人具有测绘类相关专业正高级及以上职称的，得4分；具有副高级职称的，得2分；没有不得分。本项满分4分。</w:t>
            </w:r>
          </w:p>
          <w:p w14:paraId="77C659C2">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3、拟投入的团队成员（不含项目负责人和技术负责人）按以下标准累计计分，本项满分12分。</w:t>
            </w:r>
          </w:p>
          <w:p w14:paraId="438837B4">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（1）拟派项目团队成员中具有测绘类相关专业副高级及以上职称的，每人得1分，本项最多得8分。</w:t>
            </w:r>
          </w:p>
          <w:p w14:paraId="5CA20E8E">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（2）拟派项目团队成员中具有测绘类相关专业中级及以上职称的，每人得0.5分，本项最多得4分。</w:t>
            </w:r>
          </w:p>
          <w:p w14:paraId="2A1DAB97">
            <w:pPr>
              <w:widowControl/>
              <w:numPr>
                <w:ilvl w:val="0"/>
                <w:numId w:val="0"/>
              </w:numPr>
              <w:spacing w:line="32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    注：以上人员需提供证书扫描件、社保缴纳证明（退休人员可提供退休证和聘用合同，无需提供社保。新聘人员暂无法提供社保证明材料的，本项目不予得分。），1人有多个证书，只计最高分，不重复计分，未提供或不符合以上条件不得分。</w:t>
            </w:r>
          </w:p>
        </w:tc>
      </w:tr>
      <w:bookmarkEnd w:id="0"/>
    </w:tbl>
    <w:p w14:paraId="4A2135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17B101"/>
    <w:multiLevelType w:val="singleLevel"/>
    <w:tmpl w:val="4817B1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B80464"/>
    <w:rsid w:val="022A1EE4"/>
    <w:rsid w:val="05737E86"/>
    <w:rsid w:val="09880D71"/>
    <w:rsid w:val="0A426D43"/>
    <w:rsid w:val="0E992EBC"/>
    <w:rsid w:val="106E400E"/>
    <w:rsid w:val="11D32976"/>
    <w:rsid w:val="121641AC"/>
    <w:rsid w:val="175611FD"/>
    <w:rsid w:val="17824C23"/>
    <w:rsid w:val="18E13BCB"/>
    <w:rsid w:val="19C31523"/>
    <w:rsid w:val="19FB0CBC"/>
    <w:rsid w:val="1FB80464"/>
    <w:rsid w:val="204D7D98"/>
    <w:rsid w:val="26720558"/>
    <w:rsid w:val="274F2647"/>
    <w:rsid w:val="2ACA2711"/>
    <w:rsid w:val="2CE61358"/>
    <w:rsid w:val="2EC8145A"/>
    <w:rsid w:val="36CF7301"/>
    <w:rsid w:val="3C97266F"/>
    <w:rsid w:val="3ED43706"/>
    <w:rsid w:val="3F116709"/>
    <w:rsid w:val="43EE12FB"/>
    <w:rsid w:val="470E1780"/>
    <w:rsid w:val="47543636"/>
    <w:rsid w:val="486E0728"/>
    <w:rsid w:val="4C5C6E6F"/>
    <w:rsid w:val="51046B15"/>
    <w:rsid w:val="557B26D6"/>
    <w:rsid w:val="56133344"/>
    <w:rsid w:val="5AEC4DDF"/>
    <w:rsid w:val="5BE10896"/>
    <w:rsid w:val="5F4973A1"/>
    <w:rsid w:val="644559D2"/>
    <w:rsid w:val="687D2B76"/>
    <w:rsid w:val="6A4946F9"/>
    <w:rsid w:val="751E0D04"/>
    <w:rsid w:val="7F0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rFonts w:ascii="Cambria" w:hAnsi="Cambria"/>
      <w:b/>
      <w:bCs/>
      <w:sz w:val="32"/>
      <w:szCs w:val="32"/>
    </w:rPr>
  </w:style>
  <w:style w:type="paragraph" w:styleId="3">
    <w:name w:val="index 8"/>
    <w:basedOn w:val="1"/>
    <w:next w:val="1"/>
    <w:unhideWhenUsed/>
    <w:qFormat/>
    <w:uiPriority w:val="99"/>
    <w:pPr>
      <w:ind w:left="1400" w:leftChars="14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1229</Words>
  <Characters>1317</Characters>
  <Lines>0</Lines>
  <Paragraphs>0</Paragraphs>
  <TotalTime>13</TotalTime>
  <ScaleCrop>false</ScaleCrop>
  <LinksUpToDate>false</LinksUpToDate>
  <CharactersWithSpaces>1326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2026-10-21T02:43:00Z</dcterms:created>
  <dc:creator>々★铭☆轩★々</dc:creator>
  <cp:lastModifiedBy>々★铭☆轩★々</cp:lastModifiedBy>
  <dcterms:modified xsi:type="dcterms:W3CDTF">2026-10-21T06:48:54Z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8CD210B46D70465E9518860654147A9B_11</vt:lpwstr>
  </property>
  <property fmtid="{D5CDD505-2E9C-101B-9397-08002B2CF9AE}" pid="4" name="KSOTemplateDocerSaveRecord">
    <vt:lpwstr>eyJoZGlkIjoiY2RhZjFkYjA1MGEzMTM1M2VmNzZhMjc5ZGVlOWY2ZDMiLCJ1c2VySWQiOiIyMzE3OTE0MzMifQ==</vt:lpwstr>
  </property>
</Properties>
</file>