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64705">
      <w:pPr>
        <w:jc w:val="center"/>
        <w:rPr>
          <w:rFonts w:hint="eastAsia" w:asciiTheme="minorEastAsia" w:hAnsiTheme="minorEastAsia" w:cstheme="majorEastAsia"/>
          <w:b/>
          <w:bCs/>
          <w:color w:val="auto"/>
          <w:sz w:val="44"/>
          <w:szCs w:val="44"/>
          <w:highlight w:val="none"/>
          <w:lang w:val="en-US" w:eastAsia="zh-CN"/>
        </w:rPr>
      </w:pPr>
      <w:r>
        <w:rPr>
          <w:rFonts w:hint="eastAsia" w:asciiTheme="minorEastAsia" w:hAnsiTheme="minorEastAsia" w:cstheme="majorEastAsia"/>
          <w:b/>
          <w:bCs/>
          <w:color w:val="auto"/>
          <w:sz w:val="44"/>
          <w:szCs w:val="44"/>
          <w:highlight w:val="none"/>
          <w:lang w:val="en-US" w:eastAsia="zh-CN"/>
        </w:rPr>
        <w:t>禹州市第三人民医院食堂餐饮服务项目</w:t>
      </w:r>
    </w:p>
    <w:p w14:paraId="5EFC8838">
      <w:pPr>
        <w:rPr>
          <w:rFonts w:asciiTheme="minorEastAsia" w:hAnsiTheme="minorEastAsia"/>
          <w:color w:val="auto"/>
          <w:highlight w:val="none"/>
          <w:u w:val="single"/>
        </w:rPr>
      </w:pPr>
    </w:p>
    <w:p w14:paraId="26D5F984">
      <w:pPr>
        <w:rPr>
          <w:rFonts w:asciiTheme="minorEastAsia" w:hAnsiTheme="minorEastAsia"/>
          <w:color w:val="auto"/>
          <w:highlight w:val="none"/>
        </w:rPr>
      </w:pPr>
    </w:p>
    <w:p w14:paraId="5B2596FC">
      <w:pPr>
        <w:rPr>
          <w:rFonts w:asciiTheme="minorEastAsia" w:hAnsiTheme="minorEastAsia"/>
          <w:color w:val="auto"/>
          <w:highlight w:val="none"/>
        </w:rPr>
      </w:pPr>
    </w:p>
    <w:p w14:paraId="13A7BC57">
      <w:pPr>
        <w:rPr>
          <w:rFonts w:asciiTheme="minorEastAsia" w:hAnsiTheme="minorEastAsia"/>
          <w:color w:val="auto"/>
          <w:highlight w:val="none"/>
        </w:rPr>
      </w:pPr>
    </w:p>
    <w:p w14:paraId="258CA7EE">
      <w:pPr>
        <w:pStyle w:val="7"/>
        <w:rPr>
          <w:color w:val="auto"/>
          <w:highlight w:val="none"/>
        </w:rPr>
      </w:pPr>
    </w:p>
    <w:p w14:paraId="76A9C630">
      <w:pPr>
        <w:rPr>
          <w:rFonts w:asciiTheme="minorEastAsia" w:hAnsiTheme="minorEastAsia"/>
          <w:color w:val="auto"/>
          <w:highlight w:val="none"/>
        </w:rPr>
      </w:pPr>
    </w:p>
    <w:p w14:paraId="6FC8D3AD">
      <w:pPr>
        <w:rPr>
          <w:rFonts w:asciiTheme="minorEastAsia" w:hAnsiTheme="minorEastAsia"/>
          <w:color w:val="auto"/>
          <w:highlight w:val="none"/>
        </w:rPr>
      </w:pPr>
    </w:p>
    <w:p w14:paraId="19BD09C4">
      <w:pPr>
        <w:rPr>
          <w:rFonts w:asciiTheme="minorEastAsia" w:hAnsiTheme="minorEastAsia"/>
          <w:color w:val="auto"/>
          <w:highlight w:val="none"/>
        </w:rPr>
      </w:pPr>
    </w:p>
    <w:p w14:paraId="337B683A">
      <w:pPr>
        <w:rPr>
          <w:rFonts w:asciiTheme="minorEastAsia" w:hAnsiTheme="minorEastAsia"/>
          <w:color w:val="auto"/>
          <w:highlight w:val="none"/>
        </w:rPr>
      </w:pPr>
    </w:p>
    <w:p w14:paraId="3CBCFE63">
      <w:pPr>
        <w:rPr>
          <w:rFonts w:asciiTheme="minorEastAsia" w:hAnsiTheme="minorEastAsia"/>
          <w:color w:val="auto"/>
          <w:highlight w:val="non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2B0CD870">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004C0F4F">
      <w:pPr>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采购编号：YZCG-DL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32</w:t>
      </w:r>
    </w:p>
    <w:p w14:paraId="66A2AEEE">
      <w:pPr>
        <w:ind w:firstLine="1084" w:firstLineChars="300"/>
        <w:rPr>
          <w:rFonts w:hint="eastAsia" w:asciiTheme="minorEastAsia" w:hAnsiTheme="minorEastAsia" w:eastAsiaTheme="minorEastAsia"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采购单位：禹州市</w:t>
      </w:r>
      <w:r>
        <w:rPr>
          <w:rFonts w:hint="eastAsia" w:asciiTheme="minorEastAsia" w:hAnsiTheme="minorEastAsia" w:cstheme="majorEastAsia"/>
          <w:b/>
          <w:bCs/>
          <w:color w:val="auto"/>
          <w:sz w:val="36"/>
          <w:szCs w:val="36"/>
          <w:highlight w:val="none"/>
          <w:lang w:eastAsia="zh-CN"/>
        </w:rPr>
        <w:t>第三人民医院</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河南天欧工程管理有限公司</w:t>
      </w:r>
    </w:p>
    <w:p w14:paraId="59347F42">
      <w:pPr>
        <w:ind w:firstLine="2891" w:firstLineChars="8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五</w:t>
      </w:r>
      <w:r>
        <w:rPr>
          <w:rFonts w:hint="eastAsia" w:asciiTheme="minorEastAsia" w:hAnsiTheme="minorEastAsia" w:cstheme="majorEastAsia"/>
          <w:b/>
          <w:bCs/>
          <w:color w:val="auto"/>
          <w:sz w:val="36"/>
          <w:szCs w:val="36"/>
          <w:highlight w:val="none"/>
        </w:rPr>
        <w:t>月</w:t>
      </w:r>
    </w:p>
    <w:p w14:paraId="72163D3C">
      <w:pPr>
        <w:autoSpaceDE w:val="0"/>
        <w:autoSpaceDN w:val="0"/>
        <w:adjustRightInd w:val="0"/>
        <w:spacing w:line="700" w:lineRule="exact"/>
        <w:rPr>
          <w:rFonts w:cs="宋体" w:asciiTheme="minorEastAsia" w:hAnsiTheme="minorEastAsia"/>
          <w:b/>
          <w:color w:val="auto"/>
          <w:kern w:val="0"/>
          <w:sz w:val="44"/>
          <w:szCs w:val="44"/>
          <w:highlight w:val="none"/>
        </w:rPr>
      </w:pPr>
    </w:p>
    <w:p w14:paraId="160A641D">
      <w:pPr>
        <w:rPr>
          <w:rFonts w:cs="宋体" w:asciiTheme="minorEastAsia" w:hAnsiTheme="minorEastAsia"/>
          <w:b/>
          <w:color w:val="auto"/>
          <w:kern w:val="0"/>
          <w:sz w:val="44"/>
          <w:szCs w:val="44"/>
          <w:highlight w:val="none"/>
        </w:r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1D5B4F59">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eastAsia="zh-CN"/>
        </w:rPr>
        <w:t>谈判</w:t>
      </w:r>
      <w:r>
        <w:rPr>
          <w:rFonts w:hint="eastAsia" w:cs="宋体" w:asciiTheme="minorEastAsia" w:hAnsiTheme="minorEastAsia"/>
          <w:b/>
          <w:color w:val="auto"/>
          <w:kern w:val="0"/>
          <w:sz w:val="32"/>
          <w:szCs w:val="32"/>
          <w:highlight w:val="none"/>
        </w:rPr>
        <w:t>邀请</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35483CF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禹州市第三人民医院食堂餐饮服务项目的</w:t>
      </w:r>
      <w:bookmarkStart w:id="0" w:name="OLE_LINK12"/>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28</w:t>
      </w:r>
      <w:r>
        <w:rPr>
          <w:rFonts w:hint="eastAsia" w:ascii="宋体" w:hAnsi="宋体" w:eastAsia="宋体"/>
          <w:color w:val="auto"/>
          <w:sz w:val="21"/>
          <w:szCs w:val="21"/>
          <w:highlight w:val="none"/>
        </w:rPr>
        <w:t>日</w:t>
      </w:r>
      <w:r>
        <w:rPr>
          <w:rFonts w:hint="default" w:ascii="宋体" w:hAnsi="宋体" w:eastAsia="宋体"/>
          <w:color w:val="auto"/>
          <w:sz w:val="21"/>
          <w:szCs w:val="21"/>
          <w:highlight w:val="none"/>
          <w:lang w:val="en-US" w:eastAsia="zh-CN"/>
        </w:rPr>
        <w:t>08</w:t>
      </w:r>
      <w:r>
        <w:rPr>
          <w:rFonts w:hint="eastAsia" w:ascii="宋体" w:hAnsi="宋体" w:eastAsia="宋体"/>
          <w:color w:val="auto"/>
          <w:sz w:val="21"/>
          <w:szCs w:val="21"/>
          <w:highlight w:val="none"/>
        </w:rPr>
        <w:t>时</w:t>
      </w:r>
      <w:r>
        <w:rPr>
          <w:rFonts w:hint="default"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分（北京时间）前递交响应文件。</w:t>
      </w:r>
      <w:bookmarkEnd w:id="0"/>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w:t>
      </w:r>
      <w:r>
        <w:rPr>
          <w:rFonts w:hint="eastAsia" w:ascii="宋体" w:hAnsi="宋体" w:eastAsia="宋体"/>
          <w:color w:val="auto"/>
          <w:sz w:val="21"/>
          <w:szCs w:val="21"/>
          <w:highlight w:val="none"/>
          <w:lang w:val="en-US" w:eastAsia="zh-CN"/>
        </w:rPr>
        <w:t>T</w:t>
      </w:r>
      <w:r>
        <w:rPr>
          <w:rFonts w:hint="default" w:ascii="宋体" w:hAnsi="宋体" w:eastAsia="宋体"/>
          <w:color w:val="auto"/>
          <w:sz w:val="21"/>
          <w:szCs w:val="21"/>
          <w:highlight w:val="none"/>
          <w:lang w:val="en-US"/>
        </w:rPr>
        <w:t>202</w:t>
      </w:r>
      <w:r>
        <w:rPr>
          <w:rFonts w:hint="eastAsia" w:ascii="宋体" w:hAnsi="宋体" w:eastAsia="宋体"/>
          <w:color w:val="auto"/>
          <w:sz w:val="21"/>
          <w:szCs w:val="21"/>
          <w:highlight w:val="none"/>
          <w:lang w:val="en-US" w:eastAsia="zh-CN"/>
        </w:rPr>
        <w:t>6032</w:t>
      </w:r>
    </w:p>
    <w:p w14:paraId="36461F3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theme="majorEastAsia"/>
          <w:b w:val="0"/>
          <w:bCs w:val="0"/>
          <w:color w:val="auto"/>
          <w:sz w:val="21"/>
          <w:szCs w:val="21"/>
          <w:highlight w:val="none"/>
        </w:rPr>
      </w:pPr>
      <w:r>
        <w:rPr>
          <w:rFonts w:hint="eastAsia" w:ascii="宋体" w:hAnsi="宋体" w:eastAsia="宋体"/>
          <w:color w:val="auto"/>
          <w:sz w:val="21"/>
          <w:szCs w:val="21"/>
          <w:highlight w:val="none"/>
        </w:rPr>
        <w:t>2. 项目名称：禹州市第三人民医院食堂餐饮服务项目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3. 采购方式：</w:t>
      </w:r>
      <w:bookmarkStart w:id="1" w:name="OLE_LINK94"/>
      <w:bookmarkStart w:id="2" w:name="OLE_LINK76"/>
      <w:bookmarkStart w:id="3" w:name="OLE_LINK69"/>
      <w:r>
        <w:rPr>
          <w:rFonts w:hint="eastAsia" w:ascii="宋体" w:hAnsi="宋体" w:eastAsia="宋体"/>
          <w:color w:val="auto"/>
          <w:sz w:val="21"/>
          <w:szCs w:val="21"/>
          <w:highlight w:val="none"/>
        </w:rPr>
        <w:t>竞争性</w:t>
      </w:r>
      <w:bookmarkEnd w:id="1"/>
      <w:bookmarkEnd w:id="2"/>
      <w:bookmarkEnd w:id="3"/>
      <w:r>
        <w:rPr>
          <w:rFonts w:hint="eastAsia" w:ascii="宋体" w:hAnsi="宋体" w:eastAsia="宋体"/>
          <w:color w:val="auto"/>
          <w:sz w:val="21"/>
          <w:szCs w:val="21"/>
          <w:highlight w:val="none"/>
          <w:lang w:val="en-US" w:eastAsia="zh-CN"/>
        </w:rPr>
        <w:t>谈判</w:t>
      </w:r>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4. 预算金额：</w:t>
      </w:r>
      <w:r>
        <w:rPr>
          <w:rFonts w:hint="eastAsia" w:ascii="宋体" w:hAnsi="宋体" w:eastAsia="宋体"/>
          <w:color w:val="auto"/>
          <w:sz w:val="21"/>
          <w:szCs w:val="21"/>
          <w:highlight w:val="none"/>
          <w:lang w:val="en-US" w:eastAsia="zh-CN"/>
        </w:rPr>
        <w:t>876000.00</w:t>
      </w:r>
      <w:r>
        <w:rPr>
          <w:rFonts w:hint="eastAsia" w:ascii="宋体" w:hAnsi="宋体" w:eastAsia="宋体"/>
          <w:color w:val="auto"/>
          <w:sz w:val="21"/>
          <w:szCs w:val="21"/>
          <w:highlight w:val="none"/>
        </w:rPr>
        <w:t>元</w:t>
      </w:r>
      <w:r>
        <w:rPr>
          <w:rFonts w:hint="eastAsia" w:ascii="宋体" w:hAnsi="宋体" w:eastAsia="宋体"/>
          <w:color w:val="auto"/>
          <w:sz w:val="21"/>
          <w:szCs w:val="21"/>
          <w:highlight w:val="none"/>
          <w:lang w:val="en-US" w:eastAsia="zh-CN"/>
        </w:rPr>
        <w:t xml:space="preserve"> </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 xml:space="preserve">   最高限价：</w:t>
      </w:r>
      <w:r>
        <w:rPr>
          <w:rFonts w:hint="eastAsia" w:ascii="宋体" w:hAnsi="宋体" w:eastAsia="宋体"/>
          <w:color w:val="auto"/>
          <w:sz w:val="21"/>
          <w:szCs w:val="21"/>
          <w:highlight w:val="none"/>
          <w:lang w:val="en-US" w:eastAsia="zh-CN"/>
        </w:rPr>
        <w:t>876000.00</w:t>
      </w:r>
      <w:r>
        <w:rPr>
          <w:rFonts w:hint="eastAsia" w:ascii="宋体" w:hAnsi="宋体" w:eastAsia="宋体"/>
          <w:color w:val="auto"/>
          <w:sz w:val="21"/>
          <w:szCs w:val="21"/>
          <w:highlight w:val="none"/>
        </w:rPr>
        <w:t xml:space="preserve">元 </w:t>
      </w:r>
      <w:r>
        <w:rPr>
          <w:rFonts w:hint="eastAsia" w:ascii="宋体" w:hAnsi="宋体" w:eastAsia="宋体"/>
          <w:color w:val="auto"/>
          <w:sz w:val="21"/>
          <w:szCs w:val="21"/>
          <w:highlight w:val="none"/>
          <w:lang w:val="en-US" w:eastAsia="zh-CN"/>
        </w:rPr>
        <w:t xml:space="preserve">  </w:t>
      </w:r>
    </w:p>
    <w:tbl>
      <w:tblPr>
        <w:tblStyle w:val="17"/>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079"/>
        <w:gridCol w:w="1382"/>
        <w:gridCol w:w="1256"/>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317"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079"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382"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256"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YZCG-DL</w:t>
            </w:r>
            <w:r>
              <w:rPr>
                <w:rFonts w:hint="eastAsia" w:ascii="宋体" w:hAnsi="宋体" w:eastAsia="宋体"/>
                <w:color w:val="auto"/>
                <w:sz w:val="21"/>
                <w:szCs w:val="21"/>
                <w:highlight w:val="none"/>
                <w:lang w:val="en-US" w:eastAsia="zh-CN"/>
              </w:rPr>
              <w:t>T</w:t>
            </w:r>
            <w:r>
              <w:rPr>
                <w:rFonts w:hint="default" w:ascii="宋体" w:hAnsi="宋体" w:eastAsia="宋体"/>
                <w:color w:val="auto"/>
                <w:sz w:val="21"/>
                <w:szCs w:val="21"/>
                <w:highlight w:val="none"/>
                <w:lang w:val="en-US"/>
              </w:rPr>
              <w:t>202</w:t>
            </w:r>
            <w:r>
              <w:rPr>
                <w:rFonts w:hint="eastAsia" w:ascii="宋体" w:hAnsi="宋体" w:eastAsia="宋体"/>
                <w:color w:val="auto"/>
                <w:sz w:val="21"/>
                <w:szCs w:val="21"/>
                <w:highlight w:val="none"/>
                <w:lang w:val="en-US" w:eastAsia="zh-CN"/>
              </w:rPr>
              <w:t xml:space="preserve">6032 </w:t>
            </w:r>
          </w:p>
        </w:tc>
        <w:tc>
          <w:tcPr>
            <w:tcW w:w="2317" w:type="dxa"/>
            <w:shd w:val="clear" w:color="auto" w:fill="auto"/>
            <w:vAlign w:val="center"/>
          </w:tcPr>
          <w:p w14:paraId="285459D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禹州市第三人民医院食堂餐饮服务项目</w:t>
            </w:r>
          </w:p>
        </w:tc>
        <w:tc>
          <w:tcPr>
            <w:tcW w:w="1079"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876000.00</w:t>
            </w:r>
          </w:p>
        </w:tc>
        <w:tc>
          <w:tcPr>
            <w:tcW w:w="1382"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lang w:val="en-US" w:eastAsia="zh-CN"/>
              </w:rPr>
              <w:t>876000.00</w:t>
            </w:r>
          </w:p>
        </w:tc>
        <w:tc>
          <w:tcPr>
            <w:tcW w:w="1256"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2BD5D34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eastAsia="zh-CN"/>
        </w:rPr>
        <w:t>拟遴选1家具备相应资质的餐饮服务公司，为禹州市第三人民医院提供集体用餐配送及相关餐饮服务，保障医院患者</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val="zh-CN" w:eastAsia="zh-CN"/>
        </w:rPr>
        <w:t>医护人员、行政后勤人员等就餐群体的饮食安全、健康与便捷</w:t>
      </w: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单价招标，单价最高限价15元/人/天，中标后根据实际用餐人数据实结算。</w:t>
      </w:r>
      <w:r>
        <w:rPr>
          <w:rFonts w:hint="eastAsia" w:ascii="宋体" w:hAnsi="宋体" w:eastAsia="宋体"/>
          <w:color w:val="auto"/>
          <w:sz w:val="21"/>
          <w:szCs w:val="21"/>
          <w:highlight w:val="none"/>
          <w:lang w:val="zh-CN"/>
        </w:rPr>
        <w:t>共划分一个标段。（详见谈判文件第二章项目需求）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6.合同履行期限：</w:t>
      </w:r>
      <w:r>
        <w:rPr>
          <w:rFonts w:hint="eastAsia" w:ascii="宋体" w:hAnsi="宋体" w:eastAsia="宋体"/>
          <w:color w:val="auto"/>
          <w:sz w:val="21"/>
          <w:szCs w:val="21"/>
          <w:highlight w:val="none"/>
          <w:lang w:eastAsia="zh-CN"/>
        </w:rPr>
        <w:t>一年</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27822F68">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4" w:name="OLE_LINK26"/>
      <w:bookmarkStart w:id="5" w:name="OLE_LINK25"/>
      <w:r>
        <w:rPr>
          <w:rFonts w:hint="eastAsia" w:ascii="宋体" w:hAnsi="宋体" w:eastAsia="宋体" w:cs="仿宋_GB2312"/>
          <w:color w:val="auto"/>
          <w:sz w:val="21"/>
          <w:szCs w:val="21"/>
          <w:highlight w:val="none"/>
          <w:lang w:val="zh-CN"/>
        </w:rPr>
        <w:t>本项目落实节约能源、保护环境、扶持不发达地区和少数民族地区、促进中小企业、监狱企业发展等政府采购政策。</w:t>
      </w:r>
      <w:bookmarkEnd w:id="4"/>
      <w:bookmarkEnd w:id="5"/>
      <w:r>
        <w:rPr>
          <w:rFonts w:hint="eastAsia" w:ascii="宋体" w:hAnsi="宋体" w:eastAsia="宋体" w:cs="仿宋_GB2312"/>
          <w:color w:val="auto"/>
          <w:sz w:val="21"/>
          <w:szCs w:val="21"/>
          <w:highlight w:val="none"/>
          <w:lang w:val="zh-CN"/>
        </w:rPr>
        <w:t>（本项目专门面向中、小、微</w:t>
      </w:r>
      <w:r>
        <w:rPr>
          <w:rFonts w:hint="eastAsia" w:ascii="宋体" w:hAnsi="宋体" w:eastAsia="宋体" w:cs="仿宋_GB2312"/>
          <w:color w:val="auto"/>
          <w:sz w:val="21"/>
          <w:szCs w:val="21"/>
          <w:highlight w:val="none"/>
          <w:lang w:val="zh-CN" w:eastAsia="zh-CN"/>
        </w:rPr>
        <w:t>型</w:t>
      </w:r>
      <w:r>
        <w:rPr>
          <w:rFonts w:hint="eastAsia" w:ascii="宋体" w:hAnsi="宋体" w:eastAsia="宋体" w:cs="仿宋_GB2312"/>
          <w:color w:val="auto"/>
          <w:sz w:val="21"/>
          <w:szCs w:val="21"/>
          <w:highlight w:val="none"/>
          <w:lang w:val="zh-CN"/>
        </w:rPr>
        <w:t>企业采购）</w:t>
      </w:r>
    </w:p>
    <w:p w14:paraId="19C0394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仿宋_GB2312"/>
          <w:color w:val="auto"/>
          <w:sz w:val="21"/>
          <w:szCs w:val="21"/>
          <w:highlight w:val="none"/>
          <w:lang w:val="zh-CN" w:eastAsia="zh-CN"/>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zh-CN" w:eastAsia="zh-CN"/>
        </w:rPr>
        <w:t>供应商须具有有效的餐饮服务许可证或食品经营许可证，具有良好的社会信誉，在以往经营过程中无食物中毒、恶性事件等安全事故发生。</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6" w:name="OLE_LINK29"/>
      <w:bookmarkStart w:id="7" w:name="OLE_LINK28"/>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6"/>
      <w:bookmarkEnd w:id="7"/>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8" w:name="OLE_LINK31"/>
      <w:bookmarkStart w:id="9" w:name="OLE_LINK30"/>
      <w:r>
        <w:rPr>
          <w:rFonts w:hint="eastAsia" w:ascii="宋体" w:hAnsi="宋体" w:eastAsia="宋体" w:cs="宋体"/>
          <w:b/>
          <w:bCs/>
          <w:color w:val="auto"/>
          <w:sz w:val="21"/>
          <w:szCs w:val="21"/>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8"/>
      <w:bookmarkEnd w:id="9"/>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0" w:name="OLE_LINK33"/>
      <w:bookmarkStart w:id="11" w:name="OLE_LINK32"/>
      <w:r>
        <w:rPr>
          <w:rStyle w:val="20"/>
          <w:rFonts w:hint="eastAsia" w:ascii="宋体" w:hAnsi="宋体" w:eastAsia="宋体" w:cs="Segoe UI"/>
          <w:color w:val="auto"/>
          <w:sz w:val="21"/>
          <w:szCs w:val="21"/>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0"/>
      <w:bookmarkEnd w:id="11"/>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2" w:name="OLE_LINK35"/>
      <w:bookmarkStart w:id="13" w:name="OLE_LINK34"/>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2"/>
      <w:bookmarkEnd w:id="13"/>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4" w:name="OLE_LINK36"/>
      <w:bookmarkStart w:id="15" w:name="OLE_LINK37"/>
      <w:r>
        <w:rPr>
          <w:rFonts w:hint="eastAsia" w:ascii="宋体" w:hAnsi="宋体" w:eastAsia="宋体"/>
          <w:b/>
          <w:bCs/>
          <w:color w:val="auto"/>
          <w:sz w:val="21"/>
          <w:szCs w:val="21"/>
          <w:highlight w:val="none"/>
        </w:rPr>
        <w:t>七、其他补充事宜</w:t>
      </w:r>
    </w:p>
    <w:bookmarkEnd w:id="14"/>
    <w:bookmarkEnd w:id="15"/>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项目编号以本谈判文件中的采购编号为准，采购编号：YZCG-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32</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6" w:name="OLE_LINK43"/>
      <w:bookmarkStart w:id="17" w:name="OLE_LINK42"/>
      <w:r>
        <w:rPr>
          <w:rFonts w:ascii="宋体" w:hAnsi="宋体" w:eastAsia="宋体" w:cs="仿宋_GB2312"/>
          <w:color w:val="auto"/>
          <w:sz w:val="21"/>
          <w:szCs w:val="21"/>
          <w:highlight w:val="none"/>
          <w:lang w:val="zh-CN"/>
        </w:rPr>
        <w:t>1.采购人信息</w:t>
      </w:r>
      <w:bookmarkEnd w:id="16"/>
      <w:bookmarkEnd w:id="17"/>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8" w:name="OLE_LINK38"/>
      <w:bookmarkStart w:id="19" w:name="OLE_LINK39"/>
      <w:r>
        <w:rPr>
          <w:rFonts w:hint="eastAsia" w:ascii="宋体" w:hAnsi="宋体" w:eastAsia="宋体" w:cs="仿宋_GB2312"/>
          <w:color w:val="auto"/>
          <w:sz w:val="21"/>
          <w:szCs w:val="21"/>
          <w:highlight w:val="none"/>
          <w:lang w:val="zh-CN"/>
        </w:rPr>
        <w:t>名称：禹州市第三人民医院</w:t>
      </w:r>
    </w:p>
    <w:p w14:paraId="006425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地址：河南省许昌市禹州市梁北镇平禹大道与三峰路交叉口北80米</w:t>
      </w:r>
    </w:p>
    <w:p w14:paraId="647EC61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联系人：杨</w:t>
      </w:r>
      <w:r>
        <w:rPr>
          <w:rFonts w:hint="eastAsia" w:ascii="宋体" w:hAnsi="宋体" w:eastAsia="宋体" w:cs="仿宋_GB2312"/>
          <w:color w:val="auto"/>
          <w:sz w:val="21"/>
          <w:szCs w:val="21"/>
          <w:highlight w:val="none"/>
          <w:lang w:val="en-US" w:eastAsia="zh-CN"/>
        </w:rPr>
        <w:t>先生</w:t>
      </w:r>
    </w:p>
    <w:p w14:paraId="66C1521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 xml:space="preserve">0374-8609016 </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8"/>
    <w:bookmarkEnd w:id="19"/>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联系人：乔先生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3D14C2A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联系人：乔先生       </w:t>
      </w:r>
    </w:p>
    <w:p w14:paraId="0FA03B6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4994E001">
      <w:pPr>
        <w:rPr>
          <w:color w:val="auto"/>
          <w:sz w:val="21"/>
          <w:szCs w:val="21"/>
          <w:highlight w:val="none"/>
        </w:rPr>
      </w:pPr>
    </w:p>
    <w:p w14:paraId="63EE2B36">
      <w:pPr>
        <w:wordWrap w:val="0"/>
        <w:spacing w:line="360" w:lineRule="auto"/>
        <w:ind w:firstLine="422" w:firstLineChars="200"/>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t>温馨提示：</w:t>
      </w:r>
    </w:p>
    <w:p w14:paraId="7043AD3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1.</w:t>
      </w:r>
      <w:r>
        <w:rPr>
          <w:rFonts w:hint="eastAsia" w:cs="仿宋_GB2312" w:asciiTheme="minorEastAsia" w:hAnsiTheme="minorEastAsia"/>
          <w:color w:val="auto"/>
          <w:sz w:val="21"/>
          <w:szCs w:val="21"/>
          <w:highlight w:val="none"/>
          <w:lang w:val="zh-CN"/>
        </w:rPr>
        <w:t>供应商参加本项目投标，需提前自行联系CA数字证书或移动数字证书服务机构办理数字认证证书并进行电子签章。</w:t>
      </w:r>
    </w:p>
    <w:p w14:paraId="5DD6DFFD">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2.</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文件下载、响应文件制作、提交、远程不见面开标（电子投标文件的解密）环节，供应商须使用同一个CA数字证书或移动数字证书（证书须在有效期内并可正常使用）。</w:t>
      </w:r>
    </w:p>
    <w:p w14:paraId="45CD31C4">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3.电子响应文件的制作</w:t>
      </w:r>
    </w:p>
    <w:p w14:paraId="13C08A9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3.1</w:t>
      </w:r>
      <w:r>
        <w:rPr>
          <w:rFonts w:hint="eastAsia" w:cs="仿宋_GB2312" w:asciiTheme="minorEastAsia" w:hAnsiTheme="minorEastAsia"/>
          <w:color w:val="auto"/>
          <w:sz w:val="21"/>
          <w:szCs w:val="21"/>
          <w:highlight w:val="none"/>
          <w:lang w:val="zh-CN"/>
        </w:rPr>
        <w:t>供应商登录“全国公共资源交易平台（河南省·许昌市）”下载“新点投标文件制作软件（河南省版）”的最新版本制作电子响应文件。</w:t>
      </w:r>
    </w:p>
    <w:p w14:paraId="6D250EFF">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3.2</w:t>
      </w:r>
      <w:r>
        <w:rPr>
          <w:rFonts w:hint="eastAsia" w:cs="仿宋_GB2312" w:asciiTheme="minorEastAsia" w:hAnsiTheme="minorEastAsia"/>
          <w:color w:val="auto"/>
          <w:sz w:val="21"/>
          <w:szCs w:val="21"/>
          <w:highlight w:val="none"/>
          <w:lang w:val="zh-CN"/>
        </w:rPr>
        <w:t>供应商对同一项目多个标段进行响应的，应分别下载所投标段的</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文件，按标段制作响应文件。一个标段对应生成2份电子响应文件（后缀格式为.XCSTF和.nXCSTF），其中后缀格式为“.XCSTF”的加密电子响应文件用于上传至交易系统中投标。</w:t>
      </w:r>
    </w:p>
    <w:p w14:paraId="3A1FD8C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w:t>
      </w:r>
      <w:r>
        <w:rPr>
          <w:rFonts w:hint="eastAsia" w:cs="仿宋_GB2312" w:asciiTheme="minorEastAsia" w:hAnsiTheme="minorEastAsia"/>
          <w:color w:val="auto"/>
          <w:sz w:val="21"/>
          <w:szCs w:val="21"/>
          <w:highlight w:val="none"/>
          <w:lang w:val="zh-CN"/>
        </w:rPr>
        <w:t>加密电子响应文件的提交</w:t>
      </w:r>
    </w:p>
    <w:p w14:paraId="75A88D59">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4.1</w:t>
      </w:r>
      <w:r>
        <w:rPr>
          <w:rFonts w:hint="eastAsia" w:cs="仿宋_GB2312" w:asciiTheme="minorEastAsia" w:hAnsiTheme="minorEastAsia"/>
          <w:color w:val="auto"/>
          <w:sz w:val="21"/>
          <w:szCs w:val="21"/>
          <w:highlight w:val="none"/>
          <w:lang w:val="zh-CN"/>
        </w:rPr>
        <w:t>供应商对同一项目多个标段进行响应的，加密电子响应文件应按标段分别提交。</w:t>
      </w:r>
    </w:p>
    <w:p w14:paraId="44FDD7A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4.2</w:t>
      </w:r>
      <w:r>
        <w:rPr>
          <w:rFonts w:hint="eastAsia" w:cs="仿宋_GB2312" w:asciiTheme="minorEastAsia" w:hAnsiTheme="minorEastAsia"/>
          <w:color w:val="auto"/>
          <w:sz w:val="21"/>
          <w:szCs w:val="21"/>
          <w:highlight w:val="none"/>
          <w:lang w:val="zh-CN"/>
        </w:rPr>
        <w:t>加密电子响应文件成功上传至“全国公共资源交易平台（河南省·许昌市）”后，应在上传页面进行模拟解密，以验证是否能够成功解密。</w:t>
      </w:r>
    </w:p>
    <w:p w14:paraId="3440D743">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w:t>
      </w:r>
      <w:r>
        <w:rPr>
          <w:rFonts w:hint="eastAsia" w:cs="仿宋_GB2312" w:asciiTheme="minorEastAsia" w:hAnsiTheme="minorEastAsia"/>
          <w:color w:val="auto"/>
          <w:sz w:val="21"/>
          <w:szCs w:val="21"/>
          <w:highlight w:val="none"/>
          <w:lang w:val="zh-CN"/>
        </w:rPr>
        <w:t>远程不见面开标（电子响应文件的解密）</w:t>
      </w:r>
    </w:p>
    <w:p w14:paraId="0CA5645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5.1</w:t>
      </w:r>
      <w:r>
        <w:rPr>
          <w:rFonts w:hint="eastAsia" w:cs="仿宋_GB2312" w:asciiTheme="minorEastAsia" w:hAnsiTheme="minorEastAsia"/>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7939E64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5.2</w:t>
      </w:r>
      <w:r>
        <w:rPr>
          <w:rFonts w:hint="eastAsia" w:cs="仿宋_GB2312" w:asciiTheme="minorEastAsia" w:hAnsiTheme="minorEastAsia"/>
          <w:color w:val="auto"/>
          <w:sz w:val="21"/>
          <w:szCs w:val="21"/>
          <w:highlight w:val="none"/>
          <w:lang w:val="zh-CN"/>
        </w:rPr>
        <w:t>供应商应按新交易平台使用手册提前设置好浏览器，并于开标时间前登录本项目网上开标大厅，按照规定的开标时间准时参加网上开标。</w:t>
      </w:r>
    </w:p>
    <w:p w14:paraId="4C59961B">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5.3</w:t>
      </w:r>
      <w:r>
        <w:rPr>
          <w:rFonts w:hint="eastAsia" w:cs="仿宋_GB2312" w:asciiTheme="minorEastAsia" w:hAnsiTheme="minorEastAsia"/>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38F5C503">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5.4</w:t>
      </w:r>
      <w:r>
        <w:rPr>
          <w:rFonts w:hint="eastAsia" w:cs="仿宋_GB2312" w:asciiTheme="minorEastAsia" w:hAnsiTheme="minorEastAsia"/>
          <w:color w:val="auto"/>
          <w:sz w:val="21"/>
          <w:szCs w:val="21"/>
          <w:highlight w:val="none"/>
          <w:lang w:val="zh-CN"/>
        </w:rPr>
        <w:t>在“唱标”环节，供应商应对唱标信息进行确认，供应商未进行唱标确认操作的，视同认可唱标结果。</w:t>
      </w:r>
    </w:p>
    <w:p w14:paraId="1E24E8AC">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5.5</w:t>
      </w:r>
      <w:r>
        <w:rPr>
          <w:rFonts w:hint="eastAsia" w:cs="仿宋_GB2312" w:asciiTheme="minorEastAsia" w:hAnsiTheme="minorEastAsia"/>
          <w:color w:val="auto"/>
          <w:sz w:val="21"/>
          <w:szCs w:val="21"/>
          <w:highlight w:val="none"/>
          <w:lang w:val="zh-CN"/>
        </w:rPr>
        <w:t>在“开标结束”环节，供应商应在《开标情况记录表》上进行电子签章。供应商未签章的，视同认可开标结果。</w:t>
      </w:r>
    </w:p>
    <w:p w14:paraId="6E0483A1">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5.6</w:t>
      </w:r>
      <w:r>
        <w:rPr>
          <w:rFonts w:hint="eastAsia" w:cs="仿宋_GB2312" w:asciiTheme="minorEastAsia" w:hAnsiTheme="minorEastAsia"/>
          <w:color w:val="auto"/>
          <w:sz w:val="21"/>
          <w:szCs w:val="21"/>
          <w:highlight w:val="none"/>
          <w:lang w:val="zh-CN"/>
        </w:rPr>
        <w:t>供应商对开标过程和开标记录如有异议，可在本项目开标大厅界面右下方“发起异议”中提出异议。</w:t>
      </w:r>
    </w:p>
    <w:p w14:paraId="5FE14D19">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w:t>
      </w:r>
      <w:r>
        <w:rPr>
          <w:rFonts w:hint="eastAsia" w:cs="仿宋_GB2312" w:asciiTheme="minorEastAsia" w:hAnsiTheme="minorEastAsia"/>
          <w:color w:val="auto"/>
          <w:sz w:val="21"/>
          <w:szCs w:val="21"/>
          <w:highlight w:val="none"/>
          <w:lang w:val="zh-CN"/>
        </w:rPr>
        <w:t>评标依据</w:t>
      </w:r>
    </w:p>
    <w:p w14:paraId="6A926E58">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6.1</w:t>
      </w:r>
      <w:r>
        <w:rPr>
          <w:rFonts w:hint="eastAsia" w:cs="仿宋_GB2312" w:asciiTheme="minorEastAsia" w:hAnsiTheme="minorEastAsia"/>
          <w:color w:val="auto"/>
          <w:sz w:val="21"/>
          <w:szCs w:val="21"/>
          <w:highlight w:val="none"/>
          <w:lang w:val="zh-CN"/>
        </w:rPr>
        <w:t>全流程电子化交易（不见面开标）项目，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小组以成功上传、解密的电子响应文件为评审依据。</w:t>
      </w:r>
    </w:p>
    <w:p w14:paraId="7F5EE2F5">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6.2</w:t>
      </w:r>
      <w:r>
        <w:rPr>
          <w:rFonts w:hint="eastAsia" w:cs="仿宋_GB2312" w:asciiTheme="minorEastAsia" w:hAnsiTheme="minorEastAsia"/>
          <w:color w:val="auto"/>
          <w:sz w:val="21"/>
          <w:szCs w:val="21"/>
          <w:highlight w:val="none"/>
          <w:lang w:val="zh-CN"/>
        </w:rPr>
        <w:t>评审期间，供应商（参加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的法定代表人或其授权代表）应保持通讯手机畅通，并根据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小组要求在规定时间内提供：</w:t>
      </w:r>
    </w:p>
    <w:p w14:paraId="59B0C02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（1）最后报价（加盖公章，</w:t>
      </w:r>
      <w:r>
        <w:rPr>
          <w:rFonts w:hint="eastAsia" w:cs="仿宋_GB2312" w:asciiTheme="minorEastAsia" w:hAnsiTheme="minorEastAsia"/>
          <w:color w:val="auto"/>
          <w:sz w:val="21"/>
          <w:szCs w:val="21"/>
          <w:highlight w:val="none"/>
        </w:rPr>
        <w:t>并</w:t>
      </w:r>
      <w:r>
        <w:rPr>
          <w:rFonts w:hint="eastAsia" w:cs="仿宋_GB2312" w:asciiTheme="minorEastAsia" w:hAnsiTheme="minorEastAsia"/>
          <w:color w:val="auto"/>
          <w:sz w:val="21"/>
          <w:szCs w:val="21"/>
          <w:highlight w:val="none"/>
          <w:lang w:val="zh-CN"/>
        </w:rPr>
        <w:t>由法定代表人或其授权的代表签字）；</w:t>
      </w:r>
    </w:p>
    <w:p w14:paraId="76248756">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提交方式：供应商须使用CA数字证书或移动数字证书登录“全国公共资源交易平台（河南省·许昌市）”进行最后报价，最后报价应包括：①总报价②分项报价。</w:t>
      </w:r>
    </w:p>
    <w:p w14:paraId="50C44C2B">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小组要求供应商提交最后报价时，在</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小组规定时间内，供应商应提交最后报价（包括总报价及分项报价）。最后报价是供应商响应文件的有效组成部分。</w:t>
      </w:r>
    </w:p>
    <w:p w14:paraId="14258A17">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②</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文件第二章“采购需求”中“采购清单”以工程量清单提供的，供应商应以工程量清单方式提交最后报价。</w:t>
      </w:r>
    </w:p>
    <w:p w14:paraId="46708D4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③请供应商根据项目情况，可提前准备分项报价。</w:t>
      </w:r>
    </w:p>
    <w:p w14:paraId="7112A4C2">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（2）</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小组如要求供应商提供“澄清、说明或者更正”；“按照</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文件的变动情况和</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小组的要求重新提交响应文件”；“最终设计方案或解决方案”的，供应商提供的书面材料应加盖公章，或者由法定代表人或其授权的代表签字后通过电子邮件形式提供。</w:t>
      </w:r>
    </w:p>
    <w:p w14:paraId="73E39CC0">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6.3</w:t>
      </w:r>
      <w:r>
        <w:rPr>
          <w:rFonts w:hint="eastAsia" w:cs="仿宋_GB2312" w:asciiTheme="minorEastAsia" w:hAnsiTheme="minorEastAsia"/>
          <w:color w:val="auto"/>
          <w:sz w:val="21"/>
          <w:szCs w:val="21"/>
          <w:highlight w:val="none"/>
          <w:lang w:val="zh-CN"/>
        </w:rPr>
        <w:t>如因供应商（参加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的法定代表人或其授权代表）未按照本项目</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文件第八章“响应文件有关格式”二“报价一览表”要求，在响应文件中未预留手机号码或因供应商自身原因导致</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小组无法联系供应商参加</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rPr>
        <w:t>（</w:t>
      </w:r>
      <w:r>
        <w:rPr>
          <w:rFonts w:hint="eastAsia" w:cs="仿宋_GB2312" w:asciiTheme="minorEastAsia" w:hAnsiTheme="minorEastAsia"/>
          <w:color w:val="auto"/>
          <w:sz w:val="21"/>
          <w:szCs w:val="21"/>
          <w:highlight w:val="none"/>
          <w:lang w:val="zh-CN"/>
        </w:rPr>
        <w:t>最后报价）的，其风险由供应商自行承担，采购人与采购</w:t>
      </w:r>
      <w:r>
        <w:rPr>
          <w:rFonts w:hint="eastAsia" w:cs="仿宋_GB2312" w:asciiTheme="minorEastAsia" w:hAnsiTheme="minorEastAsia"/>
          <w:color w:val="auto"/>
          <w:sz w:val="21"/>
          <w:szCs w:val="21"/>
          <w:highlight w:val="none"/>
        </w:rPr>
        <w:t>代理</w:t>
      </w:r>
      <w:r>
        <w:rPr>
          <w:rFonts w:hint="eastAsia" w:cs="仿宋_GB2312" w:asciiTheme="minorEastAsia" w:hAnsiTheme="minorEastAsia"/>
          <w:color w:val="auto"/>
          <w:sz w:val="21"/>
          <w:szCs w:val="21"/>
          <w:highlight w:val="none"/>
          <w:lang w:val="zh-CN"/>
        </w:rPr>
        <w:t>机构不承担任何责任。</w:t>
      </w:r>
    </w:p>
    <w:p w14:paraId="043CD35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w:t>
      </w:r>
      <w:r>
        <w:rPr>
          <w:rFonts w:hint="eastAsia" w:cs="仿宋_GB2312" w:asciiTheme="minorEastAsia" w:hAnsiTheme="minorEastAsia"/>
          <w:color w:val="auto"/>
          <w:sz w:val="21"/>
          <w:szCs w:val="21"/>
          <w:highlight w:val="none"/>
          <w:lang w:val="zh-CN"/>
        </w:rPr>
        <w:t>相关事项</w:t>
      </w:r>
    </w:p>
    <w:p w14:paraId="6EDFC9C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7.1</w:t>
      </w:r>
      <w:r>
        <w:rPr>
          <w:rFonts w:hint="eastAsia" w:cs="仿宋_GB2312" w:asciiTheme="minorEastAsia" w:hAnsiTheme="minorEastAsia"/>
          <w:color w:val="auto"/>
          <w:sz w:val="21"/>
          <w:szCs w:val="21"/>
          <w:highlight w:val="none"/>
          <w:lang w:val="zh-CN"/>
        </w:rPr>
        <w:t>为使更多供应商能参加投标，本项目招标文件公告期限届满后仍允许下载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文件参加投标，但为提高采购效率，在公告期限届满之后下载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文件的，对</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文件的质疑期限从公告期限届满之日起计算；在公告期限届满之前下载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文件的，对</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文件的质疑期限从下载之日起计算。</w:t>
      </w:r>
    </w:p>
    <w:p w14:paraId="5C1B310E">
      <w:pPr>
        <w:wordWrap w:val="0"/>
        <w:spacing w:line="360" w:lineRule="auto"/>
        <w:ind w:firstLine="420" w:firstLineChars="200"/>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rPr>
        <w:t>7.2</w:t>
      </w:r>
      <w:r>
        <w:rPr>
          <w:rFonts w:hint="eastAsia" w:cs="仿宋_GB2312" w:asciiTheme="minorEastAsia" w:hAnsiTheme="minorEastAsia"/>
          <w:color w:val="auto"/>
          <w:sz w:val="21"/>
          <w:szCs w:val="21"/>
          <w:highlight w:val="none"/>
          <w:lang w:val="zh-CN"/>
        </w:rPr>
        <w:t>“全国公共资源交易平台（河南省·许昌市）”采购公告栏提供的</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文件仅供浏览。供应商下载</w:t>
      </w:r>
      <w:r>
        <w:rPr>
          <w:rFonts w:hint="eastAsia" w:cs="仿宋_GB2312" w:asciiTheme="minorEastAsia" w:hAnsiTheme="minorEastAsia"/>
          <w:color w:val="auto"/>
          <w:sz w:val="21"/>
          <w:szCs w:val="21"/>
          <w:highlight w:val="none"/>
          <w:lang w:eastAsia="zh-CN"/>
        </w:rPr>
        <w:t>谈判</w:t>
      </w:r>
      <w:r>
        <w:rPr>
          <w:rFonts w:hint="eastAsia" w:cs="仿宋_GB2312" w:asciiTheme="minorEastAsia" w:hAnsiTheme="minorEastAsia"/>
          <w:color w:val="auto"/>
          <w:sz w:val="21"/>
          <w:szCs w:val="21"/>
          <w:highlight w:val="none"/>
          <w:lang w:val="zh-CN"/>
        </w:rPr>
        <w:t>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0" w:name="_Toc138068716"/>
      <w:r>
        <w:rPr>
          <w:rFonts w:hint="eastAsia" w:ascii="宋体" w:hAnsi="宋体" w:eastAsia="宋体" w:cs="宋体"/>
          <w:b/>
          <w:color w:val="auto"/>
          <w:kern w:val="0"/>
          <w:sz w:val="28"/>
          <w:szCs w:val="28"/>
          <w:highlight w:val="none"/>
        </w:rPr>
        <w:t>第二章 采购需求</w:t>
      </w:r>
      <w:bookmarkEnd w:id="20"/>
    </w:p>
    <w:p w14:paraId="0003D9EF">
      <w:pPr>
        <w:pStyle w:val="7"/>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一、本项目需实现的功能或者目标</w:t>
      </w:r>
    </w:p>
    <w:p w14:paraId="6347F20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拟遴选1家具备相应资质的餐饮服务公司，为禹州市第三人民医院提供集体用餐配送及相关餐饮服务，保障医院患者、医护人员、行政后勤人员等就餐群体的饮食安全、健康与便捷。</w:t>
      </w:r>
    </w:p>
    <w:p w14:paraId="0F1149B6">
      <w:pPr>
        <w:spacing w:line="360" w:lineRule="auto"/>
        <w:ind w:firstLine="422" w:firstLineChars="200"/>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rPr>
        <w:t>二、</w:t>
      </w:r>
      <w:r>
        <w:rPr>
          <w:rFonts w:hint="eastAsia" w:ascii="宋体" w:hAnsi="宋体" w:cs="Times New Roman"/>
          <w:b/>
          <w:bCs/>
          <w:color w:val="auto"/>
          <w:szCs w:val="21"/>
          <w:highlight w:val="none"/>
          <w:lang w:eastAsia="zh-CN"/>
        </w:rPr>
        <w:t>需求内容</w:t>
      </w:r>
    </w:p>
    <w:p w14:paraId="6E54DB2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（一）</w:t>
      </w:r>
      <w:r>
        <w:rPr>
          <w:rFonts w:hint="eastAsia" w:ascii="宋体" w:hAnsi="宋体" w:eastAsia="宋体" w:cs="Times New Roman"/>
          <w:color w:val="auto"/>
          <w:szCs w:val="21"/>
          <w:highlight w:val="none"/>
        </w:rPr>
        <w:t>项目概况</w:t>
      </w:r>
    </w:p>
    <w:p w14:paraId="495690C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服务内容：为禹州市第三人民医院提供集体用餐配送服务，包含</w:t>
      </w:r>
      <w:r>
        <w:rPr>
          <w:rFonts w:hint="eastAsia" w:ascii="宋体" w:hAnsi="宋体" w:eastAsia="宋体" w:cs="Times New Roman"/>
          <w:color w:val="auto"/>
          <w:szCs w:val="21"/>
          <w:highlight w:val="none"/>
          <w:lang w:val="en-US" w:eastAsia="zh-CN"/>
        </w:rPr>
        <w:t>食材、</w:t>
      </w:r>
      <w:r>
        <w:rPr>
          <w:rFonts w:hint="eastAsia" w:ascii="宋体" w:hAnsi="宋体" w:eastAsia="宋体" w:cs="Times New Roman"/>
          <w:color w:val="auto"/>
          <w:szCs w:val="21"/>
          <w:highlight w:val="none"/>
        </w:rPr>
        <w:t>餐品制作、配送、分餐等相关配套服务，具体服务细节以现场实际踏勘为准。</w:t>
      </w:r>
    </w:p>
    <w:p w14:paraId="6A62C7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服务期限：服务期 1 年</w:t>
      </w:r>
    </w:p>
    <w:p w14:paraId="2DFD7B8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服务质量：合格，需严格满足国家、行业现行食品安全与餐饮服务相关标准，以及禹州市第三人民医院的具体管理要求。</w:t>
      </w:r>
    </w:p>
    <w:p w14:paraId="593102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服务地点：禹州市第三人民医院院内指定区域</w:t>
      </w:r>
    </w:p>
    <w:p w14:paraId="7090BC1F">
      <w:pPr>
        <w:spacing w:line="360" w:lineRule="auto"/>
        <w:ind w:firstLine="420" w:firstLineChars="200"/>
        <w:rPr>
          <w:rFonts w:hint="eastAsia" w:ascii="宋体" w:hAnsi="宋体" w:cs="Times New Roman"/>
          <w:color w:val="auto"/>
          <w:szCs w:val="21"/>
          <w:highlight w:val="none"/>
          <w:lang w:eastAsia="zh-CN"/>
        </w:rPr>
      </w:pPr>
      <w:r>
        <w:rPr>
          <w:rFonts w:hint="eastAsia" w:ascii="宋体" w:hAnsi="宋体" w:eastAsia="宋体" w:cs="Times New Roman"/>
          <w:color w:val="auto"/>
          <w:szCs w:val="21"/>
          <w:highlight w:val="none"/>
        </w:rPr>
        <w:t>项目预算与限价：本项目预算金额 876000.00 元，最高限价 876000.00 元；超出最高限价的响应无效。</w:t>
      </w:r>
      <w:r>
        <w:rPr>
          <w:rFonts w:hint="eastAsia" w:ascii="宋体" w:hAnsi="宋体" w:cs="Times New Roman"/>
          <w:color w:val="auto"/>
          <w:szCs w:val="21"/>
          <w:highlight w:val="none"/>
          <w:lang w:eastAsia="zh-CN"/>
        </w:rPr>
        <w:t>（每日用餐病人约</w:t>
      </w:r>
      <w:r>
        <w:rPr>
          <w:rFonts w:hint="eastAsia" w:ascii="宋体" w:hAnsi="宋体" w:cs="Times New Roman"/>
          <w:color w:val="auto"/>
          <w:szCs w:val="21"/>
          <w:highlight w:val="none"/>
          <w:lang w:val="en-US" w:eastAsia="zh-CN"/>
        </w:rPr>
        <w:t>110人，职工约50人，餐标为每人每天15元，根据中标人单价*用餐人数，据实结算。</w:t>
      </w:r>
      <w:r>
        <w:rPr>
          <w:rFonts w:hint="eastAsia" w:ascii="宋体" w:hAnsi="宋体" w:cs="Times New Roman"/>
          <w:color w:val="auto"/>
          <w:szCs w:val="21"/>
          <w:highlight w:val="none"/>
          <w:lang w:eastAsia="zh-CN"/>
        </w:rPr>
        <w:t>）</w:t>
      </w:r>
    </w:p>
    <w:p w14:paraId="2673FD59">
      <w:pPr>
        <w:spacing w:line="360" w:lineRule="auto"/>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（二）每周食谱</w:t>
      </w:r>
    </w:p>
    <w:tbl>
      <w:tblPr>
        <w:tblStyle w:val="17"/>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2524"/>
        <w:gridCol w:w="2524"/>
        <w:gridCol w:w="2524"/>
      </w:tblGrid>
      <w:tr w14:paraId="2C21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3D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日期</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AE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早餐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30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午餐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2F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晚餐</w:t>
            </w:r>
          </w:p>
        </w:tc>
      </w:tr>
      <w:tr w14:paraId="7785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F1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周一</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C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鸡蛋小麦粥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7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浆面条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5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玉米糁粥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包菜肉片</w:t>
            </w:r>
          </w:p>
        </w:tc>
      </w:tr>
      <w:tr w14:paraId="41C3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3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周二</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0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银丝鸡蛋</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F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烩菜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2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白面粥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萝卜丝粉条</w:t>
            </w:r>
          </w:p>
        </w:tc>
      </w:tr>
      <w:tr w14:paraId="49AE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3F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周三</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9D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八宝粥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蒜蓉凉粉</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1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鸡汤烩面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油卷馒头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3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燕麦粥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r>
      <w:tr w14:paraId="1767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A8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周四</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0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鸡蛋小麦粥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手撕包菜</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E79">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Fonts w:ascii="宋体" w:hAnsi="宋体" w:eastAsia="宋体" w:cs="宋体"/>
                <w:b w:val="0"/>
                <w:bCs w:val="0"/>
                <w:i w:val="0"/>
                <w:iCs w:val="0"/>
                <w:color w:val="auto"/>
                <w:kern w:val="0"/>
                <w:sz w:val="21"/>
                <w:szCs w:val="21"/>
                <w:highlight w:val="none"/>
                <w:u w:val="none"/>
                <w:lang w:val="en-US" w:eastAsia="zh-CN" w:bidi="ar"/>
              </w:rPr>
              <w:t>米饭</w:t>
            </w:r>
            <w:r>
              <w:rPr>
                <w:rFonts w:ascii="宋体" w:hAnsi="宋体" w:eastAsia="宋体" w:cs="宋体"/>
                <w:b w:val="0"/>
                <w:bCs w:val="0"/>
                <w:i w:val="0"/>
                <w:iCs w:val="0"/>
                <w:color w:val="auto"/>
                <w:kern w:val="0"/>
                <w:sz w:val="21"/>
                <w:szCs w:val="21"/>
                <w:highlight w:val="none"/>
                <w:u w:val="none"/>
                <w:lang w:val="en-US" w:eastAsia="zh-CN" w:bidi="ar"/>
              </w:rPr>
              <w:br w:type="textWrapping"/>
            </w:r>
            <w:r>
              <w:rPr>
                <w:rFonts w:ascii="宋体" w:hAnsi="宋体" w:eastAsia="宋体" w:cs="宋体"/>
                <w:b w:val="0"/>
                <w:bCs w:val="0"/>
                <w:i w:val="0"/>
                <w:iCs w:val="0"/>
                <w:color w:val="auto"/>
                <w:kern w:val="0"/>
                <w:sz w:val="21"/>
                <w:szCs w:val="21"/>
                <w:highlight w:val="none"/>
                <w:u w:val="none"/>
                <w:lang w:val="en-US" w:eastAsia="zh-CN" w:bidi="ar"/>
              </w:rPr>
              <w:t>肉末炖豆腐</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F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猪肉炖粉条</w:t>
            </w:r>
          </w:p>
        </w:tc>
      </w:tr>
      <w:tr w14:paraId="17B7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6F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周五</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B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花生黑米粥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  五香鸡蛋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青椒绿豆芽</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69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鲜肉卤面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紫菜蛋花汤</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E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清炒冬瓜</w:t>
            </w:r>
          </w:p>
        </w:tc>
      </w:tr>
      <w:tr w14:paraId="469D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8E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周六</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2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玉米糁粥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馒头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萝卜丝粉条</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77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饸饹面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87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白面粥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茄瓜豆腐</w:t>
            </w:r>
          </w:p>
        </w:tc>
      </w:tr>
      <w:tr w14:paraId="68F5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5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周日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A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青椒绿豆芽</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7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浆面条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卤鸡腿</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05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大米粥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馒头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白菜豆腐</w:t>
            </w:r>
          </w:p>
        </w:tc>
      </w:tr>
    </w:tbl>
    <w:p w14:paraId="53B9E78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（三）</w:t>
      </w:r>
      <w:r>
        <w:rPr>
          <w:rFonts w:hint="eastAsia" w:ascii="宋体" w:hAnsi="宋体" w:eastAsia="宋体" w:cs="Times New Roman"/>
          <w:color w:val="auto"/>
          <w:szCs w:val="21"/>
          <w:highlight w:val="none"/>
        </w:rPr>
        <w:t>核心服务基本要求</w:t>
      </w:r>
    </w:p>
    <w:p w14:paraId="3AE80A3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合规经营要求：中标人经营活动须严格遵守《中华人民共和国食品安全法》及其实施条例、《餐饮业和集体用餐配送单位卫生规范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中华人民共和国消防法</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中华人民共和国劳动合同法</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中华人民共和国民法典</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集中用餐单位落实食品安全主体责任监督管理规定》等国家现行</w:t>
      </w:r>
      <w:r>
        <w:rPr>
          <w:rFonts w:hint="eastAsia" w:ascii="宋体" w:hAnsi="宋体" w:eastAsia="宋体" w:cs="Times New Roman"/>
          <w:color w:val="auto"/>
          <w:szCs w:val="21"/>
          <w:highlight w:val="none"/>
          <w:lang w:eastAsia="zh-CN"/>
        </w:rPr>
        <w:t>法律法规</w:t>
      </w:r>
      <w:r>
        <w:rPr>
          <w:rFonts w:hint="eastAsia" w:ascii="宋体" w:hAnsi="宋体" w:eastAsia="宋体" w:cs="Times New Roman"/>
          <w:color w:val="auto"/>
          <w:szCs w:val="21"/>
          <w:highlight w:val="none"/>
        </w:rPr>
        <w:t>和规范，服从禹州市第三人民医院的统一管理、监督、指导与考核。</w:t>
      </w:r>
    </w:p>
    <w:p w14:paraId="758D1E7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餐品制作要求</w:t>
      </w:r>
    </w:p>
    <w:p w14:paraId="3669E6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餐品以安全、健康、营养为核心原则，兼顾口味与适口性；以大众餐品为主，可根据医院就餐群体需求适当搭配特色餐品，针对性提供清淡、低盐、低脂等适配医护人员及办公人群的餐品。</w:t>
      </w:r>
    </w:p>
    <w:p w14:paraId="3176141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供餐品种为各类普通熟食类餐饮食品，具体品种由中标人与医院后勤管理部门共同审定后，上报医院备案。</w:t>
      </w:r>
    </w:p>
    <w:p w14:paraId="20DE784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食材须在正规食品安全管理平台统一集中采购，确保食材价格公道、质量合格、溯源可查，保障配送服务高效到位。</w:t>
      </w:r>
    </w:p>
    <w:p w14:paraId="79DFBC2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保险购置要求：为防范食品安全风险，中标人须为就餐者购买《食品安全责任险》，保险额度不低于 600 万；签订合同后 7 日内，须将投保保险单递交医院保存。投标人需针对此项内容提供专项承诺书。</w:t>
      </w:r>
    </w:p>
    <w:p w14:paraId="5A45CD5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服务时间要求：中标人须严格按照医院规定的就餐时间、供餐节点提供服务，不得私自提前或延后供餐、擅自更改就餐规则。</w:t>
      </w:r>
    </w:p>
    <w:p w14:paraId="571C807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初犯违规的，处罚中标人</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000元，并没收违规所得营业额；</w:t>
      </w:r>
    </w:p>
    <w:p w14:paraId="04D11AD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再犯的，视情节轻重处罚</w:t>
      </w:r>
      <w:r>
        <w:rPr>
          <w:rFonts w:hint="eastAsia" w:ascii="宋体" w:hAnsi="宋体" w:cs="Times New Roman"/>
          <w:color w:val="auto"/>
          <w:szCs w:val="21"/>
          <w:highlight w:val="none"/>
          <w:lang w:val="en-US" w:eastAsia="zh-CN"/>
        </w:rPr>
        <w:t>0.5万元</w:t>
      </w:r>
      <w:r>
        <w:rPr>
          <w:rFonts w:hint="eastAsia" w:ascii="宋体" w:hAnsi="宋体" w:eastAsia="宋体" w:cs="Times New Roman"/>
          <w:color w:val="auto"/>
          <w:szCs w:val="21"/>
          <w:highlight w:val="none"/>
        </w:rPr>
        <w:t>至</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万元，并没收违规所得营业额；</w:t>
      </w:r>
    </w:p>
    <w:p w14:paraId="212B16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第三次违反的，医院有权单方解除合同，并依法追究中标人违约责任。</w:t>
      </w:r>
    </w:p>
    <w:p w14:paraId="1531EF3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服务期间，不得以任何理由不按时、不充足提供膳食服务，否则视为严重违约，医院有权解除合同并追究违约责任。</w:t>
      </w:r>
    </w:p>
    <w:p w14:paraId="799764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加工配送场所要求：中标人须设置与供应品种、数量相适应的粗加工、切配、烹饪、面点制作、食品冷却、食品包装、待配送食品储存、工用具清洗消毒等加工操作场所，以及食品库房、更衣室、清洁工具存放场所等，所有场所须符合《餐饮业和集体用餐配送单位卫生规范》现行标准。</w:t>
      </w:r>
    </w:p>
    <w:p w14:paraId="197ADD3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监督检查配合要求：中标人须接受医院管理部门的日常监管，配合开展服务质量、餐饮卫生等方面的检查考核；积极接受市场监管、卫健、消防等上级主管部门的监督检查，按要求准备迎检材料，高标准完成迎检任务，对检查中发现的问题须在规定时限内整改落实到位。</w:t>
      </w:r>
    </w:p>
    <w:p w14:paraId="79562FC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食品安全管理要求：中标人须按照《集中用餐单位落实食品安全主体责任监督管理规定》要求，建立健全食品安全管理制度，落实食品安全责任制，依法配备与供餐规模相适应的食品安全管理人员，明确岗位职责并严格执行。</w:t>
      </w:r>
    </w:p>
    <w:p w14:paraId="187F705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合同期满约定：服务期满后，中标人的相关服务权利自动终止，医院不对中标人作出任何期满后的合作承诺，中标人也不得向医院提出期满后任何额外的权利主张。</w:t>
      </w:r>
    </w:p>
    <w:p w14:paraId="0BBDB3F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服务期限变动：若因医院实际需求需调整服务期限，双方另行签订补充协议予以明确。</w:t>
      </w:r>
    </w:p>
    <w:p w14:paraId="6D2A94C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食品安全保证金：中标人的餐饮服务团队在签订合同前，须向医院缴纳食品安全保证金（金额为医院就餐人员一个月的餐费总额）；合同正常解除且无违约责任的，医院按本金全额退还保证金。</w:t>
      </w:r>
    </w:p>
    <w:p w14:paraId="41C24D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（四）</w:t>
      </w:r>
      <w:r>
        <w:rPr>
          <w:rFonts w:hint="eastAsia" w:ascii="宋体" w:hAnsi="宋体" w:eastAsia="宋体" w:cs="Times New Roman"/>
          <w:color w:val="auto"/>
          <w:szCs w:val="21"/>
          <w:highlight w:val="none"/>
        </w:rPr>
        <w:t>人员配置与管理要求</w:t>
      </w:r>
    </w:p>
    <w:p w14:paraId="4A2F29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人员资质与配置：中标人配备的员工、管理人员、技术人员数量须与经营规模、服务需求相适应，所有从业人员均须持有有效健康证明，并保证每年进行一次健康体检；从业人员年龄不得超过 60 周岁。</w:t>
      </w:r>
    </w:p>
    <w:p w14:paraId="096AFF3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人员管理责任：中标人全权负责本公司员工的日常管理，若员工触犯法律法规、医院规章制度、社会公德，所造成的损失、不良影响及相关责任，均由当事人及中标企业共同承担。</w:t>
      </w:r>
    </w:p>
    <w:p w14:paraId="0CFA7E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合法用工要求：中标人须合法用工，依法依规签订劳动合同，处理好用工关系，保障用工人员的合法权益；如发生用工纠纷，由中标人自行承担全部责任。</w:t>
      </w:r>
    </w:p>
    <w:p w14:paraId="2394AA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专业岗位持证要求：厨师、营养师、</w:t>
      </w:r>
      <w:r>
        <w:rPr>
          <w:rFonts w:hint="eastAsia" w:ascii="宋体" w:hAnsi="宋体" w:cs="Times New Roman"/>
          <w:color w:val="auto"/>
          <w:szCs w:val="21"/>
          <w:highlight w:val="none"/>
          <w:lang w:eastAsia="zh-CN"/>
        </w:rPr>
        <w:t>面点师、</w:t>
      </w:r>
      <w:r>
        <w:rPr>
          <w:rFonts w:hint="eastAsia" w:ascii="宋体" w:hAnsi="宋体" w:eastAsia="宋体" w:cs="Times New Roman"/>
          <w:color w:val="auto"/>
          <w:szCs w:val="21"/>
          <w:highlight w:val="none"/>
        </w:rPr>
        <w:t>司机、食品安全管理人员等专业岗位人员必须持有效证件上岗，且证件须符合国家现行行业标准。</w:t>
      </w:r>
    </w:p>
    <w:p w14:paraId="5D87AF9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员工服务管理要求</w:t>
      </w:r>
    </w:p>
    <w:p w14:paraId="0AE7224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中标人应当教育员工树立服务意识，定期加强对工作人员的食品安全、操作流程、个人卫生等方面的培训。</w:t>
      </w:r>
    </w:p>
    <w:p w14:paraId="5AC32C1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工作人员上岗时，必须按要求佩戴帽子、手套、口罩，穿着统一工作服。</w:t>
      </w:r>
    </w:p>
    <w:p w14:paraId="22B2703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工作人员须做到文明礼貌、服务态度良好、工作效率高效，不得与医院就餐人员发生争吵或冲突。</w:t>
      </w:r>
    </w:p>
    <w:p w14:paraId="0DA930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（五）</w:t>
      </w:r>
      <w:r>
        <w:rPr>
          <w:rFonts w:hint="eastAsia" w:ascii="宋体" w:hAnsi="宋体" w:eastAsia="宋体" w:cs="Times New Roman"/>
          <w:color w:val="auto"/>
          <w:szCs w:val="21"/>
          <w:highlight w:val="none"/>
        </w:rPr>
        <w:t>餐饮服务管理要求</w:t>
      </w:r>
    </w:p>
    <w:p w14:paraId="5287E4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协议履行与服从管理：中标人须严格履行委托服务协议，全面服从医院的监督、检查、考核与处罚决定，按要求落实各项整改措施。</w:t>
      </w:r>
    </w:p>
    <w:p w14:paraId="01DD50E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专项方案制定：中标人必须制定明确、可行的菜品搭配方案、卫生保洁方案、人员管理方案、食材质量把控方案、索证索票管理方案、操作过程管控方案、成本控制方案、食品安全管控方案、制止餐饮浪费方案、食材保管方案等；针对停电、停水、食材供应中断等突发事件，制定完善的应急措施和应急预案，并报医院备案。</w:t>
      </w:r>
    </w:p>
    <w:p w14:paraId="74B4725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禁止转包与违规经营：严禁中标人以任何方式将本项目转包、分包、挂靠经营，不得利用项目经营场所从事与餐饮服务无关的经营项目。</w:t>
      </w:r>
    </w:p>
    <w:p w14:paraId="469526C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人员经费自理：中标人工作人员由自身自行招聘、安排和管理，所有人员经费（工资、社保、福利等）均由中标人自行承担。</w:t>
      </w:r>
    </w:p>
    <w:p w14:paraId="38157D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食品安全隐患处置：中标人的食品安全管理人员发现有食品安全事故潜在风险的，应当立即提出停止相关餐饮服务活动的建议，中标人主要负责人须第一时间分析研判，采取处置措施消除风险隐患；存在重大食品安全事故潜在风险的，须立即停止餐饮服务活动，并向医院及所在地县级市场监督管理部门报告。</w:t>
      </w:r>
    </w:p>
    <w:p w14:paraId="3162755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（六）</w:t>
      </w:r>
      <w:r>
        <w:rPr>
          <w:rFonts w:hint="eastAsia" w:ascii="宋体" w:hAnsi="宋体" w:eastAsia="宋体" w:cs="Times New Roman"/>
          <w:color w:val="auto"/>
          <w:szCs w:val="21"/>
          <w:highlight w:val="none"/>
        </w:rPr>
        <w:t>卫生管理要求</w:t>
      </w:r>
    </w:p>
    <w:p w14:paraId="2C5A12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）厨房卫生管理</w:t>
      </w:r>
    </w:p>
    <w:p w14:paraId="0FDC881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厨房清洁实行岗位责任制，所有日常用餐具每日使用后必须彻底消毒，清洗流程严格执行一洗、二刷、三冲、四消毒、五保洁，消毒后的厨具加盖保管，防止二次污染，未经消毒的厨具严禁使用。</w:t>
      </w:r>
    </w:p>
    <w:p w14:paraId="2693ADA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厨房所有厨具使用后摆放有序，砧板实行竖放管理，确保底、面、边三面清洁；切生、熟食品的刀具及砧板必须分开使用、分开存放，做好明显标识。</w:t>
      </w:r>
    </w:p>
    <w:p w14:paraId="222E886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洗菜池、洗肉池、洗餐具池严格分开使用，严禁混用；厨房炉灶、配料台、工作台在作业完成后及时擦拭清理，确保干净整洁。</w:t>
      </w:r>
    </w:p>
    <w:p w14:paraId="1DD1A8A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厨房下水道每日进行清洁疏通，彻底清除菜渣、杂物等，保证排水畅通、无异味；定期开展食堂卫生死角清理，做好灭鼠、灭蟑螂、灭苍蝇等病媒生物防制工作。</w:t>
      </w:r>
    </w:p>
    <w:p w14:paraId="1214AC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食堂仓库物品分类摆放整齐，保持室内通风干燥，防止物品发霉变质；食品与非食品、生品与熟品分开存放，做好防潮、防火、防虫、防盗措施。</w:t>
      </w:r>
    </w:p>
    <w:p w14:paraId="7FB3071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）食品卫生管理</w:t>
      </w:r>
    </w:p>
    <w:p w14:paraId="184072C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采购的食品原料必须保证新鲜卫生，严格执行当天采购当天食用原则，防止过期变质；存放食品原料做到离地、离墙，干湿物品不得同室存放。</w:t>
      </w:r>
    </w:p>
    <w:p w14:paraId="5B869EF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食品加工、存放全程做到生熟分开，防止交叉污染，确保食品食用安全。</w:t>
      </w:r>
    </w:p>
    <w:p w14:paraId="5D54D8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厨房实行分台、分池操作，蔬菜类原料加工严格按照一拣、二浸、三洗、四切的顺序操作，去除农药残留及杂质。</w:t>
      </w:r>
    </w:p>
    <w:p w14:paraId="2EEFE6B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处理后的食品原料及时加工烹调，烹调时必须烧熟煮透，确保食品中心温度达到国家规定标准，防止食源性中毒。</w:t>
      </w:r>
    </w:p>
    <w:p w14:paraId="5F5B15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加工好的熟食品妥善保管，如需存放，须在规定温度、时限内保存；存放超时的熟食品，必须重新回炉加热至规定温度后方可食用。</w:t>
      </w:r>
    </w:p>
    <w:p w14:paraId="055E1D2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生、熟食品分冰箱存放，冰箱内做好明显标识，定期清理、消毒，防止熟制食品受到污染。</w:t>
      </w:r>
    </w:p>
    <w:p w14:paraId="46C32D7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（七）</w:t>
      </w:r>
      <w:r>
        <w:rPr>
          <w:rFonts w:hint="eastAsia" w:ascii="宋体" w:hAnsi="宋体" w:eastAsia="宋体" w:cs="Times New Roman"/>
          <w:color w:val="auto"/>
          <w:szCs w:val="21"/>
          <w:highlight w:val="none"/>
        </w:rPr>
        <w:t>食材采购管理要求</w:t>
      </w:r>
    </w:p>
    <w:p w14:paraId="4BD247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食品原材料采购坚持新鲜、安全、溯源原则，确保鱼、肉、蔬菜、粮油等各类食材符合国家食品安全标准，做到当天采购当天食用，严禁采购、使用过期、变质、不合格的食材。</w:t>
      </w:r>
    </w:p>
    <w:p w14:paraId="338E10F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食材采购必须建立健全索证索票制度，留存供应商资质证明、产品检验合格证明、采购票据等资料，做到全程溯源，相关资料保存期限符合国家现行规定。</w:t>
      </w:r>
    </w:p>
    <w:p w14:paraId="4D1F5C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食材入库前必须进行严格查验，核对食材名称、规格、数量、保质期、检验合格证明等信息，查验不合格的食材严禁入库、使用。</w:t>
      </w:r>
    </w:p>
    <w:p w14:paraId="25C6D3A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（八）</w:t>
      </w:r>
      <w:r>
        <w:rPr>
          <w:rFonts w:hint="eastAsia" w:ascii="宋体" w:hAnsi="宋体" w:eastAsia="宋体" w:cs="Times New Roman"/>
          <w:color w:val="auto"/>
          <w:szCs w:val="21"/>
          <w:highlight w:val="none"/>
        </w:rPr>
        <w:t>合同终止情形</w:t>
      </w:r>
    </w:p>
    <w:p w14:paraId="5A49572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中标企业有以下情况之一的，医院有权单方终止合同，且依法保留要求中标方赔偿经济损失的权利：</w:t>
      </w:r>
    </w:p>
    <w:p w14:paraId="5C3193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食品安全卫生和服务质量持续达不到合同及国家现行标准要求的；</w:t>
      </w:r>
    </w:p>
    <w:p w14:paraId="710B72A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经市场监督管理部门认定使用劣质、过期、变质食材，存在重大食品安全隐患，或餐品不符合营养品质要求的；</w:t>
      </w:r>
    </w:p>
    <w:p w14:paraId="5BE311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发生食物中毒等食品卫生安全事故，经权威部门鉴定为中标方过错的，由中标人承担相关法律责任和全部经济损失；</w:t>
      </w:r>
    </w:p>
    <w:p w14:paraId="042EB9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以非正规程序取得经营权，或在项目招标过程中借用他人企业资质、提供虚假材料等弄虚作假的；</w:t>
      </w:r>
    </w:p>
    <w:p w14:paraId="7001FD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私下转让、分包、挂靠经营本项目的；</w:t>
      </w:r>
    </w:p>
    <w:p w14:paraId="33152D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累计三次违反医院供餐时间、供餐数量等核心服务要求的；</w:t>
      </w:r>
    </w:p>
    <w:p w14:paraId="4E72A13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拒不服从医院管理，或拒不配合上级主管部门监督检查，逾期未整改问题的。</w:t>
      </w:r>
    </w:p>
    <w:p w14:paraId="59218E75">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三</w:t>
      </w:r>
      <w:r>
        <w:rPr>
          <w:rFonts w:hint="eastAsia" w:ascii="宋体" w:hAnsi="宋体" w:eastAsia="宋体" w:cs="Times New Roman"/>
          <w:b/>
          <w:bCs/>
          <w:color w:val="auto"/>
          <w:szCs w:val="21"/>
          <w:highlight w:val="none"/>
        </w:rPr>
        <w:t>、其他相关要求</w:t>
      </w:r>
    </w:p>
    <w:p w14:paraId="22EC4F1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投标人应就该项目进行完整投标，未对项目全部需求作出响应的，视为无效投标。</w:t>
      </w:r>
    </w:p>
    <w:p w14:paraId="6F277A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中标人未达到服务标准、工作违规或引起纠纷，被上级部门处罚造成不良后果，或给医院造成重大经济损失、服务严重失误的，医院有权终止合同，并追究中标方的经济赔偿责任。</w:t>
      </w:r>
    </w:p>
    <w:p w14:paraId="35513D0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中标人应主动接受并积极配合医院、市场监管、卫健、消防等部门在食品安全卫生、安全生产等方面的检查、指导和监督，严格落实各项整改要求。</w:t>
      </w:r>
    </w:p>
    <w:p w14:paraId="619283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餐饮配送服务全过程必须符合国家现行法律法规、政策规定及行业标准。</w:t>
      </w:r>
    </w:p>
    <w:p w14:paraId="6782CB8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本采购清单中所列相关要求为最低要求，投标文件不得作出负偏离，否则将承担投标被视为非实质性响应的风险。</w:t>
      </w:r>
    </w:p>
    <w:p w14:paraId="575D0B53">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四、</w:t>
      </w:r>
      <w:r>
        <w:rPr>
          <w:rFonts w:hint="eastAsia" w:ascii="宋体" w:hAnsi="宋体" w:eastAsia="宋体" w:cs="Times New Roman"/>
          <w:b/>
          <w:bCs/>
          <w:color w:val="auto"/>
          <w:szCs w:val="21"/>
          <w:highlight w:val="none"/>
        </w:rPr>
        <w:t>执行标准与技术服务要求</w:t>
      </w:r>
    </w:p>
    <w:p w14:paraId="2F194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本次招标涉及的技术标准与国家现行强制性标准不一致或不兼容的，均以国家强制性标准或最新出台的标准为准。</w:t>
      </w:r>
    </w:p>
    <w:p w14:paraId="19DC67E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招标文件中未明确要求的相关行业标准或国家强制性标准，由投标人自行补充说明，并严格按照相关标准执行。</w:t>
      </w:r>
    </w:p>
    <w:p w14:paraId="683ED948">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五</w:t>
      </w:r>
      <w:r>
        <w:rPr>
          <w:rFonts w:hint="eastAsia" w:ascii="宋体" w:hAnsi="宋体" w:eastAsia="宋体" w:cs="Times New Roman"/>
          <w:b/>
          <w:bCs/>
          <w:color w:val="auto"/>
          <w:szCs w:val="21"/>
          <w:highlight w:val="none"/>
        </w:rPr>
        <w:t>、验收标准</w:t>
      </w:r>
    </w:p>
    <w:p w14:paraId="5FC1A7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医院对中标人的餐饮服务实行不定时检查验收，如发现服务不到位、卫生不达标、餐品质量不合格等问题，中标人应按医院要求立即采取补足、更换、整改等处理措施，并承担由此产生的一切损失和费用。</w:t>
      </w:r>
    </w:p>
    <w:p w14:paraId="326687C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验收时，按照</w:t>
      </w:r>
      <w:r>
        <w:rPr>
          <w:rFonts w:hint="eastAsia" w:ascii="宋体" w:hAnsi="宋体" w:eastAsia="宋体" w:cs="Times New Roman"/>
          <w:color w:val="auto"/>
          <w:szCs w:val="21"/>
          <w:highlight w:val="none"/>
          <w:lang w:eastAsia="zh-CN"/>
        </w:rPr>
        <w:t>谈判</w:t>
      </w:r>
      <w:r>
        <w:rPr>
          <w:rFonts w:hint="eastAsia" w:ascii="宋体" w:hAnsi="宋体" w:eastAsia="宋体" w:cs="Times New Roman"/>
          <w:color w:val="auto"/>
          <w:szCs w:val="21"/>
          <w:highlight w:val="none"/>
        </w:rPr>
        <w:t>文件要求、投标文件响应内容、中标人承诺及采购合同约定，对每一项技术、服务、安全标准的履约情况进行逐一确认。</w:t>
      </w:r>
    </w:p>
    <w:p w14:paraId="673742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验收结果须符合</w:t>
      </w:r>
      <w:r>
        <w:rPr>
          <w:rFonts w:hint="eastAsia" w:ascii="宋体" w:hAnsi="宋体" w:eastAsia="宋体" w:cs="Times New Roman"/>
          <w:color w:val="auto"/>
          <w:szCs w:val="21"/>
          <w:highlight w:val="none"/>
          <w:lang w:eastAsia="zh-CN"/>
        </w:rPr>
        <w:t>谈判</w:t>
      </w:r>
      <w:r>
        <w:rPr>
          <w:rFonts w:hint="eastAsia" w:ascii="宋体" w:hAnsi="宋体" w:eastAsia="宋体" w:cs="Times New Roman"/>
          <w:color w:val="auto"/>
          <w:szCs w:val="21"/>
          <w:highlight w:val="none"/>
        </w:rPr>
        <w:t>文件要求和投标文件承诺，未达到要求的，视为验收不合格，中标人须限期整改，整改后仍不合格的，医院有权终止合同。</w:t>
      </w:r>
    </w:p>
    <w:p w14:paraId="447BB7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本项目验收如需要第三方机构参与，所有产生的费用均由中标方承担。</w:t>
      </w:r>
    </w:p>
    <w:p w14:paraId="0B72D71B">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eastAsia="zh-CN"/>
        </w:rPr>
        <w:t>六</w:t>
      </w:r>
      <w:r>
        <w:rPr>
          <w:rFonts w:hint="eastAsia" w:ascii="宋体" w:hAnsi="宋体" w:eastAsia="宋体" w:cs="Times New Roman"/>
          <w:b/>
          <w:bCs/>
          <w:color w:val="auto"/>
          <w:szCs w:val="21"/>
          <w:highlight w:val="none"/>
        </w:rPr>
        <w:t>、采购资金支付</w:t>
      </w:r>
    </w:p>
    <w:p w14:paraId="0C68F2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支付方式：银行转账支付</w:t>
      </w:r>
    </w:p>
    <w:p w14:paraId="709A0822">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2.根据中标人单价*用餐人数，据实结算。</w:t>
      </w:r>
    </w:p>
    <w:p w14:paraId="7F3FF5D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支付时间及条件：</w:t>
      </w:r>
      <w:r>
        <w:rPr>
          <w:rFonts w:hint="eastAsia" w:ascii="宋体" w:hAnsi="宋体" w:eastAsia="宋体" w:cs="宋体"/>
          <w:b w:val="0"/>
          <w:bCs/>
          <w:color w:val="auto"/>
          <w:sz w:val="21"/>
          <w:szCs w:val="21"/>
          <w:highlight w:val="none"/>
          <w:lang w:val="zh-CN"/>
        </w:rPr>
        <w:t>验收合格后按政府采购资金拨付程序执行</w:t>
      </w:r>
      <w:r>
        <w:rPr>
          <w:rFonts w:hint="eastAsia" w:ascii="宋体" w:hAnsi="宋体" w:eastAsia="宋体" w:cs="宋体"/>
          <w:color w:val="auto"/>
          <w:spacing w:val="7"/>
          <w:sz w:val="21"/>
          <w:szCs w:val="21"/>
          <w:highlight w:val="none"/>
          <w:lang w:val="zh-CN"/>
        </w:rPr>
        <w:t>。</w:t>
      </w:r>
    </w:p>
    <w:p w14:paraId="75C01BB3">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1195148E">
      <w:pPr>
        <w:widowControl/>
        <w:ind w:firstLine="2570" w:firstLineChars="800"/>
        <w:rPr>
          <w:rFonts w:hint="eastAsia" w:cs="宋体" w:asciiTheme="minorEastAsia" w:hAnsiTheme="minorEastAsia"/>
          <w:b/>
          <w:color w:val="auto"/>
          <w:kern w:val="0"/>
          <w:sz w:val="32"/>
          <w:szCs w:val="32"/>
          <w:highlight w:val="none"/>
        </w:rPr>
      </w:pPr>
    </w:p>
    <w:p w14:paraId="2C98DC9E">
      <w:pPr>
        <w:widowControl/>
        <w:ind w:firstLine="2570" w:firstLineChars="800"/>
        <w:rPr>
          <w:rFonts w:hint="eastAsia" w:cs="宋体" w:asciiTheme="minorEastAsia" w:hAnsiTheme="minorEastAsia"/>
          <w:b/>
          <w:color w:val="auto"/>
          <w:kern w:val="0"/>
          <w:sz w:val="32"/>
          <w:szCs w:val="32"/>
          <w:highlight w:val="none"/>
        </w:rPr>
      </w:pPr>
    </w:p>
    <w:p w14:paraId="3A50EB5A">
      <w:pPr>
        <w:widowControl/>
        <w:ind w:firstLine="2570" w:firstLineChars="800"/>
        <w:rPr>
          <w:rFonts w:hint="eastAsia" w:cs="宋体" w:asciiTheme="minorEastAsia" w:hAnsiTheme="minorEastAsia"/>
          <w:b/>
          <w:color w:val="auto"/>
          <w:kern w:val="0"/>
          <w:sz w:val="32"/>
          <w:szCs w:val="32"/>
          <w:highlight w:val="none"/>
        </w:rPr>
      </w:pPr>
    </w:p>
    <w:p w14:paraId="443BCC03">
      <w:pPr>
        <w:widowControl/>
        <w:ind w:firstLine="2570" w:firstLineChars="800"/>
        <w:rPr>
          <w:rFonts w:hint="eastAsia" w:cs="宋体" w:asciiTheme="minorEastAsia" w:hAnsiTheme="minorEastAsia"/>
          <w:b/>
          <w:color w:val="auto"/>
          <w:kern w:val="0"/>
          <w:sz w:val="32"/>
          <w:szCs w:val="32"/>
          <w:highlight w:val="none"/>
        </w:rPr>
      </w:pPr>
    </w:p>
    <w:p w14:paraId="339A5749">
      <w:pPr>
        <w:widowControl/>
        <w:ind w:firstLine="2570" w:firstLineChars="800"/>
        <w:rPr>
          <w:rFonts w:hint="eastAsia" w:cs="宋体" w:asciiTheme="minorEastAsia" w:hAnsiTheme="minorEastAsia"/>
          <w:b/>
          <w:color w:val="auto"/>
          <w:kern w:val="0"/>
          <w:sz w:val="32"/>
          <w:szCs w:val="32"/>
          <w:highlight w:val="none"/>
        </w:rPr>
      </w:pPr>
    </w:p>
    <w:p w14:paraId="70D5A85D">
      <w:pPr>
        <w:widowControl/>
        <w:ind w:firstLine="2570" w:firstLineChars="800"/>
        <w:rPr>
          <w:rFonts w:hint="eastAsia" w:cs="宋体" w:asciiTheme="minorEastAsia" w:hAnsiTheme="minorEastAsia"/>
          <w:b/>
          <w:color w:val="auto"/>
          <w:kern w:val="0"/>
          <w:sz w:val="32"/>
          <w:szCs w:val="32"/>
          <w:highlight w:val="none"/>
        </w:rPr>
      </w:pPr>
    </w:p>
    <w:p w14:paraId="61A2EF60">
      <w:pPr>
        <w:widowControl/>
        <w:ind w:firstLine="2570" w:firstLineChars="800"/>
        <w:rPr>
          <w:rFonts w:hint="eastAsia" w:cs="宋体" w:asciiTheme="minorEastAsia" w:hAnsiTheme="minorEastAsia"/>
          <w:b/>
          <w:color w:val="auto"/>
          <w:kern w:val="0"/>
          <w:sz w:val="32"/>
          <w:szCs w:val="32"/>
          <w:highlight w:val="none"/>
        </w:rPr>
      </w:pPr>
    </w:p>
    <w:p w14:paraId="492B2A49">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33B7AE4E">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项目名称：禹州市第三人民医院食堂餐饮服务项目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11811245">
            <w:pPr>
              <w:wordWrap w:val="0"/>
              <w:spacing w:line="360" w:lineRule="auto"/>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名称：禹州市第三人民医院</w:t>
            </w:r>
          </w:p>
          <w:p w14:paraId="13DF857A">
            <w:pPr>
              <w:wordWrap w:val="0"/>
              <w:spacing w:line="360" w:lineRule="auto"/>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地址：河南省许昌市禹州市梁北镇平禹大道与三峰路交叉口北80米</w:t>
            </w:r>
          </w:p>
          <w:p w14:paraId="751E407F">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zh-CN"/>
              </w:rPr>
              <w:t>联系人：</w:t>
            </w:r>
            <w:r>
              <w:rPr>
                <w:rFonts w:hint="eastAsia" w:ascii="宋体" w:hAnsi="宋体" w:eastAsia="宋体" w:cs="仿宋_GB2312"/>
                <w:color w:val="auto"/>
                <w:sz w:val="21"/>
                <w:szCs w:val="21"/>
                <w:highlight w:val="none"/>
                <w:lang w:val="zh-CN"/>
              </w:rPr>
              <w:t>杨</w:t>
            </w:r>
            <w:r>
              <w:rPr>
                <w:rFonts w:hint="eastAsia" w:ascii="宋体" w:hAnsi="宋体" w:eastAsia="宋体" w:cs="仿宋_GB2312"/>
                <w:color w:val="auto"/>
                <w:sz w:val="21"/>
                <w:szCs w:val="21"/>
                <w:highlight w:val="none"/>
                <w:lang w:val="en-US" w:eastAsia="zh-CN"/>
              </w:rPr>
              <w:t>先生</w:t>
            </w:r>
          </w:p>
          <w:p w14:paraId="7F8D5BD9">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联系电话：</w:t>
            </w:r>
            <w:r>
              <w:rPr>
                <w:rFonts w:hint="eastAsia" w:asciiTheme="minorEastAsia" w:hAnsiTheme="minorEastAsia" w:cstheme="minorEastAsia"/>
                <w:color w:val="auto"/>
                <w:sz w:val="21"/>
                <w:szCs w:val="21"/>
                <w:highlight w:val="none"/>
                <w:lang w:val="zh-CN" w:eastAsia="zh-CN"/>
              </w:rPr>
              <w:t xml:space="preserve">0374-8609016 </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1D68E43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名称</w:t>
            </w:r>
            <w:r>
              <w:rPr>
                <w:rFonts w:hint="eastAsia" w:asciiTheme="minorEastAsia" w:hAnsiTheme="minorEastAsia" w:cstheme="minorEastAsia"/>
                <w:color w:val="auto"/>
                <w:sz w:val="21"/>
                <w:szCs w:val="21"/>
                <w:highlight w:val="none"/>
              </w:rPr>
              <w:t xml:space="preserve">：河南天欧工程管理有限公司 </w:t>
            </w:r>
          </w:p>
          <w:p w14:paraId="33C13067">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地址：禹州市颍川街道办禹王大道东段北侧第二层</w:t>
            </w:r>
          </w:p>
          <w:p w14:paraId="2BA998FC">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乔</w:t>
            </w:r>
            <w:r>
              <w:rPr>
                <w:rFonts w:hint="eastAsia" w:asciiTheme="minorEastAsia" w:hAnsiTheme="minorEastAsia" w:cstheme="minorEastAsia"/>
                <w:color w:val="auto"/>
                <w:sz w:val="21"/>
                <w:szCs w:val="21"/>
                <w:highlight w:val="none"/>
              </w:rPr>
              <w:t xml:space="preserve">先生     </w:t>
            </w:r>
          </w:p>
          <w:p w14:paraId="47853001">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联系电话：15136882806</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val="zh-CN"/>
              </w:rPr>
              <w:t>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lang w:val="en-US" w:eastAsia="zh-CN"/>
              </w:rPr>
              <w:t>876000.00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，超出预算金额（最高限价）的响应无效。（单价：每人每天</w:t>
            </w:r>
            <w:r>
              <w:rPr>
                <w:rFonts w:hint="eastAsia" w:asciiTheme="minorEastAsia" w:hAnsiTheme="minorEastAsia" w:cstheme="minorEastAsia"/>
                <w:bCs/>
                <w:color w:val="auto"/>
                <w:sz w:val="21"/>
                <w:szCs w:val="21"/>
                <w:highlight w:val="none"/>
                <w:lang w:val="en-US" w:eastAsia="zh-CN"/>
              </w:rPr>
              <w:t>15元</w:t>
            </w:r>
            <w:r>
              <w:rPr>
                <w:rFonts w:hint="eastAsia" w:asciiTheme="minorEastAsia" w:hAnsiTheme="minorEastAsia" w:cstheme="minorEastAsia"/>
                <w:bCs/>
                <w:color w:val="auto"/>
                <w:sz w:val="21"/>
                <w:szCs w:val="21"/>
                <w:highlight w:val="none"/>
                <w:lang w:val="zh-CN"/>
              </w:rPr>
              <w:t>）</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23489DD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en-US" w:eastAsia="zh-CN"/>
              </w:rPr>
              <w:t>谈判</w:t>
            </w:r>
            <w:r>
              <w:rPr>
                <w:rFonts w:hint="eastAsia" w:asciiTheme="minorEastAsia" w:hAnsiTheme="minorEastAsia" w:cstheme="minorEastAsia"/>
                <w:bCs/>
                <w:color w:val="auto"/>
                <w:sz w:val="21"/>
                <w:szCs w:val="21"/>
                <w:highlight w:val="none"/>
                <w:lang w:val="zh-CN"/>
              </w:rPr>
              <w:t>前答疑会</w:t>
            </w:r>
          </w:p>
        </w:tc>
        <w:tc>
          <w:tcPr>
            <w:tcW w:w="6813" w:type="dxa"/>
            <w:vAlign w:val="center"/>
          </w:tcPr>
          <w:p w14:paraId="527A6523">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不召开</w:t>
            </w:r>
          </w:p>
          <w:p w14:paraId="0A9D218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 xml:space="preserve">不允许    </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
                <w:color w:val="auto"/>
                <w:sz w:val="21"/>
                <w:szCs w:val="21"/>
                <w:highlight w:val="none"/>
                <w:lang w:val="en-US" w:eastAsia="zh-CN"/>
              </w:rPr>
              <w:t>谈判</w:t>
            </w:r>
            <w:r>
              <w:rPr>
                <w:rFonts w:hint="eastAsia" w:asciiTheme="minorEastAsia" w:hAnsiTheme="minorEastAsia" w:cstheme="minorEastAsia"/>
                <w:color w:val="auto"/>
                <w:sz w:val="21"/>
                <w:szCs w:val="21"/>
                <w:highlight w:val="none"/>
              </w:rPr>
              <w:t>有效期</w:t>
            </w:r>
          </w:p>
        </w:tc>
        <w:tc>
          <w:tcPr>
            <w:tcW w:w="6813" w:type="dxa"/>
            <w:vAlign w:val="center"/>
          </w:tcPr>
          <w:p w14:paraId="42ABD9D5">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90天（自</w:t>
            </w:r>
            <w:r>
              <w:rPr>
                <w:rFonts w:hint="eastAsia" w:asciiTheme="minorEastAsia" w:hAnsiTheme="minorEastAsia" w:cstheme="minorEastAsia"/>
                <w:color w:val="auto"/>
                <w:kern w:val="0"/>
                <w:sz w:val="21"/>
                <w:szCs w:val="21"/>
                <w:highlight w:val="none"/>
              </w:rPr>
              <w:t>提交</w:t>
            </w:r>
            <w:r>
              <w:rPr>
                <w:rFonts w:hint="eastAsia" w:asciiTheme="minorEastAsia" w:hAnsiTheme="minorEastAsia" w:cstheme="minorEastAsia"/>
                <w:color w:val="auto"/>
                <w:kern w:val="0"/>
                <w:sz w:val="21"/>
                <w:szCs w:val="21"/>
                <w:highlight w:val="none"/>
                <w:lang w:val="en-US" w:eastAsia="zh-CN"/>
              </w:rPr>
              <w:t>谈判</w:t>
            </w:r>
            <w:r>
              <w:rPr>
                <w:rFonts w:hint="eastAsia" w:asciiTheme="minorEastAsia" w:hAnsiTheme="minorEastAsia" w:cstheme="minorEastAsia"/>
                <w:color w:val="auto"/>
                <w:kern w:val="0"/>
                <w:sz w:val="21"/>
                <w:szCs w:val="21"/>
                <w:highlight w:val="none"/>
              </w:rPr>
              <w:t>响应</w:t>
            </w:r>
            <w:r>
              <w:rPr>
                <w:rFonts w:hint="eastAsia" w:asciiTheme="minorEastAsia" w:hAnsiTheme="minorEastAsia" w:cstheme="minorEastAsia"/>
                <w:color w:val="auto"/>
                <w:kern w:val="0"/>
                <w:sz w:val="21"/>
                <w:szCs w:val="21"/>
                <w:highlight w:val="none"/>
                <w:lang w:eastAsia="zh-CN"/>
              </w:rPr>
              <w:t>文件</w:t>
            </w:r>
            <w:r>
              <w:rPr>
                <w:rFonts w:hint="eastAsia" w:asciiTheme="minorEastAsia" w:hAnsiTheme="minorEastAsia" w:cstheme="minorEastAsia"/>
                <w:color w:val="auto"/>
                <w:kern w:val="0"/>
                <w:sz w:val="21"/>
                <w:szCs w:val="21"/>
                <w:highlight w:val="none"/>
              </w:rPr>
              <w:t>截止之日起算</w:t>
            </w:r>
            <w:r>
              <w:rPr>
                <w:rFonts w:hint="eastAsia" w:asciiTheme="minorEastAsia" w:hAnsiTheme="minorEastAsia" w:cstheme="minorEastAsia"/>
                <w:color w:val="auto"/>
                <w:sz w:val="21"/>
                <w:szCs w:val="21"/>
                <w:highlight w:val="none"/>
              </w:rPr>
              <w:t>）</w:t>
            </w:r>
          </w:p>
          <w:p w14:paraId="65CC1EBF">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成交供应商</w:t>
            </w:r>
            <w:r>
              <w:rPr>
                <w:rFonts w:hint="eastAsia" w:asciiTheme="minorEastAsia" w:hAnsiTheme="minorEastAsia" w:cstheme="minorEastAsia"/>
                <w:color w:val="auto"/>
                <w:sz w:val="21"/>
                <w:szCs w:val="21"/>
                <w:highlight w:val="none"/>
                <w:lang w:val="en-US" w:eastAsia="zh-CN"/>
              </w:rPr>
              <w:t>谈判</w:t>
            </w:r>
            <w:r>
              <w:rPr>
                <w:rFonts w:hint="eastAsia" w:asciiTheme="minorEastAsia" w:hAnsiTheme="minorEastAsia" w:cstheme="minorEastAsia"/>
                <w:color w:val="auto"/>
                <w:sz w:val="21"/>
                <w:szCs w:val="21"/>
                <w:highlight w:val="none"/>
                <w:lang w:val="zh-CN"/>
              </w:rPr>
              <w:t>有效期延至合同验收之日，</w:t>
            </w:r>
            <w:r>
              <w:rPr>
                <w:rFonts w:hint="eastAsia" w:asciiTheme="minorEastAsia" w:hAnsiTheme="minorEastAsia" w:cstheme="minorEastAsia"/>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 xml:space="preserve">不允许   </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rPr>
              <w:t>响应文件提交截止、</w:t>
            </w:r>
            <w:r>
              <w:rPr>
                <w:rFonts w:hint="eastAsia" w:asciiTheme="minorEastAsia" w:hAnsiTheme="minorEastAsia" w:cstheme="minorEastAsia"/>
                <w:bCs/>
                <w:color w:val="auto"/>
                <w:sz w:val="21"/>
                <w:szCs w:val="21"/>
                <w:highlight w:val="none"/>
                <w:lang w:val="zh-CN"/>
              </w:rPr>
              <w:t>响应截止及时间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rPr>
              <w:t>年</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28</w:t>
            </w:r>
            <w:r>
              <w:rPr>
                <w:rFonts w:hint="eastAsia" w:asciiTheme="minorEastAsia" w:hAnsiTheme="minorEastAsia" w:cstheme="minorEastAsia"/>
                <w:color w:val="auto"/>
                <w:sz w:val="21"/>
                <w:szCs w:val="21"/>
                <w:highlight w:val="none"/>
              </w:rPr>
              <w:t>日</w:t>
            </w:r>
            <w:r>
              <w:rPr>
                <w:rFonts w:hint="eastAsia" w:asciiTheme="minorEastAsia" w:hAnsiTheme="minorEastAsia" w:cstheme="minorEastAsia"/>
                <w:bCs/>
                <w:color w:val="auto"/>
                <w:sz w:val="21"/>
                <w:szCs w:val="21"/>
                <w:highlight w:val="none"/>
              </w:rPr>
              <w:t>8</w:t>
            </w:r>
            <w:r>
              <w:rPr>
                <w:rFonts w:hint="eastAsia" w:asciiTheme="minorEastAsia" w:hAnsiTheme="minorEastAsia" w:cstheme="minorEastAsia"/>
                <w:bCs/>
                <w:color w:val="auto"/>
                <w:sz w:val="21"/>
                <w:szCs w:val="21"/>
                <w:highlight w:val="none"/>
                <w:lang w:val="zh-CN"/>
              </w:rPr>
              <w:t>时30分（北京时间）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vAlign w:val="center"/>
          </w:tcPr>
          <w:p w14:paraId="5892B30B">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w:t>
            </w:r>
          </w:p>
          <w:p w14:paraId="29079711">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开启地点</w:t>
            </w:r>
          </w:p>
        </w:tc>
        <w:tc>
          <w:tcPr>
            <w:tcW w:w="6813" w:type="dxa"/>
            <w:vAlign w:val="center"/>
          </w:tcPr>
          <w:p w14:paraId="61FF4522">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响应文件开启地点：禹州市公共资源交易中心九楼不见面开标二室。（</w:t>
            </w:r>
            <w:r>
              <w:rPr>
                <w:rFonts w:hint="eastAsia" w:asciiTheme="minorEastAsia" w:hAnsiTheme="minorEastAsia" w:cstheme="minorEastAsia"/>
                <w:b/>
                <w:color w:val="auto"/>
                <w:sz w:val="21"/>
                <w:szCs w:val="21"/>
                <w:highlight w:val="none"/>
              </w:rPr>
              <w:t>本项目采用远程不见面</w:t>
            </w:r>
            <w:r>
              <w:rPr>
                <w:rFonts w:hint="eastAsia" w:asciiTheme="minorEastAsia" w:hAnsiTheme="minorEastAsia" w:cstheme="minorEastAsia"/>
                <w:b/>
                <w:color w:val="auto"/>
                <w:sz w:val="21"/>
                <w:szCs w:val="21"/>
                <w:highlight w:val="none"/>
                <w:lang w:eastAsia="zh-CN"/>
              </w:rPr>
              <w:t>谈判</w:t>
            </w:r>
            <w:r>
              <w:rPr>
                <w:rFonts w:hint="eastAsia" w:asciiTheme="minorEastAsia" w:hAnsiTheme="minorEastAsia" w:cstheme="minorEastAsia"/>
                <w:b/>
                <w:color w:val="auto"/>
                <w:sz w:val="21"/>
                <w:szCs w:val="21"/>
                <w:highlight w:val="none"/>
              </w:rPr>
              <w:t>，供应商无须到达现场</w:t>
            </w:r>
            <w:r>
              <w:rPr>
                <w:rFonts w:hint="eastAsia" w:asciiTheme="minorEastAsia" w:hAnsiTheme="minorEastAsia" w:cstheme="minorEastAsia"/>
                <w:color w:val="auto"/>
                <w:sz w:val="21"/>
                <w:szCs w:val="21"/>
                <w:highlight w:val="none"/>
              </w:rPr>
              <w:t>）</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cstheme="minorEastAsia"/>
                <w:color w:val="auto"/>
                <w:kern w:val="0"/>
                <w:sz w:val="21"/>
                <w:szCs w:val="21"/>
                <w:highlight w:val="none"/>
              </w:rPr>
              <w:t>保证金</w:t>
            </w:r>
          </w:p>
        </w:tc>
        <w:tc>
          <w:tcPr>
            <w:tcW w:w="6813" w:type="dxa"/>
            <w:vAlign w:val="center"/>
          </w:tcPr>
          <w:p w14:paraId="0381A673">
            <w:pPr>
              <w:tabs>
                <w:tab w:val="left" w:pos="1260"/>
              </w:tabs>
              <w:autoSpaceDE w:val="0"/>
              <w:autoSpaceDN w:val="0"/>
              <w:adjustRightInd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本项目不收取。</w:t>
            </w:r>
          </w:p>
          <w:p w14:paraId="137DFA00">
            <w:pPr>
              <w:tabs>
                <w:tab w:val="left" w:pos="1260"/>
              </w:tabs>
              <w:autoSpaceDE w:val="0"/>
              <w:autoSpaceDN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公告发布</w:t>
            </w:r>
          </w:p>
        </w:tc>
        <w:tc>
          <w:tcPr>
            <w:tcW w:w="6813" w:type="dxa"/>
            <w:tcBorders>
              <w:top w:val="single" w:color="auto" w:sz="4" w:space="0"/>
            </w:tcBorders>
            <w:vAlign w:val="center"/>
          </w:tcPr>
          <w:p w14:paraId="415EDA95">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公告、成交公告、变更（更正）公告、现场勘察答复等相关信息同时在以下网站发布：《河南省政府采购网》《许昌市政府采购网》《全国公共资源交易平台（河南省·许昌市）》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vAlign w:val="center"/>
          </w:tcPr>
          <w:p w14:paraId="026ED4BA">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采购人澄清或修改</w:t>
            </w:r>
          </w:p>
          <w:p w14:paraId="7716CD59">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文件时间</w:t>
            </w:r>
          </w:p>
        </w:tc>
        <w:tc>
          <w:tcPr>
            <w:tcW w:w="6813" w:type="dxa"/>
            <w:vAlign w:val="center"/>
          </w:tcPr>
          <w:p w14:paraId="5B59A51F">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vAlign w:val="center"/>
          </w:tcPr>
          <w:p w14:paraId="43E501E7">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供应商对</w:t>
            </w: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w:t>
            </w:r>
          </w:p>
          <w:p w14:paraId="04F9E986">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质疑截止时间</w:t>
            </w:r>
          </w:p>
        </w:tc>
        <w:tc>
          <w:tcPr>
            <w:tcW w:w="6813" w:type="dxa"/>
            <w:vAlign w:val="center"/>
          </w:tcPr>
          <w:p w14:paraId="63CA4819">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vAlign w:val="center"/>
          </w:tcPr>
          <w:p w14:paraId="6D947ADC">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响应文件份数</w:t>
            </w:r>
          </w:p>
        </w:tc>
        <w:tc>
          <w:tcPr>
            <w:tcW w:w="6813" w:type="dxa"/>
            <w:vAlign w:val="center"/>
          </w:tcPr>
          <w:p w14:paraId="4AD16283">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rPr>
              <w:t>电子响应文件：成功上传至《全国公共资源交易平台（河南省·许昌市）》公共资源交易系统加密电子投标文件1份（后缀格式为.XCSTF）。</w:t>
            </w:r>
          </w:p>
          <w:p w14:paraId="3E4DB740">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注：供应商登录“全国公共资源交易平台（河南省•许昌市）”下载“新点投标文件制作软件（河南省版）”的最新版本制作电子响应文件。</w:t>
            </w:r>
          </w:p>
          <w:p w14:paraId="60DCD425">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094FCDAF">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□纸质投标文件：正本一份，副本一份。使用格式为“投标文件（供打印）.PDF”的文件。</w:t>
            </w:r>
          </w:p>
          <w:p w14:paraId="218819F2">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电子投标文件和纸质投标文件的内容、格式、水印码、签章应一致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vAlign w:val="center"/>
          </w:tcPr>
          <w:p w14:paraId="5B1B5036">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开标程序</w:t>
            </w:r>
          </w:p>
        </w:tc>
        <w:tc>
          <w:tcPr>
            <w:tcW w:w="6813" w:type="dxa"/>
            <w:vAlign w:val="center"/>
          </w:tcPr>
          <w:p w14:paraId="6052FE7A">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63E5E7AB">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0B52D283">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113AAA45">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在“唱标”环节，供应商应对唱标信息进行确认，供应商未进行唱标确认操作的，视同认可唱标结果。</w:t>
            </w:r>
          </w:p>
          <w:p w14:paraId="1493770A">
            <w:pPr>
              <w:numPr>
                <w:ilvl w:val="0"/>
                <w:numId w:val="3"/>
              </w:num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在“开标结束”环节，供应商应在《开标情况记录表》上进行电子签章。供应商未签章的，视同认可开标结果。</w:t>
            </w:r>
          </w:p>
          <w:p w14:paraId="486C9EF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供应商对开标过程和开标记录如有异议，可在本项目开标大厅界面右下方“发起异议”中提出异议。</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vAlign w:val="center"/>
          </w:tcPr>
          <w:p w14:paraId="3E04BD5F">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响应文件的</w:t>
            </w:r>
          </w:p>
          <w:p w14:paraId="26F259D8">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签署盖章</w:t>
            </w:r>
          </w:p>
        </w:tc>
        <w:tc>
          <w:tcPr>
            <w:tcW w:w="6813" w:type="dxa"/>
            <w:vAlign w:val="center"/>
          </w:tcPr>
          <w:p w14:paraId="3D1AB002">
            <w:pPr>
              <w:autoSpaceDE w:val="0"/>
              <w:autoSpaceDN w:val="0"/>
              <w:adjustRightInd w:val="0"/>
              <w:spacing w:line="420" w:lineRule="exact"/>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rPr>
              <w:t>电子响应文件：按</w:t>
            </w: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文件要求加盖供应商电子印章和法人电子印章。</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vAlign w:val="center"/>
          </w:tcPr>
          <w:p w14:paraId="6C1E19D9">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谈判</w:t>
            </w:r>
            <w:r>
              <w:rPr>
                <w:rFonts w:hint="eastAsia" w:asciiTheme="minorEastAsia" w:hAnsiTheme="minorEastAsia" w:cstheme="minorEastAsia"/>
                <w:color w:val="auto"/>
                <w:sz w:val="21"/>
                <w:szCs w:val="21"/>
                <w:highlight w:val="none"/>
              </w:rPr>
              <w:t>小组组建</w:t>
            </w:r>
          </w:p>
        </w:tc>
        <w:tc>
          <w:tcPr>
            <w:tcW w:w="6813" w:type="dxa"/>
            <w:vAlign w:val="center"/>
          </w:tcPr>
          <w:p w14:paraId="24600809">
            <w:pPr>
              <w:autoSpaceDE w:val="0"/>
              <w:autoSpaceDN w:val="0"/>
              <w:adjustRightInd w:val="0"/>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b/>
                <w:color w:val="auto"/>
                <w:sz w:val="21"/>
                <w:szCs w:val="21"/>
                <w:highlight w:val="none"/>
              </w:rPr>
              <w:fldChar w:fldCharType="begin"/>
            </w:r>
            <w:r>
              <w:rPr>
                <w:rFonts w:hint="eastAsia" w:asciiTheme="minorEastAsia" w:hAnsiTheme="minorEastAsia" w:cstheme="minorEastAsia"/>
                <w:b/>
                <w:color w:val="auto"/>
                <w:sz w:val="21"/>
                <w:szCs w:val="21"/>
                <w:highlight w:val="none"/>
              </w:rPr>
              <w:instrText xml:space="preserve">eq \o\ac(</w:instrText>
            </w:r>
            <w:r>
              <w:rPr>
                <w:rFonts w:hint="eastAsia" w:asciiTheme="minorEastAsia" w:hAnsiTheme="minorEastAsia" w:cstheme="minorEastAsia"/>
                <w:b/>
                <w:color w:val="auto"/>
                <w:position w:val="-4"/>
                <w:sz w:val="31"/>
                <w:szCs w:val="21"/>
                <w:highlight w:val="none"/>
              </w:rPr>
              <w:instrText xml:space="preserve">□</w:instrText>
            </w:r>
            <w:r>
              <w:rPr>
                <w:rFonts w:hint="eastAsia" w:asciiTheme="minorEastAsia" w:hAnsiTheme="minorEastAsia" w:cstheme="minorEastAsia"/>
                <w:b/>
                <w:color w:val="auto"/>
                <w:position w:val="0"/>
                <w:sz w:val="21"/>
                <w:szCs w:val="21"/>
                <w:highlight w:val="none"/>
              </w:rPr>
              <w:instrText xml:space="preserve">,√)</w:instrText>
            </w:r>
            <w:r>
              <w:rPr>
                <w:rFonts w:hint="eastAsia" w:asciiTheme="minorEastAsia" w:hAnsiTheme="minorEastAsia" w:cstheme="minorEastAsia"/>
                <w:b/>
                <w:color w:val="auto"/>
                <w:sz w:val="21"/>
                <w:szCs w:val="21"/>
                <w:highlight w:val="none"/>
              </w:rPr>
              <w:fldChar w:fldCharType="end"/>
            </w:r>
            <w:r>
              <w:rPr>
                <w:rFonts w:hint="eastAsia" w:asciiTheme="minorEastAsia" w:hAnsiTheme="minorEastAsia" w:cstheme="minorEastAsia"/>
                <w:color w:val="auto"/>
                <w:sz w:val="21"/>
                <w:szCs w:val="21"/>
                <w:highlight w:val="none"/>
                <w:lang w:val="zh-CN"/>
              </w:rPr>
              <w:t>由采购人代表1人和评审专家2人组成，其中评审专家的人数不少于谈判小组成员总数的三分之二。评审专家从政府采购评审专家库中随机抽取。</w:t>
            </w:r>
          </w:p>
          <w:p w14:paraId="7B5AE87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□由评审专家组成。评审专家从政府采购评审专家库中随机抽取。</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vAlign w:val="center"/>
          </w:tcPr>
          <w:p w14:paraId="4F5E7E4B">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评审方法</w:t>
            </w:r>
          </w:p>
        </w:tc>
        <w:tc>
          <w:tcPr>
            <w:tcW w:w="6813" w:type="dxa"/>
            <w:vAlign w:val="center"/>
          </w:tcPr>
          <w:p w14:paraId="08209EFB">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sym w:font="Wingdings 2" w:char="0052"/>
            </w:r>
            <w:r>
              <w:rPr>
                <w:rFonts w:hint="eastAsia" w:asciiTheme="minorEastAsia" w:hAnsiTheme="minorEastAsia" w:cstheme="minorEastAsia"/>
                <w:bCs/>
                <w:color w:val="auto"/>
                <w:sz w:val="21"/>
                <w:szCs w:val="21"/>
                <w:highlight w:val="none"/>
                <w:lang w:val="zh-CN"/>
              </w:rPr>
              <w:t>综合评分法</w:t>
            </w:r>
            <w:r>
              <w:rPr>
                <w:rFonts w:hint="eastAsia" w:asciiTheme="minorEastAsia" w:hAnsiTheme="minorEastAsia" w:cstheme="minorEastAsia"/>
                <w:bCs/>
                <w:color w:val="auto"/>
                <w:sz w:val="21"/>
                <w:szCs w:val="21"/>
                <w:highlight w:val="none"/>
                <w:lang w:val="zh-CN"/>
              </w:rPr>
              <w:sym w:font="Wingdings 2" w:char="00A3"/>
            </w:r>
            <w:r>
              <w:rPr>
                <w:rFonts w:hint="eastAsia" w:asciiTheme="minorEastAsia" w:hAnsiTheme="minorEastAsia" w:cstheme="minorEastAsia"/>
                <w:bCs/>
                <w:color w:val="auto"/>
                <w:sz w:val="21"/>
                <w:szCs w:val="21"/>
                <w:highlight w:val="none"/>
                <w:lang w:val="zh-CN"/>
              </w:rPr>
              <w:t>最低评标价法</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vAlign w:val="center"/>
          </w:tcPr>
          <w:p w14:paraId="7AC35DE1">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中小企业有关政策</w:t>
            </w:r>
          </w:p>
        </w:tc>
        <w:tc>
          <w:tcPr>
            <w:tcW w:w="6813" w:type="dxa"/>
            <w:vAlign w:val="center"/>
          </w:tcPr>
          <w:p w14:paraId="55591F1D">
            <w:pPr>
              <w:numPr>
                <w:ilvl w:val="0"/>
                <w:numId w:val="4"/>
              </w:numPr>
              <w:spacing w:line="450" w:lineRule="exact"/>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本次采购标的对应的中小企业划分标准所属行业：</w:t>
            </w:r>
            <w:r>
              <w:rPr>
                <w:rFonts w:hint="eastAsia" w:asciiTheme="minorEastAsia" w:hAnsiTheme="minorEastAsia" w:cstheme="minorEastAsia"/>
                <w:color w:val="auto"/>
                <w:sz w:val="21"/>
                <w:szCs w:val="21"/>
                <w:highlight w:val="none"/>
                <w:lang w:val="en-US" w:eastAsia="zh-CN"/>
              </w:rPr>
              <w:t>餐饮业</w:t>
            </w:r>
          </w:p>
          <w:p w14:paraId="1C1B4052">
            <w:pPr>
              <w:numPr>
                <w:ilvl w:val="0"/>
                <w:numId w:val="4"/>
              </w:num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本项目属于专门面向中</w:t>
            </w:r>
            <w:r>
              <w:rPr>
                <w:rFonts w:hint="eastAsia" w:asciiTheme="minorEastAsia" w:hAnsiTheme="minorEastAsia" w:cstheme="minorEastAsia"/>
                <w:color w:val="auto"/>
                <w:sz w:val="21"/>
                <w:szCs w:val="21"/>
                <w:highlight w:val="none"/>
                <w:lang w:val="en-US" w:eastAsia="zh-CN"/>
              </w:rPr>
              <w:t>小微</w:t>
            </w:r>
            <w:r>
              <w:rPr>
                <w:rFonts w:hint="eastAsia" w:asciiTheme="minorEastAsia" w:hAnsiTheme="minorEastAsia" w:cstheme="minorEastAsia"/>
                <w:color w:val="auto"/>
                <w:sz w:val="21"/>
                <w:szCs w:val="21"/>
                <w:highlight w:val="none"/>
              </w:rPr>
              <w:t>型企业采购的项目（不再执行价格评审优惠的扶持政策）。</w:t>
            </w:r>
          </w:p>
          <w:p w14:paraId="3862C6CC">
            <w:p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根据工信部等部委发布的《关于印发中小企业划型标准规定的通知》（工信部联企业〔2011〕300号），按照本次采购标的所属行业的划型标准，符合条件的</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rPr>
              <w:t>企业应按照招标文件格式要求提供《中小企业声明函》，否则不得享受相关中小企业扶持政策。</w:t>
            </w:r>
          </w:p>
          <w:p w14:paraId="7A814B47">
            <w:pPr>
              <w:spacing w:line="45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提供由省级以上监狱管理局、戒毒管理局（含新疆生产建设兵团）出具的属于监狱企业证明文件的，视同为小型和微型企业。</w:t>
            </w:r>
          </w:p>
          <w:p w14:paraId="3A824466">
            <w:pPr>
              <w:autoSpaceDE w:val="0"/>
              <w:autoSpaceDN w:val="0"/>
              <w:adjustRightInd w:val="0"/>
              <w:spacing w:line="360" w:lineRule="auto"/>
              <w:rPr>
                <w:rFonts w:asciiTheme="minorEastAsia" w:hAnsiTheme="minorEastAsia" w:cstheme="minorEastAsia"/>
                <w:b/>
                <w:color w:val="auto"/>
                <w:kern w:val="0"/>
                <w:sz w:val="21"/>
                <w:szCs w:val="21"/>
                <w:highlight w:val="none"/>
                <w:lang w:val="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vAlign w:val="center"/>
          </w:tcPr>
          <w:p w14:paraId="304B3E61">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节能环保要求</w:t>
            </w:r>
          </w:p>
        </w:tc>
        <w:tc>
          <w:tcPr>
            <w:tcW w:w="6813" w:type="dxa"/>
            <w:vAlign w:val="center"/>
          </w:tcPr>
          <w:p w14:paraId="71A9FC38">
            <w:pPr>
              <w:numPr>
                <w:ilvl w:val="0"/>
                <w:numId w:val="5"/>
              </w:numPr>
              <w:autoSpaceDE w:val="0"/>
              <w:autoSpaceDN w:val="0"/>
              <w:adjustRightInd w:val="0"/>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val="zh-CN"/>
              </w:rPr>
              <w:t>本项目强制采购的节能产品：</w:t>
            </w:r>
            <w:r>
              <w:rPr>
                <w:rFonts w:hint="eastAsia" w:asciiTheme="minorEastAsia" w:hAnsiTheme="minorEastAsia" w:cstheme="minorEastAsia"/>
                <w:bCs/>
                <w:color w:val="auto"/>
                <w:sz w:val="21"/>
                <w:szCs w:val="21"/>
                <w:highlight w:val="none"/>
              </w:rPr>
              <w:t>无。</w:t>
            </w:r>
          </w:p>
          <w:p w14:paraId="238743CB">
            <w:pPr>
              <w:numPr>
                <w:ilvl w:val="0"/>
                <w:numId w:val="5"/>
              </w:num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bCs/>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vAlign w:val="center"/>
          </w:tcPr>
          <w:p w14:paraId="52EBD46E">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网络关键设备、网络安全专用产品要求</w:t>
            </w:r>
          </w:p>
        </w:tc>
        <w:tc>
          <w:tcPr>
            <w:tcW w:w="6813" w:type="dxa"/>
            <w:vAlign w:val="center"/>
          </w:tcPr>
          <w:p w14:paraId="5F7DCC3B">
            <w:pPr>
              <w:autoSpaceDE w:val="0"/>
              <w:autoSpaceDN w:val="0"/>
              <w:adjustRightInd w:val="0"/>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lang w:eastAsia="zh-CN"/>
              </w:rPr>
              <w:t>1.</w:t>
            </w:r>
            <w:r>
              <w:rPr>
                <w:rFonts w:hint="eastAsia" w:asciiTheme="minorEastAsia" w:hAnsiTheme="minorEastAsia" w:cstheme="minorEastAsia"/>
                <w:bCs/>
                <w:color w:val="auto"/>
                <w:sz w:val="21"/>
                <w:szCs w:val="21"/>
                <w:highlight w:val="none"/>
                <w:lang w:val="zh-CN"/>
              </w:rPr>
              <w:t>本项目网络关键设备：</w:t>
            </w:r>
            <w:r>
              <w:rPr>
                <w:rFonts w:hint="eastAsia" w:asciiTheme="minorEastAsia" w:hAnsiTheme="minorEastAsia" w:cstheme="minorEastAsia"/>
                <w:bCs/>
                <w:color w:val="auto"/>
                <w:sz w:val="21"/>
                <w:szCs w:val="21"/>
                <w:highlight w:val="none"/>
              </w:rPr>
              <w:t>无</w:t>
            </w:r>
            <w:r>
              <w:rPr>
                <w:rFonts w:hint="eastAsia" w:asciiTheme="minorEastAsia" w:hAnsiTheme="minorEastAsia" w:cstheme="minorEastAsia"/>
                <w:bCs/>
                <w:color w:val="auto"/>
                <w:sz w:val="21"/>
                <w:szCs w:val="21"/>
                <w:highlight w:val="none"/>
                <w:lang w:val="zh-CN"/>
              </w:rPr>
              <w:t>；网络安全专用产品：</w:t>
            </w:r>
            <w:r>
              <w:rPr>
                <w:rFonts w:hint="eastAsia" w:asciiTheme="minorEastAsia" w:hAnsiTheme="minorEastAsia" w:cstheme="minorEastAsia"/>
                <w:bCs/>
                <w:color w:val="auto"/>
                <w:sz w:val="21"/>
                <w:szCs w:val="21"/>
                <w:highlight w:val="none"/>
              </w:rPr>
              <w:t xml:space="preserve">无 </w:t>
            </w:r>
          </w:p>
          <w:p w14:paraId="2B88E21B">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04BCB4F">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3.提供资料（下列资料任意一项）</w:t>
            </w:r>
          </w:p>
          <w:p w14:paraId="4F0FC23B">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1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①</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网络关键设备和网络安全专用产品安全认证证书；</w:t>
            </w:r>
          </w:p>
          <w:p w14:paraId="724B2D56">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2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②</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网络关键设备安全检测证书、网络安全专用产品安全检测证书；</w:t>
            </w:r>
          </w:p>
          <w:p w14:paraId="449DD09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3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③</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计算机信息系统安全专用产品销售许可证；</w:t>
            </w:r>
          </w:p>
          <w:p w14:paraId="62E350E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fldChar w:fldCharType="begin"/>
            </w:r>
            <w:r>
              <w:rPr>
                <w:rFonts w:hint="eastAsia" w:asciiTheme="minorEastAsia" w:hAnsiTheme="minorEastAsia" w:cstheme="minorEastAsia"/>
                <w:bCs/>
                <w:color w:val="auto"/>
                <w:sz w:val="21"/>
                <w:szCs w:val="21"/>
                <w:highlight w:val="none"/>
                <w:lang w:val="zh-CN"/>
              </w:rPr>
              <w:instrText xml:space="preserve"> = 4 \* GB3 </w:instrText>
            </w:r>
            <w:r>
              <w:rPr>
                <w:rFonts w:hint="eastAsia" w:asciiTheme="minorEastAsia" w:hAnsiTheme="minorEastAsia" w:cstheme="minorEastAsia"/>
                <w:bCs/>
                <w:color w:val="auto"/>
                <w:sz w:val="21"/>
                <w:szCs w:val="21"/>
                <w:highlight w:val="none"/>
                <w:lang w:val="zh-CN"/>
              </w:rPr>
              <w:fldChar w:fldCharType="separate"/>
            </w:r>
            <w:r>
              <w:rPr>
                <w:rFonts w:hint="eastAsia" w:asciiTheme="minorEastAsia" w:hAnsiTheme="minorEastAsia" w:cstheme="minorEastAsia"/>
                <w:bCs/>
                <w:color w:val="auto"/>
                <w:sz w:val="21"/>
                <w:szCs w:val="21"/>
                <w:highlight w:val="none"/>
                <w:lang w:val="zh-CN"/>
              </w:rPr>
              <w:t>④</w:t>
            </w:r>
            <w:r>
              <w:rPr>
                <w:rFonts w:hint="eastAsia" w:asciiTheme="minorEastAsia" w:hAnsiTheme="minorEastAsia" w:cstheme="minorEastAsia"/>
                <w:bCs/>
                <w:color w:val="auto"/>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vAlign w:val="center"/>
          </w:tcPr>
          <w:p w14:paraId="25D065F2">
            <w:pPr>
              <w:autoSpaceDE w:val="0"/>
              <w:autoSpaceDN w:val="0"/>
              <w:adjustRightInd w:val="0"/>
              <w:spacing w:line="420" w:lineRule="exac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加快推广绿色建材发展应用</w:t>
            </w:r>
          </w:p>
        </w:tc>
        <w:tc>
          <w:tcPr>
            <w:tcW w:w="6813" w:type="dxa"/>
            <w:vAlign w:val="center"/>
          </w:tcPr>
          <w:p w14:paraId="0AFA8023">
            <w:pPr>
              <w:autoSpaceDE w:val="0"/>
              <w:autoSpaceDN w:val="0"/>
              <w:adjustRightInd w:val="0"/>
              <w:spacing w:line="420" w:lineRule="exact"/>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rPr>
              <w:t>本项目绿</w:t>
            </w:r>
            <w:r>
              <w:rPr>
                <w:rFonts w:hint="eastAsia" w:asciiTheme="minorEastAsia" w:hAnsiTheme="minorEastAsia" w:cstheme="minorEastAsia"/>
                <w:color w:val="auto"/>
                <w:sz w:val="21"/>
                <w:szCs w:val="21"/>
                <w:highlight w:val="none"/>
                <w:lang w:val="en-US" w:eastAsia="zh-CN"/>
              </w:rPr>
              <w:t>色</w:t>
            </w:r>
            <w:r>
              <w:rPr>
                <w:rFonts w:hint="eastAsia" w:asciiTheme="minorEastAsia" w:hAnsiTheme="minorEastAsia" w:cstheme="minorEastAsia"/>
                <w:color w:val="auto"/>
                <w:sz w:val="21"/>
                <w:szCs w:val="21"/>
                <w:highlight w:val="none"/>
              </w:rPr>
              <w:t>建材产品为：（无）</w:t>
            </w:r>
          </w:p>
          <w:p w14:paraId="565C4630">
            <w:pPr>
              <w:autoSpaceDE w:val="0"/>
              <w:autoSpaceDN w:val="0"/>
              <w:adjustRightInd w:val="0"/>
              <w:spacing w:line="420" w:lineRule="exact"/>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vAlign w:val="center"/>
          </w:tcPr>
          <w:p w14:paraId="5C75C38B">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履约保证金</w:t>
            </w:r>
          </w:p>
        </w:tc>
        <w:tc>
          <w:tcPr>
            <w:tcW w:w="6813" w:type="dxa"/>
            <w:vAlign w:val="center"/>
          </w:tcPr>
          <w:p w14:paraId="702F09CC">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无要求</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vAlign w:val="center"/>
          </w:tcPr>
          <w:p w14:paraId="7A8BF62A">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代理服务费</w:t>
            </w:r>
          </w:p>
        </w:tc>
        <w:tc>
          <w:tcPr>
            <w:tcW w:w="6813" w:type="dxa"/>
            <w:vAlign w:val="center"/>
          </w:tcPr>
          <w:p w14:paraId="2E31A0BC">
            <w:pPr>
              <w:autoSpaceDE w:val="0"/>
              <w:autoSpaceDN w:val="0"/>
              <w:spacing w:line="360" w:lineRule="auto"/>
              <w:contextualSpacing/>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收取标准：以中标（成交）金额为基数参照《河南省招标代理服务收费指导意见》（豫招协〔2023〕2号）文件进</w:t>
            </w:r>
            <w:r>
              <w:rPr>
                <w:rFonts w:hint="eastAsia" w:asciiTheme="minorEastAsia" w:hAnsiTheme="minorEastAsia" w:cstheme="minorEastAsia"/>
                <w:bCs/>
                <w:color w:val="auto"/>
                <w:sz w:val="21"/>
                <w:szCs w:val="21"/>
                <w:highlight w:val="none"/>
                <w:lang w:val="en-US" w:eastAsia="zh-CN"/>
              </w:rPr>
              <w:t>行</w:t>
            </w:r>
            <w:r>
              <w:rPr>
                <w:rFonts w:hint="eastAsia" w:asciiTheme="minorEastAsia" w:hAnsiTheme="minorEastAsia" w:cstheme="minorEastAsia"/>
                <w:bCs/>
                <w:color w:val="auto"/>
                <w:sz w:val="21"/>
                <w:szCs w:val="21"/>
                <w:highlight w:val="none"/>
                <w:lang w:val="zh-CN"/>
              </w:rPr>
              <w:t>计算，由中标人（成交供应商）</w:t>
            </w:r>
            <w:r>
              <w:rPr>
                <w:rFonts w:hint="eastAsia" w:asciiTheme="minorEastAsia" w:hAnsiTheme="minorEastAsia" w:cstheme="minorEastAsia"/>
                <w:bCs/>
                <w:color w:val="auto"/>
                <w:sz w:val="21"/>
                <w:szCs w:val="21"/>
                <w:highlight w:val="none"/>
                <w:lang w:val="en-US" w:eastAsia="zh-CN"/>
              </w:rPr>
              <w:t>领取成交通知书时一次性</w:t>
            </w:r>
            <w:r>
              <w:rPr>
                <w:rFonts w:hint="eastAsia" w:asciiTheme="minorEastAsia" w:hAnsiTheme="minorEastAsia" w:cstheme="minorEastAsia"/>
                <w:bCs/>
                <w:color w:val="auto"/>
                <w:sz w:val="21"/>
                <w:szCs w:val="21"/>
                <w:highlight w:val="none"/>
                <w:lang w:val="zh-CN"/>
              </w:rPr>
              <w:t>支付。</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vAlign w:val="center"/>
          </w:tcPr>
          <w:p w14:paraId="328A6698">
            <w:pPr>
              <w:ind w:firstLine="525" w:firstLineChars="250"/>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rPr>
              <w:t>成交通知书</w:t>
            </w:r>
          </w:p>
        </w:tc>
        <w:tc>
          <w:tcPr>
            <w:tcW w:w="6813" w:type="dxa"/>
            <w:vAlign w:val="center"/>
          </w:tcPr>
          <w:p w14:paraId="6691A195">
            <w:pPr>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中标人在接到中标通知时，须向代理机构发送投标报价及分项报价一览表（包含主要中标标的的名称、规格型号、数量、单价、服务要求等）电子文档，并同时通知代理机构，联系电话：15136882806，邮箱：</w:t>
            </w:r>
            <w:r>
              <w:rPr>
                <w:rFonts w:hint="eastAsia" w:asciiTheme="minorEastAsia" w:hAnsiTheme="minorEastAsia" w:cstheme="minorEastAsia"/>
                <w:color w:val="auto"/>
                <w:sz w:val="21"/>
                <w:szCs w:val="21"/>
                <w:highlight w:val="none"/>
                <w:lang w:val="zh-CN" w:eastAsia="zh-CN"/>
              </w:rPr>
              <w:t>2497631602@qq.com</w:t>
            </w:r>
            <w:r>
              <w:rPr>
                <w:rFonts w:hint="eastAsia" w:asciiTheme="minorEastAsia" w:hAnsiTheme="minorEastAsia" w:cstheme="minorEastAsia"/>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vAlign w:val="center"/>
          </w:tcPr>
          <w:p w14:paraId="2FE10F99">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授权函</w:t>
            </w:r>
          </w:p>
        </w:tc>
        <w:tc>
          <w:tcPr>
            <w:tcW w:w="6813" w:type="dxa"/>
            <w:vAlign w:val="center"/>
          </w:tcPr>
          <w:p w14:paraId="6FB715BE">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采购单位委派代表参加谈判小组的，须向采购机构出具授权函。除授权代表外，采购单位委派纪检监察人员对谈判过程实施监督的须进入禹州市公共资源交易中心九楼电子监督室，并向采购代理机构出具授权函，且不得超过2人。</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vAlign w:val="center"/>
          </w:tcPr>
          <w:p w14:paraId="7DF2F50C">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电子化采购模式</w:t>
            </w:r>
          </w:p>
        </w:tc>
        <w:tc>
          <w:tcPr>
            <w:tcW w:w="6813" w:type="dxa"/>
            <w:vAlign w:val="center"/>
          </w:tcPr>
          <w:p w14:paraId="49003F03">
            <w:pPr>
              <w:autoSpaceDE w:val="0"/>
              <w:autoSpaceDN w:val="0"/>
              <w:adjustRightInd w:val="0"/>
              <w:spacing w:line="360" w:lineRule="auto"/>
              <w:contextualSpacing/>
              <w:rPr>
                <w:rFonts w:asciiTheme="minorEastAsia" w:hAnsiTheme="minorEastAsia" w:cstheme="minorEastAsia"/>
                <w:color w:val="auto"/>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是。</w:t>
            </w:r>
            <w:r>
              <w:rPr>
                <w:rFonts w:hint="eastAsia" w:asciiTheme="minorEastAsia" w:hAnsiTheme="minorEastAsia" w:cstheme="minorEastAsia"/>
                <w:color w:val="auto"/>
                <w:sz w:val="21"/>
                <w:szCs w:val="21"/>
                <w:highlight w:val="none"/>
                <w:lang w:val="zh-CN"/>
              </w:rPr>
              <w:t>供应商投标时须成功上传、解密电子响应文件。供应商资质、业绩、荣誉及相关人员证明材料等资料原件不再提交（本谈判文件第六章另有要求提供原件的除外）。</w:t>
            </w:r>
          </w:p>
          <w:p w14:paraId="55CC36CF">
            <w:pPr>
              <w:autoSpaceDE w:val="0"/>
              <w:autoSpaceDN w:val="0"/>
              <w:adjustRightInd w:val="0"/>
              <w:spacing w:line="360" w:lineRule="auto"/>
              <w:contextualSpacing/>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□否。供应商投标时须提供纸质响应文件。供应商资质、业绩、荣誉及相关人员证明材料等资料原件根据谈判文件要求提供。</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vAlign w:val="center"/>
          </w:tcPr>
          <w:p w14:paraId="442B0126">
            <w:pPr>
              <w:autoSpaceDE w:val="0"/>
              <w:autoSpaceDN w:val="0"/>
              <w:adjustRightInd w:val="0"/>
              <w:spacing w:line="360" w:lineRule="auto"/>
              <w:jc w:val="center"/>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最后报价</w:t>
            </w:r>
          </w:p>
        </w:tc>
        <w:tc>
          <w:tcPr>
            <w:tcW w:w="6813" w:type="dxa"/>
            <w:vAlign w:val="center"/>
          </w:tcPr>
          <w:p w14:paraId="5FA6D551">
            <w:pPr>
              <w:autoSpaceDE w:val="0"/>
              <w:autoSpaceDN w:val="0"/>
              <w:adjustRightInd w:val="0"/>
              <w:spacing w:line="360" w:lineRule="auto"/>
              <w:ind w:right="-11"/>
              <w:rPr>
                <w:rFonts w:hint="eastAsia"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根据谈判小组要求，供应商须使用CA数字证书登录《全国公共资源交易平台（河南省▪许昌市）》公共资源交易系统（https://ggzy.xuchang.gov.cn）进行最后报价，最后报价应包括：①总报价②分项报价。</w:t>
            </w:r>
          </w:p>
          <w:p w14:paraId="642D0BE7">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注：</w:t>
            </w:r>
          </w:p>
          <w:p w14:paraId="3A2AFA1C">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①谈判小组要求供应商提交一次最后报价时，在</w:t>
            </w:r>
            <w:r>
              <w:rPr>
                <w:rFonts w:hint="eastAsia" w:asciiTheme="minorEastAsia" w:hAnsiTheme="minorEastAsia" w:cstheme="minorEastAsia"/>
                <w:color w:val="auto"/>
                <w:sz w:val="21"/>
                <w:szCs w:val="21"/>
                <w:highlight w:val="none"/>
                <w:lang w:val="zh-CN" w:eastAsia="zh-CN"/>
              </w:rPr>
              <w:t>谈判</w:t>
            </w:r>
            <w:r>
              <w:rPr>
                <w:rFonts w:hint="eastAsia" w:asciiTheme="minorEastAsia" w:hAnsiTheme="minorEastAsia" w:cstheme="minorEastAsia"/>
                <w:color w:val="auto"/>
                <w:sz w:val="21"/>
                <w:szCs w:val="21"/>
                <w:highlight w:val="none"/>
                <w:lang w:val="zh-CN"/>
              </w:rPr>
              <w:t>小组规定时间内，供应商应提交最后报价（包括总报价及分项报价）。最后报价是供应商响应文件的有效组成部分。</w:t>
            </w:r>
            <w:bookmarkStart w:id="39" w:name="_GoBack"/>
            <w:bookmarkEnd w:id="39"/>
          </w:p>
          <w:p w14:paraId="78D54C5A">
            <w:pPr>
              <w:autoSpaceDE w:val="0"/>
              <w:autoSpaceDN w:val="0"/>
              <w:adjustRightInd w:val="0"/>
              <w:spacing w:line="360" w:lineRule="auto"/>
              <w:ind w:right="-11"/>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②谈判文件第二章“采购需求”中“采购清单”以工程量清单提供的，供应商应以工程量清单方式提交最后报价。</w:t>
            </w:r>
          </w:p>
          <w:p w14:paraId="767F15EA">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③请供应商根据项目情况，可提前准备分项报价。</w:t>
            </w:r>
          </w:p>
        </w:tc>
      </w:tr>
      <w:tr w14:paraId="47E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6" w:type="dxa"/>
            <w:vAlign w:val="center"/>
          </w:tcPr>
          <w:p w14:paraId="3D8D0870">
            <w:pPr>
              <w:autoSpaceDE w:val="0"/>
              <w:autoSpaceDN w:val="0"/>
              <w:adjustRightInd w:val="0"/>
              <w:spacing w:line="276"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33</w:t>
            </w:r>
          </w:p>
        </w:tc>
        <w:tc>
          <w:tcPr>
            <w:tcW w:w="2268" w:type="dxa"/>
            <w:shd w:val="clear" w:color="auto" w:fill="auto"/>
            <w:vAlign w:val="center"/>
          </w:tcPr>
          <w:p w14:paraId="42896707">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t>异常低价审核</w:t>
            </w:r>
          </w:p>
        </w:tc>
        <w:tc>
          <w:tcPr>
            <w:tcW w:w="6813" w:type="dxa"/>
            <w:shd w:val="clear" w:color="auto" w:fill="auto"/>
            <w:vAlign w:val="center"/>
          </w:tcPr>
          <w:p w14:paraId="39A6E5D7">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0E615EEB">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4FCA871C">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343831B1">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4C589B5">
            <w:pPr>
              <w:autoSpaceDE w:val="0"/>
              <w:autoSpaceDN w:val="0"/>
              <w:adjustRightInd w:val="0"/>
              <w:spacing w:line="360" w:lineRule="auto"/>
              <w:jc w:val="both"/>
              <w:rPr>
                <w:rFonts w:hint="eastAsia" w:ascii="ˎ̥" w:hAnsi="ˎ̥" w:eastAsiaTheme="minorEastAsia" w:cstheme="minorBidi"/>
                <w:color w:val="auto"/>
                <w:kern w:val="2"/>
                <w:sz w:val="21"/>
                <w:szCs w:val="22"/>
                <w:highlight w:val="none"/>
                <w:lang w:val="zh-CN" w:eastAsia="zh-CN" w:bidi="ar-SA"/>
              </w:rPr>
            </w:pPr>
            <w:r>
              <w:rPr>
                <w:rFonts w:hint="eastAsia" w:ascii="ˎ̥" w:hAnsi="ˎ̥"/>
                <w:color w:val="auto"/>
                <w:highlight w:val="none"/>
                <w:lang w:val="zh-CN"/>
              </w:rPr>
              <w:t>5.相关法律法规对供应商报价有规定的，从其规定。</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23F967FE">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34</w:t>
            </w:r>
          </w:p>
        </w:tc>
        <w:tc>
          <w:tcPr>
            <w:tcW w:w="2268" w:type="dxa"/>
            <w:vAlign w:val="center"/>
          </w:tcPr>
          <w:p w14:paraId="70B0C2B6">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解释权</w:t>
            </w:r>
          </w:p>
        </w:tc>
        <w:tc>
          <w:tcPr>
            <w:tcW w:w="6813" w:type="dxa"/>
            <w:vAlign w:val="center"/>
          </w:tcPr>
          <w:p w14:paraId="5ED4E47B">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构成谈判文件的各个组成文件应互为解释，互为说明；</w:t>
            </w:r>
          </w:p>
          <w:p w14:paraId="0B0A6A21">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1.除谈判文件中有特别规定外，仅适用于谈判阶段的规定，按谈判公告（谈判邀请书）、谈判人须知、评标办法的先后顺序解释；</w:t>
            </w:r>
          </w:p>
          <w:p w14:paraId="67D8CFCD">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zh-CN"/>
              </w:rPr>
              <w:t>同一组成文件中就同一事项的规定或约定不一致的，以编排顺序在后者为准；</w:t>
            </w:r>
          </w:p>
          <w:p w14:paraId="0CDFEC5E">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zh-CN"/>
              </w:rPr>
              <w:t>同一组成文件不同版本之间有不一致的，以形成时间在后者为准；</w:t>
            </w:r>
          </w:p>
          <w:p w14:paraId="366EEA55">
            <w:pPr>
              <w:wordWrap w:val="0"/>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按本款前述规定仍不能形成结论的，由采购人负责解释。</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6BE535DB">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35</w:t>
            </w:r>
          </w:p>
        </w:tc>
        <w:tc>
          <w:tcPr>
            <w:tcW w:w="2268" w:type="dxa"/>
            <w:vAlign w:val="center"/>
          </w:tcPr>
          <w:p w14:paraId="794BEA04">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知识产权</w:t>
            </w:r>
          </w:p>
        </w:tc>
        <w:tc>
          <w:tcPr>
            <w:tcW w:w="6813" w:type="dxa"/>
          </w:tcPr>
          <w:p w14:paraId="0C1FA415">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17A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shd w:val="clear" w:color="auto" w:fill="auto"/>
            <w:vAlign w:val="center"/>
          </w:tcPr>
          <w:p w14:paraId="00210681">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36</w:t>
            </w:r>
          </w:p>
        </w:tc>
        <w:tc>
          <w:tcPr>
            <w:tcW w:w="2268" w:type="dxa"/>
            <w:vAlign w:val="center"/>
          </w:tcPr>
          <w:p w14:paraId="7E14A23D">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投标文件的拒收</w:t>
            </w:r>
          </w:p>
        </w:tc>
        <w:tc>
          <w:tcPr>
            <w:tcW w:w="6813" w:type="dxa"/>
            <w:vAlign w:val="center"/>
          </w:tcPr>
          <w:p w14:paraId="0B21F9C7">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1.未成功上传的投标文件；</w:t>
            </w:r>
          </w:p>
          <w:p w14:paraId="0CCDC648">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2.未进行解密或未按要求成功解密的投标文件。</w:t>
            </w:r>
          </w:p>
        </w:tc>
      </w:tr>
      <w:tr w14:paraId="4C0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F0AD9">
            <w:pPr>
              <w:autoSpaceDE w:val="0"/>
              <w:autoSpaceDN w:val="0"/>
              <w:adjustRightInd w:val="0"/>
              <w:spacing w:line="276"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37</w:t>
            </w:r>
          </w:p>
        </w:tc>
        <w:tc>
          <w:tcPr>
            <w:tcW w:w="2268" w:type="dxa"/>
            <w:vAlign w:val="center"/>
          </w:tcPr>
          <w:p w14:paraId="7D07932B">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特别提示</w:t>
            </w:r>
          </w:p>
        </w:tc>
        <w:tc>
          <w:tcPr>
            <w:tcW w:w="6813" w:type="dxa"/>
            <w:vAlign w:val="center"/>
          </w:tcPr>
          <w:p w14:paraId="1E23D7B5">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rPr>
              <w:t>按照《关于推进全流程电子化交易和在线监管工作有关问题的通知》（许公管办〔2019〕3号）规定：</w:t>
            </w:r>
          </w:p>
          <w:p w14:paraId="0B6CF904">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1A124C9">
            <w:pPr>
              <w:autoSpaceDE w:val="0"/>
              <w:autoSpaceDN w:val="0"/>
              <w:adjustRightInd w:val="0"/>
              <w:spacing w:line="360" w:lineRule="auto"/>
              <w:contextualSpacing/>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评审专家应严格按照要求查看“硬件特征码”相关信息并进行评审，在评审报告中显示“不同供应商电子响应文件制作硬件特征码”是否雷同的分析及判定结果。</w:t>
            </w:r>
          </w:p>
          <w:p w14:paraId="3F0DB5A1">
            <w:pPr>
              <w:pStyle w:val="15"/>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项目编号以本</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文件中的采购编号为准。</w:t>
            </w:r>
          </w:p>
        </w:tc>
      </w:tr>
      <w:tr w14:paraId="334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775360C">
            <w:pPr>
              <w:autoSpaceDE w:val="0"/>
              <w:autoSpaceDN w:val="0"/>
              <w:adjustRightInd w:val="0"/>
              <w:spacing w:line="276"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rPr>
              <w:t>3</w:t>
            </w:r>
            <w:r>
              <w:rPr>
                <w:rFonts w:hint="eastAsia" w:asciiTheme="minorEastAsia" w:hAnsiTheme="minorEastAsia" w:cstheme="minorEastAsia"/>
                <w:color w:val="auto"/>
                <w:sz w:val="21"/>
                <w:szCs w:val="21"/>
                <w:highlight w:val="none"/>
                <w:lang w:val="en-US" w:eastAsia="zh-CN"/>
              </w:rPr>
              <w:t>8</w:t>
            </w:r>
          </w:p>
        </w:tc>
        <w:tc>
          <w:tcPr>
            <w:tcW w:w="2268" w:type="dxa"/>
            <w:vAlign w:val="center"/>
          </w:tcPr>
          <w:p w14:paraId="4256BF56">
            <w:pPr>
              <w:autoSpaceDE w:val="0"/>
              <w:autoSpaceDN w:val="0"/>
              <w:adjustRightInd w:val="0"/>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rPr>
              <w:t>供应商资格</w:t>
            </w:r>
            <w:r>
              <w:rPr>
                <w:rFonts w:hint="eastAsia" w:asciiTheme="minorEastAsia" w:hAnsiTheme="minorEastAsia" w:cstheme="minorEastAsia"/>
                <w:color w:val="auto"/>
                <w:sz w:val="21"/>
                <w:szCs w:val="21"/>
                <w:highlight w:val="none"/>
                <w:lang w:val="en-US" w:eastAsia="zh-CN"/>
              </w:rPr>
              <w:t>核验</w:t>
            </w:r>
          </w:p>
        </w:tc>
        <w:tc>
          <w:tcPr>
            <w:tcW w:w="6813" w:type="dxa"/>
            <w:vAlign w:val="center"/>
          </w:tcPr>
          <w:p w14:paraId="2976E98F">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供应商在成交后，应将由《禹州市政府采购供应商信用承诺函》替代的证明材料提交采购人核验，经核验无误后，发出成交通知书。</w:t>
            </w:r>
          </w:p>
          <w:p w14:paraId="507B2559">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一、法人或者其他组织的营业执照等证明文件，自然人的身份证明</w:t>
            </w:r>
          </w:p>
          <w:p w14:paraId="3F2BAD57">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1.企业法人营业执照或营业执照（企业提供）</w:t>
            </w:r>
          </w:p>
          <w:p w14:paraId="7FBA9AB7">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2.事业单位法人证书（事业单位提供）</w:t>
            </w:r>
          </w:p>
          <w:p w14:paraId="179638D3">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3.执业许可证（非企业专业服务机构提供）</w:t>
            </w:r>
          </w:p>
          <w:p w14:paraId="095F3B6C">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4.个体工商户营业执照（个体工商户提供）</w:t>
            </w:r>
          </w:p>
          <w:p w14:paraId="5844E6BC">
            <w:pPr>
              <w:autoSpaceDE w:val="0"/>
              <w:autoSpaceDN w:val="0"/>
              <w:adjustRightInd w:val="0"/>
              <w:spacing w:line="360" w:lineRule="auto"/>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5.自然人身份证明（自然人提供）</w:t>
            </w:r>
          </w:p>
          <w:p w14:paraId="2CE6BE9B">
            <w:pPr>
              <w:autoSpaceDE w:val="0"/>
              <w:autoSpaceDN w:val="0"/>
              <w:adjustRightInd w:val="0"/>
              <w:spacing w:line="360" w:lineRule="auto"/>
              <w:jc w:val="left"/>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二、财务状况报告相关材料</w:t>
            </w:r>
          </w:p>
          <w:p w14:paraId="474C7107">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（1）供应商是法人（法人包括企业法人、机关法人、事业单位法人和社会团体法人），提供本单位：</w:t>
            </w:r>
          </w:p>
          <w:p w14:paraId="328C52A9">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①2024年度</w:t>
            </w:r>
            <w:r>
              <w:rPr>
                <w:rFonts w:hint="eastAsia" w:asciiTheme="minorEastAsia" w:hAnsiTheme="minorEastAsia" w:cstheme="minorEastAsia"/>
                <w:bCs/>
                <w:color w:val="auto"/>
                <w:sz w:val="21"/>
                <w:szCs w:val="21"/>
                <w:highlight w:val="none"/>
                <w:lang w:eastAsia="zh-CN"/>
              </w:rPr>
              <w:t>或</w:t>
            </w:r>
            <w:r>
              <w:rPr>
                <w:rFonts w:hint="eastAsia" w:asciiTheme="minorEastAsia" w:hAnsiTheme="minorEastAsia" w:cstheme="minorEastAsia"/>
                <w:bCs/>
                <w:color w:val="auto"/>
                <w:sz w:val="21"/>
                <w:szCs w:val="21"/>
                <w:highlight w:val="none"/>
                <w:lang w:val="en-US" w:eastAsia="zh-CN"/>
              </w:rPr>
              <w:t>2025年度</w:t>
            </w:r>
            <w:r>
              <w:rPr>
                <w:rFonts w:hint="eastAsia" w:asciiTheme="minorEastAsia" w:hAnsiTheme="minorEastAsia" w:cstheme="minorEastAsia"/>
                <w:bCs/>
                <w:color w:val="auto"/>
                <w:sz w:val="21"/>
                <w:szCs w:val="21"/>
                <w:highlight w:val="none"/>
              </w:rPr>
              <w:t>经审计的财务报告；</w:t>
            </w:r>
          </w:p>
          <w:p w14:paraId="477E8829">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②基本开户银行出具的资信证明；</w:t>
            </w:r>
          </w:p>
          <w:p w14:paraId="304CDE57">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③财政部门认可的政府采购专业担保机构的证明文件和担保机构出具的投标担保函。</w:t>
            </w:r>
          </w:p>
          <w:p w14:paraId="7C4B2E86">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①～③其中之一即可。</w:t>
            </w:r>
          </w:p>
          <w:p w14:paraId="15C8E7E1">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（2）供应商（其他组织和自然人）提供本单位：</w:t>
            </w:r>
          </w:p>
          <w:p w14:paraId="218047D6">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①2024年度</w:t>
            </w:r>
            <w:r>
              <w:rPr>
                <w:rFonts w:hint="eastAsia" w:asciiTheme="minorEastAsia" w:hAnsiTheme="minorEastAsia" w:cstheme="minorEastAsia"/>
                <w:bCs/>
                <w:color w:val="auto"/>
                <w:sz w:val="21"/>
                <w:szCs w:val="21"/>
                <w:highlight w:val="none"/>
                <w:lang w:eastAsia="zh-CN"/>
              </w:rPr>
              <w:t>或</w:t>
            </w:r>
            <w:r>
              <w:rPr>
                <w:rFonts w:hint="eastAsia" w:asciiTheme="minorEastAsia" w:hAnsiTheme="minorEastAsia" w:cstheme="minorEastAsia"/>
                <w:bCs/>
                <w:color w:val="auto"/>
                <w:sz w:val="21"/>
                <w:szCs w:val="21"/>
                <w:highlight w:val="none"/>
                <w:lang w:val="en-US" w:eastAsia="zh-CN"/>
              </w:rPr>
              <w:t>2025年度</w:t>
            </w:r>
            <w:r>
              <w:rPr>
                <w:rFonts w:hint="eastAsia" w:asciiTheme="minorEastAsia" w:hAnsiTheme="minorEastAsia" w:cstheme="minorEastAsia"/>
                <w:bCs/>
                <w:color w:val="auto"/>
                <w:sz w:val="21"/>
                <w:szCs w:val="21"/>
                <w:highlight w:val="none"/>
              </w:rPr>
              <w:t>经审计的财务报告；</w:t>
            </w:r>
          </w:p>
          <w:p w14:paraId="65C1C37D">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②银行出具的资信证明；</w:t>
            </w:r>
          </w:p>
          <w:p w14:paraId="3B0B4F01">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③财政部门认可的政府采购专业担保机构的证明文件和担保机构出具的投标担保函。</w:t>
            </w:r>
          </w:p>
          <w:p w14:paraId="0C5DC8B4">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①～③其中之一即可。</w:t>
            </w:r>
          </w:p>
          <w:p w14:paraId="430EE60D">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三、依法缴纳税收相关材料</w:t>
            </w:r>
          </w:p>
          <w:p w14:paraId="2F10D818">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参加本次政府采购项目谈判响应截止时间前</w:t>
            </w:r>
            <w:r>
              <w:rPr>
                <w:rFonts w:hint="eastAsia" w:asciiTheme="minorEastAsia" w:hAnsiTheme="minorEastAsia" w:cstheme="minorEastAsia"/>
                <w:bCs/>
                <w:color w:val="auto"/>
                <w:sz w:val="21"/>
                <w:szCs w:val="21"/>
                <w:highlight w:val="none"/>
                <w:lang w:val="en-US" w:eastAsia="zh-CN"/>
              </w:rPr>
              <w:t>6个月</w:t>
            </w:r>
            <w:r>
              <w:rPr>
                <w:rFonts w:hint="eastAsia" w:asciiTheme="minorEastAsia" w:hAnsiTheme="minorEastAsia" w:cstheme="minorEastAsia"/>
                <w:bCs/>
                <w:color w:val="auto"/>
                <w:sz w:val="21"/>
                <w:szCs w:val="21"/>
                <w:highlight w:val="none"/>
                <w:lang w:val="zh-CN"/>
              </w:rPr>
              <w:t>内任意一个月缴纳税收凭据。（依法免税的供应商，应提供相应文件证明依法免税）</w:t>
            </w:r>
          </w:p>
          <w:p w14:paraId="29DB9B1C">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四、依法缴纳社会保障资金的证明材料</w:t>
            </w:r>
          </w:p>
          <w:p w14:paraId="46AA67C4">
            <w:pPr>
              <w:autoSpaceDE w:val="0"/>
              <w:autoSpaceDN w:val="0"/>
              <w:adjustRightInd w:val="0"/>
              <w:spacing w:line="360" w:lineRule="auto"/>
              <w:ind w:right="-11"/>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参加本次政府采购项目谈判响应截止时间前</w:t>
            </w:r>
            <w:r>
              <w:rPr>
                <w:rFonts w:hint="eastAsia" w:asciiTheme="minorEastAsia" w:hAnsiTheme="minorEastAsia" w:cstheme="minorEastAsia"/>
                <w:bCs/>
                <w:color w:val="auto"/>
                <w:sz w:val="21"/>
                <w:szCs w:val="21"/>
                <w:highlight w:val="none"/>
                <w:lang w:val="en-US" w:eastAsia="zh-CN"/>
              </w:rPr>
              <w:t>6个月</w:t>
            </w:r>
            <w:r>
              <w:rPr>
                <w:rFonts w:hint="eastAsia" w:asciiTheme="minorEastAsia" w:hAnsiTheme="minorEastAsia" w:cstheme="minorEastAsia"/>
                <w:bCs/>
                <w:color w:val="auto"/>
                <w:sz w:val="21"/>
                <w:szCs w:val="21"/>
                <w:highlight w:val="none"/>
                <w:lang w:val="zh-CN"/>
              </w:rPr>
              <w:t>内任意一个月缴纳社会保险凭据。（依法不需要缴纳社会保障资金的供应商，应提供相应文件证明依法不需要缴纳社会保障资金）</w:t>
            </w:r>
          </w:p>
          <w:p w14:paraId="67110F27">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五、履行合同所必需的设备和专业技术能力的证明材料</w:t>
            </w:r>
          </w:p>
          <w:p w14:paraId="56FB9295">
            <w:pPr>
              <w:autoSpaceDE w:val="0"/>
              <w:autoSpaceDN w:val="0"/>
              <w:adjustRightInd w:val="0"/>
              <w:spacing w:line="360" w:lineRule="auto"/>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①相关设备的购置发票、专业技术人员职称证书、用工合同等；</w:t>
            </w:r>
          </w:p>
          <w:p w14:paraId="135593D5">
            <w:pPr>
              <w:spacing w:line="360" w:lineRule="auto"/>
              <w:rPr>
                <w:rFonts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rPr>
              <w:t>②供应商具备履行合同所必需的设备和专业技术能力承诺函或声明（承诺函或声明格式自拟）。</w:t>
            </w:r>
          </w:p>
          <w:p w14:paraId="15A630B9">
            <w:pPr>
              <w:autoSpaceDE w:val="0"/>
              <w:autoSpaceDN w:val="0"/>
              <w:adjustRightInd w:val="0"/>
              <w:spacing w:line="360" w:lineRule="auto"/>
              <w:ind w:right="-11"/>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zh-CN"/>
              </w:rPr>
              <w:t>注：仅需提供序号</w:t>
            </w:r>
            <w:r>
              <w:rPr>
                <w:rFonts w:hint="eastAsia" w:asciiTheme="minorEastAsia" w:hAnsiTheme="minorEastAsia" w:cstheme="minorEastAsia"/>
                <w:color w:val="auto"/>
                <w:sz w:val="21"/>
                <w:szCs w:val="21"/>
                <w:highlight w:val="none"/>
              </w:rPr>
              <w:t>①～②其中之一即可。</w:t>
            </w:r>
          </w:p>
          <w:p w14:paraId="263BEC9C">
            <w:pPr>
              <w:autoSpaceDE w:val="0"/>
              <w:autoSpaceDN w:val="0"/>
              <w:adjustRightInd w:val="0"/>
              <w:spacing w:line="360" w:lineRule="auto"/>
              <w:ind w:right="-11"/>
              <w:rPr>
                <w:rFonts w:asciiTheme="minorEastAsia" w:hAnsiTheme="minorEastAsia" w:cstheme="minorEastAsia"/>
                <w:b/>
                <w:bCs/>
                <w:color w:val="auto"/>
                <w:sz w:val="21"/>
                <w:szCs w:val="21"/>
                <w:highlight w:val="none"/>
                <w:lang w:val="zh-CN"/>
              </w:rPr>
            </w:pPr>
            <w:r>
              <w:rPr>
                <w:rFonts w:hint="eastAsia" w:asciiTheme="minorEastAsia" w:hAnsiTheme="minorEastAsia" w:cstheme="minorEastAsia"/>
                <w:b/>
                <w:color w:val="auto"/>
                <w:kern w:val="0"/>
                <w:sz w:val="21"/>
                <w:szCs w:val="21"/>
                <w:highlight w:val="none"/>
              </w:rPr>
              <w:t>六、</w:t>
            </w:r>
            <w:r>
              <w:rPr>
                <w:rFonts w:hint="eastAsia" w:asciiTheme="minorEastAsia" w:hAnsiTheme="minorEastAsia" w:cstheme="minorEastAsia"/>
                <w:b/>
                <w:bCs/>
                <w:color w:val="auto"/>
                <w:sz w:val="21"/>
                <w:szCs w:val="21"/>
                <w:highlight w:val="none"/>
                <w:lang w:val="zh-CN"/>
              </w:rPr>
              <w:t>参加政府采购活动前3年内在经营活动中没有重大违法记录的声明</w:t>
            </w:r>
          </w:p>
          <w:p w14:paraId="67290071">
            <w:pPr>
              <w:autoSpaceDE w:val="0"/>
              <w:autoSpaceDN w:val="0"/>
              <w:spacing w:line="360" w:lineRule="auto"/>
              <w:contextualSpacing/>
              <w:jc w:val="left"/>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9A22030">
            <w:pPr>
              <w:wordWrap w:val="0"/>
              <w:autoSpaceDE w:val="0"/>
              <w:autoSpaceDN w:val="0"/>
              <w:spacing w:line="360" w:lineRule="auto"/>
              <w:contextualSpacing/>
              <w:jc w:val="left"/>
              <w:rPr>
                <w:rFonts w:asciiTheme="minorEastAsia" w:hAnsiTheme="minorEastAsia" w:cstheme="minorEastAsia"/>
                <w:color w:val="auto"/>
                <w:kern w:val="0"/>
                <w:sz w:val="21"/>
                <w:szCs w:val="21"/>
                <w:highlight w:val="none"/>
              </w:rPr>
            </w:pPr>
            <w:r>
              <w:rPr>
                <w:rFonts w:hint="eastAsia" w:asciiTheme="minorEastAsia" w:hAnsiTheme="minorEastAsia" w:cstheme="minorEastAsia"/>
                <w:b/>
                <w:bCs/>
                <w:color w:val="auto"/>
                <w:sz w:val="21"/>
                <w:szCs w:val="21"/>
                <w:highlight w:val="none"/>
                <w:lang w:val="zh-CN"/>
              </w:rPr>
              <w:t>七、</w:t>
            </w:r>
            <w:r>
              <w:rPr>
                <w:rFonts w:hint="eastAsia" w:asciiTheme="minorEastAsia" w:hAnsiTheme="minorEastAsia" w:cstheme="minorEastAsia"/>
                <w:b/>
                <w:color w:val="auto"/>
                <w:sz w:val="21"/>
                <w:szCs w:val="21"/>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
                <w:color w:val="auto"/>
                <w:sz w:val="21"/>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 w:val="21"/>
                <w:szCs w:val="21"/>
                <w:highlight w:val="none"/>
                <w:shd w:val="clear" w:color="auto" w:fill="FFFFFF"/>
                <w:lang w:eastAsia="zh-CN"/>
              </w:rPr>
              <w:t>（以</w:t>
            </w:r>
            <w:r>
              <w:rPr>
                <w:rFonts w:hint="eastAsia" w:asciiTheme="minorEastAsia" w:hAnsiTheme="minorEastAsia" w:cstheme="minorEastAsia"/>
                <w:b w:val="0"/>
                <w:bCs/>
                <w:color w:val="auto"/>
                <w:kern w:val="0"/>
                <w:sz w:val="21"/>
                <w:szCs w:val="21"/>
                <w:highlight w:val="none"/>
              </w:rPr>
              <w:t>联</w:t>
            </w:r>
            <w:r>
              <w:rPr>
                <w:rFonts w:hint="eastAsia" w:asciiTheme="minorEastAsia" w:hAnsiTheme="minorEastAsia" w:cstheme="minorEastAsia"/>
                <w:color w:val="auto"/>
                <w:kern w:val="0"/>
                <w:sz w:val="21"/>
                <w:szCs w:val="21"/>
                <w:highlight w:val="none"/>
              </w:rPr>
              <w:t>合体形式投标的，联合体成员存在不良信用记录，视同联合体存在不良信用记录）。</w:t>
            </w:r>
          </w:p>
          <w:p w14:paraId="50C2653C">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eastAsia="zh-CN"/>
              </w:rPr>
              <w:t>1.</w:t>
            </w:r>
            <w:r>
              <w:rPr>
                <w:rFonts w:hint="eastAsia" w:asciiTheme="minorEastAsia" w:hAnsiTheme="minorEastAsia" w:cstheme="minorEastAsia"/>
                <w:color w:val="auto"/>
                <w:kern w:val="0"/>
                <w:sz w:val="21"/>
                <w:szCs w:val="21"/>
                <w:highlight w:val="none"/>
              </w:rPr>
              <w:t>查询渠道</w:t>
            </w:r>
          </w:p>
          <w:p w14:paraId="6D44763C">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①“信用中国”网站（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hint="eastAsia" w:asciiTheme="minorEastAsia" w:hAnsiTheme="minorEastAsia" w:cstheme="minorEastAsia"/>
                <w:color w:val="auto"/>
                <w:kern w:val="0"/>
                <w:sz w:val="21"/>
                <w:szCs w:val="21"/>
                <w:highlight w:val="none"/>
              </w:rPr>
              <w:t>www.creditchina.gov.cn</w:t>
            </w:r>
            <w:r>
              <w:rPr>
                <w:rFonts w:hint="eastAsia" w:asciiTheme="minorEastAsia" w:hAnsiTheme="minorEastAsia" w:cstheme="minorEastAsia"/>
                <w:color w:val="auto"/>
                <w:kern w:val="0"/>
                <w:sz w:val="21"/>
                <w:szCs w:val="21"/>
                <w:highlight w:val="none"/>
              </w:rPr>
              <w:fldChar w:fldCharType="end"/>
            </w:r>
            <w:r>
              <w:rPr>
                <w:rFonts w:hint="eastAsia" w:asciiTheme="minorEastAsia" w:hAnsiTheme="minorEastAsia" w:cstheme="minorEastAsia"/>
                <w:color w:val="auto"/>
                <w:kern w:val="0"/>
                <w:sz w:val="21"/>
                <w:szCs w:val="21"/>
                <w:highlight w:val="none"/>
              </w:rPr>
              <w:t>）</w:t>
            </w:r>
          </w:p>
          <w:p w14:paraId="0425A8F3">
            <w:pPr>
              <w:spacing w:line="360" w:lineRule="auto"/>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②“中国政府采购网”（www.ccgp.gov.cn）</w:t>
            </w:r>
          </w:p>
          <w:p w14:paraId="501A0E81">
            <w:pPr>
              <w:spacing w:line="360" w:lineRule="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③“中国社会组织政务服务平台”网站（https://chinanpo.mca.gov.cn）（仅查询社会组织）；</w:t>
            </w:r>
          </w:p>
        </w:tc>
      </w:tr>
      <w:tr w14:paraId="707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3B397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38</w:t>
            </w:r>
          </w:p>
        </w:tc>
        <w:tc>
          <w:tcPr>
            <w:tcW w:w="2268" w:type="dxa"/>
            <w:vAlign w:val="center"/>
          </w:tcPr>
          <w:p w14:paraId="3FE1E567">
            <w:pPr>
              <w:autoSpaceDE w:val="0"/>
              <w:autoSpaceDN w:val="0"/>
              <w:adjustRightInd w:val="0"/>
              <w:spacing w:line="276"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投诉渠道</w:t>
            </w:r>
          </w:p>
        </w:tc>
        <w:tc>
          <w:tcPr>
            <w:tcW w:w="6813" w:type="dxa"/>
            <w:vAlign w:val="center"/>
          </w:tcPr>
          <w:p w14:paraId="29FD4DB2">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供应商在评标结果和中标结果公示期间， 按照《政府采购质疑和投诉办法》的有关规定，已质疑的供应商可以依法向财政部门提起书面投诉。</w:t>
            </w:r>
          </w:p>
          <w:p w14:paraId="476CE7E9">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受理部门：禹州市政府采购监督管理办公室</w:t>
            </w:r>
          </w:p>
          <w:p w14:paraId="6482A840">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受理电话：0374-8112523   </w:t>
            </w:r>
          </w:p>
          <w:p w14:paraId="0FC6EC86">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电子邮箱：yzscgb8112523@163.com</w:t>
            </w:r>
          </w:p>
          <w:p w14:paraId="0FCA8F68">
            <w:pPr>
              <w:autoSpaceDE w:val="0"/>
              <w:autoSpaceDN w:val="0"/>
              <w:spacing w:line="360" w:lineRule="auto"/>
              <w:contextualSpacing/>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 xml:space="preserve">   通讯地址：禹州市行政北路2号禹州市财政局1305房间</w:t>
            </w:r>
          </w:p>
        </w:tc>
      </w:tr>
      <w:tr w14:paraId="68B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3EB8F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39</w:t>
            </w:r>
          </w:p>
        </w:tc>
        <w:tc>
          <w:tcPr>
            <w:tcW w:w="2268" w:type="dxa"/>
            <w:vAlign w:val="center"/>
          </w:tcPr>
          <w:p w14:paraId="76C962BE">
            <w:pPr>
              <w:autoSpaceDE w:val="0"/>
              <w:autoSpaceDN w:val="0"/>
              <w:adjustRightInd w:val="0"/>
              <w:spacing w:line="360"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政府采购合同</w:t>
            </w:r>
          </w:p>
          <w:p w14:paraId="45184BE5">
            <w:pPr>
              <w:autoSpaceDE w:val="0"/>
              <w:autoSpaceDN w:val="0"/>
              <w:adjustRightInd w:val="0"/>
              <w:spacing w:line="360" w:lineRule="auto"/>
              <w:jc w:val="center"/>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融资政策告知函</w:t>
            </w:r>
          </w:p>
        </w:tc>
        <w:tc>
          <w:tcPr>
            <w:tcW w:w="6813" w:type="dxa"/>
            <w:vAlign w:val="center"/>
          </w:tcPr>
          <w:p w14:paraId="680B70BB">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7A9831C8">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767DCC1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D5DE19B">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EA7A2F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BFD0306">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289B8A93">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4F35B2A2">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D0ED343">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758C653D">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12F44B24">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154FD852">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56526B0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5A670F85">
      <w:pPr>
        <w:pStyle w:val="16"/>
        <w:rPr>
          <w:rFonts w:hint="eastAsia" w:cs="宋体" w:asciiTheme="minorEastAsia" w:hAnsiTheme="minorEastAsia"/>
          <w:b/>
          <w:color w:val="auto"/>
          <w:kern w:val="0"/>
          <w:sz w:val="32"/>
          <w:szCs w:val="32"/>
          <w:highlight w:val="none"/>
        </w:rPr>
      </w:pPr>
    </w:p>
    <w:p w14:paraId="3E0D4BCD">
      <w:pPr>
        <w:pStyle w:val="16"/>
        <w:ind w:left="0" w:leftChars="0" w:firstLine="0" w:firstLineChars="0"/>
        <w:rPr>
          <w:rFonts w:hint="eastAsia"/>
          <w:color w:val="auto"/>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1" w:name="OLE_LINK71"/>
      <w:bookmarkStart w:id="22" w:name="OLE_LINK70"/>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1"/>
      <w:bookmarkEnd w:id="22"/>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1"/>
          <w:rFonts w:hint="eastAsia" w:ascii="宋体" w:hAnsi="宋体" w:eastAsia="宋体" w:cs="宋体"/>
          <w:color w:val="auto"/>
          <w:kern w:val="0"/>
          <w:szCs w:val="21"/>
          <w:highlight w:val="none"/>
        </w:rPr>
        <w:t>https://chinanpo.mca.gov.cn</w:t>
      </w:r>
      <w:r>
        <w:rPr>
          <w:rStyle w:val="21"/>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3" w:name="OLE_LINK72"/>
      <w:bookmarkStart w:id="24" w:name="OLE_LINK73"/>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3"/>
      <w:bookmarkEnd w:id="24"/>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5" w:name="OLE_LINK74"/>
      <w:bookmarkStart w:id="26" w:name="OLE_LINK75"/>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5"/>
      <w:bookmarkEnd w:id="26"/>
    </w:p>
    <w:p w14:paraId="708ABB3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w:t>
      </w:r>
      <w:r>
        <w:rPr>
          <w:rFonts w:hint="eastAsia" w:ascii="宋体" w:hAnsi="宋体" w:eastAsia="宋体" w:cs="宋体"/>
          <w:color w:val="auto"/>
          <w:kern w:val="0"/>
          <w:szCs w:val="21"/>
          <w:highlight w:val="none"/>
          <w:lang w:eastAsia="zh-CN"/>
        </w:rPr>
        <w:t>通过</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6"/>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35E5ED17">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12.8异常低价审查。 </w:t>
      </w:r>
    </w:p>
    <w:p w14:paraId="0D6F1714">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12.8.1审中出现下列情形之一的，评标委员会应当启动异常低价投标审查程序：</w:t>
      </w:r>
    </w:p>
    <w:p w14:paraId="11D4FCE1">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（1）投标报价低于全部通过符合性审查供应商投标报价平均值50%的，即投标报价〈全部通过符合性审查供应商投标报价平均值×50%；</w:t>
      </w:r>
    </w:p>
    <w:p w14:paraId="59FEB13A">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34807A1F">
      <w:pPr>
        <w:pStyle w:val="26"/>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（3）投标报价低于采购项目最高限价45%的，即投标报价〈采购项目最高限价×45%； </w:t>
      </w:r>
    </w:p>
    <w:p w14:paraId="4A0F1E72">
      <w:pPr>
        <w:pStyle w:val="26"/>
        <w:numPr>
          <w:ilvl w:val="0"/>
          <w:numId w:val="0"/>
        </w:numPr>
        <w:autoSpaceDE w:val="0"/>
        <w:autoSpaceDN w:val="0"/>
        <w:spacing w:line="360" w:lineRule="auto"/>
        <w:ind w:leftChars="0" w:firstLine="210" w:firstLineChars="1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（4）谈判小组基于专业判断，认为供应商报价过低，有可能影响产品质量或者不能诚信履约的 其他情形。</w:t>
      </w:r>
    </w:p>
    <w:p w14:paraId="5D1F60E2">
      <w:pPr>
        <w:pStyle w:val="26"/>
        <w:numPr>
          <w:ilvl w:val="0"/>
          <w:numId w:val="0"/>
        </w:numPr>
        <w:autoSpaceDE w:val="0"/>
        <w:autoSpaceDN w:val="0"/>
        <w:spacing w:line="360" w:lineRule="auto"/>
        <w:ind w:leftChars="0" w:firstLine="210" w:firstLineChars="1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（5）相关法律法规对供应商报价有规定的，从其规定。</w:t>
      </w:r>
    </w:p>
    <w:p w14:paraId="5F411547">
      <w:pPr>
        <w:pStyle w:val="26"/>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12.8.2谈判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成本、制造费用等。其中，属于第3项情形，供应商已随投标文件一并提交相关书面说明及必要的证明材料的，在评审现场可不再重复提交。</w:t>
      </w:r>
    </w:p>
    <w:p w14:paraId="141D9061">
      <w:pPr>
        <w:pStyle w:val="26"/>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cs="宋体" w:asciiTheme="minorEastAsia" w:hAnsiTheme="minorEastAsia"/>
          <w:color w:val="auto"/>
          <w:kern w:val="0"/>
          <w:szCs w:val="21"/>
          <w:highlight w:val="none"/>
          <w:lang w:val="en-US" w:eastAsia="zh-CN"/>
        </w:rPr>
        <w:t>12.8.3 谈判小组依据专业经验，参考同类项目中标价格、类似产品市场价格水平、行业人工费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14:paraId="6C68BC6C">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6"/>
        <w:autoSpaceDE w:val="0"/>
        <w:autoSpaceDN w:val="0"/>
        <w:spacing w:line="360" w:lineRule="auto"/>
        <w:rPr>
          <w:rFonts w:hint="eastAsia" w:ascii="宋体" w:hAnsi="宋体" w:eastAsia="宋体" w:cs="宋体"/>
          <w:color w:val="auto"/>
          <w:kern w:val="0"/>
          <w:szCs w:val="21"/>
          <w:highlight w:val="none"/>
        </w:rPr>
      </w:pPr>
      <w:bookmarkStart w:id="27" w:name="OLE_LINK79"/>
      <w:bookmarkStart w:id="28" w:name="OLE_LINK78"/>
      <w:r>
        <w:rPr>
          <w:rFonts w:hint="eastAsia" w:ascii="宋体" w:hAnsi="宋体" w:eastAsia="宋体" w:cs="宋体"/>
          <w:color w:val="auto"/>
          <w:kern w:val="0"/>
          <w:szCs w:val="21"/>
          <w:highlight w:val="none"/>
        </w:rPr>
        <w:t>14.5</w:t>
      </w:r>
      <w:bookmarkStart w:id="29"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6"/>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27"/>
      <w:bookmarkEnd w:id="28"/>
      <w:bookmarkEnd w:id="29"/>
    </w:p>
    <w:p w14:paraId="0C860080">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6"/>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0" w:name="OLE_LINK82"/>
      <w:bookmarkStart w:id="31" w:name="OLE_LINK81"/>
      <w:r>
        <w:rPr>
          <w:rFonts w:hint="eastAsia" w:ascii="宋体" w:hAnsi="宋体" w:eastAsia="宋体" w:cs="宋体"/>
          <w:color w:val="auto"/>
          <w:kern w:val="0"/>
          <w:szCs w:val="21"/>
          <w:highlight w:val="none"/>
        </w:rPr>
        <w:t>在提交截止时间以后上传的响应文件，采购人、采购代理机构将予以拒绝。</w:t>
      </w:r>
      <w:bookmarkEnd w:id="30"/>
      <w:bookmarkEnd w:id="31"/>
    </w:p>
    <w:p w14:paraId="71543681">
      <w:pPr>
        <w:pStyle w:val="26"/>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6"/>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6"/>
        <w:numPr>
          <w:ilvl w:val="0"/>
          <w:numId w:val="6"/>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6"/>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6"/>
        <w:numPr>
          <w:ilvl w:val="1"/>
          <w:numId w:val="7"/>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8"/>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6"/>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6"/>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6"/>
        <w:numPr>
          <w:ilvl w:val="0"/>
          <w:numId w:val="7"/>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6"/>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6"/>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6"/>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6"/>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6"/>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7"/>
        <w:rPr>
          <w:rFonts w:hint="eastAsia" w:ascii="宋体" w:hAnsi="宋体" w:eastAsia="宋体" w:cs="宋体"/>
          <w:color w:val="auto"/>
          <w:sz w:val="21"/>
          <w:szCs w:val="21"/>
          <w:highlight w:val="none"/>
        </w:rPr>
      </w:pPr>
    </w:p>
    <w:p w14:paraId="1A7C78DA">
      <w:pPr>
        <w:pStyle w:val="13"/>
        <w:rPr>
          <w:rFonts w:hint="eastAsia" w:ascii="宋体" w:hAnsi="宋体" w:eastAsia="宋体" w:cs="宋体"/>
          <w:color w:val="auto"/>
          <w:sz w:val="21"/>
          <w:szCs w:val="21"/>
          <w:highlight w:val="none"/>
        </w:rPr>
      </w:pPr>
    </w:p>
    <w:p w14:paraId="64A2E5F9">
      <w:pPr>
        <w:pStyle w:val="13"/>
        <w:rPr>
          <w:rFonts w:hint="eastAsia" w:ascii="宋体" w:hAnsi="宋体" w:eastAsia="宋体" w:cs="宋体"/>
          <w:color w:val="auto"/>
          <w:sz w:val="21"/>
          <w:szCs w:val="21"/>
          <w:highlight w:val="none"/>
        </w:rPr>
      </w:pPr>
    </w:p>
    <w:p w14:paraId="30186874">
      <w:pPr>
        <w:pStyle w:val="13"/>
        <w:rPr>
          <w:rFonts w:hint="eastAsia" w:ascii="宋体" w:hAnsi="宋体" w:eastAsia="宋体" w:cs="宋体"/>
          <w:color w:val="auto"/>
          <w:sz w:val="21"/>
          <w:szCs w:val="21"/>
          <w:highlight w:val="none"/>
        </w:rPr>
      </w:pPr>
    </w:p>
    <w:p w14:paraId="787F320E">
      <w:pPr>
        <w:pStyle w:val="13"/>
        <w:rPr>
          <w:rFonts w:hint="eastAsia" w:ascii="宋体" w:hAnsi="宋体" w:eastAsia="宋体" w:cs="宋体"/>
          <w:color w:val="auto"/>
          <w:sz w:val="21"/>
          <w:szCs w:val="21"/>
          <w:highlight w:val="none"/>
        </w:rPr>
      </w:pPr>
    </w:p>
    <w:p w14:paraId="1F716AB9">
      <w:pPr>
        <w:pStyle w:val="13"/>
        <w:rPr>
          <w:rFonts w:hint="eastAsia" w:ascii="宋体" w:hAnsi="宋体" w:eastAsia="宋体" w:cs="宋体"/>
          <w:color w:val="auto"/>
          <w:sz w:val="21"/>
          <w:szCs w:val="21"/>
          <w:highlight w:val="none"/>
        </w:rPr>
      </w:pPr>
    </w:p>
    <w:p w14:paraId="709BB016">
      <w:pPr>
        <w:pStyle w:val="7"/>
        <w:rPr>
          <w:rFonts w:hint="eastAsia" w:ascii="宋体" w:hAnsi="宋体" w:eastAsia="宋体" w:cs="宋体"/>
          <w:color w:val="auto"/>
          <w:sz w:val="21"/>
          <w:szCs w:val="21"/>
          <w:highlight w:val="none"/>
        </w:rPr>
      </w:pPr>
    </w:p>
    <w:p w14:paraId="46B28DF2">
      <w:pPr>
        <w:pStyle w:val="7"/>
        <w:rPr>
          <w:rFonts w:hint="eastAsia" w:ascii="宋体" w:hAnsi="宋体" w:eastAsia="宋体" w:cs="宋体"/>
          <w:color w:val="auto"/>
          <w:sz w:val="21"/>
          <w:szCs w:val="21"/>
          <w:highlight w:val="none"/>
        </w:rPr>
      </w:pPr>
    </w:p>
    <w:p w14:paraId="16D015D9">
      <w:pPr>
        <w:pStyle w:val="7"/>
        <w:rPr>
          <w:rFonts w:hint="eastAsia" w:ascii="宋体" w:hAnsi="宋体" w:eastAsia="宋体" w:cs="宋体"/>
          <w:color w:val="auto"/>
          <w:sz w:val="21"/>
          <w:szCs w:val="21"/>
          <w:highlight w:val="none"/>
        </w:rPr>
      </w:pPr>
    </w:p>
    <w:p w14:paraId="60A2A157">
      <w:pPr>
        <w:pStyle w:val="7"/>
        <w:rPr>
          <w:rFonts w:hint="eastAsia" w:ascii="宋体" w:hAnsi="宋体" w:eastAsia="宋体" w:cs="宋体"/>
          <w:color w:val="auto"/>
          <w:sz w:val="21"/>
          <w:szCs w:val="21"/>
          <w:highlight w:val="none"/>
        </w:rPr>
      </w:pPr>
    </w:p>
    <w:p w14:paraId="44D0145F">
      <w:pPr>
        <w:pStyle w:val="7"/>
        <w:rPr>
          <w:rFonts w:hint="eastAsia" w:ascii="宋体" w:hAnsi="宋体" w:eastAsia="宋体" w:cs="宋体"/>
          <w:color w:val="auto"/>
          <w:sz w:val="21"/>
          <w:szCs w:val="21"/>
          <w:highlight w:val="none"/>
        </w:rPr>
      </w:pPr>
    </w:p>
    <w:p w14:paraId="3DAFDDC0">
      <w:pPr>
        <w:pStyle w:val="7"/>
        <w:rPr>
          <w:rFonts w:hint="eastAsia" w:ascii="宋体" w:hAnsi="宋体" w:eastAsia="宋体" w:cs="宋体"/>
          <w:color w:val="auto"/>
          <w:sz w:val="21"/>
          <w:szCs w:val="21"/>
          <w:highlight w:val="none"/>
        </w:rPr>
      </w:pPr>
    </w:p>
    <w:p w14:paraId="025CD5B2">
      <w:pPr>
        <w:pStyle w:val="7"/>
        <w:rPr>
          <w:rFonts w:hint="eastAsia" w:ascii="宋体" w:hAnsi="宋体" w:eastAsia="宋体" w:cs="宋体"/>
          <w:color w:val="auto"/>
          <w:sz w:val="21"/>
          <w:szCs w:val="21"/>
          <w:highlight w:val="none"/>
        </w:rPr>
      </w:pPr>
    </w:p>
    <w:p w14:paraId="512C9F76">
      <w:pPr>
        <w:pStyle w:val="7"/>
        <w:rPr>
          <w:rFonts w:hint="eastAsia" w:ascii="宋体" w:hAnsi="宋体" w:eastAsia="宋体" w:cs="宋体"/>
          <w:color w:val="auto"/>
          <w:sz w:val="21"/>
          <w:szCs w:val="21"/>
          <w:highlight w:val="none"/>
        </w:rPr>
      </w:pPr>
    </w:p>
    <w:p w14:paraId="192DF53D">
      <w:pPr>
        <w:pStyle w:val="7"/>
        <w:rPr>
          <w:rFonts w:hint="eastAsia" w:ascii="宋体" w:hAnsi="宋体" w:eastAsia="宋体" w:cs="宋体"/>
          <w:color w:val="auto"/>
          <w:sz w:val="21"/>
          <w:szCs w:val="21"/>
          <w:highlight w:val="none"/>
        </w:rPr>
      </w:pPr>
    </w:p>
    <w:p w14:paraId="04E16456">
      <w:pPr>
        <w:pStyle w:val="7"/>
        <w:rPr>
          <w:rFonts w:hint="eastAsia" w:ascii="宋体" w:hAnsi="宋体" w:eastAsia="宋体" w:cs="宋体"/>
          <w:color w:val="auto"/>
          <w:sz w:val="21"/>
          <w:szCs w:val="21"/>
          <w:highlight w:val="none"/>
        </w:rPr>
      </w:pPr>
    </w:p>
    <w:p w14:paraId="202E4743">
      <w:pPr>
        <w:pStyle w:val="13"/>
        <w:rPr>
          <w:rFonts w:hint="eastAsia" w:ascii="宋体" w:hAnsi="宋体" w:eastAsia="宋体" w:cs="宋体"/>
          <w:color w:val="auto"/>
          <w:sz w:val="21"/>
          <w:szCs w:val="21"/>
          <w:highlight w:val="none"/>
        </w:rPr>
      </w:pPr>
    </w:p>
    <w:p w14:paraId="0D1E5544">
      <w:pPr>
        <w:pStyle w:val="13"/>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30"/>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2"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2"/>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（2）资格审查中所涉及的证书及材料，均须在电子投标文件中提供原件扫描件（或图片）。</w:t>
      </w:r>
    </w:p>
    <w:tbl>
      <w:tblPr>
        <w:tblStyle w:val="17"/>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9"/>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9"/>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w:t>
      </w:r>
      <w:r>
        <w:rPr>
          <w:rFonts w:hint="eastAsia" w:ascii="宋体" w:hAnsi="宋体" w:cs="宋体"/>
          <w:b/>
          <w:bCs/>
          <w:color w:val="auto"/>
          <w:sz w:val="21"/>
          <w:szCs w:val="21"/>
          <w:highlight w:val="none"/>
          <w:lang w:val="zh-CN"/>
        </w:rPr>
        <w:t>涉及</w:t>
      </w:r>
      <w:r>
        <w:rPr>
          <w:rFonts w:hint="eastAsia" w:ascii="宋体" w:hAnsi="宋体" w:eastAsia="宋体" w:cs="宋体"/>
          <w:b/>
          <w:bCs/>
          <w:color w:val="auto"/>
          <w:sz w:val="21"/>
          <w:szCs w:val="21"/>
          <w:highlight w:val="none"/>
          <w:lang w:val="zh-CN"/>
        </w:rPr>
        <w:t>的证书及材料，均应在响应文件中提供原件扫描件（或图片）。</w:t>
      </w:r>
    </w:p>
    <w:p w14:paraId="448580FD">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9"/>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9"/>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应当将其作为无效投标处理。</w:t>
      </w:r>
    </w:p>
    <w:p w14:paraId="6666632E">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w:t>
      </w:r>
      <w:r>
        <w:rPr>
          <w:rFonts w:hint="eastAsia" w:cs="仿宋_GB2312" w:asciiTheme="minorEastAsia" w:hAnsiTheme="minorEastAsia"/>
          <w:color w:val="auto"/>
          <w:szCs w:val="21"/>
          <w:highlight w:val="none"/>
          <w:lang w:val="en-US" w:eastAsia="zh-CN"/>
        </w:rPr>
        <w:t>谈判小组</w:t>
      </w:r>
      <w:r>
        <w:rPr>
          <w:rFonts w:hint="eastAsia" w:cs="仿宋_GB2312" w:asciiTheme="minorEastAsia" w:hAnsiTheme="minorEastAsia"/>
          <w:color w:val="auto"/>
          <w:szCs w:val="21"/>
          <w:highlight w:val="none"/>
          <w:lang w:val="zh-CN"/>
        </w:rPr>
        <w:t>应当将其作为无效投标（响应）处理。</w:t>
      </w:r>
    </w:p>
    <w:p w14:paraId="2E359611">
      <w:pPr>
        <w:tabs>
          <w:tab w:val="left" w:pos="1260"/>
        </w:tabs>
        <w:autoSpaceDE w:val="0"/>
        <w:autoSpaceDN w:val="0"/>
        <w:spacing w:line="360" w:lineRule="auto"/>
        <w:ind w:firstLine="420"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）法律法规</w:t>
      </w:r>
      <w:r>
        <w:rPr>
          <w:rFonts w:cs="仿宋_GB2312" w:asciiTheme="minorEastAsia" w:hAnsiTheme="minorEastAsia"/>
          <w:color w:val="auto"/>
          <w:szCs w:val="21"/>
          <w:highlight w:val="none"/>
          <w:lang w:val="zh-CN"/>
        </w:rPr>
        <w:t>和招标文件规定的其他无效情形。</w:t>
      </w:r>
    </w:p>
    <w:p w14:paraId="4DA04E0A">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9"/>
        <w:spacing w:line="360" w:lineRule="auto"/>
        <w:contextualSpacing/>
        <w:rPr>
          <w:rFonts w:hint="eastAsia" w:ascii="宋体" w:hAnsi="宋体" w:eastAsia="宋体" w:cs="宋体"/>
          <w:b/>
          <w:color w:val="auto"/>
          <w:sz w:val="21"/>
          <w:szCs w:val="21"/>
          <w:highlight w:val="none"/>
          <w:lang w:val="zh-CN"/>
        </w:rPr>
      </w:pPr>
    </w:p>
    <w:p w14:paraId="1B85BBB5">
      <w:pPr>
        <w:pStyle w:val="9"/>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6"/>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5"/>
        <w:ind w:firstLine="340"/>
        <w:rPr>
          <w:rFonts w:hint="eastAsia" w:ascii="宋体" w:hAnsi="宋体" w:eastAsia="宋体" w:cs="宋体"/>
          <w:color w:val="auto"/>
          <w:highlight w:val="none"/>
        </w:rPr>
      </w:pPr>
    </w:p>
    <w:p w14:paraId="2D4AB35F">
      <w:pPr>
        <w:pStyle w:val="3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5"/>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7"/>
        <w:rPr>
          <w:rFonts w:hint="eastAsia" w:ascii="宋体" w:hAnsi="宋体" w:eastAsia="宋体" w:cs="宋体"/>
          <w:color w:val="auto"/>
          <w:sz w:val="24"/>
          <w:szCs w:val="24"/>
          <w:highlight w:val="none"/>
        </w:rPr>
      </w:pPr>
    </w:p>
    <w:p w14:paraId="74410307">
      <w:pPr>
        <w:pStyle w:val="13"/>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3" w:name="_Toc7428_WPSOffice_Level1"/>
      <w:bookmarkStart w:id="34" w:name="_Toc27760_WPSOffice_Level1"/>
      <w:r>
        <w:rPr>
          <w:rFonts w:hint="eastAsia" w:ascii="宋体" w:hAnsi="宋体" w:eastAsia="宋体" w:cs="宋体"/>
          <w:b/>
          <w:bCs/>
          <w:color w:val="auto"/>
          <w:sz w:val="24"/>
          <w:szCs w:val="24"/>
          <w:highlight w:val="none"/>
        </w:rPr>
        <w:t>供应商：（全称并加盖公章）</w:t>
      </w:r>
      <w:bookmarkEnd w:id="33"/>
      <w:bookmarkEnd w:id="34"/>
    </w:p>
    <w:p w14:paraId="48359A31">
      <w:pPr>
        <w:spacing w:line="480" w:lineRule="auto"/>
        <w:ind w:firstLine="1205" w:firstLineChars="500"/>
        <w:rPr>
          <w:rFonts w:hint="eastAsia" w:ascii="宋体" w:hAnsi="宋体" w:eastAsia="宋体" w:cs="宋体"/>
          <w:b/>
          <w:bCs/>
          <w:color w:val="auto"/>
          <w:sz w:val="24"/>
          <w:szCs w:val="24"/>
          <w:highlight w:val="none"/>
        </w:rPr>
      </w:pPr>
      <w:bookmarkStart w:id="35" w:name="_Toc4840_WPSOffice_Level1"/>
      <w:bookmarkStart w:id="36" w:name="_Toc28157_WPSOffice_Level1"/>
      <w:r>
        <w:rPr>
          <w:rFonts w:hint="eastAsia" w:ascii="宋体" w:hAnsi="宋体" w:eastAsia="宋体" w:cs="宋体"/>
          <w:b/>
          <w:bCs/>
          <w:color w:val="auto"/>
          <w:sz w:val="24"/>
          <w:szCs w:val="24"/>
          <w:highlight w:val="none"/>
        </w:rPr>
        <w:t>法定代表人或委托代理人（签字）：</w:t>
      </w:r>
      <w:bookmarkEnd w:id="35"/>
      <w:bookmarkEnd w:id="36"/>
    </w:p>
    <w:p w14:paraId="4B6934DF">
      <w:pPr>
        <w:spacing w:line="480" w:lineRule="auto"/>
        <w:ind w:firstLine="1205" w:firstLineChars="500"/>
        <w:rPr>
          <w:rFonts w:hint="eastAsia" w:ascii="宋体" w:hAnsi="宋体" w:eastAsia="宋体" w:cs="宋体"/>
          <w:b/>
          <w:bCs/>
          <w:color w:val="auto"/>
          <w:sz w:val="24"/>
          <w:szCs w:val="24"/>
          <w:highlight w:val="none"/>
        </w:rPr>
      </w:pPr>
      <w:bookmarkStart w:id="37" w:name="_Toc2311_WPSOffice_Level1"/>
      <w:bookmarkStart w:id="38" w:name="_Toc15640_WPSOffice_Level1"/>
      <w:r>
        <w:rPr>
          <w:rFonts w:hint="eastAsia" w:ascii="宋体" w:hAnsi="宋体" w:eastAsia="宋体" w:cs="宋体"/>
          <w:b/>
          <w:bCs/>
          <w:color w:val="auto"/>
          <w:sz w:val="24"/>
          <w:szCs w:val="24"/>
          <w:highlight w:val="none"/>
        </w:rPr>
        <w:t>日    期：      年     月     日</w:t>
      </w:r>
      <w:bookmarkEnd w:id="37"/>
      <w:bookmarkEnd w:id="38"/>
    </w:p>
    <w:p w14:paraId="1E1E3E82">
      <w:pPr>
        <w:pStyle w:val="30"/>
        <w:ind w:firstLine="0" w:firstLineChars="0"/>
        <w:rPr>
          <w:rFonts w:hint="eastAsia" w:ascii="宋体" w:hAnsi="宋体" w:eastAsia="宋体" w:cs="宋体"/>
          <w:color w:val="auto"/>
          <w:highlight w:val="none"/>
        </w:rPr>
      </w:pPr>
    </w:p>
    <w:p w14:paraId="0950BF7F">
      <w:pPr>
        <w:pStyle w:val="30"/>
        <w:rPr>
          <w:rFonts w:hint="eastAsia" w:ascii="宋体" w:hAnsi="宋体" w:eastAsia="宋体" w:cs="宋体"/>
          <w:color w:val="auto"/>
          <w:highlight w:val="none"/>
        </w:rPr>
      </w:pPr>
    </w:p>
    <w:p w14:paraId="79CF1C70">
      <w:pPr>
        <w:pStyle w:val="29"/>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9"/>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9"/>
        <w:spacing w:line="360" w:lineRule="auto"/>
        <w:jc w:val="center"/>
        <w:rPr>
          <w:rFonts w:hint="eastAsia" w:ascii="宋体" w:hAnsi="宋体" w:eastAsia="宋体" w:cs="宋体"/>
          <w:b/>
          <w:bCs/>
          <w:snapToGrid w:val="0"/>
          <w:color w:val="auto"/>
          <w:kern w:val="0"/>
          <w:sz w:val="28"/>
          <w:szCs w:val="28"/>
          <w:highlight w:val="none"/>
        </w:rPr>
      </w:pPr>
    </w:p>
    <w:p w14:paraId="78276BF4">
      <w:pPr>
        <w:pStyle w:val="9"/>
        <w:spacing w:line="360" w:lineRule="auto"/>
        <w:jc w:val="center"/>
        <w:rPr>
          <w:rFonts w:hint="eastAsia" w:ascii="宋体" w:hAnsi="宋体" w:eastAsia="宋体" w:cs="宋体"/>
          <w:b/>
          <w:bCs/>
          <w:snapToGrid w:val="0"/>
          <w:color w:val="auto"/>
          <w:kern w:val="0"/>
          <w:sz w:val="28"/>
          <w:szCs w:val="28"/>
          <w:highlight w:val="none"/>
        </w:rPr>
      </w:pPr>
    </w:p>
    <w:p w14:paraId="1C611027">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7"/>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r w14:paraId="3DC53069">
        <w:tblPrEx>
          <w:tblCellMar>
            <w:top w:w="0" w:type="dxa"/>
            <w:left w:w="108" w:type="dxa"/>
            <w:bottom w:w="0" w:type="dxa"/>
            <w:right w:w="108" w:type="dxa"/>
          </w:tblCellMar>
        </w:tblPrEx>
        <w:trPr>
          <w:trHeight w:val="1268" w:hRule="atLeast"/>
          <w:jc w:val="center"/>
        </w:trPr>
        <w:tc>
          <w:tcPr>
            <w:tcW w:w="9345" w:type="dxa"/>
            <w:gridSpan w:val="4"/>
            <w:tcBorders>
              <w:top w:val="single" w:color="auto" w:sz="6" w:space="0"/>
              <w:left w:val="single" w:color="auto" w:sz="6" w:space="0"/>
              <w:bottom w:val="single" w:color="auto" w:sz="6" w:space="0"/>
              <w:right w:val="single" w:color="auto" w:sz="6" w:space="0"/>
            </w:tcBorders>
            <w:vAlign w:val="center"/>
          </w:tcPr>
          <w:p w14:paraId="478DE61B">
            <w:pPr>
              <w:autoSpaceDE w:val="0"/>
              <w:autoSpaceDN w:val="0"/>
              <w:adjustRightInd w:val="0"/>
              <w:spacing w:line="480" w:lineRule="exact"/>
              <w:ind w:firstLine="24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注：单价：  元/人/天</w:t>
            </w:r>
          </w:p>
        </w:tc>
      </w:tr>
    </w:tbl>
    <w:p w14:paraId="537EC00F">
      <w:pPr>
        <w:pStyle w:val="15"/>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9"/>
        <w:adjustRightInd w:val="0"/>
        <w:snapToGrid w:val="0"/>
        <w:spacing w:line="360" w:lineRule="auto"/>
        <w:rPr>
          <w:rFonts w:hint="eastAsia" w:ascii="宋体" w:hAnsi="宋体" w:eastAsia="宋体" w:cs="宋体"/>
          <w:color w:val="auto"/>
          <w:sz w:val="21"/>
          <w:szCs w:val="21"/>
          <w:highlight w:val="none"/>
        </w:rPr>
      </w:pPr>
    </w:p>
    <w:p w14:paraId="19F5C93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3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31"/>
        <w:spacing w:line="480" w:lineRule="auto"/>
        <w:ind w:firstLine="472" w:firstLineChars="225"/>
        <w:jc w:val="left"/>
        <w:rPr>
          <w:rFonts w:hint="eastAsia" w:ascii="宋体" w:hAnsi="宋体" w:eastAsia="宋体" w:cs="宋体"/>
          <w:color w:val="auto"/>
          <w:sz w:val="21"/>
          <w:szCs w:val="21"/>
          <w:highlight w:val="none"/>
        </w:rPr>
      </w:pPr>
    </w:p>
    <w:p w14:paraId="6A18C52D">
      <w:pPr>
        <w:pStyle w:val="31"/>
        <w:spacing w:line="480" w:lineRule="auto"/>
        <w:ind w:firstLine="472" w:firstLineChars="225"/>
        <w:jc w:val="left"/>
        <w:rPr>
          <w:rFonts w:hint="eastAsia" w:ascii="宋体" w:hAnsi="宋体" w:eastAsia="宋体" w:cs="宋体"/>
          <w:color w:val="auto"/>
          <w:sz w:val="21"/>
          <w:szCs w:val="21"/>
          <w:highlight w:val="none"/>
        </w:rPr>
      </w:pPr>
    </w:p>
    <w:p w14:paraId="53512F8E">
      <w:pPr>
        <w:pStyle w:val="31"/>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31"/>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32"/>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33"/>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7"/>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5"/>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》第七十</w:t>
      </w:r>
      <w:r>
        <w:rPr>
          <w:rFonts w:hint="eastAsia" w:ascii="宋体" w:hAnsi="宋体" w:eastAsia="宋体" w:cs="宋体"/>
          <w:color w:val="auto"/>
          <w:highlight w:val="none"/>
          <w:lang w:eastAsia="zh-CN"/>
        </w:rPr>
        <w:t>七</w:t>
      </w:r>
      <w:r>
        <w:rPr>
          <w:rFonts w:hint="eastAsia" w:ascii="宋体" w:hAnsi="宋体" w:eastAsia="宋体" w:cs="宋体"/>
          <w:color w:val="auto"/>
          <w:highlight w:val="none"/>
          <w:lang w:val="en-US" w:eastAsia="zh-CN"/>
        </w:rPr>
        <w:t>条、第</w:t>
      </w:r>
      <w:r>
        <w:rPr>
          <w:rFonts w:hint="eastAsia" w:ascii="宋体" w:hAnsi="宋体" w:eastAsia="宋体" w:cs="宋体"/>
          <w:color w:val="auto"/>
          <w:highlight w:val="none"/>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7"/>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5"/>
        <w:ind w:firstLine="340"/>
        <w:rPr>
          <w:rFonts w:hint="eastAsia" w:ascii="宋体" w:hAnsi="宋体" w:eastAsia="宋体" w:cs="宋体"/>
          <w:color w:val="auto"/>
          <w:highlight w:val="none"/>
        </w:rPr>
      </w:pPr>
    </w:p>
    <w:p w14:paraId="10BE0BF7">
      <w:pPr>
        <w:pStyle w:val="16"/>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7"/>
        <w:rPr>
          <w:rFonts w:hint="eastAsia" w:ascii="宋体" w:hAnsi="宋体" w:eastAsia="宋体" w:cs="宋体"/>
          <w:color w:val="auto"/>
          <w:highlight w:val="none"/>
        </w:rPr>
      </w:pPr>
    </w:p>
    <w:p w14:paraId="2808EF7A">
      <w:pPr>
        <w:pStyle w:val="7"/>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42FDFCE3">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15F2F2FB">
      <w:pPr>
        <w:rPr>
          <w:rFonts w:hint="eastAsia" w:ascii="宋体" w:hAnsi="宋体" w:eastAsia="宋体" w:cs="宋体"/>
          <w:color w:val="auto"/>
          <w:highlight w:val="none"/>
        </w:rPr>
      </w:pPr>
    </w:p>
    <w:p w14:paraId="379F41B7">
      <w:pPr>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5"/>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13"/>
        <w:rPr>
          <w:rFonts w:hint="eastAsia" w:ascii="宋体" w:hAnsi="宋体" w:eastAsia="宋体" w:cs="宋体"/>
          <w:color w:val="auto"/>
          <w:highlight w:val="none"/>
        </w:rPr>
      </w:pPr>
    </w:p>
    <w:p w14:paraId="419E43F4">
      <w:pPr>
        <w:pStyle w:val="13"/>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30"/>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7"/>
        <w:rPr>
          <w:rFonts w:hint="eastAsia" w:ascii="宋体" w:hAnsi="宋体" w:eastAsia="宋体" w:cs="宋体"/>
          <w:color w:val="auto"/>
          <w:highlight w:val="none"/>
          <w:lang w:val="zh-CN"/>
        </w:rPr>
      </w:pPr>
    </w:p>
    <w:p w14:paraId="42E0CC62">
      <w:pPr>
        <w:pStyle w:val="13"/>
        <w:rPr>
          <w:rFonts w:hint="eastAsia" w:ascii="宋体" w:hAnsi="宋体" w:eastAsia="宋体" w:cs="宋体"/>
          <w:color w:val="auto"/>
          <w:highlight w:val="none"/>
          <w:lang w:val="zh-CN"/>
        </w:rPr>
      </w:pPr>
    </w:p>
    <w:p w14:paraId="72E8F4C3">
      <w:pPr>
        <w:pStyle w:val="13"/>
        <w:rPr>
          <w:rFonts w:hint="eastAsia" w:ascii="宋体" w:hAnsi="宋体" w:eastAsia="宋体" w:cs="宋体"/>
          <w:color w:val="auto"/>
          <w:highlight w:val="none"/>
          <w:lang w:val="zh-CN"/>
        </w:rPr>
      </w:pPr>
    </w:p>
    <w:p w14:paraId="7FBE571D">
      <w:pPr>
        <w:pStyle w:val="13"/>
        <w:rPr>
          <w:rFonts w:hint="eastAsia" w:ascii="宋体" w:hAnsi="宋体" w:eastAsia="宋体" w:cs="宋体"/>
          <w:color w:val="auto"/>
          <w:highlight w:val="none"/>
          <w:lang w:val="zh-CN"/>
        </w:rPr>
      </w:pPr>
    </w:p>
    <w:p w14:paraId="40E857C0">
      <w:pPr>
        <w:pStyle w:val="13"/>
        <w:rPr>
          <w:rFonts w:hint="eastAsia" w:ascii="宋体" w:hAnsi="宋体" w:eastAsia="宋体" w:cs="宋体"/>
          <w:color w:val="auto"/>
          <w:highlight w:val="none"/>
          <w:lang w:val="zh-CN"/>
        </w:rPr>
      </w:pPr>
    </w:p>
    <w:p w14:paraId="2E474BED">
      <w:pPr>
        <w:pStyle w:val="13"/>
        <w:rPr>
          <w:rFonts w:hint="eastAsia" w:ascii="宋体" w:hAnsi="宋体" w:eastAsia="宋体" w:cs="宋体"/>
          <w:color w:val="auto"/>
          <w:highlight w:val="none"/>
          <w:lang w:val="zh-CN"/>
        </w:rPr>
      </w:pPr>
    </w:p>
    <w:p w14:paraId="5D92C1B1">
      <w:pPr>
        <w:pStyle w:val="13"/>
        <w:rPr>
          <w:rFonts w:hint="eastAsia" w:ascii="宋体" w:hAnsi="宋体" w:eastAsia="宋体" w:cs="宋体"/>
          <w:color w:val="auto"/>
          <w:highlight w:val="none"/>
          <w:lang w:val="zh-CN"/>
        </w:rPr>
      </w:pPr>
    </w:p>
    <w:p w14:paraId="104F6EF6">
      <w:pPr>
        <w:pStyle w:val="13"/>
        <w:rPr>
          <w:rFonts w:hint="eastAsia" w:ascii="宋体" w:hAnsi="宋体" w:eastAsia="宋体" w:cs="宋体"/>
          <w:color w:val="auto"/>
          <w:highlight w:val="none"/>
          <w:lang w:val="zh-CN"/>
        </w:rPr>
      </w:pPr>
    </w:p>
    <w:p w14:paraId="09185CD2">
      <w:pPr>
        <w:pStyle w:val="13"/>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7"/>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6"/>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6"/>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6"/>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6"/>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6"/>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6"/>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6"/>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6"/>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6"/>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6"/>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6"/>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6"/>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9"/>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p w14:paraId="1C020B10">
      <w:pPr>
        <w:rPr>
          <w:color w:val="auto"/>
          <w:highlight w:val="none"/>
        </w:rPr>
      </w:pPr>
    </w:p>
    <w:p w14:paraId="7B549D36">
      <w:pPr>
        <w:rPr>
          <w:color w:val="auto"/>
          <w:highlight w:val="none"/>
        </w:rPr>
      </w:pPr>
    </w:p>
    <w:p w14:paraId="695F45EF">
      <w:pPr>
        <w:rPr>
          <w:color w:val="auto"/>
          <w:highlight w:val="none"/>
        </w:rPr>
      </w:pPr>
    </w:p>
    <w:sectPr>
      <w:headerReference r:id="rId3" w:type="default"/>
      <w:footerReference r:id="rId4"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5E33CECD-F165-4980-8084-E9AE5516E399}"/>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9C42196E-C1AC-4DCD-8F75-47234812F3BB}"/>
  </w:font>
  <w:font w:name="Wingdings 2">
    <w:panose1 w:val="05020102010507070707"/>
    <w:charset w:val="02"/>
    <w:family w:val="roman"/>
    <w:pitch w:val="default"/>
    <w:sig w:usb0="00000000" w:usb1="00000000" w:usb2="00000000" w:usb3="00000000" w:csb0="80000000" w:csb1="00000000"/>
    <w:embedRegular r:id="rId3" w:fontKey="{A4951CE9-9811-4E21-B021-2981BBC871E6}"/>
  </w:font>
  <w:font w:name="ˎ̥">
    <w:altName w:val="Times New Roman"/>
    <w:panose1 w:val="00000000000000000000"/>
    <w:charset w:val="00"/>
    <w:family w:val="roman"/>
    <w:pitch w:val="default"/>
    <w:sig w:usb0="00000000" w:usb1="00000000" w:usb2="00000000" w:usb3="00000000" w:csb0="00040001" w:csb1="00000000"/>
    <w:embedRegular r:id="rId4" w:fontKey="{7ACC6EC5-8675-4271-A40A-472575173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2E021E6">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12E021E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E1213179"/>
    <w:multiLevelType w:val="singleLevel"/>
    <w:tmpl w:val="E1213179"/>
    <w:lvl w:ilvl="0" w:tentative="0">
      <w:start w:val="1"/>
      <w:numFmt w:val="decimal"/>
      <w:suff w:val="nothing"/>
      <w:lvlText w:val="%1、"/>
      <w:lvlJc w:val="left"/>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3DD8318E"/>
    <w:multiLevelType w:val="singleLevel"/>
    <w:tmpl w:val="3DD8318E"/>
    <w:lvl w:ilvl="0" w:tentative="0">
      <w:start w:val="1"/>
      <w:numFmt w:val="decimal"/>
      <w:lvlText w:val="%1."/>
      <w:lvlJc w:val="left"/>
      <w:pPr>
        <w:tabs>
          <w:tab w:val="left" w:pos="312"/>
        </w:tabs>
      </w:pPr>
    </w:lvl>
  </w:abstractNum>
  <w:abstractNum w:abstractNumId="5">
    <w:nsid w:val="59F5E046"/>
    <w:multiLevelType w:val="singleLevel"/>
    <w:tmpl w:val="59F5E046"/>
    <w:lvl w:ilvl="0" w:tentative="0">
      <w:start w:val="5"/>
      <w:numFmt w:val="chineseCounting"/>
      <w:suff w:val="nothing"/>
      <w:lvlText w:val="%1、"/>
      <w:lvlJc w:val="left"/>
      <w:rPr>
        <w:rFonts w:hint="eastAsia"/>
      </w:rPr>
    </w:lvl>
  </w:abstractNum>
  <w:abstractNum w:abstractNumId="6">
    <w:nsid w:val="59F817E8"/>
    <w:multiLevelType w:val="singleLevel"/>
    <w:tmpl w:val="59F817E8"/>
    <w:lvl w:ilvl="0" w:tentative="0">
      <w:start w:val="1"/>
      <w:numFmt w:val="chineseCounting"/>
      <w:pStyle w:val="29"/>
      <w:suff w:val="nothing"/>
      <w:lvlText w:val="%1、"/>
      <w:lvlJc w:val="left"/>
    </w:lvl>
  </w:abstractNum>
  <w:abstractNum w:abstractNumId="7">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4C8743"/>
    <w:multiLevelType w:val="singleLevel"/>
    <w:tmpl w:val="794C8743"/>
    <w:lvl w:ilvl="0" w:tentative="0">
      <w:start w:val="1"/>
      <w:numFmt w:val="decimal"/>
      <w:suff w:val="nothing"/>
      <w:lvlText w:val="%1、"/>
      <w:lvlJc w:val="left"/>
    </w:lvl>
  </w:abstractNum>
  <w:num w:numId="1">
    <w:abstractNumId w:val="6"/>
  </w:num>
  <w:num w:numId="2">
    <w:abstractNumId w:val="0"/>
  </w:num>
  <w:num w:numId="3">
    <w:abstractNumId w:val="8"/>
  </w:num>
  <w:num w:numId="4">
    <w:abstractNumId w:val="4"/>
  </w:num>
  <w:num w:numId="5">
    <w:abstractNumId w:val="1"/>
  </w:num>
  <w:num w:numId="6">
    <w:abstractNumId w:val="7"/>
  </w:num>
  <w:num w:numId="7">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991DF5"/>
    <w:rsid w:val="00C760BC"/>
    <w:rsid w:val="00F65F9C"/>
    <w:rsid w:val="00F87EFF"/>
    <w:rsid w:val="013B4944"/>
    <w:rsid w:val="02372781"/>
    <w:rsid w:val="02781D9A"/>
    <w:rsid w:val="02A46519"/>
    <w:rsid w:val="031D427C"/>
    <w:rsid w:val="038709B1"/>
    <w:rsid w:val="0488407F"/>
    <w:rsid w:val="04C9566C"/>
    <w:rsid w:val="06055520"/>
    <w:rsid w:val="066C1A43"/>
    <w:rsid w:val="06A20FC1"/>
    <w:rsid w:val="06DA4BFF"/>
    <w:rsid w:val="097339A9"/>
    <w:rsid w:val="0B8313B3"/>
    <w:rsid w:val="0CA60DE2"/>
    <w:rsid w:val="0D424A0A"/>
    <w:rsid w:val="0D930B60"/>
    <w:rsid w:val="0E003561"/>
    <w:rsid w:val="0FB321C9"/>
    <w:rsid w:val="115F49FF"/>
    <w:rsid w:val="12081CA1"/>
    <w:rsid w:val="13174AE5"/>
    <w:rsid w:val="133F3180"/>
    <w:rsid w:val="13693592"/>
    <w:rsid w:val="14566851"/>
    <w:rsid w:val="156E3D6A"/>
    <w:rsid w:val="158E028D"/>
    <w:rsid w:val="1609105D"/>
    <w:rsid w:val="16833FFF"/>
    <w:rsid w:val="17617D72"/>
    <w:rsid w:val="17705B85"/>
    <w:rsid w:val="179E3A27"/>
    <w:rsid w:val="17B1375A"/>
    <w:rsid w:val="181810E3"/>
    <w:rsid w:val="183F48C2"/>
    <w:rsid w:val="188E5B0D"/>
    <w:rsid w:val="19D35C0A"/>
    <w:rsid w:val="1A5D4FF8"/>
    <w:rsid w:val="1AC437A4"/>
    <w:rsid w:val="1B0E4247"/>
    <w:rsid w:val="1BB4423A"/>
    <w:rsid w:val="1DD457BC"/>
    <w:rsid w:val="1E567AF8"/>
    <w:rsid w:val="1F65394E"/>
    <w:rsid w:val="22A87507"/>
    <w:rsid w:val="240E783E"/>
    <w:rsid w:val="248D3BFF"/>
    <w:rsid w:val="24C02D0D"/>
    <w:rsid w:val="24E3484F"/>
    <w:rsid w:val="252A1604"/>
    <w:rsid w:val="258004C7"/>
    <w:rsid w:val="27B84691"/>
    <w:rsid w:val="27BC50F8"/>
    <w:rsid w:val="29CD7843"/>
    <w:rsid w:val="2A9C3DF6"/>
    <w:rsid w:val="2B397D85"/>
    <w:rsid w:val="2C361804"/>
    <w:rsid w:val="2CD77367"/>
    <w:rsid w:val="2D99461C"/>
    <w:rsid w:val="2E4E18AB"/>
    <w:rsid w:val="2E9B7E77"/>
    <w:rsid w:val="2EFB7018"/>
    <w:rsid w:val="2EFE507F"/>
    <w:rsid w:val="308724D6"/>
    <w:rsid w:val="324D0FE2"/>
    <w:rsid w:val="32612E77"/>
    <w:rsid w:val="335F62AA"/>
    <w:rsid w:val="3494526F"/>
    <w:rsid w:val="350B2DC3"/>
    <w:rsid w:val="35531555"/>
    <w:rsid w:val="360867E3"/>
    <w:rsid w:val="36251143"/>
    <w:rsid w:val="36BE6EA2"/>
    <w:rsid w:val="377121DE"/>
    <w:rsid w:val="390E4110"/>
    <w:rsid w:val="39C24EFB"/>
    <w:rsid w:val="3BAE1BDB"/>
    <w:rsid w:val="3BC15248"/>
    <w:rsid w:val="3CE55188"/>
    <w:rsid w:val="3DF067DF"/>
    <w:rsid w:val="3DF53AF1"/>
    <w:rsid w:val="3E99447C"/>
    <w:rsid w:val="3EB56E16"/>
    <w:rsid w:val="3F0F0BE2"/>
    <w:rsid w:val="3F7070C3"/>
    <w:rsid w:val="413964E1"/>
    <w:rsid w:val="42A47A6F"/>
    <w:rsid w:val="449A2CFC"/>
    <w:rsid w:val="44B57AC9"/>
    <w:rsid w:val="44F763A1"/>
    <w:rsid w:val="46CB3641"/>
    <w:rsid w:val="47AC3472"/>
    <w:rsid w:val="48F6794A"/>
    <w:rsid w:val="49FD6207"/>
    <w:rsid w:val="4DB56DF9"/>
    <w:rsid w:val="4DF80A94"/>
    <w:rsid w:val="4E661EA1"/>
    <w:rsid w:val="4E740A62"/>
    <w:rsid w:val="4FEE214E"/>
    <w:rsid w:val="501778F7"/>
    <w:rsid w:val="504F2994"/>
    <w:rsid w:val="535E58BA"/>
    <w:rsid w:val="53964FD7"/>
    <w:rsid w:val="53CE2DA2"/>
    <w:rsid w:val="55F63222"/>
    <w:rsid w:val="57415259"/>
    <w:rsid w:val="57C8272F"/>
    <w:rsid w:val="58706319"/>
    <w:rsid w:val="5A7174FD"/>
    <w:rsid w:val="5B733DF5"/>
    <w:rsid w:val="5B8B3258"/>
    <w:rsid w:val="5BB56B61"/>
    <w:rsid w:val="5CC74453"/>
    <w:rsid w:val="5CC901CB"/>
    <w:rsid w:val="5D5C7A80"/>
    <w:rsid w:val="5D790323"/>
    <w:rsid w:val="5E587A58"/>
    <w:rsid w:val="5E892D72"/>
    <w:rsid w:val="5EEE448E"/>
    <w:rsid w:val="5F571ABE"/>
    <w:rsid w:val="61A70640"/>
    <w:rsid w:val="621C3ADC"/>
    <w:rsid w:val="65655C8C"/>
    <w:rsid w:val="670B5942"/>
    <w:rsid w:val="671958AB"/>
    <w:rsid w:val="67545D9F"/>
    <w:rsid w:val="677B6356"/>
    <w:rsid w:val="680314DC"/>
    <w:rsid w:val="68354966"/>
    <w:rsid w:val="6A106BE6"/>
    <w:rsid w:val="6A670C5E"/>
    <w:rsid w:val="6A6E6993"/>
    <w:rsid w:val="6B833C3B"/>
    <w:rsid w:val="6BD76E4B"/>
    <w:rsid w:val="6CF272CA"/>
    <w:rsid w:val="6D30394E"/>
    <w:rsid w:val="6DF922E1"/>
    <w:rsid w:val="6F343BCA"/>
    <w:rsid w:val="70772388"/>
    <w:rsid w:val="72F83160"/>
    <w:rsid w:val="731A4E85"/>
    <w:rsid w:val="733F2D28"/>
    <w:rsid w:val="734E4B2E"/>
    <w:rsid w:val="73504D4A"/>
    <w:rsid w:val="73F76F74"/>
    <w:rsid w:val="74B72AE2"/>
    <w:rsid w:val="755D72AA"/>
    <w:rsid w:val="76E33920"/>
    <w:rsid w:val="782236A8"/>
    <w:rsid w:val="782B5374"/>
    <w:rsid w:val="78AD1D0C"/>
    <w:rsid w:val="78D46737"/>
    <w:rsid w:val="7951199E"/>
    <w:rsid w:val="7A560E98"/>
    <w:rsid w:val="7B56540C"/>
    <w:rsid w:val="7BD1142E"/>
    <w:rsid w:val="7D213B7A"/>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5">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caption"/>
    <w:basedOn w:val="1"/>
    <w:next w:val="1"/>
    <w:qFormat/>
    <w:uiPriority w:val="0"/>
    <w:rPr>
      <w:rFonts w:ascii="Arial" w:hAnsi="Arial" w:eastAsia="黑体" w:cs="Arial"/>
      <w:sz w:val="20"/>
      <w:szCs w:val="20"/>
    </w:rPr>
  </w:style>
  <w:style w:type="paragraph" w:styleId="7">
    <w:name w:val="Body Text"/>
    <w:basedOn w:val="1"/>
    <w:unhideWhenUsed/>
    <w:qFormat/>
    <w:uiPriority w:val="99"/>
    <w:pPr>
      <w:spacing w:after="120"/>
    </w:pPr>
  </w:style>
  <w:style w:type="paragraph" w:styleId="8">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7"/>
    <w:next w:val="16"/>
    <w:qFormat/>
    <w:uiPriority w:val="0"/>
    <w:pPr>
      <w:ind w:firstLine="420" w:firstLineChars="100"/>
    </w:pPr>
    <w:rPr>
      <w:rFonts w:ascii="Times New Roman" w:eastAsia="宋体"/>
      <w:szCs w:val="24"/>
    </w:rPr>
  </w:style>
  <w:style w:type="paragraph" w:styleId="16">
    <w:name w:val="Body Text First Indent 2"/>
    <w:basedOn w:val="8"/>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qFormat/>
    <w:uiPriority w:val="99"/>
    <w:rPr>
      <w:color w:val="000000"/>
      <w:u w:val="none"/>
    </w:rPr>
  </w:style>
  <w:style w:type="paragraph" w:customStyle="1" w:styleId="2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3">
    <w:name w:val="style4"/>
    <w:basedOn w:val="1"/>
    <w:next w:val="24"/>
    <w:qFormat/>
    <w:uiPriority w:val="99"/>
    <w:pPr>
      <w:widowControl/>
      <w:spacing w:before="280" w:after="280"/>
    </w:pPr>
    <w:rPr>
      <w:rFonts w:ascii="宋体" w:hAnsi="Times New Roman" w:eastAsia="宋体" w:cs="Times New Roman"/>
      <w:sz w:val="18"/>
    </w:rPr>
  </w:style>
  <w:style w:type="paragraph" w:customStyle="1" w:styleId="2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5">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6">
    <w:name w:val="List Paragraph"/>
    <w:basedOn w:val="1"/>
    <w:unhideWhenUsed/>
    <w:qFormat/>
    <w:uiPriority w:val="34"/>
    <w:pPr>
      <w:ind w:firstLine="420" w:firstLineChars="200"/>
    </w:pPr>
  </w:style>
  <w:style w:type="character" w:customStyle="1" w:styleId="27">
    <w:name w:val="NormalCharacter"/>
    <w:qFormat/>
    <w:uiPriority w:val="0"/>
  </w:style>
  <w:style w:type="paragraph" w:customStyle="1" w:styleId="28">
    <w:name w:val="Table Paragraph"/>
    <w:basedOn w:val="1"/>
    <w:qFormat/>
    <w:uiPriority w:val="1"/>
  </w:style>
  <w:style w:type="paragraph" w:customStyle="1" w:styleId="29">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0">
    <w:name w:val="列出段落1"/>
    <w:basedOn w:val="1"/>
    <w:qFormat/>
    <w:uiPriority w:val="99"/>
    <w:pPr>
      <w:ind w:firstLine="420" w:firstLineChars="200"/>
    </w:pPr>
  </w:style>
  <w:style w:type="paragraph" w:customStyle="1" w:styleId="31">
    <w:name w:val="正文文本缩进1"/>
    <w:basedOn w:val="1"/>
    <w:qFormat/>
    <w:uiPriority w:val="0"/>
    <w:pPr>
      <w:spacing w:line="360" w:lineRule="auto"/>
      <w:ind w:firstLine="480" w:firstLineChars="200"/>
    </w:pPr>
    <w:rPr>
      <w:rFonts w:ascii="宋体"/>
      <w:sz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3">
    <w:name w:val="日期1"/>
    <w:basedOn w:val="1"/>
    <w:next w:val="1"/>
    <w:qFormat/>
    <w:uiPriority w:val="0"/>
    <w:rPr>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0e2b13ba-e68e-41cc-b3c2-8133b7035e98</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c55e9c50-b3c2-4156-b244-5f3d4bc31a21</errorID>
      <errorWord>.</errorWord>
      <group>L1_Format</group>
      <groupName>格式问题</groupName>
      <ability>L2_HalfPunc_CN</ability>
      <abilityName/>
      <candidateList>
        <item>。</item>
      </candidateList>
      <explain>文本全半角错误。</explain>
      <paraID>3F519394</paraID>
      <start>81</start>
      <end>82</end>
      <status>ignored</status>
      <modifiedWord/>
      <trackRevisions>false</trackRevisions>
    </reviewItem>
    <reviewItem>
      <errorID>d804525a-5f6e-4fe1-bd53-ec170a2d097b</errorID>
      <errorWord>.</errorWord>
      <group>L1_Format</group>
      <groupName>格式问题</groupName>
      <ability>L2_HalfPunc_CN</ability>
      <abilityName/>
      <candidateList>
        <item>。</item>
      </candidateList>
      <explain>文本全半角错误。</explain>
      <paraID>6D250EFF</paraID>
      <start>68</start>
      <end>69</end>
      <status>ignored</status>
      <modifiedWord/>
      <trackRevisions>false</trackRevisions>
    </reviewItem>
    <reviewItem>
      <errorID>6863b6c8-b8d1-4fa1-b560-f72062a37b3e</errorID>
      <errorWord>.</errorWord>
      <group>L1_Format</group>
      <groupName>格式问题</groupName>
      <ability>L2_HalfPunc_CN</ability>
      <abilityName/>
      <candidateList>
        <item>。</item>
      </candidateList>
      <explain>文本全半角错误。</explain>
      <paraID>6D250EFF</paraID>
      <start>75</start>
      <end>76</end>
      <status>ignored</status>
      <modifiedWord/>
      <trackRevisions>false</trackRevisions>
    </reviewItem>
    <reviewItem>
      <errorID>d7776e0f-052b-4f05-8160-b8483e43ece2</errorID>
      <errorWord>“.</errorWord>
      <group>L1_Punc</group>
      <groupName>标点问题</groupName>
      <ability>L2_Punc_CN</ability>
      <abilityName/>
      <candidateList>
        <item>“</item>
      </candidateList>
      <explain/>
      <paraID>6D250EFF</paraID>
      <start>91</start>
      <end>93</end>
      <status>ignored</status>
      <modifiedWord/>
      <trackRevisions>false</trackRevisions>
    </reviewItem>
    <reviewItem>
      <errorID>a10bcf49-b1ee-4dce-a7d3-a44013598e91</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187F705A</paraID>
      <start>32</start>
      <end>33</end>
      <status>ignored</status>
      <modifiedWord/>
      <trackRevisions>false</trackRevisions>
    </reviewItem>
    <reviewItem>
      <errorID>2b4caaa7-6aaf-4e11-94b1-056a07cffd94</errorID>
      <errorWord>.</errorWord>
      <group>L1_Format</group>
      <groupName>格式问题</groupName>
      <ability>L2_HalfPunc_CN</ability>
      <abilityName/>
      <candidateList>
        <item>。</item>
      </candidateList>
      <explain>文本全半角错误。</explain>
      <paraID>4AD16283</paraID>
      <start>72</start>
      <end>73</end>
      <status>ignored</status>
      <modifiedWord/>
      <trackRevisions>false</trackRevisions>
    </reviewItem>
    <reviewItem>
      <errorID>fc7003e8-9c25-43c1-b305-82d555546780</errorID>
      <errorWord>.</errorWord>
      <group>L1_Format</group>
      <groupName>格式问题</groupName>
      <ability>L2_HalfPunc_CN</ability>
      <abilityName/>
      <candidateList>
        <item>。</item>
      </candidateList>
      <explain>文本全半角错误。</explain>
      <paraID>60DCD425</paraID>
      <start>65</start>
      <end>66</end>
      <status>ignored</status>
      <modifiedWord/>
      <trackRevisions>false</trackRevisions>
    </reviewItem>
    <reviewItem>
      <errorID>b3cbfed1-1ac8-439e-b8d5-95cc80272d45</errorID>
      <errorWord>.</errorWord>
      <group>L1_Format</group>
      <groupName>格式问题</groupName>
      <ability>L2_HalfPunc_CN</ability>
      <abilityName/>
      <candidateList>
        <item>。</item>
      </candidateList>
      <explain>文本全半角错误。</explain>
      <paraID>60DCD425</paraID>
      <start>72</start>
      <end>73</end>
      <status>ignored</status>
      <modifiedWord/>
      <trackRevisions>false</trackRevisions>
    </reviewItem>
    <reviewItem>
      <errorID>daf6cc0c-48ef-482a-a572-8f973e7c20ff</errorID>
      <errorWord>“.</errorWord>
      <group>L1_Punc</group>
      <groupName>标点问题</groupName>
      <ability>L2_Punc_CN</ability>
      <abilityName/>
      <candidateList>
        <item>“</item>
      </candidateList>
      <explain/>
      <paraID>60DCD425</paraID>
      <start>88</start>
      <end>90</end>
      <status>ignored</status>
      <modifiedWord/>
      <trackRevisions>false</trackRevisions>
    </reviewItem>
    <reviewItem>
      <errorID>0aa47e68-256b-4fe8-8cc6-1bc95f1b08e5</errorID>
      <errorWord>.</errorWord>
      <group>L1_Format</group>
      <groupName>格式问题</groupName>
      <ability>L2_HalfPunc_CN</ability>
      <abilityName/>
      <candidateList>
        <item>。</item>
      </candidateList>
      <explain>文本全半角错误。</explain>
      <paraID> 94FCDAF</paraID>
      <start>33</start>
      <end>34</end>
      <status>ignored</status>
      <modifiedWord/>
      <trackRevisions>false</trackRevisions>
    </reviewItem>
    <reviewItem>
      <errorID>cd986326-3aa9-4ac3-8732-8a62f53c1162</errorID>
      <errorWord>〈</errorWord>
      <group>L1_Punc</group>
      <groupName>标点问题</groupName>
      <ability>L2_Punc_CN</ability>
      <abilityName/>
      <candidateList/>
      <explain>此处标点可能未正确匹配，请检查句子中是否存在标点冗余、缺失或使用错误的情况。</explain>
      <paraID>11D4FCE1</paraID>
      <start>39</start>
      <end>40</end>
      <status>ignored</status>
      <modifiedWord/>
      <trackRevisions>false</trackRevisions>
    </reviewItem>
    <reviewItem>
      <errorID>839338ad-ef7f-458b-a7d8-90622c0286e6</errorID>
      <errorWord>〈</errorWord>
      <group>L1_Punc</group>
      <groupName>标点问题</groupName>
      <ability>L2_Punc_CN</ability>
      <abilityName/>
      <candidateList/>
      <explain>此处标点可能未正确匹配，请检查句子中是否存在标点冗余、缺失或使用错误的情况。</explain>
      <paraID>59FEB13A</paraID>
      <start>39</start>
      <end>40</end>
      <status>ignored</status>
      <modifiedWord/>
      <trackRevisions>false</trackRevisions>
    </reviewItem>
    <reviewItem>
      <errorID>d6a20c33-d166-41fe-bf9b-9eac538e2b0a</errorID>
      <errorWord>〈</errorWord>
      <group>L1_Punc</group>
      <groupName>标点问题</groupName>
      <ability>L2_Punc_CN</ability>
      <abilityName/>
      <candidateList/>
      <explain>此处标点可能未正确匹配，请检查句子中是否存在标点冗余、缺失或使用错误的情况。</explain>
      <paraID>34807A1F</paraID>
      <start>29</start>
      <end>30</end>
      <status>ignored</status>
      <modifiedWord/>
      <trackRevisions>false</trackRevisions>
    </reviewItem>
    <reviewItem>
      <errorID>26a40c50-050a-4913-b00b-7cc8a3f673a5</errorID>
      <errorWord>.</errorWord>
      <group>L1_Format</group>
      <groupName>格式问题</groupName>
      <ability>L2_HalfPunc_CN</ability>
      <abilityName/>
      <candidateList>
        <item>。</item>
      </candidateList>
      <explain>文本全半角错误。</explain>
      <paraID>536F6A03</paraID>
      <start>100</start>
      <end>101</end>
      <status>ignored</status>
      <modifiedWord/>
      <trackRevisions>false</trackRevisions>
    </reviewItem>
    <reviewItem>
      <errorID>f4e40351-2e6c-45fd-9b05-769649b222a4</errorID>
      <errorWord>.</errorWord>
      <group>L1_Format</group>
      <groupName>格式问题</groupName>
      <ability>L2_HalfPunc_CN</ability>
      <abilityName/>
      <candidateList>
        <item>。</item>
      </candidateList>
      <explain>文本全半角错误。</explain>
      <paraID>536F6A03</paraID>
      <start>107</start>
      <end>108</end>
      <status>ignored</status>
      <modifiedWord/>
      <trackRevisions>false</trackRevisions>
    </reviewItem>
    <reviewItem>
      <errorID>fce06997-c9d3-4a09-8b42-fee3a21eebea</errorID>
      <errorWord>“.</errorWord>
      <group>L1_Punc</group>
      <groupName>标点问题</groupName>
      <ability>L2_Punc_CN</ability>
      <abilityName/>
      <candidateList>
        <item>“</item>
      </candidateList>
      <explain/>
      <paraID>536F6A03</paraID>
      <start>123</start>
      <end>125</end>
      <status>ignored</status>
      <modifiedWord/>
      <trackRevisions>false</trackRevisions>
    </reviewItem>
    <reviewItem>
      <errorID>2f7e9dc6-a1d2-4b7d-bc71-8d3d9083a651</errorID>
      <errorWord>.</errorWord>
      <group>L1_Format</group>
      <groupName>格式问题</groupName>
      <ability>L2_HalfPunc_CN</ability>
      <abilityName/>
      <candidateList>
        <item>。</item>
      </candidateList>
      <explain>文本全半角错误。</explain>
      <paraID>19C9D65C</paraID>
      <start>55</start>
      <end>56</end>
      <status>ignored</status>
      <modifiedWord/>
      <trackRevisions>false</trackRevisions>
    </reviewItem>
    <reviewItem>
      <errorID>881a1a33-a01a-4f3c-9832-ed33039fb108</errorID>
      <errorWord>（</errorWord>
      <group>L1_Punc</group>
      <groupName>标点问题</groupName>
      <ability>L2_Punc_CN</ability>
      <abilityName/>
      <candidateList/>
      <explain>同一形式括号套用。</explain>
      <paraID>266DE1FD</paraID>
      <start>137</start>
      <end>138</end>
      <status>ignored</status>
      <modifiedWord/>
      <trackRevisions>false</trackRevisions>
    </reviewItem>
    <reviewItem>
      <errorID>c476038b-4018-4883-b1db-2cef0d912927</errorID>
      <errorWord>）</errorWord>
      <group>L1_Punc</group>
      <groupName>标点问题</groupName>
      <ability>L2_Punc_CN</ability>
      <abilityName/>
      <candidateList/>
      <explain>同一形式括号套用。</explain>
      <paraID>266DE1FD</paraID>
      <start>146</start>
      <end>147</end>
      <status>ignored</status>
      <modifiedWord/>
      <trackRevisions>false</trackRevisions>
    </reviewItem>
    <reviewItem>
      <errorID>5fc0a21a-8acf-4d6c-b40b-725a88477204</errorID>
      <errorWord>（</errorWord>
      <group>L1_Punc</group>
      <groupName>标点问题</groupName>
      <ability>L2_Punc_CN</ability>
      <abilityName/>
      <candidateList/>
      <explain>同一形式括号套用。</explain>
      <paraID>6ADC5DDD</paraID>
      <start>88</start>
      <end>89</end>
      <status>ignored</status>
      <modifiedWord/>
      <trackRevisions>false</trackRevisions>
    </reviewItem>
    <reviewItem>
      <errorID>765dcdf8-611e-4ced-9871-a9c37bf942e0</errorID>
      <errorWord>）</errorWord>
      <group>L1_Punc</group>
      <groupName>标点问题</groupName>
      <ability>L2_Punc_CN</ability>
      <abilityName/>
      <candidateList/>
      <explain>同一形式括号套用。</explain>
      <paraID>6ADC5DDD</paraID>
      <start>97</start>
      <end>98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2a4f3-2062-45af-b413-aa7f8b4e21d3}">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11588</Words>
  <Characters>12156</Characters>
  <Lines>0</Lines>
  <Paragraphs>0</Paragraphs>
  <TotalTime>0</TotalTime>
  <ScaleCrop>false</ScaleCrop>
  <LinksUpToDate>false</LinksUpToDate>
  <CharactersWithSpaces>12282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2026-02-02T03:21:00Z</cp:lastPrinted>
  <dcterms:modified xsi:type="dcterms:W3CDTF">2026-05-22T06:06:20Z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