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7F3DC">
      <w:pPr>
        <w:jc w:val="center"/>
        <w:rPr>
          <w:rFonts w:hint="eastAsia" w:ascii="宋体" w:hAnsi="宋体" w:eastAsia="宋体" w:cs="宋体"/>
          <w:b/>
          <w:bCs/>
          <w:color w:val="auto"/>
          <w:kern w:val="0"/>
          <w:sz w:val="44"/>
          <w:szCs w:val="44"/>
          <w:lang w:val="en-US" w:eastAsia="zh-CN"/>
        </w:rPr>
      </w:pPr>
      <w:r>
        <w:rPr>
          <w:rFonts w:hint="eastAsia" w:ascii="宋体" w:hAnsi="宋体" w:eastAsia="宋体" w:cs="宋体"/>
          <w:b/>
          <w:bCs/>
          <w:color w:val="auto"/>
          <w:kern w:val="0"/>
          <w:sz w:val="44"/>
          <w:szCs w:val="44"/>
          <w:lang w:val="en-US" w:eastAsia="zh-CN"/>
        </w:rPr>
        <w:drawing>
          <wp:inline distT="0" distB="0" distL="114300" distR="114300">
            <wp:extent cx="5613400" cy="8234045"/>
            <wp:effectExtent l="0" t="0" r="10160" b="10795"/>
            <wp:docPr id="5" name="图片 5" descr="ffa3466535a8cf6a2a6eff289a4dba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fa3466535a8cf6a2a6eff289a4dbaa3"/>
                    <pic:cNvPicPr>
                      <a:picLocks noChangeAspect="1"/>
                    </pic:cNvPicPr>
                  </pic:nvPicPr>
                  <pic:blipFill>
                    <a:blip r:embed="rId7"/>
                    <a:stretch>
                      <a:fillRect/>
                    </a:stretch>
                  </pic:blipFill>
                  <pic:spPr>
                    <a:xfrm>
                      <a:off x="0" y="0"/>
                      <a:ext cx="5613400" cy="8234045"/>
                    </a:xfrm>
                    <a:prstGeom prst="rect">
                      <a:avLst/>
                    </a:prstGeom>
                  </pic:spPr>
                </pic:pic>
              </a:graphicData>
            </a:graphic>
          </wp:inline>
        </w:drawing>
      </w:r>
    </w:p>
    <w:p w14:paraId="4EEFF79C">
      <w:pPr>
        <w:jc w:val="center"/>
        <w:rPr>
          <w:rFonts w:hint="eastAsia" w:ascii="宋体" w:hAnsi="宋体" w:eastAsia="宋体" w:cs="宋体"/>
          <w:b/>
          <w:bCs/>
          <w:color w:val="auto"/>
          <w:kern w:val="0"/>
          <w:sz w:val="44"/>
          <w:szCs w:val="44"/>
          <w:lang w:val="en-US" w:eastAsia="zh-CN"/>
        </w:rPr>
      </w:pPr>
    </w:p>
    <w:p w14:paraId="475806DC">
      <w:pPr>
        <w:jc w:val="center"/>
        <w:rPr>
          <w:rFonts w:hint="eastAsia" w:ascii="宋体" w:hAnsi="宋体" w:eastAsia="宋体" w:cs="宋体"/>
          <w:b/>
          <w:bCs/>
          <w:color w:val="auto"/>
          <w:kern w:val="0"/>
          <w:sz w:val="44"/>
          <w:szCs w:val="44"/>
          <w:lang w:val="en-US" w:eastAsia="zh-CN"/>
        </w:rPr>
      </w:pPr>
    </w:p>
    <w:p w14:paraId="3A7CA50D">
      <w:pPr>
        <w:jc w:val="center"/>
        <w:rPr>
          <w:rFonts w:hint="eastAsia" w:ascii="宋体" w:hAnsi="宋体" w:eastAsia="宋体" w:cs="宋体"/>
          <w:b/>
          <w:bCs/>
          <w:color w:val="auto"/>
          <w:sz w:val="44"/>
          <w:szCs w:val="44"/>
        </w:rPr>
      </w:pPr>
      <w:r>
        <w:rPr>
          <w:rFonts w:hint="eastAsia" w:ascii="宋体" w:hAnsi="宋体" w:eastAsia="宋体" w:cs="宋体"/>
          <w:b/>
          <w:bCs/>
          <w:color w:val="auto"/>
          <w:kern w:val="0"/>
          <w:sz w:val="44"/>
          <w:szCs w:val="44"/>
          <w:lang w:val="en-US" w:eastAsia="zh-CN"/>
        </w:rPr>
        <w:t>襄城县水利局北汝河左岸大陈闸下游段岸坡水毁修复项目</w:t>
      </w:r>
      <w:r>
        <w:rPr>
          <w:rFonts w:hint="eastAsia" w:ascii="宋体" w:hAnsi="宋体" w:eastAsia="宋体" w:cs="宋体"/>
          <w:b/>
          <w:bCs/>
          <w:color w:val="auto"/>
          <w:sz w:val="44"/>
          <w:szCs w:val="44"/>
        </w:rPr>
        <w:t>（不见面开标）</w:t>
      </w:r>
    </w:p>
    <w:p w14:paraId="1EDB7BBE">
      <w:pPr>
        <w:jc w:val="center"/>
        <w:rPr>
          <w:rFonts w:hint="eastAsia" w:ascii="宋体" w:hAnsi="宋体" w:eastAsia="宋体" w:cs="宋体"/>
          <w:b/>
          <w:bCs/>
          <w:color w:val="auto"/>
          <w:spacing w:val="-4"/>
          <w:sz w:val="36"/>
          <w:szCs w:val="36"/>
        </w:rPr>
      </w:pPr>
    </w:p>
    <w:p w14:paraId="24763494">
      <w:pPr>
        <w:adjustRightInd w:val="0"/>
        <w:snapToGrid w:val="0"/>
        <w:spacing w:line="276" w:lineRule="auto"/>
        <w:jc w:val="both"/>
        <w:rPr>
          <w:rFonts w:hint="eastAsia" w:ascii="宋体" w:hAnsi="宋体" w:eastAsia="宋体" w:cs="宋体"/>
          <w:b/>
          <w:color w:val="auto"/>
          <w:sz w:val="72"/>
          <w:szCs w:val="72"/>
        </w:rPr>
      </w:pPr>
    </w:p>
    <w:p w14:paraId="1B6E1126">
      <w:pPr>
        <w:adjustRightInd w:val="0"/>
        <w:snapToGrid w:val="0"/>
        <w:spacing w:line="276" w:lineRule="auto"/>
        <w:jc w:val="center"/>
        <w:rPr>
          <w:rFonts w:hint="eastAsia" w:ascii="宋体" w:hAnsi="宋体" w:eastAsia="宋体" w:cs="宋体"/>
          <w:b/>
          <w:color w:val="auto"/>
          <w:sz w:val="72"/>
          <w:szCs w:val="72"/>
        </w:rPr>
      </w:pPr>
    </w:p>
    <w:p w14:paraId="55C35EAD">
      <w:pPr>
        <w:adjustRightInd w:val="0"/>
        <w:snapToGrid w:val="0"/>
        <w:spacing w:line="276" w:lineRule="auto"/>
        <w:jc w:val="center"/>
        <w:rPr>
          <w:rFonts w:hint="eastAsia" w:ascii="宋体" w:hAnsi="宋体" w:eastAsia="宋体" w:cs="宋体"/>
          <w:b/>
          <w:color w:val="auto"/>
          <w:sz w:val="72"/>
          <w:szCs w:val="72"/>
        </w:rPr>
      </w:pPr>
      <w:r>
        <w:rPr>
          <w:rFonts w:hint="eastAsia" w:ascii="宋体" w:hAnsi="宋体" w:eastAsia="宋体" w:cs="宋体"/>
          <w:b/>
          <w:color w:val="auto"/>
          <w:sz w:val="72"/>
          <w:szCs w:val="72"/>
        </w:rPr>
        <w:t>竞争性磋商文件</w:t>
      </w:r>
    </w:p>
    <w:p w14:paraId="6D348DD6">
      <w:pPr>
        <w:jc w:val="center"/>
        <w:rPr>
          <w:rFonts w:hint="eastAsia" w:ascii="宋体" w:hAnsi="宋体" w:eastAsia="宋体" w:cs="宋体"/>
          <w:b/>
          <w:color w:val="auto"/>
          <w:sz w:val="72"/>
          <w:szCs w:val="72"/>
          <w:lang w:val="en-US"/>
        </w:rPr>
      </w:pPr>
      <w:r>
        <w:rPr>
          <w:rFonts w:hint="eastAsia" w:ascii="宋体" w:hAnsi="宋体" w:eastAsia="宋体" w:cs="宋体"/>
          <w:b/>
          <w:bCs w:val="0"/>
          <w:color w:val="auto"/>
          <w:sz w:val="32"/>
          <w:szCs w:val="36"/>
          <w:lang w:eastAsia="zh-CN"/>
        </w:rPr>
        <w:t>项目编号：</w:t>
      </w:r>
      <w:r>
        <w:rPr>
          <w:rFonts w:hint="eastAsia" w:ascii="宋体" w:hAnsi="宋体" w:eastAsia="宋体" w:cs="宋体"/>
          <w:b/>
          <w:bCs w:val="0"/>
          <w:color w:val="auto"/>
          <w:sz w:val="32"/>
          <w:szCs w:val="36"/>
          <w:lang w:val="en-US" w:eastAsia="zh-CN"/>
        </w:rPr>
        <w:t>襄财磋商采购-2026-25</w:t>
      </w:r>
    </w:p>
    <w:p w14:paraId="0E5B4FB4">
      <w:pPr>
        <w:adjustRightInd w:val="0"/>
        <w:snapToGrid w:val="0"/>
        <w:spacing w:line="276" w:lineRule="auto"/>
        <w:jc w:val="center"/>
        <w:rPr>
          <w:rFonts w:hint="eastAsia" w:ascii="宋体" w:hAnsi="宋体" w:eastAsia="宋体" w:cs="宋体"/>
          <w:b/>
          <w:bCs/>
          <w:color w:val="auto"/>
          <w:sz w:val="30"/>
          <w:szCs w:val="30"/>
        </w:rPr>
      </w:pPr>
    </w:p>
    <w:p w14:paraId="1FFA805B">
      <w:pPr>
        <w:adjustRightInd w:val="0"/>
        <w:snapToGrid w:val="0"/>
        <w:spacing w:line="276" w:lineRule="auto"/>
        <w:jc w:val="center"/>
        <w:rPr>
          <w:rFonts w:hint="eastAsia" w:ascii="宋体" w:hAnsi="宋体" w:eastAsia="宋体" w:cs="宋体"/>
          <w:b/>
          <w:bCs/>
          <w:color w:val="auto"/>
          <w:sz w:val="30"/>
          <w:szCs w:val="30"/>
        </w:rPr>
      </w:pPr>
    </w:p>
    <w:p w14:paraId="726E36BB">
      <w:pPr>
        <w:adjustRightInd w:val="0"/>
        <w:snapToGrid w:val="0"/>
        <w:spacing w:line="276" w:lineRule="auto"/>
        <w:jc w:val="center"/>
        <w:rPr>
          <w:rFonts w:hint="eastAsia" w:ascii="宋体" w:hAnsi="宋体" w:eastAsia="宋体" w:cs="宋体"/>
          <w:b/>
          <w:bCs/>
          <w:color w:val="auto"/>
          <w:sz w:val="30"/>
          <w:szCs w:val="30"/>
        </w:rPr>
      </w:pPr>
    </w:p>
    <w:p w14:paraId="1D45A796">
      <w:pPr>
        <w:adjustRightInd w:val="0"/>
        <w:snapToGrid w:val="0"/>
        <w:spacing w:line="276" w:lineRule="auto"/>
        <w:jc w:val="center"/>
        <w:rPr>
          <w:rFonts w:hint="eastAsia" w:ascii="宋体" w:hAnsi="宋体" w:eastAsia="宋体" w:cs="宋体"/>
          <w:b/>
          <w:bCs/>
          <w:color w:val="auto"/>
          <w:sz w:val="30"/>
          <w:szCs w:val="30"/>
        </w:rPr>
      </w:pPr>
    </w:p>
    <w:p w14:paraId="7DDE31E5">
      <w:pPr>
        <w:adjustRightInd w:val="0"/>
        <w:snapToGrid w:val="0"/>
        <w:spacing w:line="276" w:lineRule="auto"/>
        <w:jc w:val="center"/>
        <w:rPr>
          <w:rFonts w:hint="eastAsia" w:ascii="宋体" w:hAnsi="宋体" w:eastAsia="宋体" w:cs="宋体"/>
          <w:b/>
          <w:bCs/>
          <w:color w:val="auto"/>
          <w:sz w:val="30"/>
          <w:szCs w:val="30"/>
        </w:rPr>
      </w:pPr>
    </w:p>
    <w:p w14:paraId="6489A1DA">
      <w:pPr>
        <w:adjustRightInd w:val="0"/>
        <w:snapToGrid w:val="0"/>
        <w:spacing w:line="276" w:lineRule="auto"/>
        <w:jc w:val="center"/>
        <w:rPr>
          <w:rFonts w:hint="eastAsia" w:ascii="宋体" w:hAnsi="宋体" w:eastAsia="宋体" w:cs="宋体"/>
          <w:b/>
          <w:bCs/>
          <w:color w:val="auto"/>
          <w:sz w:val="30"/>
          <w:szCs w:val="30"/>
        </w:rPr>
      </w:pPr>
    </w:p>
    <w:p w14:paraId="7C5A77C2">
      <w:pPr>
        <w:adjustRightInd w:val="0"/>
        <w:snapToGrid w:val="0"/>
        <w:spacing w:line="276" w:lineRule="auto"/>
        <w:jc w:val="center"/>
        <w:rPr>
          <w:rFonts w:hint="eastAsia" w:ascii="宋体" w:hAnsi="宋体" w:eastAsia="宋体" w:cs="宋体"/>
          <w:b/>
          <w:bCs/>
          <w:color w:val="auto"/>
          <w:sz w:val="30"/>
          <w:szCs w:val="30"/>
        </w:rPr>
      </w:pPr>
    </w:p>
    <w:p w14:paraId="380059F0">
      <w:pPr>
        <w:adjustRightInd w:val="0"/>
        <w:snapToGrid w:val="0"/>
        <w:spacing w:line="276" w:lineRule="auto"/>
        <w:jc w:val="center"/>
        <w:rPr>
          <w:rFonts w:hint="eastAsia" w:ascii="宋体" w:hAnsi="宋体" w:eastAsia="宋体" w:cs="宋体"/>
          <w:b/>
          <w:bCs/>
          <w:color w:val="auto"/>
          <w:sz w:val="30"/>
          <w:szCs w:val="30"/>
        </w:rPr>
      </w:pPr>
    </w:p>
    <w:p w14:paraId="49EEF6E5">
      <w:pPr>
        <w:pStyle w:val="27"/>
        <w:rPr>
          <w:rFonts w:hint="eastAsia" w:ascii="宋体" w:hAnsi="宋体" w:eastAsia="宋体" w:cs="宋体"/>
        </w:rPr>
      </w:pPr>
    </w:p>
    <w:p w14:paraId="7CE59CAA">
      <w:pPr>
        <w:rPr>
          <w:rFonts w:hint="eastAsia" w:ascii="宋体" w:hAnsi="宋体" w:eastAsia="宋体" w:cs="宋体"/>
          <w:color w:val="auto"/>
        </w:rPr>
      </w:pPr>
    </w:p>
    <w:p w14:paraId="491F0066">
      <w:pPr>
        <w:rPr>
          <w:rFonts w:hint="eastAsia" w:ascii="宋体" w:hAnsi="宋体" w:eastAsia="宋体" w:cs="宋体"/>
          <w:color w:val="auto"/>
        </w:rPr>
      </w:pPr>
    </w:p>
    <w:p w14:paraId="2430D40E">
      <w:pPr>
        <w:rPr>
          <w:rFonts w:hint="eastAsia" w:ascii="宋体" w:hAnsi="宋体" w:eastAsia="宋体" w:cs="宋体"/>
          <w:color w:val="auto"/>
        </w:rPr>
      </w:pPr>
    </w:p>
    <w:p w14:paraId="770AE772">
      <w:pPr>
        <w:rPr>
          <w:rFonts w:hint="eastAsia" w:ascii="宋体" w:hAnsi="宋体" w:eastAsia="宋体" w:cs="宋体"/>
          <w:color w:val="auto"/>
        </w:rPr>
      </w:pPr>
    </w:p>
    <w:p w14:paraId="713DCE56">
      <w:pPr>
        <w:rPr>
          <w:rFonts w:hint="eastAsia" w:ascii="宋体" w:hAnsi="宋体" w:eastAsia="宋体" w:cs="宋体"/>
          <w:color w:val="auto"/>
        </w:rPr>
      </w:pPr>
    </w:p>
    <w:p w14:paraId="6E7C9355">
      <w:pPr>
        <w:autoSpaceDE w:val="0"/>
        <w:autoSpaceDN w:val="0"/>
        <w:adjustRightInd w:val="0"/>
        <w:spacing w:line="700" w:lineRule="exact"/>
        <w:rPr>
          <w:rFonts w:hint="eastAsia" w:ascii="宋体" w:hAnsi="宋体" w:eastAsia="宋体" w:cs="宋体"/>
          <w:b/>
          <w:bCs/>
          <w:color w:val="auto"/>
          <w:sz w:val="32"/>
          <w:szCs w:val="36"/>
        </w:rPr>
      </w:pPr>
    </w:p>
    <w:p w14:paraId="4B37E35B">
      <w:pPr>
        <w:pStyle w:val="86"/>
        <w:tabs>
          <w:tab w:val="left" w:pos="1980"/>
        </w:tabs>
        <w:spacing w:line="360" w:lineRule="auto"/>
        <w:ind w:firstLine="1277" w:firstLineChars="159"/>
        <w:outlineLvl w:val="0"/>
        <w:rPr>
          <w:rFonts w:hint="eastAsia" w:ascii="宋体" w:hAnsi="宋体" w:eastAsia="宋体" w:cs="宋体"/>
          <w:b/>
          <w:color w:val="auto"/>
          <w:sz w:val="32"/>
          <w:szCs w:val="32"/>
          <w:highlight w:val="none"/>
          <w:lang w:eastAsia="zh-CN"/>
        </w:rPr>
      </w:pPr>
      <w:bookmarkStart w:id="0" w:name="_Toc11275"/>
      <w:bookmarkStart w:id="1" w:name="_Toc24643"/>
      <w:bookmarkStart w:id="2" w:name="_Toc11564"/>
      <w:r>
        <w:rPr>
          <w:rFonts w:hint="eastAsia" w:ascii="宋体" w:hAnsi="宋体" w:eastAsia="宋体" w:cs="宋体"/>
          <w:b/>
          <w:color w:val="auto"/>
          <w:spacing w:val="241"/>
          <w:kern w:val="0"/>
          <w:sz w:val="32"/>
          <w:szCs w:val="32"/>
          <w:highlight w:val="none"/>
          <w:fitText w:val="1926" w:id="744712395"/>
          <w:lang w:eastAsia="zh-CN"/>
        </w:rPr>
        <w:t>采购</w:t>
      </w:r>
      <w:r>
        <w:rPr>
          <w:rFonts w:hint="eastAsia" w:ascii="宋体" w:hAnsi="宋体" w:eastAsia="宋体" w:cs="宋体"/>
          <w:b/>
          <w:color w:val="auto"/>
          <w:spacing w:val="1"/>
          <w:kern w:val="0"/>
          <w:sz w:val="32"/>
          <w:szCs w:val="32"/>
          <w:highlight w:val="none"/>
          <w:fitText w:val="1926" w:id="744712395"/>
        </w:rPr>
        <w:t>人</w:t>
      </w:r>
      <w:r>
        <w:rPr>
          <w:rFonts w:hint="eastAsia" w:ascii="宋体" w:hAnsi="宋体" w:eastAsia="宋体" w:cs="宋体"/>
          <w:b/>
          <w:color w:val="auto"/>
          <w:sz w:val="32"/>
          <w:szCs w:val="32"/>
          <w:highlight w:val="none"/>
        </w:rPr>
        <w:t>：</w:t>
      </w:r>
      <w:bookmarkEnd w:id="0"/>
      <w:bookmarkEnd w:id="1"/>
      <w:bookmarkEnd w:id="2"/>
      <w:r>
        <w:rPr>
          <w:rFonts w:hint="eastAsia" w:ascii="宋体" w:hAnsi="宋体" w:eastAsia="宋体" w:cs="宋体"/>
          <w:b/>
          <w:bCs/>
          <w:color w:val="auto"/>
          <w:sz w:val="32"/>
          <w:szCs w:val="32"/>
          <w:highlight w:val="none"/>
          <w:lang w:eastAsia="zh-CN"/>
        </w:rPr>
        <w:t>襄城县水利局</w:t>
      </w:r>
    </w:p>
    <w:p w14:paraId="52C9E21B">
      <w:pPr>
        <w:spacing w:line="360" w:lineRule="auto"/>
        <w:jc w:val="center"/>
        <w:rPr>
          <w:rFonts w:hint="eastAsia" w:ascii="宋体" w:hAnsi="宋体" w:eastAsia="宋体" w:cs="宋体"/>
          <w:b/>
          <w:color w:val="auto"/>
          <w:sz w:val="32"/>
          <w:szCs w:val="32"/>
          <w:highlight w:val="none"/>
          <w:lang w:val="en-US" w:eastAsia="zh-CN"/>
        </w:rPr>
      </w:pPr>
      <w:bookmarkStart w:id="3" w:name="_Toc27405"/>
      <w:bookmarkStart w:id="4" w:name="_Toc31867"/>
      <w:bookmarkStart w:id="5" w:name="_Toc8793"/>
      <w:r>
        <w:rPr>
          <w:rFonts w:hint="eastAsia" w:ascii="宋体" w:hAnsi="宋体" w:eastAsia="宋体" w:cs="宋体"/>
          <w:b/>
          <w:color w:val="auto"/>
          <w:sz w:val="32"/>
          <w:szCs w:val="32"/>
          <w:highlight w:val="none"/>
        </w:rPr>
        <w:t>招标代理机构：</w:t>
      </w:r>
      <w:bookmarkEnd w:id="3"/>
      <w:bookmarkEnd w:id="4"/>
      <w:bookmarkEnd w:id="5"/>
      <w:r>
        <w:rPr>
          <w:rFonts w:hint="eastAsia" w:ascii="宋体" w:hAnsi="宋体" w:eastAsia="宋体" w:cs="宋体"/>
          <w:b/>
          <w:color w:val="auto"/>
          <w:sz w:val="32"/>
          <w:szCs w:val="32"/>
          <w:highlight w:val="none"/>
          <w:lang w:val="en-US" w:eastAsia="zh-CN"/>
        </w:rPr>
        <w:t>河南特慧工程咨询有限公司</w:t>
      </w:r>
    </w:p>
    <w:p w14:paraId="35B5EE1F">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二〇二</w:t>
      </w: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月</w:t>
      </w:r>
    </w:p>
    <w:p w14:paraId="3F1209AE">
      <w:pPr>
        <w:jc w:val="both"/>
        <w:rPr>
          <w:rFonts w:hint="eastAsia" w:ascii="宋体" w:hAnsi="宋体" w:eastAsia="宋体" w:cs="宋体"/>
          <w:b/>
          <w:bCs/>
          <w:color w:val="auto"/>
          <w:sz w:val="32"/>
          <w:szCs w:val="32"/>
        </w:rPr>
        <w:sectPr>
          <w:pgSz w:w="11907" w:h="16839"/>
          <w:pgMar w:top="1431" w:right="1466" w:bottom="1155" w:left="1595" w:header="992" w:footer="850" w:gutter="0"/>
          <w:pgBorders>
            <w:top w:val="none" w:sz="0" w:space="0"/>
            <w:left w:val="none" w:sz="0" w:space="0"/>
            <w:bottom w:val="none" w:sz="0" w:space="0"/>
            <w:right w:val="none" w:sz="0" w:space="0"/>
          </w:pgBorders>
          <w:pgNumType w:fmt="decimal" w:start="1"/>
          <w:cols w:space="720" w:num="1"/>
        </w:sectPr>
      </w:pPr>
    </w:p>
    <w:p w14:paraId="1C6F524F">
      <w:pPr>
        <w:rPr>
          <w:rFonts w:hint="eastAsia" w:ascii="宋体" w:hAnsi="宋体" w:eastAsia="宋体" w:cs="宋体"/>
          <w:b/>
          <w:bCs/>
          <w:color w:val="auto"/>
          <w:sz w:val="32"/>
          <w:szCs w:val="32"/>
        </w:rPr>
      </w:pPr>
    </w:p>
    <w:p w14:paraId="1D03D6C9">
      <w:pPr>
        <w:ind w:firstLine="3975" w:firstLineChars="1100"/>
        <w:jc w:val="both"/>
        <w:rPr>
          <w:rFonts w:hint="eastAsia" w:ascii="宋体" w:hAnsi="宋体" w:eastAsia="宋体" w:cs="宋体"/>
          <w:b/>
          <w:bCs/>
          <w:color w:val="auto"/>
          <w:sz w:val="36"/>
          <w:szCs w:val="36"/>
        </w:rPr>
      </w:pPr>
      <w:r>
        <w:rPr>
          <w:rFonts w:hint="eastAsia" w:ascii="宋体" w:hAnsi="宋体" w:eastAsia="宋体" w:cs="宋体"/>
          <w:b/>
          <w:bCs/>
          <w:color w:val="auto"/>
          <w:sz w:val="36"/>
          <w:szCs w:val="36"/>
        </w:rPr>
        <w:t>目    录</w:t>
      </w:r>
    </w:p>
    <w:p w14:paraId="0EB213E3">
      <w:pPr>
        <w:pStyle w:val="27"/>
        <w:keepNext w:val="0"/>
        <w:keepLines w:val="0"/>
        <w:pageBreakBefore w:val="0"/>
        <w:widowControl w:val="0"/>
        <w:tabs>
          <w:tab w:val="right" w:leader="dot" w:pos="8898"/>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kern w:val="0"/>
          <w:sz w:val="28"/>
          <w:szCs w:val="28"/>
        </w:rPr>
        <w:t>第一章 磋商邀请</w:t>
      </w:r>
    </w:p>
    <w:p w14:paraId="1E1307F2">
      <w:pPr>
        <w:pStyle w:val="27"/>
        <w:keepNext w:val="0"/>
        <w:keepLines w:val="0"/>
        <w:pageBreakBefore w:val="0"/>
        <w:widowControl w:val="0"/>
        <w:tabs>
          <w:tab w:val="right" w:leader="dot" w:pos="8898"/>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kern w:val="0"/>
          <w:sz w:val="28"/>
          <w:szCs w:val="28"/>
        </w:rPr>
        <w:t>第二章 采购需求</w:t>
      </w:r>
    </w:p>
    <w:p w14:paraId="6884CAE5">
      <w:pPr>
        <w:pStyle w:val="27"/>
        <w:keepNext w:val="0"/>
        <w:keepLines w:val="0"/>
        <w:pageBreakBefore w:val="0"/>
        <w:widowControl w:val="0"/>
        <w:tabs>
          <w:tab w:val="right" w:leader="dot" w:pos="8898"/>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kern w:val="0"/>
          <w:sz w:val="28"/>
          <w:szCs w:val="28"/>
        </w:rPr>
        <w:t>第三章 供应商须知前附表</w:t>
      </w:r>
    </w:p>
    <w:p w14:paraId="73843DE1">
      <w:pPr>
        <w:pStyle w:val="27"/>
        <w:keepNext w:val="0"/>
        <w:keepLines w:val="0"/>
        <w:pageBreakBefore w:val="0"/>
        <w:widowControl w:val="0"/>
        <w:tabs>
          <w:tab w:val="right" w:leader="dot" w:pos="8898"/>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kern w:val="0"/>
          <w:sz w:val="28"/>
          <w:szCs w:val="28"/>
        </w:rPr>
        <w:t>第四章 供应商须知</w:t>
      </w:r>
    </w:p>
    <w:p w14:paraId="17CF7716">
      <w:pPr>
        <w:pStyle w:val="28"/>
        <w:keepNext w:val="0"/>
        <w:keepLines w:val="0"/>
        <w:pageBreakBefore w:val="0"/>
        <w:widowControl w:val="0"/>
        <w:tabs>
          <w:tab w:val="right" w:leader="dot" w:pos="8898"/>
        </w:tabs>
        <w:kinsoku/>
        <w:wordWrap/>
        <w:overflowPunct/>
        <w:topLinePunct w:val="0"/>
        <w:autoSpaceDE/>
        <w:autoSpaceDN/>
        <w:bidi w:val="0"/>
        <w:adjustRightInd w:val="0"/>
        <w:snapToGrid w:val="0"/>
        <w:spacing w:before="0" w:line="360" w:lineRule="auto"/>
        <w:ind w:left="0" w:firstLine="560" w:firstLineChars="200"/>
        <w:textAlignment w:val="auto"/>
        <w:rPr>
          <w:rFonts w:hint="eastAsia" w:ascii="宋体" w:hAnsi="宋体" w:eastAsia="宋体" w:cs="宋体"/>
          <w:i w:val="0"/>
          <w:iCs w:val="0"/>
          <w:sz w:val="28"/>
          <w:szCs w:val="28"/>
        </w:rPr>
      </w:pPr>
      <w:r>
        <w:rPr>
          <w:rFonts w:hint="eastAsia" w:ascii="宋体" w:hAnsi="宋体" w:eastAsia="宋体" w:cs="宋体"/>
          <w:i w:val="0"/>
          <w:kern w:val="0"/>
          <w:sz w:val="28"/>
          <w:szCs w:val="28"/>
        </w:rPr>
        <w:t>一、概念释义</w:t>
      </w:r>
    </w:p>
    <w:p w14:paraId="48F5E4D5">
      <w:pPr>
        <w:pStyle w:val="28"/>
        <w:keepNext w:val="0"/>
        <w:keepLines w:val="0"/>
        <w:pageBreakBefore w:val="0"/>
        <w:widowControl w:val="0"/>
        <w:tabs>
          <w:tab w:val="right" w:leader="dot" w:pos="8898"/>
        </w:tabs>
        <w:kinsoku/>
        <w:wordWrap/>
        <w:overflowPunct/>
        <w:topLinePunct w:val="0"/>
        <w:autoSpaceDE/>
        <w:autoSpaceDN/>
        <w:bidi w:val="0"/>
        <w:adjustRightInd w:val="0"/>
        <w:snapToGrid w:val="0"/>
        <w:spacing w:before="0" w:line="360" w:lineRule="auto"/>
        <w:ind w:left="0" w:firstLine="560" w:firstLineChars="200"/>
        <w:textAlignment w:val="auto"/>
        <w:rPr>
          <w:rFonts w:hint="eastAsia" w:ascii="宋体" w:hAnsi="宋体" w:eastAsia="宋体" w:cs="宋体"/>
          <w:i w:val="0"/>
          <w:iCs w:val="0"/>
          <w:sz w:val="28"/>
          <w:szCs w:val="28"/>
        </w:rPr>
      </w:pPr>
      <w:r>
        <w:rPr>
          <w:rFonts w:hint="eastAsia" w:ascii="宋体" w:hAnsi="宋体" w:eastAsia="宋体" w:cs="宋体"/>
          <w:i w:val="0"/>
          <w:kern w:val="0"/>
          <w:sz w:val="28"/>
          <w:szCs w:val="28"/>
        </w:rPr>
        <w:t>二、磋商文件说明</w:t>
      </w:r>
    </w:p>
    <w:p w14:paraId="4074BBDA">
      <w:pPr>
        <w:pStyle w:val="28"/>
        <w:keepNext w:val="0"/>
        <w:keepLines w:val="0"/>
        <w:pageBreakBefore w:val="0"/>
        <w:widowControl w:val="0"/>
        <w:tabs>
          <w:tab w:val="right" w:leader="dot" w:pos="8898"/>
        </w:tabs>
        <w:kinsoku/>
        <w:wordWrap/>
        <w:overflowPunct/>
        <w:topLinePunct w:val="0"/>
        <w:autoSpaceDE/>
        <w:autoSpaceDN/>
        <w:bidi w:val="0"/>
        <w:adjustRightInd w:val="0"/>
        <w:snapToGrid w:val="0"/>
        <w:spacing w:before="0" w:line="360" w:lineRule="auto"/>
        <w:ind w:left="0" w:firstLine="560" w:firstLineChars="200"/>
        <w:textAlignment w:val="auto"/>
        <w:rPr>
          <w:rFonts w:hint="eastAsia" w:ascii="宋体" w:hAnsi="宋体" w:eastAsia="宋体" w:cs="宋体"/>
          <w:i w:val="0"/>
          <w:iCs w:val="0"/>
          <w:sz w:val="28"/>
          <w:szCs w:val="28"/>
        </w:rPr>
      </w:pPr>
      <w:r>
        <w:rPr>
          <w:rFonts w:hint="eastAsia" w:ascii="宋体" w:hAnsi="宋体" w:eastAsia="宋体" w:cs="宋体"/>
          <w:i w:val="0"/>
          <w:kern w:val="0"/>
          <w:sz w:val="28"/>
          <w:szCs w:val="28"/>
        </w:rPr>
        <w:t>三、响应文件的编制</w:t>
      </w:r>
    </w:p>
    <w:p w14:paraId="3A3B80B3">
      <w:pPr>
        <w:pStyle w:val="28"/>
        <w:keepNext w:val="0"/>
        <w:keepLines w:val="0"/>
        <w:pageBreakBefore w:val="0"/>
        <w:widowControl w:val="0"/>
        <w:tabs>
          <w:tab w:val="right" w:leader="dot" w:pos="8898"/>
        </w:tabs>
        <w:kinsoku/>
        <w:wordWrap/>
        <w:overflowPunct/>
        <w:topLinePunct w:val="0"/>
        <w:autoSpaceDE/>
        <w:autoSpaceDN/>
        <w:bidi w:val="0"/>
        <w:adjustRightInd w:val="0"/>
        <w:snapToGrid w:val="0"/>
        <w:spacing w:before="0" w:line="360" w:lineRule="auto"/>
        <w:ind w:left="0" w:firstLine="560" w:firstLineChars="200"/>
        <w:textAlignment w:val="auto"/>
        <w:rPr>
          <w:rFonts w:hint="eastAsia" w:ascii="宋体" w:hAnsi="宋体" w:eastAsia="宋体" w:cs="宋体"/>
          <w:i w:val="0"/>
          <w:iCs w:val="0"/>
          <w:sz w:val="28"/>
          <w:szCs w:val="28"/>
        </w:rPr>
      </w:pPr>
      <w:r>
        <w:rPr>
          <w:rFonts w:hint="eastAsia" w:ascii="宋体" w:hAnsi="宋体" w:eastAsia="宋体" w:cs="宋体"/>
          <w:i w:val="0"/>
          <w:kern w:val="0"/>
          <w:sz w:val="28"/>
          <w:szCs w:val="28"/>
        </w:rPr>
        <w:t>四、响应文件的提交</w:t>
      </w:r>
    </w:p>
    <w:p w14:paraId="5B060D37">
      <w:pPr>
        <w:pStyle w:val="28"/>
        <w:keepNext w:val="0"/>
        <w:keepLines w:val="0"/>
        <w:pageBreakBefore w:val="0"/>
        <w:widowControl w:val="0"/>
        <w:tabs>
          <w:tab w:val="right" w:leader="dot" w:pos="8898"/>
        </w:tabs>
        <w:kinsoku/>
        <w:wordWrap/>
        <w:overflowPunct/>
        <w:topLinePunct w:val="0"/>
        <w:autoSpaceDE/>
        <w:autoSpaceDN/>
        <w:bidi w:val="0"/>
        <w:adjustRightInd w:val="0"/>
        <w:snapToGrid w:val="0"/>
        <w:spacing w:before="0" w:line="360" w:lineRule="auto"/>
        <w:ind w:left="0" w:firstLine="560" w:firstLineChars="200"/>
        <w:textAlignment w:val="auto"/>
        <w:rPr>
          <w:rFonts w:hint="eastAsia" w:ascii="宋体" w:hAnsi="宋体" w:eastAsia="宋体" w:cs="宋体"/>
          <w:i w:val="0"/>
          <w:iCs w:val="0"/>
          <w:sz w:val="28"/>
          <w:szCs w:val="28"/>
        </w:rPr>
      </w:pPr>
      <w:r>
        <w:rPr>
          <w:rFonts w:hint="eastAsia" w:ascii="宋体" w:hAnsi="宋体" w:eastAsia="宋体" w:cs="宋体"/>
          <w:i w:val="0"/>
          <w:kern w:val="0"/>
          <w:sz w:val="28"/>
          <w:szCs w:val="28"/>
        </w:rPr>
        <w:t>五、响应文件开启和磋商</w:t>
      </w:r>
    </w:p>
    <w:p w14:paraId="592B8E22">
      <w:pPr>
        <w:pStyle w:val="28"/>
        <w:keepNext w:val="0"/>
        <w:keepLines w:val="0"/>
        <w:pageBreakBefore w:val="0"/>
        <w:widowControl w:val="0"/>
        <w:tabs>
          <w:tab w:val="right" w:leader="dot" w:pos="8898"/>
        </w:tabs>
        <w:kinsoku/>
        <w:wordWrap/>
        <w:overflowPunct/>
        <w:topLinePunct w:val="0"/>
        <w:autoSpaceDE/>
        <w:autoSpaceDN/>
        <w:bidi w:val="0"/>
        <w:adjustRightInd w:val="0"/>
        <w:snapToGrid w:val="0"/>
        <w:spacing w:before="0" w:line="360" w:lineRule="auto"/>
        <w:ind w:left="0" w:firstLine="560" w:firstLineChars="200"/>
        <w:textAlignment w:val="auto"/>
        <w:rPr>
          <w:rFonts w:hint="eastAsia" w:ascii="宋体" w:hAnsi="宋体" w:eastAsia="宋体" w:cs="宋体"/>
          <w:i w:val="0"/>
          <w:iCs w:val="0"/>
          <w:sz w:val="28"/>
          <w:szCs w:val="28"/>
        </w:rPr>
      </w:pPr>
      <w:r>
        <w:rPr>
          <w:rFonts w:hint="eastAsia" w:ascii="宋体" w:hAnsi="宋体" w:eastAsia="宋体" w:cs="宋体"/>
          <w:i w:val="0"/>
          <w:kern w:val="0"/>
          <w:sz w:val="28"/>
          <w:szCs w:val="28"/>
        </w:rPr>
        <w:t>六、定标和授予合同</w:t>
      </w:r>
    </w:p>
    <w:p w14:paraId="36B7096E">
      <w:pPr>
        <w:pStyle w:val="27"/>
        <w:keepNext w:val="0"/>
        <w:keepLines w:val="0"/>
        <w:pageBreakBefore w:val="0"/>
        <w:widowControl w:val="0"/>
        <w:tabs>
          <w:tab w:val="right" w:leader="dot" w:pos="8898"/>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kern w:val="0"/>
          <w:sz w:val="28"/>
          <w:szCs w:val="28"/>
        </w:rPr>
        <w:t>第五章 政府采购政策功能</w:t>
      </w:r>
    </w:p>
    <w:p w14:paraId="6076AC8F">
      <w:pPr>
        <w:pStyle w:val="27"/>
        <w:keepNext w:val="0"/>
        <w:keepLines w:val="0"/>
        <w:pageBreakBefore w:val="0"/>
        <w:widowControl w:val="0"/>
        <w:tabs>
          <w:tab w:val="right" w:leader="dot" w:pos="8898"/>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kern w:val="0"/>
          <w:sz w:val="28"/>
          <w:szCs w:val="28"/>
        </w:rPr>
        <w:t>第六章 对响应文件审查与评审</w:t>
      </w:r>
    </w:p>
    <w:p w14:paraId="195A4B15">
      <w:pPr>
        <w:pStyle w:val="27"/>
        <w:keepNext w:val="0"/>
        <w:keepLines w:val="0"/>
        <w:pageBreakBefore w:val="0"/>
        <w:widowControl w:val="0"/>
        <w:tabs>
          <w:tab w:val="right" w:leader="dot" w:pos="8898"/>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kern w:val="0"/>
          <w:sz w:val="28"/>
          <w:szCs w:val="28"/>
        </w:rPr>
        <w:t>第七章 合同条款及格式</w:t>
      </w:r>
    </w:p>
    <w:p w14:paraId="52172413">
      <w:pPr>
        <w:pStyle w:val="27"/>
        <w:keepNext w:val="0"/>
        <w:keepLines w:val="0"/>
        <w:pageBreakBefore w:val="0"/>
        <w:widowControl w:val="0"/>
        <w:tabs>
          <w:tab w:val="right" w:leader="dot" w:pos="8898"/>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kern w:val="0"/>
          <w:sz w:val="28"/>
          <w:szCs w:val="28"/>
        </w:rPr>
        <w:t>第八章 响应文件有关格式</w:t>
      </w:r>
    </w:p>
    <w:p w14:paraId="7C230039">
      <w:pPr>
        <w:pStyle w:val="28"/>
        <w:tabs>
          <w:tab w:val="right" w:leader="dot" w:pos="8898"/>
        </w:tabs>
        <w:spacing w:line="560" w:lineRule="exact"/>
        <w:rPr>
          <w:rFonts w:hint="eastAsia" w:ascii="宋体" w:hAnsi="宋体" w:eastAsia="宋体" w:cs="宋体"/>
          <w:color w:val="auto"/>
        </w:rPr>
      </w:pPr>
    </w:p>
    <w:p w14:paraId="14A24439">
      <w:pPr>
        <w:spacing w:line="360" w:lineRule="auto"/>
        <w:rPr>
          <w:rFonts w:hint="eastAsia" w:ascii="宋体" w:hAnsi="宋体" w:eastAsia="宋体" w:cs="宋体"/>
          <w:color w:val="auto"/>
          <w:spacing w:val="9"/>
          <w:sz w:val="31"/>
          <w:szCs w:val="31"/>
        </w:rPr>
      </w:pPr>
    </w:p>
    <w:p w14:paraId="303E8ABB">
      <w:pPr>
        <w:spacing w:line="360" w:lineRule="auto"/>
        <w:rPr>
          <w:rFonts w:hint="eastAsia" w:ascii="宋体" w:hAnsi="宋体" w:eastAsia="宋体" w:cs="宋体"/>
          <w:color w:val="auto"/>
        </w:rPr>
      </w:pPr>
    </w:p>
    <w:p w14:paraId="26599021">
      <w:pPr>
        <w:spacing w:line="360" w:lineRule="auto"/>
        <w:jc w:val="center"/>
        <w:outlineLvl w:val="0"/>
        <w:rPr>
          <w:rFonts w:hint="eastAsia" w:ascii="宋体" w:hAnsi="宋体" w:eastAsia="宋体" w:cs="宋体"/>
          <w:b/>
          <w:color w:val="auto"/>
          <w:kern w:val="0"/>
          <w:sz w:val="32"/>
          <w:szCs w:val="32"/>
        </w:rPr>
      </w:pPr>
      <w:bookmarkStart w:id="6" w:name="_Toc138068715"/>
    </w:p>
    <w:p w14:paraId="4C3DC593">
      <w:pPr>
        <w:spacing w:line="360" w:lineRule="auto"/>
        <w:jc w:val="center"/>
        <w:outlineLvl w:val="0"/>
        <w:rPr>
          <w:rFonts w:hint="eastAsia" w:ascii="宋体" w:hAnsi="宋体" w:eastAsia="宋体" w:cs="宋体"/>
          <w:b/>
          <w:color w:val="auto"/>
          <w:kern w:val="0"/>
          <w:sz w:val="32"/>
          <w:szCs w:val="32"/>
        </w:rPr>
      </w:pPr>
    </w:p>
    <w:p w14:paraId="72C42296">
      <w:pPr>
        <w:spacing w:line="360" w:lineRule="auto"/>
        <w:jc w:val="center"/>
        <w:outlineLvl w:val="0"/>
        <w:rPr>
          <w:rFonts w:hint="eastAsia" w:ascii="宋体" w:hAnsi="宋体" w:eastAsia="宋体" w:cs="宋体"/>
          <w:b/>
          <w:color w:val="auto"/>
          <w:kern w:val="0"/>
          <w:sz w:val="32"/>
          <w:szCs w:val="32"/>
        </w:rPr>
      </w:pPr>
    </w:p>
    <w:p w14:paraId="44900E36">
      <w:pPr>
        <w:spacing w:line="360" w:lineRule="auto"/>
        <w:jc w:val="center"/>
        <w:outlineLvl w:val="0"/>
        <w:rPr>
          <w:rFonts w:hint="eastAsia" w:ascii="宋体" w:hAnsi="宋体" w:eastAsia="宋体" w:cs="宋体"/>
          <w:b/>
          <w:color w:val="auto"/>
          <w:kern w:val="0"/>
          <w:sz w:val="32"/>
          <w:szCs w:val="32"/>
        </w:rPr>
      </w:pPr>
    </w:p>
    <w:p w14:paraId="4D7425F7">
      <w:pP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061A5117">
      <w:pPr>
        <w:keepNext w:val="0"/>
        <w:keepLines w:val="0"/>
        <w:pageBreakBefore w:val="0"/>
        <w:kinsoku/>
        <w:wordWrap/>
        <w:overflowPunct/>
        <w:topLinePunct w:val="0"/>
        <w:autoSpaceDE/>
        <w:autoSpaceDN/>
        <w:bidi w:val="0"/>
        <w:adjustRightInd/>
        <w:snapToGrid/>
        <w:spacing w:line="520" w:lineRule="exact"/>
        <w:jc w:val="center"/>
        <w:textAlignment w:val="auto"/>
        <w:outlineLvl w:val="0"/>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第一章 磋商邀请</w:t>
      </w:r>
      <w:bookmarkEnd w:id="6"/>
    </w:p>
    <w:p w14:paraId="67482A88">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28"/>
          <w:szCs w:val="28"/>
          <w:lang w:val="en-US" w:eastAsia="zh-CN"/>
        </w:rPr>
        <w:t>项目概况：</w:t>
      </w:r>
    </w:p>
    <w:p w14:paraId="43D04727">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“襄城县水利局北汝河左岸大陈闸下游段岸坡水毁修复项目”</w:t>
      </w:r>
      <w:r>
        <w:rPr>
          <w:rFonts w:hint="eastAsia" w:ascii="宋体" w:hAnsi="宋体" w:eastAsia="宋体" w:cs="宋体"/>
          <w:color w:val="auto"/>
          <w:sz w:val="24"/>
          <w:szCs w:val="24"/>
        </w:rPr>
        <w:t>的潜在投标人应在《全国公共资源交易平台（河南省·许昌市）》（</w:t>
      </w:r>
      <w:r>
        <w:rPr>
          <w:rFonts w:hint="eastAsia" w:ascii="宋体" w:hAnsi="宋体" w:eastAsia="宋体" w:cs="宋体"/>
          <w:color w:val="auto"/>
          <w:sz w:val="24"/>
          <w:szCs w:val="24"/>
          <w:lang w:eastAsia="zh-CN"/>
        </w:rPr>
        <w:t>https://ggzy.xuchang.gov.cn/</w:t>
      </w:r>
      <w:r>
        <w:rPr>
          <w:rFonts w:hint="eastAsia" w:ascii="宋体" w:hAnsi="宋体" w:eastAsia="宋体" w:cs="宋体"/>
          <w:color w:val="auto"/>
          <w:sz w:val="24"/>
          <w:szCs w:val="24"/>
        </w:rPr>
        <w:t>）获取招标文件</w:t>
      </w:r>
      <w:r>
        <w:rPr>
          <w:rFonts w:hint="eastAsia" w:ascii="宋体" w:hAnsi="宋体" w:eastAsia="宋体" w:cs="宋体"/>
          <w:color w:val="auto"/>
          <w:sz w:val="24"/>
          <w:szCs w:val="24"/>
          <w:lang w:eastAsia="zh-CN"/>
        </w:rPr>
        <w:t>，</w:t>
      </w:r>
      <w:r>
        <w:rPr>
          <w:rFonts w:hint="eastAsia" w:ascii="宋体" w:hAnsi="宋体" w:eastAsia="宋体" w:cs="宋体"/>
          <w:bCs/>
          <w:color w:val="auto"/>
          <w:kern w:val="0"/>
          <w:sz w:val="24"/>
          <w:szCs w:val="24"/>
        </w:rPr>
        <w:t>并</w:t>
      </w:r>
      <w:r>
        <w:rPr>
          <w:rFonts w:hint="eastAsia" w:ascii="宋体" w:hAnsi="宋体" w:eastAsia="宋体" w:cs="宋体"/>
          <w:bCs/>
          <w:color w:val="auto"/>
          <w:kern w:val="0"/>
          <w:sz w:val="24"/>
          <w:szCs w:val="24"/>
          <w:lang w:eastAsia="zh-CN"/>
        </w:rPr>
        <w:t>于2026年</w:t>
      </w:r>
      <w:r>
        <w:rPr>
          <w:rFonts w:hint="eastAsia" w:ascii="宋体" w:hAnsi="宋体" w:cs="宋体"/>
          <w:bCs/>
          <w:color w:val="auto"/>
          <w:kern w:val="0"/>
          <w:sz w:val="24"/>
          <w:szCs w:val="24"/>
          <w:lang w:val="en-US" w:eastAsia="zh-CN"/>
        </w:rPr>
        <w:t>6</w:t>
      </w:r>
      <w:r>
        <w:rPr>
          <w:rFonts w:hint="eastAsia" w:ascii="宋体" w:hAnsi="宋体" w:eastAsia="宋体" w:cs="宋体"/>
          <w:bCs/>
          <w:color w:val="auto"/>
          <w:kern w:val="0"/>
          <w:sz w:val="24"/>
          <w:szCs w:val="24"/>
          <w:lang w:eastAsia="zh-CN"/>
        </w:rPr>
        <w:t>月</w:t>
      </w:r>
      <w:r>
        <w:rPr>
          <w:rFonts w:hint="eastAsia" w:ascii="宋体" w:hAnsi="宋体" w:cs="宋体"/>
          <w:bCs/>
          <w:color w:val="auto"/>
          <w:kern w:val="0"/>
          <w:sz w:val="24"/>
          <w:szCs w:val="24"/>
          <w:lang w:val="en-US" w:eastAsia="zh-CN"/>
        </w:rPr>
        <w:t>15</w:t>
      </w:r>
      <w:r>
        <w:rPr>
          <w:rFonts w:hint="eastAsia" w:ascii="宋体" w:hAnsi="宋体" w:eastAsia="宋体" w:cs="宋体"/>
          <w:bCs/>
          <w:color w:val="auto"/>
          <w:kern w:val="0"/>
          <w:sz w:val="24"/>
          <w:szCs w:val="24"/>
          <w:lang w:eastAsia="zh-CN"/>
        </w:rPr>
        <w:t>日</w:t>
      </w:r>
      <w:r>
        <w:rPr>
          <w:rFonts w:hint="eastAsia" w:ascii="宋体" w:hAnsi="宋体" w:eastAsia="宋体" w:cs="宋体"/>
          <w:bCs/>
          <w:color w:val="auto"/>
          <w:kern w:val="0"/>
          <w:sz w:val="24"/>
          <w:szCs w:val="24"/>
          <w:lang w:val="en-US" w:eastAsia="zh-CN"/>
        </w:rPr>
        <w:t>09</w:t>
      </w:r>
      <w:r>
        <w:rPr>
          <w:rFonts w:hint="eastAsia" w:ascii="宋体" w:hAnsi="宋体" w:eastAsia="宋体" w:cs="宋体"/>
          <w:bCs/>
          <w:color w:val="auto"/>
          <w:kern w:val="0"/>
          <w:sz w:val="24"/>
          <w:szCs w:val="24"/>
          <w:lang w:eastAsia="zh-CN"/>
        </w:rPr>
        <w:t>时</w:t>
      </w:r>
      <w:r>
        <w:rPr>
          <w:rFonts w:hint="eastAsia" w:ascii="宋体" w:hAnsi="宋体" w:eastAsia="宋体" w:cs="宋体"/>
          <w:bCs/>
          <w:color w:val="auto"/>
          <w:kern w:val="0"/>
          <w:sz w:val="24"/>
          <w:szCs w:val="24"/>
          <w:lang w:val="en-US" w:eastAsia="zh-CN"/>
        </w:rPr>
        <w:t>00</w:t>
      </w:r>
      <w:r>
        <w:rPr>
          <w:rFonts w:hint="eastAsia" w:ascii="宋体" w:hAnsi="宋体" w:eastAsia="宋体" w:cs="宋体"/>
          <w:bCs/>
          <w:color w:val="auto"/>
          <w:kern w:val="0"/>
          <w:sz w:val="24"/>
          <w:szCs w:val="24"/>
        </w:rPr>
        <w:t>分（北京时间）前递交响应文件。</w:t>
      </w:r>
    </w:p>
    <w:p w14:paraId="575C396C">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一、项目基本情况</w:t>
      </w:r>
    </w:p>
    <w:p w14:paraId="71C54D55">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1、项目编号：</w:t>
      </w:r>
      <w:r>
        <w:rPr>
          <w:rFonts w:hint="eastAsia" w:ascii="宋体" w:hAnsi="宋体" w:eastAsia="宋体" w:cs="宋体"/>
          <w:bCs/>
          <w:color w:val="auto"/>
          <w:kern w:val="0"/>
          <w:sz w:val="24"/>
          <w:szCs w:val="24"/>
          <w:lang w:val="en-US" w:eastAsia="zh-CN"/>
        </w:rPr>
        <w:t>襄财磋商采购-2026-25</w:t>
      </w:r>
    </w:p>
    <w:p w14:paraId="58BB949E">
      <w:pPr>
        <w:keepNext w:val="0"/>
        <w:keepLines w:val="0"/>
        <w:pageBreakBefore w:val="0"/>
        <w:kinsoku/>
        <w:wordWrap/>
        <w:overflowPunct/>
        <w:topLinePunct w:val="0"/>
        <w:autoSpaceDE/>
        <w:autoSpaceDN/>
        <w:bidi w:val="0"/>
        <w:adjustRightInd/>
        <w:snapToGrid/>
        <w:spacing w:line="520" w:lineRule="exact"/>
        <w:ind w:left="479" w:leftChars="228" w:firstLine="0" w:firstLineChars="0"/>
        <w:jc w:val="left"/>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2、项目名称：</w:t>
      </w:r>
      <w:r>
        <w:rPr>
          <w:rFonts w:hint="eastAsia" w:ascii="宋体" w:hAnsi="宋体" w:eastAsia="宋体" w:cs="宋体"/>
          <w:bCs/>
          <w:color w:val="auto"/>
          <w:kern w:val="0"/>
          <w:sz w:val="24"/>
          <w:szCs w:val="24"/>
          <w:lang w:val="en-US" w:eastAsia="zh-CN"/>
        </w:rPr>
        <w:t>襄城县水利局北汝河左岸大陈闸下游段岸坡水毁修复项目</w:t>
      </w:r>
    </w:p>
    <w:p w14:paraId="71DE291D">
      <w:pPr>
        <w:keepNext w:val="0"/>
        <w:keepLines w:val="0"/>
        <w:pageBreakBefore w:val="0"/>
        <w:kinsoku/>
        <w:wordWrap/>
        <w:overflowPunct/>
        <w:topLinePunct w:val="0"/>
        <w:autoSpaceDE/>
        <w:autoSpaceDN/>
        <w:bidi w:val="0"/>
        <w:adjustRightInd/>
        <w:snapToGrid/>
        <w:spacing w:line="520" w:lineRule="exact"/>
        <w:ind w:left="479" w:leftChars="228" w:firstLine="0" w:firstLineChars="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3、采购方式：竞争性磋商</w:t>
      </w:r>
    </w:p>
    <w:p w14:paraId="102EE041">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4、预算金额：</w:t>
      </w:r>
      <w:r>
        <w:rPr>
          <w:rFonts w:hint="eastAsia" w:ascii="宋体" w:hAnsi="宋体" w:eastAsia="宋体" w:cs="宋体"/>
          <w:color w:val="auto"/>
          <w:kern w:val="0"/>
          <w:sz w:val="24"/>
          <w:szCs w:val="24"/>
          <w:shd w:val="clear" w:color="auto" w:fill="FFFFFF"/>
          <w:lang w:val="en-US" w:eastAsia="zh-CN"/>
        </w:rPr>
        <w:t>697035.62</w:t>
      </w:r>
      <w:r>
        <w:rPr>
          <w:rFonts w:hint="eastAsia" w:ascii="宋体" w:hAnsi="宋体" w:eastAsia="宋体" w:cs="宋体"/>
          <w:bCs/>
          <w:color w:val="auto"/>
          <w:kern w:val="0"/>
          <w:sz w:val="24"/>
          <w:szCs w:val="24"/>
          <w:lang w:val="en-US" w:eastAsia="zh-CN"/>
        </w:rPr>
        <w:t>元</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最高限价：</w:t>
      </w:r>
      <w:r>
        <w:rPr>
          <w:rFonts w:hint="eastAsia" w:ascii="宋体" w:hAnsi="宋体" w:eastAsia="宋体" w:cs="宋体"/>
          <w:color w:val="auto"/>
          <w:kern w:val="0"/>
          <w:sz w:val="24"/>
          <w:szCs w:val="24"/>
          <w:shd w:val="clear" w:color="auto" w:fill="FFFFFF"/>
          <w:lang w:val="en-US" w:eastAsia="zh-CN"/>
        </w:rPr>
        <w:t>697035.62</w:t>
      </w:r>
      <w:r>
        <w:rPr>
          <w:rFonts w:hint="eastAsia" w:ascii="宋体" w:hAnsi="宋体" w:eastAsia="宋体" w:cs="宋体"/>
          <w:bCs/>
          <w:color w:val="auto"/>
          <w:kern w:val="0"/>
          <w:sz w:val="24"/>
          <w:szCs w:val="24"/>
          <w:lang w:val="en-US" w:eastAsia="zh-CN"/>
        </w:rPr>
        <w:t>元</w:t>
      </w:r>
    </w:p>
    <w:tbl>
      <w:tblPr>
        <w:tblStyle w:val="34"/>
        <w:tblW w:w="0" w:type="auto"/>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autofit"/>
        <w:tblCellMar>
          <w:top w:w="0" w:type="dxa"/>
          <w:left w:w="0" w:type="dxa"/>
          <w:bottom w:w="0" w:type="dxa"/>
          <w:right w:w="0" w:type="dxa"/>
        </w:tblCellMar>
      </w:tblPr>
      <w:tblGrid>
        <w:gridCol w:w="429"/>
        <w:gridCol w:w="2046"/>
        <w:gridCol w:w="788"/>
        <w:gridCol w:w="1359"/>
        <w:gridCol w:w="1718"/>
        <w:gridCol w:w="1506"/>
        <w:gridCol w:w="1897"/>
      </w:tblGrid>
      <w:tr w14:paraId="7227F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91" w:hRule="atLeast"/>
          <w:tblCellSpacing w:w="0" w:type="dxa"/>
        </w:trPr>
        <w:tc>
          <w:tcPr>
            <w:tcW w:w="0" w:type="auto"/>
            <w:tcBorders>
              <w:tl2br w:val="nil"/>
              <w:tr2bl w:val="nil"/>
            </w:tcBorders>
            <w:shd w:val="clear" w:color="auto" w:fill="auto"/>
            <w:vAlign w:val="center"/>
          </w:tcPr>
          <w:p w14:paraId="0EED851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序号</w:t>
            </w:r>
          </w:p>
        </w:tc>
        <w:tc>
          <w:tcPr>
            <w:tcW w:w="0" w:type="auto"/>
            <w:tcBorders>
              <w:tl2br w:val="nil"/>
              <w:tr2bl w:val="nil"/>
            </w:tcBorders>
            <w:shd w:val="clear" w:color="auto" w:fill="auto"/>
            <w:vAlign w:val="center"/>
          </w:tcPr>
          <w:p w14:paraId="7283A9B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包号</w:t>
            </w:r>
          </w:p>
        </w:tc>
        <w:tc>
          <w:tcPr>
            <w:tcW w:w="0" w:type="auto"/>
            <w:tcBorders>
              <w:tl2br w:val="nil"/>
              <w:tr2bl w:val="nil"/>
            </w:tcBorders>
            <w:shd w:val="clear" w:color="auto" w:fill="auto"/>
            <w:vAlign w:val="center"/>
          </w:tcPr>
          <w:p w14:paraId="5D76777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包名称</w:t>
            </w:r>
          </w:p>
        </w:tc>
        <w:tc>
          <w:tcPr>
            <w:tcW w:w="0" w:type="auto"/>
            <w:tcBorders>
              <w:tl2br w:val="nil"/>
              <w:tr2bl w:val="nil"/>
            </w:tcBorders>
            <w:shd w:val="clear" w:color="auto" w:fill="auto"/>
            <w:vAlign w:val="center"/>
          </w:tcPr>
          <w:p w14:paraId="5789C7E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包预算（元）</w:t>
            </w:r>
          </w:p>
        </w:tc>
        <w:tc>
          <w:tcPr>
            <w:tcW w:w="0" w:type="auto"/>
            <w:tcBorders>
              <w:tl2br w:val="nil"/>
              <w:tr2bl w:val="nil"/>
            </w:tcBorders>
            <w:shd w:val="clear" w:color="auto" w:fill="auto"/>
            <w:vAlign w:val="center"/>
          </w:tcPr>
          <w:p w14:paraId="41C6210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包最高限价（元）</w:t>
            </w:r>
          </w:p>
        </w:tc>
        <w:tc>
          <w:tcPr>
            <w:tcW w:w="0" w:type="auto"/>
            <w:tcBorders>
              <w:tl2br w:val="nil"/>
              <w:tr2bl w:val="nil"/>
            </w:tcBorders>
            <w:shd w:val="clear" w:color="auto" w:fill="auto"/>
            <w:vAlign w:val="center"/>
          </w:tcPr>
          <w:p w14:paraId="551AB9D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是否面向中小企业</w:t>
            </w:r>
          </w:p>
        </w:tc>
        <w:tc>
          <w:tcPr>
            <w:tcW w:w="0" w:type="auto"/>
            <w:tcBorders>
              <w:tl2br w:val="nil"/>
              <w:tr2bl w:val="nil"/>
            </w:tcBorders>
            <w:shd w:val="clear" w:color="auto" w:fill="auto"/>
            <w:vAlign w:val="center"/>
          </w:tcPr>
          <w:p w14:paraId="7DB46D7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采购预留金额（元）</w:t>
            </w:r>
          </w:p>
        </w:tc>
      </w:tr>
      <w:tr w14:paraId="4C3BA4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867" w:hRule="atLeast"/>
          <w:tblCellSpacing w:w="0" w:type="dxa"/>
        </w:trPr>
        <w:tc>
          <w:tcPr>
            <w:tcW w:w="0" w:type="auto"/>
            <w:tcBorders>
              <w:tl2br w:val="nil"/>
              <w:tr2bl w:val="nil"/>
            </w:tcBorders>
            <w:shd w:val="clear" w:color="auto" w:fill="auto"/>
            <w:vAlign w:val="center"/>
          </w:tcPr>
          <w:p w14:paraId="5E1F16A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w:t>
            </w:r>
          </w:p>
        </w:tc>
        <w:tc>
          <w:tcPr>
            <w:tcW w:w="0" w:type="auto"/>
            <w:tcBorders>
              <w:tl2br w:val="nil"/>
              <w:tr2bl w:val="nil"/>
            </w:tcBorders>
            <w:shd w:val="clear" w:color="auto" w:fill="auto"/>
            <w:vAlign w:val="center"/>
          </w:tcPr>
          <w:p w14:paraId="5A5DC20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襄财磋商采购-2026-25</w:t>
            </w:r>
          </w:p>
        </w:tc>
        <w:tc>
          <w:tcPr>
            <w:tcW w:w="0" w:type="auto"/>
            <w:tcBorders>
              <w:tl2br w:val="nil"/>
              <w:tr2bl w:val="nil"/>
            </w:tcBorders>
            <w:shd w:val="clear" w:color="auto" w:fill="auto"/>
            <w:vAlign w:val="center"/>
          </w:tcPr>
          <w:p w14:paraId="5EF5274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第一标段</w:t>
            </w:r>
          </w:p>
        </w:tc>
        <w:tc>
          <w:tcPr>
            <w:tcW w:w="0" w:type="auto"/>
            <w:tcBorders>
              <w:tl2br w:val="nil"/>
              <w:tr2bl w:val="nil"/>
            </w:tcBorders>
            <w:shd w:val="clear" w:color="auto" w:fill="auto"/>
            <w:vAlign w:val="center"/>
          </w:tcPr>
          <w:p w14:paraId="1A1D129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color w:val="auto"/>
                <w:kern w:val="0"/>
                <w:sz w:val="24"/>
                <w:szCs w:val="24"/>
                <w:shd w:val="clear" w:color="auto" w:fill="FFFFFF"/>
                <w:lang w:val="en-US" w:eastAsia="zh-CN"/>
              </w:rPr>
              <w:t>697035.62</w:t>
            </w:r>
          </w:p>
        </w:tc>
        <w:tc>
          <w:tcPr>
            <w:tcW w:w="0" w:type="auto"/>
            <w:tcBorders>
              <w:tl2br w:val="nil"/>
              <w:tr2bl w:val="nil"/>
            </w:tcBorders>
            <w:shd w:val="clear" w:color="auto" w:fill="auto"/>
            <w:vAlign w:val="center"/>
          </w:tcPr>
          <w:p w14:paraId="0FC05FA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color w:val="auto"/>
                <w:kern w:val="0"/>
                <w:sz w:val="24"/>
                <w:szCs w:val="24"/>
                <w:shd w:val="clear" w:color="auto" w:fill="FFFFFF"/>
                <w:lang w:val="en-US" w:eastAsia="zh-CN"/>
              </w:rPr>
              <w:t xml:space="preserve">697035.62 </w:t>
            </w:r>
          </w:p>
        </w:tc>
        <w:tc>
          <w:tcPr>
            <w:tcW w:w="0" w:type="auto"/>
            <w:tcBorders>
              <w:tl2br w:val="nil"/>
              <w:tr2bl w:val="nil"/>
            </w:tcBorders>
            <w:shd w:val="clear" w:color="auto" w:fill="auto"/>
            <w:vAlign w:val="center"/>
          </w:tcPr>
          <w:p w14:paraId="6647669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是</w:t>
            </w:r>
          </w:p>
        </w:tc>
        <w:tc>
          <w:tcPr>
            <w:tcW w:w="0" w:type="auto"/>
            <w:tcBorders>
              <w:tl2br w:val="nil"/>
              <w:tr2bl w:val="nil"/>
            </w:tcBorders>
            <w:shd w:val="clear" w:color="auto" w:fill="auto"/>
            <w:vAlign w:val="center"/>
          </w:tcPr>
          <w:p w14:paraId="37C1994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color w:val="auto"/>
                <w:kern w:val="0"/>
                <w:sz w:val="24"/>
                <w:szCs w:val="24"/>
                <w:shd w:val="clear" w:color="auto" w:fill="FFFFFF"/>
                <w:lang w:val="en-US" w:eastAsia="zh-CN"/>
              </w:rPr>
              <w:t>697035.62</w:t>
            </w:r>
          </w:p>
        </w:tc>
      </w:tr>
    </w:tbl>
    <w:p w14:paraId="0512B711">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5、采购需求（包括但不限于标的的名称、数量、简要技术需求或服务要求等）</w:t>
      </w:r>
    </w:p>
    <w:p w14:paraId="134A7AF4">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襄城县水利局北汝河左岸大陈闸下游段岸坡水毁修复项目，主要内容是采用雷诺护垫对塌陷岸坡进行防护(桩号0+000一0+073)，与上游现状浆砌石护坡相接，水面以下采用土袋枕回填，水面以上采用土方回填。治理长度73米。</w:t>
      </w:r>
    </w:p>
    <w:p w14:paraId="5B2A5AA0">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lang w:val="en-US" w:eastAsia="zh-CN" w:bidi="ar-SA"/>
        </w:rPr>
        <w:t>6、</w:t>
      </w: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kern w:val="0"/>
          <w:sz w:val="24"/>
          <w:szCs w:val="24"/>
          <w:highlight w:val="none"/>
          <w:lang w:val="en-US" w:eastAsia="zh-CN"/>
        </w:rPr>
        <w:t>自合同生效之日起60日历天</w:t>
      </w:r>
    </w:p>
    <w:p w14:paraId="2A2FD95F">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bidi="ar-SA"/>
        </w:rPr>
        <w:t>7、</w:t>
      </w:r>
      <w:r>
        <w:rPr>
          <w:rFonts w:hint="eastAsia" w:ascii="宋体" w:hAnsi="宋体" w:eastAsia="宋体" w:cs="宋体"/>
          <w:bCs/>
          <w:color w:val="auto"/>
          <w:kern w:val="0"/>
          <w:sz w:val="24"/>
          <w:szCs w:val="24"/>
        </w:rPr>
        <w:t>本项目是否接受联合体投标：否</w:t>
      </w:r>
    </w:p>
    <w:p w14:paraId="6091854C">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8、是否接受进口产品：否</w:t>
      </w:r>
    </w:p>
    <w:p w14:paraId="50C4F5F1">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9、是否专门面向中小企业：</w:t>
      </w:r>
      <w:r>
        <w:rPr>
          <w:rFonts w:hint="eastAsia" w:ascii="宋体" w:hAnsi="宋体" w:eastAsia="宋体" w:cs="宋体"/>
          <w:bCs/>
          <w:color w:val="auto"/>
          <w:kern w:val="0"/>
          <w:sz w:val="24"/>
          <w:szCs w:val="24"/>
          <w:lang w:val="en-US" w:eastAsia="zh-CN"/>
        </w:rPr>
        <w:t>是</w:t>
      </w:r>
      <w:r>
        <w:rPr>
          <w:rFonts w:hint="eastAsia" w:ascii="宋体" w:hAnsi="宋体" w:eastAsia="宋体" w:cs="宋体"/>
          <w:bCs/>
          <w:color w:val="auto"/>
          <w:kern w:val="0"/>
          <w:sz w:val="24"/>
          <w:szCs w:val="24"/>
        </w:rPr>
        <w:t xml:space="preserve"> </w:t>
      </w:r>
    </w:p>
    <w:p w14:paraId="3D22042D">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二</w:t>
      </w:r>
      <w:r>
        <w:rPr>
          <w:rFonts w:hint="eastAsia" w:ascii="宋体" w:hAnsi="宋体" w:eastAsia="宋体" w:cs="宋体"/>
          <w:b/>
          <w:color w:val="auto"/>
          <w:kern w:val="0"/>
          <w:sz w:val="28"/>
          <w:szCs w:val="28"/>
          <w:lang w:eastAsia="zh-CN"/>
        </w:rPr>
        <w:t>、</w:t>
      </w:r>
      <w:r>
        <w:rPr>
          <w:rFonts w:hint="eastAsia" w:ascii="宋体" w:hAnsi="宋体" w:eastAsia="宋体" w:cs="宋体"/>
          <w:b/>
          <w:color w:val="auto"/>
          <w:kern w:val="0"/>
          <w:sz w:val="28"/>
          <w:szCs w:val="28"/>
        </w:rPr>
        <w:t>申请人资格要求</w:t>
      </w:r>
    </w:p>
    <w:p w14:paraId="595DA59E">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1、满足《中华人民共和国政府采购法》第二十二条规定；</w:t>
      </w:r>
    </w:p>
    <w:p w14:paraId="2FD56BD3">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2、落实政府采购政策满足的资格要求：</w:t>
      </w:r>
      <w:r>
        <w:rPr>
          <w:rFonts w:hint="eastAsia" w:ascii="宋体" w:hAnsi="宋体" w:eastAsia="宋体" w:cs="宋体"/>
          <w:bCs/>
          <w:color w:val="auto"/>
          <w:kern w:val="0"/>
          <w:sz w:val="24"/>
          <w:szCs w:val="24"/>
          <w:lang w:val="en-US" w:eastAsia="zh-CN"/>
        </w:rPr>
        <w:t>本项目属于专门面向中小企业采购的项目。</w:t>
      </w:r>
    </w:p>
    <w:p w14:paraId="0FB51E54">
      <w:pPr>
        <w:keepNext w:val="0"/>
        <w:keepLines w:val="0"/>
        <w:pageBreakBefore w:val="0"/>
        <w:numPr>
          <w:ilvl w:val="0"/>
          <w:numId w:val="1"/>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color w:val="000000"/>
          <w:kern w:val="0"/>
          <w:sz w:val="24"/>
          <w:szCs w:val="24"/>
          <w:shd w:val="clear" w:color="auto" w:fill="FFFFFF"/>
          <w:lang w:eastAsia="zh-CN"/>
        </w:rPr>
        <w:t>本项目的特定资格要求：供应商须具有建设行政主管部门核发的水利水电工程施工总承包二级及以上资质（未换发新资质证书的按照原相关规定执行，即未换发新资质证书的须具备建设行政主管部门颁发的水利水电工程施工总承包三级及以上资质），且具有有效的安全生产许可证。拟派项目经理须具有水利水电专业二级及以上注册建造师资格，且未担任其它在施建设工程的项目经理（提供无在建承诺书）。</w:t>
      </w:r>
    </w:p>
    <w:p w14:paraId="4B393F60">
      <w:pPr>
        <w:keepNext w:val="0"/>
        <w:keepLines w:val="0"/>
        <w:pageBreakBefore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lang w:val="en-US" w:eastAsia="zh-CN" w:bidi="ar-SA"/>
        </w:rPr>
        <w:t>三、</w:t>
      </w:r>
      <w:r>
        <w:rPr>
          <w:rFonts w:hint="eastAsia" w:ascii="宋体" w:hAnsi="宋体" w:eastAsia="宋体" w:cs="宋体"/>
          <w:b/>
          <w:color w:val="auto"/>
          <w:kern w:val="0"/>
          <w:sz w:val="28"/>
          <w:szCs w:val="28"/>
        </w:rPr>
        <w:t>磋商文件的获取</w:t>
      </w:r>
    </w:p>
    <w:p w14:paraId="6B73C9FD">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highlight w:val="none"/>
        </w:rPr>
        <w:t>1.时间：</w:t>
      </w:r>
      <w:r>
        <w:rPr>
          <w:rFonts w:hint="eastAsia" w:ascii="宋体" w:hAnsi="宋体" w:eastAsia="宋体" w:cs="宋体"/>
          <w:bCs/>
          <w:color w:val="auto"/>
          <w:kern w:val="0"/>
          <w:sz w:val="24"/>
          <w:szCs w:val="24"/>
          <w:lang w:eastAsia="zh-CN"/>
        </w:rPr>
        <w:t>2026年</w:t>
      </w:r>
      <w:r>
        <w:rPr>
          <w:rFonts w:hint="eastAsia" w:ascii="宋体" w:hAnsi="宋体" w:cs="宋体"/>
          <w:bCs/>
          <w:color w:val="auto"/>
          <w:kern w:val="0"/>
          <w:sz w:val="24"/>
          <w:szCs w:val="24"/>
          <w:lang w:val="en-US" w:eastAsia="zh-CN"/>
        </w:rPr>
        <w:t>6</w:t>
      </w:r>
      <w:r>
        <w:rPr>
          <w:rFonts w:hint="eastAsia" w:ascii="宋体" w:hAnsi="宋体" w:eastAsia="宋体" w:cs="宋体"/>
          <w:bCs/>
          <w:color w:val="auto"/>
          <w:kern w:val="0"/>
          <w:sz w:val="24"/>
          <w:szCs w:val="24"/>
        </w:rPr>
        <w:t>月</w:t>
      </w:r>
      <w:r>
        <w:rPr>
          <w:rFonts w:hint="eastAsia" w:ascii="宋体" w:hAnsi="宋体" w:cs="宋体"/>
          <w:bCs/>
          <w:color w:val="auto"/>
          <w:kern w:val="0"/>
          <w:sz w:val="24"/>
          <w:szCs w:val="24"/>
          <w:lang w:val="en-US" w:eastAsia="zh-CN"/>
        </w:rPr>
        <w:t>4</w:t>
      </w:r>
      <w:r>
        <w:rPr>
          <w:rFonts w:hint="eastAsia" w:ascii="宋体" w:hAnsi="宋体" w:eastAsia="宋体" w:cs="宋体"/>
          <w:bCs/>
          <w:color w:val="auto"/>
          <w:kern w:val="0"/>
          <w:sz w:val="24"/>
          <w:szCs w:val="24"/>
        </w:rPr>
        <w:t xml:space="preserve">日 至 </w:t>
      </w:r>
      <w:r>
        <w:rPr>
          <w:rFonts w:hint="eastAsia" w:ascii="宋体" w:hAnsi="宋体" w:eastAsia="宋体" w:cs="宋体"/>
          <w:bCs/>
          <w:color w:val="auto"/>
          <w:kern w:val="0"/>
          <w:sz w:val="24"/>
          <w:szCs w:val="24"/>
          <w:lang w:eastAsia="zh-CN"/>
        </w:rPr>
        <w:t>2026年</w:t>
      </w:r>
      <w:r>
        <w:rPr>
          <w:rFonts w:hint="eastAsia" w:ascii="宋体" w:hAnsi="宋体" w:cs="宋体"/>
          <w:bCs/>
          <w:color w:val="auto"/>
          <w:kern w:val="0"/>
          <w:sz w:val="24"/>
          <w:szCs w:val="24"/>
          <w:lang w:val="en-US" w:eastAsia="zh-CN"/>
        </w:rPr>
        <w:t>6</w:t>
      </w:r>
      <w:r>
        <w:rPr>
          <w:rFonts w:hint="eastAsia" w:ascii="宋体" w:hAnsi="宋体" w:eastAsia="宋体" w:cs="宋体"/>
          <w:bCs/>
          <w:color w:val="auto"/>
          <w:kern w:val="0"/>
          <w:sz w:val="24"/>
          <w:szCs w:val="24"/>
          <w:lang w:eastAsia="zh-CN"/>
        </w:rPr>
        <w:t>月</w:t>
      </w:r>
      <w:r>
        <w:rPr>
          <w:rFonts w:hint="eastAsia" w:ascii="宋体" w:hAnsi="宋体" w:cs="宋体"/>
          <w:bCs/>
          <w:color w:val="auto"/>
          <w:kern w:val="0"/>
          <w:sz w:val="24"/>
          <w:szCs w:val="24"/>
          <w:lang w:val="en-US" w:eastAsia="zh-CN"/>
        </w:rPr>
        <w:t>15</w:t>
      </w:r>
      <w:r>
        <w:rPr>
          <w:rFonts w:hint="eastAsia" w:ascii="宋体" w:hAnsi="宋体" w:eastAsia="宋体" w:cs="宋体"/>
          <w:bCs/>
          <w:color w:val="auto"/>
          <w:kern w:val="0"/>
          <w:sz w:val="24"/>
          <w:szCs w:val="24"/>
          <w:lang w:eastAsia="zh-CN"/>
        </w:rPr>
        <w:t>日</w:t>
      </w:r>
      <w:r>
        <w:rPr>
          <w:rFonts w:hint="eastAsia" w:ascii="宋体" w:hAnsi="宋体" w:eastAsia="宋体" w:cs="宋体"/>
          <w:bCs/>
          <w:color w:val="auto"/>
          <w:kern w:val="0"/>
          <w:sz w:val="24"/>
          <w:szCs w:val="24"/>
        </w:rPr>
        <w:t>，每天上午00:00至11:59，下午12:00至23:59（北京时间，法定节假日除外。）</w:t>
      </w:r>
    </w:p>
    <w:p w14:paraId="531C7C3B">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2.地点：《全国公共资源交易平台（河南省·许昌市）》（</w:t>
      </w:r>
      <w:r>
        <w:rPr>
          <w:rFonts w:hint="eastAsia" w:ascii="宋体" w:hAnsi="宋体" w:eastAsia="宋体" w:cs="宋体"/>
          <w:bCs/>
          <w:color w:val="auto"/>
          <w:kern w:val="0"/>
          <w:sz w:val="24"/>
          <w:szCs w:val="24"/>
          <w:lang w:eastAsia="zh-CN"/>
        </w:rPr>
        <w:t>https://ggzy.xuchang.gov.cn/</w:t>
      </w:r>
      <w:r>
        <w:rPr>
          <w:rFonts w:hint="eastAsia" w:ascii="宋体" w:hAnsi="宋体" w:eastAsia="宋体" w:cs="宋体"/>
          <w:bCs/>
          <w:color w:val="auto"/>
          <w:kern w:val="0"/>
          <w:sz w:val="24"/>
          <w:szCs w:val="24"/>
        </w:rPr>
        <w:t>）。</w:t>
      </w:r>
    </w:p>
    <w:p w14:paraId="4913BE36">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3.方式：线上下载</w:t>
      </w:r>
    </w:p>
    <w:p w14:paraId="76A185BD">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xml:space="preserve">4.售价：0元 </w:t>
      </w:r>
    </w:p>
    <w:p w14:paraId="168A84FF">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四、响应文件提交</w:t>
      </w:r>
    </w:p>
    <w:p w14:paraId="57B0AEF1">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rPr>
        <w:t>1.截止时间</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lang w:eastAsia="zh-CN"/>
        </w:rPr>
        <w:t>2026年</w:t>
      </w:r>
      <w:r>
        <w:rPr>
          <w:rFonts w:hint="eastAsia" w:ascii="宋体" w:hAnsi="宋体" w:cs="宋体"/>
          <w:bCs/>
          <w:color w:val="auto"/>
          <w:kern w:val="0"/>
          <w:sz w:val="24"/>
          <w:szCs w:val="24"/>
          <w:lang w:val="en-US" w:eastAsia="zh-CN"/>
        </w:rPr>
        <w:t>6</w:t>
      </w:r>
      <w:r>
        <w:rPr>
          <w:rFonts w:hint="eastAsia" w:ascii="宋体" w:hAnsi="宋体" w:eastAsia="宋体" w:cs="宋体"/>
          <w:bCs/>
          <w:color w:val="auto"/>
          <w:kern w:val="0"/>
          <w:sz w:val="24"/>
          <w:szCs w:val="24"/>
          <w:lang w:eastAsia="zh-CN"/>
        </w:rPr>
        <w:t>月</w:t>
      </w:r>
      <w:r>
        <w:rPr>
          <w:rFonts w:hint="eastAsia" w:ascii="宋体" w:hAnsi="宋体" w:cs="宋体"/>
          <w:bCs/>
          <w:color w:val="auto"/>
          <w:kern w:val="0"/>
          <w:sz w:val="24"/>
          <w:szCs w:val="24"/>
          <w:lang w:val="en-US" w:eastAsia="zh-CN"/>
        </w:rPr>
        <w:t>15</w:t>
      </w:r>
      <w:r>
        <w:rPr>
          <w:rFonts w:hint="eastAsia" w:ascii="宋体" w:hAnsi="宋体" w:eastAsia="宋体" w:cs="宋体"/>
          <w:bCs/>
          <w:color w:val="auto"/>
          <w:kern w:val="0"/>
          <w:sz w:val="24"/>
          <w:szCs w:val="24"/>
          <w:lang w:eastAsia="zh-CN"/>
        </w:rPr>
        <w:t>日</w:t>
      </w:r>
      <w:r>
        <w:rPr>
          <w:rFonts w:hint="eastAsia" w:ascii="宋体" w:hAnsi="宋体" w:eastAsia="宋体" w:cs="宋体"/>
          <w:bCs/>
          <w:color w:val="auto"/>
          <w:kern w:val="0"/>
          <w:sz w:val="24"/>
          <w:szCs w:val="24"/>
          <w:lang w:val="en-US" w:eastAsia="zh-CN"/>
        </w:rPr>
        <w:t>09</w:t>
      </w:r>
      <w:r>
        <w:rPr>
          <w:rFonts w:hint="eastAsia" w:ascii="宋体" w:hAnsi="宋体" w:eastAsia="宋体" w:cs="宋体"/>
          <w:bCs/>
          <w:color w:val="auto"/>
          <w:kern w:val="0"/>
          <w:sz w:val="24"/>
          <w:szCs w:val="24"/>
        </w:rPr>
        <w:t>时</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kern w:val="0"/>
          <w:sz w:val="24"/>
          <w:szCs w:val="24"/>
        </w:rPr>
        <w:t>0分</w:t>
      </w:r>
      <w:r>
        <w:rPr>
          <w:rFonts w:hint="eastAsia" w:ascii="宋体" w:hAnsi="宋体" w:eastAsia="宋体" w:cs="宋体"/>
          <w:bCs/>
          <w:color w:val="auto"/>
          <w:kern w:val="0"/>
          <w:sz w:val="24"/>
          <w:szCs w:val="24"/>
          <w:lang w:val="en-US" w:eastAsia="zh-CN"/>
        </w:rPr>
        <w:t>（</w:t>
      </w:r>
      <w:r>
        <w:rPr>
          <w:rFonts w:hint="eastAsia" w:ascii="宋体" w:hAnsi="宋体" w:eastAsia="宋体" w:cs="宋体"/>
          <w:bCs/>
          <w:color w:val="auto"/>
          <w:kern w:val="0"/>
          <w:sz w:val="24"/>
          <w:szCs w:val="24"/>
          <w:highlight w:val="none"/>
        </w:rPr>
        <w:t xml:space="preserve">北京时间） </w:t>
      </w:r>
    </w:p>
    <w:p w14:paraId="3DDF03BD">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highlight w:val="none"/>
        </w:rPr>
        <w:t>2.地点：襄城县公共资源交易中心十二楼不见面开标一室。（本项目采用远程不见面开标方式，投标人无须到现场）。</w:t>
      </w:r>
    </w:p>
    <w:p w14:paraId="437F9E94">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 xml:space="preserve">五、响应文件开启 </w:t>
      </w:r>
    </w:p>
    <w:p w14:paraId="71A01AE5">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rPr>
        <w:t>1.时</w:t>
      </w:r>
      <w:r>
        <w:rPr>
          <w:rFonts w:hint="eastAsia" w:ascii="宋体" w:hAnsi="宋体" w:eastAsia="宋体" w:cs="宋体"/>
          <w:bCs/>
          <w:color w:val="auto"/>
          <w:kern w:val="0"/>
          <w:sz w:val="24"/>
          <w:szCs w:val="24"/>
          <w:highlight w:val="none"/>
        </w:rPr>
        <w:t>间：</w:t>
      </w:r>
      <w:r>
        <w:rPr>
          <w:rFonts w:hint="eastAsia" w:ascii="宋体" w:hAnsi="宋体" w:eastAsia="宋体" w:cs="宋体"/>
          <w:bCs/>
          <w:color w:val="auto"/>
          <w:kern w:val="0"/>
          <w:sz w:val="24"/>
          <w:szCs w:val="24"/>
          <w:lang w:val="en-US" w:eastAsia="zh-CN"/>
        </w:rPr>
        <w:t>2026年</w:t>
      </w:r>
      <w:r>
        <w:rPr>
          <w:rFonts w:hint="eastAsia" w:ascii="宋体" w:hAnsi="宋体" w:cs="宋体"/>
          <w:bCs/>
          <w:color w:val="auto"/>
          <w:kern w:val="0"/>
          <w:sz w:val="24"/>
          <w:szCs w:val="24"/>
          <w:lang w:val="en-US" w:eastAsia="zh-CN"/>
        </w:rPr>
        <w:t>6</w:t>
      </w:r>
      <w:r>
        <w:rPr>
          <w:rFonts w:hint="eastAsia" w:ascii="宋体" w:hAnsi="宋体" w:eastAsia="宋体" w:cs="宋体"/>
          <w:bCs/>
          <w:color w:val="auto"/>
          <w:kern w:val="0"/>
          <w:sz w:val="24"/>
          <w:szCs w:val="24"/>
          <w:lang w:val="en-US" w:eastAsia="zh-CN"/>
        </w:rPr>
        <w:t>月</w:t>
      </w:r>
      <w:r>
        <w:rPr>
          <w:rFonts w:hint="eastAsia" w:ascii="宋体" w:hAnsi="宋体" w:cs="宋体"/>
          <w:bCs/>
          <w:color w:val="auto"/>
          <w:kern w:val="0"/>
          <w:sz w:val="24"/>
          <w:szCs w:val="24"/>
          <w:lang w:val="en-US" w:eastAsia="zh-CN"/>
        </w:rPr>
        <w:t>15</w:t>
      </w:r>
      <w:r>
        <w:rPr>
          <w:rFonts w:hint="eastAsia" w:ascii="宋体" w:hAnsi="宋体" w:eastAsia="宋体" w:cs="宋体"/>
          <w:bCs/>
          <w:color w:val="auto"/>
          <w:kern w:val="0"/>
          <w:sz w:val="24"/>
          <w:szCs w:val="24"/>
          <w:lang w:val="en-US" w:eastAsia="zh-CN"/>
        </w:rPr>
        <w:t>日09时00分（北京时间）</w:t>
      </w:r>
      <w:r>
        <w:rPr>
          <w:rFonts w:hint="eastAsia" w:ascii="宋体" w:hAnsi="宋体" w:eastAsia="宋体" w:cs="宋体"/>
          <w:bCs/>
          <w:color w:val="auto"/>
          <w:kern w:val="0"/>
          <w:sz w:val="24"/>
          <w:szCs w:val="24"/>
          <w:highlight w:val="none"/>
        </w:rPr>
        <w:t xml:space="preserve"> </w:t>
      </w:r>
    </w:p>
    <w:p w14:paraId="192878BA">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2.地点：襄城县公共资源交易中心十二楼不见面开标一室。（本项目采用远程不见面开标方式，投标人无须到现场）。</w:t>
      </w:r>
    </w:p>
    <w:p w14:paraId="6683E0FD">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 xml:space="preserve">六、发布公告的媒介及招标公告期限 </w:t>
      </w:r>
    </w:p>
    <w:p w14:paraId="426BC4EA">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本次招标公告在《河南省政府采购网》《许昌市政府采购网》《全国公共资源交易平台（河南省·许昌市）》上发布</w:t>
      </w:r>
      <w:r>
        <w:rPr>
          <w:rFonts w:hint="eastAsia" w:ascii="宋体" w:hAnsi="宋体" w:eastAsia="宋体" w:cs="宋体"/>
          <w:bCs/>
          <w:color w:val="auto"/>
          <w:kern w:val="0"/>
          <w:sz w:val="24"/>
          <w:szCs w:val="24"/>
          <w:lang w:val="en-US" w:eastAsia="zh-CN"/>
        </w:rPr>
        <w:t>,</w:t>
      </w:r>
      <w:r>
        <w:rPr>
          <w:rFonts w:hint="eastAsia" w:ascii="宋体" w:hAnsi="宋体" w:eastAsia="宋体" w:cs="宋体"/>
          <w:bCs/>
          <w:color w:val="auto"/>
          <w:kern w:val="0"/>
          <w:sz w:val="24"/>
          <w:szCs w:val="24"/>
        </w:rPr>
        <w:t>招标公告期限为三个工作日。</w:t>
      </w:r>
    </w:p>
    <w:p w14:paraId="375EE124">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七、其他补充事宜</w:t>
      </w:r>
    </w:p>
    <w:p w14:paraId="618BE65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1、本项目为全流程电子化交易项目，投标人须提交电子投标文件。</w:t>
      </w:r>
    </w:p>
    <w:p w14:paraId="1109CDB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（1）加密电子投标文件（后缀格式为.XCSTF）须在投标截止时间（开标时间）前通过《全国公共资源交易平台（河南省·许昌市）》公共资源交易系统成功上传。</w:t>
      </w:r>
    </w:p>
    <w:p w14:paraId="7856616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（2）开标时间前，投标人使用CA数字证书或移动数字证书登录《全国公共资源交易平台（河南省·许昌市）》进入公共资源交易系统（</w:t>
      </w:r>
      <w:r>
        <w:rPr>
          <w:rFonts w:hint="eastAsia" w:ascii="宋体" w:hAnsi="宋体" w:eastAsia="宋体" w:cs="宋体"/>
          <w:color w:val="auto"/>
          <w:kern w:val="0"/>
          <w:sz w:val="24"/>
          <w:szCs w:val="24"/>
          <w:lang w:eastAsia="zh-CN"/>
        </w:rPr>
        <w:t>https://ggzy.xuchang.gov.cn/</w:t>
      </w:r>
      <w:r>
        <w:rPr>
          <w:rFonts w:hint="eastAsia" w:ascii="宋体" w:hAnsi="宋体" w:eastAsia="宋体" w:cs="宋体"/>
          <w:color w:val="auto"/>
          <w:kern w:val="0"/>
          <w:sz w:val="24"/>
          <w:szCs w:val="24"/>
        </w:rPr>
        <w:t>）按照开标时间准时参加线上开标，进行远程解密、在线询问等。</w:t>
      </w:r>
    </w:p>
    <w:p w14:paraId="4380EB8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2、本项目采用电子系统进行招投标，请在投标前详细阅读《全国公共资源交易平台（河南省·许昌市）》首页“服务指南”栏目的《必看！新交易平台使用手册》及其附件。</w:t>
      </w:r>
    </w:p>
    <w:p w14:paraId="1072BAB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eastAsia="zh-CN"/>
        </w:rPr>
        <w:t>投标</w:t>
      </w:r>
      <w:r>
        <w:rPr>
          <w:rFonts w:hint="eastAsia" w:ascii="宋体" w:hAnsi="宋体" w:eastAsia="宋体" w:cs="宋体"/>
          <w:color w:val="auto"/>
          <w:kern w:val="0"/>
          <w:sz w:val="24"/>
          <w:szCs w:val="24"/>
        </w:rPr>
        <w:t>人在电子系统使用过程中遇到涉及系统使用的问题，可致电0374-</w:t>
      </w:r>
      <w:r>
        <w:rPr>
          <w:rFonts w:hint="eastAsia" w:ascii="宋体" w:hAnsi="宋体" w:eastAsia="宋体" w:cs="宋体"/>
          <w:color w:val="auto"/>
          <w:kern w:val="0"/>
          <w:sz w:val="24"/>
          <w:szCs w:val="24"/>
          <w:lang w:eastAsia="zh-CN"/>
        </w:rPr>
        <w:t>2961598</w:t>
      </w:r>
      <w:r>
        <w:rPr>
          <w:rFonts w:hint="eastAsia" w:ascii="宋体" w:hAnsi="宋体" w:eastAsia="宋体" w:cs="宋体"/>
          <w:color w:val="auto"/>
          <w:kern w:val="0"/>
          <w:sz w:val="24"/>
          <w:szCs w:val="24"/>
        </w:rPr>
        <w:t>进行咨询。</w:t>
      </w:r>
    </w:p>
    <w:p w14:paraId="0F045C48">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 xml:space="preserve">八、凡对本次招标提出询问，请按照以下方式联系 </w:t>
      </w:r>
    </w:p>
    <w:p w14:paraId="4074A55C">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19B46116">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采购人：</w:t>
      </w:r>
      <w:r>
        <w:rPr>
          <w:rFonts w:hint="eastAsia" w:ascii="宋体" w:hAnsi="宋体" w:eastAsia="宋体" w:cs="宋体"/>
          <w:color w:val="auto"/>
          <w:sz w:val="24"/>
          <w:szCs w:val="24"/>
          <w:lang w:eastAsia="zh-CN"/>
        </w:rPr>
        <w:t>襄城县水利局</w:t>
      </w:r>
    </w:p>
    <w:p w14:paraId="257681AC">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lang w:eastAsia="zh-CN"/>
        </w:rPr>
        <w:t>襄城县泰安路与虹桥路交叉口向北20米</w:t>
      </w:r>
    </w:p>
    <w:p w14:paraId="11F5706F">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李先生</w:t>
      </w:r>
    </w:p>
    <w:p w14:paraId="5883247F">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  话：0374-</w:t>
      </w:r>
      <w:r>
        <w:rPr>
          <w:rFonts w:hint="eastAsia" w:ascii="宋体" w:hAnsi="宋体" w:eastAsia="宋体" w:cs="宋体"/>
          <w:color w:val="auto"/>
          <w:sz w:val="24"/>
          <w:szCs w:val="24"/>
          <w:lang w:val="en-US" w:eastAsia="zh-CN"/>
        </w:rPr>
        <w:t>3996039</w:t>
      </w:r>
    </w:p>
    <w:p w14:paraId="2A4FFDE8">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09CDC79D">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val="en-US" w:eastAsia="zh-CN"/>
        </w:rPr>
        <w:t>河南特慧工程咨询有限公司</w:t>
      </w:r>
    </w:p>
    <w:p w14:paraId="1611BBE0">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地址：许昌市信通国际D座403室</w:t>
      </w:r>
    </w:p>
    <w:p w14:paraId="712AB335">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任先生</w:t>
      </w:r>
    </w:p>
    <w:p w14:paraId="7103B777">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联系方式：0374-</w:t>
      </w:r>
      <w:r>
        <w:rPr>
          <w:rFonts w:hint="eastAsia" w:ascii="宋体" w:hAnsi="宋体" w:eastAsia="宋体" w:cs="宋体"/>
          <w:color w:val="auto"/>
          <w:sz w:val="24"/>
          <w:szCs w:val="24"/>
          <w:lang w:val="en-US" w:eastAsia="zh-CN"/>
        </w:rPr>
        <w:t>8327199、13007678777</w:t>
      </w:r>
    </w:p>
    <w:p w14:paraId="5EF806B8">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1A1241BC">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val="en-US" w:eastAsia="zh-CN"/>
        </w:rPr>
        <w:t>任先生</w:t>
      </w:r>
    </w:p>
    <w:p w14:paraId="16551B04">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联系方式：0374-</w:t>
      </w:r>
      <w:r>
        <w:rPr>
          <w:rFonts w:hint="eastAsia" w:ascii="宋体" w:hAnsi="宋体" w:eastAsia="宋体" w:cs="宋体"/>
          <w:color w:val="auto"/>
          <w:sz w:val="24"/>
          <w:szCs w:val="24"/>
          <w:lang w:val="en-US" w:eastAsia="zh-CN"/>
        </w:rPr>
        <w:t>8327199、13007678777</w:t>
      </w:r>
    </w:p>
    <w:p w14:paraId="0ECDC0A0">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br w:type="page"/>
      </w:r>
    </w:p>
    <w:p w14:paraId="6E3FCC21">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温馨提示：</w:t>
      </w:r>
    </w:p>
    <w:p w14:paraId="298AACF6">
      <w:pPr>
        <w:pStyle w:val="15"/>
        <w:keepNext w:val="0"/>
        <w:keepLines w:val="0"/>
        <w:pageBreakBefore w:val="0"/>
        <w:kinsoku/>
        <w:wordWrap/>
        <w:overflowPunct/>
        <w:topLinePunct w:val="0"/>
        <w:autoSpaceDE/>
        <w:autoSpaceDN/>
        <w:bidi w:val="0"/>
        <w:adjustRightInd/>
        <w:snapToGrid/>
        <w:spacing w:line="520" w:lineRule="exact"/>
        <w:ind w:firstLine="448"/>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本项目为全流程电子化交易项目，请认真阅读磋商文件，并注意以下事项。</w:t>
      </w:r>
    </w:p>
    <w:p w14:paraId="24088804">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供应商参加本项目投标，需提前自行联系 CA 服务机构办理数字认证证书并进行电子签章。</w:t>
      </w:r>
    </w:p>
    <w:p w14:paraId="1CF5EF06">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2.磋商文件下载、响应文件制作、提交、远程不见面开标（电子投标文件的解密）环节，供应商须使用同一个 CA 数字证书（证书须在有效期内并可正常使用）。</w:t>
      </w:r>
    </w:p>
    <w:p w14:paraId="5B48F4BB">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3.电子响应文件的制作</w:t>
      </w:r>
    </w:p>
    <w:p w14:paraId="6745C0D5">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3.1供应商登录《</w:t>
      </w:r>
      <w:r>
        <w:rPr>
          <w:rFonts w:hint="eastAsia" w:ascii="宋体" w:hAnsi="宋体" w:eastAsia="宋体" w:cs="宋体"/>
          <w:b w:val="0"/>
          <w:bCs w:val="0"/>
          <w:color w:val="auto"/>
          <w:sz w:val="24"/>
          <w:szCs w:val="24"/>
          <w:lang w:eastAsia="zh-CN"/>
        </w:rPr>
        <w:t>全国公共资源交易平台</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河南省</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许昌市</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https://ggzy.xuchang.gov.cn/</w:t>
      </w:r>
      <w:r>
        <w:rPr>
          <w:rFonts w:hint="eastAsia" w:ascii="宋体" w:hAnsi="宋体" w:eastAsia="宋体" w:cs="宋体"/>
          <w:b w:val="0"/>
          <w:bCs w:val="0"/>
          <w:color w:val="auto"/>
          <w:sz w:val="24"/>
          <w:szCs w:val="24"/>
        </w:rPr>
        <w:t>）下载“新点投标文件制作软件（河南省版）”（在“投标人”登录页面右下方“投标文件制作工具下载”）制作电子投标文件。</w:t>
      </w:r>
    </w:p>
    <w:p w14:paraId="25D1170A">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49399E3">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4.加密电子响应文件的提交</w:t>
      </w:r>
    </w:p>
    <w:p w14:paraId="2BCF99D1">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4.1供应商对同一项目多个标段进行响应的，加密电子响应文件应按标段分别提交。</w:t>
      </w:r>
    </w:p>
    <w:p w14:paraId="31208E36">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4.2加密电子投标文件成功提交后，可登录《全国公共资源交易平台（河南省•许昌市）》（</w:t>
      </w:r>
      <w:r>
        <w:rPr>
          <w:rFonts w:hint="eastAsia" w:ascii="宋体" w:hAnsi="宋体" w:eastAsia="宋体" w:cs="宋体"/>
          <w:b w:val="0"/>
          <w:bCs w:val="0"/>
          <w:color w:val="auto"/>
          <w:sz w:val="24"/>
          <w:szCs w:val="24"/>
          <w:lang w:eastAsia="zh-CN"/>
        </w:rPr>
        <w:t>https://ggzy.xuchang.gov.cn/</w:t>
      </w:r>
      <w:r>
        <w:rPr>
          <w:rFonts w:hint="eastAsia" w:ascii="宋体" w:hAnsi="宋体" w:eastAsia="宋体" w:cs="宋体"/>
          <w:b w:val="0"/>
          <w:bCs w:val="0"/>
          <w:color w:val="auto"/>
          <w:sz w:val="24"/>
          <w:szCs w:val="24"/>
        </w:rPr>
        <w:t>）许昌市公共资源电子交易系统，在上传电子投标文件的页面进行模拟解密，以验证是否能够成功解密。</w:t>
      </w:r>
    </w:p>
    <w:p w14:paraId="6145BD48">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5.远程不见面开标（电子响应文件的解密）</w:t>
      </w:r>
    </w:p>
    <w:p w14:paraId="0F48B6FB">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5.1本项目采用远程“不见面”开标方式，投标前请详细阅读《全国公共资源交易平台（河南省•许昌市）》（</w:t>
      </w:r>
      <w:r>
        <w:rPr>
          <w:rFonts w:hint="eastAsia" w:ascii="宋体" w:hAnsi="宋体" w:eastAsia="宋体" w:cs="宋体"/>
          <w:b w:val="0"/>
          <w:bCs w:val="0"/>
          <w:color w:val="auto"/>
          <w:sz w:val="24"/>
          <w:szCs w:val="24"/>
          <w:lang w:eastAsia="zh-CN"/>
        </w:rPr>
        <w:t>https://ggzy.xuchang.gov.cn/</w:t>
      </w:r>
      <w:r>
        <w:rPr>
          <w:rFonts w:hint="eastAsia" w:ascii="宋体" w:hAnsi="宋体" w:eastAsia="宋体" w:cs="宋体"/>
          <w:b w:val="0"/>
          <w:bCs w:val="0"/>
          <w:color w:val="auto"/>
          <w:sz w:val="24"/>
          <w:szCs w:val="24"/>
        </w:rPr>
        <w:t>）“服务指南”——“办事指南”栏目下《新交易平台使用手册》中的相关内容。</w:t>
      </w:r>
    </w:p>
    <w:p w14:paraId="2F23C6FF">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5.2供应商应按《新交易平台使用手册》提前设置好浏览器，并于开标时间前登录本项目网上开标大厅，按照规定的开标时间准时参加网上开标。</w:t>
      </w:r>
    </w:p>
    <w:p w14:paraId="1F9EC4AD">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拒绝。</w:t>
      </w:r>
    </w:p>
    <w:p w14:paraId="3403D91F">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5.4 开标活动结束时，供应商应在《开标情况记录表》上进行电子签章。供应商未签章的，视同认可开标结果。</w:t>
      </w:r>
    </w:p>
    <w:p w14:paraId="420994DF">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5.5供应商对开标过程和开标记录如有疑义，可在本项目开标大厅界面右下方“发起异议”中在线提出异议。</w:t>
      </w:r>
    </w:p>
    <w:p w14:paraId="31178FD0">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6.评标依据</w:t>
      </w:r>
    </w:p>
    <w:p w14:paraId="44599E60">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6.1全流程电子化交易（不见面开标）项目，磋商小组以成功上传、解密的电子响应文件为依据评审。</w:t>
      </w:r>
    </w:p>
    <w:p w14:paraId="79E1075B">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6.2评审期间，供应商（参加磋商的法定代表人或其授权代表）应保持通讯手机畅通，并根据磋商小组要求在规定时间内提供：</w:t>
      </w:r>
    </w:p>
    <w:p w14:paraId="636A58F8">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（1）最后报价（加盖公章，或者由法定代表人或其授权的代表签字）；</w:t>
      </w:r>
    </w:p>
    <w:p w14:paraId="0D8690B3">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提交方式：供应商须使用CA数字证书登录《全国公共资源交易平台（河南省•许昌市）》（</w:t>
      </w:r>
      <w:r>
        <w:rPr>
          <w:rFonts w:hint="eastAsia" w:ascii="宋体" w:hAnsi="宋体" w:eastAsia="宋体" w:cs="宋体"/>
          <w:b w:val="0"/>
          <w:bCs w:val="0"/>
          <w:color w:val="auto"/>
          <w:sz w:val="24"/>
          <w:szCs w:val="24"/>
          <w:lang w:eastAsia="zh-CN"/>
        </w:rPr>
        <w:t>https://ggzy.xuchang.gov.cn/</w:t>
      </w:r>
      <w:r>
        <w:rPr>
          <w:rFonts w:hint="eastAsia" w:ascii="宋体" w:hAnsi="宋体" w:eastAsia="宋体" w:cs="宋体"/>
          <w:b w:val="0"/>
          <w:bCs w:val="0"/>
          <w:color w:val="auto"/>
          <w:sz w:val="24"/>
          <w:szCs w:val="24"/>
        </w:rPr>
        <w:t>）许昌市公共资源电子交易系统进行最后报价，最后报价应包括：①总报价②分项报价。</w:t>
      </w:r>
    </w:p>
    <w:p w14:paraId="099BDC00">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注：①磋商小组要求供应商提交最后报价时，在磋商小组规定时间内，供应商应提交最后报价（包括总报价及分项报价）。最后报价是供应商响应文件的有效组成部分。</w:t>
      </w:r>
    </w:p>
    <w:p w14:paraId="1542876F">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②磋商文件第二章“采购需求”中“采购清单”以工程量清单提供的，供应商应以工程量清单方式提交最后报价。</w:t>
      </w:r>
    </w:p>
    <w:p w14:paraId="5A575A61">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③请供应商根据项目情况，可提前准备分项报价。</w:t>
      </w:r>
    </w:p>
    <w:p w14:paraId="3E57D86C">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河南省▪许昌市)》——“许昌市公共资源电子交易系统”提供（操作流程详见“服务指南-办事指南-新交易平台使用手册-交易乙方（投标人、供应商等）操作手册”）。</w:t>
      </w:r>
    </w:p>
    <w:p w14:paraId="4A840317">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6.3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w:t>
      </w:r>
      <w:r>
        <w:rPr>
          <w:rFonts w:hint="eastAsia" w:ascii="宋体" w:hAnsi="宋体" w:eastAsia="宋体" w:cs="宋体"/>
          <w:b w:val="0"/>
          <w:bCs w:val="0"/>
          <w:color w:val="auto"/>
          <w:sz w:val="24"/>
          <w:szCs w:val="24"/>
          <w:lang w:eastAsia="zh-CN"/>
        </w:rPr>
        <w:t>采购代理机构</w:t>
      </w:r>
      <w:r>
        <w:rPr>
          <w:rFonts w:hint="eastAsia" w:ascii="宋体" w:hAnsi="宋体" w:eastAsia="宋体" w:cs="宋体"/>
          <w:b w:val="0"/>
          <w:bCs w:val="0"/>
          <w:color w:val="auto"/>
          <w:sz w:val="24"/>
          <w:szCs w:val="24"/>
        </w:rPr>
        <w:t>不承担任何责任。</w:t>
      </w:r>
    </w:p>
    <w:p w14:paraId="1F8FB231">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7.相关事项</w:t>
      </w:r>
    </w:p>
    <w:p w14:paraId="2594433C">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08722BD">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7.2《</w:t>
      </w:r>
      <w:r>
        <w:rPr>
          <w:rFonts w:hint="eastAsia" w:ascii="宋体" w:hAnsi="宋体" w:eastAsia="宋体" w:cs="宋体"/>
          <w:b w:val="0"/>
          <w:bCs w:val="0"/>
          <w:color w:val="auto"/>
          <w:sz w:val="24"/>
          <w:szCs w:val="24"/>
          <w:lang w:eastAsia="zh-CN"/>
        </w:rPr>
        <w:t>全国公共资源交易平台（河南省•许昌市）</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https://ggzy.xuchang.gov.cn/</w:t>
      </w:r>
      <w:r>
        <w:rPr>
          <w:rFonts w:hint="eastAsia" w:ascii="宋体" w:hAnsi="宋体" w:eastAsia="宋体" w:cs="宋体"/>
          <w:b w:val="0"/>
          <w:bCs w:val="0"/>
          <w:color w:val="auto"/>
          <w:sz w:val="24"/>
          <w:szCs w:val="24"/>
        </w:rPr>
        <w:t>）采购公告栏提供的招标文件仅供浏览。供应商下载招标文件应使用 CA 数字证书从《全国公共资源交易平台（河南省•许昌市）》（</w:t>
      </w:r>
      <w:r>
        <w:rPr>
          <w:rFonts w:hint="eastAsia" w:ascii="宋体" w:hAnsi="宋体" w:eastAsia="宋体" w:cs="宋体"/>
          <w:b w:val="0"/>
          <w:bCs w:val="0"/>
          <w:color w:val="auto"/>
          <w:sz w:val="24"/>
          <w:szCs w:val="24"/>
          <w:lang w:eastAsia="zh-CN"/>
        </w:rPr>
        <w:t>https://ggzy.xuchang.gov.cn/</w:t>
      </w:r>
      <w:r>
        <w:rPr>
          <w:rFonts w:hint="eastAsia" w:ascii="宋体" w:hAnsi="宋体" w:eastAsia="宋体" w:cs="宋体"/>
          <w:b w:val="0"/>
          <w:bCs w:val="0"/>
          <w:color w:val="auto"/>
          <w:sz w:val="24"/>
          <w:szCs w:val="24"/>
        </w:rPr>
        <w:t>）的“投标人”入口登录后获取</w:t>
      </w:r>
      <w:r>
        <w:rPr>
          <w:rFonts w:hint="eastAsia" w:ascii="宋体" w:hAnsi="宋体" w:eastAsia="宋体" w:cs="宋体"/>
          <w:b w:val="0"/>
          <w:bCs w:val="0"/>
          <w:color w:val="auto"/>
          <w:sz w:val="24"/>
          <w:szCs w:val="24"/>
          <w:lang w:eastAsia="zh-CN"/>
        </w:rPr>
        <w:t>。</w:t>
      </w:r>
    </w:p>
    <w:p w14:paraId="4B497FA5">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备注：交易平台技术咨询电话：0374-2961598 清单技术支持：18236016896</w:t>
      </w:r>
    </w:p>
    <w:p w14:paraId="21603377">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lang w:eastAsia="zh-CN"/>
        </w:rPr>
      </w:pPr>
    </w:p>
    <w:p w14:paraId="6F29F97C">
      <w:pPr>
        <w:spacing w:line="360" w:lineRule="auto"/>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0B2DD651">
      <w:pPr>
        <w:spacing w:line="360" w:lineRule="auto"/>
        <w:jc w:val="center"/>
        <w:outlineLvl w:val="0"/>
        <w:rPr>
          <w:rFonts w:hint="eastAsia" w:ascii="宋体" w:hAnsi="宋体" w:eastAsia="宋体" w:cs="宋体"/>
          <w:b/>
          <w:color w:val="auto"/>
          <w:kern w:val="0"/>
          <w:sz w:val="32"/>
          <w:szCs w:val="32"/>
        </w:rPr>
      </w:pPr>
      <w:bookmarkStart w:id="7" w:name="_Toc138068716"/>
      <w:r>
        <w:rPr>
          <w:rFonts w:hint="eastAsia" w:ascii="宋体" w:hAnsi="宋体" w:eastAsia="宋体" w:cs="宋体"/>
          <w:b/>
          <w:color w:val="auto"/>
          <w:kern w:val="0"/>
          <w:sz w:val="32"/>
          <w:szCs w:val="32"/>
        </w:rPr>
        <w:t>第二章</w:t>
      </w:r>
      <w:r>
        <w:rPr>
          <w:rFonts w:hint="eastAsia" w:ascii="宋体" w:hAnsi="宋体" w:eastAsia="宋体" w:cs="宋体"/>
          <w:b/>
          <w:color w:val="auto"/>
          <w:kern w:val="0"/>
          <w:sz w:val="32"/>
          <w:szCs w:val="32"/>
          <w:lang w:val="en-US" w:eastAsia="zh-CN"/>
        </w:rPr>
        <w:t xml:space="preserve"> </w:t>
      </w:r>
      <w:r>
        <w:rPr>
          <w:rFonts w:hint="eastAsia" w:ascii="宋体" w:hAnsi="宋体" w:eastAsia="宋体" w:cs="宋体"/>
          <w:b/>
          <w:color w:val="auto"/>
          <w:kern w:val="0"/>
          <w:sz w:val="32"/>
          <w:szCs w:val="32"/>
        </w:rPr>
        <w:t>采购需求</w:t>
      </w:r>
      <w:bookmarkEnd w:id="7"/>
    </w:p>
    <w:p w14:paraId="2F8E840A">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kern w:val="0"/>
          <w:sz w:val="24"/>
          <w:szCs w:val="24"/>
          <w:lang w:val="en-US" w:eastAsia="zh-CN"/>
        </w:rPr>
      </w:pPr>
      <w:bookmarkStart w:id="8" w:name="_Toc138068717"/>
      <w:r>
        <w:rPr>
          <w:rFonts w:hint="eastAsia" w:ascii="宋体" w:hAnsi="宋体" w:eastAsia="宋体" w:cs="宋体"/>
          <w:b/>
          <w:color w:val="auto"/>
          <w:kern w:val="0"/>
          <w:sz w:val="24"/>
          <w:szCs w:val="24"/>
          <w:lang w:val="en-US" w:eastAsia="zh-CN"/>
        </w:rPr>
        <w:t>一、项目概括：</w:t>
      </w:r>
    </w:p>
    <w:p w14:paraId="20E3BEE0">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襄城县水利局北汝河左岸大陈闸下游段岸坡水毁修复项目，主要内容是采用雷诺护垫对塌陷岸坡进行防护(桩号0+000一0+073)，与上游现状浆砌石护坡相接，水面以下采用土袋枕回填，水面以上采用土方回填。治理长度73米。</w:t>
      </w:r>
    </w:p>
    <w:p w14:paraId="49D2F8F0">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二、采购清单：</w:t>
      </w:r>
    </w:p>
    <w:p w14:paraId="677F5487">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详见工程量清单</w:t>
      </w:r>
    </w:p>
    <w:p w14:paraId="01C9F2D6">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val="0"/>
          <w:color w:val="auto"/>
          <w:spacing w:val="0"/>
          <w:kern w:val="2"/>
          <w:sz w:val="24"/>
          <w:szCs w:val="24"/>
          <w:lang w:val="en-US" w:eastAsia="zh-CN" w:bidi="ar-SA"/>
        </w:rPr>
      </w:pPr>
      <w:r>
        <w:rPr>
          <w:rFonts w:hint="eastAsia" w:ascii="宋体" w:hAnsi="宋体" w:eastAsia="宋体" w:cs="宋体"/>
          <w:b/>
          <w:color w:val="auto"/>
          <w:kern w:val="0"/>
          <w:sz w:val="24"/>
          <w:szCs w:val="24"/>
          <w:lang w:val="en-US" w:eastAsia="zh-CN"/>
        </w:rPr>
        <w:t>三、采购标的执行标准：</w:t>
      </w:r>
    </w:p>
    <w:p w14:paraId="09CA037F">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1、水利部水总〔2024〕323号水利部关于发布《水利工程设计概(估)算编制规定》及水利工程系列定额的通知；</w:t>
      </w:r>
    </w:p>
    <w:p w14:paraId="6DF89A6E">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2、水利部水总〔2024〕323号颁布的《水利建筑工程预算定额》、《水利水电设备安装工程概算定额》、《水利工程施工机械台时费定额》；</w:t>
      </w:r>
    </w:p>
    <w:p w14:paraId="4D3E50E1">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3、税金按9%计取；</w:t>
      </w:r>
    </w:p>
    <w:p w14:paraId="30ED3F23">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4、人工工日单价按照河道工程编制,工长30.05元/工时,高级工13.84元/工时,中级工11.17元/工时,初级工10.4元/工时；</w:t>
      </w:r>
    </w:p>
    <w:p w14:paraId="2C1615CC">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5、材料价格按照2026年3月份《许昌工程造价信息》,部分价格依据市场价计取。</w:t>
      </w:r>
    </w:p>
    <w:p w14:paraId="60710CDA">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四、服务标准、期限、效率等要求：</w:t>
      </w:r>
    </w:p>
    <w:p w14:paraId="70C27DE0">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1、合同履行期限：自合同签订后60日历天。</w:t>
      </w:r>
    </w:p>
    <w:p w14:paraId="21A5CCF9">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2、质量要求：合格（符合国家及行业现行标准）。</w:t>
      </w:r>
    </w:p>
    <w:p w14:paraId="7DB606AE">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3、履约地点：襄城县</w:t>
      </w:r>
    </w:p>
    <w:p w14:paraId="61936E03">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4、质保期：按国家、行业相关规定执行。</w:t>
      </w:r>
    </w:p>
    <w:p w14:paraId="02F00803">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五、验收标准:</w:t>
      </w:r>
    </w:p>
    <w:p w14:paraId="41ED1A12">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由采购人成立验收小组，按照采购合同的约定对成交人履约情况进行验收。验收时，按照采购合同的约定对每一项技术、服务、安全标准的履约情况进行确认；列明各项标准的验收情况及项目总体评价，由验收双方共同签署。</w:t>
      </w:r>
    </w:p>
    <w:p w14:paraId="20BA802F">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1、按照国家相关标准、行业标准、地方标准或者其他标准、规范验收；</w:t>
      </w:r>
    </w:p>
    <w:p w14:paraId="3DEA2CC3">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2、按照招标文件要求、投标文件响应和承诺验收。</w:t>
      </w:r>
    </w:p>
    <w:p w14:paraId="032E3928">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六、采购标的的其他技术、服务等要求：</w:t>
      </w:r>
    </w:p>
    <w:p w14:paraId="1ECCE61B">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1、供应商应就该项目完整响应（报价含人工费、材料费、设备费、税费、利润等综合费用），否则为无效响应。</w:t>
      </w:r>
    </w:p>
    <w:p w14:paraId="4ED27FF8">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2、成交供应商应遵守国家有关法律、法规及执业规范，应遵守审计部门、财政部门的相关制度规定，并由采购人对其进行日常考核。</w:t>
      </w:r>
    </w:p>
    <w:p w14:paraId="10823F3D">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3、成交供应商未达到作业计划标准及工作违规或引起纠纷、被上级部门处罚等不良后果，造成重大经济损失或服务严重失误，招标方有权终止本合同，并追究成交供应商的经济责任；</w:t>
      </w:r>
    </w:p>
    <w:p w14:paraId="60408E38">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4、本次采购某些技术标准与国家所要求的标准不统一或有不兼容的地方，均以国家强制性标准或最新出台的标准为准。</w:t>
      </w:r>
    </w:p>
    <w:p w14:paraId="736A17A9">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5、成交后不得转包、分包，一经发现和证实，将取消其成交供应商资格并承担由此造成的损失。</w:t>
      </w:r>
    </w:p>
    <w:p w14:paraId="14A966CA">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both"/>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6、技术标准和要求：以本工程施工图纸和适用的国家、行业以及地方规范、标准和规程为准。</w:t>
      </w:r>
    </w:p>
    <w:p w14:paraId="2DDC6684">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七、本项目预算金额（最高限价）招标控制价：预算金额：697035.62元；最高限价：697035.62元，</w:t>
      </w:r>
      <w:r>
        <w:rPr>
          <w:rFonts w:hint="eastAsia" w:ascii="宋体" w:hAnsi="宋体" w:eastAsia="宋体" w:cs="宋体"/>
          <w:b/>
          <w:color w:val="auto"/>
          <w:kern w:val="0"/>
          <w:sz w:val="24"/>
          <w:szCs w:val="24"/>
          <w:lang w:val="zh-CN" w:eastAsia="zh-CN"/>
        </w:rPr>
        <w:t>超出最高限价的投标无效。</w:t>
      </w:r>
    </w:p>
    <w:p w14:paraId="20751178">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八、采购资金支付</w:t>
      </w:r>
    </w:p>
    <w:p w14:paraId="1FA0F515">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left"/>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1、支付方式：银行转账。</w:t>
      </w:r>
    </w:p>
    <w:p w14:paraId="6B9A7FB2">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jc w:val="left"/>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2、支付时间及条件：发包人支付进度款的约定：工程完工验收合格第三方或审计局结算审核后支付工程结算审定价款的97%，扣除总工程审定价款的3%作为质保金。质保期</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lang w:val="en-US" w:eastAsia="zh-CN"/>
        </w:rPr>
        <w:t>一年</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满并验收合格通过后，退3%质保金。</w:t>
      </w:r>
    </w:p>
    <w:p w14:paraId="5E3BE361">
      <w:pPr>
        <w:spacing w:line="360" w:lineRule="auto"/>
        <w:ind w:firstLine="508" w:firstLineChars="200"/>
        <w:contextualSpacing/>
        <w:jc w:val="left"/>
        <w:rPr>
          <w:rFonts w:hint="eastAsia" w:ascii="宋体" w:hAnsi="宋体" w:eastAsia="宋体" w:cs="宋体"/>
          <w:color w:val="FF0000"/>
          <w:spacing w:val="7"/>
          <w:sz w:val="24"/>
          <w:szCs w:val="23"/>
          <w:highlight w:val="none"/>
        </w:rPr>
      </w:pPr>
    </w:p>
    <w:p w14:paraId="368A1EA4">
      <w:pPr>
        <w:spacing w:line="360" w:lineRule="auto"/>
        <w:ind w:firstLine="508" w:firstLineChars="200"/>
        <w:contextualSpacing/>
        <w:jc w:val="left"/>
        <w:rPr>
          <w:rFonts w:hint="eastAsia" w:ascii="宋体" w:hAnsi="宋体" w:eastAsia="宋体" w:cs="宋体"/>
          <w:color w:val="auto"/>
          <w:spacing w:val="7"/>
          <w:sz w:val="24"/>
          <w:szCs w:val="23"/>
          <w:highlight w:val="none"/>
        </w:rPr>
      </w:pPr>
    </w:p>
    <w:p w14:paraId="441B0F1D">
      <w:pPr>
        <w:spacing w:line="360" w:lineRule="auto"/>
        <w:ind w:firstLine="508" w:firstLineChars="200"/>
        <w:contextualSpacing/>
        <w:jc w:val="left"/>
        <w:rPr>
          <w:rFonts w:hint="eastAsia" w:ascii="宋体" w:hAnsi="宋体" w:eastAsia="宋体" w:cs="宋体"/>
          <w:color w:val="auto"/>
          <w:spacing w:val="7"/>
          <w:sz w:val="24"/>
          <w:szCs w:val="23"/>
        </w:rPr>
      </w:pPr>
    </w:p>
    <w:p w14:paraId="072F742C">
      <w:pPr>
        <w:spacing w:line="360" w:lineRule="auto"/>
        <w:ind w:firstLine="465"/>
        <w:rPr>
          <w:rFonts w:hint="eastAsia" w:ascii="宋体" w:hAnsi="宋体" w:eastAsia="宋体" w:cs="宋体"/>
          <w:color w:val="auto"/>
          <w:spacing w:val="0"/>
          <w:kern w:val="0"/>
          <w:sz w:val="24"/>
          <w:szCs w:val="24"/>
          <w:shd w:val="clear" w:color="040000" w:fill="FFFFFF"/>
          <w:lang w:val="en-US" w:eastAsia="zh-CN"/>
        </w:rPr>
      </w:pPr>
      <w:r>
        <w:rPr>
          <w:rFonts w:hint="eastAsia" w:ascii="宋体" w:hAnsi="宋体" w:eastAsia="宋体" w:cs="宋体"/>
          <w:b/>
          <w:color w:val="auto"/>
          <w:kern w:val="0"/>
          <w:sz w:val="32"/>
          <w:szCs w:val="32"/>
        </w:rPr>
        <w:br w:type="page"/>
      </w:r>
    </w:p>
    <w:p w14:paraId="7A37A18B">
      <w:pPr>
        <w:spacing w:line="360" w:lineRule="auto"/>
        <w:jc w:val="center"/>
        <w:outlineLvl w:val="0"/>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第三章 供应商须知前附表</w:t>
      </w:r>
      <w:bookmarkEnd w:id="8"/>
    </w:p>
    <w:p w14:paraId="657A7B42">
      <w:pPr>
        <w:widowControl/>
        <w:spacing w:line="360" w:lineRule="auto"/>
        <w:rPr>
          <w:rFonts w:hint="eastAsia" w:ascii="宋体" w:hAnsi="宋体" w:eastAsia="宋体" w:cs="宋体"/>
          <w:b/>
          <w:color w:val="auto"/>
          <w:kern w:val="0"/>
          <w:sz w:val="24"/>
          <w:szCs w:val="24"/>
        </w:rPr>
      </w:pPr>
      <w:r>
        <w:rPr>
          <w:rFonts w:hint="eastAsia" w:ascii="宋体" w:hAnsi="宋体" w:eastAsia="宋体" w:cs="宋体"/>
          <w:b/>
          <w:color w:val="auto"/>
          <w:sz w:val="24"/>
          <w:szCs w:val="24"/>
        </w:rPr>
        <w:t>磋商文件中凡标有★条款均为实质性要求条款，响应文件须完全响应，未实质响应的，按照无效响应处理。</w:t>
      </w:r>
    </w:p>
    <w:tbl>
      <w:tblPr>
        <w:tblStyle w:val="34"/>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01"/>
        <w:gridCol w:w="7244"/>
      </w:tblGrid>
      <w:tr w14:paraId="5A5C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705269F">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801" w:type="dxa"/>
            <w:tcBorders>
              <w:top w:val="single" w:color="auto" w:sz="4" w:space="0"/>
              <w:left w:val="nil"/>
              <w:bottom w:val="single" w:color="auto" w:sz="4" w:space="0"/>
              <w:right w:val="single" w:color="auto" w:sz="4" w:space="0"/>
            </w:tcBorders>
            <w:vAlign w:val="center"/>
          </w:tcPr>
          <w:p w14:paraId="70C6B2C8">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条款名称</w:t>
            </w:r>
          </w:p>
        </w:tc>
        <w:tc>
          <w:tcPr>
            <w:tcW w:w="7244" w:type="dxa"/>
            <w:tcBorders>
              <w:top w:val="single" w:color="auto" w:sz="4" w:space="0"/>
              <w:left w:val="nil"/>
              <w:bottom w:val="single" w:color="auto" w:sz="4" w:space="0"/>
              <w:right w:val="single" w:color="auto" w:sz="4" w:space="0"/>
            </w:tcBorders>
            <w:vAlign w:val="center"/>
          </w:tcPr>
          <w:p w14:paraId="18B23A50">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说明和要求</w:t>
            </w:r>
          </w:p>
        </w:tc>
      </w:tr>
      <w:tr w14:paraId="7090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030BE4B">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01" w:type="dxa"/>
            <w:tcBorders>
              <w:top w:val="single" w:color="auto" w:sz="4" w:space="0"/>
              <w:left w:val="nil"/>
              <w:bottom w:val="single" w:color="auto" w:sz="4" w:space="0"/>
              <w:right w:val="single" w:color="auto" w:sz="4" w:space="0"/>
            </w:tcBorders>
            <w:vAlign w:val="center"/>
          </w:tcPr>
          <w:p w14:paraId="4B123F74">
            <w:pPr>
              <w:keepNext w:val="0"/>
              <w:keepLines w:val="0"/>
              <w:pageBreakBefore w:val="0"/>
              <w:kinsoku/>
              <w:wordWrap/>
              <w:overflowPunct/>
              <w:topLinePunct w:val="0"/>
              <w:bidi w:val="0"/>
              <w:adjustRightInd w:val="0"/>
              <w:snapToGrid w:val="0"/>
              <w:spacing w:line="480" w:lineRule="exact"/>
              <w:ind w:left="0" w:right="0"/>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采购项目</w:t>
            </w:r>
          </w:p>
        </w:tc>
        <w:tc>
          <w:tcPr>
            <w:tcW w:w="7244" w:type="dxa"/>
            <w:tcBorders>
              <w:top w:val="single" w:color="auto" w:sz="4" w:space="0"/>
              <w:left w:val="nil"/>
              <w:bottom w:val="single" w:color="auto" w:sz="4" w:space="0"/>
              <w:right w:val="single" w:color="auto" w:sz="4" w:space="0"/>
            </w:tcBorders>
            <w:vAlign w:val="center"/>
          </w:tcPr>
          <w:p w14:paraId="5058DC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项目名称：襄城县水利局北汝河左岸大陈闸下游段岸坡水毁修复项目</w:t>
            </w:r>
          </w:p>
          <w:p w14:paraId="18A3C07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项目编号：襄财磋商采购-2026-25</w:t>
            </w:r>
          </w:p>
        </w:tc>
      </w:tr>
      <w:tr w14:paraId="42B8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1AE7625">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01" w:type="dxa"/>
            <w:tcBorders>
              <w:top w:val="single" w:color="auto" w:sz="4" w:space="0"/>
              <w:left w:val="nil"/>
              <w:bottom w:val="single" w:color="auto" w:sz="4" w:space="0"/>
              <w:right w:val="single" w:color="auto" w:sz="4" w:space="0"/>
            </w:tcBorders>
            <w:vAlign w:val="center"/>
          </w:tcPr>
          <w:p w14:paraId="22BDC932">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7244" w:type="dxa"/>
            <w:tcBorders>
              <w:top w:val="single" w:color="auto" w:sz="4" w:space="0"/>
              <w:left w:val="nil"/>
              <w:bottom w:val="single" w:color="auto" w:sz="4" w:space="0"/>
              <w:right w:val="single" w:color="auto" w:sz="4" w:space="0"/>
            </w:tcBorders>
            <w:vAlign w:val="center"/>
          </w:tcPr>
          <w:p w14:paraId="4F7623C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采购人：襄城县水利局</w:t>
            </w:r>
          </w:p>
          <w:p w14:paraId="7704B88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址：襄城县泰安路与虹桥路交叉口向北20米</w:t>
            </w:r>
          </w:p>
          <w:p w14:paraId="77593EF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联系人：李先生</w:t>
            </w:r>
          </w:p>
          <w:p w14:paraId="5528282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话：0374-3996039</w:t>
            </w:r>
          </w:p>
        </w:tc>
      </w:tr>
      <w:tr w14:paraId="04AE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AFF4ACC">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01" w:type="dxa"/>
            <w:tcBorders>
              <w:top w:val="single" w:color="auto" w:sz="4" w:space="0"/>
              <w:left w:val="nil"/>
              <w:bottom w:val="single" w:color="auto" w:sz="4" w:space="0"/>
              <w:right w:val="single" w:color="auto" w:sz="4" w:space="0"/>
            </w:tcBorders>
            <w:vAlign w:val="center"/>
          </w:tcPr>
          <w:p w14:paraId="15D0A582">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代理机构</w:t>
            </w:r>
          </w:p>
        </w:tc>
        <w:tc>
          <w:tcPr>
            <w:tcW w:w="7244" w:type="dxa"/>
            <w:tcBorders>
              <w:top w:val="single" w:color="auto" w:sz="4" w:space="0"/>
              <w:left w:val="nil"/>
              <w:bottom w:val="single" w:color="auto" w:sz="4" w:space="0"/>
              <w:right w:val="single" w:color="auto" w:sz="4" w:space="0"/>
            </w:tcBorders>
            <w:vAlign w:val="center"/>
          </w:tcPr>
          <w:p w14:paraId="4D1051B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名称：河南特慧工程咨询有限公司</w:t>
            </w:r>
          </w:p>
          <w:p w14:paraId="0BDF2B6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地址：许昌市信通国际D座403室</w:t>
            </w:r>
          </w:p>
          <w:p w14:paraId="187790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联系人：任先生</w:t>
            </w:r>
          </w:p>
          <w:p w14:paraId="30A9E37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联系方式：0374-8327199、13007678777</w:t>
            </w:r>
          </w:p>
        </w:tc>
      </w:tr>
      <w:tr w14:paraId="4867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vMerge w:val="restart"/>
            <w:tcBorders>
              <w:top w:val="single" w:color="auto" w:sz="4" w:space="0"/>
              <w:left w:val="single" w:color="auto" w:sz="4" w:space="0"/>
              <w:right w:val="single" w:color="auto" w:sz="4" w:space="0"/>
            </w:tcBorders>
            <w:vAlign w:val="center"/>
          </w:tcPr>
          <w:p w14:paraId="74244CFB">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801" w:type="dxa"/>
            <w:vMerge w:val="restart"/>
            <w:tcBorders>
              <w:top w:val="single" w:color="auto" w:sz="4" w:space="0"/>
              <w:left w:val="nil"/>
              <w:right w:val="single" w:color="auto" w:sz="4" w:space="0"/>
            </w:tcBorders>
            <w:vAlign w:val="center"/>
          </w:tcPr>
          <w:p w14:paraId="0A737F3C">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rPr>
              <w:t>供应商资格</w:t>
            </w:r>
          </w:p>
        </w:tc>
        <w:tc>
          <w:tcPr>
            <w:tcW w:w="7244" w:type="dxa"/>
            <w:tcBorders>
              <w:top w:val="single" w:color="auto" w:sz="4" w:space="0"/>
              <w:left w:val="nil"/>
              <w:bottom w:val="single" w:color="auto" w:sz="4" w:space="0"/>
              <w:right w:val="single" w:color="auto" w:sz="4" w:space="0"/>
            </w:tcBorders>
            <w:shd w:val="clear" w:color="auto" w:fill="auto"/>
            <w:vAlign w:val="center"/>
          </w:tcPr>
          <w:p w14:paraId="31D461D3">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一、</w:t>
            </w:r>
            <w:r>
              <w:rPr>
                <w:rFonts w:hint="eastAsia" w:ascii="宋体" w:hAnsi="宋体" w:eastAsia="宋体" w:cs="宋体"/>
                <w:b/>
                <w:bCs/>
                <w:kern w:val="0"/>
                <w:sz w:val="24"/>
                <w:szCs w:val="24"/>
              </w:rPr>
              <w:t xml:space="preserve">中小企业或者残疾人福利性单位声明函 </w:t>
            </w:r>
          </w:p>
          <w:p w14:paraId="2C60296D">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xml:space="preserve">中、小、微型企业出具《中小企业声明函》 </w:t>
            </w:r>
          </w:p>
          <w:p w14:paraId="07735591">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残疾人福利性单位出具《残疾人福利企业声明函》 </w:t>
            </w:r>
          </w:p>
          <w:p w14:paraId="4A948E7D">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宋体" w:hAnsi="宋体" w:eastAsia="宋体" w:cs="宋体"/>
                <w:color w:val="auto"/>
                <w:kern w:val="0"/>
                <w:sz w:val="24"/>
                <w:szCs w:val="24"/>
                <w:lang w:val="en-US" w:eastAsia="zh-CN"/>
              </w:rPr>
            </w:pPr>
            <w:r>
              <w:rPr>
                <w:rFonts w:hint="eastAsia" w:ascii="宋体" w:hAnsi="宋体" w:eastAsia="宋体" w:cs="宋体"/>
                <w:kern w:val="0"/>
                <w:sz w:val="24"/>
                <w:szCs w:val="24"/>
              </w:rPr>
              <w:t>3、监狱企业提供由省级以上监狱管理局、戒毒管理局(含新疆生产建设兵团)出具的属于监狱企业的证明文件。</w:t>
            </w:r>
          </w:p>
        </w:tc>
      </w:tr>
      <w:tr w14:paraId="21AF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vMerge w:val="continue"/>
            <w:tcBorders>
              <w:left w:val="single" w:color="auto" w:sz="4" w:space="0"/>
              <w:bottom w:val="single" w:color="auto" w:sz="4" w:space="0"/>
              <w:right w:val="single" w:color="auto" w:sz="4" w:space="0"/>
            </w:tcBorders>
            <w:vAlign w:val="center"/>
          </w:tcPr>
          <w:p w14:paraId="3F335300">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lang w:val="en-US" w:eastAsia="zh-CN"/>
              </w:rPr>
            </w:pPr>
          </w:p>
        </w:tc>
        <w:tc>
          <w:tcPr>
            <w:tcW w:w="1801" w:type="dxa"/>
            <w:vMerge w:val="continue"/>
            <w:tcBorders>
              <w:left w:val="nil"/>
              <w:bottom w:val="single" w:color="auto" w:sz="4" w:space="0"/>
              <w:right w:val="single" w:color="auto" w:sz="4" w:space="0"/>
            </w:tcBorders>
            <w:vAlign w:val="center"/>
          </w:tcPr>
          <w:p w14:paraId="062C7EA7">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
                <w:color w:val="auto"/>
                <w:sz w:val="24"/>
                <w:szCs w:val="24"/>
              </w:rPr>
            </w:pPr>
          </w:p>
        </w:tc>
        <w:tc>
          <w:tcPr>
            <w:tcW w:w="7244" w:type="dxa"/>
            <w:tcBorders>
              <w:top w:val="single" w:color="auto" w:sz="4" w:space="0"/>
              <w:left w:val="nil"/>
              <w:bottom w:val="single" w:color="auto" w:sz="4" w:space="0"/>
              <w:right w:val="single" w:color="auto" w:sz="4" w:space="0"/>
            </w:tcBorders>
            <w:shd w:val="clear" w:color="auto" w:fill="auto"/>
            <w:vAlign w:val="center"/>
          </w:tcPr>
          <w:p w14:paraId="0D8A5A61">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rPr>
              <w:t>符合《政府采购法》第二十二条规定</w:t>
            </w:r>
          </w:p>
          <w:p w14:paraId="42C12963">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具有独立承担民事责任的能力；</w:t>
            </w:r>
          </w:p>
          <w:p w14:paraId="70192A79">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具有良好的商业信誉和健全的财务会计制度；</w:t>
            </w:r>
          </w:p>
          <w:p w14:paraId="3524B60B">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具有履行合同所必需的设备和专业技术能力；</w:t>
            </w:r>
          </w:p>
          <w:p w14:paraId="019EF25C">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具有依法缴纳税收和社会保障资金的良好记录；</w:t>
            </w:r>
          </w:p>
          <w:p w14:paraId="3FBB8F02">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宋体" w:hAnsi="宋体" w:eastAsia="宋体" w:cs="宋体"/>
                <w:b/>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参加政府采购活动前三年内，在经营活动中没有重大违法记录；</w:t>
            </w:r>
            <w:r>
              <w:rPr>
                <w:rFonts w:hint="eastAsia" w:ascii="宋体" w:hAnsi="宋体" w:eastAsia="宋体" w:cs="宋体"/>
                <w:b/>
                <w:kern w:val="0"/>
                <w:sz w:val="24"/>
                <w:szCs w:val="24"/>
              </w:rPr>
              <w:t>注：</w:t>
            </w:r>
          </w:p>
          <w:p w14:paraId="39FB982B">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在投标时，提供《襄城县政府采购</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信用承诺函》（详见招标文件</w:t>
            </w:r>
            <w:r>
              <w:rPr>
                <w:rFonts w:hint="eastAsia" w:ascii="宋体" w:hAnsi="宋体" w:eastAsia="宋体" w:cs="宋体"/>
                <w:kern w:val="0"/>
                <w:sz w:val="24"/>
                <w:szCs w:val="24"/>
                <w:highlight w:val="none"/>
              </w:rPr>
              <w:t>第八章</w:t>
            </w:r>
            <w:r>
              <w:rPr>
                <w:rFonts w:hint="eastAsia" w:ascii="宋体" w:hAnsi="宋体" w:eastAsia="宋体" w:cs="宋体"/>
                <w:kern w:val="0"/>
                <w:sz w:val="24"/>
                <w:szCs w:val="24"/>
                <w:highlight w:val="none"/>
                <w:lang w:val="en-US" w:eastAsia="zh-CN"/>
              </w:rPr>
              <w:t>3.5</w:t>
            </w:r>
            <w:r>
              <w:rPr>
                <w:rFonts w:hint="eastAsia" w:ascii="宋体" w:hAnsi="宋体" w:eastAsia="宋体" w:cs="宋体"/>
                <w:kern w:val="0"/>
                <w:sz w:val="24"/>
                <w:szCs w:val="24"/>
                <w:highlight w:val="none"/>
              </w:rPr>
              <w:t>格式），</w:t>
            </w:r>
            <w:r>
              <w:rPr>
                <w:rFonts w:hint="eastAsia" w:ascii="宋体" w:hAnsi="宋体" w:eastAsia="宋体" w:cs="宋体"/>
                <w:kern w:val="0"/>
                <w:sz w:val="24"/>
                <w:szCs w:val="24"/>
              </w:rPr>
              <w:t>无需再提交上述证明材料。</w:t>
            </w:r>
          </w:p>
          <w:p w14:paraId="51BD26A0">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宋体" w:hAnsi="宋体" w:eastAsia="宋体" w:cs="宋体"/>
                <w:kern w:val="0"/>
                <w:sz w:val="24"/>
                <w:szCs w:val="24"/>
              </w:rPr>
            </w:pPr>
            <w:r>
              <w:rPr>
                <w:rFonts w:hint="eastAsia" w:ascii="宋体" w:hAnsi="宋体" w:eastAsia="宋体" w:cs="宋体"/>
                <w:kern w:val="0"/>
                <w:sz w:val="24"/>
                <w:szCs w:val="24"/>
              </w:rPr>
              <w:t>2、采购人有权在签订合同前要求中标</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提供相关证明材料以核实中标</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承诺事项的真实性。</w:t>
            </w:r>
          </w:p>
          <w:p w14:paraId="69B965D8">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对信用承诺内容的真实性、合法性、有效性负责。如作出虚假信用承诺，视同为“提供虚假材料谋取中标”的违法行为。</w:t>
            </w:r>
          </w:p>
          <w:p w14:paraId="72367C12">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宋体" w:hAnsi="宋体" w:eastAsia="宋体" w:cs="宋体"/>
                <w:color w:val="auto"/>
                <w:kern w:val="0"/>
                <w:sz w:val="24"/>
                <w:szCs w:val="24"/>
              </w:rPr>
            </w:pPr>
            <w:r>
              <w:rPr>
                <w:rFonts w:hint="eastAsia" w:ascii="宋体" w:hAnsi="宋体" w:eastAsia="宋体" w:cs="宋体"/>
                <w:b/>
                <w:bCs/>
                <w:kern w:val="0"/>
                <w:sz w:val="24"/>
                <w:szCs w:val="24"/>
              </w:rPr>
              <w:t>本项目的特定资格要求：</w:t>
            </w:r>
            <w:r>
              <w:rPr>
                <w:rFonts w:hint="eastAsia" w:ascii="宋体" w:hAnsi="宋体" w:eastAsia="宋体" w:cs="宋体"/>
                <w:kern w:val="0"/>
                <w:sz w:val="24"/>
                <w:szCs w:val="24"/>
              </w:rPr>
              <w:t>（详见第六章对响应文件审查与评审）。需提供以上证件原件扫描件（或彩色图片）</w:t>
            </w:r>
          </w:p>
        </w:tc>
      </w:tr>
      <w:tr w14:paraId="7913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263FCF7">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801" w:type="dxa"/>
            <w:tcBorders>
              <w:top w:val="single" w:color="auto" w:sz="4" w:space="0"/>
              <w:left w:val="nil"/>
              <w:bottom w:val="single" w:color="auto" w:sz="4" w:space="0"/>
              <w:right w:val="single" w:color="auto" w:sz="4" w:space="0"/>
            </w:tcBorders>
            <w:vAlign w:val="center"/>
          </w:tcPr>
          <w:p w14:paraId="15F73ECF">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bCs/>
                <w:color w:val="auto"/>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14:paraId="1A631B5C">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本项目 </w:t>
            </w: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eq \o\ac(</w:instrText>
            </w:r>
            <w:r>
              <w:rPr>
                <w:rFonts w:hint="eastAsia" w:ascii="宋体" w:hAnsi="宋体" w:eastAsia="宋体" w:cs="宋体"/>
                <w:b/>
                <w:color w:val="auto"/>
                <w:position w:val="-4"/>
                <w:sz w:val="36"/>
                <w:szCs w:val="24"/>
              </w:rPr>
              <w:instrText xml:space="preserve">□</w:instrText>
            </w:r>
            <w:r>
              <w:rPr>
                <w:rFonts w:hint="eastAsia" w:ascii="宋体" w:hAnsi="宋体" w:eastAsia="宋体" w:cs="宋体"/>
                <w:b/>
                <w:color w:val="auto"/>
                <w:position w:val="0"/>
                <w:sz w:val="24"/>
                <w:szCs w:val="24"/>
                <w:lang w:eastAsia="zh-CN"/>
              </w:rPr>
              <w:instrText xml:space="preserve">,√</w:instrText>
            </w:r>
            <w:r>
              <w:rPr>
                <w:rFonts w:hint="eastAsia" w:ascii="宋体" w:hAnsi="宋体" w:eastAsia="宋体" w:cs="宋体"/>
                <w:b/>
                <w:color w:val="auto"/>
                <w:position w:val="0"/>
                <w:sz w:val="24"/>
                <w:szCs w:val="24"/>
              </w:rPr>
              <w:instrText xml:space="preserve">)</w:instrText>
            </w:r>
            <w:r>
              <w:rPr>
                <w:rFonts w:hint="eastAsia" w:ascii="宋体" w:hAnsi="宋体" w:eastAsia="宋体" w:cs="宋体"/>
                <w:b/>
                <w:color w:val="auto"/>
                <w:sz w:val="24"/>
                <w:szCs w:val="24"/>
              </w:rPr>
              <w:fldChar w:fldCharType="end"/>
            </w:r>
            <w:r>
              <w:rPr>
                <w:rFonts w:hint="eastAsia" w:ascii="宋体" w:hAnsi="宋体" w:eastAsia="宋体" w:cs="宋体"/>
                <w:color w:val="auto"/>
                <w:kern w:val="0"/>
                <w:sz w:val="24"/>
                <w:szCs w:val="24"/>
              </w:rPr>
              <w:t xml:space="preserve">不接受         </w:t>
            </w: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eq \o\ac(</w:instrText>
            </w:r>
            <w:r>
              <w:rPr>
                <w:rFonts w:hint="eastAsia" w:ascii="宋体" w:hAnsi="宋体" w:eastAsia="宋体" w:cs="宋体"/>
                <w:b/>
                <w:color w:val="auto"/>
                <w:position w:val="-4"/>
                <w:sz w:val="36"/>
                <w:szCs w:val="24"/>
              </w:rPr>
              <w:instrText xml:space="preserve">□</w:instrText>
            </w:r>
            <w:r>
              <w:rPr>
                <w:rFonts w:hint="eastAsia" w:ascii="宋体" w:hAnsi="宋体" w:eastAsia="宋体" w:cs="宋体"/>
                <w:b/>
                <w:color w:val="auto"/>
                <w:position w:val="0"/>
                <w:sz w:val="24"/>
                <w:szCs w:val="24"/>
              </w:rPr>
              <w:instrText xml:space="preserve">)</w:instrText>
            </w:r>
            <w:r>
              <w:rPr>
                <w:rFonts w:hint="eastAsia" w:ascii="宋体" w:hAnsi="宋体" w:eastAsia="宋体" w:cs="宋体"/>
                <w:b/>
                <w:color w:val="auto"/>
                <w:sz w:val="24"/>
                <w:szCs w:val="24"/>
              </w:rPr>
              <w:fldChar w:fldCharType="end"/>
            </w:r>
            <w:r>
              <w:rPr>
                <w:rFonts w:hint="eastAsia" w:ascii="宋体" w:hAnsi="宋体" w:eastAsia="宋体" w:cs="宋体"/>
                <w:bCs/>
                <w:color w:val="auto"/>
                <w:sz w:val="24"/>
                <w:szCs w:val="24"/>
              </w:rPr>
              <w:t>接受</w:t>
            </w:r>
            <w:r>
              <w:rPr>
                <w:rFonts w:hint="eastAsia" w:ascii="宋体" w:hAnsi="宋体" w:eastAsia="宋体" w:cs="宋体"/>
                <w:color w:val="auto"/>
                <w:kern w:val="0"/>
                <w:sz w:val="24"/>
                <w:szCs w:val="24"/>
              </w:rPr>
              <w:t>联合体投标</w:t>
            </w:r>
          </w:p>
        </w:tc>
      </w:tr>
      <w:tr w14:paraId="6F12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D020F51">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801" w:type="dxa"/>
            <w:tcBorders>
              <w:top w:val="single" w:color="auto" w:sz="4" w:space="0"/>
              <w:left w:val="nil"/>
              <w:bottom w:val="single" w:color="auto" w:sz="4" w:space="0"/>
              <w:right w:val="single" w:color="auto" w:sz="4" w:space="0"/>
            </w:tcBorders>
            <w:vAlign w:val="center"/>
          </w:tcPr>
          <w:p w14:paraId="27CCBB32">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Cs/>
                <w:color w:val="auto"/>
                <w:sz w:val="24"/>
                <w:szCs w:val="24"/>
              </w:rPr>
              <w:t>最高限价</w:t>
            </w:r>
          </w:p>
        </w:tc>
        <w:tc>
          <w:tcPr>
            <w:tcW w:w="7244" w:type="dxa"/>
            <w:tcBorders>
              <w:top w:val="single" w:color="auto" w:sz="4" w:space="0"/>
              <w:left w:val="nil"/>
              <w:bottom w:val="single" w:color="auto" w:sz="4" w:space="0"/>
              <w:right w:val="single" w:color="auto" w:sz="4" w:space="0"/>
            </w:tcBorders>
            <w:vAlign w:val="center"/>
          </w:tcPr>
          <w:p w14:paraId="10BB2E5F">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bCs w:val="0"/>
                <w:color w:val="auto"/>
                <w:spacing w:val="0"/>
                <w:kern w:val="2"/>
                <w:sz w:val="24"/>
                <w:szCs w:val="24"/>
                <w:lang w:val="en-US" w:eastAsia="zh-CN" w:bidi="ar-SA"/>
              </w:rPr>
              <w:t xml:space="preserve">697035.62 </w:t>
            </w:r>
            <w:r>
              <w:rPr>
                <w:rFonts w:hint="eastAsia" w:ascii="宋体" w:hAnsi="宋体" w:eastAsia="宋体" w:cs="宋体"/>
                <w:b/>
                <w:bCs/>
                <w:color w:val="auto"/>
                <w:sz w:val="24"/>
                <w:szCs w:val="24"/>
                <w:lang w:val="en-US" w:eastAsia="zh-CN"/>
              </w:rPr>
              <w:t>元，</w:t>
            </w:r>
            <w:r>
              <w:rPr>
                <w:rFonts w:hint="eastAsia" w:ascii="宋体" w:hAnsi="宋体" w:eastAsia="宋体" w:cs="宋体"/>
                <w:b/>
                <w:bCs/>
                <w:color w:val="auto"/>
                <w:sz w:val="24"/>
                <w:szCs w:val="24"/>
              </w:rPr>
              <w:t>超出预算金额的磋商响应无效。</w:t>
            </w:r>
          </w:p>
        </w:tc>
      </w:tr>
      <w:tr w14:paraId="2FB9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9AF450A">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801" w:type="dxa"/>
            <w:tcBorders>
              <w:top w:val="single" w:color="auto" w:sz="4" w:space="0"/>
              <w:left w:val="nil"/>
              <w:bottom w:val="single" w:color="auto" w:sz="4" w:space="0"/>
              <w:right w:val="single" w:color="auto" w:sz="4" w:space="0"/>
            </w:tcBorders>
            <w:vAlign w:val="center"/>
          </w:tcPr>
          <w:p w14:paraId="0D9F4525">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现场考察</w:t>
            </w:r>
          </w:p>
        </w:tc>
        <w:tc>
          <w:tcPr>
            <w:tcW w:w="7244" w:type="dxa"/>
            <w:tcBorders>
              <w:top w:val="single" w:color="auto" w:sz="4" w:space="0"/>
              <w:left w:val="nil"/>
              <w:bottom w:val="single" w:color="auto" w:sz="4" w:space="0"/>
              <w:right w:val="single" w:color="auto" w:sz="4" w:space="0"/>
            </w:tcBorders>
            <w:vAlign w:val="center"/>
          </w:tcPr>
          <w:p w14:paraId="17BFD8ED">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bCs/>
                <w:color w:val="auto"/>
                <w:sz w:val="24"/>
                <w:szCs w:val="24"/>
                <w:lang w:eastAsia="zh-CN"/>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eq \o\ac(</w:instrText>
            </w:r>
            <w:r>
              <w:rPr>
                <w:rFonts w:hint="eastAsia" w:ascii="宋体" w:hAnsi="宋体" w:eastAsia="宋体" w:cs="宋体"/>
                <w:b/>
                <w:color w:val="auto"/>
                <w:position w:val="-4"/>
                <w:sz w:val="36"/>
                <w:szCs w:val="24"/>
              </w:rPr>
              <w:instrText xml:space="preserve">□</w:instrText>
            </w:r>
            <w:r>
              <w:rPr>
                <w:rFonts w:hint="eastAsia" w:ascii="宋体" w:hAnsi="宋体" w:eastAsia="宋体" w:cs="宋体"/>
                <w:b/>
                <w:color w:val="auto"/>
                <w:position w:val="0"/>
                <w:sz w:val="24"/>
                <w:szCs w:val="24"/>
              </w:rPr>
              <w:instrText xml:space="preserve">,√)</w:instrText>
            </w:r>
            <w:r>
              <w:rPr>
                <w:rFonts w:hint="eastAsia" w:ascii="宋体" w:hAnsi="宋体" w:eastAsia="宋体" w:cs="宋体"/>
                <w:b/>
                <w:color w:val="auto"/>
                <w:sz w:val="24"/>
                <w:szCs w:val="24"/>
              </w:rPr>
              <w:fldChar w:fldCharType="end"/>
            </w:r>
            <w:r>
              <w:rPr>
                <w:rFonts w:hint="eastAsia" w:ascii="宋体" w:hAnsi="宋体" w:eastAsia="宋体" w:cs="宋体"/>
                <w:color w:val="auto"/>
                <w:sz w:val="24"/>
                <w:szCs w:val="24"/>
              </w:rPr>
              <w:t>不组织</w:t>
            </w:r>
          </w:p>
        </w:tc>
      </w:tr>
      <w:tr w14:paraId="6E2F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7880826">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801" w:type="dxa"/>
            <w:tcBorders>
              <w:top w:val="single" w:color="auto" w:sz="4" w:space="0"/>
              <w:left w:val="nil"/>
              <w:bottom w:val="single" w:color="auto" w:sz="4" w:space="0"/>
              <w:right w:val="single" w:color="auto" w:sz="4" w:space="0"/>
            </w:tcBorders>
            <w:vAlign w:val="center"/>
          </w:tcPr>
          <w:p w14:paraId="12A8597E">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14:paraId="05B07F67">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eq \o\ac(</w:instrText>
            </w:r>
            <w:r>
              <w:rPr>
                <w:rFonts w:hint="eastAsia" w:ascii="宋体" w:hAnsi="宋体" w:eastAsia="宋体" w:cs="宋体"/>
                <w:b/>
                <w:color w:val="auto"/>
                <w:position w:val="-4"/>
                <w:sz w:val="36"/>
                <w:szCs w:val="24"/>
              </w:rPr>
              <w:instrText xml:space="preserve">□</w:instrText>
            </w:r>
            <w:r>
              <w:rPr>
                <w:rFonts w:hint="eastAsia" w:ascii="宋体" w:hAnsi="宋体" w:eastAsia="宋体" w:cs="宋体"/>
                <w:b/>
                <w:color w:val="auto"/>
                <w:position w:val="0"/>
                <w:sz w:val="24"/>
                <w:szCs w:val="24"/>
              </w:rPr>
              <w:instrText xml:space="preserve">,√)</w:instrText>
            </w:r>
            <w:r>
              <w:rPr>
                <w:rFonts w:hint="eastAsia" w:ascii="宋体" w:hAnsi="宋体" w:eastAsia="宋体" w:cs="宋体"/>
                <w:b/>
                <w:color w:val="auto"/>
                <w:sz w:val="24"/>
                <w:szCs w:val="24"/>
              </w:rPr>
              <w:fldChar w:fldCharType="end"/>
            </w:r>
            <w:r>
              <w:rPr>
                <w:rFonts w:hint="eastAsia" w:ascii="宋体" w:hAnsi="宋体" w:eastAsia="宋体" w:cs="宋体"/>
                <w:color w:val="auto"/>
                <w:sz w:val="24"/>
                <w:szCs w:val="24"/>
              </w:rPr>
              <w:t>不召开</w:t>
            </w:r>
          </w:p>
        </w:tc>
      </w:tr>
      <w:tr w14:paraId="7943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5D29DF2">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801" w:type="dxa"/>
            <w:tcBorders>
              <w:top w:val="single" w:color="auto" w:sz="4" w:space="0"/>
              <w:left w:val="nil"/>
              <w:bottom w:val="single" w:color="auto" w:sz="4" w:space="0"/>
              <w:right w:val="single" w:color="auto" w:sz="4" w:space="0"/>
            </w:tcBorders>
            <w:vAlign w:val="center"/>
          </w:tcPr>
          <w:p w14:paraId="5965FABA">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14:paraId="0988B3C1">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eq \o\ac(</w:instrText>
            </w:r>
            <w:r>
              <w:rPr>
                <w:rFonts w:hint="eastAsia" w:ascii="宋体" w:hAnsi="宋体" w:eastAsia="宋体" w:cs="宋体"/>
                <w:b/>
                <w:color w:val="auto"/>
                <w:position w:val="-4"/>
                <w:sz w:val="36"/>
                <w:szCs w:val="24"/>
              </w:rPr>
              <w:instrText xml:space="preserve">□</w:instrText>
            </w:r>
            <w:r>
              <w:rPr>
                <w:rFonts w:hint="eastAsia" w:ascii="宋体" w:hAnsi="宋体" w:eastAsia="宋体" w:cs="宋体"/>
                <w:b/>
                <w:color w:val="auto"/>
                <w:position w:val="0"/>
                <w:sz w:val="24"/>
                <w:szCs w:val="24"/>
              </w:rPr>
              <w:instrText xml:space="preserve">,√)</w:instrText>
            </w:r>
            <w:r>
              <w:rPr>
                <w:rFonts w:hint="eastAsia" w:ascii="宋体" w:hAnsi="宋体" w:eastAsia="宋体" w:cs="宋体"/>
                <w:b/>
                <w:color w:val="auto"/>
                <w:sz w:val="24"/>
                <w:szCs w:val="24"/>
              </w:rPr>
              <w:fldChar w:fldCharType="end"/>
            </w:r>
            <w:r>
              <w:rPr>
                <w:rFonts w:hint="eastAsia" w:ascii="宋体" w:hAnsi="宋体" w:eastAsia="宋体" w:cs="宋体"/>
                <w:color w:val="auto"/>
                <w:sz w:val="24"/>
                <w:szCs w:val="24"/>
              </w:rPr>
              <w:t xml:space="preserve">不允许     </w:t>
            </w: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eq \o\ac(</w:instrText>
            </w:r>
            <w:r>
              <w:rPr>
                <w:rFonts w:hint="eastAsia" w:ascii="宋体" w:hAnsi="宋体" w:eastAsia="宋体" w:cs="宋体"/>
                <w:b/>
                <w:color w:val="auto"/>
                <w:position w:val="-4"/>
                <w:sz w:val="36"/>
                <w:szCs w:val="24"/>
              </w:rPr>
              <w:instrText xml:space="preserve">□</w:instrText>
            </w:r>
            <w:r>
              <w:rPr>
                <w:rFonts w:hint="eastAsia" w:ascii="宋体" w:hAnsi="宋体" w:eastAsia="宋体" w:cs="宋体"/>
                <w:b/>
                <w:color w:val="auto"/>
                <w:position w:val="0"/>
                <w:sz w:val="24"/>
                <w:szCs w:val="24"/>
              </w:rPr>
              <w:instrText xml:space="preserve">)</w:instrText>
            </w:r>
            <w:r>
              <w:rPr>
                <w:rFonts w:hint="eastAsia" w:ascii="宋体" w:hAnsi="宋体" w:eastAsia="宋体" w:cs="宋体"/>
                <w:b/>
                <w:color w:val="auto"/>
                <w:sz w:val="24"/>
                <w:szCs w:val="24"/>
              </w:rPr>
              <w:fldChar w:fldCharType="end"/>
            </w:r>
            <w:r>
              <w:rPr>
                <w:rFonts w:hint="eastAsia" w:ascii="宋体" w:hAnsi="宋体" w:eastAsia="宋体" w:cs="宋体"/>
                <w:color w:val="auto"/>
                <w:sz w:val="24"/>
                <w:szCs w:val="24"/>
              </w:rPr>
              <w:t>允许</w:t>
            </w:r>
          </w:p>
        </w:tc>
      </w:tr>
      <w:tr w14:paraId="5657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DCC4FFB">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801" w:type="dxa"/>
            <w:tcBorders>
              <w:top w:val="single" w:color="auto" w:sz="4" w:space="0"/>
              <w:left w:val="nil"/>
              <w:bottom w:val="single" w:color="auto" w:sz="4" w:space="0"/>
              <w:right w:val="single" w:color="auto" w:sz="4" w:space="0"/>
            </w:tcBorders>
            <w:vAlign w:val="center"/>
          </w:tcPr>
          <w:p w14:paraId="3DF4CBE0">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Cs/>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14:paraId="744D7A3E">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天（自提交响应文件的截止之日起算）</w:t>
            </w:r>
          </w:p>
          <w:p w14:paraId="38968C27">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成交供应商</w:t>
            </w:r>
            <w:r>
              <w:rPr>
                <w:rFonts w:hint="eastAsia" w:ascii="宋体" w:hAnsi="宋体" w:eastAsia="宋体" w:cs="宋体"/>
                <w:color w:val="auto"/>
                <w:sz w:val="24"/>
                <w:szCs w:val="24"/>
                <w:lang w:eastAsia="zh-CN"/>
              </w:rPr>
              <w:t>的磋商有效期</w:t>
            </w:r>
            <w:r>
              <w:rPr>
                <w:rFonts w:hint="eastAsia" w:ascii="宋体" w:hAnsi="宋体" w:eastAsia="宋体" w:cs="宋体"/>
                <w:color w:val="auto"/>
                <w:sz w:val="24"/>
                <w:szCs w:val="24"/>
              </w:rPr>
              <w:t>延至合同验收之日，成交供应商全部合同义务履行完毕为止。</w:t>
            </w:r>
          </w:p>
        </w:tc>
      </w:tr>
      <w:tr w14:paraId="344F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B54F88A">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801" w:type="dxa"/>
            <w:tcBorders>
              <w:top w:val="single" w:color="auto" w:sz="4" w:space="0"/>
              <w:left w:val="nil"/>
              <w:bottom w:val="single" w:color="auto" w:sz="4" w:space="0"/>
              <w:right w:val="single" w:color="auto" w:sz="4" w:space="0"/>
            </w:tcBorders>
            <w:vAlign w:val="center"/>
          </w:tcPr>
          <w:p w14:paraId="682DACCD">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14:paraId="19FF4364">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eq \o\ac(</w:instrText>
            </w:r>
            <w:r>
              <w:rPr>
                <w:rFonts w:hint="eastAsia" w:ascii="宋体" w:hAnsi="宋体" w:eastAsia="宋体" w:cs="宋体"/>
                <w:b/>
                <w:color w:val="auto"/>
                <w:position w:val="-4"/>
                <w:sz w:val="36"/>
                <w:szCs w:val="24"/>
              </w:rPr>
              <w:instrText xml:space="preserve">□</w:instrText>
            </w:r>
            <w:r>
              <w:rPr>
                <w:rFonts w:hint="eastAsia" w:ascii="宋体" w:hAnsi="宋体" w:eastAsia="宋体" w:cs="宋体"/>
                <w:b/>
                <w:color w:val="auto"/>
                <w:position w:val="0"/>
                <w:sz w:val="24"/>
                <w:szCs w:val="24"/>
              </w:rPr>
              <w:instrText xml:space="preserve">,√)</w:instrText>
            </w:r>
            <w:r>
              <w:rPr>
                <w:rFonts w:hint="eastAsia" w:ascii="宋体" w:hAnsi="宋体" w:eastAsia="宋体" w:cs="宋体"/>
                <w:b/>
                <w:color w:val="auto"/>
                <w:sz w:val="24"/>
                <w:szCs w:val="24"/>
              </w:rPr>
              <w:fldChar w:fldCharType="end"/>
            </w:r>
            <w:r>
              <w:rPr>
                <w:rFonts w:hint="eastAsia" w:ascii="宋体" w:hAnsi="宋体" w:eastAsia="宋体" w:cs="宋体"/>
                <w:color w:val="auto"/>
                <w:sz w:val="24"/>
                <w:szCs w:val="24"/>
              </w:rPr>
              <w:t>不允许</w:t>
            </w:r>
            <w:r>
              <w:rPr>
                <w:rFonts w:hint="eastAsia" w:ascii="宋体" w:hAnsi="宋体" w:eastAsia="宋体" w:cs="宋体"/>
                <w:color w:val="auto"/>
                <w:sz w:val="24"/>
                <w:szCs w:val="24"/>
                <w:lang w:val="en-US" w:eastAsia="zh-CN"/>
              </w:rPr>
              <w:t xml:space="preserve">    </w:t>
            </w: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eq \o\ac(</w:instrText>
            </w:r>
            <w:r>
              <w:rPr>
                <w:rFonts w:hint="eastAsia" w:ascii="宋体" w:hAnsi="宋体" w:eastAsia="宋体" w:cs="宋体"/>
                <w:b/>
                <w:color w:val="auto"/>
                <w:position w:val="-4"/>
                <w:sz w:val="36"/>
                <w:szCs w:val="24"/>
              </w:rPr>
              <w:instrText xml:space="preserve">□</w:instrText>
            </w:r>
            <w:r>
              <w:rPr>
                <w:rFonts w:hint="eastAsia" w:ascii="宋体" w:hAnsi="宋体" w:eastAsia="宋体" w:cs="宋体"/>
                <w:b/>
                <w:color w:val="auto"/>
                <w:position w:val="0"/>
                <w:sz w:val="24"/>
                <w:szCs w:val="24"/>
              </w:rPr>
              <w:instrText xml:space="preserve">)</w:instrText>
            </w:r>
            <w:r>
              <w:rPr>
                <w:rFonts w:hint="eastAsia" w:ascii="宋体" w:hAnsi="宋体" w:eastAsia="宋体" w:cs="宋体"/>
                <w:b/>
                <w:color w:val="auto"/>
                <w:sz w:val="24"/>
                <w:szCs w:val="24"/>
              </w:rPr>
              <w:fldChar w:fldCharType="end"/>
            </w:r>
            <w:r>
              <w:rPr>
                <w:rFonts w:hint="eastAsia" w:ascii="宋体" w:hAnsi="宋体" w:eastAsia="宋体" w:cs="宋体"/>
                <w:color w:val="auto"/>
                <w:sz w:val="24"/>
                <w:szCs w:val="24"/>
              </w:rPr>
              <w:t>允许</w:t>
            </w:r>
          </w:p>
        </w:tc>
      </w:tr>
      <w:tr w14:paraId="44FC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820F450">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801" w:type="dxa"/>
            <w:tcBorders>
              <w:top w:val="single" w:color="auto" w:sz="4" w:space="0"/>
              <w:left w:val="nil"/>
              <w:bottom w:val="single" w:color="auto" w:sz="4" w:space="0"/>
              <w:right w:val="single" w:color="auto" w:sz="4" w:space="0"/>
            </w:tcBorders>
            <w:vAlign w:val="center"/>
          </w:tcPr>
          <w:p w14:paraId="34EF6BA2">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shd w:val="clear" w:color="auto" w:fill="FFFFFF"/>
              </w:rPr>
              <w:t>响应文件提交截止、</w:t>
            </w:r>
            <w:r>
              <w:rPr>
                <w:rFonts w:hint="eastAsia" w:ascii="宋体" w:hAnsi="宋体" w:eastAsia="宋体" w:cs="宋体"/>
                <w:bCs/>
                <w:color w:val="auto"/>
                <w:sz w:val="24"/>
                <w:szCs w:val="24"/>
                <w:highlight w:val="none"/>
              </w:rPr>
              <w:t>磋商响应截止及磋商时间</w:t>
            </w:r>
          </w:p>
        </w:tc>
        <w:tc>
          <w:tcPr>
            <w:tcW w:w="7244" w:type="dxa"/>
            <w:tcBorders>
              <w:top w:val="single" w:color="auto" w:sz="4" w:space="0"/>
              <w:left w:val="nil"/>
              <w:bottom w:val="single" w:color="auto" w:sz="4" w:space="0"/>
              <w:right w:val="single" w:color="auto" w:sz="4" w:space="0"/>
            </w:tcBorders>
            <w:vAlign w:val="center"/>
          </w:tcPr>
          <w:p w14:paraId="0441559A">
            <w:pPr>
              <w:keepNext w:val="0"/>
              <w:keepLines w:val="0"/>
              <w:pageBreakBefore w:val="0"/>
              <w:widowControl/>
              <w:kinsoku/>
              <w:wordWrap/>
              <w:overflowPunct/>
              <w:topLinePunct w:val="0"/>
              <w:bidi w:val="0"/>
              <w:adjustRightInd w:val="0"/>
              <w:snapToGrid w:val="0"/>
              <w:spacing w:line="480" w:lineRule="exact"/>
              <w:ind w:left="0" w:right="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2026年</w:t>
            </w: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lang w:eastAsia="zh-CN"/>
              </w:rPr>
              <w:t>月</w:t>
            </w:r>
            <w:r>
              <w:rPr>
                <w:rFonts w:hint="eastAsia" w:ascii="宋体" w:hAnsi="宋体" w:cs="宋体"/>
                <w:b/>
                <w:bCs/>
                <w:color w:val="auto"/>
                <w:sz w:val="24"/>
                <w:szCs w:val="24"/>
                <w:lang w:val="en-US" w:eastAsia="zh-CN"/>
              </w:rPr>
              <w:t>15</w:t>
            </w:r>
            <w:r>
              <w:rPr>
                <w:rFonts w:hint="eastAsia" w:ascii="宋体" w:hAnsi="宋体" w:eastAsia="宋体" w:cs="宋体"/>
                <w:b/>
                <w:bCs/>
                <w:color w:val="auto"/>
                <w:sz w:val="24"/>
                <w:szCs w:val="24"/>
                <w:lang w:eastAsia="zh-CN"/>
              </w:rPr>
              <w:t>日</w:t>
            </w:r>
            <w:r>
              <w:rPr>
                <w:rFonts w:hint="eastAsia" w:ascii="宋体" w:hAnsi="宋体" w:eastAsia="宋体" w:cs="宋体"/>
                <w:b/>
                <w:bCs/>
                <w:color w:val="auto"/>
                <w:sz w:val="24"/>
                <w:szCs w:val="24"/>
                <w:lang w:val="en-US" w:eastAsia="zh-CN"/>
              </w:rPr>
              <w:t>09</w:t>
            </w:r>
            <w:r>
              <w:rPr>
                <w:rFonts w:hint="eastAsia" w:ascii="宋体" w:hAnsi="宋体" w:eastAsia="宋体" w:cs="宋体"/>
                <w:b/>
                <w:bCs/>
                <w:color w:val="auto"/>
                <w:sz w:val="24"/>
                <w:szCs w:val="24"/>
              </w:rPr>
              <w:t>时00分（北京时间）</w:t>
            </w:r>
          </w:p>
        </w:tc>
      </w:tr>
      <w:tr w14:paraId="1F29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08E25E1">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801" w:type="dxa"/>
            <w:tcBorders>
              <w:top w:val="single" w:color="auto" w:sz="4" w:space="0"/>
              <w:left w:val="nil"/>
              <w:bottom w:val="single" w:color="auto" w:sz="4" w:space="0"/>
              <w:right w:val="single" w:color="auto" w:sz="4" w:space="0"/>
            </w:tcBorders>
            <w:vAlign w:val="center"/>
          </w:tcPr>
          <w:p w14:paraId="49E2F252">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w:t>
            </w:r>
          </w:p>
          <w:p w14:paraId="646E7463">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14:paraId="1E625AE9">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开标地点：</w:t>
            </w:r>
            <w:r>
              <w:rPr>
                <w:rFonts w:hint="eastAsia" w:ascii="宋体" w:hAnsi="宋体" w:eastAsia="宋体" w:cs="宋体"/>
                <w:color w:val="auto"/>
                <w:kern w:val="0"/>
                <w:sz w:val="24"/>
                <w:szCs w:val="24"/>
              </w:rPr>
              <w:t>襄城县公共资源交易中心12楼开标</w:t>
            </w:r>
            <w:r>
              <w:rPr>
                <w:rFonts w:hint="eastAsia" w:ascii="宋体" w:hAnsi="宋体" w:eastAsia="宋体" w:cs="宋体"/>
                <w:color w:val="auto"/>
                <w:kern w:val="0"/>
                <w:sz w:val="24"/>
                <w:szCs w:val="24"/>
                <w:lang w:eastAsia="zh-CN"/>
              </w:rPr>
              <w:t>一</w:t>
            </w:r>
            <w:r>
              <w:rPr>
                <w:rFonts w:hint="eastAsia" w:ascii="宋体" w:hAnsi="宋体" w:eastAsia="宋体" w:cs="宋体"/>
                <w:color w:val="auto"/>
                <w:kern w:val="0"/>
                <w:sz w:val="24"/>
                <w:szCs w:val="24"/>
              </w:rPr>
              <w:t>室（本项目采用远程不见面开标，投标人无须到交易中心现场）。</w:t>
            </w:r>
          </w:p>
        </w:tc>
      </w:tr>
      <w:tr w14:paraId="3712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DBC04EA">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1801" w:type="dxa"/>
            <w:tcBorders>
              <w:top w:val="single" w:color="auto" w:sz="4" w:space="0"/>
              <w:left w:val="nil"/>
              <w:bottom w:val="single" w:color="auto" w:sz="4" w:space="0"/>
              <w:right w:val="single" w:color="auto" w:sz="4" w:space="0"/>
            </w:tcBorders>
            <w:vAlign w:val="center"/>
          </w:tcPr>
          <w:p w14:paraId="611B81EF">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14:paraId="44B5CB83">
            <w:pPr>
              <w:keepNext w:val="0"/>
              <w:keepLines w:val="0"/>
              <w:pageBreakBefore w:val="0"/>
              <w:tabs>
                <w:tab w:val="left" w:pos="1260"/>
              </w:tabs>
              <w:kinsoku/>
              <w:wordWrap/>
              <w:overflowPunct/>
              <w:topLinePunct w:val="0"/>
              <w:autoSpaceDE w:val="0"/>
              <w:autoSpaceDN w:val="0"/>
              <w:bidi w:val="0"/>
              <w:adjustRightInd w:val="0"/>
              <w:snapToGrid w:val="0"/>
              <w:spacing w:line="480" w:lineRule="exact"/>
              <w:ind w:left="0" w:right="0"/>
              <w:contextualSpacing/>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本项目不收取。</w:t>
            </w:r>
          </w:p>
          <w:p w14:paraId="5CBBEBAB">
            <w:pPr>
              <w:pStyle w:val="81"/>
              <w:keepNext w:val="0"/>
              <w:keepLines w:val="0"/>
              <w:pageBreakBefore w:val="0"/>
              <w:kinsoku/>
              <w:wordWrap/>
              <w:overflowPunct/>
              <w:topLinePunct w:val="0"/>
              <w:bidi w:val="0"/>
              <w:adjustRightInd w:val="0"/>
              <w:snapToGrid w:val="0"/>
              <w:spacing w:line="48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rPr>
              <w:t>投标人应提供磋商承诺函。</w:t>
            </w:r>
          </w:p>
        </w:tc>
      </w:tr>
      <w:tr w14:paraId="6454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99F42A7">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801" w:type="dxa"/>
            <w:tcBorders>
              <w:top w:val="single" w:color="auto" w:sz="4" w:space="0"/>
              <w:left w:val="nil"/>
              <w:bottom w:val="single" w:color="auto" w:sz="4" w:space="0"/>
              <w:right w:val="single" w:color="auto" w:sz="4" w:space="0"/>
            </w:tcBorders>
            <w:vAlign w:val="center"/>
          </w:tcPr>
          <w:p w14:paraId="07E62206">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公告发布</w:t>
            </w:r>
          </w:p>
        </w:tc>
        <w:tc>
          <w:tcPr>
            <w:tcW w:w="7244" w:type="dxa"/>
            <w:tcBorders>
              <w:top w:val="single" w:color="auto" w:sz="4" w:space="0"/>
              <w:left w:val="nil"/>
              <w:bottom w:val="single" w:color="auto" w:sz="4" w:space="0"/>
              <w:right w:val="single" w:color="auto" w:sz="4" w:space="0"/>
            </w:tcBorders>
            <w:vAlign w:val="center"/>
          </w:tcPr>
          <w:p w14:paraId="162BBF12">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磋商公告、成交公告、变更（更正）公告、现场勘察答复等相关信息同时在以下网站发布：</w:t>
            </w:r>
            <w:r>
              <w:rPr>
                <w:rFonts w:hint="eastAsia" w:ascii="宋体" w:hAnsi="宋体" w:eastAsia="宋体" w:cs="宋体"/>
                <w:bCs/>
                <w:color w:val="auto"/>
                <w:kern w:val="0"/>
                <w:sz w:val="24"/>
                <w:szCs w:val="24"/>
                <w:lang w:eastAsia="zh-CN"/>
              </w:rPr>
              <w:t>《河南省政府采购网》《许昌市政府采购网》《全国公共资源交易平台（河南省·许昌市）》</w:t>
            </w:r>
          </w:p>
        </w:tc>
      </w:tr>
      <w:tr w14:paraId="277F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2984E3A">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1801" w:type="dxa"/>
            <w:tcBorders>
              <w:top w:val="single" w:color="auto" w:sz="4" w:space="0"/>
              <w:left w:val="nil"/>
              <w:bottom w:val="single" w:color="auto" w:sz="4" w:space="0"/>
              <w:right w:val="single" w:color="auto" w:sz="4" w:space="0"/>
            </w:tcBorders>
            <w:vAlign w:val="center"/>
          </w:tcPr>
          <w:p w14:paraId="360516A9">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Cs/>
                <w:color w:val="auto"/>
                <w:sz w:val="24"/>
                <w:szCs w:val="24"/>
              </w:rPr>
            </w:pPr>
            <w:r>
              <w:rPr>
                <w:rFonts w:hint="eastAsia" w:ascii="宋体" w:hAnsi="宋体" w:eastAsia="宋体" w:cs="宋体"/>
                <w:color w:val="auto"/>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14:paraId="58C8FE2A">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bCs/>
                <w:color w:val="auto"/>
                <w:sz w:val="24"/>
                <w:szCs w:val="24"/>
              </w:rPr>
            </w:pPr>
            <w:r>
              <w:rPr>
                <w:rFonts w:hint="eastAsia" w:ascii="宋体" w:hAnsi="宋体" w:eastAsia="宋体" w:cs="宋体"/>
                <w:color w:val="auto"/>
                <w:kern w:val="0"/>
                <w:sz w:val="24"/>
                <w:szCs w:val="24"/>
              </w:rPr>
              <w:t>磋商响应截止时间5日前（澄清内容可能影响响应文件编制的）</w:t>
            </w:r>
          </w:p>
        </w:tc>
      </w:tr>
      <w:tr w14:paraId="3C4D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D6C70CF">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1801" w:type="dxa"/>
            <w:tcBorders>
              <w:top w:val="single" w:color="auto" w:sz="4" w:space="0"/>
              <w:left w:val="nil"/>
              <w:bottom w:val="single" w:color="auto" w:sz="4" w:space="0"/>
              <w:right w:val="single" w:color="auto" w:sz="4" w:space="0"/>
            </w:tcBorders>
            <w:vAlign w:val="center"/>
          </w:tcPr>
          <w:p w14:paraId="67687F80">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14:paraId="4EB40868">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highlight w:val="none"/>
                <w:lang w:val="en-US" w:eastAsia="zh-CN"/>
              </w:rPr>
              <w:t>磋商公告截止之日起七个工作日</w:t>
            </w:r>
          </w:p>
        </w:tc>
      </w:tr>
      <w:tr w14:paraId="6593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AEEA4EA">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801" w:type="dxa"/>
            <w:tcBorders>
              <w:top w:val="single" w:color="auto" w:sz="4" w:space="0"/>
              <w:left w:val="nil"/>
              <w:bottom w:val="single" w:color="auto" w:sz="4" w:space="0"/>
              <w:right w:val="single" w:color="auto" w:sz="4" w:space="0"/>
            </w:tcBorders>
            <w:vAlign w:val="center"/>
          </w:tcPr>
          <w:p w14:paraId="6F5BB6BA">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14:paraId="028ED780">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color w:val="auto"/>
                <w:kern w:val="0"/>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eq \o\ac(</w:instrText>
            </w:r>
            <w:r>
              <w:rPr>
                <w:rFonts w:hint="eastAsia" w:ascii="宋体" w:hAnsi="宋体" w:eastAsia="宋体" w:cs="宋体"/>
                <w:b/>
                <w:color w:val="auto"/>
                <w:position w:val="-4"/>
                <w:sz w:val="36"/>
                <w:szCs w:val="24"/>
              </w:rPr>
              <w:instrText xml:space="preserve">□</w:instrText>
            </w:r>
            <w:r>
              <w:rPr>
                <w:rFonts w:hint="eastAsia" w:ascii="宋体" w:hAnsi="宋体" w:eastAsia="宋体" w:cs="宋体"/>
                <w:b/>
                <w:color w:val="auto"/>
                <w:position w:val="0"/>
                <w:sz w:val="24"/>
                <w:szCs w:val="24"/>
              </w:rPr>
              <w:instrText xml:space="preserve">,√)</w:instrText>
            </w:r>
            <w:r>
              <w:rPr>
                <w:rFonts w:hint="eastAsia" w:ascii="宋体" w:hAnsi="宋体" w:eastAsia="宋体" w:cs="宋体"/>
                <w:b/>
                <w:color w:val="auto"/>
                <w:sz w:val="24"/>
                <w:szCs w:val="24"/>
              </w:rPr>
              <w:fldChar w:fldCharType="end"/>
            </w:r>
            <w:r>
              <w:rPr>
                <w:rFonts w:hint="eastAsia" w:ascii="宋体" w:hAnsi="宋体" w:eastAsia="宋体" w:cs="宋体"/>
                <w:color w:val="auto"/>
                <w:kern w:val="0"/>
                <w:sz w:val="24"/>
                <w:szCs w:val="24"/>
              </w:rPr>
              <w:t>电子响应文件：成功上传至《全国公共资源交易平台（河南省·许昌市）》公共资源交易系统加密电子响应文件1份（后缀格式为.XCSTF）。</w:t>
            </w:r>
          </w:p>
          <w:p w14:paraId="541669CB">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bCs/>
                <w:color w:val="auto"/>
                <w:sz w:val="24"/>
                <w:szCs w:val="24"/>
              </w:rPr>
            </w:pPr>
            <w:r>
              <w:rPr>
                <w:rFonts w:hint="eastAsia" w:ascii="宋体" w:hAnsi="宋体" w:eastAsia="宋体" w:cs="宋体"/>
                <w:b/>
                <w:bCs/>
                <w:color w:val="auto"/>
                <w:kern w:val="0"/>
                <w:sz w:val="24"/>
                <w:szCs w:val="24"/>
              </w:rPr>
              <w:t>注：投标人登录《全国公共资源交易平台（河南省·许昌市）》下载“新点投标文件制作软件（河南省版）”的最新版本制作电子响应文件。</w:t>
            </w:r>
          </w:p>
        </w:tc>
      </w:tr>
      <w:tr w14:paraId="459F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50BD8E2">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1801" w:type="dxa"/>
            <w:tcBorders>
              <w:top w:val="single" w:color="auto" w:sz="4" w:space="0"/>
              <w:left w:val="nil"/>
              <w:bottom w:val="single" w:color="auto" w:sz="4" w:space="0"/>
              <w:right w:val="single" w:color="auto" w:sz="4" w:space="0"/>
            </w:tcBorders>
            <w:vAlign w:val="center"/>
          </w:tcPr>
          <w:p w14:paraId="6B8AD793">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响应文件的</w:t>
            </w:r>
          </w:p>
          <w:p w14:paraId="643D1708">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签署盖章</w:t>
            </w:r>
          </w:p>
        </w:tc>
        <w:tc>
          <w:tcPr>
            <w:tcW w:w="7244" w:type="dxa"/>
            <w:tcBorders>
              <w:top w:val="single" w:color="auto" w:sz="4" w:space="0"/>
              <w:left w:val="nil"/>
              <w:bottom w:val="single" w:color="auto" w:sz="4" w:space="0"/>
              <w:right w:val="single" w:color="auto" w:sz="4" w:space="0"/>
            </w:tcBorders>
            <w:vAlign w:val="center"/>
          </w:tcPr>
          <w:p w14:paraId="3994C2B5">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eq \o\ac(</w:instrText>
            </w:r>
            <w:r>
              <w:rPr>
                <w:rFonts w:hint="eastAsia" w:ascii="宋体" w:hAnsi="宋体" w:eastAsia="宋体" w:cs="宋体"/>
                <w:b/>
                <w:color w:val="auto"/>
                <w:position w:val="-4"/>
                <w:sz w:val="36"/>
                <w:szCs w:val="24"/>
              </w:rPr>
              <w:instrText xml:space="preserve">□</w:instrText>
            </w:r>
            <w:r>
              <w:rPr>
                <w:rFonts w:hint="eastAsia" w:ascii="宋体" w:hAnsi="宋体" w:eastAsia="宋体" w:cs="宋体"/>
                <w:b/>
                <w:color w:val="auto"/>
                <w:position w:val="0"/>
                <w:sz w:val="24"/>
                <w:szCs w:val="24"/>
              </w:rPr>
              <w:instrText xml:space="preserve">,√)</w:instrText>
            </w:r>
            <w:r>
              <w:rPr>
                <w:rFonts w:hint="eastAsia" w:ascii="宋体" w:hAnsi="宋体" w:eastAsia="宋体" w:cs="宋体"/>
                <w:b/>
                <w:color w:val="auto"/>
                <w:sz w:val="24"/>
                <w:szCs w:val="24"/>
              </w:rPr>
              <w:fldChar w:fldCharType="end"/>
            </w:r>
            <w:r>
              <w:rPr>
                <w:rFonts w:hint="eastAsia" w:ascii="宋体" w:hAnsi="宋体" w:eastAsia="宋体" w:cs="宋体"/>
                <w:color w:val="auto"/>
                <w:sz w:val="24"/>
                <w:szCs w:val="24"/>
              </w:rPr>
              <w:t>电子响应文件：按磋商文件要求加盖供应商电子印章和法人电子印章。</w:t>
            </w:r>
          </w:p>
        </w:tc>
      </w:tr>
      <w:tr w14:paraId="1491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94864F5">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1801" w:type="dxa"/>
            <w:tcBorders>
              <w:top w:val="single" w:color="auto" w:sz="4" w:space="0"/>
              <w:left w:val="nil"/>
              <w:bottom w:val="single" w:color="auto" w:sz="4" w:space="0"/>
              <w:right w:val="single" w:color="auto" w:sz="4" w:space="0"/>
            </w:tcBorders>
            <w:vAlign w:val="center"/>
          </w:tcPr>
          <w:p w14:paraId="0D966059">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14:paraId="06A415A1">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b w:val="0"/>
                <w:bCs/>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eq \o\ac(</w:instrText>
            </w:r>
            <w:r>
              <w:rPr>
                <w:rFonts w:hint="eastAsia" w:ascii="宋体" w:hAnsi="宋体" w:eastAsia="宋体" w:cs="宋体"/>
                <w:b/>
                <w:color w:val="auto"/>
                <w:position w:val="-4"/>
                <w:sz w:val="36"/>
                <w:szCs w:val="24"/>
              </w:rPr>
              <w:instrText xml:space="preserve">□</w:instrText>
            </w:r>
            <w:r>
              <w:rPr>
                <w:rFonts w:hint="eastAsia" w:ascii="宋体" w:hAnsi="宋体" w:cs="宋体"/>
                <w:b/>
                <w:color w:val="auto"/>
                <w:position w:val="-4"/>
                <w:sz w:val="36"/>
                <w:szCs w:val="24"/>
                <w:lang w:eastAsia="zh-CN"/>
              </w:rPr>
              <w:instrText xml:space="preserve">,</w:instrText>
            </w:r>
            <w:r>
              <w:rPr>
                <w:rFonts w:hint="eastAsia" w:ascii="宋体" w:hAnsi="宋体" w:cs="宋体"/>
                <w:b/>
                <w:color w:val="auto"/>
                <w:position w:val="0"/>
                <w:sz w:val="25"/>
                <w:szCs w:val="24"/>
                <w:lang w:eastAsia="zh-CN"/>
              </w:rPr>
              <w:instrText xml:space="preserve">√</w:instrText>
            </w:r>
            <w:r>
              <w:rPr>
                <w:rFonts w:hint="eastAsia" w:ascii="宋体" w:hAnsi="宋体" w:eastAsia="宋体" w:cs="宋体"/>
                <w:b/>
                <w:color w:val="auto"/>
                <w:position w:val="0"/>
                <w:sz w:val="24"/>
                <w:szCs w:val="24"/>
              </w:rPr>
              <w:instrText xml:space="preserve">)</w:instrText>
            </w:r>
            <w:r>
              <w:rPr>
                <w:rFonts w:hint="eastAsia" w:ascii="宋体" w:hAnsi="宋体" w:eastAsia="宋体" w:cs="宋体"/>
                <w:b/>
                <w:color w:val="auto"/>
                <w:sz w:val="24"/>
                <w:szCs w:val="24"/>
              </w:rPr>
              <w:fldChar w:fldCharType="end"/>
            </w:r>
            <w:r>
              <w:rPr>
                <w:rFonts w:hint="eastAsia" w:ascii="宋体" w:hAnsi="宋体" w:eastAsia="宋体" w:cs="宋体"/>
                <w:b w:val="0"/>
                <w:bCs/>
                <w:color w:val="auto"/>
                <w:sz w:val="24"/>
                <w:szCs w:val="24"/>
              </w:rPr>
              <w:t>由采购人代表和评审专家共3人组成，其中评审专家的人数不少于磋商小组成员总数的三分之二。评审专家从政府采购评审专家</w:t>
            </w:r>
          </w:p>
          <w:p w14:paraId="2C1C4A01">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库中随机抽取。</w:t>
            </w:r>
          </w:p>
          <w:p w14:paraId="6B5BAB7E">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bCs/>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eq \o\ac(</w:instrText>
            </w:r>
            <w:r>
              <w:rPr>
                <w:rFonts w:hint="eastAsia" w:ascii="宋体" w:hAnsi="宋体" w:eastAsia="宋体" w:cs="宋体"/>
                <w:b/>
                <w:color w:val="auto"/>
                <w:position w:val="-4"/>
                <w:sz w:val="36"/>
                <w:szCs w:val="24"/>
              </w:rPr>
              <w:instrText xml:space="preserve">□</w:instrText>
            </w:r>
            <w:r>
              <w:rPr>
                <w:rFonts w:hint="eastAsia" w:ascii="宋体" w:hAnsi="宋体" w:eastAsia="宋体" w:cs="宋体"/>
                <w:b/>
                <w:color w:val="auto"/>
                <w:position w:val="0"/>
                <w:sz w:val="24"/>
                <w:szCs w:val="24"/>
              </w:rPr>
              <w:instrText xml:space="preserve">)</w:instrText>
            </w:r>
            <w:r>
              <w:rPr>
                <w:rFonts w:hint="eastAsia" w:ascii="宋体" w:hAnsi="宋体" w:eastAsia="宋体" w:cs="宋体"/>
                <w:b/>
                <w:color w:val="auto"/>
                <w:sz w:val="24"/>
                <w:szCs w:val="24"/>
              </w:rPr>
              <w:fldChar w:fldCharType="end"/>
            </w:r>
            <w:r>
              <w:rPr>
                <w:rFonts w:hint="eastAsia" w:ascii="宋体" w:hAnsi="宋体" w:eastAsia="宋体" w:cs="宋体"/>
                <w:color w:val="auto"/>
                <w:sz w:val="24"/>
                <w:szCs w:val="24"/>
                <w:lang w:val="zh-CN"/>
              </w:rPr>
              <w:t>由评审专家组成。评审专家从政府采购评审专家库中随机抽取。</w:t>
            </w:r>
          </w:p>
        </w:tc>
      </w:tr>
      <w:tr w14:paraId="2CC1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E4C0164">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1801" w:type="dxa"/>
            <w:tcBorders>
              <w:top w:val="single" w:color="auto" w:sz="4" w:space="0"/>
              <w:left w:val="nil"/>
              <w:bottom w:val="single" w:color="auto" w:sz="4" w:space="0"/>
              <w:right w:val="single" w:color="auto" w:sz="4" w:space="0"/>
            </w:tcBorders>
            <w:vAlign w:val="center"/>
          </w:tcPr>
          <w:p w14:paraId="66B7BC0B">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评审方法</w:t>
            </w:r>
          </w:p>
        </w:tc>
        <w:tc>
          <w:tcPr>
            <w:tcW w:w="7244" w:type="dxa"/>
            <w:tcBorders>
              <w:top w:val="single" w:color="auto" w:sz="4" w:space="0"/>
              <w:left w:val="nil"/>
              <w:bottom w:val="single" w:color="auto" w:sz="4" w:space="0"/>
              <w:right w:val="single" w:color="auto" w:sz="4" w:space="0"/>
            </w:tcBorders>
            <w:vAlign w:val="center"/>
          </w:tcPr>
          <w:p w14:paraId="598DD420">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eq \o\ac(</w:instrText>
            </w:r>
            <w:r>
              <w:rPr>
                <w:rFonts w:hint="eastAsia" w:ascii="宋体" w:hAnsi="宋体" w:eastAsia="宋体" w:cs="宋体"/>
                <w:color w:val="auto"/>
                <w:position w:val="-4"/>
                <w:sz w:val="36"/>
                <w:szCs w:val="24"/>
                <w:lang w:val="zh-CN"/>
              </w:rPr>
              <w:instrText xml:space="preserve">□</w:instrText>
            </w:r>
            <w:r>
              <w:rPr>
                <w:rFonts w:hint="eastAsia" w:ascii="宋体" w:hAnsi="宋体" w:eastAsia="宋体" w:cs="宋体"/>
                <w:color w:val="auto"/>
                <w:position w:val="0"/>
                <w:sz w:val="24"/>
                <w:szCs w:val="24"/>
                <w:lang w:val="zh-CN"/>
              </w:rPr>
              <w:instrText xml:space="preserve">,√)</w:instrText>
            </w:r>
            <w:r>
              <w:rPr>
                <w:rFonts w:hint="eastAsia" w:ascii="宋体" w:hAnsi="宋体" w:eastAsia="宋体" w:cs="宋体"/>
                <w:color w:val="auto"/>
                <w:sz w:val="24"/>
                <w:szCs w:val="24"/>
                <w:lang w:val="zh-CN"/>
              </w:rPr>
              <w:fldChar w:fldCharType="end"/>
            </w:r>
            <w:r>
              <w:rPr>
                <w:rFonts w:hint="eastAsia" w:ascii="宋体" w:hAnsi="宋体" w:eastAsia="宋体" w:cs="宋体"/>
                <w:color w:val="auto"/>
                <w:sz w:val="24"/>
                <w:szCs w:val="24"/>
                <w:lang w:val="zh-CN"/>
              </w:rPr>
              <w:t>综合评分法□最低评标价法</w:t>
            </w:r>
          </w:p>
        </w:tc>
      </w:tr>
      <w:tr w14:paraId="507B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E25E4D8">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1801" w:type="dxa"/>
            <w:tcBorders>
              <w:top w:val="single" w:color="auto" w:sz="4" w:space="0"/>
              <w:left w:val="nil"/>
              <w:bottom w:val="single" w:color="auto" w:sz="4" w:space="0"/>
              <w:right w:val="single" w:color="auto" w:sz="4" w:space="0"/>
            </w:tcBorders>
            <w:vAlign w:val="center"/>
          </w:tcPr>
          <w:p w14:paraId="4DF3A747">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异常低价审核</w:t>
            </w:r>
          </w:p>
        </w:tc>
        <w:tc>
          <w:tcPr>
            <w:tcW w:w="7244" w:type="dxa"/>
            <w:tcBorders>
              <w:top w:val="single" w:color="auto" w:sz="4" w:space="0"/>
              <w:left w:val="nil"/>
              <w:bottom w:val="single" w:color="auto" w:sz="4" w:space="0"/>
              <w:right w:val="single" w:color="auto" w:sz="4" w:space="0"/>
            </w:tcBorders>
            <w:vAlign w:val="center"/>
          </w:tcPr>
          <w:p w14:paraId="717EEF82">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依据《关于推动解决政府采购异常低价问题的通知》(财库2026)2号)政府采购评审中出现下列情形之一的，评审委员会应当启动异常低价投标(响应)审查程序:</w:t>
            </w:r>
          </w:p>
          <w:p w14:paraId="1D5D4CC7">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1.投标(响应)报价低于全部通过符合性审查供应商投标(响应)报价平均值50%的，即投标(响应)报价&lt;全部通过符合性审查供应商投标(响应)报价平均值X50%;</w:t>
            </w:r>
          </w:p>
          <w:p w14:paraId="7AC7A514">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2.投标(响应)报价低于通过符合性审查的次低报价供应商投标(响应)报价50%的，即投标(响应)报价</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通过符合性审查的次低报价供应商投标(响应)报价X50%</w:t>
            </w:r>
          </w:p>
          <w:p w14:paraId="566860F1">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3.投标(响应)报价低于采购项目最高限价45%的，即投标(响应)报价&lt;采购项目最高限价X45%;</w:t>
            </w:r>
          </w:p>
          <w:p w14:paraId="282A46FB">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4.评审委员会基于专业判断，认为供应商报价过低，有可能影响产品质量或者不能诚信履约的其他情形。</w:t>
            </w:r>
          </w:p>
          <w:p w14:paraId="1C8660AE">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2F39FF1">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B35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55D927C4">
            <w:pPr>
              <w:pStyle w:val="180"/>
              <w:keepNext w:val="0"/>
              <w:keepLines w:val="0"/>
              <w:pageBreakBefore w:val="0"/>
              <w:kinsoku/>
              <w:wordWrap/>
              <w:overflowPunct/>
              <w:topLinePunct w:val="0"/>
              <w:bidi w:val="0"/>
              <w:adjustRightInd w:val="0"/>
              <w:snapToGrid w:val="0"/>
              <w:spacing w:line="480" w:lineRule="exact"/>
              <w:ind w:left="0" w:right="0"/>
              <w:jc w:val="center"/>
              <w:textAlignment w:val="auto"/>
              <w:rPr>
                <w:rFonts w:hint="eastAsia" w:ascii="宋体" w:hAnsi="宋体" w:eastAsia="宋体" w:cs="宋体"/>
                <w:color w:val="auto"/>
                <w:kern w:val="2"/>
                <w:sz w:val="24"/>
                <w:szCs w:val="24"/>
                <w:lang w:val="en-US" w:eastAsia="en-US" w:bidi="ar-SA"/>
              </w:rPr>
            </w:pPr>
            <w:r>
              <w:rPr>
                <w:rFonts w:hint="eastAsia" w:ascii="宋体" w:hAnsi="宋体" w:eastAsia="宋体" w:cs="宋体"/>
                <w:color w:val="auto"/>
                <w:spacing w:val="-3"/>
                <w:sz w:val="24"/>
                <w:szCs w:val="24"/>
              </w:rPr>
              <w:t>23</w:t>
            </w:r>
          </w:p>
        </w:tc>
        <w:tc>
          <w:tcPr>
            <w:tcW w:w="1801" w:type="dxa"/>
            <w:tcBorders>
              <w:top w:val="single" w:color="auto" w:sz="4" w:space="0"/>
              <w:left w:val="nil"/>
              <w:bottom w:val="single" w:color="auto" w:sz="4" w:space="0"/>
              <w:right w:val="single" w:color="auto" w:sz="4" w:space="0"/>
            </w:tcBorders>
            <w:vAlign w:val="center"/>
          </w:tcPr>
          <w:p w14:paraId="36B7EC3A">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中小企业有关政策</w:t>
            </w:r>
          </w:p>
        </w:tc>
        <w:tc>
          <w:tcPr>
            <w:tcW w:w="7244" w:type="dxa"/>
            <w:tcBorders>
              <w:top w:val="single" w:color="auto" w:sz="4" w:space="0"/>
              <w:left w:val="nil"/>
              <w:bottom w:val="single" w:color="auto" w:sz="4" w:space="0"/>
              <w:right w:val="single" w:color="auto" w:sz="4" w:space="0"/>
            </w:tcBorders>
            <w:vAlign w:val="center"/>
          </w:tcPr>
          <w:p w14:paraId="697B456A">
            <w:pPr>
              <w:keepNext w:val="0"/>
              <w:keepLines w:val="0"/>
              <w:pageBreakBefore w:val="0"/>
              <w:kinsoku/>
              <w:wordWrap/>
              <w:overflowPunct/>
              <w:topLinePunct w:val="0"/>
              <w:bidi w:val="0"/>
              <w:adjustRightInd w:val="0"/>
              <w:snapToGrid w:val="0"/>
              <w:spacing w:line="480" w:lineRule="exact"/>
              <w:ind w:left="0" w:right="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rPr>
              <w:t>1、</w:t>
            </w:r>
            <w:r>
              <w:rPr>
                <w:rFonts w:hint="eastAsia" w:ascii="宋体" w:hAnsi="宋体" w:eastAsia="宋体" w:cs="宋体"/>
                <w:b/>
                <w:bCs w:val="0"/>
                <w:color w:val="auto"/>
                <w:sz w:val="24"/>
                <w:szCs w:val="24"/>
                <w:lang w:val="en-US" w:eastAsia="zh-CN"/>
              </w:rPr>
              <w:t>本项目专门面向中小企业采购，不再执行价格评审优惠的扶持政策，评审时不再对价格进行扣除。</w:t>
            </w:r>
          </w:p>
          <w:p w14:paraId="3B2C0457">
            <w:pPr>
              <w:keepNext w:val="0"/>
              <w:keepLines w:val="0"/>
              <w:pageBreakBefore w:val="0"/>
              <w:kinsoku/>
              <w:wordWrap/>
              <w:overflowPunct/>
              <w:topLinePunct w:val="0"/>
              <w:bidi w:val="0"/>
              <w:adjustRightInd w:val="0"/>
              <w:snapToGrid w:val="0"/>
              <w:spacing w:line="480" w:lineRule="exact"/>
              <w:ind w:left="0" w:right="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2、本次采购标的对应的中小企业划分标准所属行业：</w:t>
            </w:r>
            <w:r>
              <w:rPr>
                <w:rFonts w:hint="eastAsia" w:ascii="宋体" w:hAnsi="宋体" w:eastAsia="宋体" w:cs="宋体"/>
                <w:color w:val="auto"/>
                <w:sz w:val="24"/>
                <w:szCs w:val="24"/>
                <w:u w:val="single"/>
                <w:lang w:val="en-US" w:eastAsia="zh-CN"/>
              </w:rPr>
              <w:t>建筑业</w:t>
            </w:r>
            <w:r>
              <w:rPr>
                <w:rFonts w:hint="eastAsia" w:ascii="宋体" w:hAnsi="宋体" w:eastAsia="宋体" w:cs="宋体"/>
                <w:bCs/>
                <w:color w:val="auto"/>
                <w:sz w:val="24"/>
                <w:szCs w:val="24"/>
                <w:lang w:val="en-US" w:eastAsia="zh-CN"/>
              </w:rPr>
              <w:t>。</w:t>
            </w:r>
          </w:p>
          <w:p w14:paraId="562F05D3">
            <w:pPr>
              <w:keepNext w:val="0"/>
              <w:keepLines w:val="0"/>
              <w:pageBreakBefore w:val="0"/>
              <w:kinsoku/>
              <w:wordWrap/>
              <w:overflowPunct/>
              <w:topLinePunct w:val="0"/>
              <w:bidi w:val="0"/>
              <w:adjustRightInd w:val="0"/>
              <w:snapToGrid w:val="0"/>
              <w:spacing w:line="480" w:lineRule="exact"/>
              <w:ind w:left="0" w:right="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064622D2">
            <w:pPr>
              <w:keepNext w:val="0"/>
              <w:keepLines w:val="0"/>
              <w:pageBreakBefore w:val="0"/>
              <w:kinsoku/>
              <w:wordWrap/>
              <w:overflowPunct/>
              <w:topLinePunct w:val="0"/>
              <w:bidi w:val="0"/>
              <w:adjustRightInd w:val="0"/>
              <w:snapToGrid w:val="0"/>
              <w:spacing w:line="480" w:lineRule="exact"/>
              <w:ind w:left="0" w:right="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4、提供由省级以上监狱管理局、戒毒管理局（含新疆生产建设兵团）出具的属于监狱企业证明文件的，视同为小型和微型企业。</w:t>
            </w:r>
          </w:p>
          <w:p w14:paraId="5AACB77B">
            <w:pPr>
              <w:keepNext w:val="0"/>
              <w:keepLines w:val="0"/>
              <w:pageBreakBefore w:val="0"/>
              <w:kinsoku/>
              <w:wordWrap/>
              <w:overflowPunct/>
              <w:topLinePunct w:val="0"/>
              <w:bidi w:val="0"/>
              <w:adjustRightInd w:val="0"/>
              <w:snapToGrid w:val="0"/>
              <w:spacing w:line="480" w:lineRule="exact"/>
              <w:ind w:left="0" w:right="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5、符合享受政府采购支持政策的残疾人福利性单位条件且提供《残疾人福利性单位声明函》的</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视同为小型和微型企业。</w:t>
            </w:r>
          </w:p>
          <w:p w14:paraId="6B768067">
            <w:pPr>
              <w:keepNext w:val="0"/>
              <w:keepLines w:val="0"/>
              <w:pageBreakBefore w:val="0"/>
              <w:kinsoku/>
              <w:wordWrap/>
              <w:overflowPunct/>
              <w:topLinePunct w:val="0"/>
              <w:bidi w:val="0"/>
              <w:adjustRightInd w:val="0"/>
              <w:snapToGrid w:val="0"/>
              <w:spacing w:line="480" w:lineRule="exact"/>
              <w:ind w:left="0" w:right="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享受政府采购支持政策的残疾人福利性单位应当同时满足以下条件：</w:t>
            </w:r>
          </w:p>
          <w:p w14:paraId="7A279EE4">
            <w:pPr>
              <w:keepNext w:val="0"/>
              <w:keepLines w:val="0"/>
              <w:pageBreakBefore w:val="0"/>
              <w:kinsoku/>
              <w:wordWrap/>
              <w:overflowPunct/>
              <w:topLinePunct w:val="0"/>
              <w:bidi w:val="0"/>
              <w:adjustRightInd w:val="0"/>
              <w:snapToGrid w:val="0"/>
              <w:spacing w:line="480" w:lineRule="exact"/>
              <w:ind w:left="0" w:right="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（一）安置的残疾人占本单位在职职工人数的比例不低于25%（含25%），并且安置的残疾人人数不少于10人（含10人）；</w:t>
            </w:r>
          </w:p>
          <w:p w14:paraId="54D86048">
            <w:pPr>
              <w:keepNext w:val="0"/>
              <w:keepLines w:val="0"/>
              <w:pageBreakBefore w:val="0"/>
              <w:kinsoku/>
              <w:wordWrap/>
              <w:overflowPunct/>
              <w:topLinePunct w:val="0"/>
              <w:bidi w:val="0"/>
              <w:adjustRightInd w:val="0"/>
              <w:snapToGrid w:val="0"/>
              <w:spacing w:line="480" w:lineRule="exact"/>
              <w:ind w:left="0" w:right="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（二）依法与安置的每位残疾人签订了一年以上（含一年）的劳动合同或服务协议；</w:t>
            </w:r>
          </w:p>
          <w:p w14:paraId="7630E38D">
            <w:pPr>
              <w:keepNext w:val="0"/>
              <w:keepLines w:val="0"/>
              <w:pageBreakBefore w:val="0"/>
              <w:kinsoku/>
              <w:wordWrap/>
              <w:overflowPunct/>
              <w:topLinePunct w:val="0"/>
              <w:bidi w:val="0"/>
              <w:adjustRightInd w:val="0"/>
              <w:snapToGrid w:val="0"/>
              <w:spacing w:line="480" w:lineRule="exact"/>
              <w:ind w:left="0" w:right="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（三）为安置的每位残疾人按月足额缴纳了基本养老保险、基本医疗保险、失业保险、工伤保险和生育保险等社会保险费；</w:t>
            </w:r>
          </w:p>
          <w:p w14:paraId="0DA7CB03">
            <w:pPr>
              <w:keepNext w:val="0"/>
              <w:keepLines w:val="0"/>
              <w:pageBreakBefore w:val="0"/>
              <w:kinsoku/>
              <w:wordWrap/>
              <w:overflowPunct/>
              <w:topLinePunct w:val="0"/>
              <w:bidi w:val="0"/>
              <w:adjustRightInd w:val="0"/>
              <w:snapToGrid w:val="0"/>
              <w:spacing w:line="480" w:lineRule="exact"/>
              <w:ind w:left="0" w:right="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（四）通过银行等金融机构向安置的每位残疾人，按月支付了不低于单位所在区县适用的经省级人民政府批准的月最低工资标准的工资；</w:t>
            </w:r>
          </w:p>
          <w:p w14:paraId="5296A56D">
            <w:pPr>
              <w:keepNext w:val="0"/>
              <w:keepLines w:val="0"/>
              <w:pageBreakBefore w:val="0"/>
              <w:kinsoku/>
              <w:wordWrap/>
              <w:overflowPunct/>
              <w:topLinePunct w:val="0"/>
              <w:bidi w:val="0"/>
              <w:adjustRightInd w:val="0"/>
              <w:snapToGrid w:val="0"/>
              <w:spacing w:line="480" w:lineRule="exact"/>
              <w:ind w:left="0" w:right="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（五）提供本单位制造的货物、承担的工程或者服务（以下简称产品），或者提供其他残疾人福利性单位制造的货物（不包括使用非残疾人福利性单位注册商标的货物）。</w:t>
            </w:r>
          </w:p>
          <w:p w14:paraId="53F8CE8F">
            <w:pPr>
              <w:keepNext w:val="0"/>
              <w:keepLines w:val="0"/>
              <w:pageBreakBefore w:val="0"/>
              <w:kinsoku/>
              <w:wordWrap/>
              <w:overflowPunct/>
              <w:topLinePunct w:val="0"/>
              <w:bidi w:val="0"/>
              <w:adjustRightInd w:val="0"/>
              <w:snapToGrid w:val="0"/>
              <w:spacing w:line="480" w:lineRule="exact"/>
              <w:ind w:left="0" w:right="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402565A3">
            <w:pPr>
              <w:keepNext w:val="0"/>
              <w:keepLines w:val="0"/>
              <w:pageBreakBefore w:val="0"/>
              <w:kinsoku/>
              <w:wordWrap/>
              <w:overflowPunct/>
              <w:topLinePunct w:val="0"/>
              <w:bidi w:val="0"/>
              <w:adjustRightInd w:val="0"/>
              <w:snapToGrid w:val="0"/>
              <w:spacing w:line="480" w:lineRule="exact"/>
              <w:ind w:left="0" w:right="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7、小型和微型企业不包括民办非企业单位。</w:t>
            </w:r>
          </w:p>
          <w:p w14:paraId="4E1EE497">
            <w:pPr>
              <w:keepNext w:val="0"/>
              <w:keepLines w:val="0"/>
              <w:pageBreakBefore w:val="0"/>
              <w:kinsoku/>
              <w:wordWrap/>
              <w:overflowPunct/>
              <w:topLinePunct w:val="0"/>
              <w:bidi w:val="0"/>
              <w:adjustRightInd w:val="0"/>
              <w:snapToGrid w:val="0"/>
              <w:spacing w:line="480" w:lineRule="exact"/>
              <w:ind w:left="0" w:right="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8、符合中小企业划分标准的个体工商户，在政府采购活动中视同中小企业。</w:t>
            </w:r>
          </w:p>
        </w:tc>
      </w:tr>
      <w:tr w14:paraId="1610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8953990">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24</w:t>
            </w:r>
          </w:p>
        </w:tc>
        <w:tc>
          <w:tcPr>
            <w:tcW w:w="1801" w:type="dxa"/>
            <w:tcBorders>
              <w:top w:val="single" w:color="auto" w:sz="4" w:space="0"/>
              <w:left w:val="nil"/>
              <w:bottom w:val="single" w:color="auto" w:sz="4" w:space="0"/>
              <w:right w:val="single" w:color="auto" w:sz="4" w:space="0"/>
            </w:tcBorders>
            <w:vAlign w:val="center"/>
          </w:tcPr>
          <w:p w14:paraId="4BDA7992">
            <w:pPr>
              <w:pStyle w:val="180"/>
              <w:keepNext w:val="0"/>
              <w:keepLines w:val="0"/>
              <w:pageBreakBefore w:val="0"/>
              <w:kinsoku/>
              <w:wordWrap/>
              <w:overflowPunct/>
              <w:topLinePunct w:val="0"/>
              <w:bidi w:val="0"/>
              <w:adjustRightInd w:val="0"/>
              <w:snapToGrid w:val="0"/>
              <w:spacing w:line="4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节能环保要求</w:t>
            </w:r>
          </w:p>
        </w:tc>
        <w:tc>
          <w:tcPr>
            <w:tcW w:w="7244" w:type="dxa"/>
            <w:tcBorders>
              <w:top w:val="single" w:color="auto" w:sz="4" w:space="0"/>
              <w:left w:val="nil"/>
              <w:bottom w:val="single" w:color="auto" w:sz="4" w:space="0"/>
              <w:right w:val="single" w:color="auto" w:sz="4" w:space="0"/>
            </w:tcBorders>
            <w:vAlign w:val="top"/>
          </w:tcPr>
          <w:p w14:paraId="7F851F2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1、本项目强制采购的节能产品：（无）</w:t>
            </w:r>
          </w:p>
          <w:p w14:paraId="25CB43F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2、执行《财政部 发展改革委 生态环境部 市场监管总局关于调整优化 节能产品、环境标志产品政府采购执行机制的通知》（财库〔2019〕9号）、 关于印发节能产品政府采购品目清单的通知（财库〔2019〕19号）、关于 印发环境标志产品政府采购品目清单的通知（财库〔2019〕18号）、市场 监管总局关于发布参与实施政府采购节能产品、环境标志产品认证机构 名录的公告（2019年第16号），本次投标产品属于政府强制采购产品的， 须提供国家确定的认证机构出具的、处于有效期之内的节能产品认证</w:t>
            </w:r>
            <w:r>
              <w:rPr>
                <w:rFonts w:hint="eastAsia" w:ascii="宋体" w:hAnsi="宋体" w:eastAsia="宋体" w:cs="宋体"/>
                <w:sz w:val="24"/>
                <w:szCs w:val="24"/>
                <w:lang w:eastAsia="zh-CN"/>
              </w:rPr>
              <w:t>证书</w:t>
            </w:r>
            <w:r>
              <w:rPr>
                <w:rFonts w:hint="eastAsia" w:ascii="宋体" w:hAnsi="宋体" w:eastAsia="宋体" w:cs="宋体"/>
                <w:sz w:val="24"/>
                <w:szCs w:val="24"/>
              </w:rPr>
              <w:t>，否则投标无效； 属于政府优先采购产品的，须提供国家确定的认证 机构出具的、处于有效期之内的节能产品、环境标志产品认证证书，否则不予认定。</w:t>
            </w:r>
          </w:p>
        </w:tc>
      </w:tr>
      <w:tr w14:paraId="5052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430A9EA9">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25</w:t>
            </w:r>
          </w:p>
        </w:tc>
        <w:tc>
          <w:tcPr>
            <w:tcW w:w="1801" w:type="dxa"/>
            <w:tcBorders>
              <w:top w:val="single" w:color="auto" w:sz="4" w:space="0"/>
              <w:left w:val="nil"/>
              <w:bottom w:val="single" w:color="auto" w:sz="4" w:space="0"/>
              <w:right w:val="single" w:color="auto" w:sz="4" w:space="0"/>
            </w:tcBorders>
            <w:vAlign w:val="center"/>
          </w:tcPr>
          <w:p w14:paraId="41583F5E">
            <w:pPr>
              <w:pStyle w:val="180"/>
              <w:keepNext w:val="0"/>
              <w:keepLines w:val="0"/>
              <w:pageBreakBefore w:val="0"/>
              <w:kinsoku/>
              <w:wordWrap/>
              <w:overflowPunct/>
              <w:topLinePunct w:val="0"/>
              <w:bidi w:val="0"/>
              <w:adjustRightInd w:val="0"/>
              <w:snapToGrid w:val="0"/>
              <w:spacing w:line="480" w:lineRule="exact"/>
              <w:ind w:left="0" w:right="0"/>
              <w:textAlignment w:val="auto"/>
              <w:rPr>
                <w:rFonts w:hint="eastAsia" w:ascii="宋体" w:hAnsi="宋体" w:eastAsia="宋体" w:cs="宋体"/>
                <w:bCs/>
                <w:color w:val="auto"/>
                <w:sz w:val="24"/>
                <w:szCs w:val="24"/>
              </w:rPr>
            </w:pPr>
            <w:r>
              <w:rPr>
                <w:rFonts w:hint="eastAsia" w:ascii="宋体" w:hAnsi="宋体" w:eastAsia="宋体" w:cs="宋体"/>
                <w:bCs/>
                <w:color w:val="auto"/>
                <w:kern w:val="2"/>
                <w:sz w:val="24"/>
                <w:szCs w:val="24"/>
                <w:lang w:val="en-US" w:eastAsia="zh-CN" w:bidi="ar-SA"/>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14:paraId="01E2139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1、本项目网络关键设备：（无）；网络安全专用产品：（无）</w:t>
            </w:r>
          </w:p>
          <w:p w14:paraId="1317417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9D7411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3、提供资料（下列资料任意一项）</w:t>
            </w:r>
          </w:p>
          <w:p w14:paraId="0AD7FB5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①网络关键设备和网络安全专用产品安全认证证书；</w:t>
            </w:r>
          </w:p>
          <w:p w14:paraId="053D3F3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②网络关键设备安全检测证书、网络安全专用产品安全检测证书；</w:t>
            </w:r>
          </w:p>
          <w:p w14:paraId="7B21E4D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③计算机信息系统安全专用产品销售许可证；</w:t>
            </w:r>
          </w:p>
          <w:p w14:paraId="370E7EE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4"/>
                <w:szCs w:val="24"/>
              </w:rPr>
            </w:pPr>
            <w:r>
              <w:rPr>
                <w:rFonts w:hint="eastAsia" w:ascii="宋体" w:hAnsi="宋体" w:eastAsia="宋体" w:cs="宋体"/>
                <w:sz w:val="24"/>
                <w:szCs w:val="24"/>
                <w:lang w:val="en-US" w:eastAsia="zh-CN"/>
              </w:rPr>
              <w:t>④中国网信网或工业和信息化部网站或公安部网站或国家认证认可监督 管理委员会网站公布的认证、检测结果（提供公布安全认证、安全检测结果页面网址和安全认证、检测结果截图）。</w:t>
            </w:r>
          </w:p>
        </w:tc>
      </w:tr>
      <w:tr w14:paraId="419A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54DF788">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Cs/>
                <w:color w:val="auto"/>
                <w:kern w:val="2"/>
                <w:sz w:val="24"/>
                <w:szCs w:val="24"/>
                <w:lang w:val="en-US" w:eastAsia="zh-CN" w:bidi="ar-SA"/>
              </w:rPr>
            </w:pPr>
            <w:bookmarkStart w:id="9" w:name="_Toc138068718"/>
            <w:r>
              <w:rPr>
                <w:rFonts w:hint="eastAsia" w:ascii="宋体" w:hAnsi="宋体" w:eastAsia="宋体" w:cs="宋体"/>
                <w:bCs/>
                <w:color w:val="auto"/>
                <w:kern w:val="2"/>
                <w:sz w:val="24"/>
                <w:szCs w:val="24"/>
                <w:lang w:val="en-US" w:eastAsia="zh-CN" w:bidi="ar-SA"/>
              </w:rPr>
              <w:t>26</w:t>
            </w:r>
          </w:p>
        </w:tc>
        <w:tc>
          <w:tcPr>
            <w:tcW w:w="1801" w:type="dxa"/>
            <w:tcBorders>
              <w:top w:val="single" w:color="auto" w:sz="4" w:space="0"/>
              <w:left w:val="nil"/>
              <w:bottom w:val="single" w:color="auto" w:sz="4" w:space="0"/>
              <w:right w:val="single" w:color="auto" w:sz="4" w:space="0"/>
            </w:tcBorders>
            <w:vAlign w:val="center"/>
          </w:tcPr>
          <w:p w14:paraId="360B85D2">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kern w:val="2"/>
                <w:sz w:val="24"/>
                <w:szCs w:val="24"/>
                <w:lang w:val="en-US" w:eastAsia="en-US" w:bidi="ar-SA"/>
              </w:rPr>
            </w:pPr>
            <w:r>
              <w:rPr>
                <w:rFonts w:hint="eastAsia" w:ascii="宋体" w:hAnsi="宋体" w:eastAsia="宋体" w:cs="宋体"/>
                <w:bCs/>
                <w:color w:val="auto"/>
                <w:kern w:val="2"/>
                <w:sz w:val="24"/>
                <w:szCs w:val="24"/>
                <w:lang w:val="en-US" w:eastAsia="zh-CN" w:bidi="ar-SA"/>
              </w:rPr>
              <w:t>履约保证金</w:t>
            </w:r>
          </w:p>
        </w:tc>
        <w:tc>
          <w:tcPr>
            <w:tcW w:w="7244" w:type="dxa"/>
            <w:tcBorders>
              <w:top w:val="single" w:color="auto" w:sz="4" w:space="0"/>
              <w:left w:val="nil"/>
              <w:bottom w:val="single" w:color="auto" w:sz="4" w:space="0"/>
              <w:right w:val="single" w:color="auto" w:sz="4" w:space="0"/>
            </w:tcBorders>
            <w:vAlign w:val="center"/>
          </w:tcPr>
          <w:p w14:paraId="09001944">
            <w:pPr>
              <w:pStyle w:val="180"/>
              <w:keepNext w:val="0"/>
              <w:keepLines w:val="0"/>
              <w:pageBreakBefore w:val="0"/>
              <w:widowControl w:val="0"/>
              <w:kinsoku/>
              <w:wordWrap/>
              <w:overflowPunct/>
              <w:topLinePunct w:val="0"/>
              <w:bidi w:val="0"/>
              <w:adjustRightInd w:val="0"/>
              <w:snapToGrid w:val="0"/>
              <w:spacing w:line="480" w:lineRule="exact"/>
              <w:ind w:left="0" w:right="0"/>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☑无要求</w:t>
            </w:r>
          </w:p>
          <w:p w14:paraId="429FD102">
            <w:pPr>
              <w:pStyle w:val="180"/>
              <w:keepNext w:val="0"/>
              <w:keepLines w:val="0"/>
              <w:pageBreakBefore w:val="0"/>
              <w:widowControl w:val="0"/>
              <w:kinsoku/>
              <w:wordWrap/>
              <w:overflowPunct/>
              <w:topLinePunct w:val="0"/>
              <w:bidi w:val="0"/>
              <w:adjustRightInd w:val="0"/>
              <w:snapToGrid w:val="0"/>
              <w:spacing w:line="480" w:lineRule="exact"/>
              <w:ind w:left="0" w:right="0" w:firstLine="19"/>
              <w:jc w:val="both"/>
              <w:textAlignment w:val="auto"/>
              <w:rPr>
                <w:rFonts w:hint="eastAsia" w:ascii="宋体" w:hAnsi="宋体" w:eastAsia="宋体" w:cs="宋体"/>
                <w:color w:val="auto"/>
                <w:kern w:val="2"/>
                <w:sz w:val="24"/>
                <w:szCs w:val="24"/>
                <w:lang w:val="en-US" w:eastAsia="en-US" w:bidi="ar-SA"/>
              </w:rPr>
            </w:pPr>
            <w:r>
              <w:rPr>
                <w:rFonts w:hint="eastAsia" w:ascii="宋体" w:hAnsi="宋体" w:eastAsia="宋体" w:cs="宋体"/>
                <w:bCs/>
                <w:color w:val="auto"/>
                <w:kern w:val="2"/>
                <w:sz w:val="24"/>
                <w:szCs w:val="24"/>
                <w:lang w:val="en-US" w:eastAsia="zh-CN" w:bidi="ar-SA"/>
              </w:rPr>
              <w:t>□要求提交。履约保证金的数额为合同金额的10%。成交人以支票、汇票、本票或者金融机构、担保机构出具的保函等非现金形式向采购人提交。</w:t>
            </w:r>
          </w:p>
        </w:tc>
      </w:tr>
      <w:tr w14:paraId="686E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55C2D1E9">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27</w:t>
            </w:r>
          </w:p>
        </w:tc>
        <w:tc>
          <w:tcPr>
            <w:tcW w:w="1801" w:type="dxa"/>
            <w:tcBorders>
              <w:top w:val="single" w:color="auto" w:sz="4" w:space="0"/>
              <w:left w:val="nil"/>
              <w:bottom w:val="single" w:color="auto" w:sz="4" w:space="0"/>
              <w:right w:val="single" w:color="auto" w:sz="4" w:space="0"/>
            </w:tcBorders>
            <w:vAlign w:val="center"/>
          </w:tcPr>
          <w:p w14:paraId="7FE195EF">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代理服务费</w:t>
            </w:r>
          </w:p>
        </w:tc>
        <w:tc>
          <w:tcPr>
            <w:tcW w:w="7244" w:type="dxa"/>
            <w:tcBorders>
              <w:top w:val="single" w:color="auto" w:sz="4" w:space="0"/>
              <w:left w:val="nil"/>
              <w:bottom w:val="single" w:color="auto" w:sz="4" w:space="0"/>
              <w:right w:val="single" w:color="auto" w:sz="4" w:space="0"/>
            </w:tcBorders>
            <w:vAlign w:val="center"/>
          </w:tcPr>
          <w:p w14:paraId="28A26FC7">
            <w:pPr>
              <w:keepNext w:val="0"/>
              <w:keepLines w:val="0"/>
              <w:pageBreakBefore w:val="0"/>
              <w:kinsoku/>
              <w:wordWrap/>
              <w:overflowPunct/>
              <w:topLinePunct w:val="0"/>
              <w:bidi w:val="0"/>
              <w:adjustRightInd w:val="0"/>
              <w:snapToGrid w:val="0"/>
              <w:spacing w:line="480" w:lineRule="exact"/>
              <w:ind w:left="0" w:right="0"/>
              <w:textAlignment w:val="auto"/>
              <w:rPr>
                <w:rFonts w:hint="eastAsia" w:ascii="宋体" w:hAnsi="宋体" w:eastAsia="宋体" w:cs="宋体"/>
                <w:bCs/>
                <w:color w:val="auto"/>
                <w:sz w:val="24"/>
                <w:szCs w:val="24"/>
              </w:rPr>
            </w:pPr>
            <w:r>
              <w:rPr>
                <w:rFonts w:hint="eastAsia" w:ascii="宋体" w:hAnsi="宋体" w:eastAsia="宋体" w:cs="宋体"/>
                <w:bCs/>
                <w:color w:val="auto"/>
                <w:kern w:val="2"/>
                <w:sz w:val="24"/>
                <w:szCs w:val="24"/>
                <w:lang w:val="en-US" w:eastAsia="zh-CN" w:bidi="ar-SA"/>
              </w:rPr>
              <w:t>☑收取，成交通知书发出前，由成交供应商按照河南省招投标协会豫招协[2023]002号文，按照差额定率累进法计取，一次性以现金或转账形式交纳。</w:t>
            </w:r>
          </w:p>
        </w:tc>
      </w:tr>
      <w:tr w14:paraId="11FB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52691FFE">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28</w:t>
            </w:r>
          </w:p>
        </w:tc>
        <w:tc>
          <w:tcPr>
            <w:tcW w:w="1801" w:type="dxa"/>
            <w:tcBorders>
              <w:top w:val="single" w:color="auto" w:sz="4" w:space="0"/>
              <w:left w:val="nil"/>
              <w:bottom w:val="single" w:color="auto" w:sz="4" w:space="0"/>
              <w:right w:val="single" w:color="auto" w:sz="4" w:space="0"/>
            </w:tcBorders>
            <w:vAlign w:val="center"/>
          </w:tcPr>
          <w:p w14:paraId="430A2BF4">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授权函</w:t>
            </w:r>
          </w:p>
        </w:tc>
        <w:tc>
          <w:tcPr>
            <w:tcW w:w="7244" w:type="dxa"/>
            <w:tcBorders>
              <w:top w:val="single" w:color="auto" w:sz="4" w:space="0"/>
              <w:left w:val="nil"/>
              <w:bottom w:val="single" w:color="auto" w:sz="4" w:space="0"/>
              <w:right w:val="single" w:color="auto" w:sz="4" w:space="0"/>
            </w:tcBorders>
            <w:vAlign w:val="center"/>
          </w:tcPr>
          <w:p w14:paraId="287D6A9E">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0"/>
                <w:sz w:val="24"/>
                <w:szCs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2人。</w:t>
            </w:r>
          </w:p>
        </w:tc>
      </w:tr>
      <w:tr w14:paraId="53F2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28D3FE5">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sz w:val="24"/>
                <w:szCs w:val="24"/>
                <w:lang w:val="en-US" w:eastAsia="zh-CN"/>
              </w:rPr>
              <w:t>29</w:t>
            </w:r>
          </w:p>
        </w:tc>
        <w:tc>
          <w:tcPr>
            <w:tcW w:w="1801" w:type="dxa"/>
            <w:tcBorders>
              <w:top w:val="single" w:color="auto" w:sz="4" w:space="0"/>
              <w:left w:val="nil"/>
              <w:bottom w:val="single" w:color="auto" w:sz="4" w:space="0"/>
              <w:right w:val="single" w:color="auto" w:sz="4" w:space="0"/>
            </w:tcBorders>
            <w:vAlign w:val="center"/>
          </w:tcPr>
          <w:p w14:paraId="44478904">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电子化采购模式</w:t>
            </w:r>
          </w:p>
        </w:tc>
        <w:tc>
          <w:tcPr>
            <w:tcW w:w="7244" w:type="dxa"/>
            <w:tcBorders>
              <w:top w:val="single" w:color="auto" w:sz="4" w:space="0"/>
              <w:left w:val="nil"/>
              <w:bottom w:val="single" w:color="auto" w:sz="4" w:space="0"/>
              <w:right w:val="single" w:color="auto" w:sz="4" w:space="0"/>
            </w:tcBorders>
            <w:vAlign w:val="center"/>
          </w:tcPr>
          <w:p w14:paraId="3888C205">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☑是。供应商投标时须成功上传、解密电子响应文件。供应商资质、业 绩、荣誉及相关人员证明材料等资料原件不再提交（本磋商文件第六章另有要求提供原件的除外）。</w:t>
            </w:r>
          </w:p>
          <w:p w14:paraId="14A56B2C">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□否。供应商投标时须提供纸质响应文件。供应商资质、业绩、荣誉及相关人员证明材料等资料原件根据磋商文件要求提供。</w:t>
            </w:r>
          </w:p>
        </w:tc>
      </w:tr>
      <w:tr w14:paraId="5034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505130F">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sz w:val="24"/>
                <w:szCs w:val="24"/>
                <w:lang w:val="en-US" w:eastAsia="zh-CN"/>
              </w:rPr>
              <w:t>30</w:t>
            </w:r>
          </w:p>
        </w:tc>
        <w:tc>
          <w:tcPr>
            <w:tcW w:w="1801" w:type="dxa"/>
            <w:tcBorders>
              <w:top w:val="single" w:color="auto" w:sz="4" w:space="0"/>
              <w:left w:val="nil"/>
              <w:bottom w:val="single" w:color="auto" w:sz="4" w:space="0"/>
              <w:right w:val="single" w:color="auto" w:sz="4" w:space="0"/>
            </w:tcBorders>
            <w:vAlign w:val="center"/>
          </w:tcPr>
          <w:p w14:paraId="39168E51">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Cs/>
                <w:color w:val="0000FF"/>
                <w:kern w:val="2"/>
                <w:sz w:val="24"/>
                <w:szCs w:val="24"/>
                <w:lang w:val="en-US" w:eastAsia="zh-CN" w:bidi="ar-SA"/>
              </w:rPr>
            </w:pPr>
            <w:r>
              <w:rPr>
                <w:rFonts w:hint="eastAsia" w:ascii="宋体" w:hAnsi="宋体" w:eastAsia="宋体" w:cs="宋体"/>
                <w:bCs/>
                <w:color w:val="auto"/>
                <w:kern w:val="2"/>
                <w:sz w:val="24"/>
                <w:szCs w:val="24"/>
                <w:lang w:val="en-US" w:eastAsia="zh-CN" w:bidi="ar-SA"/>
              </w:rPr>
              <w:t>最后报价</w:t>
            </w:r>
          </w:p>
        </w:tc>
        <w:tc>
          <w:tcPr>
            <w:tcW w:w="7244" w:type="dxa"/>
            <w:tcBorders>
              <w:top w:val="single" w:color="auto" w:sz="4" w:space="0"/>
              <w:left w:val="nil"/>
              <w:bottom w:val="single" w:color="auto" w:sz="4" w:space="0"/>
              <w:right w:val="single" w:color="auto" w:sz="4" w:space="0"/>
            </w:tcBorders>
            <w:vAlign w:val="center"/>
          </w:tcPr>
          <w:p w14:paraId="2BF99352">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根据磋商小组要求，供应商须使用CA数字证书或移动数字证书登录《全国公共资源交易平台（河南省·许昌市）》公共资源交易系统进行最后报价，最后报价应包括：①总报价②分项报价。</w:t>
            </w:r>
          </w:p>
          <w:p w14:paraId="0430E56D">
            <w:pPr>
              <w:keepNext w:val="0"/>
              <w:keepLines w:val="0"/>
              <w:pageBreakBefore w:val="0"/>
              <w:widowControl w:val="0"/>
              <w:numPr>
                <w:ilvl w:val="0"/>
                <w:numId w:val="0"/>
              </w:numPr>
              <w:tabs>
                <w:tab w:val="left" w:pos="7095"/>
              </w:tabs>
              <w:kinsoku/>
              <w:wordWrap/>
              <w:overflowPunct/>
              <w:topLinePunct w:val="0"/>
              <w:autoSpaceDE/>
              <w:autoSpaceDN/>
              <w:bidi w:val="0"/>
              <w:adjustRightInd w:val="0"/>
              <w:snapToGrid w:val="0"/>
              <w:spacing w:line="480" w:lineRule="exact"/>
              <w:ind w:left="0" w:right="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w:t>
            </w:r>
          </w:p>
          <w:p w14:paraId="212076A4">
            <w:pPr>
              <w:keepNext w:val="0"/>
              <w:keepLines w:val="0"/>
              <w:pageBreakBefore w:val="0"/>
              <w:widowControl w:val="0"/>
              <w:numPr>
                <w:ilvl w:val="0"/>
                <w:numId w:val="0"/>
              </w:numPr>
              <w:tabs>
                <w:tab w:val="left" w:pos="7095"/>
              </w:tabs>
              <w:kinsoku/>
              <w:wordWrap/>
              <w:overflowPunct/>
              <w:topLinePunct w:val="0"/>
              <w:autoSpaceDE/>
              <w:autoSpaceDN/>
              <w:bidi w:val="0"/>
              <w:adjustRightInd w:val="0"/>
              <w:snapToGrid w:val="0"/>
              <w:spacing w:line="480" w:lineRule="exact"/>
              <w:ind w:left="0" w:right="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①磋商小组要求供应商提交最后报价时，在磋商小组规定时间内，供应商应提交最后报价（包括总报价及分项报价）。最后报价是供应商响应文件的有效组成部分。</w:t>
            </w:r>
          </w:p>
          <w:p w14:paraId="79164AB0">
            <w:pPr>
              <w:keepNext w:val="0"/>
              <w:keepLines w:val="0"/>
              <w:pageBreakBefore w:val="0"/>
              <w:widowControl w:val="0"/>
              <w:numPr>
                <w:ilvl w:val="0"/>
                <w:numId w:val="0"/>
              </w:numPr>
              <w:tabs>
                <w:tab w:val="left" w:pos="7095"/>
              </w:tabs>
              <w:kinsoku/>
              <w:wordWrap/>
              <w:overflowPunct/>
              <w:topLinePunct w:val="0"/>
              <w:autoSpaceDE/>
              <w:autoSpaceDN/>
              <w:bidi w:val="0"/>
              <w:adjustRightInd w:val="0"/>
              <w:snapToGrid w:val="0"/>
              <w:spacing w:line="480" w:lineRule="exact"/>
              <w:ind w:right="0"/>
              <w:contextualSpacing/>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②磋商文件第二章“采购需求”中“采购清单”以工程量清单提供的，供应商应以工程量清单方式提交最后报价。</w:t>
            </w:r>
          </w:p>
          <w:p w14:paraId="52ACC925">
            <w:pPr>
              <w:keepNext w:val="0"/>
              <w:keepLines w:val="0"/>
              <w:pageBreakBefore w:val="0"/>
              <w:widowControl w:val="0"/>
              <w:numPr>
                <w:ilvl w:val="0"/>
                <w:numId w:val="0"/>
              </w:numPr>
              <w:tabs>
                <w:tab w:val="left" w:pos="7095"/>
              </w:tabs>
              <w:kinsoku/>
              <w:wordWrap/>
              <w:overflowPunct/>
              <w:topLinePunct w:val="0"/>
              <w:autoSpaceDE/>
              <w:autoSpaceDN/>
              <w:bidi w:val="0"/>
              <w:adjustRightInd w:val="0"/>
              <w:snapToGrid w:val="0"/>
              <w:spacing w:line="480" w:lineRule="exact"/>
              <w:ind w:right="0"/>
              <w:contextualSpacing/>
              <w:textAlignment w:val="auto"/>
              <w:rPr>
                <w:rFonts w:hint="eastAsia" w:ascii="宋体" w:hAnsi="宋体" w:eastAsia="宋体" w:cs="宋体"/>
                <w:bCs/>
                <w:color w:val="0000FF"/>
                <w:kern w:val="2"/>
                <w:sz w:val="24"/>
                <w:szCs w:val="24"/>
                <w:lang w:val="en-US" w:eastAsia="zh-CN" w:bidi="ar-SA"/>
              </w:rPr>
            </w:pPr>
            <w:r>
              <w:rPr>
                <w:rFonts w:hint="eastAsia" w:ascii="宋体" w:hAnsi="宋体" w:eastAsia="宋体" w:cs="宋体"/>
                <w:b w:val="0"/>
                <w:bCs w:val="0"/>
                <w:color w:val="auto"/>
                <w:sz w:val="24"/>
                <w:szCs w:val="24"/>
              </w:rPr>
              <w:t>③请供应商根据项目情况，可提前准备分项报价。</w:t>
            </w:r>
          </w:p>
        </w:tc>
      </w:tr>
      <w:tr w14:paraId="094B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5994953B">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31</w:t>
            </w:r>
          </w:p>
        </w:tc>
        <w:tc>
          <w:tcPr>
            <w:tcW w:w="1801" w:type="dxa"/>
            <w:tcBorders>
              <w:top w:val="single" w:color="auto" w:sz="4" w:space="0"/>
              <w:left w:val="nil"/>
              <w:bottom w:val="single" w:color="auto" w:sz="4" w:space="0"/>
              <w:right w:val="single" w:color="auto" w:sz="4" w:space="0"/>
            </w:tcBorders>
            <w:vAlign w:val="center"/>
          </w:tcPr>
          <w:p w14:paraId="7D489597">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特别提示</w:t>
            </w:r>
          </w:p>
        </w:tc>
        <w:tc>
          <w:tcPr>
            <w:tcW w:w="7244" w:type="dxa"/>
            <w:tcBorders>
              <w:top w:val="single" w:color="auto" w:sz="4" w:space="0"/>
              <w:left w:val="nil"/>
              <w:bottom w:val="single" w:color="auto" w:sz="4" w:space="0"/>
              <w:right w:val="single" w:color="auto" w:sz="4" w:space="0"/>
            </w:tcBorders>
            <w:vAlign w:val="center"/>
          </w:tcPr>
          <w:p w14:paraId="4B49F020">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按照《关于推进全流程电子化交易和在线监管工作有关问题的通知》（许公管办[2019]3号） 规定：不同供应商电子响应文件制作硬件特征码（网卡MAC地址、 CPU序号、 硬盘序列号） 均一致时，视为‘不同供应商的响应文件由同一单位或者 个人编制’或‘不同供应商委托同一单位或者个人办理响应事宜’，其投标无效。</w:t>
            </w:r>
          </w:p>
          <w:p w14:paraId="3B53206E">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评审专家应严格按照要求查看“硬件特征码”相关信息并进行评审，在 评审报告中显示“不同供应商电子响应文件制作硬件特征码”是否雷同的分析及判定结果。</w:t>
            </w:r>
          </w:p>
        </w:tc>
      </w:tr>
      <w:tr w14:paraId="0646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47024E9">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32</w:t>
            </w:r>
          </w:p>
        </w:tc>
        <w:tc>
          <w:tcPr>
            <w:tcW w:w="1801" w:type="dxa"/>
            <w:tcBorders>
              <w:top w:val="single" w:color="auto" w:sz="4" w:space="0"/>
              <w:left w:val="nil"/>
              <w:bottom w:val="single" w:color="auto" w:sz="4" w:space="0"/>
              <w:right w:val="single" w:color="auto" w:sz="4" w:space="0"/>
            </w:tcBorders>
            <w:vAlign w:val="center"/>
          </w:tcPr>
          <w:p w14:paraId="00368311">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Cs/>
                <w:color w:val="auto"/>
                <w:sz w:val="24"/>
                <w:szCs w:val="24"/>
              </w:rPr>
            </w:pPr>
            <w:r>
              <w:rPr>
                <w:rFonts w:hint="eastAsia" w:ascii="宋体" w:hAnsi="宋体" w:eastAsia="宋体" w:cs="宋体"/>
                <w:bCs/>
                <w:color w:val="auto"/>
                <w:kern w:val="2"/>
                <w:sz w:val="24"/>
                <w:szCs w:val="24"/>
                <w:lang w:val="en-US" w:eastAsia="zh-CN" w:bidi="ar-SA"/>
              </w:rPr>
              <w:t>供应商资格</w:t>
            </w:r>
          </w:p>
        </w:tc>
        <w:tc>
          <w:tcPr>
            <w:tcW w:w="7244" w:type="dxa"/>
            <w:tcBorders>
              <w:top w:val="single" w:color="auto" w:sz="4" w:space="0"/>
              <w:left w:val="nil"/>
              <w:bottom w:val="single" w:color="auto" w:sz="4" w:space="0"/>
              <w:right w:val="single" w:color="auto" w:sz="4" w:space="0"/>
            </w:tcBorders>
            <w:vAlign w:val="center"/>
          </w:tcPr>
          <w:p w14:paraId="2FF842CB">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供应商在成交后，应将由《襄城县政府采购供应商信用承诺函》替代的证明材料提交采购人核验。</w:t>
            </w:r>
          </w:p>
          <w:p w14:paraId="207148BD">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一、法人或者其他组织的营业执照等证明文件，自然人的身份证明</w:t>
            </w:r>
          </w:p>
          <w:p w14:paraId="1D285B10">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1、企业法人营业执照或营业执照。（企业提供）</w:t>
            </w:r>
          </w:p>
          <w:p w14:paraId="6B1F9885">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2、事业单位法人证书。（事业单位提供）</w:t>
            </w:r>
          </w:p>
          <w:p w14:paraId="5CAC49C0">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3、执业许可证。（非企业专业服务机构提供）</w:t>
            </w:r>
          </w:p>
          <w:p w14:paraId="709074C6">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4、个体工商户营业执照。（个体工商户提供）</w:t>
            </w:r>
          </w:p>
          <w:p w14:paraId="37E02E5B">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5、自然人身份证明。（自然人提供）</w:t>
            </w:r>
          </w:p>
          <w:p w14:paraId="6D709BF5">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6、民办非企业单位登记证书。（民办非企业单位提供）</w:t>
            </w:r>
          </w:p>
          <w:p w14:paraId="12786F9C">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二、财务状况报告相关材料</w:t>
            </w:r>
          </w:p>
          <w:p w14:paraId="76E58662">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（1）供应商是法人（法人包括企业法人、机关法人、事业单位法人和社会团体法人），提供本单位：</w:t>
            </w:r>
          </w:p>
          <w:p w14:paraId="34313870">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①2024年度或2025年度经审计的财务报告，包括资产负债表、利润表、现金流量表、所有者权益变动表及其附注；</w:t>
            </w:r>
          </w:p>
          <w:p w14:paraId="3D39361D">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②基本开户银行出具的资信证明；</w:t>
            </w:r>
          </w:p>
          <w:p w14:paraId="6189CA0B">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③财政部门认可的政府采购专业担保机构的证明文件和担保机构出具的投标担保函。</w:t>
            </w:r>
          </w:p>
          <w:p w14:paraId="33BF863F">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注：仅需提供序号①～③其中之一即可。</w:t>
            </w:r>
          </w:p>
          <w:p w14:paraId="76013515">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（2）供应商（其他组织和自然人）提供本单位：</w:t>
            </w:r>
          </w:p>
          <w:p w14:paraId="28423E28">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①2024年度或2025年度经审计的财务报告， 包括资产负债表、利润表、现金流量表、所有者权益变动表及其附注；</w:t>
            </w:r>
          </w:p>
          <w:p w14:paraId="697F779B">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②银行出具的资信证明；</w:t>
            </w:r>
          </w:p>
          <w:p w14:paraId="1340A3E9">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③财政部门认可的政府采购专业担保机构的证明文件和担保机构出具的投标担保函。</w:t>
            </w:r>
          </w:p>
          <w:p w14:paraId="2EAEFB7F">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注：仅需提供序号①～③其中之一即可。</w:t>
            </w:r>
          </w:p>
          <w:p w14:paraId="6542D723">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三、依法缴纳税收相关材料</w:t>
            </w:r>
          </w:p>
          <w:p w14:paraId="34B90B6F">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参加本次政府采购项目磋商响应截止时间前一年内任意一个月缴纳税收凭据。（依法免税的供应商，应提供相应文件证明依法免税）</w:t>
            </w:r>
          </w:p>
          <w:p w14:paraId="4A60DA95">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四、依法缴纳社会保障资金的证明材料</w:t>
            </w:r>
          </w:p>
          <w:p w14:paraId="440F1D62">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参加本次政府采购项目磋商响应截止时间前一年内任意一个月缴纳社会保险凭据。（依法不需要缴纳社会保障资金的供应商，应提供相应文件证明依法不需要缴纳社会保障资金）</w:t>
            </w:r>
          </w:p>
          <w:p w14:paraId="5624BFE2">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五、履行合同所必须的设备和专业技术能力的证明材料</w:t>
            </w:r>
          </w:p>
          <w:p w14:paraId="1E9A69C8">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①相关设备的购置发票、专业技术人员职称证书、用工合同等；</w:t>
            </w:r>
          </w:p>
          <w:p w14:paraId="75225A02">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②供应商具备履行合同所必须的设备和专业技术能力承诺函或声明（承诺函或声明格式自拟）。</w:t>
            </w:r>
          </w:p>
          <w:p w14:paraId="6F6913F5">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注：仅需提供序号①~②其中之一即可。</w:t>
            </w:r>
          </w:p>
          <w:p w14:paraId="3664805E">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六、 参加政府采购活动前3年内在经营活动中没有重大违法记录的声明。供应商应提供“参加政府采购活动前3年内在经营活动中没有重大违法记录的书面声明”。 重大违法记录，是指供应商因违法经营受到刑事处罚或者责令停产停业、吊销许可证或者执照、较大数额罚款等行政处罚。</w:t>
            </w:r>
          </w:p>
          <w:p w14:paraId="01CF587D">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七、 未被列入“信用中国 ”网站(www.creditchina.gov.cn)失信被执行人、税收违法黑名单的供应商；“中国政府采购网 ” (www.ccgp.gov.cn) 政府采购严重违法失信行为记录名单的供应商；“中国社会组织政务服务平台”网站（https://chinanpo.mca.gov.cn)严重违法失信社会组织 名单的供应商（联合体形式投标的， 联合体成员存在不良信用记录，视</w:t>
            </w:r>
          </w:p>
          <w:p w14:paraId="41D828DA">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同联合体存在不良信用记录）。</w:t>
            </w:r>
          </w:p>
          <w:p w14:paraId="21768FD9">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1、查询渠道：</w:t>
            </w:r>
          </w:p>
          <w:p w14:paraId="782E6DFD">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u w:val="none"/>
                <w:lang w:val="en-US" w:eastAsia="zh-CN" w:bidi="ar-SA"/>
              </w:rPr>
              <w:t>①“信用中国”网站(www.creditchina.gov.cn)</w:t>
            </w:r>
          </w:p>
          <w:p w14:paraId="1ACAC0D6">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②“中国政府采购网”（www.ccgp.gov.cn）</w:t>
            </w:r>
          </w:p>
          <w:p w14:paraId="6FBFDCF9">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③“中国社会组织政务服务平台”网站(https://chinanpo.mca.gov.cn)（仅查询社会组织）；</w:t>
            </w:r>
          </w:p>
          <w:p w14:paraId="744775CA">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2、截止时间： 同投标截止时间；</w:t>
            </w:r>
          </w:p>
          <w:p w14:paraId="523B5816">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sz w:val="24"/>
                <w:szCs w:val="24"/>
              </w:rPr>
            </w:pPr>
            <w:r>
              <w:rPr>
                <w:rFonts w:hint="eastAsia" w:ascii="宋体" w:hAnsi="宋体" w:eastAsia="宋体" w:cs="宋体"/>
                <w:bCs/>
                <w:color w:val="auto"/>
                <w:kern w:val="2"/>
                <w:sz w:val="24"/>
                <w:szCs w:val="24"/>
                <w:lang w:val="en-US" w:eastAsia="zh-CN" w:bidi="ar-SA"/>
              </w:rPr>
              <w:t>3、信用信息的使用原则：经采购人认定的被列入失信被执行人、税收违法黑名单、政府采购严重违法失信行为记录名单的投标人、严重违法失信社会组织，将拒绝其参与本次政府采购活动。</w:t>
            </w:r>
          </w:p>
        </w:tc>
      </w:tr>
      <w:tr w14:paraId="6AE1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01FAAD1">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1801" w:type="dxa"/>
            <w:tcBorders>
              <w:top w:val="single" w:color="auto" w:sz="4" w:space="0"/>
              <w:left w:val="nil"/>
              <w:bottom w:val="single" w:color="auto" w:sz="4" w:space="0"/>
              <w:right w:val="single" w:color="auto" w:sz="4" w:space="0"/>
            </w:tcBorders>
            <w:vAlign w:val="center"/>
          </w:tcPr>
          <w:p w14:paraId="37C79A9A">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解释权</w:t>
            </w:r>
          </w:p>
        </w:tc>
        <w:tc>
          <w:tcPr>
            <w:tcW w:w="7244" w:type="dxa"/>
            <w:tcBorders>
              <w:top w:val="single" w:color="auto" w:sz="4" w:space="0"/>
              <w:left w:val="nil"/>
              <w:bottom w:val="single" w:color="auto" w:sz="4" w:space="0"/>
              <w:right w:val="single" w:color="auto" w:sz="4" w:space="0"/>
            </w:tcBorders>
            <w:vAlign w:val="center"/>
          </w:tcPr>
          <w:p w14:paraId="07909624">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构成本招标文件的各个组成文件应互为解释，互为说明；如有不明确或不一致，构成合同文件组成内容的，以合同文件约定内容为准，且以专用合同条款约定的合同文件优先顺序解释；除竞争性磋商文件中有特别规定外，仅适用于招标投标阶段的规定，按招标公告（磋商邀请）、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5BA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14:paraId="558D2465">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未尽事宜，按国家有关规定执行。</w:t>
            </w:r>
          </w:p>
        </w:tc>
      </w:tr>
    </w:tbl>
    <w:p w14:paraId="091D98F1">
      <w:pPr>
        <w:spacing w:line="360" w:lineRule="auto"/>
        <w:jc w:val="center"/>
        <w:outlineLvl w:val="0"/>
        <w:rPr>
          <w:rFonts w:hint="eastAsia" w:ascii="宋体" w:hAnsi="宋体" w:eastAsia="宋体" w:cs="宋体"/>
          <w:b/>
          <w:color w:val="auto"/>
          <w:kern w:val="0"/>
          <w:sz w:val="32"/>
          <w:szCs w:val="32"/>
        </w:rPr>
      </w:pPr>
    </w:p>
    <w:bookmarkEnd w:id="9"/>
    <w:p w14:paraId="7B0AC236">
      <w:pPr>
        <w:rPr>
          <w:rFonts w:hint="eastAsia" w:ascii="宋体" w:hAnsi="宋体" w:eastAsia="宋体" w:cs="宋体"/>
          <w:b/>
          <w:bCs/>
          <w:color w:val="auto"/>
          <w:kern w:val="0"/>
          <w:sz w:val="31"/>
          <w:szCs w:val="31"/>
          <w:highlight w:val="none"/>
        </w:rPr>
      </w:pPr>
      <w:r>
        <w:rPr>
          <w:rFonts w:hint="eastAsia" w:ascii="宋体" w:hAnsi="宋体" w:eastAsia="宋体" w:cs="宋体"/>
          <w:b/>
          <w:bCs/>
          <w:color w:val="auto"/>
          <w:kern w:val="0"/>
          <w:sz w:val="31"/>
          <w:szCs w:val="31"/>
          <w:highlight w:val="none"/>
        </w:rPr>
        <w:br w:type="page"/>
      </w:r>
    </w:p>
    <w:p w14:paraId="470ACCD7">
      <w:pPr>
        <w:widowControl/>
        <w:jc w:val="center"/>
        <w:rPr>
          <w:rFonts w:hint="eastAsia" w:ascii="宋体" w:hAnsi="宋体" w:eastAsia="宋体" w:cs="宋体"/>
          <w:color w:val="auto"/>
          <w:highlight w:val="none"/>
        </w:rPr>
      </w:pPr>
      <w:r>
        <w:rPr>
          <w:rFonts w:hint="eastAsia" w:ascii="宋体" w:hAnsi="宋体" w:eastAsia="宋体" w:cs="宋体"/>
          <w:b/>
          <w:bCs/>
          <w:color w:val="auto"/>
          <w:kern w:val="0"/>
          <w:sz w:val="31"/>
          <w:szCs w:val="31"/>
          <w:highlight w:val="none"/>
        </w:rPr>
        <w:t>第四章 供应商须知</w:t>
      </w:r>
    </w:p>
    <w:p w14:paraId="53DF116B">
      <w:pPr>
        <w:autoSpaceDE w:val="0"/>
        <w:autoSpaceDN w:val="0"/>
        <w:adjustRightInd w:val="0"/>
        <w:snapToGrid w:val="0"/>
        <w:spacing w:line="360" w:lineRule="auto"/>
        <w:ind w:right="-512" w:rightChars="-244"/>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一、概念释义</w:t>
      </w:r>
    </w:p>
    <w:p w14:paraId="1DCBEFA0">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1、适用范围 </w:t>
      </w:r>
    </w:p>
    <w:p w14:paraId="3090F189">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1.1本磋商文件仅适用于本次“磋商邀请”中所述采购项目。</w:t>
      </w:r>
    </w:p>
    <w:p w14:paraId="33FFA3D8">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1.2本磋商文件解释权属于“磋商邀请”所述的采购人。</w:t>
      </w:r>
    </w:p>
    <w:p w14:paraId="4D92AAB5">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2、定义 </w:t>
      </w:r>
    </w:p>
    <w:p w14:paraId="5CBE0690">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2.1“采购项目”：“供应商须知前附表”中所述的采购项目。</w:t>
      </w:r>
    </w:p>
    <w:p w14:paraId="485133B1">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2.2“采购人”：“供应商须知前附表”中所述的组织本次招标的代理机构或采购人。</w:t>
      </w:r>
    </w:p>
    <w:p w14:paraId="7785D858">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2.3“采购人”：是指依法进行政府采购的国家机关、事业单位、团体组织。采购人名称、地址、电话、联系人见“供应商须知前附表”。</w:t>
      </w:r>
    </w:p>
    <w:p w14:paraId="3FDF84E3">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2.4“代理机构”：接受采购人委托，代理采购项目的采购代理机构。代理机构名称、地址、电话、联系人见“供应商须知前附表”。</w:t>
      </w:r>
    </w:p>
    <w:p w14:paraId="17771D42">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采购代理机构及其分支机构不得在所代理的采购项目中投标或者代理投标，不得为所代理的采购项目的供应商参加本项目提供投标咨询。</w:t>
      </w:r>
    </w:p>
    <w:p w14:paraId="2FC7792A">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2.5“潜在供应商”指符合《中华人民共和国政府采购法》及相关法律法规和</w:t>
      </w:r>
      <w:r>
        <w:rPr>
          <w:rFonts w:hint="eastAsia" w:ascii="宋体" w:hAnsi="宋体" w:eastAsia="宋体" w:cs="宋体"/>
          <w:color w:val="auto"/>
          <w:kern w:val="0"/>
          <w:sz w:val="24"/>
          <w:szCs w:val="24"/>
          <w:highlight w:val="none"/>
          <w:lang w:eastAsia="zh-CN"/>
        </w:rPr>
        <w:t>本</w:t>
      </w:r>
      <w:r>
        <w:rPr>
          <w:rFonts w:hint="eastAsia" w:ascii="宋体" w:hAnsi="宋体" w:eastAsia="宋体" w:cs="宋体"/>
          <w:color w:val="auto"/>
          <w:kern w:val="0"/>
          <w:sz w:val="24"/>
          <w:szCs w:val="24"/>
          <w:highlight w:val="none"/>
        </w:rPr>
        <w:t>磋商文件的各项规定，且按照本项目磋商公告及</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文件规定的方式获取</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文件的法人、其他组织或者自然人。</w:t>
      </w:r>
    </w:p>
    <w:p w14:paraId="10E42D0C">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2.6“供应商”：是指符合《中华人民共和国政府采购法》及相关法律法规和</w:t>
      </w:r>
      <w:r>
        <w:rPr>
          <w:rFonts w:hint="eastAsia" w:ascii="宋体" w:hAnsi="宋体" w:eastAsia="宋体" w:cs="宋体"/>
          <w:color w:val="auto"/>
          <w:kern w:val="0"/>
          <w:sz w:val="24"/>
          <w:szCs w:val="24"/>
          <w:highlight w:val="none"/>
          <w:lang w:eastAsia="zh-CN"/>
        </w:rPr>
        <w:t>本</w:t>
      </w:r>
      <w:r>
        <w:rPr>
          <w:rFonts w:hint="eastAsia" w:ascii="宋体" w:hAnsi="宋体" w:eastAsia="宋体" w:cs="宋体"/>
          <w:color w:val="auto"/>
          <w:kern w:val="0"/>
          <w:sz w:val="24"/>
          <w:szCs w:val="24"/>
          <w:highlight w:val="none"/>
        </w:rPr>
        <w:t>磋商文件的各项规定，响应招标、参加投标竞争，从采购人处按规定获取</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文件，并按照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文件要求向采购人提交响应文件的法人、其他组织或者自然人。</w:t>
      </w:r>
    </w:p>
    <w:p w14:paraId="16A1ABB6">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2.7“进口产品”：是指通过中国海关报关验放进入中国境内且产自关境外的产品，包括已经进入中国境内的进口产品。详见《关于政府采购进口产品管理有关问题的通知》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财库[2007]119号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、《关于政府采购进口产品管理有关问题的通知》（财办库</w:t>
      </w:r>
      <w:r>
        <w:rPr>
          <w:rFonts w:hint="eastAsia" w:ascii="宋体" w:hAnsi="宋体" w:eastAsia="宋体" w:cs="宋体"/>
          <w:color w:val="auto"/>
          <w:kern w:val="0"/>
          <w:sz w:val="24"/>
          <w:szCs w:val="24"/>
          <w:highlight w:val="none"/>
          <w:lang w:eastAsia="zh-CN"/>
        </w:rPr>
        <w:t>〔2008〕</w:t>
      </w:r>
      <w:r>
        <w:rPr>
          <w:rFonts w:hint="eastAsia" w:ascii="宋体" w:hAnsi="宋体" w:eastAsia="宋体" w:cs="宋体"/>
          <w:color w:val="auto"/>
          <w:kern w:val="0"/>
          <w:sz w:val="24"/>
          <w:szCs w:val="24"/>
          <w:highlight w:val="none"/>
        </w:rPr>
        <w:t>248号）。</w:t>
      </w:r>
    </w:p>
    <w:p w14:paraId="2A87403E">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2.7.1磋商文件列明不允许或未列明允许进口产品参加投标的，均视为拒绝进口产品参加投标。</w:t>
      </w:r>
    </w:p>
    <w:p w14:paraId="04205115">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2.7.2如磋商文件中已说明，经财政部门审核同意，允许部分或全部产品采购进口产品，供应商既可提供本国产品，也可以提供进口产品。</w:t>
      </w:r>
    </w:p>
    <w:p w14:paraId="7DBD0F2C">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2.8磋商文件中凡标有“★”的条款均系实质性要求条款。</w:t>
      </w:r>
    </w:p>
    <w:p w14:paraId="4FDAFE1F">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3.合格的供应商</w:t>
      </w:r>
    </w:p>
    <w:p w14:paraId="0E827BF6">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3.1在中华人民共和国境内注册，具有本项目生产、制造、供应或实施能力，符合、承认并承诺履行本磋商文件各项规定的法人、其他组织或者自然人。</w:t>
      </w:r>
    </w:p>
    <w:p w14:paraId="63F01DDE">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3.2符合本项目“投标邀请”和“供应商须知前附表”中规定的合格供应商所必须具备的条件。</w:t>
      </w:r>
    </w:p>
    <w:p w14:paraId="22C63B6D">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3.3按照财政部《关于在政府采购活动中查询及使用信用记录有关问题的通知》（财库〔2016〕125号）要求，政府采购活动中查询及使用供应商信用记录的具体要求为：供应商未被列入失信被执行人、</w:t>
      </w:r>
      <w:r>
        <w:rPr>
          <w:rFonts w:hint="eastAsia" w:ascii="宋体" w:hAnsi="宋体" w:eastAsia="宋体" w:cs="宋体"/>
          <w:color w:val="auto"/>
          <w:kern w:val="0"/>
          <w:sz w:val="24"/>
          <w:szCs w:val="24"/>
          <w:highlight w:val="none"/>
          <w:lang w:val="zh-CN"/>
        </w:rPr>
        <w:t>重大税收违法失信主体</w:t>
      </w:r>
      <w:r>
        <w:rPr>
          <w:rFonts w:hint="eastAsia" w:ascii="宋体" w:hAnsi="宋体" w:eastAsia="宋体" w:cs="宋体"/>
          <w:color w:val="auto"/>
          <w:kern w:val="0"/>
          <w:sz w:val="24"/>
          <w:szCs w:val="24"/>
          <w:highlight w:val="none"/>
        </w:rPr>
        <w:t>、政府采购严重违法失信行为记录名单、严重违法失信社会组织名单（联合体形式投标的，联合体成员存在不良信用记录，视同联合体存在不良信用记录）。</w:t>
      </w:r>
    </w:p>
    <w:p w14:paraId="3EE6D5FA">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3.3.1查询渠道：“信用中国”网站（www.creditchina.gov.cn/）、“中国政府采购网”（</w:t>
      </w:r>
      <w:r>
        <w:rPr>
          <w:rFonts w:hint="eastAsia" w:ascii="宋体" w:hAnsi="宋体" w:eastAsia="宋体" w:cs="宋体"/>
          <w:color w:val="auto"/>
          <w:sz w:val="24"/>
          <w:szCs w:val="24"/>
          <w:highlight w:val="none"/>
        </w:rPr>
        <w:t>www.ccgp.gov.cn/</w:t>
      </w:r>
      <w:r>
        <w:rPr>
          <w:rFonts w:hint="eastAsia" w:ascii="宋体" w:hAnsi="宋体" w:eastAsia="宋体" w:cs="宋体"/>
          <w:color w:val="auto"/>
          <w:kern w:val="0"/>
          <w:sz w:val="24"/>
          <w:szCs w:val="24"/>
          <w:highlight w:val="none"/>
        </w:rPr>
        <w:t>）和“中国社会组织政务服务平台”网站（https://chinanpo.mca.gov.cn/）（仅查询社会组织）</w:t>
      </w:r>
    </w:p>
    <w:p w14:paraId="5E387C58">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3.3.2截止时间：同投标截止时间；</w:t>
      </w:r>
    </w:p>
    <w:p w14:paraId="55118689">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3.3.3信用信息查询记录和证据留存具体方式：经磋商小组确认的查询结果网页截图作为查询记录和证据，与其他磋商文件一并保存；</w:t>
      </w:r>
    </w:p>
    <w:p w14:paraId="4FC61095">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3.3.4信用信息的使用原则：经磋商小组认定的被列入失信被执行人、</w:t>
      </w:r>
      <w:r>
        <w:rPr>
          <w:rFonts w:hint="eastAsia" w:ascii="宋体" w:hAnsi="宋体" w:eastAsia="宋体" w:cs="宋体"/>
          <w:color w:val="auto"/>
          <w:kern w:val="0"/>
          <w:sz w:val="24"/>
          <w:szCs w:val="24"/>
          <w:highlight w:val="none"/>
          <w:lang w:val="zh-CN"/>
        </w:rPr>
        <w:t>重大税收违法失信主体</w:t>
      </w:r>
      <w:r>
        <w:rPr>
          <w:rFonts w:hint="eastAsia" w:ascii="宋体" w:hAnsi="宋体" w:eastAsia="宋体" w:cs="宋体"/>
          <w:color w:val="auto"/>
          <w:kern w:val="0"/>
          <w:sz w:val="24"/>
          <w:szCs w:val="24"/>
          <w:highlight w:val="none"/>
        </w:rPr>
        <w:t>、政府采购严重违法失信行为记录名单、严重违法失信社会组织名单的供应商，将拒绝其参与本次政府采购活动。</w:t>
      </w:r>
    </w:p>
    <w:p w14:paraId="0EE59426">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3.3.5供应商无须提供信用记录查询结果网页截屏。供应商不良信用记录以磋商小组查询结果为准，磋商小组查询之后，网站信息发生的任何变更不再作为评审依据，供应商自行提供的与网站信息不一致的其他证明材料亦不作为评审依据。</w:t>
      </w:r>
    </w:p>
    <w:p w14:paraId="0376D5AE">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3.4单位负责人为同一人或者存在直接控股、管理关系的不同供应商，不得同时参加本项目响应。违反规定的，相关响应均无效。</w:t>
      </w:r>
    </w:p>
    <w:p w14:paraId="27FA2A88">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3.5为采购项目提供整体设计、规范编制或者项目管理、监理、检测等服务的供应商，不得再参加该采购项目的其他采购活动。</w:t>
      </w:r>
    </w:p>
    <w:p w14:paraId="7140B248">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3.6“投标邀请”和“供应商须知前附表”规定接受联合体投标的，除应符合本章第3.1项和3.2项要求外，还应遵守以下规定：</w:t>
      </w:r>
    </w:p>
    <w:p w14:paraId="6548A456">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3.6.1在响应文件中向采购人提交联合体协议书，明确联合体各方承担的工作和义务；</w:t>
      </w:r>
    </w:p>
    <w:p w14:paraId="47BFD320">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3.6.2联合体中有同类资质的供应商按联合体分工承担相同工作的，应当按照资质等级较低的供应商确定资质等级；</w:t>
      </w:r>
    </w:p>
    <w:p w14:paraId="64758BEB">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3.6.3采购人根据采购项目的特殊要求规定供应商特定条件的，联合体各方中至少应当有一方符合采购规定的特定条件</w:t>
      </w:r>
      <w:r>
        <w:rPr>
          <w:rFonts w:hint="eastAsia" w:ascii="宋体" w:hAnsi="宋体" w:eastAsia="宋体" w:cs="宋体"/>
          <w:color w:val="auto"/>
          <w:kern w:val="0"/>
          <w:sz w:val="24"/>
          <w:szCs w:val="24"/>
          <w:highlight w:val="none"/>
          <w:lang w:eastAsia="zh-CN"/>
        </w:rPr>
        <w:t>；</w:t>
      </w:r>
    </w:p>
    <w:p w14:paraId="4CC7C922">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3.6.4联合体各方不得再单独参加或者与其他供应商另外组成联合体参加同一合同项下的政府采购活动；</w:t>
      </w:r>
    </w:p>
    <w:p w14:paraId="009B78E6">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3.6.5联合体各方应当共同与采购人签订采购合同，就采购合同约定的事项对采购人承担连带责任。</w:t>
      </w:r>
    </w:p>
    <w:p w14:paraId="14551BBE">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3.7法律、行政法规规定的其他条件。</w:t>
      </w:r>
    </w:p>
    <w:p w14:paraId="4DBD7F5B">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4.合格的货物和服务</w:t>
      </w:r>
    </w:p>
    <w:p w14:paraId="3578D4CC">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06613FE4">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4.2供应商所提供的服务应当没有侵犯任何第三方的知识产权、技术秘密等合法权利。</w:t>
      </w:r>
    </w:p>
    <w:p w14:paraId="6E0A25CD">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0455603F">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4.4根据国家互联网信息办公室、工业和信息化部、公安部和国家认证认可监督管理委员会2023年第2号《关于调整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网络关键设备和网络安全专用产品目录</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具备资格的机构安全认证合格或安全检测符合要求；二是已获得《计算机信息系统安全专用产品销售许可证》，且在有效期内。</w:t>
      </w:r>
    </w:p>
    <w:p w14:paraId="2F437E05">
      <w:pPr>
        <w:pStyle w:val="58"/>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5.磋商费用</w:t>
      </w:r>
    </w:p>
    <w:p w14:paraId="0BD373C2">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不论磋商的结果如何，供应商均应自行</w:t>
      </w:r>
      <w:r>
        <w:rPr>
          <w:rFonts w:hint="eastAsia" w:ascii="宋体" w:hAnsi="宋体" w:eastAsia="宋体" w:cs="宋体"/>
          <w:color w:val="auto"/>
          <w:kern w:val="0"/>
          <w:sz w:val="24"/>
          <w:szCs w:val="24"/>
          <w:highlight w:val="none"/>
          <w:lang w:eastAsia="zh-CN"/>
        </w:rPr>
        <w:t>承担</w:t>
      </w:r>
      <w:r>
        <w:rPr>
          <w:rFonts w:hint="eastAsia" w:ascii="宋体" w:hAnsi="宋体" w:eastAsia="宋体" w:cs="宋体"/>
          <w:color w:val="auto"/>
          <w:kern w:val="0"/>
          <w:sz w:val="24"/>
          <w:szCs w:val="24"/>
          <w:highlight w:val="none"/>
        </w:rPr>
        <w:t>与磋商有关的全部费用，采购人在任何情况下均无义务和责任承担这些费用。</w:t>
      </w:r>
    </w:p>
    <w:p w14:paraId="3B6011FF">
      <w:pPr>
        <w:pStyle w:val="58"/>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6.信息发布</w:t>
      </w:r>
    </w:p>
    <w:p w14:paraId="3DF0FD9E">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68" w:firstLineChars="200"/>
        <w:jc w:val="left"/>
        <w:textAlignment w:val="auto"/>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本采购项目需要公开的有关信息，包括磋商公告、磋商文件澄清或修改公告、成交公告以及延长响应文件提交截止时间等与采购活动有关的通知，采购人均将通过</w:t>
      </w:r>
      <w:r>
        <w:rPr>
          <w:rFonts w:hint="eastAsia" w:ascii="宋体" w:hAnsi="宋体" w:eastAsia="宋体" w:cs="宋体"/>
          <w:bCs/>
          <w:color w:val="auto"/>
          <w:kern w:val="0"/>
          <w:sz w:val="24"/>
          <w:szCs w:val="24"/>
          <w:lang w:eastAsia="zh-CN"/>
        </w:rPr>
        <w:t>《河南省政府采购网》《许昌市政府采购网》 《全国公共资源交易平台（河南省·许昌市）》</w:t>
      </w:r>
      <w:r>
        <w:rPr>
          <w:rFonts w:hint="eastAsia" w:ascii="宋体" w:hAnsi="宋体" w:eastAsia="宋体" w:cs="宋体"/>
          <w:color w:val="auto"/>
          <w:spacing w:val="-3"/>
          <w:kern w:val="0"/>
          <w:sz w:val="24"/>
          <w:szCs w:val="24"/>
          <w:highlight w:val="none"/>
        </w:rPr>
        <w:t>公开发布。供应商在参与本采购项目招投标活动期间，请及时关注以上媒体上的相关信息，供应商因没有及时关注而未能如期获取相关信息，及因此所产生的一切后果和责任，由供应商自行承担，</w:t>
      </w:r>
      <w:r>
        <w:rPr>
          <w:rFonts w:hint="eastAsia" w:ascii="宋体" w:hAnsi="宋体" w:eastAsia="宋体" w:cs="宋体"/>
          <w:color w:val="auto"/>
          <w:kern w:val="0"/>
          <w:sz w:val="24"/>
          <w:szCs w:val="24"/>
        </w:rPr>
        <w:t>采购人、采购代理公司</w:t>
      </w:r>
      <w:r>
        <w:rPr>
          <w:rFonts w:hint="eastAsia" w:ascii="宋体" w:hAnsi="宋体" w:eastAsia="宋体" w:cs="宋体"/>
          <w:color w:val="auto"/>
          <w:spacing w:val="-3"/>
          <w:kern w:val="0"/>
          <w:sz w:val="24"/>
          <w:szCs w:val="24"/>
          <w:highlight w:val="none"/>
        </w:rPr>
        <w:t>在任何情况下均不对此承担任何责任。</w:t>
      </w:r>
    </w:p>
    <w:p w14:paraId="6A9B27E4">
      <w:pPr>
        <w:pStyle w:val="58"/>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7.采购代理机构代理费用收取标准和方式</w:t>
      </w:r>
    </w:p>
    <w:p w14:paraId="2C5290DE">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68" w:firstLineChars="200"/>
        <w:jc w:val="left"/>
        <w:textAlignment w:val="auto"/>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本项目收取代理费用。收取标准</w:t>
      </w:r>
      <w:r>
        <w:rPr>
          <w:rFonts w:hint="eastAsia" w:ascii="宋体" w:hAnsi="宋体" w:eastAsia="宋体" w:cs="宋体"/>
          <w:color w:val="auto"/>
          <w:spacing w:val="-3"/>
          <w:kern w:val="0"/>
          <w:sz w:val="24"/>
          <w:szCs w:val="24"/>
          <w:highlight w:val="none"/>
          <w:lang w:eastAsia="zh-CN"/>
        </w:rPr>
        <w:t>和方式</w:t>
      </w:r>
      <w:r>
        <w:rPr>
          <w:rFonts w:hint="eastAsia" w:ascii="宋体" w:hAnsi="宋体" w:eastAsia="宋体" w:cs="宋体"/>
          <w:color w:val="auto"/>
          <w:spacing w:val="-3"/>
          <w:kern w:val="0"/>
          <w:sz w:val="24"/>
          <w:szCs w:val="24"/>
          <w:highlight w:val="none"/>
        </w:rPr>
        <w:t>详见供应商须知前附表。</w:t>
      </w:r>
    </w:p>
    <w:p w14:paraId="7C33BF0E">
      <w:pPr>
        <w:pStyle w:val="58"/>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8.其他</w:t>
      </w:r>
    </w:p>
    <w:p w14:paraId="6DB2567E">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68" w:firstLineChars="200"/>
        <w:jc w:val="left"/>
        <w:textAlignment w:val="auto"/>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本“供应商须知”的条款如与“采购邀请</w:t>
      </w:r>
      <w:r>
        <w:rPr>
          <w:rFonts w:hint="eastAsia" w:ascii="宋体" w:hAnsi="宋体" w:eastAsia="宋体" w:cs="宋体"/>
          <w:color w:val="auto"/>
          <w:spacing w:val="-3"/>
          <w:kern w:val="0"/>
          <w:sz w:val="24"/>
          <w:szCs w:val="24"/>
          <w:highlight w:val="none"/>
          <w:lang w:eastAsia="zh-CN"/>
        </w:rPr>
        <w:t>”“</w:t>
      </w:r>
      <w:r>
        <w:rPr>
          <w:rFonts w:hint="eastAsia" w:ascii="宋体" w:hAnsi="宋体" w:eastAsia="宋体" w:cs="宋体"/>
          <w:color w:val="auto"/>
          <w:spacing w:val="-3"/>
          <w:kern w:val="0"/>
          <w:sz w:val="24"/>
          <w:szCs w:val="24"/>
          <w:highlight w:val="none"/>
        </w:rPr>
        <w:t>采购需求</w:t>
      </w:r>
      <w:r>
        <w:rPr>
          <w:rFonts w:hint="eastAsia" w:ascii="宋体" w:hAnsi="宋体" w:eastAsia="宋体" w:cs="宋体"/>
          <w:color w:val="auto"/>
          <w:spacing w:val="-3"/>
          <w:kern w:val="0"/>
          <w:sz w:val="24"/>
          <w:szCs w:val="24"/>
          <w:highlight w:val="none"/>
          <w:lang w:eastAsia="zh-CN"/>
        </w:rPr>
        <w:t>”“</w:t>
      </w:r>
      <w:r>
        <w:rPr>
          <w:rFonts w:hint="eastAsia" w:ascii="宋体" w:hAnsi="宋体" w:eastAsia="宋体" w:cs="宋体"/>
          <w:color w:val="auto"/>
          <w:spacing w:val="-3"/>
          <w:kern w:val="0"/>
          <w:sz w:val="24"/>
          <w:szCs w:val="24"/>
          <w:highlight w:val="none"/>
        </w:rPr>
        <w:t>供应商须知前附表”和“对响应文件审查与评审”就同一内容的表述不一致的，以“采购邀请</w:t>
      </w:r>
      <w:r>
        <w:rPr>
          <w:rFonts w:hint="eastAsia" w:ascii="宋体" w:hAnsi="宋体" w:eastAsia="宋体" w:cs="宋体"/>
          <w:color w:val="auto"/>
          <w:spacing w:val="-3"/>
          <w:kern w:val="0"/>
          <w:sz w:val="24"/>
          <w:szCs w:val="24"/>
          <w:highlight w:val="none"/>
          <w:lang w:eastAsia="zh-CN"/>
        </w:rPr>
        <w:t>”“</w:t>
      </w:r>
      <w:r>
        <w:rPr>
          <w:rFonts w:hint="eastAsia" w:ascii="宋体" w:hAnsi="宋体" w:eastAsia="宋体" w:cs="宋体"/>
          <w:color w:val="auto"/>
          <w:spacing w:val="-3"/>
          <w:kern w:val="0"/>
          <w:sz w:val="24"/>
          <w:szCs w:val="24"/>
          <w:highlight w:val="none"/>
        </w:rPr>
        <w:t xml:space="preserve"> 采购需求”、</w:t>
      </w:r>
    </w:p>
    <w:p w14:paraId="641AFB77">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68" w:firstLineChars="200"/>
        <w:jc w:val="left"/>
        <w:textAlignment w:val="auto"/>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“供应商须知前附表”和“对响应文件审查与评审”中规定的内容为准。</w:t>
      </w:r>
    </w:p>
    <w:p w14:paraId="741F64DE">
      <w:pPr>
        <w:autoSpaceDE w:val="0"/>
        <w:autoSpaceDN w:val="0"/>
        <w:adjustRightInd w:val="0"/>
        <w:snapToGrid w:val="0"/>
        <w:spacing w:line="360" w:lineRule="auto"/>
        <w:ind w:right="-512" w:rightChars="-244"/>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二、磋商文件说明</w:t>
      </w:r>
    </w:p>
    <w:p w14:paraId="06838231">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9.磋商文件构成</w:t>
      </w:r>
    </w:p>
    <w:p w14:paraId="65AD4BC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9.1磋商文件由以下部分组成：</w:t>
      </w:r>
    </w:p>
    <w:p w14:paraId="7C104E06">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kern w:val="0"/>
          <w:sz w:val="24"/>
          <w:szCs w:val="24"/>
          <w:highlight w:val="none"/>
        </w:rPr>
        <w:t>磋商邀请（磋商公告）</w:t>
      </w:r>
    </w:p>
    <w:p w14:paraId="67D429FC">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highlight w:val="none"/>
        </w:rPr>
        <w:t>采购需求</w:t>
      </w:r>
    </w:p>
    <w:p w14:paraId="721AD51B">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（3）供应商须知前附表 </w:t>
      </w:r>
    </w:p>
    <w:p w14:paraId="0B79963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（4）供应商须知 </w:t>
      </w:r>
    </w:p>
    <w:p w14:paraId="0D60EA41">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（5）政府采购政策功能 </w:t>
      </w:r>
    </w:p>
    <w:p w14:paraId="20E61D3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（6）对响应文件审查与评审 </w:t>
      </w:r>
    </w:p>
    <w:p w14:paraId="6476AFA2">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（7）拟签订的合同文本 </w:t>
      </w:r>
    </w:p>
    <w:p w14:paraId="028DD52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（8）响应文件有关格式 </w:t>
      </w:r>
    </w:p>
    <w:p w14:paraId="55E007F4">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（9）本项目磋商文件的澄清、答复、修改、补充内容（如有的话）</w:t>
      </w:r>
    </w:p>
    <w:p w14:paraId="740AF35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投标被拒绝，其风险由供应商自行承担。</w:t>
      </w:r>
    </w:p>
    <w:p w14:paraId="148D506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供应商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0F3612AC">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10.现场考察、磋商前答疑会（如有）</w:t>
      </w:r>
    </w:p>
    <w:p w14:paraId="1EAD853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10.1采购人根据采购项目的具体情况，可以在磋商文件公告期满后，组织已获取磋商文件的供应商现场考察或者召开磋商前答疑会。 </w:t>
      </w:r>
    </w:p>
    <w:p w14:paraId="4B316B6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10.2采购人组织现场考察或者召开磋商前答疑会的，所有供应商应按“供应商须知前附表”规定的时间、地点前往参加现场考察或者磋商前答疑会。供应商如不参加，其风险由供应商自行承担，采购人不承担任何责任。 </w:t>
      </w:r>
    </w:p>
    <w:p w14:paraId="49AAB67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10.3采购人组织现场考察或者召开答疑会的，应当在磋商文件中载明，或者在磋商文件公告期满后在财政部门指定的政府采购信息发布媒体和《全国公共资源交易平台（河南省·许昌市）》发布更正公告。 </w:t>
      </w:r>
    </w:p>
    <w:p w14:paraId="767DCF9B">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10.4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 </w:t>
      </w:r>
    </w:p>
    <w:p w14:paraId="50F4657A">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10.5现场考察及参加磋商前答疑会所发生的费用及一切责任由供应商自行承担。</w:t>
      </w:r>
    </w:p>
    <w:p w14:paraId="69F82DDB">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11.磋商文件的澄清或修改</w:t>
      </w:r>
    </w:p>
    <w:p w14:paraId="7C3F3521">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11.1在磋商响应截止期前，无论出于何种原因，采购人可主动地或在解答供应商提出的澄清问题时对磋商文件进行修改。 </w:t>
      </w:r>
    </w:p>
    <w:p w14:paraId="6AFF034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11.2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 </w:t>
      </w:r>
    </w:p>
    <w:p w14:paraId="4A9C55D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11.3澄清或修改公告的内容为磋商文件的组成部分，并对供应商具有约束力。当磋商文件与澄清或修改公告就同一内容的表述不一致时，以最后发出的文件内容为准。 </w:t>
      </w:r>
    </w:p>
    <w:p w14:paraId="7B3C944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11.4如果澄清或者修改发出的时间距规定的磋商响应截止时间不足5日的，采购人将顺延提交响应文件的截止时间。</w:t>
      </w:r>
    </w:p>
    <w:p w14:paraId="5ED45511">
      <w:pPr>
        <w:autoSpaceDE w:val="0"/>
        <w:autoSpaceDN w:val="0"/>
        <w:adjustRightInd w:val="0"/>
        <w:snapToGrid w:val="0"/>
        <w:spacing w:line="360" w:lineRule="auto"/>
        <w:ind w:right="-512" w:rightChars="-244"/>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三、响应文件的编制</w:t>
      </w:r>
    </w:p>
    <w:p w14:paraId="4C34CEC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12.响应的语言及计量单位 </w:t>
      </w:r>
    </w:p>
    <w:p w14:paraId="3AD7B9D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12.1供应商提交的响应文件以及供应商与采购人就有关采购事宜的所有来往书面文件均应使用中文。除签名、盖章、专用名称等特殊情形外，以中文以外的文字表述的响应文件视同未提供。</w:t>
      </w:r>
    </w:p>
    <w:p w14:paraId="647C263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12.2响应文件计量单位，磋商文件已有明确规定的，使用磋商文件规定的计量单位；磋商文件没有规定的，一律采用中华人民共和国法定计量单位。</w:t>
      </w:r>
    </w:p>
    <w:p w14:paraId="6D65E954">
      <w:pPr>
        <w:keepNext w:val="0"/>
        <w:keepLines w:val="0"/>
        <w:pageBreakBefore w:val="0"/>
        <w:widowControl/>
        <w:kinsoku/>
        <w:wordWrap/>
        <w:overflowPunct/>
        <w:topLinePunct w:val="0"/>
        <w:bidi w:val="0"/>
        <w:adjustRightInd w:val="0"/>
        <w:snapToGrid w:val="0"/>
        <w:spacing w:line="360" w:lineRule="auto"/>
        <w:ind w:left="0"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 xml:space="preserve">13.报价 </w:t>
      </w:r>
    </w:p>
    <w:p w14:paraId="10780821">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13.1本次磋商项目的报价均以人民币为计算单位。</w:t>
      </w:r>
    </w:p>
    <w:p w14:paraId="7BDF9C1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13.2采购人不得向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 xml:space="preserve">索要或者接受其给予的赠品、回扣或者与采购无关的其他商品、服务。 </w:t>
      </w:r>
    </w:p>
    <w:p w14:paraId="116CA98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13.3供应商应对项目要求的全部内容进行报价，少报漏报将导致其投标为非实质性响应予以拒绝。</w:t>
      </w:r>
    </w:p>
    <w:p w14:paraId="1C4A144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B12469A">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13.5本项目所涉及的运输、施工、安装、集成、调试、验收、备品和工具等费用均包含在响应报价中。</w:t>
      </w:r>
    </w:p>
    <w:p w14:paraId="2EA115CA">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13.6本次招标不接受可选择或可调整的投标方案和报价，任何有选择的或可调整的投标方案和报价将被视为非实质性响应投标而作无效投标处理。</w:t>
      </w:r>
    </w:p>
    <w:p w14:paraId="2FAFCC0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13.7报价不得高于本项目最高限价，且不低于成本价。本次招标实行“最高限价（项目控制金额上限）”</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供应商的投标报价高于最高限价（项目控制金额上限）的，该供应商的响应文件将被视为非实质性响应予以拒绝。</w:t>
      </w:r>
    </w:p>
    <w:p w14:paraId="775D67CC">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13.8最低报价不能作为成交的保证。</w:t>
      </w:r>
    </w:p>
    <w:p w14:paraId="32A998A1">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14.响应有效期 </w:t>
      </w:r>
    </w:p>
    <w:p w14:paraId="5038F41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响应有效期从提交响应文件的截止之日起算。本项目投标有效期详见供应商须知前附表。响应文件中承诺的响应有效期应当不少于“供应商须知前附表”载明的响应有效期。响应有效期比磋商文件规定短的属于非实质性响应，将被认定为无效投标。</w:t>
      </w:r>
    </w:p>
    <w:p w14:paraId="082B2A1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14.2响应有效期内供应商撤销响应文件的，供应商将承担违背投标承诺函的责任追究。</w:t>
      </w:r>
    </w:p>
    <w:p w14:paraId="1B15AF34">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14.3特殊情况下，在原投标有效期截止之前，采购人可要求供应商延长响应有效期。这种要求与答复均应以书面形式提交。供应商可拒绝采购人的这种要求，但其投标在原</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有效期期满后将不再有效。同意延长响应有效期的供应商将不会被要求和允许修正其投标，而只会被要求相应地延长其投标承诺函的有效期。在这种情况下， 有关供应商违背投标承诺的责任追究措施将在</w:t>
      </w:r>
      <w:r>
        <w:rPr>
          <w:rFonts w:hint="eastAsia" w:ascii="宋体" w:hAnsi="宋体" w:eastAsia="宋体" w:cs="宋体"/>
          <w:color w:val="auto"/>
          <w:kern w:val="0"/>
          <w:sz w:val="24"/>
          <w:szCs w:val="24"/>
          <w:highlight w:val="none"/>
          <w:lang w:eastAsia="zh-CN"/>
        </w:rPr>
        <w:t>延长</w:t>
      </w:r>
      <w:r>
        <w:rPr>
          <w:rFonts w:hint="eastAsia" w:ascii="宋体" w:hAnsi="宋体" w:eastAsia="宋体" w:cs="宋体"/>
          <w:color w:val="auto"/>
          <w:kern w:val="0"/>
          <w:sz w:val="24"/>
          <w:szCs w:val="24"/>
          <w:highlight w:val="none"/>
        </w:rPr>
        <w:t>的有效期内继续有效。同意延期的供应商在原投标有效期内应享之权利及应负之责任也相应延续。</w:t>
      </w:r>
    </w:p>
    <w:p w14:paraId="3AA2E57E">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14.4成交供应商的响应文件作为项目合同的附件，其有效期至成交供应商全部合同义务履行完毕为止。</w:t>
      </w:r>
    </w:p>
    <w:p w14:paraId="523E04AC">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15.响应文件构成 </w:t>
      </w:r>
    </w:p>
    <w:p w14:paraId="646D64D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15.1响应文件的构成应符合法律法规及磋商文件的要求。</w:t>
      </w:r>
    </w:p>
    <w:p w14:paraId="1A14329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15.2供应商应当按照磋商文件的要求编制响应文件。响应文件应当对磋商文件提出的要求和条件作出明确响应。</w:t>
      </w:r>
    </w:p>
    <w:p w14:paraId="220D5D02">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15.3响应文件由资格证明材料、符合性证明材料、其它材料等组成。</w:t>
      </w:r>
    </w:p>
    <w:p w14:paraId="051098F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15.4供应商根据磋商文件的规定和采购项目的实际情况，拟在成交后将成交项目的非主体、非关键性工作分包的，应当在响应文件中载明分包承担主体，分包承担主体应当具备相应资质条件且不得再次分包。</w:t>
      </w:r>
    </w:p>
    <w:p w14:paraId="0230ABC6">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rPr>
        <w:t>15.5</w:t>
      </w:r>
      <w:r>
        <w:rPr>
          <w:rFonts w:hint="eastAsia" w:ascii="宋体" w:hAnsi="宋体" w:eastAsia="宋体" w:cs="宋体"/>
          <w:color w:val="auto"/>
          <w:kern w:val="0"/>
          <w:sz w:val="24"/>
          <w:szCs w:val="24"/>
        </w:rPr>
        <w:t>供应商登录“全国公共资源交易平台（河南省·许昌市）”</w:t>
      </w:r>
      <w:r>
        <w:rPr>
          <w:rFonts w:hint="eastAsia" w:ascii="宋体" w:hAnsi="宋体" w:eastAsia="宋体" w:cs="宋体"/>
          <w:color w:val="auto"/>
          <w:kern w:val="0"/>
          <w:sz w:val="24"/>
          <w:szCs w:val="24"/>
          <w:lang w:val="en-US" w:eastAsia="zh-CN"/>
        </w:rPr>
        <w:t>下载</w:t>
      </w:r>
      <w:r>
        <w:rPr>
          <w:rFonts w:hint="eastAsia" w:ascii="宋体" w:hAnsi="宋体" w:eastAsia="宋体" w:cs="宋体"/>
          <w:color w:val="auto"/>
          <w:kern w:val="0"/>
          <w:sz w:val="24"/>
          <w:szCs w:val="24"/>
        </w:rPr>
        <w:t>“新点投标文件制作软件（河南省版）”</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最新版本，按</w:t>
      </w:r>
      <w:r>
        <w:rPr>
          <w:rFonts w:hint="eastAsia" w:ascii="宋体" w:hAnsi="宋体" w:eastAsia="宋体" w:cs="宋体"/>
          <w:color w:val="auto"/>
          <w:kern w:val="0"/>
          <w:sz w:val="24"/>
          <w:szCs w:val="24"/>
          <w:lang w:val="en-US" w:eastAsia="zh-CN"/>
        </w:rPr>
        <w:t>所响应标段</w:t>
      </w:r>
      <w:r>
        <w:rPr>
          <w:rFonts w:hint="eastAsia" w:ascii="宋体" w:hAnsi="宋体" w:eastAsia="宋体" w:cs="宋体"/>
          <w:color w:val="auto"/>
          <w:kern w:val="0"/>
          <w:sz w:val="24"/>
          <w:szCs w:val="24"/>
        </w:rPr>
        <w:t>磋商文件</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要求制作电子响应文件。一个标段对应生成2份电子响应文件（后缀格式为.XCSTF和.nXCSTF）,其中后缀格式为“.XCSTF”的加密电子响应文件用于上传至交易系统中投标。</w:t>
      </w:r>
    </w:p>
    <w:p w14:paraId="6FB5AF3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rPr>
        <w:t>15.6</w:t>
      </w:r>
      <w:r>
        <w:rPr>
          <w:rFonts w:hint="eastAsia" w:ascii="宋体" w:hAnsi="宋体" w:eastAsia="宋体" w:cs="宋体"/>
          <w:color w:val="auto"/>
          <w:kern w:val="0"/>
          <w:sz w:val="24"/>
          <w:szCs w:val="24"/>
        </w:rPr>
        <w:t>电子响应文件制作技术咨询：</w:t>
      </w:r>
      <w:r>
        <w:rPr>
          <w:rFonts w:hint="eastAsia" w:ascii="宋体" w:hAnsi="宋体" w:eastAsia="宋体" w:cs="宋体"/>
          <w:b/>
          <w:color w:val="auto"/>
          <w:kern w:val="0"/>
          <w:sz w:val="24"/>
          <w:szCs w:val="24"/>
        </w:rPr>
        <w:t>0374-</w:t>
      </w:r>
      <w:r>
        <w:rPr>
          <w:rFonts w:hint="eastAsia" w:ascii="宋体" w:hAnsi="宋体" w:eastAsia="宋体" w:cs="宋体"/>
          <w:b/>
          <w:color w:val="auto"/>
          <w:kern w:val="0"/>
          <w:sz w:val="24"/>
          <w:szCs w:val="24"/>
          <w:lang w:eastAsia="zh-CN"/>
        </w:rPr>
        <w:t>2961598</w:t>
      </w:r>
      <w:r>
        <w:rPr>
          <w:rFonts w:hint="eastAsia" w:ascii="宋体" w:hAnsi="宋体" w:eastAsia="宋体" w:cs="宋体"/>
          <w:color w:val="auto"/>
          <w:kern w:val="0"/>
          <w:sz w:val="24"/>
          <w:szCs w:val="24"/>
        </w:rPr>
        <w:t>。</w:t>
      </w:r>
    </w:p>
    <w:p w14:paraId="220DE40F">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16.响应文件格式 </w:t>
      </w:r>
    </w:p>
    <w:p w14:paraId="0A4F2466">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16.1供应商编制的响应文件应当满足磋商文件规定的基本格式要求。</w:t>
      </w:r>
    </w:p>
    <w:p w14:paraId="7D817E3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16.2供应商应按磋商文件提供的格式编写响应文件。磋商文件未提供标准格式的供应商可自行拟定。</w:t>
      </w:r>
    </w:p>
    <w:p w14:paraId="19021B57">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17.磋商保证金</w:t>
      </w:r>
    </w:p>
    <w:p w14:paraId="12EECAAB">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17.1按照河南省《关于优化政府采购营商环境有关问题的通知》（豫财购（2019）4号文）的要求，本项目不予收取投标保证金，供应商应提供投标承诺函。</w:t>
      </w:r>
    </w:p>
    <w:p w14:paraId="63A8DC34">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17.2供应商应按照磋商文件要求，在响应文件中提供投标承诺函，明确所应当履行的责任和义务，诚信履约，并自觉接受行政监管部门的监督管理。</w:t>
      </w:r>
    </w:p>
    <w:p w14:paraId="374AAAFC">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18.磋商文件的数量和签署盖章 </w:t>
      </w:r>
    </w:p>
    <w:p w14:paraId="72C5F76B">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18.1供应商应提交响应文件份数见“供应商须知前附表”。</w:t>
      </w:r>
    </w:p>
    <w:p w14:paraId="7C777AE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18.2在磋商文件中已明示需盖章及签名之处，电子响应文件应按磋商文件要求加盖供应商电子印章和法人电子印章或授权代表电子印章。</w:t>
      </w:r>
    </w:p>
    <w:p w14:paraId="7335C7F7">
      <w:pPr>
        <w:autoSpaceDE w:val="0"/>
        <w:autoSpaceDN w:val="0"/>
        <w:adjustRightInd w:val="0"/>
        <w:snapToGrid w:val="0"/>
        <w:spacing w:line="360" w:lineRule="auto"/>
        <w:ind w:right="-512" w:rightChars="-244"/>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四、响应文件的递交</w:t>
      </w:r>
    </w:p>
    <w:p w14:paraId="7DF04D42">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19.磋商响应截止时间</w:t>
      </w:r>
    </w:p>
    <w:p w14:paraId="1820F20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w:t>
      </w:r>
      <w:r>
        <w:rPr>
          <w:rFonts w:hint="eastAsia" w:ascii="宋体" w:hAnsi="宋体" w:eastAsia="宋体" w:cs="宋体"/>
          <w:color w:val="auto"/>
          <w:kern w:val="0"/>
          <w:sz w:val="24"/>
          <w:szCs w:val="24"/>
        </w:rPr>
        <w:t>供应商必须在“采购邀请”和“供应商须知前附表”中规定的响应截止时间前，将加密电子响应文件（后缀格式为.XCSTF）通过“全国公共资源交易平台（河南省·许昌市）”公共资源交易系统成功上传。</w:t>
      </w:r>
    </w:p>
    <w:p w14:paraId="6B990262">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19E2955E">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20.迟交的响应文件</w:t>
      </w:r>
    </w:p>
    <w:p w14:paraId="3CA78CE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磋商响应文件截止时间之后上传的响应文件，采购人将拒绝接收。</w:t>
      </w:r>
    </w:p>
    <w:p w14:paraId="200FC403">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21.响应文件的修改和撤回</w:t>
      </w:r>
    </w:p>
    <w:p w14:paraId="51E762FA">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供应商在磋商响应截止时间前，可以对所递交的响应文件进行补充、修改或者撤回。供应商应当在磋商响应截止时间前完成电子响应文件的提交，磋商响应截止时间前未完成电子响应文件提交、取得“响应文件提交回执单”的，视为撤回响应文件。</w:t>
      </w:r>
    </w:p>
    <w:p w14:paraId="32B4ACF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21.2供应商补充、修改的内容并作为响应文件的组成部分。补充或修改应当按磋商文件要求签署、盖章、递交，并应注明“修改”或“补充”字样。</w:t>
      </w:r>
    </w:p>
    <w:p w14:paraId="56A8079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21.3供应商不得在投标有效期内撤销响应文件，否则将依法自行承担不利后果。</w:t>
      </w:r>
    </w:p>
    <w:p w14:paraId="1F8D9C49">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22.除供应商须知前附表另有规定外，供应商所提交的电子响应文件不予退还。</w:t>
      </w:r>
    </w:p>
    <w:p w14:paraId="516A88F4">
      <w:pPr>
        <w:autoSpaceDE w:val="0"/>
        <w:autoSpaceDN w:val="0"/>
        <w:adjustRightInd w:val="0"/>
        <w:snapToGrid w:val="0"/>
        <w:spacing w:line="360" w:lineRule="auto"/>
        <w:ind w:right="-512" w:rightChars="-244"/>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五、响应文件开启和磋商</w:t>
      </w:r>
    </w:p>
    <w:p w14:paraId="1636A6DC">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23.响应文件开启</w:t>
      </w:r>
    </w:p>
    <w:p w14:paraId="687F5F32">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23.1</w:t>
      </w:r>
      <w:r>
        <w:rPr>
          <w:rFonts w:hint="eastAsia" w:ascii="宋体" w:hAnsi="宋体" w:eastAsia="宋体" w:cs="宋体"/>
          <w:color w:val="auto"/>
          <w:kern w:val="0"/>
          <w:sz w:val="24"/>
          <w:szCs w:val="24"/>
          <w:highlight w:val="none"/>
        </w:rPr>
        <w:t>采购人将按磋商文件规定的磋商响应截止时间和地点解密电子响应文件。由代理机构主持，供应商无须到现场。磋商小组成员不得参加开标活动。</w:t>
      </w:r>
    </w:p>
    <w:p w14:paraId="6EBB4B71">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23.2</w:t>
      </w:r>
      <w:r>
        <w:rPr>
          <w:rFonts w:hint="eastAsia" w:ascii="宋体" w:hAnsi="宋体" w:eastAsia="宋体" w:cs="宋体"/>
          <w:color w:val="auto"/>
          <w:kern w:val="0"/>
          <w:sz w:val="24"/>
          <w:szCs w:val="24"/>
          <w:highlight w:val="none"/>
        </w:rPr>
        <w:t>招标人应当对开标、评标现场活动进行全程录音录像。录音录像应当清晰可辨，音像资料作为采购文件一并存档。</w:t>
      </w:r>
    </w:p>
    <w:p w14:paraId="7E097D1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23.3</w:t>
      </w:r>
      <w:r>
        <w:rPr>
          <w:rFonts w:hint="eastAsia" w:ascii="宋体" w:hAnsi="宋体" w:eastAsia="宋体" w:cs="宋体"/>
          <w:color w:val="auto"/>
          <w:kern w:val="0"/>
          <w:sz w:val="24"/>
          <w:szCs w:val="24"/>
          <w:highlight w:val="none"/>
        </w:rPr>
        <w:t>磋商响应截止时间，由代理机构</w:t>
      </w:r>
      <w:r>
        <w:rPr>
          <w:rFonts w:hint="eastAsia" w:ascii="宋体" w:hAnsi="宋体" w:eastAsia="宋体" w:cs="宋体"/>
          <w:color w:val="auto"/>
          <w:kern w:val="0"/>
          <w:sz w:val="24"/>
          <w:szCs w:val="24"/>
          <w:highlight w:val="none"/>
          <w:lang w:val="en-US" w:eastAsia="zh-CN"/>
        </w:rPr>
        <w:t>进行公布投标人、开始投标解密、标书导入、唱标等操作，并</w:t>
      </w:r>
      <w:r>
        <w:rPr>
          <w:rFonts w:hint="eastAsia" w:ascii="宋体" w:hAnsi="宋体" w:eastAsia="宋体" w:cs="宋体"/>
          <w:color w:val="auto"/>
          <w:kern w:val="0"/>
          <w:sz w:val="24"/>
          <w:szCs w:val="24"/>
          <w:highlight w:val="none"/>
        </w:rPr>
        <w:t>开启</w:t>
      </w:r>
      <w:r>
        <w:rPr>
          <w:rFonts w:hint="eastAsia" w:ascii="宋体" w:hAnsi="宋体" w:eastAsia="宋体" w:cs="宋体"/>
          <w:color w:val="auto"/>
          <w:kern w:val="0"/>
          <w:sz w:val="24"/>
          <w:szCs w:val="24"/>
          <w:highlight w:val="none"/>
          <w:lang w:val="en-US" w:eastAsia="zh-CN"/>
        </w:rPr>
        <w:t>群聊</w:t>
      </w:r>
      <w:r>
        <w:rPr>
          <w:rFonts w:hint="eastAsia" w:ascii="宋体" w:hAnsi="宋体" w:eastAsia="宋体" w:cs="宋体"/>
          <w:color w:val="auto"/>
          <w:kern w:val="0"/>
          <w:sz w:val="24"/>
          <w:szCs w:val="24"/>
          <w:highlight w:val="none"/>
        </w:rPr>
        <w:t>功能；供应商进行电子响应文件的解密。</w:t>
      </w:r>
      <w:r>
        <w:rPr>
          <w:rFonts w:hint="eastAsia" w:ascii="宋体" w:hAnsi="宋体" w:eastAsia="宋体" w:cs="宋体"/>
          <w:color w:val="auto"/>
          <w:kern w:val="0"/>
          <w:sz w:val="24"/>
          <w:szCs w:val="24"/>
          <w:highlight w:val="none"/>
          <w:lang w:val="en-US" w:eastAsia="zh-CN"/>
        </w:rPr>
        <w:t>待标书导入后，</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lang w:val="en-US" w:eastAsia="zh-CN"/>
        </w:rPr>
        <w:t>点击页面上方进度条的</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唱标</w:t>
      </w:r>
      <w:r>
        <w:rPr>
          <w:rFonts w:hint="eastAsia" w:ascii="宋体" w:hAnsi="宋体" w:eastAsia="宋体" w:cs="宋体"/>
          <w:color w:val="auto"/>
          <w:kern w:val="0"/>
          <w:sz w:val="24"/>
          <w:szCs w:val="24"/>
          <w:highlight w:val="none"/>
        </w:rPr>
        <w:t>”可查看</w:t>
      </w:r>
      <w:r>
        <w:rPr>
          <w:rFonts w:hint="eastAsia" w:ascii="宋体" w:hAnsi="宋体" w:eastAsia="宋体" w:cs="宋体"/>
          <w:color w:val="auto"/>
          <w:kern w:val="0"/>
          <w:sz w:val="24"/>
          <w:szCs w:val="24"/>
          <w:highlight w:val="none"/>
          <w:lang w:val="en-US" w:eastAsia="zh-CN"/>
        </w:rPr>
        <w:t>开标结果</w:t>
      </w:r>
      <w:r>
        <w:rPr>
          <w:rFonts w:hint="eastAsia" w:ascii="宋体" w:hAnsi="宋体" w:eastAsia="宋体" w:cs="宋体"/>
          <w:color w:val="auto"/>
          <w:kern w:val="0"/>
          <w:sz w:val="24"/>
          <w:szCs w:val="24"/>
          <w:highlight w:val="none"/>
        </w:rPr>
        <w:t>。</w:t>
      </w:r>
    </w:p>
    <w:p w14:paraId="2A066D1B">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23.4</w:t>
      </w:r>
      <w:r>
        <w:rPr>
          <w:rFonts w:hint="eastAsia" w:ascii="宋体" w:hAnsi="宋体" w:eastAsia="宋体" w:cs="宋体"/>
          <w:color w:val="auto"/>
          <w:kern w:val="0"/>
          <w:sz w:val="24"/>
          <w:szCs w:val="24"/>
          <w:highlight w:val="none"/>
        </w:rPr>
        <w:t>电子响应文件的解密：全流程电子化交易项目电子响应文件采用</w:t>
      </w:r>
      <w:r>
        <w:rPr>
          <w:rFonts w:hint="eastAsia" w:ascii="宋体" w:hAnsi="宋体" w:eastAsia="宋体" w:cs="宋体"/>
          <w:color w:val="auto"/>
          <w:kern w:val="0"/>
          <w:sz w:val="24"/>
          <w:szCs w:val="24"/>
          <w:highlight w:val="none"/>
          <w:lang w:val="en-US" w:eastAsia="zh-CN"/>
        </w:rPr>
        <w:t>投标人一层加密</w:t>
      </w:r>
      <w:r>
        <w:rPr>
          <w:rFonts w:hint="eastAsia" w:ascii="宋体" w:hAnsi="宋体" w:eastAsia="宋体" w:cs="宋体"/>
          <w:color w:val="auto"/>
          <w:kern w:val="0"/>
          <w:sz w:val="24"/>
          <w:szCs w:val="24"/>
          <w:highlight w:val="none"/>
        </w:rPr>
        <w:t>。解密</w:t>
      </w:r>
      <w:r>
        <w:rPr>
          <w:rFonts w:hint="eastAsia" w:ascii="宋体" w:hAnsi="宋体" w:eastAsia="宋体" w:cs="宋体"/>
          <w:color w:val="auto"/>
          <w:kern w:val="0"/>
          <w:sz w:val="24"/>
          <w:szCs w:val="24"/>
          <w:highlight w:val="none"/>
          <w:lang w:val="en-US" w:eastAsia="zh-CN"/>
        </w:rPr>
        <w:t>时由投标人进行一次解密即可</w:t>
      </w:r>
      <w:r>
        <w:rPr>
          <w:rFonts w:hint="eastAsia" w:ascii="宋体" w:hAnsi="宋体" w:eastAsia="宋体" w:cs="宋体"/>
          <w:color w:val="auto"/>
          <w:kern w:val="0"/>
          <w:sz w:val="24"/>
          <w:szCs w:val="24"/>
          <w:highlight w:val="none"/>
        </w:rPr>
        <w:t>。</w:t>
      </w:r>
    </w:p>
    <w:p w14:paraId="48AD938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23.5</w:t>
      </w:r>
      <w:r>
        <w:rPr>
          <w:rFonts w:hint="eastAsia" w:ascii="宋体" w:hAnsi="宋体" w:eastAsia="宋体" w:cs="宋体"/>
          <w:color w:val="auto"/>
          <w:kern w:val="0"/>
          <w:sz w:val="24"/>
          <w:szCs w:val="24"/>
          <w:highlight w:val="none"/>
        </w:rPr>
        <w:t>供应商解密：供应商使用本单位CA数字证书</w:t>
      </w:r>
      <w:r>
        <w:rPr>
          <w:rFonts w:hint="eastAsia" w:ascii="宋体" w:hAnsi="宋体" w:eastAsia="宋体" w:cs="宋体"/>
          <w:color w:val="auto"/>
          <w:kern w:val="0"/>
          <w:sz w:val="24"/>
          <w:szCs w:val="24"/>
          <w:highlight w:val="none"/>
          <w:lang w:val="en-US" w:eastAsia="zh-CN"/>
        </w:rPr>
        <w:t>或移动</w:t>
      </w:r>
      <w:r>
        <w:rPr>
          <w:rFonts w:hint="eastAsia" w:ascii="宋体" w:hAnsi="宋体" w:eastAsia="宋体" w:cs="宋体"/>
          <w:color w:val="auto"/>
          <w:kern w:val="0"/>
          <w:sz w:val="24"/>
          <w:szCs w:val="24"/>
          <w:highlight w:val="none"/>
        </w:rPr>
        <w:t>数字证书进行远程解密。</w:t>
      </w:r>
    </w:p>
    <w:p w14:paraId="64FE5491">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23.6</w:t>
      </w:r>
      <w:r>
        <w:rPr>
          <w:rFonts w:hint="eastAsia" w:ascii="宋体" w:hAnsi="宋体" w:eastAsia="宋体" w:cs="宋体"/>
          <w:color w:val="auto"/>
          <w:kern w:val="0"/>
          <w:sz w:val="24"/>
          <w:szCs w:val="24"/>
          <w:highlight w:val="none"/>
        </w:rPr>
        <w:t>因供应商原因电子响应文件解密失败的，其响应文件将被</w:t>
      </w:r>
      <w:r>
        <w:rPr>
          <w:rFonts w:hint="eastAsia" w:ascii="宋体" w:hAnsi="宋体" w:eastAsia="宋体" w:cs="宋体"/>
          <w:color w:val="auto"/>
          <w:kern w:val="0"/>
          <w:sz w:val="24"/>
          <w:szCs w:val="24"/>
          <w:highlight w:val="none"/>
          <w:lang w:val="en-US" w:eastAsia="zh-CN"/>
        </w:rPr>
        <w:t>退回</w:t>
      </w:r>
      <w:r>
        <w:rPr>
          <w:rFonts w:hint="eastAsia" w:ascii="宋体" w:hAnsi="宋体" w:eastAsia="宋体" w:cs="宋体"/>
          <w:color w:val="auto"/>
          <w:kern w:val="0"/>
          <w:sz w:val="24"/>
          <w:szCs w:val="24"/>
          <w:highlight w:val="none"/>
        </w:rPr>
        <w:t>。</w:t>
      </w:r>
    </w:p>
    <w:p w14:paraId="239AE53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23.7</w:t>
      </w:r>
      <w:r>
        <w:rPr>
          <w:rFonts w:hint="eastAsia" w:ascii="宋体" w:hAnsi="宋体" w:eastAsia="宋体" w:cs="宋体"/>
          <w:color w:val="auto"/>
          <w:kern w:val="0"/>
          <w:sz w:val="24"/>
          <w:szCs w:val="24"/>
          <w:highlight w:val="none"/>
        </w:rPr>
        <w:t>供应商不足3家的，本项目磋商活动终止。</w:t>
      </w:r>
    </w:p>
    <w:p w14:paraId="23BFC50A">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23.8</w:t>
      </w:r>
      <w:r>
        <w:rPr>
          <w:rFonts w:hint="eastAsia" w:ascii="宋体" w:hAnsi="宋体" w:eastAsia="宋体" w:cs="宋体"/>
          <w:color w:val="auto"/>
          <w:kern w:val="0"/>
          <w:sz w:val="24"/>
          <w:szCs w:val="24"/>
          <w:highlight w:val="none"/>
        </w:rPr>
        <w:t>开标过程由采购代理机构负责记录，《开标</w:t>
      </w:r>
      <w:r>
        <w:rPr>
          <w:rFonts w:hint="eastAsia" w:ascii="宋体" w:hAnsi="宋体" w:eastAsia="宋体" w:cs="宋体"/>
          <w:color w:val="auto"/>
          <w:kern w:val="0"/>
          <w:sz w:val="24"/>
          <w:szCs w:val="24"/>
          <w:highlight w:val="none"/>
          <w:lang w:val="en-US" w:eastAsia="zh-CN"/>
        </w:rPr>
        <w:t>情况</w:t>
      </w:r>
      <w:r>
        <w:rPr>
          <w:rFonts w:hint="eastAsia" w:ascii="宋体" w:hAnsi="宋体" w:eastAsia="宋体" w:cs="宋体"/>
          <w:color w:val="auto"/>
          <w:kern w:val="0"/>
          <w:sz w:val="24"/>
          <w:szCs w:val="24"/>
          <w:highlight w:val="none"/>
        </w:rPr>
        <w:t>记录表》经供应商进行电子签章、由参加开标相关工作人员签字确认后随采购文件一并存档。供应商未电子签章的，视同认可开标结果。</w:t>
      </w:r>
    </w:p>
    <w:p w14:paraId="135279A1">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23.9</w:t>
      </w:r>
      <w:r>
        <w:rPr>
          <w:rFonts w:hint="eastAsia" w:ascii="宋体" w:hAnsi="宋体" w:eastAsia="宋体" w:cs="宋体"/>
          <w:color w:val="auto"/>
          <w:kern w:val="0"/>
          <w:sz w:val="24"/>
          <w:szCs w:val="24"/>
          <w:highlight w:val="none"/>
        </w:rPr>
        <w:t>供应商对解密过程和记录有疑义，以及认为采购人、代理机构相关工作人员有需要回避的情形的，应当场提出询问或者回避申请。采购人、采购代理机构对供应商提出的询问或者回避申请应当及时处理。</w:t>
      </w:r>
    </w:p>
    <w:p w14:paraId="51028C9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23.10</w:t>
      </w:r>
      <w:r>
        <w:rPr>
          <w:rFonts w:hint="eastAsia" w:ascii="宋体" w:hAnsi="宋体" w:eastAsia="宋体" w:cs="宋体"/>
          <w:color w:val="auto"/>
          <w:kern w:val="0"/>
          <w:sz w:val="24"/>
          <w:szCs w:val="24"/>
          <w:highlight w:val="none"/>
        </w:rPr>
        <w:t>响应文件解密活动结束时，供应商应在《开标</w:t>
      </w:r>
      <w:r>
        <w:rPr>
          <w:rFonts w:hint="eastAsia" w:ascii="宋体" w:hAnsi="宋体" w:eastAsia="宋体" w:cs="宋体"/>
          <w:color w:val="auto"/>
          <w:kern w:val="0"/>
          <w:sz w:val="24"/>
          <w:szCs w:val="24"/>
          <w:highlight w:val="none"/>
          <w:lang w:val="en-US" w:eastAsia="zh-CN"/>
        </w:rPr>
        <w:t>情况</w:t>
      </w:r>
      <w:r>
        <w:rPr>
          <w:rFonts w:hint="eastAsia" w:ascii="宋体" w:hAnsi="宋体" w:eastAsia="宋体" w:cs="宋体"/>
          <w:color w:val="auto"/>
          <w:kern w:val="0"/>
          <w:sz w:val="24"/>
          <w:szCs w:val="24"/>
          <w:highlight w:val="none"/>
        </w:rPr>
        <w:t>记录表》上进行电子签章。供应商未签章的，视同认可开标结果。</w:t>
      </w:r>
    </w:p>
    <w:p w14:paraId="666EF3FB">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24.资格审查</w:t>
      </w:r>
    </w:p>
    <w:p w14:paraId="75567FD4">
      <w:pPr>
        <w:pStyle w:val="58"/>
        <w:keepNext w:val="0"/>
        <w:keepLines w:val="0"/>
        <w:pageBreakBefore w:val="0"/>
        <w:kinsoku/>
        <w:wordWrap/>
        <w:overflowPunct/>
        <w:topLinePunct w:val="0"/>
        <w:autoSpaceDE w:val="0"/>
        <w:autoSpaceDN w:val="0"/>
        <w:bidi w:val="0"/>
        <w:adjustRightInd w:val="0"/>
        <w:snapToGrid w:val="0"/>
        <w:spacing w:line="360" w:lineRule="auto"/>
        <w:ind w:left="479" w:leftChars="228" w:right="0" w:rightChars="0" w:firstLine="0" w:firstLineChars="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开标结束后，磋商小组依法对供应商的资格进行审查。合格供应商不足3家的，不得磋商。</w:t>
      </w:r>
      <w:r>
        <w:rPr>
          <w:rFonts w:hint="eastAsia" w:ascii="宋体" w:hAnsi="宋体" w:eastAsia="宋体" w:cs="宋体"/>
          <w:b/>
          <w:color w:val="auto"/>
          <w:kern w:val="0"/>
          <w:sz w:val="24"/>
          <w:szCs w:val="24"/>
        </w:rPr>
        <w:t>本项目具体资格审查详见（第六章 对响应文件审查与评审）</w:t>
      </w:r>
      <w:r>
        <w:rPr>
          <w:rFonts w:hint="eastAsia" w:ascii="宋体" w:hAnsi="宋体" w:eastAsia="宋体" w:cs="宋体"/>
          <w:color w:val="auto"/>
          <w:kern w:val="0"/>
          <w:sz w:val="24"/>
          <w:szCs w:val="24"/>
        </w:rPr>
        <w:t>。</w:t>
      </w:r>
    </w:p>
    <w:p w14:paraId="30B770A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25.磋商小组的组成 </w:t>
      </w:r>
    </w:p>
    <w:p w14:paraId="4E874A2E">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 采购人将依法组建磋商小组，磋商小组由采购人代表和评审专家共3人以上单数组成，其中评审专家人数不得少于竞争性磋商小组成员总数的三分之二。评审专家依法从政府采购评审专家库中随机抽取。</w:t>
      </w:r>
    </w:p>
    <w:p w14:paraId="56461B4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25.1.1采购人将依法组建磋商小组，磋商小组由评审专家组成，成员人数应当为3人以上单数组成。评审专家依法从政府采购评审专家库中随机抽取。</w:t>
      </w:r>
    </w:p>
    <w:p w14:paraId="3B5D54C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25.2评审专家对本单位的采购项目只能作为采购人代表参与评标。采购代理机构工作人员不得参加由本机构代理的政府采购项目的评标。</w:t>
      </w:r>
    </w:p>
    <w:p w14:paraId="34F2C32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25.3磋商小组成员与供应商存在下列利害关系之一的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应当回避：</w:t>
      </w:r>
    </w:p>
    <w:p w14:paraId="0440709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25.3.1参加采购活动前三年内</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与供应商存在劳动关系</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或者担任过供应商的董事、监事</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或者是供应商的控股股东或实际控制人；</w:t>
      </w:r>
    </w:p>
    <w:p w14:paraId="5D26C35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25.3.2与供应商的法定代表人或者负责人有夫妻、直系血亲、三代以内旁系血亲或者近姻亲关系；</w:t>
      </w:r>
    </w:p>
    <w:p w14:paraId="5A8F9DA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25.3.3与供应商有其他可能影响政府采购活动公平、公正进行的关系。</w:t>
      </w:r>
    </w:p>
    <w:p w14:paraId="25759D44">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25.4评审专家发现本人与参加采购活动的供应商有利害关系的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应当主动提出回避。采购人或者代理机构发现评审专家与参加采购活动的供应商有利害关系的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应当要求其回避。</w:t>
      </w:r>
    </w:p>
    <w:p w14:paraId="32293F6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25.5采购人不得担任磋商小组组长。</w:t>
      </w:r>
    </w:p>
    <w:p w14:paraId="79A68FB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25.6磋商小组成员名单在成交结果公告前应当保密。</w:t>
      </w:r>
    </w:p>
    <w:p w14:paraId="2CC5714F">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26.符合性审查</w:t>
      </w:r>
    </w:p>
    <w:p w14:paraId="3E8A69FB">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26.1磋商小组依据有关法律法规和磋商文件的规定，对符合资格的供应商的响应文件进行符合性审查，以确定其是否满足磋商文件的实质性要求。</w:t>
      </w:r>
    </w:p>
    <w:p w14:paraId="12413B5E">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26.2审查、评价磋商文件是否符合磋商文件的商务、技术等实质性要求。</w:t>
      </w:r>
    </w:p>
    <w:p w14:paraId="273E07B4">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26.3可要求供应商对响应文件有关事项作出澄清或者说明。</w:t>
      </w:r>
    </w:p>
    <w:p w14:paraId="135FA189">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27.响应文件的澄清</w:t>
      </w:r>
    </w:p>
    <w:p w14:paraId="16D3BD68">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27.1对于响应文件中含义不明确、同类问题表述不一致或者有明显文字和计算错误的内容，磋商小组应当以书面形式要求供应商作出必要的澄清、说明或者补正。</w:t>
      </w:r>
    </w:p>
    <w:p w14:paraId="59BD80CB">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27.2供应商的澄清、说明或者补正应当采用书面形式，并加盖公章，或者由法定代表人或其授权的代表签字。供应商的澄清、说明或者补正不得超出响应文件的范围或者改变响应文件的实质性内容。</w:t>
      </w:r>
    </w:p>
    <w:p w14:paraId="27AC3FF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27.3供应商的澄清文件是其响应文件的组成部分。</w:t>
      </w:r>
    </w:p>
    <w:p w14:paraId="2132313C">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28.响应价格的审查</w:t>
      </w:r>
    </w:p>
    <w:p w14:paraId="542F1BD4">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28.1投标文件报价出现前后不一致的修正</w:t>
      </w:r>
    </w:p>
    <w:p w14:paraId="374DB7E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28.1.1投标文件中开标一览表(报价表)内容与投标文件中相应内容不一致的，以开标一览表(报价表)为准</w:t>
      </w:r>
      <w:r>
        <w:rPr>
          <w:rFonts w:hint="eastAsia" w:ascii="宋体" w:hAnsi="宋体" w:eastAsia="宋体" w:cs="宋体"/>
          <w:color w:val="auto"/>
          <w:kern w:val="0"/>
          <w:sz w:val="24"/>
          <w:szCs w:val="24"/>
          <w:highlight w:val="none"/>
          <w:lang w:eastAsia="zh-CN"/>
        </w:rPr>
        <w:t>；</w:t>
      </w:r>
    </w:p>
    <w:p w14:paraId="5EA3D134">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28.1.2大写金额和小写金额不一致的，以大写金额为准</w:t>
      </w:r>
      <w:r>
        <w:rPr>
          <w:rFonts w:hint="eastAsia" w:ascii="宋体" w:hAnsi="宋体" w:eastAsia="宋体" w:cs="宋体"/>
          <w:color w:val="auto"/>
          <w:kern w:val="0"/>
          <w:sz w:val="24"/>
          <w:szCs w:val="24"/>
          <w:highlight w:val="none"/>
          <w:lang w:eastAsia="zh-CN"/>
        </w:rPr>
        <w:t>；</w:t>
      </w:r>
    </w:p>
    <w:p w14:paraId="75003D2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28.1.3单价金额小数点或者百分比有明显错位的，以开标一览表的总价为准，并修改单价</w:t>
      </w:r>
      <w:r>
        <w:rPr>
          <w:rFonts w:hint="eastAsia" w:ascii="宋体" w:hAnsi="宋体" w:eastAsia="宋体" w:cs="宋体"/>
          <w:color w:val="auto"/>
          <w:kern w:val="0"/>
          <w:sz w:val="24"/>
          <w:szCs w:val="24"/>
          <w:highlight w:val="none"/>
          <w:lang w:eastAsia="zh-CN"/>
        </w:rPr>
        <w:t>；</w:t>
      </w:r>
    </w:p>
    <w:p w14:paraId="352459C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28.1.4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507191C2">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29.投标无效情形</w:t>
      </w:r>
    </w:p>
    <w:p w14:paraId="2892D4D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29.1响应文件属下列情况之一的，按照无效投标处理：</w:t>
      </w:r>
    </w:p>
    <w:p w14:paraId="6DDC4C4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29.1.1未按照磋商文件的规定提交《</w:t>
      </w:r>
      <w:r>
        <w:rPr>
          <w:rFonts w:hint="eastAsia" w:ascii="宋体" w:hAnsi="宋体" w:eastAsia="宋体" w:cs="宋体"/>
          <w:color w:val="auto"/>
          <w:kern w:val="0"/>
          <w:sz w:val="24"/>
          <w:szCs w:val="24"/>
          <w:highlight w:val="none"/>
          <w:lang w:eastAsia="zh-CN"/>
        </w:rPr>
        <w:t>襄城县政府采购供应商信用承诺函</w:t>
      </w:r>
      <w:r>
        <w:rPr>
          <w:rFonts w:hint="eastAsia" w:ascii="宋体" w:hAnsi="宋体" w:eastAsia="宋体" w:cs="宋体"/>
          <w:color w:val="auto"/>
          <w:kern w:val="0"/>
          <w:sz w:val="24"/>
          <w:szCs w:val="24"/>
          <w:highlight w:val="none"/>
        </w:rPr>
        <w:t>》的；</w:t>
      </w:r>
    </w:p>
    <w:p w14:paraId="453EE10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29.1.2未按照磋商文件的规定提交磋商承诺函的；</w:t>
      </w:r>
    </w:p>
    <w:p w14:paraId="58E704C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29.1.3响应文件未按磋商文件要求签署、盖章的；</w:t>
      </w:r>
    </w:p>
    <w:p w14:paraId="1C83D24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29.1.4资格证明文件不全或没有满足磋商文件规定的供应商资格要求的；</w:t>
      </w:r>
    </w:p>
    <w:p w14:paraId="5AE7CE6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29.1.5报价超过磋商文件中规定的预算金额的；</w:t>
      </w:r>
    </w:p>
    <w:p w14:paraId="3202230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29.1.6响应文件内容模糊不清，无法辨认的；</w:t>
      </w:r>
    </w:p>
    <w:p w14:paraId="296CE0C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29.1.7响应文件含有采购人不能接受的附加条件的；</w:t>
      </w:r>
    </w:p>
    <w:p w14:paraId="24D782F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29.1.8不按磋商小组要求澄清、说明或补正的；</w:t>
      </w:r>
    </w:p>
    <w:p w14:paraId="63D6DA54">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29.1.9响应文件没有法定代表人签字或签字人没有法定代表人有效委托书的；</w:t>
      </w:r>
    </w:p>
    <w:p w14:paraId="26EE361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29.1.10响应文件中载明的标准和方法等不符合磋商文件要求的；</w:t>
      </w:r>
    </w:p>
    <w:p w14:paraId="37FD349C">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29.1.11不符合项目质量要求的；</w:t>
      </w:r>
    </w:p>
    <w:p w14:paraId="31B3B1FA">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29.2 有下列情形之一的，视为供应商串通投标，其响应无效：</w:t>
      </w:r>
    </w:p>
    <w:p w14:paraId="58529AF2">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29.2.1不同供应商的响应文件由同一单位或者个人编制；</w:t>
      </w:r>
    </w:p>
    <w:p w14:paraId="54A859A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不同供应商委托同一单位或者个人办理响应事宜；</w:t>
      </w:r>
    </w:p>
    <w:p w14:paraId="173F3EE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不同供应商的响应文件载明的项目管理成员或者联系人员为同一人；</w:t>
      </w:r>
    </w:p>
    <w:p w14:paraId="2F7A0C6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不同供应商的响应文件异常一致或者投标报价呈规律性差异；</w:t>
      </w:r>
    </w:p>
    <w:p w14:paraId="5C5AEC8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不同供应商的响应文件相互混装。</w:t>
      </w:r>
    </w:p>
    <w:p w14:paraId="15748CF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29.3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1049236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352E99F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29.5按照《关于推进全流程电子化交易和在线监管工作有关问题的通知》（许公管办</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2019</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3号）规定，不同供应商电子响应文件制作硬件特征码（网卡MAC地址、CPU序号、硬盘序列号）均一致时，视为‘不同供应商的响应文件由同一单位或者个人编制’或‘不同供应商委托同一单位或者个人办理响应事宜’，其磋商响应无效。</w:t>
      </w:r>
    </w:p>
    <w:p w14:paraId="73879BF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29.6对响应文件进行一致性分析，分析响应文件是否有雷同现象，判定供应商是否有串通投标行为。</w:t>
      </w:r>
    </w:p>
    <w:p w14:paraId="2B61BA9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29.7法律、法规和磋商文件规定的其他无效情形。</w:t>
      </w:r>
    </w:p>
    <w:p w14:paraId="63D3CAAB">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30.相同品牌供应商的认定</w:t>
      </w:r>
      <w:r>
        <w:rPr>
          <w:rFonts w:hint="eastAsia" w:ascii="宋体" w:hAnsi="宋体" w:eastAsia="宋体" w:cs="宋体"/>
          <w:b/>
          <w:bCs/>
          <w:color w:val="auto"/>
          <w:sz w:val="24"/>
          <w:szCs w:val="24"/>
          <w:highlight w:val="none"/>
          <w:lang w:val="zh-CN"/>
        </w:rPr>
        <w:t>（服务类项目不适用本条款规定）</w:t>
      </w:r>
    </w:p>
    <w:p w14:paraId="394BAA52">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采用最低评标价法的，提供相同品牌产品的不同供应商参加同一合同项下投标的，以其中通过资格审查、符合性审查且报价最低的参加评标；报价相同的，由采购人或者采购人委托磋商小组采取随机抽取方式确定一个参加评标的供应商，其他投标无效。</w:t>
      </w:r>
    </w:p>
    <w:p w14:paraId="24806821">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30.2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中标候选人推荐；评审得分相同的，由采购人或者采购人委托磋商小组采取随机抽取方式确定一个供应商获得中标人推荐资格，其他同品牌供应商不作为中标候选人。</w:t>
      </w:r>
    </w:p>
    <w:p w14:paraId="19DB4A75">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31.响应文件的比较与评价</w:t>
      </w:r>
    </w:p>
    <w:p w14:paraId="765CA55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磋商小组按照磋商文件中规定的评标方法和标准，对符合性审查合格的响应文件进行商务和技术评估，综合比较与评价。</w:t>
      </w:r>
    </w:p>
    <w:p w14:paraId="42601AB8">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32.评标方法、评标标准</w:t>
      </w:r>
    </w:p>
    <w:p w14:paraId="68DF77AE">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32.1评标方法</w:t>
      </w:r>
      <w:r>
        <w:rPr>
          <w:rFonts w:hint="eastAsia" w:ascii="宋体" w:hAnsi="宋体" w:eastAsia="宋体" w:cs="宋体"/>
          <w:color w:val="auto"/>
          <w:kern w:val="0"/>
          <w:sz w:val="24"/>
          <w:szCs w:val="24"/>
          <w:highlight w:val="none"/>
          <w:lang w:eastAsia="zh-CN"/>
        </w:rPr>
        <w:t>为</w:t>
      </w:r>
      <w:r>
        <w:rPr>
          <w:rFonts w:hint="eastAsia" w:ascii="宋体" w:hAnsi="宋体" w:eastAsia="宋体" w:cs="宋体"/>
          <w:color w:val="auto"/>
          <w:kern w:val="0"/>
          <w:sz w:val="24"/>
          <w:szCs w:val="24"/>
          <w:highlight w:val="none"/>
        </w:rPr>
        <w:t>综合评分法。</w:t>
      </w:r>
    </w:p>
    <w:p w14:paraId="319A5DA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32.1.1综合评分法，是指响应文件满足磋商文件全部实质性要求，且按照评审因素的量化指标评审得分最高的供应商为成交候选人的评标方法。</w:t>
      </w:r>
    </w:p>
    <w:p w14:paraId="4D28983C">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32.2价格分 </w:t>
      </w:r>
    </w:p>
    <w:p w14:paraId="521281A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32.2.1价格分采用低价优先法计算，即满足磋商文件要求且最后报价最低的供应商的价格为磋商基准价，其价格分为满分。其他供应商的价格分统一按照下列公式计算：</w:t>
      </w:r>
    </w:p>
    <w:p w14:paraId="254CFBD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磋商报价得分=(磋商基准价/最后磋商报价)×100</w:t>
      </w:r>
    </w:p>
    <w:p w14:paraId="15DC177B">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32.2.2评标过程中，不得去掉报价中的最高报价和最低报价。</w:t>
      </w:r>
    </w:p>
    <w:p w14:paraId="14C7B12B">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32.2.3因落实政府采购政策进行价格调整的，以调整后的价格计算磋商基准价和磋商报价。</w:t>
      </w:r>
    </w:p>
    <w:p w14:paraId="26E6741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32.3本次磋商具体磋商方法、磋商标准见（第六章 对响应文件审查与评审）。</w:t>
      </w:r>
    </w:p>
    <w:p w14:paraId="4910FB9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33.磋商</w:t>
      </w:r>
    </w:p>
    <w:p w14:paraId="70F8D92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33.1磋商小组与通过符合性审查合格的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，即实质性响应磋商文件的供应商分别进行磋商。</w:t>
      </w:r>
    </w:p>
    <w:p w14:paraId="608F72D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33.2磋商小组所有成员应当集中与单一供应商分别进行磋商，并给予所有参加磋商的供应商平等的磋商机会。</w:t>
      </w:r>
    </w:p>
    <w:p w14:paraId="0D28C35C">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33.3在磋商中，磋商的任何一方不得透露与磋商有关的其他供应商的技术资料、价格和其他信息。</w:t>
      </w:r>
    </w:p>
    <w:p w14:paraId="0435DA3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6DC1DBA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33.5磋商文件能够详细列明采购标的的技术、服务要求的，磋商结束后，磋商小组应当要求所有实质性响应的供应商在规定时间内提交最后报价，提交最后报价的供应商不得少于3家。 </w:t>
      </w:r>
    </w:p>
    <w:p w14:paraId="79F4B7A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3EE43A8">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33.7如磋商中出现符合《财政部关于政府采购竞争性磋商采购方式管理暂行办法有关问题的补充通知》（财库〔2015〕124号）中的情形，则按财政部通知要求执行。</w:t>
      </w:r>
    </w:p>
    <w:p w14:paraId="16A4079C">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33.8最后报价是供应商响应文件的有效组成部分。符合《政府采购竞争性磋商采购方式管理暂行办法</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（财库2014）214号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第三条第四项情形的，提交最后报价的供应商可以为2家。</w:t>
      </w:r>
    </w:p>
    <w:p w14:paraId="42B918E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33.9已提交响应文件的供应商，在提交最后报价之前，可以根据磋商情况退出磋商。</w:t>
      </w:r>
    </w:p>
    <w:p w14:paraId="70EC0E9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33.10按照《关于推进全流程电子化交易和在线监管工作有关问题的通知》（许公管办</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2019</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3号）规定，评审专家应严格按照要求查看“硬件特征码”相关信息并进行评审。</w:t>
      </w:r>
    </w:p>
    <w:p w14:paraId="4D178D89">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34.推荐成交候选人</w:t>
      </w:r>
    </w:p>
    <w:p w14:paraId="4F1FA2F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w:t>
      </w:r>
      <w:r>
        <w:rPr>
          <w:rFonts w:hint="eastAsia" w:ascii="宋体" w:hAnsi="宋体" w:eastAsia="宋体" w:cs="宋体"/>
          <w:color w:val="auto"/>
          <w:kern w:val="0"/>
          <w:sz w:val="24"/>
          <w:szCs w:val="24"/>
          <w:highlight w:val="none"/>
          <w:lang w:eastAsia="zh-CN"/>
        </w:rPr>
        <w:t>和</w:t>
      </w:r>
      <w:r>
        <w:rPr>
          <w:rFonts w:hint="eastAsia" w:ascii="宋体" w:hAnsi="宋体" w:eastAsia="宋体" w:cs="宋体"/>
          <w:color w:val="auto"/>
          <w:kern w:val="0"/>
          <w:sz w:val="24"/>
          <w:szCs w:val="24"/>
          <w:highlight w:val="none"/>
        </w:rPr>
        <w:t>最后报价相同的，按照技术指标优劣顺序推荐。</w:t>
      </w:r>
    </w:p>
    <w:p w14:paraId="315137A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37918EC">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35.评审意见无效情形</w:t>
      </w:r>
    </w:p>
    <w:p w14:paraId="6DFA78A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磋商小组及其成员有下列行为之一的，其评审意见无效：</w:t>
      </w:r>
    </w:p>
    <w:p w14:paraId="2CF661A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确定参与评标至评标结束前私自接触供应商；</w:t>
      </w:r>
    </w:p>
    <w:p w14:paraId="01305FB1">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64" w:firstLineChars="200"/>
        <w:jc w:val="left"/>
        <w:textAlignment w:val="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2</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接受供应商提出的与响应文件不一致的澄清或者说明；</w:t>
      </w:r>
    </w:p>
    <w:p w14:paraId="64D3337E">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违反评标纪律发表倾向性意见或者征询采购人的倾向性意见；</w:t>
      </w:r>
    </w:p>
    <w:p w14:paraId="4210A69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对需要专业判断的主观评审因素协商评分；</w:t>
      </w:r>
    </w:p>
    <w:p w14:paraId="78BD1F8C">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在评标过程中擅离职守，影响评标程序正常进行的；</w:t>
      </w:r>
    </w:p>
    <w:p w14:paraId="68F35F6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记录、复制或者带走任何评标资料；</w:t>
      </w:r>
    </w:p>
    <w:p w14:paraId="6C7ED042">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spacing w:val="-4"/>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其他不遵守评标纪律的行为。</w:t>
      </w:r>
    </w:p>
    <w:p w14:paraId="06EC0B82">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36.保密</w:t>
      </w:r>
    </w:p>
    <w:p w14:paraId="3C0B39C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72" w:firstLineChars="200"/>
        <w:jc w:val="left"/>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36.1评审专家应当遵守评审工作纪律，不得泄露评审文件、评审情况和评审中获悉的商业秘密。</w:t>
      </w:r>
    </w:p>
    <w:p w14:paraId="71C7D0E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36.2采购人、采购代理机构应当采取必要措施，保证评标在严格保密的情况下进行。有关人员对评标情况以及在评标过程中获悉的国家秘密、商业秘密负有保密责任。</w:t>
      </w:r>
    </w:p>
    <w:p w14:paraId="7FEF2B6D">
      <w:pPr>
        <w:keepNext w:val="0"/>
        <w:keepLines w:val="0"/>
        <w:pageBreakBefore w:val="0"/>
        <w:tabs>
          <w:tab w:val="left" w:pos="1260"/>
        </w:tabs>
        <w:kinsoku/>
        <w:wordWrap/>
        <w:overflowPunct/>
        <w:topLinePunct w:val="0"/>
        <w:autoSpaceDE w:val="0"/>
        <w:autoSpaceDN w:val="0"/>
        <w:bidi w:val="0"/>
        <w:adjustRightInd w:val="0"/>
        <w:snapToGrid w:val="0"/>
        <w:spacing w:line="360" w:lineRule="auto"/>
        <w:ind w:left="0" w:right="0" w:rightChars="0" w:firstLine="482" w:firstLineChars="20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六、定标和授予合同</w:t>
      </w:r>
    </w:p>
    <w:p w14:paraId="7905E3A9">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37.确定中标人</w:t>
      </w:r>
    </w:p>
    <w:p w14:paraId="6AD8D9F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37.1采购人应当自收到评标报告之日起1个工作日内，在评标报告确定的成交候选人名单中按顺序确定成交人。成交候选人并列的，由采购人采取随机抽取的方式确定。</w:t>
      </w:r>
    </w:p>
    <w:p w14:paraId="7DD2DD5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37.2采购人在收到评标报告1个工作日内未按评标报告推荐的成交候选人顺序确定成交人，又不能说明合法理由的，视同按评标报告推荐的顺序确定排名第一的成交候选人为成交人。</w:t>
      </w:r>
    </w:p>
    <w:p w14:paraId="6328A2B8">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38.成交公告、发出成交通知书 </w:t>
      </w:r>
    </w:p>
    <w:p w14:paraId="3E521BFB">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38.1采购人确认成交人后，采购人在发布公告成交结果的同时，通知成交人核验投标时由信用承诺函替代的证明材料。经核验无误后，发出成交通知书。</w:t>
      </w:r>
    </w:p>
    <w:p w14:paraId="2A79A202">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38.2成交通知书发出后，采购人不得违法改变成交结果，成交人无正当理由不得放弃成交。 </w:t>
      </w:r>
    </w:p>
    <w:p w14:paraId="7BFAA4C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38.3成交人在接到成交通知时，须向代理机构发送投标报价及分项报价一览表（包含主要成交标的的名称、规格型号、数量、单价、服务要求等）电子文档，并同时通知代理机构联系人。</w:t>
      </w:r>
    </w:p>
    <w:p w14:paraId="0BDB92DC">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39.质疑提出与答复</w:t>
      </w:r>
    </w:p>
    <w:p w14:paraId="36D87D88">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集采机构联系人查看。如未提出视为全面接受。</w:t>
      </w:r>
    </w:p>
    <w:p w14:paraId="33287FA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39.1.1对采购文件提出质疑的，潜在供应商应已依法获取采购文件，且应当在获取采购文件或者采购文件公告期限届满之日起7个工作日内使用CA数字证书</w:t>
      </w:r>
      <w:r>
        <w:rPr>
          <w:rFonts w:hint="eastAsia" w:ascii="宋体" w:hAnsi="宋体" w:eastAsia="宋体" w:cs="宋体"/>
          <w:color w:val="auto"/>
          <w:kern w:val="0"/>
          <w:sz w:val="24"/>
          <w:szCs w:val="24"/>
          <w:lang w:val="en-US" w:eastAsia="zh-CN"/>
        </w:rPr>
        <w:t>或移动</w:t>
      </w:r>
      <w:r>
        <w:rPr>
          <w:rFonts w:hint="eastAsia" w:ascii="宋体" w:hAnsi="宋体" w:eastAsia="宋体" w:cs="宋体"/>
          <w:color w:val="auto"/>
          <w:kern w:val="0"/>
          <w:sz w:val="24"/>
          <w:szCs w:val="24"/>
        </w:rPr>
        <w:t>数字证书</w:t>
      </w:r>
      <w:r>
        <w:rPr>
          <w:rFonts w:hint="eastAsia" w:ascii="宋体" w:hAnsi="宋体" w:eastAsia="宋体" w:cs="宋体"/>
          <w:color w:val="auto"/>
          <w:kern w:val="0"/>
          <w:sz w:val="24"/>
          <w:szCs w:val="24"/>
          <w:highlight w:val="none"/>
        </w:rPr>
        <w:t>登录《全国公共资源交易平台（河南省·许昌市）》，通过许</w:t>
      </w:r>
      <w:r>
        <w:rPr>
          <w:rFonts w:hint="eastAsia" w:ascii="宋体" w:hAnsi="宋体" w:eastAsia="宋体" w:cs="宋体"/>
          <w:color w:val="auto"/>
          <w:kern w:val="0"/>
          <w:sz w:val="24"/>
          <w:szCs w:val="24"/>
          <w:highlight w:val="none"/>
          <w:lang w:eastAsia="zh-CN"/>
        </w:rPr>
        <w:t>昌市</w:t>
      </w:r>
      <w:r>
        <w:rPr>
          <w:rFonts w:hint="eastAsia" w:ascii="宋体" w:hAnsi="宋体" w:eastAsia="宋体" w:cs="宋体"/>
          <w:color w:val="auto"/>
          <w:kern w:val="0"/>
          <w:sz w:val="24"/>
          <w:szCs w:val="24"/>
          <w:highlight w:val="none"/>
        </w:rPr>
        <w:t>公共资源交易系统一次性提出，逾期提交或未按照要求提交的质疑函将不予受理。质疑提出后潜在供应商应及时联系招标公告中代理机构联系人查看；</w:t>
      </w:r>
    </w:p>
    <w:p w14:paraId="467EA43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39.1.2</w:t>
      </w:r>
      <w:r>
        <w:rPr>
          <w:rFonts w:hint="eastAsia" w:ascii="宋体" w:hAnsi="宋体" w:eastAsia="宋体" w:cs="宋体"/>
          <w:color w:val="auto"/>
          <w:kern w:val="0"/>
          <w:sz w:val="24"/>
          <w:szCs w:val="24"/>
          <w:highlight w:val="none"/>
          <w:lang w:eastAsia="zh-CN"/>
        </w:rPr>
        <w:t>对采购</w:t>
      </w:r>
      <w:r>
        <w:rPr>
          <w:rFonts w:hint="eastAsia" w:ascii="宋体" w:hAnsi="宋体" w:eastAsia="宋体" w:cs="宋体"/>
          <w:color w:val="auto"/>
          <w:kern w:val="0"/>
          <w:sz w:val="24"/>
          <w:szCs w:val="24"/>
          <w:highlight w:val="none"/>
        </w:rPr>
        <w:t>过程提出质疑的，</w:t>
      </w:r>
      <w:r>
        <w:rPr>
          <w:rFonts w:hint="eastAsia" w:ascii="宋体" w:hAnsi="宋体" w:eastAsia="宋体" w:cs="宋体"/>
          <w:color w:val="auto"/>
          <w:kern w:val="0"/>
          <w:sz w:val="24"/>
          <w:szCs w:val="24"/>
          <w:highlight w:val="none"/>
          <w:lang w:eastAsia="zh-CN"/>
        </w:rPr>
        <w:t>应在</w:t>
      </w:r>
      <w:r>
        <w:rPr>
          <w:rFonts w:hint="eastAsia" w:ascii="宋体" w:hAnsi="宋体" w:eastAsia="宋体" w:cs="宋体"/>
          <w:color w:val="auto"/>
          <w:kern w:val="0"/>
          <w:sz w:val="24"/>
          <w:szCs w:val="24"/>
          <w:highlight w:val="none"/>
        </w:rPr>
        <w:t>各采购程序环节结束之日起七个工作日内，供应商使用CA数字证书</w:t>
      </w:r>
      <w:r>
        <w:rPr>
          <w:rFonts w:hint="eastAsia" w:ascii="宋体" w:hAnsi="宋体" w:eastAsia="宋体" w:cs="宋体"/>
          <w:color w:val="auto"/>
          <w:kern w:val="0"/>
          <w:sz w:val="24"/>
          <w:szCs w:val="24"/>
          <w:lang w:val="en-US" w:eastAsia="zh-CN"/>
        </w:rPr>
        <w:t>或移动</w:t>
      </w:r>
      <w:r>
        <w:rPr>
          <w:rFonts w:hint="eastAsia" w:ascii="宋体" w:hAnsi="宋体" w:eastAsia="宋体" w:cs="宋体"/>
          <w:color w:val="auto"/>
          <w:kern w:val="0"/>
          <w:sz w:val="24"/>
          <w:szCs w:val="24"/>
        </w:rPr>
        <w:t>数字证书</w:t>
      </w:r>
      <w:r>
        <w:rPr>
          <w:rFonts w:hint="eastAsia" w:ascii="宋体" w:hAnsi="宋体" w:eastAsia="宋体" w:cs="宋体"/>
          <w:color w:val="auto"/>
          <w:kern w:val="0"/>
          <w:sz w:val="24"/>
          <w:szCs w:val="24"/>
          <w:highlight w:val="none"/>
        </w:rPr>
        <w:t>登录《全国公共资源交易平台（河南省·许昌市）》，通过许昌公共资源交易系统一次性提出，逾期提交或未按照要求提交的质疑函将不予受理。质疑提出后潜在供应商应及时联系招标公告中代理机构联系人查看；</w:t>
      </w:r>
    </w:p>
    <w:p w14:paraId="6993C97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39.1.3对成交结果提出质疑的，</w:t>
      </w:r>
      <w:r>
        <w:rPr>
          <w:rFonts w:hint="eastAsia" w:ascii="宋体" w:hAnsi="宋体" w:eastAsia="宋体" w:cs="宋体"/>
          <w:color w:val="auto"/>
          <w:kern w:val="0"/>
          <w:sz w:val="24"/>
          <w:szCs w:val="24"/>
          <w:highlight w:val="none"/>
          <w:lang w:eastAsia="zh-CN"/>
        </w:rPr>
        <w:t>应在</w:t>
      </w:r>
      <w:r>
        <w:rPr>
          <w:rFonts w:hint="eastAsia" w:ascii="宋体" w:hAnsi="宋体" w:eastAsia="宋体" w:cs="宋体"/>
          <w:color w:val="auto"/>
          <w:kern w:val="0"/>
          <w:sz w:val="24"/>
          <w:szCs w:val="24"/>
          <w:highlight w:val="none"/>
        </w:rPr>
        <w:t>成交结果公告期限届满之日起七个工作日内，供应商使用CA数字证书</w:t>
      </w:r>
      <w:r>
        <w:rPr>
          <w:rFonts w:hint="eastAsia" w:ascii="宋体" w:hAnsi="宋体" w:eastAsia="宋体" w:cs="宋体"/>
          <w:color w:val="auto"/>
          <w:kern w:val="0"/>
          <w:sz w:val="24"/>
          <w:szCs w:val="24"/>
          <w:lang w:val="en-US" w:eastAsia="zh-CN"/>
        </w:rPr>
        <w:t>或移动</w:t>
      </w:r>
      <w:r>
        <w:rPr>
          <w:rFonts w:hint="eastAsia" w:ascii="宋体" w:hAnsi="宋体" w:eastAsia="宋体" w:cs="宋体"/>
          <w:color w:val="auto"/>
          <w:kern w:val="0"/>
          <w:sz w:val="24"/>
          <w:szCs w:val="24"/>
        </w:rPr>
        <w:t>数字证书</w:t>
      </w:r>
      <w:r>
        <w:rPr>
          <w:rFonts w:hint="eastAsia" w:ascii="宋体" w:hAnsi="宋体" w:eastAsia="宋体" w:cs="宋体"/>
          <w:color w:val="auto"/>
          <w:kern w:val="0"/>
          <w:sz w:val="24"/>
          <w:szCs w:val="24"/>
          <w:highlight w:val="none"/>
        </w:rPr>
        <w:t>登录《全国公共资源交易平台（河南省·许昌市）》，通过许昌公共资源交易系统一次性提出，逾期提交或未按照要求提交的质疑函将不予受理。质疑提出后潜在供应商应及时联系招标公告中代理机构联系人查看；</w:t>
      </w:r>
    </w:p>
    <w:p w14:paraId="14EA29BE">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39.2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w:t>
      </w:r>
    </w:p>
    <w:p w14:paraId="7E15F39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39.2.1对磋商文件提出的质疑，依法通过澄清或者修改可以继续开展采购活动的，澄清或者修改磋商文件后继续开展采购活动；否则应当修改磋商文件后重新开展采购活动。</w:t>
      </w:r>
    </w:p>
    <w:p w14:paraId="34054F0A">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39.2.2对采购过程、成交结果提出的质疑，合格供应商符合法定数量时，可以从合格的成交候选人中另行确定成交供应商的，应当依法另行确定成交供应商；否则应当重新开展采购活动。</w:t>
      </w:r>
    </w:p>
    <w:p w14:paraId="619ADAA4">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40.签订合同</w:t>
      </w:r>
    </w:p>
    <w:p w14:paraId="52A1D4BC">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采购人应当自成交通知书发出之日起</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日内，按照磋商文件和成交人响应文件的规定，与成交人签订书面合同。所签订的合同不得对磋商文件确定的事项和成交人响应文件作实质性修改。</w:t>
      </w:r>
    </w:p>
    <w:p w14:paraId="712E9B7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采购人自采购合同签订之日起，1个工作日内到襄城县政府采购监督管理办公室进行合同备案，并</w:t>
      </w:r>
      <w:r>
        <w:rPr>
          <w:rFonts w:hint="eastAsia" w:ascii="宋体" w:hAnsi="宋体" w:eastAsia="宋体" w:cs="宋体"/>
          <w:color w:val="auto"/>
          <w:kern w:val="0"/>
          <w:sz w:val="24"/>
          <w:szCs w:val="24"/>
          <w:highlight w:val="none"/>
          <w:lang w:eastAsia="zh-CN"/>
        </w:rPr>
        <w:t>登录</w:t>
      </w:r>
      <w:r>
        <w:rPr>
          <w:rFonts w:hint="eastAsia" w:ascii="宋体" w:hAnsi="宋体" w:eastAsia="宋体" w:cs="宋体"/>
          <w:color w:val="auto"/>
          <w:kern w:val="0"/>
          <w:sz w:val="24"/>
          <w:szCs w:val="24"/>
          <w:highlight w:val="none"/>
        </w:rPr>
        <w:t>“许昌市政府采购网”进行网上备案。</w:t>
      </w:r>
    </w:p>
    <w:p w14:paraId="59B83CB6">
      <w:pPr>
        <w:pStyle w:val="58"/>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41.履约保证金</w:t>
      </w:r>
    </w:p>
    <w:p w14:paraId="6C3AC5D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宋体" w:hAnsi="宋体" w:eastAsia="宋体" w:cs="宋体"/>
          <w:color w:val="auto"/>
          <w:spacing w:val="9"/>
          <w:sz w:val="30"/>
          <w:szCs w:val="30"/>
          <w14:textOutline w14:w="5791" w14:cap="flat" w14:cmpd="sng">
            <w14:solidFill>
              <w14:srgbClr w14:val="000000"/>
            </w14:solidFill>
            <w14:prstDash w14:val="solid"/>
            <w14:miter w14:val="0"/>
          </w14:textOutline>
        </w:rPr>
      </w:pPr>
      <w:r>
        <w:rPr>
          <w:rFonts w:hint="eastAsia" w:ascii="宋体" w:hAnsi="宋体" w:eastAsia="宋体" w:cs="宋体"/>
          <w:color w:val="auto"/>
          <w:kern w:val="0"/>
          <w:sz w:val="24"/>
          <w:szCs w:val="24"/>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r>
        <w:rPr>
          <w:rFonts w:hint="eastAsia" w:ascii="宋体" w:hAnsi="宋体" w:eastAsia="宋体" w:cs="宋体"/>
          <w:color w:val="auto"/>
          <w:spacing w:val="9"/>
          <w:sz w:val="30"/>
          <w:szCs w:val="30"/>
          <w14:textOutline w14:w="5791" w14:cap="flat" w14:cmpd="sng">
            <w14:solidFill>
              <w14:srgbClr w14:val="000000"/>
            </w14:solidFill>
            <w14:prstDash w14:val="solid"/>
            <w14:miter w14:val="0"/>
          </w14:textOutline>
        </w:rPr>
        <w:br w:type="page"/>
      </w:r>
    </w:p>
    <w:p w14:paraId="3775CC51">
      <w:pPr>
        <w:bidi w:val="0"/>
        <w:jc w:val="center"/>
        <w:rPr>
          <w:rFonts w:hint="eastAsia"/>
          <w:b/>
          <w:bCs/>
          <w:sz w:val="32"/>
          <w:szCs w:val="32"/>
        </w:rPr>
      </w:pPr>
      <w:r>
        <w:rPr>
          <w:rFonts w:hint="eastAsia"/>
          <w:b/>
          <w:bCs/>
          <w:sz w:val="32"/>
          <w:szCs w:val="32"/>
        </w:rPr>
        <w:t>第五章 政府采购政策功能</w:t>
      </w:r>
    </w:p>
    <w:p w14:paraId="439D8FFB">
      <w:pPr>
        <w:rPr>
          <w:rFonts w:hint="eastAsia"/>
        </w:rPr>
      </w:pPr>
    </w:p>
    <w:p w14:paraId="31202D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根据《中华人民共和国政府采购法》、《中华人民共和国政府采购法实施条例》、《政府采购</w:t>
      </w:r>
      <w:r>
        <w:rPr>
          <w:rFonts w:hint="eastAsia" w:ascii="宋体" w:hAnsi="宋体" w:eastAsia="宋体" w:cs="宋体"/>
          <w:sz w:val="24"/>
          <w:szCs w:val="24"/>
          <w:lang w:eastAsia="zh-CN"/>
        </w:rPr>
        <w:t>货物</w:t>
      </w:r>
      <w:r>
        <w:rPr>
          <w:rFonts w:hint="eastAsia" w:ascii="宋体" w:hAnsi="宋体" w:eastAsia="宋体" w:cs="宋体"/>
          <w:sz w:val="24"/>
          <w:szCs w:val="24"/>
        </w:rPr>
        <w:t>和服务招标投标管理办法》等规定，本项目落实节约能源、保护环境、促进中小企业发展、支持监狱企业发展、促进残疾人就业等政府采购政策。</w:t>
      </w:r>
    </w:p>
    <w:p w14:paraId="46973D0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节约能源</w:t>
      </w:r>
      <w:r>
        <w:rPr>
          <w:rFonts w:hint="eastAsia" w:ascii="宋体" w:hAnsi="宋体" w:eastAsia="宋体" w:cs="宋体"/>
          <w:b/>
          <w:bCs/>
          <w:sz w:val="24"/>
          <w:szCs w:val="24"/>
        </w:rPr>
        <w:t>、保护环境</w:t>
      </w:r>
    </w:p>
    <w:p w14:paraId="021D6F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w:t>
      </w:r>
      <w:r>
        <w:rPr>
          <w:rFonts w:hint="eastAsia" w:ascii="宋体" w:hAnsi="宋体" w:eastAsia="宋体" w:cs="宋体"/>
          <w:sz w:val="24"/>
          <w:szCs w:val="24"/>
          <w:lang w:eastAsia="zh-CN"/>
        </w:rPr>
        <w:t>节能产品</w:t>
      </w:r>
      <w:r>
        <w:rPr>
          <w:rFonts w:hint="eastAsia" w:ascii="宋体" w:hAnsi="宋体" w:eastAsia="宋体" w:cs="宋体"/>
          <w:sz w:val="24"/>
          <w:szCs w:val="24"/>
        </w:rPr>
        <w:t>政府采购品目清单的通知》（财库[2019]19号），采购政府强制采购产品的，该产品必须具有</w:t>
      </w:r>
      <w:r>
        <w:rPr>
          <w:rFonts w:hint="eastAsia" w:ascii="宋体" w:hAnsi="宋体" w:eastAsia="宋体" w:cs="宋体"/>
          <w:sz w:val="24"/>
          <w:szCs w:val="24"/>
          <w:lang w:eastAsia="zh-CN"/>
        </w:rPr>
        <w:t>国家</w:t>
      </w:r>
      <w:r>
        <w:rPr>
          <w:rFonts w:hint="eastAsia" w:ascii="宋体" w:hAnsi="宋体" w:eastAsia="宋体" w:cs="宋体"/>
          <w:sz w:val="24"/>
          <w:szCs w:val="24"/>
        </w:rPr>
        <w:t>确定的认证机构出具的、处于有效期之内的节能产品认证证书；采购政府优先采购产品的，该产品具有国家确定的认证机构出具的、处于有效期之内的节能产品、环境标志产品认证证书</w:t>
      </w:r>
      <w:r>
        <w:rPr>
          <w:rFonts w:hint="eastAsia" w:ascii="宋体" w:hAnsi="宋体" w:eastAsia="宋体" w:cs="宋体"/>
          <w:sz w:val="24"/>
          <w:szCs w:val="24"/>
          <w:lang w:eastAsia="zh-CN"/>
        </w:rPr>
        <w:t>的，</w:t>
      </w:r>
      <w:r>
        <w:rPr>
          <w:rFonts w:hint="eastAsia" w:ascii="宋体" w:hAnsi="宋体" w:eastAsia="宋体" w:cs="宋体"/>
          <w:sz w:val="24"/>
          <w:szCs w:val="24"/>
        </w:rPr>
        <w:t>应当优先采购。</w:t>
      </w:r>
    </w:p>
    <w:p w14:paraId="2F49D56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二、促进中小企业发展（不含民办非企业）</w:t>
      </w:r>
    </w:p>
    <w:p w14:paraId="59CBEF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（一）专门面向中小企业预留采购份额</w:t>
      </w:r>
    </w:p>
    <w:p w14:paraId="2AA37C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（二）非专门面向中小企业预留采购份额</w:t>
      </w:r>
    </w:p>
    <w:p w14:paraId="4410B2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1、根据财政部、工业和信息化部《政府采购促进中小企业发展管理办法》（财库</w:t>
      </w:r>
      <w:r>
        <w:rPr>
          <w:rFonts w:hint="eastAsia" w:ascii="宋体" w:hAnsi="宋体" w:eastAsia="宋体" w:cs="宋体"/>
          <w:sz w:val="24"/>
          <w:szCs w:val="24"/>
          <w:lang w:eastAsia="zh-CN"/>
        </w:rPr>
        <w:t>〔2020〕</w:t>
      </w:r>
      <w:r>
        <w:rPr>
          <w:rFonts w:hint="eastAsia" w:ascii="宋体" w:hAnsi="宋体" w:eastAsia="宋体" w:cs="宋体"/>
          <w:sz w:val="24"/>
          <w:szCs w:val="24"/>
        </w:rPr>
        <w:t>46号）</w:t>
      </w:r>
      <w:r>
        <w:rPr>
          <w:rFonts w:hint="eastAsia" w:ascii="宋体" w:hAnsi="宋体" w:eastAsia="宋体" w:cs="宋体"/>
          <w:sz w:val="24"/>
          <w:szCs w:val="24"/>
          <w:lang w:eastAsia="zh-CN"/>
        </w:rPr>
        <w:t>和</w:t>
      </w:r>
      <w:r>
        <w:rPr>
          <w:rFonts w:hint="eastAsia" w:ascii="宋体" w:hAnsi="宋体" w:eastAsia="宋体" w:cs="宋体"/>
          <w:sz w:val="24"/>
          <w:szCs w:val="24"/>
        </w:rPr>
        <w:t>《关于进一步加大政府采购支持中小企业力度的通知》（财库〔2022〕19号）规定，对符合该办法规定的小型和微型企业报价给予10%-20%（工程项目为3%—5%）的扣除，用扣除后的价格参与评审。</w:t>
      </w:r>
    </w:p>
    <w:p w14:paraId="66DE8E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2、在货物采购项目中，供应商提供的货物既有中小企业制造货物，也有大型企业制造货物的，不享受《政府采购促进中小企业发展管理办法》（财库</w:t>
      </w:r>
      <w:r>
        <w:rPr>
          <w:rFonts w:hint="eastAsia" w:ascii="宋体" w:hAnsi="宋体" w:eastAsia="宋体" w:cs="宋体"/>
          <w:sz w:val="24"/>
          <w:szCs w:val="24"/>
          <w:lang w:eastAsia="zh-CN"/>
        </w:rPr>
        <w:t>〔2020〕</w:t>
      </w:r>
      <w:r>
        <w:rPr>
          <w:rFonts w:hint="eastAsia" w:ascii="宋体" w:hAnsi="宋体" w:eastAsia="宋体" w:cs="宋体"/>
          <w:sz w:val="24"/>
          <w:szCs w:val="24"/>
        </w:rPr>
        <w:t>46号）规定的中小企业扶持政策。</w:t>
      </w:r>
    </w:p>
    <w:p w14:paraId="0FA126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3、以联合体形式参加政府采购活动，联合体各方均为中小企业的，联合体视同中小企业。其中，联合体各方均为小微企业的，联合体视同小微企业。</w:t>
      </w:r>
    </w:p>
    <w:p w14:paraId="17AA5B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4、接受大中型企业与小微企业组成联合体或者允许大中型企业向一家或者多家小微企业分包 的采购项目，对于联合协议或者分包意向协议约定小微企业的合同份额占到合同总金额30%以上的，对联合体或者大中型企业的报价给予4-6%的（工程项目为1%—2%）扣除，用扣除后的价格参加评审。组成联合体或者接受分包的小微企业与联合体内其他企业、分包企业之间存在直接控股、管理关系的，不享受价格扣除优惠政策。</w:t>
      </w:r>
    </w:p>
    <w:p w14:paraId="01E7AE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5、按照本次采购标的所属行业的划型标准，符合条件的中小企业应按照招标文件格式要求提供《中小企业声明函》，否则不得享受相关中小企业扶持政策。</w:t>
      </w:r>
    </w:p>
    <w:p w14:paraId="048395D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三、支持监狱企业发展</w:t>
      </w:r>
    </w:p>
    <w:p w14:paraId="58EDEE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按照财政部、司法部发布的《关于政府采购支持监狱企业发展有关问题的通知》（财库</w:t>
      </w:r>
      <w:r>
        <w:rPr>
          <w:rFonts w:hint="eastAsia" w:ascii="宋体" w:hAnsi="宋体" w:eastAsia="宋体" w:cs="宋体"/>
          <w:sz w:val="24"/>
          <w:szCs w:val="24"/>
          <w:lang w:eastAsia="zh-CN"/>
        </w:rPr>
        <w:t>〔2014〕</w:t>
      </w:r>
      <w:r>
        <w:rPr>
          <w:rFonts w:hint="eastAsia" w:ascii="宋体" w:hAnsi="宋体" w:eastAsia="宋体" w:cs="宋体"/>
          <w:sz w:val="24"/>
          <w:szCs w:val="24"/>
        </w:rPr>
        <w:t>68 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157282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四、促进残疾人就业</w:t>
      </w:r>
    </w:p>
    <w:p w14:paraId="1B6EB5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1、按照财政部、民政部、中国残疾人联合会和残疾人发布的《三部门联合发布关于促进残疾人就业政府采购政策的通知》（财库</w:t>
      </w:r>
      <w:r>
        <w:rPr>
          <w:rFonts w:hint="eastAsia" w:ascii="宋体" w:hAnsi="宋体" w:eastAsia="宋体" w:cs="宋体"/>
          <w:sz w:val="24"/>
          <w:szCs w:val="24"/>
          <w:lang w:eastAsia="zh-CN"/>
        </w:rPr>
        <w:t>〔2017〕</w:t>
      </w:r>
      <w:r>
        <w:rPr>
          <w:rFonts w:hint="eastAsia" w:ascii="宋体" w:hAnsi="宋体" w:eastAsia="宋体" w:cs="宋体"/>
          <w:sz w:val="24"/>
          <w:szCs w:val="24"/>
        </w:rPr>
        <w:t>141号）规定，在政府采购活动中，残疾人福利性单位 视同小型、微型企业，享受评审中价格扣除的政府采购政策。对残疾人福利性单位提供本</w:t>
      </w:r>
      <w:r>
        <w:rPr>
          <w:rFonts w:hint="eastAsia" w:ascii="宋体" w:hAnsi="宋体" w:eastAsia="宋体" w:cs="宋体"/>
          <w:sz w:val="24"/>
          <w:szCs w:val="24"/>
          <w:lang w:eastAsia="zh-CN"/>
        </w:rPr>
        <w:t>单位制造</w:t>
      </w:r>
      <w:r>
        <w:rPr>
          <w:rFonts w:hint="eastAsia" w:ascii="宋体" w:hAnsi="宋体" w:eastAsia="宋体" w:cs="宋体"/>
          <w:sz w:val="24"/>
          <w:szCs w:val="24"/>
        </w:rPr>
        <w:t>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999E8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2、符合条件的残疾人福利性单位在参加政府采购活动时，应当提供《三部门联合发布关于</w:t>
      </w:r>
      <w:r>
        <w:rPr>
          <w:rFonts w:hint="eastAsia" w:ascii="宋体" w:hAnsi="宋体" w:eastAsia="宋体" w:cs="宋体"/>
          <w:sz w:val="24"/>
          <w:szCs w:val="24"/>
          <w:lang w:eastAsia="zh-CN"/>
        </w:rPr>
        <w:t>促进</w:t>
      </w:r>
      <w:r>
        <w:rPr>
          <w:rFonts w:hint="eastAsia" w:ascii="宋体" w:hAnsi="宋体" w:eastAsia="宋体" w:cs="宋体"/>
          <w:sz w:val="24"/>
          <w:szCs w:val="24"/>
        </w:rPr>
        <w:t>残疾人就业政府采购政策的通知》规定的《残疾人福利性单位声明函》，并对声明的真实性负责。任何单位或者个人在政府采购活动中均不得要求残疾人福利性单位提供其他证明声明函内容的材料。</w:t>
      </w:r>
    </w:p>
    <w:p w14:paraId="2244AC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sectPr>
          <w:footerReference r:id="rId3" w:type="default"/>
          <w:pgSz w:w="11907" w:h="16839"/>
          <w:pgMar w:top="1440" w:right="1080" w:bottom="1440" w:left="1080" w:header="992" w:footer="850"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sz w:val="24"/>
          <w:szCs w:val="24"/>
        </w:rPr>
        <w:t>3、中标人为残疾人福利性单位的，招标人应当随中标结果同时公告其《残疾人福利性单位声明函》，接受社会监督</w:t>
      </w:r>
      <w:r>
        <w:rPr>
          <w:rFonts w:hint="eastAsia" w:ascii="宋体" w:hAnsi="宋体" w:eastAsia="宋体" w:cs="宋体"/>
          <w:sz w:val="24"/>
          <w:szCs w:val="24"/>
          <w:lang w:eastAsia="zh-CN"/>
        </w:rPr>
        <w:t>。</w:t>
      </w:r>
    </w:p>
    <w:p w14:paraId="302B615E">
      <w:pPr>
        <w:bidi w:val="0"/>
        <w:jc w:val="center"/>
        <w:rPr>
          <w:rFonts w:hint="eastAsia"/>
          <w:b/>
          <w:bCs/>
          <w:sz w:val="32"/>
          <w:szCs w:val="32"/>
        </w:rPr>
      </w:pPr>
      <w:bookmarkStart w:id="10" w:name="_Toc138068727"/>
      <w:bookmarkStart w:id="11" w:name="_Toc138068728"/>
      <w:r>
        <w:rPr>
          <w:rFonts w:hint="eastAsia"/>
          <w:b/>
          <w:bCs/>
          <w:sz w:val="32"/>
          <w:szCs w:val="32"/>
        </w:rPr>
        <w:t>第六章 对响应文件审查与评审</w:t>
      </w:r>
    </w:p>
    <w:p w14:paraId="648B50DB">
      <w:pPr>
        <w:spacing w:line="310" w:lineRule="auto"/>
        <w:rPr>
          <w:rFonts w:hint="eastAsia" w:ascii="宋体" w:hAnsi="宋体" w:eastAsia="宋体" w:cs="宋体"/>
          <w:color w:val="auto"/>
          <w:sz w:val="21"/>
        </w:rPr>
      </w:pPr>
    </w:p>
    <w:p w14:paraId="0306F7D8">
      <w:pPr>
        <w:keepNext w:val="0"/>
        <w:keepLines w:val="0"/>
        <w:pageBreakBefore w:val="0"/>
        <w:widowControl w:val="0"/>
        <w:kinsoku/>
        <w:wordWrap/>
        <w:overflowPunct/>
        <w:topLinePunct w:val="0"/>
        <w:autoSpaceDE/>
        <w:autoSpaceDN/>
        <w:bidi w:val="0"/>
        <w:adjustRightInd w:val="0"/>
        <w:snapToGrid/>
        <w:spacing w:line="360" w:lineRule="auto"/>
        <w:ind w:left="0" w:firstLine="458" w:firstLineChars="200"/>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一、资格审查</w:t>
      </w:r>
    </w:p>
    <w:p w14:paraId="51DBD53E">
      <w:pPr>
        <w:keepNext w:val="0"/>
        <w:keepLines w:val="0"/>
        <w:pageBreakBefore w:val="0"/>
        <w:widowControl w:val="0"/>
        <w:kinsoku/>
        <w:wordWrap/>
        <w:overflowPunct/>
        <w:topLinePunct w:val="0"/>
        <w:autoSpaceDE/>
        <w:autoSpaceDN/>
        <w:bidi w:val="0"/>
        <w:adjustRightInd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（一）磋商小组依法对供应商资格进行审查。确定符合资格的供应商不少于3家，将对响应文件的有效性、完整性和响应程度进行审查并对响应文件进行评审。</w:t>
      </w:r>
    </w:p>
    <w:p w14:paraId="5000FA4C">
      <w:pPr>
        <w:keepNext w:val="0"/>
        <w:keepLines w:val="0"/>
        <w:pageBreakBefore w:val="0"/>
        <w:widowControl w:val="0"/>
        <w:kinsoku/>
        <w:wordWrap/>
        <w:overflowPunct/>
        <w:topLinePunct w:val="0"/>
        <w:autoSpaceDE/>
        <w:autoSpaceDN/>
        <w:bidi w:val="0"/>
        <w:adjustRightInd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（二）资格证明材料（本栏所列内容为本项目的资格审查条件，如有一项不符合要求，则不能进入下一步评审）。</w:t>
      </w:r>
    </w:p>
    <w:p w14:paraId="0C1F5F36">
      <w:pPr>
        <w:keepNext w:val="0"/>
        <w:keepLines w:val="0"/>
        <w:pageBreakBefore w:val="0"/>
        <w:widowControl w:val="0"/>
        <w:kinsoku/>
        <w:wordWrap/>
        <w:overflowPunct/>
        <w:topLinePunct w:val="0"/>
        <w:autoSpaceDE/>
        <w:autoSpaceDN/>
        <w:bidi w:val="0"/>
        <w:adjustRightInd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（三）资格审查中所涉及到的证书及材料，均须在电子响应文件中提供原件扫描件（或图片）。</w:t>
      </w:r>
    </w:p>
    <w:p w14:paraId="62C9CB1D">
      <w:pPr>
        <w:spacing w:line="88" w:lineRule="exact"/>
        <w:rPr>
          <w:rFonts w:hint="eastAsia" w:ascii="宋体" w:hAnsi="宋体" w:eastAsia="宋体" w:cs="宋体"/>
          <w:color w:val="auto"/>
          <w:sz w:val="24"/>
          <w:szCs w:val="24"/>
        </w:rPr>
      </w:pPr>
    </w:p>
    <w:tbl>
      <w:tblPr>
        <w:tblStyle w:val="34"/>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362"/>
        <w:gridCol w:w="6060"/>
      </w:tblGrid>
      <w:tr w14:paraId="3AF9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14:paraId="7EBB72A5">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76D89ADD">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资格审查因素</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354F487A">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说明与要求</w:t>
            </w:r>
          </w:p>
        </w:tc>
      </w:tr>
      <w:tr w14:paraId="54DA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14:paraId="3E4CBE64">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0B25E18D">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投标函</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5A8BD09E">
            <w:pPr>
              <w:keepNext w:val="0"/>
              <w:keepLines w:val="0"/>
              <w:pageBreakBefore w:val="0"/>
              <w:kinsoku/>
              <w:overflowPunct/>
              <w:topLinePunct w:val="0"/>
              <w:autoSpaceDE/>
              <w:autoSpaceDN/>
              <w:bidi w:val="0"/>
              <w:adjustRightInd w:val="0"/>
              <w:snapToGrid w:val="0"/>
              <w:spacing w:line="480" w:lineRule="exac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按照磋商文件第八章</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val="zh-CN"/>
              </w:rPr>
              <w:t>.1格式填写</w:t>
            </w:r>
          </w:p>
        </w:tc>
      </w:tr>
      <w:tr w14:paraId="322C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FCC1DB">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sz w:val="24"/>
                <w:highlight w:val="none"/>
              </w:rPr>
              <w:t>2</w:t>
            </w:r>
          </w:p>
        </w:tc>
        <w:tc>
          <w:tcPr>
            <w:tcW w:w="2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68667F">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color w:val="auto"/>
                <w:kern w:val="2"/>
                <w:sz w:val="22"/>
                <w:szCs w:val="21"/>
                <w:highlight w:val="none"/>
                <w:lang w:val="en-US" w:eastAsia="zh-CN" w:bidi="ar-SA"/>
              </w:rPr>
            </w:pPr>
            <w:r>
              <w:rPr>
                <w:rFonts w:hint="eastAsia" w:ascii="宋体" w:hAnsi="宋体" w:eastAsia="宋体" w:cs="宋体"/>
                <w:color w:val="auto"/>
                <w:sz w:val="24"/>
                <w:szCs w:val="24"/>
                <w:highlight w:val="none"/>
              </w:rPr>
              <w:t>中小企业</w:t>
            </w:r>
          </w:p>
        </w:tc>
        <w:tc>
          <w:tcPr>
            <w:tcW w:w="60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590ECF">
            <w:pPr>
              <w:keepNext w:val="0"/>
              <w:keepLines w:val="0"/>
              <w:pageBreakBefore w:val="0"/>
              <w:numPr>
                <w:ilvl w:val="0"/>
                <w:numId w:val="0"/>
              </w:numPr>
              <w:kinsoku/>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中、小、微型企业出具《中小企业声明函》</w:t>
            </w:r>
          </w:p>
          <w:p w14:paraId="5D23D808">
            <w:pPr>
              <w:keepNext w:val="0"/>
              <w:keepLines w:val="0"/>
              <w:pageBreakBefore w:val="0"/>
              <w:kinsoku/>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(2)残疾人福利性单位出具《残疾人福利企业声明函》</w:t>
            </w:r>
          </w:p>
          <w:p w14:paraId="3CD64BD2">
            <w:pPr>
              <w:keepNext w:val="0"/>
              <w:keepLines w:val="0"/>
              <w:pageBreakBefore w:val="0"/>
              <w:kinsoku/>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(3)监狱企业提供由省级以上监狱管理局、戒毒管理局</w:t>
            </w:r>
          </w:p>
          <w:p w14:paraId="371EAF60">
            <w:pPr>
              <w:keepNext w:val="0"/>
              <w:keepLines w:val="0"/>
              <w:pageBreakBefore w:val="0"/>
              <w:kinsoku/>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rPr>
              <w:t>含新疆生产建设兵团)出具的属于监狱企业的证明文件</w:t>
            </w:r>
            <w:r>
              <w:rPr>
                <w:rFonts w:hint="eastAsia" w:ascii="宋体" w:hAnsi="宋体" w:eastAsia="宋体" w:cs="宋体"/>
                <w:color w:val="auto"/>
                <w:sz w:val="24"/>
                <w:szCs w:val="24"/>
                <w:highlight w:val="none"/>
                <w:lang w:eastAsia="zh-CN"/>
              </w:rPr>
              <w:t>。</w:t>
            </w:r>
          </w:p>
        </w:tc>
      </w:tr>
      <w:tr w14:paraId="7C7E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7333CF">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sz w:val="24"/>
                <w:highlight w:val="none"/>
              </w:rPr>
              <w:t>3</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493DCB8E">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政府采购</w:t>
            </w:r>
          </w:p>
          <w:p w14:paraId="47C3E5AB">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供应商信用承诺函</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7765CFD3">
            <w:pPr>
              <w:keepNext w:val="0"/>
              <w:keepLines w:val="0"/>
              <w:pageBreakBefore w:val="0"/>
              <w:kinsoku/>
              <w:overflowPunct/>
              <w:topLinePunct w:val="0"/>
              <w:autoSpaceDE/>
              <w:autoSpaceDN/>
              <w:bidi w:val="0"/>
              <w:adjustRightInd w:val="0"/>
              <w:snapToGrid w:val="0"/>
              <w:spacing w:line="480" w:lineRule="exact"/>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按照磋商文件第八章</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lang w:val="zh-CN"/>
              </w:rPr>
              <w:t>格式填写</w:t>
            </w:r>
          </w:p>
        </w:tc>
      </w:tr>
      <w:tr w14:paraId="3E73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EA8B41">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sz w:val="24"/>
                <w:highlight w:val="none"/>
              </w:rPr>
              <w:t>4</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13A5D3F4">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磋商报价</w:t>
            </w:r>
          </w:p>
        </w:tc>
        <w:tc>
          <w:tcPr>
            <w:tcW w:w="6060" w:type="dxa"/>
            <w:tcBorders>
              <w:top w:val="single" w:color="auto" w:sz="4" w:space="0"/>
              <w:left w:val="single" w:color="auto" w:sz="4" w:space="0"/>
              <w:bottom w:val="single" w:color="auto" w:sz="4" w:space="0"/>
              <w:right w:val="single" w:color="auto" w:sz="4" w:space="0"/>
            </w:tcBorders>
            <w:noWrap w:val="0"/>
            <w:vAlign w:val="top"/>
          </w:tcPr>
          <w:p w14:paraId="6CB2DB45">
            <w:pPr>
              <w:keepNext w:val="0"/>
              <w:keepLines w:val="0"/>
              <w:pageBreakBefore w:val="0"/>
              <w:kinsoku/>
              <w:overflowPunct/>
              <w:topLinePunct w:val="0"/>
              <w:autoSpaceDE/>
              <w:autoSpaceDN/>
              <w:bidi w:val="0"/>
              <w:adjustRightInd w:val="0"/>
              <w:snapToGrid w:val="0"/>
              <w:spacing w:line="480" w:lineRule="exac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响应报价是否超出磋商文件中规定的预算金额，超出预算金额的投标无效。</w:t>
            </w:r>
          </w:p>
        </w:tc>
      </w:tr>
      <w:tr w14:paraId="3F1A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FE4E37">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sz w:val="24"/>
                <w:highlight w:val="none"/>
              </w:rPr>
              <w:t>5</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1B3F5608">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磋商承诺函</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42A03056">
            <w:pPr>
              <w:keepNext w:val="0"/>
              <w:keepLines w:val="0"/>
              <w:pageBreakBefore w:val="0"/>
              <w:kinsoku/>
              <w:overflowPunct/>
              <w:topLinePunct w:val="0"/>
              <w:autoSpaceDE/>
              <w:autoSpaceDN/>
              <w:bidi w:val="0"/>
              <w:adjustRightInd w:val="0"/>
              <w:snapToGrid w:val="0"/>
              <w:spacing w:line="480" w:lineRule="exact"/>
              <w:textAlignment w:val="auto"/>
              <w:rPr>
                <w:rFonts w:hint="eastAsia" w:ascii="宋体" w:hAnsi="宋体" w:eastAsia="宋体" w:cs="宋体"/>
                <w:bCs/>
                <w:color w:val="auto"/>
                <w:sz w:val="24"/>
                <w:highlight w:val="none"/>
                <w:lang w:val="zh-CN"/>
              </w:rPr>
            </w:pPr>
            <w:r>
              <w:rPr>
                <w:rFonts w:hint="eastAsia" w:ascii="宋体" w:hAnsi="宋体" w:eastAsia="宋体" w:cs="宋体"/>
                <w:color w:val="auto"/>
                <w:spacing w:val="0"/>
                <w:position w:val="0"/>
                <w:sz w:val="24"/>
                <w:szCs w:val="24"/>
              </w:rPr>
              <w:t>供应商以磋商承诺函的形式替代响应保证金。</w:t>
            </w:r>
          </w:p>
        </w:tc>
      </w:tr>
      <w:tr w14:paraId="57CD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93281">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sz w:val="24"/>
                <w:highlight w:val="none"/>
              </w:rPr>
              <w:t>6</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3930270F">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联合体协议</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1D4B9B2B">
            <w:pPr>
              <w:keepNext w:val="0"/>
              <w:keepLines w:val="0"/>
              <w:pageBreakBefore w:val="0"/>
              <w:kinsoku/>
              <w:overflowPunct/>
              <w:topLinePunct w:val="0"/>
              <w:autoSpaceDE/>
              <w:autoSpaceDN/>
              <w:bidi w:val="0"/>
              <w:adjustRightInd w:val="0"/>
              <w:snapToGrid w:val="0"/>
              <w:spacing w:line="480" w:lineRule="exact"/>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磋商文件接受联合体响应且供应商为联合体的，供应商应提供本协议</w:t>
            </w: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rPr>
              <w:t>否则无须提供。</w:t>
            </w:r>
          </w:p>
        </w:tc>
      </w:tr>
      <w:tr w14:paraId="2271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E529ED">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sz w:val="24"/>
                <w:highlight w:val="none"/>
              </w:rPr>
              <w:t>7</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2073B891">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供应商身份证明</w:t>
            </w:r>
          </w:p>
          <w:p w14:paraId="16A6A407">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及授权</w:t>
            </w:r>
          </w:p>
        </w:tc>
        <w:tc>
          <w:tcPr>
            <w:tcW w:w="6060" w:type="dxa"/>
            <w:tcBorders>
              <w:top w:val="single" w:color="auto" w:sz="4" w:space="0"/>
              <w:left w:val="single" w:color="auto" w:sz="4" w:space="0"/>
              <w:bottom w:val="single" w:color="auto" w:sz="4" w:space="0"/>
              <w:right w:val="single" w:color="auto" w:sz="4" w:space="0"/>
            </w:tcBorders>
            <w:noWrap w:val="0"/>
            <w:vAlign w:val="top"/>
          </w:tcPr>
          <w:p w14:paraId="36F641C6">
            <w:pPr>
              <w:keepNext w:val="0"/>
              <w:keepLines w:val="0"/>
              <w:pageBreakBefore w:val="0"/>
              <w:kinsoku/>
              <w:overflowPunct/>
              <w:topLinePunct w:val="0"/>
              <w:autoSpaceDE/>
              <w:autoSpaceDN/>
              <w:bidi w:val="0"/>
              <w:adjustRightInd w:val="0"/>
              <w:snapToGrid w:val="0"/>
              <w:spacing w:line="480" w:lineRule="exac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（1）法定代表人身份证明或提供法定代表人授权委托书及被授权人身份证明。（法人提供）</w:t>
            </w:r>
          </w:p>
          <w:p w14:paraId="4F13C8EC">
            <w:pPr>
              <w:keepNext w:val="0"/>
              <w:keepLines w:val="0"/>
              <w:pageBreakBefore w:val="0"/>
              <w:kinsoku/>
              <w:overflowPunct/>
              <w:topLinePunct w:val="0"/>
              <w:autoSpaceDE/>
              <w:autoSpaceDN/>
              <w:bidi w:val="0"/>
              <w:adjustRightInd w:val="0"/>
              <w:snapToGrid w:val="0"/>
              <w:spacing w:line="480" w:lineRule="exac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（2）单位负责人身份证明或提供单位负责人授权委托书及被授权人身份证明。（非法人提供）</w:t>
            </w:r>
          </w:p>
          <w:p w14:paraId="0B5A9C01">
            <w:pPr>
              <w:keepNext w:val="0"/>
              <w:keepLines w:val="0"/>
              <w:pageBreakBefore w:val="0"/>
              <w:kinsoku/>
              <w:overflowPunct/>
              <w:topLinePunct w:val="0"/>
              <w:autoSpaceDE/>
              <w:autoSpaceDN/>
              <w:bidi w:val="0"/>
              <w:adjustRightInd w:val="0"/>
              <w:snapToGrid w:val="0"/>
              <w:spacing w:line="480" w:lineRule="exac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注：</w:t>
            </w:r>
          </w:p>
          <w:p w14:paraId="0E6A5419">
            <w:pPr>
              <w:keepNext w:val="0"/>
              <w:keepLines w:val="0"/>
              <w:pageBreakBefore w:val="0"/>
              <w:kinsoku/>
              <w:overflowPunct/>
              <w:topLinePunct w:val="0"/>
              <w:autoSpaceDE/>
              <w:autoSpaceDN/>
              <w:bidi w:val="0"/>
              <w:adjustRightInd w:val="0"/>
              <w:snapToGrid w:val="0"/>
              <w:spacing w:line="480" w:lineRule="exac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①企业（银行、保险、石油石化、电力、电信等行业除外）、事业单位和社会团体以法人身份参加磋商的，法定代表人应与实际提交的“营业执照等证明文件”载明的一致。</w:t>
            </w:r>
          </w:p>
          <w:p w14:paraId="4ADC3165">
            <w:pPr>
              <w:keepNext w:val="0"/>
              <w:keepLines w:val="0"/>
              <w:pageBreakBefore w:val="0"/>
              <w:kinsoku/>
              <w:overflowPunct/>
              <w:topLinePunct w:val="0"/>
              <w:autoSpaceDE/>
              <w:autoSpaceDN/>
              <w:bidi w:val="0"/>
              <w:adjustRightInd w:val="0"/>
              <w:snapToGrid w:val="0"/>
              <w:spacing w:line="480" w:lineRule="exac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12228476">
            <w:pPr>
              <w:keepNext w:val="0"/>
              <w:keepLines w:val="0"/>
              <w:pageBreakBefore w:val="0"/>
              <w:kinsoku/>
              <w:overflowPunct/>
              <w:topLinePunct w:val="0"/>
              <w:autoSpaceDE/>
              <w:autoSpaceDN/>
              <w:bidi w:val="0"/>
              <w:adjustRightInd w:val="0"/>
              <w:snapToGrid w:val="0"/>
              <w:spacing w:line="480" w:lineRule="exac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③供应商为自然人的，无需填写法定代表人授权书。</w:t>
            </w:r>
          </w:p>
        </w:tc>
      </w:tr>
      <w:tr w14:paraId="2B2B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F77903">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sz w:val="24"/>
                <w:highlight w:val="none"/>
                <w:lang w:val="en-US" w:eastAsia="zh-CN"/>
              </w:rPr>
              <w:t>8</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1E732473">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单位负责人为同一人或者存在直接控股、管理关系的不同供应商，不得参加同一合同项下的政府采购活动</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2F0D1281">
            <w:pPr>
              <w:keepNext w:val="0"/>
              <w:keepLines w:val="0"/>
              <w:pageBreakBefore w:val="0"/>
              <w:kinsoku/>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供应商提供与参加本项目响应的其他供应商之间，单位负责人不为同一人并且不存在直接控股、管理关系承诺函（承诺函格式自拟）。</w:t>
            </w:r>
          </w:p>
        </w:tc>
      </w:tr>
      <w:tr w14:paraId="75A5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14:paraId="65B98099">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2"/>
                <w:szCs w:val="22"/>
                <w:highlight w:val="none"/>
              </w:rPr>
              <w:t>9</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2F683BBF">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为本项目提供整体设计、规范编制或者项目管理、监理、检测等服务的供应商不得参加本项目响应</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7AC72A8E">
            <w:pPr>
              <w:keepNext w:val="0"/>
              <w:keepLines w:val="0"/>
              <w:pageBreakBefore w:val="0"/>
              <w:kinsoku/>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rPr>
            </w:pPr>
            <w:bookmarkStart w:id="12" w:name="baidusnap2"/>
            <w:bookmarkEnd w:id="12"/>
            <w:r>
              <w:rPr>
                <w:rFonts w:hint="eastAsia" w:ascii="宋体" w:hAnsi="宋体" w:eastAsia="宋体" w:cs="宋体"/>
                <w:color w:val="auto"/>
                <w:sz w:val="24"/>
                <w:szCs w:val="24"/>
                <w:highlight w:val="none"/>
                <w:lang w:val="zh-CN"/>
              </w:rPr>
              <w:t>供应商提供未为本项目提供整体设计、</w:t>
            </w:r>
            <w:bookmarkStart w:id="13" w:name="baidusnap9"/>
            <w:bookmarkEnd w:id="13"/>
            <w:r>
              <w:rPr>
                <w:rFonts w:hint="eastAsia" w:ascii="宋体" w:hAnsi="宋体" w:eastAsia="宋体" w:cs="宋体"/>
                <w:color w:val="auto"/>
                <w:sz w:val="24"/>
                <w:szCs w:val="24"/>
                <w:highlight w:val="none"/>
                <w:lang w:val="zh-CN"/>
              </w:rPr>
              <w:t>规范编制或者项目管理、监理、检测等服务承诺函（承诺函格式自拟）。</w:t>
            </w:r>
            <w:r>
              <w:rPr>
                <w:rFonts w:hint="eastAsia" w:ascii="宋体" w:hAnsi="宋体" w:eastAsia="宋体" w:cs="宋体"/>
                <w:color w:val="auto"/>
                <w:sz w:val="24"/>
                <w:szCs w:val="24"/>
                <w:highlight w:val="none"/>
              </w:rPr>
              <w:t>（工程项目须提供承诺函，货物和服务项目不提供承诺函。）</w:t>
            </w:r>
          </w:p>
        </w:tc>
      </w:tr>
      <w:tr w14:paraId="245A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14:paraId="79CE1850">
            <w:pPr>
              <w:keepNext w:val="0"/>
              <w:keepLines w:val="0"/>
              <w:pageBreakBefore w:val="0"/>
              <w:kinsoku/>
              <w:overflowPunct/>
              <w:topLinePunct w:val="0"/>
              <w:autoSpaceDE/>
              <w:autoSpaceDN/>
              <w:bidi w:val="0"/>
              <w:adjustRightInd w:val="0"/>
              <w:snapToGrid w:val="0"/>
              <w:spacing w:line="480" w:lineRule="exact"/>
              <w:contextualSpacing/>
              <w:jc w:val="center"/>
              <w:textAlignment w:val="auto"/>
              <w:rPr>
                <w:rFonts w:hint="eastAsia" w:ascii="宋体" w:hAnsi="宋体" w:eastAsia="宋体" w:cs="宋体"/>
                <w:b w:val="0"/>
                <w:bCs/>
                <w:color w:val="auto"/>
                <w:sz w:val="22"/>
                <w:highlight w:val="none"/>
                <w:lang w:val="en-US" w:eastAsia="zh-CN"/>
              </w:rPr>
            </w:pPr>
            <w:r>
              <w:rPr>
                <w:rFonts w:hint="eastAsia" w:ascii="宋体" w:hAnsi="宋体" w:eastAsia="宋体" w:cs="宋体"/>
                <w:b w:val="0"/>
                <w:bCs/>
                <w:color w:val="auto"/>
                <w:sz w:val="22"/>
                <w:highlight w:val="none"/>
                <w:lang w:val="en-US" w:eastAsia="zh-CN"/>
              </w:rPr>
              <w:t>10</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2DBEF81A">
            <w:pPr>
              <w:keepNext w:val="0"/>
              <w:keepLines w:val="0"/>
              <w:pageBreakBefore w:val="0"/>
              <w:kinsoku/>
              <w:overflowPunct/>
              <w:topLinePunct w:val="0"/>
              <w:autoSpaceDE/>
              <w:autoSpaceDN/>
              <w:bidi w:val="0"/>
              <w:adjustRightInd w:val="0"/>
              <w:snapToGrid w:val="0"/>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供应商须具备的特殊资质证书</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2EC47A91">
            <w:pPr>
              <w:pStyle w:val="32"/>
              <w:keepNext w:val="0"/>
              <w:keepLines w:val="0"/>
              <w:pageBreakBefore w:val="0"/>
              <w:kinsoku/>
              <w:wordWrap w:val="0"/>
              <w:overflowPunct/>
              <w:topLinePunct w:val="0"/>
              <w:autoSpaceDE/>
              <w:autoSpaceDN/>
              <w:bidi w:val="0"/>
              <w:adjustRightInd w:val="0"/>
              <w:snapToGrid w:val="0"/>
              <w:spacing w:before="0" w:beforeAutospacing="0" w:after="0" w:afterAutospacing="0" w:line="480" w:lineRule="exact"/>
              <w:contextualSpacing/>
              <w:textAlignment w:val="auto"/>
              <w:rPr>
                <w:rFonts w:hint="eastAsia" w:ascii="宋体" w:hAnsi="宋体" w:eastAsia="宋体" w:cs="宋体"/>
                <w:color w:val="auto"/>
                <w:highlight w:val="none"/>
              </w:rPr>
            </w:pPr>
            <w:r>
              <w:rPr>
                <w:rFonts w:hint="eastAsia" w:ascii="宋体" w:hAnsi="宋体" w:eastAsia="宋体" w:cs="宋体"/>
                <w:color w:val="000000"/>
                <w:kern w:val="0"/>
                <w:sz w:val="24"/>
                <w:szCs w:val="24"/>
                <w:shd w:val="clear" w:color="auto" w:fill="FFFFFF"/>
                <w:lang w:eastAsia="zh-CN"/>
              </w:rPr>
              <w:t>供应商须具有建设行政主管部门核发的水利水电工程施工总承包二级及以上资质（未换发新资质证书的按照原相关规定执行，即未换发新资质证书的须具备建设行政主管部门颁发的水利水电工程施工总承包三级及以上资质），且具有有效的安全生产许可证。拟派项目经理须具有水利水电专业二级及以上注册建造师资格，且未担任其它在施建设工程的项目经理（提供无在建承诺书）。</w:t>
            </w:r>
          </w:p>
        </w:tc>
      </w:tr>
    </w:tbl>
    <w:p w14:paraId="165987D1">
      <w:pPr>
        <w:keepNext w:val="0"/>
        <w:keepLines w:val="0"/>
        <w:pageBreakBefore w:val="0"/>
        <w:widowControl w:val="0"/>
        <w:kinsoku/>
        <w:wordWrap/>
        <w:overflowPunct/>
        <w:topLinePunct w:val="0"/>
        <w:autoSpaceDE/>
        <w:autoSpaceDN/>
        <w:bidi w:val="0"/>
        <w:adjustRightInd w:val="0"/>
        <w:snapToGrid/>
        <w:spacing w:line="360" w:lineRule="auto"/>
        <w:ind w:left="0" w:firstLine="458"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二、评审</w:t>
      </w:r>
    </w:p>
    <w:p w14:paraId="3A9A718B">
      <w:pPr>
        <w:keepNext w:val="0"/>
        <w:keepLines w:val="0"/>
        <w:pageBreakBefore w:val="0"/>
        <w:widowControl w:val="0"/>
        <w:kinsoku/>
        <w:wordWrap/>
        <w:overflowPunct/>
        <w:topLinePunct w:val="0"/>
        <w:autoSpaceDE/>
        <w:autoSpaceDN/>
        <w:bidi w:val="0"/>
        <w:adjustRightInd w:val="0"/>
        <w:snapToGrid w:val="0"/>
        <w:spacing w:line="360" w:lineRule="auto"/>
        <w:ind w:left="0" w:firstLine="46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（一）评标方法</w:t>
      </w:r>
    </w:p>
    <w:p w14:paraId="71AE15F7">
      <w:pPr>
        <w:keepNext w:val="0"/>
        <w:keepLines w:val="0"/>
        <w:pageBreakBefore w:val="0"/>
        <w:widowControl w:val="0"/>
        <w:kinsoku/>
        <w:wordWrap/>
        <w:overflowPunct/>
        <w:topLinePunct w:val="0"/>
        <w:autoSpaceDE/>
        <w:autoSpaceDN/>
        <w:bidi w:val="0"/>
        <w:adjustRightInd w:val="0"/>
        <w:snapToGrid w:val="0"/>
        <w:spacing w:line="360" w:lineRule="auto"/>
        <w:ind w:left="0" w:firstLine="46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本项目采用综合评分法，总分为100</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分。</w:t>
      </w:r>
    </w:p>
    <w:p w14:paraId="536DC841">
      <w:pPr>
        <w:keepNext w:val="0"/>
        <w:keepLines w:val="0"/>
        <w:pageBreakBefore w:val="0"/>
        <w:widowControl w:val="0"/>
        <w:kinsoku/>
        <w:wordWrap/>
        <w:overflowPunct/>
        <w:topLinePunct w:val="0"/>
        <w:autoSpaceDE/>
        <w:autoSpaceDN/>
        <w:bidi w:val="0"/>
        <w:adjustRightInd w:val="0"/>
        <w:snapToGrid w:val="0"/>
        <w:spacing w:line="360" w:lineRule="auto"/>
        <w:ind w:left="0"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（二）磋商小组负责具体评标事务，并独立履行下列职责</w:t>
      </w:r>
    </w:p>
    <w:p w14:paraId="3DBC3CEB">
      <w:pPr>
        <w:keepNext w:val="0"/>
        <w:keepLines w:val="0"/>
        <w:pageBreakBefore w:val="0"/>
        <w:widowControl w:val="0"/>
        <w:kinsoku/>
        <w:wordWrap/>
        <w:overflowPunct/>
        <w:topLinePunct w:val="0"/>
        <w:autoSpaceDE/>
        <w:autoSpaceDN/>
        <w:bidi w:val="0"/>
        <w:adjustRightInd w:val="0"/>
        <w:snapToGrid w:val="0"/>
        <w:spacing w:line="360" w:lineRule="auto"/>
        <w:ind w:left="0"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1、审查、评价响应文件是否符合磋商文件的商务、技术等实质性要求；</w:t>
      </w:r>
    </w:p>
    <w:p w14:paraId="0992E96C">
      <w:pPr>
        <w:keepNext w:val="0"/>
        <w:keepLines w:val="0"/>
        <w:pageBreakBefore w:val="0"/>
        <w:widowControl w:val="0"/>
        <w:kinsoku/>
        <w:wordWrap/>
        <w:overflowPunct/>
        <w:topLinePunct w:val="0"/>
        <w:autoSpaceDE/>
        <w:autoSpaceDN/>
        <w:bidi w:val="0"/>
        <w:adjustRightInd w:val="0"/>
        <w:snapToGrid w:val="0"/>
        <w:spacing w:line="360" w:lineRule="auto"/>
        <w:ind w:left="0" w:firstLine="46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磋商小组对符合资格的供应商的响应文件进行符合性审查，以确定</w:t>
      </w:r>
      <w:r>
        <w:rPr>
          <w:rFonts w:hint="eastAsia" w:ascii="宋体" w:hAnsi="宋体" w:eastAsia="宋体" w:cs="宋体"/>
          <w:color w:val="auto"/>
          <w:spacing w:val="-4"/>
          <w:sz w:val="24"/>
          <w:szCs w:val="24"/>
          <w:highlight w:val="none"/>
        </w:rPr>
        <w:t>其是否满</w:t>
      </w:r>
      <w:r>
        <w:rPr>
          <w:rFonts w:hint="eastAsia" w:ascii="宋体" w:hAnsi="宋体" w:eastAsia="宋体" w:cs="宋体"/>
          <w:color w:val="auto"/>
          <w:spacing w:val="-2"/>
          <w:sz w:val="24"/>
          <w:szCs w:val="24"/>
          <w:highlight w:val="none"/>
        </w:rPr>
        <w:t>足采购需求等实质性要求。</w:t>
      </w:r>
    </w:p>
    <w:p w14:paraId="204BD5AA">
      <w:pPr>
        <w:spacing w:line="69" w:lineRule="exact"/>
        <w:rPr>
          <w:rFonts w:hint="eastAsia" w:ascii="宋体" w:hAnsi="宋体" w:eastAsia="宋体" w:cs="宋体"/>
          <w:color w:val="auto"/>
          <w:highlight w:val="none"/>
        </w:rPr>
      </w:pPr>
    </w:p>
    <w:tbl>
      <w:tblPr>
        <w:tblStyle w:val="34"/>
        <w:tblW w:w="91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0"/>
      </w:tblGrid>
      <w:tr w14:paraId="7671F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60" w:type="dxa"/>
            <w:noWrap w:val="0"/>
            <w:vAlign w:val="top"/>
          </w:tcPr>
          <w:p w14:paraId="448016F5">
            <w:pPr>
              <w:spacing w:before="119" w:line="219" w:lineRule="auto"/>
              <w:ind w:left="3358"/>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符合性审查因素</w:t>
            </w:r>
          </w:p>
        </w:tc>
      </w:tr>
      <w:tr w14:paraId="5E7D3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60" w:type="dxa"/>
            <w:noWrap w:val="0"/>
            <w:vAlign w:val="top"/>
          </w:tcPr>
          <w:p w14:paraId="459F62A4">
            <w:pPr>
              <w:spacing w:before="180" w:line="219"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（1）响应文件未按磋商文件要求签署、盖章的；</w:t>
            </w:r>
          </w:p>
        </w:tc>
      </w:tr>
      <w:tr w14:paraId="798EB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60" w:type="dxa"/>
            <w:noWrap w:val="0"/>
            <w:vAlign w:val="top"/>
          </w:tcPr>
          <w:p w14:paraId="2AB529D0">
            <w:pPr>
              <w:spacing w:before="181" w:line="219"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（2）不同供应商的响应文件由同一单位或者个</w:t>
            </w:r>
            <w:r>
              <w:rPr>
                <w:rFonts w:hint="eastAsia" w:ascii="宋体" w:hAnsi="宋体" w:eastAsia="宋体" w:cs="宋体"/>
                <w:color w:val="auto"/>
                <w:spacing w:val="-2"/>
                <w:sz w:val="24"/>
                <w:szCs w:val="24"/>
                <w:highlight w:val="none"/>
              </w:rPr>
              <w:t>人编制；</w:t>
            </w:r>
          </w:p>
        </w:tc>
      </w:tr>
      <w:tr w14:paraId="02950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60" w:type="dxa"/>
            <w:noWrap w:val="0"/>
            <w:vAlign w:val="top"/>
          </w:tcPr>
          <w:p w14:paraId="4C56D610">
            <w:pPr>
              <w:spacing w:before="182" w:line="219"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（3）响应文件含有采购人不能接受的附加条件的；</w:t>
            </w:r>
          </w:p>
        </w:tc>
      </w:tr>
      <w:tr w14:paraId="6ABCF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60" w:type="dxa"/>
            <w:noWrap w:val="0"/>
            <w:vAlign w:val="top"/>
          </w:tcPr>
          <w:p w14:paraId="7FFC147A">
            <w:pPr>
              <w:spacing w:before="184" w:line="219"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（4）不同供应商委托同一单位或者个人办理响</w:t>
            </w:r>
            <w:r>
              <w:rPr>
                <w:rFonts w:hint="eastAsia" w:ascii="宋体" w:hAnsi="宋体" w:eastAsia="宋体" w:cs="宋体"/>
                <w:color w:val="auto"/>
                <w:spacing w:val="-2"/>
                <w:sz w:val="24"/>
                <w:szCs w:val="24"/>
                <w:highlight w:val="none"/>
              </w:rPr>
              <w:t>应事宜；</w:t>
            </w:r>
          </w:p>
        </w:tc>
      </w:tr>
      <w:tr w14:paraId="256E0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60" w:type="dxa"/>
            <w:noWrap w:val="0"/>
            <w:vAlign w:val="top"/>
          </w:tcPr>
          <w:p w14:paraId="1334F6D5">
            <w:pPr>
              <w:spacing w:before="184" w:line="219"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（5）不同供应商的响应文件载明的项目管理成员或者联系人员为同一人；</w:t>
            </w:r>
          </w:p>
        </w:tc>
      </w:tr>
      <w:tr w14:paraId="62098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60" w:type="dxa"/>
            <w:noWrap w:val="0"/>
            <w:vAlign w:val="top"/>
          </w:tcPr>
          <w:p w14:paraId="1E3524E1">
            <w:pPr>
              <w:spacing w:before="184" w:line="21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（6）不同供应商的响应文件异常一致或者响应报价呈规律性差异；</w:t>
            </w:r>
          </w:p>
        </w:tc>
      </w:tr>
      <w:tr w14:paraId="0B443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60" w:type="dxa"/>
            <w:noWrap w:val="0"/>
            <w:vAlign w:val="top"/>
          </w:tcPr>
          <w:p w14:paraId="655E0E24">
            <w:pPr>
              <w:spacing w:before="184" w:line="219"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（7）不同供应商的响应文件相互混装；</w:t>
            </w:r>
          </w:p>
        </w:tc>
      </w:tr>
      <w:tr w14:paraId="0DB00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60" w:type="dxa"/>
            <w:noWrap w:val="0"/>
            <w:vAlign w:val="top"/>
          </w:tcPr>
          <w:p w14:paraId="56F89595">
            <w:pPr>
              <w:spacing w:before="184" w:line="21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（8）已标价工程量清单；</w:t>
            </w:r>
          </w:p>
        </w:tc>
      </w:tr>
      <w:tr w14:paraId="7048D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160" w:type="dxa"/>
            <w:noWrap w:val="0"/>
            <w:vAlign w:val="top"/>
          </w:tcPr>
          <w:p w14:paraId="79408F18">
            <w:pPr>
              <w:spacing w:before="185" w:line="219"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（9）法律、法规和磋商文件规定的其他无效情形；</w:t>
            </w:r>
          </w:p>
        </w:tc>
      </w:tr>
    </w:tbl>
    <w:p w14:paraId="4E780C02">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宋体" w:hAnsi="宋体" w:eastAsia="宋体" w:cs="宋体"/>
          <w:b/>
          <w:bCs/>
          <w:color w:val="auto"/>
          <w:spacing w:val="-3"/>
          <w:sz w:val="24"/>
          <w:szCs w:val="24"/>
          <w:highlight w:val="none"/>
        </w:rPr>
      </w:pPr>
      <w:r>
        <w:rPr>
          <w:rFonts w:hint="eastAsia" w:ascii="宋体" w:hAnsi="宋体" w:eastAsia="宋体" w:cs="宋体"/>
          <w:color w:val="auto"/>
          <w:spacing w:val="-3"/>
          <w:sz w:val="24"/>
          <w:szCs w:val="24"/>
          <w:highlight w:val="none"/>
        </w:rPr>
        <w:t>注：符合性审查中所涉及到的证书及材料，均须在电子响应文件</w:t>
      </w:r>
      <w:r>
        <w:rPr>
          <w:rFonts w:hint="eastAsia" w:ascii="宋体" w:hAnsi="宋体" w:eastAsia="宋体" w:cs="宋体"/>
          <w:color w:val="auto"/>
          <w:spacing w:val="-4"/>
          <w:sz w:val="24"/>
          <w:szCs w:val="24"/>
          <w:highlight w:val="none"/>
        </w:rPr>
        <w:t>中提供原件</w:t>
      </w:r>
      <w:r>
        <w:rPr>
          <w:rFonts w:hint="eastAsia" w:ascii="宋体" w:hAnsi="宋体" w:eastAsia="宋体" w:cs="宋体"/>
          <w:color w:val="auto"/>
          <w:spacing w:val="-2"/>
          <w:sz w:val="24"/>
          <w:szCs w:val="24"/>
          <w:highlight w:val="none"/>
        </w:rPr>
        <w:t>扫描件（或图片）</w:t>
      </w:r>
      <w:r>
        <w:rPr>
          <w:rFonts w:hint="eastAsia" w:ascii="宋体" w:hAnsi="宋体" w:eastAsia="宋体" w:cs="宋体"/>
          <w:b/>
          <w:bCs/>
          <w:color w:val="auto"/>
          <w:spacing w:val="-3"/>
          <w:sz w:val="24"/>
          <w:szCs w:val="24"/>
          <w:highlight w:val="none"/>
        </w:rPr>
        <w:t>。</w:t>
      </w:r>
    </w:p>
    <w:p w14:paraId="6C709855">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textAlignment w:val="auto"/>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2、要求供应商对响应文件有关事项作出澄清或者说明；</w:t>
      </w:r>
    </w:p>
    <w:p w14:paraId="15A9A07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对于响应文件中含义不明确、同类问题表述不一致或者有明显文字和计算错 误的内容，磋商小组应当以书面形式要求供应商作出必要的澄清、说明或者补正。供应商的澄清、说明或者补正应当采用书面形式，并加盖公章，或者由法定代表人或其授权的代表签字。供应商的澄清、说明或者补正不得超出响应文件的范围或者改变响应文件的实质性内容。</w:t>
      </w:r>
    </w:p>
    <w:p w14:paraId="5785EB51">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3、对响应文件进行比较和评价；</w:t>
      </w:r>
    </w:p>
    <w:p w14:paraId="620B7321">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磋商小组按照磋商文件中规定的评标方法和标准，对符合性审查合</w:t>
      </w:r>
      <w:r>
        <w:rPr>
          <w:rFonts w:hint="eastAsia" w:ascii="宋体" w:hAnsi="宋体" w:eastAsia="宋体" w:cs="宋体"/>
          <w:color w:val="auto"/>
          <w:spacing w:val="-4"/>
          <w:sz w:val="24"/>
          <w:szCs w:val="24"/>
          <w:highlight w:val="none"/>
        </w:rPr>
        <w:t>格的响应</w:t>
      </w:r>
      <w:r>
        <w:rPr>
          <w:rFonts w:hint="eastAsia" w:ascii="宋体" w:hAnsi="宋体" w:eastAsia="宋体" w:cs="宋体"/>
          <w:color w:val="auto"/>
          <w:spacing w:val="-3"/>
          <w:sz w:val="24"/>
          <w:szCs w:val="24"/>
          <w:highlight w:val="none"/>
        </w:rPr>
        <w:t>文件进行商务和技术评估，综合比较与评价。评标时，磋商小组各成员应当独立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对每个供应商的响应文件进行评价，并汇总每个供应商的得分。评标过程中，不</w:t>
      </w:r>
      <w:r>
        <w:rPr>
          <w:rFonts w:hint="eastAsia" w:ascii="宋体" w:hAnsi="宋体" w:eastAsia="宋体" w:cs="宋体"/>
          <w:color w:val="auto"/>
          <w:spacing w:val="-1"/>
          <w:sz w:val="24"/>
          <w:szCs w:val="24"/>
          <w:highlight w:val="none"/>
        </w:rPr>
        <w:t>得去掉报价中的最高报价和最低报价。</w:t>
      </w:r>
    </w:p>
    <w:p w14:paraId="1CC88565">
      <w:pPr>
        <w:keepNext w:val="0"/>
        <w:keepLines w:val="0"/>
        <w:pageBreakBefore w:val="0"/>
        <w:widowControl w:val="0"/>
        <w:kinsoku/>
        <w:wordWrap/>
        <w:overflowPunct/>
        <w:topLinePunct w:val="0"/>
        <w:autoSpaceDE/>
        <w:autoSpaceDN/>
        <w:bidi w:val="0"/>
        <w:adjustRightInd w:val="0"/>
        <w:snapToGrid w:val="0"/>
        <w:spacing w:line="360" w:lineRule="auto"/>
        <w:ind w:left="0" w:right="0" w:firstLine="478"/>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注：评标标准中所涉及到的证书及材料，均须在电子响应文件中</w:t>
      </w:r>
      <w:r>
        <w:rPr>
          <w:rFonts w:hint="eastAsia" w:ascii="宋体" w:hAnsi="宋体" w:eastAsia="宋体" w:cs="宋体"/>
          <w:color w:val="auto"/>
          <w:spacing w:val="-4"/>
          <w:sz w:val="24"/>
          <w:szCs w:val="24"/>
          <w:highlight w:val="none"/>
        </w:rPr>
        <w:t>提供原件扫</w:t>
      </w:r>
      <w:r>
        <w:rPr>
          <w:rFonts w:hint="eastAsia" w:ascii="宋体" w:hAnsi="宋体" w:eastAsia="宋体" w:cs="宋体"/>
          <w:color w:val="auto"/>
          <w:spacing w:val="-2"/>
          <w:sz w:val="24"/>
          <w:szCs w:val="24"/>
          <w:highlight w:val="none"/>
        </w:rPr>
        <w:t>描件（或图片）。</w:t>
      </w:r>
    </w:p>
    <w:p w14:paraId="71B05EB7">
      <w:pPr>
        <w:keepNext w:val="0"/>
        <w:keepLines w:val="0"/>
        <w:pageBreakBefore w:val="0"/>
        <w:widowControl w:val="0"/>
        <w:kinsoku/>
        <w:wordWrap/>
        <w:overflowPunct/>
        <w:topLinePunct w:val="0"/>
        <w:autoSpaceDE/>
        <w:autoSpaceDN/>
        <w:bidi w:val="0"/>
        <w:adjustRightInd w:val="0"/>
        <w:snapToGrid w:val="0"/>
        <w:spacing w:line="360" w:lineRule="auto"/>
        <w:ind w:left="0" w:right="0" w:firstLine="478"/>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（1）价格分计算</w:t>
      </w:r>
    </w:p>
    <w:p w14:paraId="03927C83">
      <w:pPr>
        <w:keepNext w:val="0"/>
        <w:keepLines w:val="0"/>
        <w:pageBreakBefore w:val="0"/>
        <w:widowControl w:val="0"/>
        <w:tabs>
          <w:tab w:val="left" w:pos="8190"/>
        </w:tabs>
        <w:kinsoku/>
        <w:wordWrap/>
        <w:overflowPunct/>
        <w:topLinePunct w:val="0"/>
        <w:autoSpaceDE/>
        <w:autoSpaceDN/>
        <w:bidi w:val="0"/>
        <w:adjustRightInd w:val="0"/>
        <w:snapToGrid w:val="0"/>
        <w:spacing w:line="360" w:lineRule="auto"/>
        <w:ind w:left="0" w:right="0" w:firstLine="461"/>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价格分采用低价优先法计算，即满足响应文件要求且最终报价</w:t>
      </w:r>
      <w:r>
        <w:rPr>
          <w:rFonts w:hint="eastAsia" w:ascii="宋体" w:hAnsi="宋体" w:eastAsia="宋体" w:cs="宋体"/>
          <w:color w:val="auto"/>
          <w:spacing w:val="-4"/>
          <w:sz w:val="24"/>
          <w:szCs w:val="24"/>
          <w:highlight w:val="none"/>
        </w:rPr>
        <w:t>最低的供应商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的报价为评标基准价，其价格分为满分。因落实政府采购政策进行价格调整的，</w:t>
      </w:r>
      <w:r>
        <w:rPr>
          <w:rFonts w:hint="eastAsia" w:ascii="宋体" w:hAnsi="宋体" w:eastAsia="宋体" w:cs="宋体"/>
          <w:color w:val="auto"/>
          <w:spacing w:val="-2"/>
          <w:sz w:val="24"/>
          <w:szCs w:val="24"/>
          <w:highlight w:val="none"/>
        </w:rPr>
        <w:t>以调整后的价格计算评标基准价和投标报价。</w:t>
      </w:r>
    </w:p>
    <w:p w14:paraId="78B2D696">
      <w:pPr>
        <w:keepNext w:val="0"/>
        <w:keepLines w:val="0"/>
        <w:pageBreakBefore w:val="0"/>
        <w:widowControl w:val="0"/>
        <w:kinsoku/>
        <w:wordWrap/>
        <w:overflowPunct/>
        <w:topLinePunct w:val="0"/>
        <w:autoSpaceDE/>
        <w:autoSpaceDN/>
        <w:bidi w:val="0"/>
        <w:adjustRightInd w:val="0"/>
        <w:snapToGrid w:val="0"/>
        <w:spacing w:line="360" w:lineRule="auto"/>
        <w:ind w:left="0" w:right="0" w:firstLine="498"/>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1）如果本项目非专门面向中小企业采购，对符合《政府采购促进中小企业</w:t>
      </w:r>
      <w:r>
        <w:rPr>
          <w:rFonts w:hint="eastAsia" w:ascii="宋体" w:hAnsi="宋体" w:eastAsia="宋体" w:cs="宋体"/>
          <w:color w:val="auto"/>
          <w:spacing w:val="-2"/>
          <w:sz w:val="24"/>
          <w:szCs w:val="24"/>
          <w:highlight w:val="none"/>
        </w:rPr>
        <w:t>发展管理办法》(财库〔2020〕46号、《关于进一步加大政府采购支持中小企业</w:t>
      </w:r>
      <w:r>
        <w:rPr>
          <w:rFonts w:hint="eastAsia" w:ascii="宋体" w:hAnsi="宋体" w:eastAsia="宋体" w:cs="宋体"/>
          <w:color w:val="auto"/>
          <w:spacing w:val="-1"/>
          <w:sz w:val="24"/>
          <w:szCs w:val="24"/>
          <w:highlight w:val="none"/>
        </w:rPr>
        <w:t>力度的通知》（财库〔2022〕19号）规定的小微企业报价给予20%（工程项目</w:t>
      </w:r>
      <w:r>
        <w:rPr>
          <w:rFonts w:hint="eastAsia" w:ascii="宋体" w:hAnsi="宋体" w:eastAsia="宋体" w:cs="宋体"/>
          <w:color w:val="auto"/>
          <w:spacing w:val="-3"/>
          <w:sz w:val="24"/>
          <w:szCs w:val="24"/>
          <w:highlight w:val="none"/>
        </w:rPr>
        <w:t>5%）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w:t>
      </w:r>
      <w:r>
        <w:rPr>
          <w:rFonts w:hint="eastAsia" w:ascii="宋体" w:hAnsi="宋体" w:eastAsia="宋体" w:cs="宋体"/>
          <w:color w:val="auto"/>
          <w:spacing w:val="1"/>
          <w:sz w:val="24"/>
          <w:szCs w:val="24"/>
          <w:highlight w:val="none"/>
        </w:rPr>
        <w:t>业的报价给予6%（工程项目2%）的扣除，用扣除后的价格参加评审。组成联合</w:t>
      </w:r>
      <w:r>
        <w:rPr>
          <w:rFonts w:hint="eastAsia" w:ascii="宋体" w:hAnsi="宋体" w:eastAsia="宋体" w:cs="宋体"/>
          <w:color w:val="auto"/>
          <w:spacing w:val="-1"/>
          <w:sz w:val="24"/>
          <w:szCs w:val="24"/>
          <w:highlight w:val="none"/>
        </w:rPr>
        <w:t>体或者接受分包的小微企业与联合体内其他企业、分包企业之间</w:t>
      </w:r>
      <w:r>
        <w:rPr>
          <w:rFonts w:hint="eastAsia" w:ascii="宋体" w:hAnsi="宋体" w:eastAsia="宋体" w:cs="宋体"/>
          <w:color w:val="auto"/>
          <w:spacing w:val="-2"/>
          <w:sz w:val="24"/>
          <w:szCs w:val="24"/>
          <w:highlight w:val="none"/>
        </w:rPr>
        <w:t>存在直接控股、</w:t>
      </w:r>
      <w:r>
        <w:rPr>
          <w:rFonts w:hint="eastAsia" w:ascii="宋体" w:hAnsi="宋体" w:eastAsia="宋体" w:cs="宋体"/>
          <w:color w:val="auto"/>
          <w:spacing w:val="-8"/>
          <w:sz w:val="24"/>
          <w:szCs w:val="24"/>
          <w:highlight w:val="none"/>
        </w:rPr>
        <w:t>管理关系的，不享受价格扣除优惠政策。按照本次采购标的所属行业的划型标准，</w:t>
      </w:r>
      <w:r>
        <w:rPr>
          <w:rFonts w:hint="eastAsia" w:ascii="宋体" w:hAnsi="宋体" w:eastAsia="宋体" w:cs="宋体"/>
          <w:color w:val="auto"/>
          <w:spacing w:val="-3"/>
          <w:sz w:val="24"/>
          <w:szCs w:val="24"/>
          <w:highlight w:val="none"/>
        </w:rPr>
        <w:t>符合条件的中小企业应按照招标文件格式要求提供《中小企业声明函》，否则不</w:t>
      </w:r>
      <w:r>
        <w:rPr>
          <w:rFonts w:hint="eastAsia" w:ascii="宋体" w:hAnsi="宋体" w:eastAsia="宋体" w:cs="宋体"/>
          <w:color w:val="auto"/>
          <w:spacing w:val="-1"/>
          <w:sz w:val="24"/>
          <w:szCs w:val="24"/>
          <w:highlight w:val="none"/>
        </w:rPr>
        <w:t>得享受相关中小企业扶持政策。</w:t>
      </w:r>
    </w:p>
    <w:p w14:paraId="1B2A4DFE">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小型和微型企业不包含民办非企业单位。</w:t>
      </w:r>
    </w:p>
    <w:p w14:paraId="646583A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w:t>
      </w:r>
      <w:r>
        <w:rPr>
          <w:rFonts w:hint="eastAsia" w:ascii="宋体" w:hAnsi="宋体" w:eastAsia="宋体" w:cs="宋体"/>
          <w:color w:val="auto"/>
          <w:spacing w:val="-1"/>
          <w:sz w:val="24"/>
          <w:szCs w:val="24"/>
          <w:highlight w:val="none"/>
        </w:rPr>
        <w:t>府采购活动中视同中小企业。</w:t>
      </w:r>
    </w:p>
    <w:p w14:paraId="122E50CF">
      <w:pPr>
        <w:keepNext w:val="0"/>
        <w:keepLines w:val="0"/>
        <w:pageBreakBefore w:val="0"/>
        <w:widowControl w:val="0"/>
        <w:kinsoku/>
        <w:wordWrap/>
        <w:overflowPunct/>
        <w:topLinePunct w:val="0"/>
        <w:autoSpaceDE/>
        <w:autoSpaceDN/>
        <w:bidi w:val="0"/>
        <w:adjustRightInd w:val="0"/>
        <w:snapToGrid w:val="0"/>
        <w:spacing w:line="360" w:lineRule="auto"/>
        <w:ind w:left="0" w:right="0" w:firstLine="479"/>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2）对监狱企业价格给予20%（工程项目为5%）的扣除，用扣除</w:t>
      </w:r>
      <w:r>
        <w:rPr>
          <w:rFonts w:hint="eastAsia" w:ascii="宋体" w:hAnsi="宋体" w:eastAsia="宋体" w:cs="宋体"/>
          <w:color w:val="auto"/>
          <w:spacing w:val="-2"/>
          <w:sz w:val="24"/>
          <w:szCs w:val="24"/>
          <w:highlight w:val="none"/>
        </w:rPr>
        <w:t>后的价格参</w:t>
      </w:r>
      <w:r>
        <w:rPr>
          <w:rFonts w:hint="eastAsia" w:ascii="宋体" w:hAnsi="宋体" w:eastAsia="宋体" w:cs="宋体"/>
          <w:color w:val="auto"/>
          <w:sz w:val="24"/>
          <w:szCs w:val="24"/>
          <w:highlight w:val="none"/>
        </w:rPr>
        <w:t>与评审。监狱企业应当提供由省级以上监狱管</w:t>
      </w:r>
      <w:r>
        <w:rPr>
          <w:rFonts w:hint="eastAsia" w:ascii="宋体" w:hAnsi="宋体" w:eastAsia="宋体" w:cs="宋体"/>
          <w:color w:val="auto"/>
          <w:spacing w:val="-1"/>
          <w:sz w:val="24"/>
          <w:szCs w:val="24"/>
          <w:highlight w:val="none"/>
        </w:rPr>
        <w:t>理局、戒毒管理局(含</w:t>
      </w:r>
      <w:r>
        <w:rPr>
          <w:rFonts w:hint="eastAsia" w:ascii="宋体" w:hAnsi="宋体" w:eastAsia="宋体" w:cs="宋体"/>
          <w:color w:val="auto"/>
          <w:spacing w:val="-1"/>
          <w:sz w:val="24"/>
          <w:szCs w:val="24"/>
          <w:highlight w:val="none"/>
          <w:lang w:eastAsia="zh-CN"/>
        </w:rPr>
        <w:t>新疆生产建设兵团</w:t>
      </w:r>
      <w:r>
        <w:rPr>
          <w:rFonts w:hint="eastAsia" w:ascii="宋体" w:hAnsi="宋体" w:eastAsia="宋体" w:cs="宋体"/>
          <w:color w:val="auto"/>
          <w:spacing w:val="-1"/>
          <w:sz w:val="24"/>
          <w:szCs w:val="24"/>
          <w:highlight w:val="none"/>
        </w:rPr>
        <w:t>)出具的属于监狱企业的证明文件。</w:t>
      </w:r>
    </w:p>
    <w:p w14:paraId="6DC11C6E">
      <w:pPr>
        <w:keepNext w:val="0"/>
        <w:keepLines w:val="0"/>
        <w:pageBreakBefore w:val="0"/>
        <w:widowControl w:val="0"/>
        <w:kinsoku/>
        <w:wordWrap/>
        <w:overflowPunct/>
        <w:topLinePunct w:val="0"/>
        <w:autoSpaceDE/>
        <w:autoSpaceDN/>
        <w:bidi w:val="0"/>
        <w:adjustRightInd w:val="0"/>
        <w:snapToGrid w:val="0"/>
        <w:spacing w:line="360" w:lineRule="auto"/>
        <w:ind w:left="0" w:right="0" w:firstLine="485"/>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3）对残疾人福利性单位提供本单位制造的货物、承担的工程或者服务，或</w:t>
      </w:r>
      <w:r>
        <w:rPr>
          <w:rFonts w:hint="eastAsia" w:ascii="宋体" w:hAnsi="宋体" w:eastAsia="宋体" w:cs="宋体"/>
          <w:color w:val="auto"/>
          <w:spacing w:val="-3"/>
          <w:sz w:val="24"/>
          <w:szCs w:val="24"/>
          <w:highlight w:val="none"/>
        </w:rPr>
        <w:t>者提供其他残疾人福利性单位制造的货物（不包括使用非残疾人福利性单位注册</w:t>
      </w:r>
      <w:r>
        <w:rPr>
          <w:rFonts w:hint="eastAsia" w:ascii="宋体" w:hAnsi="宋体" w:eastAsia="宋体" w:cs="宋体"/>
          <w:color w:val="auto"/>
          <w:spacing w:val="-6"/>
          <w:sz w:val="24"/>
          <w:szCs w:val="24"/>
          <w:highlight w:val="none"/>
        </w:rPr>
        <w:t>商标的货物）价格给予20%（工程项目为5%）的扣除，用扣除后的价格参与评审。</w:t>
      </w:r>
      <w:r>
        <w:rPr>
          <w:rFonts w:hint="eastAsia" w:ascii="宋体" w:hAnsi="宋体" w:eastAsia="宋体" w:cs="宋体"/>
          <w:color w:val="auto"/>
          <w:spacing w:val="-3"/>
          <w:sz w:val="24"/>
          <w:szCs w:val="24"/>
          <w:highlight w:val="none"/>
        </w:rPr>
        <w:t>符合条件的残疾人福利性单位在参加政府采购活动时，应当提供《三部门联合发</w:t>
      </w:r>
      <w:r>
        <w:rPr>
          <w:rFonts w:hint="eastAsia" w:ascii="宋体" w:hAnsi="宋体" w:eastAsia="宋体" w:cs="宋体"/>
          <w:color w:val="auto"/>
          <w:spacing w:val="-11"/>
          <w:sz w:val="24"/>
          <w:szCs w:val="24"/>
          <w:highlight w:val="none"/>
        </w:rPr>
        <w:t>布关于促进残疾人就业政府采购政策的通知》规定的《残疾人福利性单位声明函》，</w:t>
      </w:r>
      <w:r>
        <w:rPr>
          <w:rFonts w:hint="eastAsia" w:ascii="宋体" w:hAnsi="宋体" w:eastAsia="宋体" w:cs="宋体"/>
          <w:color w:val="auto"/>
          <w:spacing w:val="-3"/>
          <w:sz w:val="24"/>
          <w:szCs w:val="24"/>
          <w:highlight w:val="none"/>
        </w:rPr>
        <w:t>并对声明的真实性负责。残疾人福利性单位属于小型、微型企业的，不重复享受政策。</w:t>
      </w:r>
    </w:p>
    <w:p w14:paraId="5B06195A">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享受政府采购支持政策的残疾人福利性单位应当同时满足以下条件：</w:t>
      </w:r>
    </w:p>
    <w:p w14:paraId="4537CAC3">
      <w:pPr>
        <w:keepNext w:val="0"/>
        <w:keepLines w:val="0"/>
        <w:pageBreakBefore w:val="0"/>
        <w:widowControl w:val="0"/>
        <w:kinsoku/>
        <w:wordWrap/>
        <w:overflowPunct/>
        <w:topLinePunct w:val="0"/>
        <w:autoSpaceDE/>
        <w:autoSpaceDN/>
        <w:bidi w:val="0"/>
        <w:adjustRightInd w:val="0"/>
        <w:snapToGrid w:val="0"/>
        <w:spacing w:line="360" w:lineRule="auto"/>
        <w:ind w:left="0" w:right="0" w:firstLine="485"/>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（一）安置的残疾人占本单位在职职工人数</w:t>
      </w:r>
      <w:r>
        <w:rPr>
          <w:rFonts w:hint="eastAsia" w:ascii="宋体" w:hAnsi="宋体" w:eastAsia="宋体" w:cs="宋体"/>
          <w:color w:val="auto"/>
          <w:spacing w:val="-2"/>
          <w:sz w:val="24"/>
          <w:szCs w:val="24"/>
          <w:highlight w:val="none"/>
        </w:rPr>
        <w:t>的比例不低于25%（含25%</w:t>
      </w:r>
      <w:r>
        <w:rPr>
          <w:rFonts w:hint="eastAsia" w:ascii="宋体" w:hAnsi="宋体" w:eastAsia="宋体" w:cs="宋体"/>
          <w:color w:val="auto"/>
          <w:spacing w:val="-29"/>
          <w:sz w:val="24"/>
          <w:szCs w:val="24"/>
          <w:highlight w:val="none"/>
        </w:rPr>
        <w:t>），</w:t>
      </w:r>
      <w:r>
        <w:rPr>
          <w:rFonts w:hint="eastAsia" w:ascii="宋体" w:hAnsi="宋体" w:eastAsia="宋体" w:cs="宋体"/>
          <w:color w:val="auto"/>
          <w:spacing w:val="-5"/>
          <w:sz w:val="24"/>
          <w:szCs w:val="24"/>
          <w:highlight w:val="none"/>
        </w:rPr>
        <w:t>并且安置的残疾人人数不少于10人（含10人</w:t>
      </w:r>
      <w:r>
        <w:rPr>
          <w:rFonts w:hint="eastAsia" w:ascii="宋体" w:hAnsi="宋体" w:eastAsia="宋体" w:cs="宋体"/>
          <w:color w:val="auto"/>
          <w:spacing w:val="6"/>
          <w:sz w:val="24"/>
          <w:szCs w:val="24"/>
          <w:highlight w:val="none"/>
        </w:rPr>
        <w:t>）；</w:t>
      </w:r>
    </w:p>
    <w:p w14:paraId="4C6EC662">
      <w:pPr>
        <w:keepNext w:val="0"/>
        <w:keepLines w:val="0"/>
        <w:pageBreakBefore w:val="0"/>
        <w:widowControl w:val="0"/>
        <w:kinsoku/>
        <w:wordWrap/>
        <w:overflowPunct/>
        <w:topLinePunct w:val="0"/>
        <w:autoSpaceDE/>
        <w:autoSpaceDN/>
        <w:bidi w:val="0"/>
        <w:adjustRightInd w:val="0"/>
        <w:snapToGrid w:val="0"/>
        <w:spacing w:line="360" w:lineRule="auto"/>
        <w:ind w:left="0" w:right="0" w:firstLine="489"/>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（二）依法与安置的每位残疾人签订了一年以上（含一年）的劳动合同或服</w:t>
      </w:r>
      <w:r>
        <w:rPr>
          <w:rFonts w:hint="eastAsia" w:ascii="宋体" w:hAnsi="宋体" w:eastAsia="宋体" w:cs="宋体"/>
          <w:color w:val="auto"/>
          <w:spacing w:val="-3"/>
          <w:sz w:val="24"/>
          <w:szCs w:val="24"/>
          <w:highlight w:val="none"/>
        </w:rPr>
        <w:t>务协议；</w:t>
      </w:r>
    </w:p>
    <w:p w14:paraId="1822F5D7">
      <w:pPr>
        <w:keepNext w:val="0"/>
        <w:keepLines w:val="0"/>
        <w:pageBreakBefore w:val="0"/>
        <w:widowControl w:val="0"/>
        <w:kinsoku/>
        <w:wordWrap/>
        <w:overflowPunct/>
        <w:topLinePunct w:val="0"/>
        <w:autoSpaceDE/>
        <w:autoSpaceDN/>
        <w:bidi w:val="0"/>
        <w:adjustRightInd w:val="0"/>
        <w:snapToGrid w:val="0"/>
        <w:spacing w:line="360" w:lineRule="auto"/>
        <w:ind w:left="0" w:right="0" w:firstLine="485"/>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（三）为安置的每位残疾人按月足额缴纳了基本养老保险、基本医疗保险、</w:t>
      </w:r>
      <w:r>
        <w:rPr>
          <w:rFonts w:hint="eastAsia" w:ascii="宋体" w:hAnsi="宋体" w:eastAsia="宋体" w:cs="宋体"/>
          <w:color w:val="auto"/>
          <w:spacing w:val="-1"/>
          <w:sz w:val="24"/>
          <w:szCs w:val="24"/>
          <w:highlight w:val="none"/>
        </w:rPr>
        <w:t>失业保险、工伤保险和生育保险等社会保险费；</w:t>
      </w:r>
    </w:p>
    <w:p w14:paraId="20448250">
      <w:pPr>
        <w:keepNext w:val="0"/>
        <w:keepLines w:val="0"/>
        <w:pageBreakBefore w:val="0"/>
        <w:widowControl w:val="0"/>
        <w:kinsoku/>
        <w:wordWrap/>
        <w:overflowPunct/>
        <w:topLinePunct w:val="0"/>
        <w:autoSpaceDE/>
        <w:autoSpaceDN/>
        <w:bidi w:val="0"/>
        <w:adjustRightInd w:val="0"/>
        <w:snapToGrid w:val="0"/>
        <w:spacing w:line="360" w:lineRule="auto"/>
        <w:ind w:left="0" w:right="0" w:firstLine="492"/>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（四）通过银行等金融机构向安置的每位残疾人，按月支付了不低于单位所</w:t>
      </w:r>
      <w:r>
        <w:rPr>
          <w:rFonts w:hint="eastAsia" w:ascii="宋体" w:hAnsi="宋体" w:eastAsia="宋体" w:cs="宋体"/>
          <w:color w:val="auto"/>
          <w:spacing w:val="-1"/>
          <w:sz w:val="24"/>
          <w:szCs w:val="24"/>
          <w:highlight w:val="none"/>
        </w:rPr>
        <w:t>在区县适用的经省级人民政府批准的月最低工资标准的工资；</w:t>
      </w:r>
    </w:p>
    <w:p w14:paraId="21A34EEC">
      <w:pPr>
        <w:keepNext w:val="0"/>
        <w:keepLines w:val="0"/>
        <w:pageBreakBefore w:val="0"/>
        <w:widowControl w:val="0"/>
        <w:kinsoku/>
        <w:wordWrap/>
        <w:overflowPunct/>
        <w:topLinePunct w:val="0"/>
        <w:autoSpaceDE/>
        <w:autoSpaceDN/>
        <w:bidi w:val="0"/>
        <w:adjustRightInd w:val="0"/>
        <w:snapToGrid w:val="0"/>
        <w:spacing w:line="360" w:lineRule="auto"/>
        <w:ind w:left="0" w:right="0" w:firstLine="489"/>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（五）提供本单位制造的货物、承担的工程或者服务（以下简称产品</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3"/>
          <w:sz w:val="24"/>
          <w:szCs w:val="24"/>
          <w:highlight w:val="none"/>
        </w:rPr>
        <w:t>或者提供其他残疾人福利性单位制造的货物（不包括使用非残疾人福利性单位注册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商标的货物）。</w:t>
      </w:r>
    </w:p>
    <w:p w14:paraId="19321DF2">
      <w:pPr>
        <w:keepNext w:val="0"/>
        <w:keepLines w:val="0"/>
        <w:pageBreakBefore w:val="0"/>
        <w:widowControl w:val="0"/>
        <w:kinsoku/>
        <w:wordWrap/>
        <w:overflowPunct/>
        <w:topLinePunct w:val="0"/>
        <w:autoSpaceDE/>
        <w:autoSpaceDN/>
        <w:bidi w:val="0"/>
        <w:adjustRightInd w:val="0"/>
        <w:snapToGrid w:val="0"/>
        <w:spacing w:line="360" w:lineRule="auto"/>
        <w:ind w:left="0" w:right="0"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前款所称残疾人是指法定劳动年龄内，持有《中华人民</w:t>
      </w:r>
      <w:r>
        <w:rPr>
          <w:rFonts w:hint="eastAsia" w:ascii="宋体" w:hAnsi="宋体" w:eastAsia="宋体" w:cs="宋体"/>
          <w:color w:val="auto"/>
          <w:spacing w:val="-4"/>
          <w:sz w:val="24"/>
          <w:szCs w:val="24"/>
          <w:highlight w:val="none"/>
        </w:rPr>
        <w:t>共和国残疾人证》或</w:t>
      </w:r>
      <w:r>
        <w:rPr>
          <w:rFonts w:hint="eastAsia" w:ascii="宋体" w:hAnsi="宋体" w:eastAsia="宋体" w:cs="宋体"/>
          <w:color w:val="auto"/>
          <w:sz w:val="24"/>
          <w:szCs w:val="24"/>
          <w:highlight w:val="none"/>
        </w:rPr>
        <w:t>者《中华人民共和国残疾军人证（1至8级）》的自然人，包括具有劳动条件</w:t>
      </w:r>
      <w:r>
        <w:rPr>
          <w:rFonts w:hint="eastAsia" w:ascii="宋体" w:hAnsi="宋体" w:eastAsia="宋体" w:cs="宋体"/>
          <w:color w:val="auto"/>
          <w:spacing w:val="-3"/>
          <w:sz w:val="24"/>
          <w:szCs w:val="24"/>
          <w:highlight w:val="none"/>
        </w:rPr>
        <w:t>和劳动意愿的精神残疾人。在职职工人数是指与残疾人福利性单位建立劳动关系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并依法签订劳动合同或者服务协议的雇员人数。</w:t>
      </w:r>
    </w:p>
    <w:p w14:paraId="7D530F85">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（2）关于相同品牌产品（工程类项目不适用本条款规定）</w:t>
      </w:r>
    </w:p>
    <w:p w14:paraId="7FDBE5DF">
      <w:pPr>
        <w:keepNext w:val="0"/>
        <w:keepLines w:val="0"/>
        <w:pageBreakBefore w:val="0"/>
        <w:widowControl w:val="0"/>
        <w:kinsoku/>
        <w:wordWrap/>
        <w:overflowPunct/>
        <w:topLinePunct w:val="0"/>
        <w:autoSpaceDE/>
        <w:autoSpaceDN/>
        <w:bidi w:val="0"/>
        <w:adjustRightInd w:val="0"/>
        <w:snapToGrid w:val="0"/>
        <w:spacing w:line="360" w:lineRule="auto"/>
        <w:ind w:left="0" w:right="0" w:firstLine="479"/>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采用最低评标价法的，提供相同品牌产品的不同供应商参加同一</w:t>
      </w:r>
      <w:r>
        <w:rPr>
          <w:rFonts w:hint="eastAsia" w:ascii="宋体" w:hAnsi="宋体" w:eastAsia="宋体" w:cs="宋体"/>
          <w:color w:val="auto"/>
          <w:spacing w:val="-4"/>
          <w:sz w:val="24"/>
          <w:szCs w:val="24"/>
          <w:highlight w:val="none"/>
        </w:rPr>
        <w:t>合同项下投</w:t>
      </w:r>
      <w:r>
        <w:rPr>
          <w:rFonts w:hint="eastAsia" w:ascii="宋体" w:hAnsi="宋体" w:eastAsia="宋体" w:cs="宋体"/>
          <w:color w:val="auto"/>
          <w:spacing w:val="-2"/>
          <w:sz w:val="24"/>
          <w:szCs w:val="24"/>
          <w:highlight w:val="none"/>
        </w:rPr>
        <w:t>标的，以其中通过资格审查、符合性审查且报价最低的参加评标；报价相同的，</w:t>
      </w:r>
      <w:r>
        <w:rPr>
          <w:rFonts w:hint="eastAsia" w:ascii="宋体" w:hAnsi="宋体" w:eastAsia="宋体" w:cs="宋体"/>
          <w:color w:val="auto"/>
          <w:sz w:val="24"/>
          <w:szCs w:val="24"/>
          <w:highlight w:val="none"/>
        </w:rPr>
        <w:t>由采购人或者采购人委托评标委员会采取随机抽取方</w:t>
      </w:r>
      <w:r>
        <w:rPr>
          <w:rFonts w:hint="eastAsia" w:ascii="宋体" w:hAnsi="宋体" w:eastAsia="宋体" w:cs="宋体"/>
          <w:color w:val="auto"/>
          <w:spacing w:val="-1"/>
          <w:sz w:val="24"/>
          <w:szCs w:val="24"/>
          <w:highlight w:val="none"/>
        </w:rPr>
        <w:t>式确定一个参加评标的供应商，其他投标无效。</w:t>
      </w:r>
    </w:p>
    <w:p w14:paraId="7AA97A0C">
      <w:pPr>
        <w:keepNext w:val="0"/>
        <w:keepLines w:val="0"/>
        <w:pageBreakBefore w:val="0"/>
        <w:widowControl w:val="0"/>
        <w:kinsoku/>
        <w:wordWrap/>
        <w:overflowPunct/>
        <w:topLinePunct w:val="0"/>
        <w:autoSpaceDE/>
        <w:autoSpaceDN/>
        <w:bidi w:val="0"/>
        <w:adjustRightInd w:val="0"/>
        <w:snapToGrid w:val="0"/>
        <w:spacing w:line="360" w:lineRule="auto"/>
        <w:ind w:left="0" w:right="0" w:firstLine="478"/>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采用综合评分法的，提供相同品牌产品（非单一产品采购项目，</w:t>
      </w:r>
      <w:r>
        <w:rPr>
          <w:rFonts w:hint="eastAsia" w:ascii="宋体" w:hAnsi="宋体" w:eastAsia="宋体" w:cs="宋体"/>
          <w:color w:val="auto"/>
          <w:spacing w:val="-4"/>
          <w:sz w:val="24"/>
          <w:szCs w:val="24"/>
          <w:highlight w:val="none"/>
        </w:rPr>
        <w:t>多家供应商</w:t>
      </w:r>
      <w:r>
        <w:rPr>
          <w:rFonts w:hint="eastAsia" w:ascii="宋体" w:hAnsi="宋体" w:eastAsia="宋体" w:cs="宋体"/>
          <w:color w:val="auto"/>
          <w:spacing w:val="-3"/>
          <w:sz w:val="24"/>
          <w:szCs w:val="24"/>
          <w:highlight w:val="none"/>
        </w:rPr>
        <w:t>提供的核心产品品牌相同）且通过资格审查、符合性审查的不同供应商参加同一合同项下投标的，按一家供应商计算，评审后得分最高的同品牌供应商作为成交候选人推荐；评审得分相同的，由采购人或者采购人委托评标委员会采取随机抽取方式确定一个供应商获得成交人推荐资格，其他同品牌供应商不作为成交候选</w:t>
      </w:r>
      <w:r>
        <w:rPr>
          <w:rFonts w:hint="eastAsia" w:ascii="宋体" w:hAnsi="宋体" w:eastAsia="宋体" w:cs="宋体"/>
          <w:color w:val="auto"/>
          <w:spacing w:val="-6"/>
          <w:sz w:val="24"/>
          <w:szCs w:val="24"/>
          <w:highlight w:val="none"/>
        </w:rPr>
        <w:t>人。</w:t>
      </w:r>
    </w:p>
    <w:p w14:paraId="12CA73C2">
      <w:pPr>
        <w:keepNext w:val="0"/>
        <w:keepLines w:val="0"/>
        <w:pageBreakBefore w:val="0"/>
        <w:widowControl w:val="0"/>
        <w:kinsoku/>
        <w:wordWrap/>
        <w:overflowPunct/>
        <w:topLinePunct w:val="0"/>
        <w:autoSpaceDE/>
        <w:autoSpaceDN/>
        <w:bidi w:val="0"/>
        <w:adjustRightInd w:val="0"/>
        <w:snapToGrid w:val="0"/>
        <w:spacing w:line="360" w:lineRule="auto"/>
        <w:ind w:left="0" w:right="0" w:firstLine="478"/>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（3）强制采购节能产品和优先采购节能产品、优先采购环保产品</w:t>
      </w:r>
    </w:p>
    <w:p w14:paraId="200BD2C8">
      <w:pPr>
        <w:keepNext w:val="0"/>
        <w:keepLines w:val="0"/>
        <w:pageBreakBefore w:val="0"/>
        <w:widowControl w:val="0"/>
        <w:kinsoku/>
        <w:wordWrap/>
        <w:overflowPunct/>
        <w:topLinePunct w:val="0"/>
        <w:autoSpaceDE/>
        <w:autoSpaceDN/>
        <w:bidi w:val="0"/>
        <w:adjustRightInd w:val="0"/>
        <w:snapToGrid w:val="0"/>
        <w:spacing w:line="360" w:lineRule="auto"/>
        <w:ind w:left="0" w:right="0" w:firstLine="765" w:firstLineChars="327"/>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365BA3E8">
      <w:pPr>
        <w:keepNext w:val="0"/>
        <w:keepLines w:val="0"/>
        <w:pageBreakBefore w:val="0"/>
        <w:widowControl w:val="0"/>
        <w:kinsoku/>
        <w:wordWrap/>
        <w:overflowPunct/>
        <w:topLinePunct w:val="0"/>
        <w:autoSpaceDE/>
        <w:autoSpaceDN/>
        <w:bidi w:val="0"/>
        <w:adjustRightInd w:val="0"/>
        <w:snapToGrid w:val="0"/>
        <w:spacing w:line="360" w:lineRule="auto"/>
        <w:ind w:left="0" w:right="0" w:firstLine="478"/>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0712C7C8">
      <w:pPr>
        <w:keepNext w:val="0"/>
        <w:keepLines w:val="0"/>
        <w:pageBreakBefore w:val="0"/>
        <w:widowControl w:val="0"/>
        <w:kinsoku/>
        <w:wordWrap/>
        <w:overflowPunct/>
        <w:topLinePunct w:val="0"/>
        <w:autoSpaceDE/>
        <w:autoSpaceDN/>
        <w:bidi w:val="0"/>
        <w:adjustRightInd w:val="0"/>
        <w:snapToGrid w:val="0"/>
        <w:spacing w:line="360" w:lineRule="auto"/>
        <w:ind w:left="0" w:right="0" w:firstLine="478"/>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2）供应商所投产品若属于《环境标志产品政府采购品目清单》内产品，投标文件中应提供具有国家确定的认证机构出具的、处于有效期之内的环境标志产</w:t>
      </w:r>
      <w:r>
        <w:rPr>
          <w:rFonts w:hint="eastAsia" w:ascii="宋体" w:hAnsi="宋体" w:eastAsia="宋体" w:cs="宋体"/>
          <w:color w:val="auto"/>
          <w:spacing w:val="-1"/>
          <w:sz w:val="24"/>
          <w:szCs w:val="24"/>
          <w:highlight w:val="none"/>
        </w:rPr>
        <w:t>品认证证书，评标委员会根据本项目评标标准予以判定并赋分。</w:t>
      </w:r>
    </w:p>
    <w:p w14:paraId="5E23A44C">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3</w:t>
      </w:r>
      <w:r>
        <w:rPr>
          <w:rFonts w:hint="eastAsia" w:ascii="宋体" w:hAnsi="宋体" w:eastAsia="宋体" w:cs="宋体"/>
          <w:b/>
          <w:bCs/>
          <w:color w:val="auto"/>
          <w:spacing w:val="-3"/>
          <w:sz w:val="24"/>
          <w:szCs w:val="24"/>
          <w:highlight w:val="none"/>
        </w:rPr>
        <w:t>）网络关键设备、网络安全专用产品要求</w:t>
      </w:r>
    </w:p>
    <w:p w14:paraId="33129BAC">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1、本项目网络关键设备：无；网络安全专用产品：无</w:t>
      </w:r>
    </w:p>
    <w:p w14:paraId="08A24E0B">
      <w:pPr>
        <w:keepNext w:val="0"/>
        <w:keepLines w:val="0"/>
        <w:pageBreakBefore w:val="0"/>
        <w:widowControl w:val="0"/>
        <w:kinsoku/>
        <w:wordWrap/>
        <w:overflowPunct/>
        <w:topLinePunct w:val="0"/>
        <w:autoSpaceDE/>
        <w:autoSpaceDN/>
        <w:bidi w:val="0"/>
        <w:adjustRightInd w:val="0"/>
        <w:snapToGrid w:val="0"/>
        <w:spacing w:line="360" w:lineRule="auto"/>
        <w:ind w:left="0" w:right="0" w:firstLine="48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2、本项目中涉及网络关键设备或网络安全专用产品的，执行国家互联网信</w:t>
      </w:r>
      <w:r>
        <w:rPr>
          <w:rFonts w:hint="eastAsia" w:ascii="宋体" w:hAnsi="宋体" w:eastAsia="宋体" w:cs="宋体"/>
          <w:color w:val="auto"/>
          <w:spacing w:val="-6"/>
          <w:sz w:val="24"/>
          <w:szCs w:val="24"/>
          <w:highlight w:val="none"/>
        </w:rPr>
        <w:t>息办公室、工业和信息化部、公安部和国家认证认可监督管理委员会2023年第2</w:t>
      </w:r>
      <w:r>
        <w:rPr>
          <w:rFonts w:hint="eastAsia" w:ascii="宋体" w:hAnsi="宋体" w:eastAsia="宋体" w:cs="宋体"/>
          <w:color w:val="auto"/>
          <w:spacing w:val="-3"/>
          <w:sz w:val="24"/>
          <w:szCs w:val="24"/>
          <w:highlight w:val="none"/>
        </w:rPr>
        <w:t>号《关于调整&lt;网络关键设备和网络安全专用产品目录&gt;的公告》及国家互联网信</w:t>
      </w:r>
      <w:r>
        <w:rPr>
          <w:rFonts w:hint="eastAsia" w:ascii="宋体" w:hAnsi="宋体" w:eastAsia="宋体" w:cs="宋体"/>
          <w:color w:val="auto"/>
          <w:spacing w:val="4"/>
          <w:sz w:val="24"/>
          <w:szCs w:val="24"/>
          <w:highlight w:val="none"/>
        </w:rPr>
        <w:t>息办公室、工业和信息化部、公安部、财政部和国家认证认可监督管理委员会</w:t>
      </w:r>
      <w:r>
        <w:rPr>
          <w:rFonts w:hint="eastAsia" w:ascii="宋体" w:hAnsi="宋体" w:eastAsia="宋体" w:cs="宋体"/>
          <w:color w:val="auto"/>
          <w:spacing w:val="-3"/>
          <w:sz w:val="24"/>
          <w:szCs w:val="24"/>
          <w:highlight w:val="none"/>
        </w:rPr>
        <w:t>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w:t>
      </w:r>
      <w:r>
        <w:rPr>
          <w:rFonts w:hint="eastAsia" w:ascii="宋体" w:hAnsi="宋体" w:eastAsia="宋体" w:cs="宋体"/>
          <w:color w:val="auto"/>
          <w:spacing w:val="-1"/>
          <w:sz w:val="24"/>
          <w:szCs w:val="24"/>
          <w:highlight w:val="none"/>
        </w:rPr>
        <w:t>专用产品销售许可证》，且在有效期内。</w:t>
      </w:r>
    </w:p>
    <w:p w14:paraId="1C40954E">
      <w:pPr>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3、提供资料（下列资料任意一项）</w:t>
      </w:r>
    </w:p>
    <w:p w14:paraId="79B73C32">
      <w:pPr>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①网络关键设备和网络安全专用产品安全认证证书；</w:t>
      </w:r>
    </w:p>
    <w:p w14:paraId="7419A917">
      <w:pPr>
        <w:keepNext w:val="0"/>
        <w:keepLines w:val="0"/>
        <w:pageBreakBefore w:val="0"/>
        <w:widowControl w:val="0"/>
        <w:kinsoku/>
        <w:wordWrap/>
        <w:overflowPunct/>
        <w:topLinePunct w:val="0"/>
        <w:autoSpaceDE/>
        <w:autoSpaceDN/>
        <w:bidi w:val="0"/>
        <w:adjustRightInd w:val="0"/>
        <w:snapToGrid w:val="0"/>
        <w:spacing w:line="360" w:lineRule="auto"/>
        <w:ind w:left="0" w:right="0" w:firstLine="478"/>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②网络关键设备安全检测证书、网络安全专用产品安全检测证书；</w:t>
      </w:r>
    </w:p>
    <w:p w14:paraId="39E2E8D8">
      <w:pPr>
        <w:keepNext w:val="0"/>
        <w:keepLines w:val="0"/>
        <w:pageBreakBefore w:val="0"/>
        <w:widowControl w:val="0"/>
        <w:kinsoku/>
        <w:wordWrap/>
        <w:overflowPunct/>
        <w:topLinePunct w:val="0"/>
        <w:autoSpaceDE/>
        <w:autoSpaceDN/>
        <w:bidi w:val="0"/>
        <w:adjustRightInd w:val="0"/>
        <w:snapToGrid w:val="0"/>
        <w:spacing w:line="360" w:lineRule="auto"/>
        <w:ind w:left="0" w:right="0" w:firstLine="478"/>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③计算机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信息系统安全专用产品销售许可证；</w:t>
      </w:r>
    </w:p>
    <w:p w14:paraId="7E2C1798">
      <w:pPr>
        <w:keepNext w:val="0"/>
        <w:keepLines w:val="0"/>
        <w:pageBreakBefore w:val="0"/>
        <w:widowControl w:val="0"/>
        <w:kinsoku/>
        <w:wordWrap/>
        <w:overflowPunct/>
        <w:topLinePunct w:val="0"/>
        <w:autoSpaceDE/>
        <w:autoSpaceDN/>
        <w:bidi w:val="0"/>
        <w:adjustRightInd w:val="0"/>
        <w:snapToGrid w:val="0"/>
        <w:spacing w:line="360" w:lineRule="auto"/>
        <w:ind w:left="0" w:right="0" w:firstLine="477"/>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④中国网信网或工业和信息化部网站或公安部网站或国家认证认可监督管</w:t>
      </w:r>
      <w:r>
        <w:rPr>
          <w:rFonts w:hint="eastAsia" w:ascii="宋体" w:hAnsi="宋体" w:eastAsia="宋体" w:cs="宋体"/>
          <w:color w:val="auto"/>
          <w:spacing w:val="-3"/>
          <w:sz w:val="24"/>
          <w:szCs w:val="24"/>
          <w:highlight w:val="none"/>
        </w:rPr>
        <w:t>理委员会网站公布的认证、检测结果（提供公布安全认证、安全检测结果</w:t>
      </w:r>
      <w:r>
        <w:rPr>
          <w:rFonts w:hint="eastAsia" w:ascii="宋体" w:hAnsi="宋体" w:eastAsia="宋体" w:cs="宋体"/>
          <w:color w:val="auto"/>
          <w:spacing w:val="-4"/>
          <w:sz w:val="24"/>
          <w:szCs w:val="24"/>
          <w:highlight w:val="none"/>
        </w:rPr>
        <w:t>页面网</w:t>
      </w:r>
      <w:r>
        <w:rPr>
          <w:rFonts w:hint="eastAsia" w:ascii="宋体" w:hAnsi="宋体" w:eastAsia="宋体" w:cs="宋体"/>
          <w:color w:val="auto"/>
          <w:spacing w:val="-1"/>
          <w:sz w:val="24"/>
          <w:szCs w:val="24"/>
          <w:highlight w:val="none"/>
        </w:rPr>
        <w:t>址和安全认证、检测结果截图）。</w:t>
      </w:r>
    </w:p>
    <w:p w14:paraId="1D8886B0">
      <w:pPr>
        <w:keepNext w:val="0"/>
        <w:keepLines w:val="0"/>
        <w:pageBreakBefore w:val="0"/>
        <w:widowControl w:val="0"/>
        <w:kinsoku/>
        <w:wordWrap/>
        <w:overflowPunct/>
        <w:topLinePunct w:val="0"/>
        <w:autoSpaceDE/>
        <w:autoSpaceDN/>
        <w:bidi w:val="0"/>
        <w:adjustRightInd w:val="0"/>
        <w:snapToGrid w:val="0"/>
        <w:spacing w:line="360" w:lineRule="auto"/>
        <w:ind w:left="0" w:right="0" w:firstLine="46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5"/>
          <w:sz w:val="24"/>
          <w:szCs w:val="24"/>
          <w:highlight w:val="none"/>
          <w:lang w:val="en-US" w:eastAsia="zh-CN"/>
        </w:rPr>
        <w:t>4</w:t>
      </w:r>
      <w:r>
        <w:rPr>
          <w:rFonts w:hint="eastAsia" w:ascii="宋体" w:hAnsi="宋体" w:eastAsia="宋体" w:cs="宋体"/>
          <w:b/>
          <w:bCs/>
          <w:color w:val="auto"/>
          <w:spacing w:val="-5"/>
          <w:sz w:val="24"/>
          <w:szCs w:val="24"/>
          <w:highlight w:val="none"/>
        </w:rPr>
        <w:t>）投标无效情形</w:t>
      </w:r>
    </w:p>
    <w:p w14:paraId="619D8FA0">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1)供应商应当遵循</w:t>
      </w:r>
      <w:r>
        <w:rPr>
          <w:rFonts w:hint="eastAsia" w:ascii="宋体" w:hAnsi="宋体" w:eastAsia="宋体" w:cs="宋体"/>
          <w:color w:val="auto"/>
          <w:spacing w:val="-3"/>
          <w:sz w:val="24"/>
          <w:szCs w:val="24"/>
          <w:highlight w:val="none"/>
          <w:lang w:eastAsia="zh-CN"/>
        </w:rPr>
        <w:t>公平竞争</w:t>
      </w:r>
      <w:r>
        <w:rPr>
          <w:rFonts w:hint="eastAsia" w:ascii="宋体" w:hAnsi="宋体" w:eastAsia="宋体" w:cs="宋体"/>
          <w:color w:val="auto"/>
          <w:spacing w:val="-3"/>
          <w:sz w:val="24"/>
          <w:szCs w:val="24"/>
          <w:highlight w:val="none"/>
        </w:rPr>
        <w:t>的原则，不得恶意串通，不得妨碍其他供应商的竞争行为，不得损害采购人或者其他供应商的合法权益。在评标过程中发现供应商有上述情形的，磋商小组应当认定其投标无效。</w:t>
      </w:r>
    </w:p>
    <w:p w14:paraId="7F578079">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2)符合性审查资料未按磋商文件要求签署、盖章的</w:t>
      </w:r>
      <w:r>
        <w:rPr>
          <w:rFonts w:hint="eastAsia" w:ascii="宋体" w:hAnsi="宋体" w:eastAsia="宋体" w:cs="宋体"/>
          <w:color w:val="auto"/>
          <w:spacing w:val="-3"/>
          <w:sz w:val="24"/>
          <w:szCs w:val="24"/>
          <w:highlight w:val="none"/>
          <w:lang w:eastAsia="zh-CN"/>
        </w:rPr>
        <w:t>；</w:t>
      </w:r>
    </w:p>
    <w:p w14:paraId="254AE4CA">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3)有下列情形之一的，视为供应商串通投标，其投标无效</w:t>
      </w:r>
      <w:r>
        <w:rPr>
          <w:rFonts w:hint="eastAsia" w:ascii="宋体" w:hAnsi="宋体" w:eastAsia="宋体" w:cs="宋体"/>
          <w:color w:val="auto"/>
          <w:spacing w:val="-3"/>
          <w:sz w:val="24"/>
          <w:szCs w:val="24"/>
          <w:highlight w:val="none"/>
          <w:lang w:eastAsia="zh-CN"/>
        </w:rPr>
        <w:t>；</w:t>
      </w:r>
    </w:p>
    <w:p w14:paraId="4E1CF29C">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a.不同供应商的响应文件由同一单位或者个人编制</w:t>
      </w:r>
      <w:r>
        <w:rPr>
          <w:rFonts w:hint="eastAsia" w:ascii="宋体" w:hAnsi="宋体" w:eastAsia="宋体" w:cs="宋体"/>
          <w:color w:val="auto"/>
          <w:spacing w:val="-3"/>
          <w:sz w:val="24"/>
          <w:szCs w:val="24"/>
          <w:highlight w:val="none"/>
          <w:lang w:eastAsia="zh-CN"/>
        </w:rPr>
        <w:t>；</w:t>
      </w:r>
    </w:p>
    <w:p w14:paraId="080A1198">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b.不同供应商委托同一单位或者个人办理投标事宜</w:t>
      </w:r>
      <w:r>
        <w:rPr>
          <w:rFonts w:hint="eastAsia" w:ascii="宋体" w:hAnsi="宋体" w:eastAsia="宋体" w:cs="宋体"/>
          <w:color w:val="auto"/>
          <w:spacing w:val="-3"/>
          <w:sz w:val="24"/>
          <w:szCs w:val="24"/>
          <w:highlight w:val="none"/>
          <w:lang w:eastAsia="zh-CN"/>
        </w:rPr>
        <w:t>；</w:t>
      </w:r>
    </w:p>
    <w:p w14:paraId="635FF5B5">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c.不同供应商的响应文件载明的项目管理成员或者联系人员为同一人</w:t>
      </w:r>
      <w:r>
        <w:rPr>
          <w:rFonts w:hint="eastAsia" w:ascii="宋体" w:hAnsi="宋体" w:eastAsia="宋体" w:cs="宋体"/>
          <w:color w:val="auto"/>
          <w:spacing w:val="-3"/>
          <w:sz w:val="24"/>
          <w:szCs w:val="24"/>
          <w:highlight w:val="none"/>
          <w:lang w:eastAsia="zh-CN"/>
        </w:rPr>
        <w:t>；</w:t>
      </w:r>
    </w:p>
    <w:p w14:paraId="60A3523C">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d.不同供应商的响应文件异常一致或者投标报价呈规律性差异</w:t>
      </w:r>
      <w:r>
        <w:rPr>
          <w:rFonts w:hint="eastAsia" w:ascii="宋体" w:hAnsi="宋体" w:eastAsia="宋体" w:cs="宋体"/>
          <w:color w:val="auto"/>
          <w:spacing w:val="-3"/>
          <w:sz w:val="24"/>
          <w:szCs w:val="24"/>
          <w:highlight w:val="none"/>
          <w:lang w:eastAsia="zh-CN"/>
        </w:rPr>
        <w:t>；</w:t>
      </w:r>
    </w:p>
    <w:p w14:paraId="39FD1E48">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e.不同供应商的响应文件相互混装</w:t>
      </w:r>
      <w:r>
        <w:rPr>
          <w:rFonts w:hint="eastAsia" w:ascii="宋体" w:hAnsi="宋体" w:eastAsia="宋体" w:cs="宋体"/>
          <w:color w:val="auto"/>
          <w:spacing w:val="-3"/>
          <w:sz w:val="24"/>
          <w:szCs w:val="24"/>
          <w:highlight w:val="none"/>
          <w:lang w:eastAsia="zh-CN"/>
        </w:rPr>
        <w:t>；</w:t>
      </w:r>
    </w:p>
    <w:p w14:paraId="1E3F8252">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4)磋商小组认为供应商的报价明显低于其他通过符合性审查供应商的报价，有可能影响产品质量或者不能诚信履约的，应当要求其在评标现场合理的时间内提供书面说明，必要时提交相关证明材料</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 xml:space="preserve"> 供应商不能证明其报价合理性的，磋商小组应当将其作为无效投标处理。</w:t>
      </w:r>
    </w:p>
    <w:p w14:paraId="0C515D79">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5)法律、法规和招标文件规定的其他无效情形。</w:t>
      </w:r>
    </w:p>
    <w:p w14:paraId="56AA7EE1">
      <w:pPr>
        <w:spacing w:before="35" w:line="219" w:lineRule="auto"/>
        <w:ind w:left="274"/>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（5）评标标准</w:t>
      </w:r>
    </w:p>
    <w:p w14:paraId="339A656D">
      <w:pPr>
        <w:spacing w:line="40" w:lineRule="exact"/>
        <w:rPr>
          <w:rFonts w:hint="eastAsia" w:ascii="宋体" w:hAnsi="宋体" w:eastAsia="宋体" w:cs="宋体"/>
          <w:color w:val="auto"/>
        </w:rPr>
      </w:pPr>
    </w:p>
    <w:tbl>
      <w:tblPr>
        <w:tblStyle w:val="34"/>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754"/>
        <w:gridCol w:w="999"/>
      </w:tblGrid>
      <w:tr w14:paraId="6375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762" w:type="dxa"/>
            <w:vAlign w:val="center"/>
          </w:tcPr>
          <w:p w14:paraId="2937D22E">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分值构成</w:t>
            </w:r>
          </w:p>
          <w:p w14:paraId="77D26DE3">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(总分100分)</w:t>
            </w:r>
          </w:p>
        </w:tc>
        <w:tc>
          <w:tcPr>
            <w:tcW w:w="7753" w:type="dxa"/>
            <w:gridSpan w:val="2"/>
            <w:vAlign w:val="center"/>
          </w:tcPr>
          <w:p w14:paraId="70424DDA">
            <w:pPr>
              <w:keepNext w:val="0"/>
              <w:keepLines w:val="0"/>
              <w:pageBreakBefore w:val="0"/>
              <w:widowControl w:val="0"/>
              <w:kinsoku/>
              <w:wordWrap/>
              <w:overflowPunct/>
              <w:topLinePunct w:val="0"/>
              <w:autoSpaceDE/>
              <w:autoSpaceDN/>
              <w:bidi w:val="0"/>
              <w:adjustRightInd w:val="0"/>
              <w:snapToGrid w:val="0"/>
              <w:spacing w:line="480" w:lineRule="exact"/>
              <w:ind w:left="0"/>
              <w:contextualSpacing/>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价格部分：30分</w:t>
            </w:r>
          </w:p>
          <w:p w14:paraId="5328E897">
            <w:pPr>
              <w:keepNext w:val="0"/>
              <w:keepLines w:val="0"/>
              <w:pageBreakBefore w:val="0"/>
              <w:widowControl w:val="0"/>
              <w:kinsoku/>
              <w:wordWrap/>
              <w:overflowPunct/>
              <w:topLinePunct w:val="0"/>
              <w:autoSpaceDE/>
              <w:autoSpaceDN/>
              <w:bidi w:val="0"/>
              <w:adjustRightInd w:val="0"/>
              <w:snapToGrid w:val="0"/>
              <w:spacing w:line="480" w:lineRule="exact"/>
              <w:ind w:left="0"/>
              <w:contextualSpacing/>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商务部分：</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p w14:paraId="4E17B9DC">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技术部分：</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分</w:t>
            </w:r>
          </w:p>
        </w:tc>
      </w:tr>
      <w:tr w14:paraId="30D0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5" w:type="dxa"/>
            <w:gridSpan w:val="3"/>
            <w:vAlign w:val="center"/>
          </w:tcPr>
          <w:p w14:paraId="60DE70E5">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价格部分（满分30分）</w:t>
            </w:r>
          </w:p>
        </w:tc>
      </w:tr>
      <w:tr w14:paraId="1452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14:paraId="5689F503">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评分因素</w:t>
            </w:r>
          </w:p>
        </w:tc>
        <w:tc>
          <w:tcPr>
            <w:tcW w:w="6754" w:type="dxa"/>
            <w:vAlign w:val="center"/>
          </w:tcPr>
          <w:p w14:paraId="53D4A6F8">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评标标准</w:t>
            </w:r>
          </w:p>
        </w:tc>
        <w:tc>
          <w:tcPr>
            <w:tcW w:w="999" w:type="dxa"/>
            <w:vAlign w:val="center"/>
          </w:tcPr>
          <w:p w14:paraId="7F828B78">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r>
      <w:tr w14:paraId="45D0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762" w:type="dxa"/>
            <w:vAlign w:val="center"/>
          </w:tcPr>
          <w:p w14:paraId="67577528">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最终磋商报价评分标准</w:t>
            </w:r>
          </w:p>
        </w:tc>
        <w:tc>
          <w:tcPr>
            <w:tcW w:w="6754" w:type="dxa"/>
            <w:vAlign w:val="center"/>
          </w:tcPr>
          <w:p w14:paraId="07B95E4B">
            <w:pPr>
              <w:pStyle w:val="95"/>
              <w:keepNext w:val="0"/>
              <w:keepLines w:val="0"/>
              <w:pageBreakBefore w:val="0"/>
              <w:widowControl w:val="0"/>
              <w:kinsoku/>
              <w:wordWrap/>
              <w:overflowPunct/>
              <w:topLinePunct w:val="0"/>
              <w:autoSpaceDE/>
              <w:autoSpaceDN/>
              <w:bidi w:val="0"/>
              <w:adjustRightInd w:val="0"/>
              <w:snapToGrid w:val="0"/>
              <w:spacing w:line="480" w:lineRule="exact"/>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满足磋商文件要求且最低的最终磋商报价为磋商基准价，其价格分为满分</w:t>
            </w:r>
            <w:r>
              <w:rPr>
                <w:rFonts w:hint="eastAsia" w:ascii="宋体" w:hAnsi="宋体" w:eastAsia="宋体" w:cs="宋体"/>
                <w:color w:val="auto"/>
                <w:sz w:val="24"/>
                <w:szCs w:val="24"/>
                <w:lang w:val="en-US"/>
              </w:rPr>
              <w:t>30分</w:t>
            </w:r>
            <w:r>
              <w:rPr>
                <w:rFonts w:hint="eastAsia" w:ascii="宋体" w:hAnsi="宋体" w:eastAsia="宋体" w:cs="宋体"/>
                <w:color w:val="auto"/>
                <w:sz w:val="24"/>
                <w:szCs w:val="24"/>
              </w:rPr>
              <w:t>。其他供应商的报价得分计算：</w:t>
            </w:r>
          </w:p>
          <w:p w14:paraId="229BD0DD">
            <w:pPr>
              <w:keepNext w:val="0"/>
              <w:keepLines w:val="0"/>
              <w:pageBreakBefore w:val="0"/>
              <w:widowControl w:val="0"/>
              <w:kinsoku/>
              <w:wordWrap/>
              <w:overflowPunct/>
              <w:topLinePunct w:val="0"/>
              <w:autoSpaceDE/>
              <w:autoSpaceDN/>
              <w:bidi w:val="0"/>
              <w:adjustRightInd w:val="0"/>
              <w:snapToGrid w:val="0"/>
              <w:spacing w:line="480" w:lineRule="exact"/>
              <w:ind w:lef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报价得分=(磋商基准价／最终磋商报价)×30</w:t>
            </w:r>
          </w:p>
        </w:tc>
        <w:tc>
          <w:tcPr>
            <w:tcW w:w="999" w:type="dxa"/>
            <w:vAlign w:val="center"/>
          </w:tcPr>
          <w:p w14:paraId="4277174B">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30分</w:t>
            </w:r>
          </w:p>
        </w:tc>
      </w:tr>
      <w:tr w14:paraId="656D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5" w:type="dxa"/>
            <w:gridSpan w:val="3"/>
            <w:vAlign w:val="center"/>
          </w:tcPr>
          <w:p w14:paraId="122773D8">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商务部分（满分</w:t>
            </w:r>
            <w:r>
              <w:rPr>
                <w:rFonts w:hint="eastAsia" w:ascii="宋体" w:hAnsi="宋体" w:eastAsia="宋体" w:cs="宋体"/>
                <w:b/>
                <w:color w:val="auto"/>
                <w:sz w:val="24"/>
                <w:szCs w:val="24"/>
                <w:lang w:val="en-US" w:eastAsia="zh-CN"/>
              </w:rPr>
              <w:t>20</w:t>
            </w:r>
            <w:r>
              <w:rPr>
                <w:rFonts w:hint="eastAsia" w:ascii="宋体" w:hAnsi="宋体" w:eastAsia="宋体" w:cs="宋体"/>
                <w:b/>
                <w:color w:val="auto"/>
                <w:sz w:val="24"/>
                <w:szCs w:val="24"/>
              </w:rPr>
              <w:t>分）</w:t>
            </w:r>
          </w:p>
        </w:tc>
      </w:tr>
      <w:tr w14:paraId="486C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62" w:type="dxa"/>
            <w:vAlign w:val="center"/>
          </w:tcPr>
          <w:p w14:paraId="141AA111">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评分因素</w:t>
            </w:r>
          </w:p>
        </w:tc>
        <w:tc>
          <w:tcPr>
            <w:tcW w:w="6754" w:type="dxa"/>
            <w:vAlign w:val="center"/>
          </w:tcPr>
          <w:p w14:paraId="2D6FEAB9">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评标标准</w:t>
            </w:r>
          </w:p>
        </w:tc>
        <w:tc>
          <w:tcPr>
            <w:tcW w:w="999" w:type="dxa"/>
            <w:vAlign w:val="center"/>
          </w:tcPr>
          <w:p w14:paraId="0FDED594">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r>
      <w:tr w14:paraId="3F2A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62" w:type="dxa"/>
            <w:vMerge w:val="restart"/>
            <w:tcBorders>
              <w:top w:val="single" w:color="auto" w:sz="4" w:space="0"/>
              <w:left w:val="single" w:color="auto" w:sz="4" w:space="0"/>
              <w:right w:val="single" w:color="auto" w:sz="4" w:space="0"/>
            </w:tcBorders>
            <w:vAlign w:val="center"/>
          </w:tcPr>
          <w:p w14:paraId="0C891C26">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业绩</w:t>
            </w:r>
          </w:p>
        </w:tc>
        <w:tc>
          <w:tcPr>
            <w:tcW w:w="6754" w:type="dxa"/>
            <w:tcBorders>
              <w:top w:val="single" w:color="auto" w:sz="4" w:space="0"/>
              <w:left w:val="single" w:color="auto" w:sz="4" w:space="0"/>
              <w:bottom w:val="single" w:color="auto" w:sz="4" w:space="0"/>
              <w:right w:val="single" w:color="auto" w:sz="4" w:space="0"/>
            </w:tcBorders>
            <w:vAlign w:val="center"/>
          </w:tcPr>
          <w:p w14:paraId="4143193F">
            <w:pPr>
              <w:keepNext w:val="0"/>
              <w:keepLines w:val="0"/>
              <w:pageBreakBefore w:val="0"/>
              <w:widowControl w:val="0"/>
              <w:kinsoku/>
              <w:wordWrap/>
              <w:overflowPunct/>
              <w:topLinePunct w:val="0"/>
              <w:autoSpaceDE/>
              <w:autoSpaceDN/>
              <w:bidi w:val="0"/>
              <w:adjustRightInd w:val="0"/>
              <w:snapToGrid w:val="0"/>
              <w:spacing w:line="480" w:lineRule="exact"/>
              <w:ind w:left="0"/>
              <w:contextualSpacing/>
              <w:jc w:val="left"/>
              <w:textAlignment w:val="auto"/>
              <w:rPr>
                <w:rFonts w:hint="eastAsia" w:ascii="宋体" w:hAnsi="宋体" w:eastAsia="宋体" w:cs="宋体"/>
                <w:bCs/>
                <w:color w:val="auto"/>
                <w:kern w:val="0"/>
                <w:sz w:val="24"/>
                <w:szCs w:val="24"/>
                <w:lang w:val="en-GB"/>
              </w:rPr>
            </w:pPr>
            <w:r>
              <w:rPr>
                <w:rFonts w:hint="eastAsia" w:ascii="宋体" w:hAnsi="宋体" w:eastAsia="宋体" w:cs="宋体"/>
                <w:bCs/>
                <w:color w:val="auto"/>
                <w:kern w:val="0"/>
                <w:sz w:val="24"/>
                <w:szCs w:val="24"/>
                <w:lang w:val="en-US" w:eastAsia="zh-CN"/>
              </w:rPr>
              <w:t>供应商</w:t>
            </w:r>
            <w:r>
              <w:rPr>
                <w:rFonts w:hint="eastAsia" w:ascii="宋体" w:hAnsi="宋体" w:eastAsia="宋体" w:cs="宋体"/>
                <w:bCs/>
                <w:color w:val="auto"/>
                <w:kern w:val="0"/>
                <w:sz w:val="24"/>
                <w:szCs w:val="24"/>
                <w:lang w:val="en-GB"/>
              </w:rPr>
              <w:t>自2023年</w:t>
            </w:r>
            <w:r>
              <w:rPr>
                <w:rFonts w:hint="eastAsia" w:ascii="宋体" w:hAnsi="宋体" w:eastAsia="宋体" w:cs="宋体"/>
                <w:bCs/>
                <w:color w:val="auto"/>
                <w:kern w:val="0"/>
                <w:sz w:val="24"/>
                <w:szCs w:val="24"/>
                <w:lang w:val="en-US" w:eastAsia="zh-CN"/>
              </w:rPr>
              <w:t>5</w:t>
            </w:r>
            <w:r>
              <w:rPr>
                <w:rFonts w:hint="eastAsia" w:ascii="宋体" w:hAnsi="宋体" w:eastAsia="宋体" w:cs="宋体"/>
                <w:bCs/>
                <w:color w:val="auto"/>
                <w:kern w:val="0"/>
                <w:sz w:val="24"/>
                <w:szCs w:val="24"/>
                <w:lang w:val="en-GB"/>
              </w:rPr>
              <w:t>月1日以来（以合同签订时间为准）具有类似业绩，每提供一份得5分，本项最高得10分。</w:t>
            </w:r>
          </w:p>
          <w:p w14:paraId="0038A470">
            <w:pPr>
              <w:keepNext w:val="0"/>
              <w:keepLines w:val="0"/>
              <w:pageBreakBefore w:val="0"/>
              <w:widowControl w:val="0"/>
              <w:kinsoku/>
              <w:wordWrap/>
              <w:overflowPunct/>
              <w:topLinePunct w:val="0"/>
              <w:autoSpaceDE/>
              <w:autoSpaceDN/>
              <w:bidi w:val="0"/>
              <w:adjustRightInd w:val="0"/>
              <w:snapToGrid w:val="0"/>
              <w:spacing w:line="480" w:lineRule="exact"/>
              <w:ind w:left="0"/>
              <w:contextualSpacing/>
              <w:jc w:val="left"/>
              <w:textAlignment w:val="auto"/>
              <w:rPr>
                <w:rFonts w:hint="eastAsia" w:ascii="宋体" w:hAnsi="宋体" w:eastAsia="宋体" w:cs="宋体"/>
                <w:color w:val="auto"/>
                <w:sz w:val="24"/>
                <w:szCs w:val="24"/>
              </w:rPr>
            </w:pPr>
            <w:r>
              <w:rPr>
                <w:rFonts w:hint="eastAsia" w:ascii="宋体" w:hAnsi="宋体" w:eastAsia="宋体" w:cs="宋体"/>
                <w:bCs/>
                <w:color w:val="auto"/>
                <w:kern w:val="0"/>
                <w:sz w:val="24"/>
                <w:szCs w:val="24"/>
                <w:lang w:val="en-GB"/>
              </w:rPr>
              <w:t>（需提供</w:t>
            </w:r>
            <w:r>
              <w:rPr>
                <w:rFonts w:hint="eastAsia" w:ascii="宋体" w:hAnsi="宋体" w:eastAsia="宋体" w:cs="宋体"/>
                <w:color w:val="auto"/>
                <w:sz w:val="24"/>
                <w:szCs w:val="24"/>
              </w:rPr>
              <w:t>中标通知书和合同协议书或（合同协议书和竣工验收证明材料）原件扫描件（或图片）</w:t>
            </w:r>
            <w:r>
              <w:rPr>
                <w:rFonts w:hint="eastAsia" w:ascii="宋体" w:hAnsi="宋体" w:cs="宋体"/>
                <w:color w:val="auto"/>
                <w:sz w:val="24"/>
                <w:szCs w:val="24"/>
                <w:lang w:eastAsia="zh-CN"/>
              </w:rPr>
              <w:t>），</w:t>
            </w:r>
            <w:r>
              <w:rPr>
                <w:rFonts w:hint="eastAsia" w:ascii="宋体" w:hAnsi="宋体" w:eastAsia="宋体" w:cs="宋体"/>
                <w:bCs/>
                <w:color w:val="auto"/>
                <w:sz w:val="24"/>
                <w:szCs w:val="24"/>
                <w:lang w:val="en-US" w:eastAsia="zh-CN"/>
              </w:rPr>
              <w:t>缺项或</w:t>
            </w:r>
            <w:r>
              <w:rPr>
                <w:rFonts w:hint="eastAsia" w:ascii="宋体" w:hAnsi="宋体" w:eastAsia="宋体" w:cs="宋体"/>
                <w:bCs/>
                <w:color w:val="auto"/>
                <w:sz w:val="24"/>
                <w:szCs w:val="24"/>
              </w:rPr>
              <w:t>不提供者为0分。</w:t>
            </w:r>
          </w:p>
        </w:tc>
        <w:tc>
          <w:tcPr>
            <w:tcW w:w="999" w:type="dxa"/>
            <w:vAlign w:val="center"/>
          </w:tcPr>
          <w:p w14:paraId="1C789681">
            <w:pPr>
              <w:keepNext w:val="0"/>
              <w:keepLines w:val="0"/>
              <w:pageBreakBefore w:val="0"/>
              <w:widowControl w:val="0"/>
              <w:kinsoku/>
              <w:wordWrap/>
              <w:overflowPunct/>
              <w:topLinePunct w:val="0"/>
              <w:autoSpaceDE/>
              <w:autoSpaceDN/>
              <w:bidi w:val="0"/>
              <w:adjustRightInd w:val="0"/>
              <w:snapToGrid w:val="0"/>
              <w:spacing w:line="480" w:lineRule="exact"/>
              <w:ind w:left="0"/>
              <w:contextualSpacing/>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r>
      <w:tr w14:paraId="0ACD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62" w:type="dxa"/>
            <w:vMerge w:val="continue"/>
            <w:tcBorders>
              <w:left w:val="single" w:color="auto" w:sz="4" w:space="0"/>
              <w:bottom w:val="single" w:color="auto" w:sz="4" w:space="0"/>
              <w:right w:val="single" w:color="auto" w:sz="4" w:space="0"/>
            </w:tcBorders>
            <w:vAlign w:val="center"/>
          </w:tcPr>
          <w:p w14:paraId="16BADA77">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bCs/>
                <w:color w:val="auto"/>
                <w:sz w:val="24"/>
                <w:szCs w:val="24"/>
              </w:rPr>
            </w:pPr>
          </w:p>
        </w:tc>
        <w:tc>
          <w:tcPr>
            <w:tcW w:w="6754" w:type="dxa"/>
            <w:tcBorders>
              <w:top w:val="single" w:color="auto" w:sz="4" w:space="0"/>
              <w:left w:val="single" w:color="auto" w:sz="4" w:space="0"/>
              <w:bottom w:val="single" w:color="auto" w:sz="4" w:space="0"/>
              <w:right w:val="single" w:color="auto" w:sz="4" w:space="0"/>
            </w:tcBorders>
            <w:vAlign w:val="center"/>
          </w:tcPr>
          <w:p w14:paraId="61855C0C">
            <w:pPr>
              <w:keepNext w:val="0"/>
              <w:keepLines w:val="0"/>
              <w:pageBreakBefore w:val="0"/>
              <w:widowControl w:val="0"/>
              <w:kinsoku/>
              <w:wordWrap/>
              <w:overflowPunct/>
              <w:topLinePunct w:val="0"/>
              <w:autoSpaceDE/>
              <w:autoSpaceDN/>
              <w:bidi w:val="0"/>
              <w:adjustRightInd w:val="0"/>
              <w:snapToGrid w:val="0"/>
              <w:spacing w:line="480" w:lineRule="exact"/>
              <w:ind w:left="0"/>
              <w:contextualSpacing/>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拟派</w:t>
            </w:r>
            <w:r>
              <w:rPr>
                <w:rFonts w:hint="eastAsia" w:ascii="宋体" w:hAnsi="宋体" w:eastAsia="宋体" w:cs="宋体"/>
                <w:color w:val="auto"/>
                <w:sz w:val="24"/>
                <w:szCs w:val="24"/>
                <w:lang w:eastAsia="zh-CN"/>
              </w:rPr>
              <w:t>项目负责人</w:t>
            </w:r>
            <w:r>
              <w:rPr>
                <w:rFonts w:hint="eastAsia" w:ascii="宋体" w:hAnsi="宋体" w:eastAsia="宋体" w:cs="宋体"/>
                <w:bCs/>
                <w:color w:val="auto"/>
                <w:sz w:val="24"/>
                <w:szCs w:val="24"/>
                <w:lang w:eastAsia="zh-CN"/>
              </w:rPr>
              <w:t>2023年</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lang w:eastAsia="zh-CN"/>
              </w:rPr>
              <w:t>月1日</w:t>
            </w:r>
            <w:r>
              <w:rPr>
                <w:rFonts w:hint="eastAsia" w:ascii="宋体" w:hAnsi="宋体" w:eastAsia="宋体" w:cs="宋体"/>
                <w:bCs/>
                <w:color w:val="auto"/>
                <w:sz w:val="24"/>
                <w:szCs w:val="24"/>
              </w:rPr>
              <w:t>以来</w:t>
            </w:r>
            <w:r>
              <w:rPr>
                <w:rFonts w:hint="eastAsia" w:ascii="宋体" w:hAnsi="宋体" w:eastAsia="宋体" w:cs="宋体"/>
                <w:bCs/>
                <w:color w:val="auto"/>
                <w:kern w:val="0"/>
                <w:sz w:val="24"/>
                <w:szCs w:val="24"/>
                <w:lang w:val="en-GB"/>
              </w:rPr>
              <w:t>（以合同签订时间为准）</w:t>
            </w:r>
            <w:r>
              <w:rPr>
                <w:rFonts w:hint="eastAsia" w:ascii="宋体" w:hAnsi="宋体" w:eastAsia="宋体" w:cs="宋体"/>
                <w:color w:val="auto"/>
                <w:sz w:val="24"/>
                <w:szCs w:val="24"/>
              </w:rPr>
              <w:t>承建过类似工程</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本项</w:t>
            </w:r>
            <w:r>
              <w:rPr>
                <w:rFonts w:hint="eastAsia" w:ascii="宋体" w:hAnsi="宋体" w:eastAsia="宋体" w:cs="宋体"/>
                <w:color w:val="auto"/>
                <w:sz w:val="24"/>
                <w:szCs w:val="24"/>
              </w:rPr>
              <w:t>最</w:t>
            </w:r>
            <w:r>
              <w:rPr>
                <w:rFonts w:hint="eastAsia" w:ascii="宋体" w:hAnsi="宋体" w:eastAsia="宋体" w:cs="宋体"/>
                <w:color w:val="auto"/>
                <w:sz w:val="24"/>
                <w:szCs w:val="24"/>
                <w:lang w:val="en-US" w:eastAsia="zh-CN"/>
              </w:rPr>
              <w:t>高</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6760295E">
            <w:pPr>
              <w:keepNext w:val="0"/>
              <w:keepLines w:val="0"/>
              <w:pageBreakBefore w:val="0"/>
              <w:widowControl w:val="0"/>
              <w:kinsoku/>
              <w:wordWrap/>
              <w:overflowPunct/>
              <w:topLinePunct w:val="0"/>
              <w:autoSpaceDE/>
              <w:autoSpaceDN/>
              <w:bidi w:val="0"/>
              <w:adjustRightInd w:val="0"/>
              <w:snapToGrid w:val="0"/>
              <w:spacing w:line="480" w:lineRule="exact"/>
              <w:ind w:left="0"/>
              <w:contextualSpacing/>
              <w:jc w:val="left"/>
              <w:textAlignment w:val="auto"/>
              <w:rPr>
                <w:rFonts w:hint="eastAsia" w:ascii="宋体" w:hAnsi="宋体" w:eastAsia="宋体" w:cs="宋体"/>
                <w:bCs/>
                <w:color w:val="auto"/>
                <w:kern w:val="0"/>
                <w:sz w:val="24"/>
                <w:szCs w:val="24"/>
                <w:lang w:val="en-GB"/>
              </w:rPr>
            </w:pPr>
            <w:r>
              <w:rPr>
                <w:rFonts w:hint="eastAsia" w:ascii="宋体" w:hAnsi="宋体" w:eastAsia="宋体" w:cs="宋体"/>
                <w:color w:val="auto"/>
                <w:sz w:val="24"/>
                <w:szCs w:val="24"/>
              </w:rPr>
              <w:t>(</w:t>
            </w:r>
            <w:r>
              <w:rPr>
                <w:rFonts w:hint="eastAsia" w:ascii="宋体" w:hAnsi="宋体" w:eastAsia="宋体" w:cs="宋体"/>
                <w:bCs/>
                <w:color w:val="auto"/>
                <w:kern w:val="0"/>
                <w:sz w:val="24"/>
                <w:szCs w:val="24"/>
                <w:lang w:val="en-GB"/>
              </w:rPr>
              <w:t>需提供</w:t>
            </w:r>
            <w:r>
              <w:rPr>
                <w:rFonts w:hint="eastAsia" w:ascii="宋体" w:hAnsi="宋体" w:eastAsia="宋体" w:cs="宋体"/>
                <w:color w:val="auto"/>
                <w:sz w:val="24"/>
                <w:szCs w:val="24"/>
              </w:rPr>
              <w:t>中标通知书和合同协议书或（合同协议书和竣工验收证明材料）原件扫描件（或图片）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若上述资料不显示</w:t>
            </w:r>
            <w:r>
              <w:rPr>
                <w:rFonts w:hint="eastAsia" w:ascii="宋体" w:hAnsi="宋体" w:eastAsia="宋体" w:cs="宋体"/>
                <w:color w:val="auto"/>
                <w:sz w:val="24"/>
                <w:szCs w:val="24"/>
                <w:lang w:eastAsia="zh-CN"/>
              </w:rPr>
              <w:t>项目负责人</w:t>
            </w:r>
            <w:r>
              <w:rPr>
                <w:rFonts w:hint="eastAsia" w:ascii="宋体" w:hAnsi="宋体" w:eastAsia="宋体" w:cs="宋体"/>
                <w:color w:val="auto"/>
                <w:sz w:val="24"/>
                <w:szCs w:val="24"/>
              </w:rPr>
              <w:t>姓名，还须同时提供相关证明文件)</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lang w:val="en-US" w:eastAsia="zh-CN"/>
              </w:rPr>
              <w:t>缺项或</w:t>
            </w:r>
            <w:r>
              <w:rPr>
                <w:rFonts w:hint="eastAsia" w:ascii="宋体" w:hAnsi="宋体" w:eastAsia="宋体" w:cs="宋体"/>
                <w:bCs/>
                <w:color w:val="auto"/>
                <w:sz w:val="24"/>
                <w:szCs w:val="24"/>
              </w:rPr>
              <w:t>不提供者为0分</w:t>
            </w:r>
            <w:r>
              <w:rPr>
                <w:rFonts w:hint="eastAsia" w:ascii="宋体" w:hAnsi="宋体" w:eastAsia="宋体" w:cs="宋体"/>
                <w:color w:val="auto"/>
                <w:sz w:val="24"/>
                <w:szCs w:val="24"/>
              </w:rPr>
              <w:t>。</w:t>
            </w:r>
          </w:p>
        </w:tc>
        <w:tc>
          <w:tcPr>
            <w:tcW w:w="999" w:type="dxa"/>
            <w:vAlign w:val="center"/>
          </w:tcPr>
          <w:p w14:paraId="25489B0A">
            <w:pPr>
              <w:keepNext w:val="0"/>
              <w:keepLines w:val="0"/>
              <w:pageBreakBefore w:val="0"/>
              <w:widowControl w:val="0"/>
              <w:kinsoku/>
              <w:wordWrap/>
              <w:overflowPunct/>
              <w:topLinePunct w:val="0"/>
              <w:autoSpaceDE/>
              <w:autoSpaceDN/>
              <w:bidi w:val="0"/>
              <w:adjustRightInd w:val="0"/>
              <w:snapToGrid w:val="0"/>
              <w:spacing w:line="480" w:lineRule="exact"/>
              <w:ind w:left="0"/>
              <w:contextualSpacing/>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r>
      <w:tr w14:paraId="5402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62" w:type="dxa"/>
            <w:tcBorders>
              <w:left w:val="single" w:color="auto" w:sz="4" w:space="0"/>
              <w:bottom w:val="single" w:color="auto" w:sz="4" w:space="0"/>
              <w:right w:val="single" w:color="auto" w:sz="4" w:space="0"/>
            </w:tcBorders>
            <w:vAlign w:val="center"/>
          </w:tcPr>
          <w:p w14:paraId="1DB7D05D">
            <w:pPr>
              <w:keepNext w:val="0"/>
              <w:keepLines w:val="0"/>
              <w:pageBreakBefore w:val="0"/>
              <w:widowControl w:val="0"/>
              <w:kinsoku/>
              <w:wordWrap/>
              <w:overflowPunct/>
              <w:topLinePunct w:val="0"/>
              <w:autoSpaceDE/>
              <w:autoSpaceDN/>
              <w:bidi w:val="0"/>
              <w:adjustRightInd w:val="0"/>
              <w:snapToGrid w:val="0"/>
              <w:spacing w:line="480" w:lineRule="exact"/>
              <w:ind w:left="0" w:leftChars="0"/>
              <w:contextualSpacing/>
              <w:jc w:val="center"/>
              <w:textAlignment w:val="auto"/>
              <w:rPr>
                <w:rFonts w:hint="eastAsia" w:ascii="宋体" w:hAnsi="宋体" w:eastAsia="宋体" w:cs="宋体"/>
                <w:bCs/>
                <w:color w:val="auto"/>
                <w:sz w:val="24"/>
                <w:szCs w:val="24"/>
              </w:rPr>
            </w:pPr>
            <w:r>
              <w:rPr>
                <w:rFonts w:hint="eastAsia" w:ascii="宋体" w:hAnsi="宋体" w:eastAsia="宋体" w:cs="宋体"/>
                <w:sz w:val="24"/>
                <w:szCs w:val="24"/>
              </w:rPr>
              <w:t>项目班子配备</w:t>
            </w:r>
          </w:p>
        </w:tc>
        <w:tc>
          <w:tcPr>
            <w:tcW w:w="6754" w:type="dxa"/>
            <w:tcBorders>
              <w:top w:val="single" w:color="auto" w:sz="4" w:space="0"/>
              <w:left w:val="single" w:color="auto" w:sz="4" w:space="0"/>
              <w:bottom w:val="single" w:color="auto" w:sz="4" w:space="0"/>
              <w:right w:val="single" w:color="auto" w:sz="4" w:space="0"/>
            </w:tcBorders>
            <w:vAlign w:val="center"/>
          </w:tcPr>
          <w:p w14:paraId="3FD41E73">
            <w:pPr>
              <w:pStyle w:val="16"/>
              <w:keepNext w:val="0"/>
              <w:keepLines w:val="0"/>
              <w:pageBreakBefore w:val="0"/>
              <w:widowControl w:val="0"/>
              <w:kinsoku/>
              <w:wordWrap/>
              <w:overflowPunct/>
              <w:topLinePunct w:val="0"/>
              <w:autoSpaceDE/>
              <w:autoSpaceDN/>
              <w:bidi w:val="0"/>
              <w:adjustRightInd w:val="0"/>
              <w:snapToGrid w:val="0"/>
              <w:spacing w:before="0" w:beforeAutospacing="0" w:after="0" w:line="480" w:lineRule="exact"/>
              <w:ind w:left="0" w:leftChars="0" w:firstLine="0" w:firstLineChars="0"/>
              <w:contextualSpacing/>
              <w:jc w:val="left"/>
              <w:textAlignment w:val="auto"/>
              <w:rPr>
                <w:rFonts w:hint="eastAsia" w:ascii="宋体" w:hAnsi="宋体" w:eastAsia="宋体" w:cs="宋体"/>
                <w:color w:val="auto"/>
                <w:sz w:val="24"/>
                <w:szCs w:val="24"/>
              </w:rPr>
            </w:pPr>
            <w:r>
              <w:rPr>
                <w:rFonts w:hint="eastAsia" w:ascii="宋体" w:hAnsi="宋体" w:eastAsia="宋体" w:cs="宋体"/>
                <w:bCs/>
                <w:kern w:val="2"/>
                <w:sz w:val="24"/>
                <w:szCs w:val="24"/>
                <w:lang w:val="en-US" w:eastAsia="zh-CN" w:bidi="ar-SA"/>
              </w:rPr>
              <w:t>拟配备项目组人员有施工员、质量员、安全员、材料员、资料员的(相同岗位不重复计分)，每提供一个证书得1分,本项最高得5分。（以证书原件扫描件或图片为准）</w:t>
            </w:r>
          </w:p>
        </w:tc>
        <w:tc>
          <w:tcPr>
            <w:tcW w:w="999" w:type="dxa"/>
            <w:vAlign w:val="center"/>
          </w:tcPr>
          <w:p w14:paraId="135DF873">
            <w:pPr>
              <w:keepNext w:val="0"/>
              <w:keepLines w:val="0"/>
              <w:pageBreakBefore w:val="0"/>
              <w:widowControl w:val="0"/>
              <w:kinsoku/>
              <w:wordWrap/>
              <w:overflowPunct/>
              <w:topLinePunct w:val="0"/>
              <w:autoSpaceDE/>
              <w:autoSpaceDN/>
              <w:bidi w:val="0"/>
              <w:adjustRightInd w:val="0"/>
              <w:snapToGrid w:val="0"/>
              <w:spacing w:line="480" w:lineRule="exact"/>
              <w:ind w:left="0"/>
              <w:contextualSpacing/>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5分</w:t>
            </w:r>
          </w:p>
        </w:tc>
      </w:tr>
      <w:tr w14:paraId="5F0A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15" w:type="dxa"/>
            <w:gridSpan w:val="3"/>
            <w:vAlign w:val="center"/>
          </w:tcPr>
          <w:p w14:paraId="55AE6CDD">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技术部分（满分</w:t>
            </w:r>
            <w:r>
              <w:rPr>
                <w:rFonts w:hint="eastAsia" w:ascii="宋体" w:hAnsi="宋体" w:eastAsia="宋体" w:cs="宋体"/>
                <w:b/>
                <w:color w:val="auto"/>
                <w:sz w:val="24"/>
                <w:szCs w:val="24"/>
                <w:lang w:val="en-US" w:eastAsia="zh-CN"/>
              </w:rPr>
              <w:t>50</w:t>
            </w:r>
            <w:r>
              <w:rPr>
                <w:rFonts w:hint="eastAsia" w:ascii="宋体" w:hAnsi="宋体" w:eastAsia="宋体" w:cs="宋体"/>
                <w:b/>
                <w:color w:val="auto"/>
                <w:sz w:val="24"/>
                <w:szCs w:val="24"/>
              </w:rPr>
              <w:t>分）</w:t>
            </w:r>
          </w:p>
        </w:tc>
      </w:tr>
      <w:tr w14:paraId="19E9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62" w:type="dxa"/>
            <w:vAlign w:val="center"/>
          </w:tcPr>
          <w:p w14:paraId="0B6F3621">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评分因素</w:t>
            </w:r>
          </w:p>
        </w:tc>
        <w:tc>
          <w:tcPr>
            <w:tcW w:w="6754" w:type="dxa"/>
            <w:vAlign w:val="center"/>
          </w:tcPr>
          <w:p w14:paraId="10F0154D">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评标标准</w:t>
            </w:r>
          </w:p>
        </w:tc>
        <w:tc>
          <w:tcPr>
            <w:tcW w:w="999" w:type="dxa"/>
            <w:vAlign w:val="center"/>
          </w:tcPr>
          <w:p w14:paraId="6806CF7A">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r>
      <w:tr w14:paraId="02D8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14:paraId="1DC70EC1">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施工方案与技术措施</w:t>
            </w:r>
          </w:p>
        </w:tc>
        <w:tc>
          <w:tcPr>
            <w:tcW w:w="6754" w:type="dxa"/>
            <w:vAlign w:val="center"/>
          </w:tcPr>
          <w:p w14:paraId="197395CE">
            <w:pPr>
              <w:keepNext w:val="0"/>
              <w:keepLines w:val="0"/>
              <w:pageBreakBefore w:val="0"/>
              <w:widowControl w:val="0"/>
              <w:kinsoku/>
              <w:wordWrap/>
              <w:overflowPunct/>
              <w:topLinePunct w:val="0"/>
              <w:autoSpaceDE/>
              <w:autoSpaceDN/>
              <w:bidi w:val="0"/>
              <w:adjustRightInd w:val="0"/>
              <w:snapToGrid w:val="0"/>
              <w:spacing w:line="480" w:lineRule="exact"/>
              <w:ind w:left="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rPr>
              <w:t>有施工方案（含工程特点、施工重点与难点及绿色施工）及技术措施。</w:t>
            </w:r>
            <w:r>
              <w:rPr>
                <w:rFonts w:hint="eastAsia" w:ascii="宋体" w:hAnsi="宋体" w:eastAsia="宋体" w:cs="宋体"/>
                <w:color w:val="auto"/>
                <w:sz w:val="24"/>
                <w:szCs w:val="24"/>
              </w:rPr>
              <w:t>内容详实可行的得</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分，内容基本完整、不缺项但可行性一般的得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bCs/>
                <w:color w:val="auto"/>
                <w:sz w:val="24"/>
                <w:szCs w:val="24"/>
              </w:rPr>
              <w:t>措施有明显</w:t>
            </w:r>
            <w:r>
              <w:rPr>
                <w:rFonts w:hint="eastAsia" w:ascii="宋体" w:hAnsi="宋体" w:eastAsia="宋体" w:cs="宋体"/>
                <w:color w:val="auto"/>
                <w:sz w:val="24"/>
                <w:szCs w:val="24"/>
              </w:rPr>
              <w:t>缺项但有简单描述的得1分；否则不得分。</w:t>
            </w:r>
          </w:p>
        </w:tc>
        <w:tc>
          <w:tcPr>
            <w:tcW w:w="999" w:type="dxa"/>
            <w:vAlign w:val="center"/>
          </w:tcPr>
          <w:p w14:paraId="4DF94B1F">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p>
        </w:tc>
      </w:tr>
      <w:tr w14:paraId="3AD0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14:paraId="2AE50862">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bCs/>
                <w:color w:val="auto"/>
                <w:sz w:val="24"/>
              </w:rPr>
            </w:pPr>
            <w:r>
              <w:rPr>
                <w:rFonts w:hint="eastAsia" w:ascii="宋体" w:hAnsi="宋体" w:eastAsia="宋体" w:cs="宋体"/>
                <w:bCs/>
                <w:color w:val="auto"/>
                <w:sz w:val="24"/>
                <w:szCs w:val="24"/>
              </w:rPr>
              <w:t>质量管理体系与措施</w:t>
            </w:r>
          </w:p>
        </w:tc>
        <w:tc>
          <w:tcPr>
            <w:tcW w:w="6754" w:type="dxa"/>
            <w:vAlign w:val="center"/>
          </w:tcPr>
          <w:p w14:paraId="7FFAE9E2">
            <w:pPr>
              <w:keepNext w:val="0"/>
              <w:keepLines w:val="0"/>
              <w:pageBreakBefore w:val="0"/>
              <w:widowControl w:val="0"/>
              <w:kinsoku/>
              <w:wordWrap/>
              <w:overflowPunct/>
              <w:topLinePunct w:val="0"/>
              <w:autoSpaceDE/>
              <w:autoSpaceDN/>
              <w:bidi w:val="0"/>
              <w:adjustRightInd w:val="0"/>
              <w:snapToGrid w:val="0"/>
              <w:spacing w:line="480" w:lineRule="exact"/>
              <w:ind w:left="0"/>
              <w:textAlignment w:val="auto"/>
              <w:rPr>
                <w:rFonts w:hint="eastAsia" w:ascii="宋体" w:hAnsi="宋体" w:eastAsia="宋体" w:cs="宋体"/>
                <w:color w:val="auto"/>
                <w:sz w:val="24"/>
              </w:rPr>
            </w:pPr>
            <w:r>
              <w:rPr>
                <w:rFonts w:hint="eastAsia" w:ascii="宋体" w:hAnsi="宋体" w:eastAsia="宋体" w:cs="宋体"/>
                <w:color w:val="auto"/>
                <w:sz w:val="24"/>
              </w:rPr>
              <w:t>质量保证措施：有质量管理目标、质量管理体系和职责，质量控制体系及措施。</w:t>
            </w:r>
            <w:r>
              <w:rPr>
                <w:rFonts w:hint="eastAsia" w:ascii="宋体" w:hAnsi="宋体" w:eastAsia="宋体" w:cs="宋体"/>
                <w:color w:val="auto"/>
                <w:sz w:val="24"/>
                <w:szCs w:val="24"/>
              </w:rPr>
              <w:t>内容详实可行的得</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分，内容基本完整、不缺项但可行性一般的得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bCs/>
                <w:color w:val="auto"/>
                <w:sz w:val="24"/>
                <w:szCs w:val="24"/>
              </w:rPr>
              <w:t>措施有明显</w:t>
            </w:r>
            <w:r>
              <w:rPr>
                <w:rFonts w:hint="eastAsia" w:ascii="宋体" w:hAnsi="宋体" w:eastAsia="宋体" w:cs="宋体"/>
                <w:color w:val="auto"/>
                <w:sz w:val="24"/>
                <w:szCs w:val="24"/>
              </w:rPr>
              <w:t>缺项但有简单描述的得1分；否则不得分。</w:t>
            </w:r>
          </w:p>
        </w:tc>
        <w:tc>
          <w:tcPr>
            <w:tcW w:w="999" w:type="dxa"/>
            <w:vAlign w:val="center"/>
          </w:tcPr>
          <w:p w14:paraId="53F304BC">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分</w:t>
            </w:r>
          </w:p>
        </w:tc>
      </w:tr>
      <w:tr w14:paraId="4318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14:paraId="63EE5305">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安全管理体系与措施</w:t>
            </w:r>
          </w:p>
        </w:tc>
        <w:tc>
          <w:tcPr>
            <w:tcW w:w="6754" w:type="dxa"/>
            <w:vAlign w:val="center"/>
          </w:tcPr>
          <w:p w14:paraId="6B31CD7A">
            <w:pPr>
              <w:keepNext w:val="0"/>
              <w:keepLines w:val="0"/>
              <w:pageBreakBefore w:val="0"/>
              <w:widowControl w:val="0"/>
              <w:kinsoku/>
              <w:wordWrap/>
              <w:overflowPunct/>
              <w:topLinePunct w:val="0"/>
              <w:autoSpaceDE/>
              <w:autoSpaceDN/>
              <w:bidi w:val="0"/>
              <w:adjustRightInd w:val="0"/>
              <w:snapToGrid w:val="0"/>
              <w:spacing w:line="480" w:lineRule="exact"/>
              <w:ind w:lef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安全保证措施：有安全生产管理目标，有安全生产管理体系、责任体系，有安全生产管理制度和措施。内容详实可行的得</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分，内容基本完整、不缺项但可行性一般的得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bCs/>
                <w:color w:val="auto"/>
                <w:sz w:val="24"/>
                <w:szCs w:val="24"/>
              </w:rPr>
              <w:t>措施有明显</w:t>
            </w:r>
            <w:r>
              <w:rPr>
                <w:rFonts w:hint="eastAsia" w:ascii="宋体" w:hAnsi="宋体" w:eastAsia="宋体" w:cs="宋体"/>
                <w:color w:val="auto"/>
                <w:sz w:val="24"/>
                <w:szCs w:val="24"/>
              </w:rPr>
              <w:t>缺项但有简单描述的得1分；否则不得分。</w:t>
            </w:r>
          </w:p>
        </w:tc>
        <w:tc>
          <w:tcPr>
            <w:tcW w:w="999" w:type="dxa"/>
            <w:vAlign w:val="center"/>
          </w:tcPr>
          <w:p w14:paraId="3C2C2159">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p>
        </w:tc>
      </w:tr>
      <w:tr w14:paraId="4902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14:paraId="09FDE88E">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工程进度计划与措施</w:t>
            </w:r>
          </w:p>
        </w:tc>
        <w:tc>
          <w:tcPr>
            <w:tcW w:w="6754" w:type="dxa"/>
            <w:vAlign w:val="center"/>
          </w:tcPr>
          <w:p w14:paraId="4E38244B">
            <w:pPr>
              <w:keepNext w:val="0"/>
              <w:keepLines w:val="0"/>
              <w:pageBreakBefore w:val="0"/>
              <w:widowControl w:val="0"/>
              <w:kinsoku/>
              <w:wordWrap/>
              <w:overflowPunct/>
              <w:topLinePunct w:val="0"/>
              <w:autoSpaceDE/>
              <w:autoSpaceDN/>
              <w:bidi w:val="0"/>
              <w:adjustRightInd w:val="0"/>
              <w:snapToGrid w:val="0"/>
              <w:spacing w:line="480" w:lineRule="exact"/>
              <w:ind w:left="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工期保证措施：有工期目标和工期保证体系，进度控制和管理措施，安全管理体系与措施。内容详实可行的得</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分，内容基本完整、不缺项但可行性一般的得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bCs/>
                <w:color w:val="auto"/>
                <w:sz w:val="24"/>
                <w:szCs w:val="24"/>
              </w:rPr>
              <w:t>措施有明显</w:t>
            </w:r>
            <w:r>
              <w:rPr>
                <w:rFonts w:hint="eastAsia" w:ascii="宋体" w:hAnsi="宋体" w:eastAsia="宋体" w:cs="宋体"/>
                <w:color w:val="auto"/>
                <w:sz w:val="24"/>
                <w:szCs w:val="24"/>
              </w:rPr>
              <w:t>缺项但有简单描述的得1分；否则不得分。</w:t>
            </w:r>
          </w:p>
        </w:tc>
        <w:tc>
          <w:tcPr>
            <w:tcW w:w="999" w:type="dxa"/>
            <w:vAlign w:val="center"/>
          </w:tcPr>
          <w:p w14:paraId="1B510EF0">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p>
        </w:tc>
      </w:tr>
      <w:tr w14:paraId="62B3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14:paraId="4F65105A">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资源配备计划</w:t>
            </w:r>
          </w:p>
        </w:tc>
        <w:tc>
          <w:tcPr>
            <w:tcW w:w="6754" w:type="dxa"/>
            <w:vAlign w:val="center"/>
          </w:tcPr>
          <w:p w14:paraId="2FBEE985">
            <w:pPr>
              <w:keepNext w:val="0"/>
              <w:keepLines w:val="0"/>
              <w:pageBreakBefore w:val="0"/>
              <w:widowControl w:val="0"/>
              <w:kinsoku/>
              <w:wordWrap/>
              <w:overflowPunct/>
              <w:topLinePunct w:val="0"/>
              <w:autoSpaceDE/>
              <w:autoSpaceDN/>
              <w:bidi w:val="0"/>
              <w:adjustRightInd w:val="0"/>
              <w:snapToGrid w:val="0"/>
              <w:spacing w:line="480" w:lineRule="exact"/>
              <w:ind w:left="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资源配备计划主要包括：</w:t>
            </w:r>
            <w:r>
              <w:rPr>
                <w:rFonts w:hint="eastAsia" w:ascii="宋体" w:hAnsi="宋体" w:eastAsia="宋体" w:cs="宋体"/>
                <w:color w:val="auto"/>
                <w:sz w:val="24"/>
                <w:szCs w:val="24"/>
                <w:lang w:bidi="ar"/>
              </w:rPr>
              <w:t>设备配备计划、劳动力配备计划、其他施工生产资源类的配备计划、资金使用计划等内容。</w:t>
            </w:r>
            <w:r>
              <w:rPr>
                <w:rFonts w:hint="eastAsia" w:ascii="宋体" w:hAnsi="宋体" w:eastAsia="宋体" w:cs="宋体"/>
                <w:color w:val="auto"/>
                <w:sz w:val="24"/>
                <w:szCs w:val="24"/>
              </w:rPr>
              <w:t>内容详实可行的得</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分，内容基本完整、不缺项但可行性一般的得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bCs/>
                <w:color w:val="auto"/>
                <w:sz w:val="24"/>
                <w:szCs w:val="24"/>
              </w:rPr>
              <w:t>措施有明显</w:t>
            </w:r>
            <w:r>
              <w:rPr>
                <w:rFonts w:hint="eastAsia" w:ascii="宋体" w:hAnsi="宋体" w:eastAsia="宋体" w:cs="宋体"/>
                <w:color w:val="auto"/>
                <w:sz w:val="24"/>
                <w:szCs w:val="24"/>
              </w:rPr>
              <w:t>缺项但有简单描述的得1分；否则不得分。</w:t>
            </w:r>
          </w:p>
        </w:tc>
        <w:tc>
          <w:tcPr>
            <w:tcW w:w="999" w:type="dxa"/>
            <w:vAlign w:val="center"/>
          </w:tcPr>
          <w:p w14:paraId="623B062E">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p>
        </w:tc>
      </w:tr>
      <w:tr w14:paraId="1C73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14:paraId="31FFB7D4">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环保管理体系与措施</w:t>
            </w:r>
          </w:p>
        </w:tc>
        <w:tc>
          <w:tcPr>
            <w:tcW w:w="6754" w:type="dxa"/>
            <w:vAlign w:val="center"/>
          </w:tcPr>
          <w:p w14:paraId="20A1B95A">
            <w:pPr>
              <w:keepNext w:val="0"/>
              <w:keepLines w:val="0"/>
              <w:pageBreakBefore w:val="0"/>
              <w:widowControl w:val="0"/>
              <w:kinsoku/>
              <w:wordWrap/>
              <w:overflowPunct/>
              <w:topLinePunct w:val="0"/>
              <w:autoSpaceDE/>
              <w:autoSpaceDN/>
              <w:bidi w:val="0"/>
              <w:adjustRightInd w:val="0"/>
              <w:snapToGrid w:val="0"/>
              <w:spacing w:line="480" w:lineRule="exact"/>
              <w:ind w:left="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rPr>
              <w:t>环境保护体系和保证措施：</w:t>
            </w:r>
            <w:r>
              <w:rPr>
                <w:rFonts w:hint="eastAsia" w:ascii="宋体" w:hAnsi="宋体" w:eastAsia="宋体" w:cs="宋体"/>
                <w:color w:val="auto"/>
                <w:sz w:val="24"/>
                <w:lang w:eastAsia="zh-CN"/>
              </w:rPr>
              <w:t>有</w:t>
            </w:r>
            <w:r>
              <w:rPr>
                <w:rFonts w:hint="eastAsia" w:ascii="宋体" w:hAnsi="宋体" w:eastAsia="宋体" w:cs="宋体"/>
                <w:color w:val="auto"/>
                <w:sz w:val="24"/>
              </w:rPr>
              <w:t>防尘措施、防噪措施、危废物品处置、建筑垃圾处理。内容详实的得</w:t>
            </w:r>
            <w:r>
              <w:rPr>
                <w:rFonts w:hint="eastAsia" w:ascii="宋体" w:hAnsi="宋体" w:eastAsia="宋体" w:cs="宋体"/>
                <w:color w:val="auto"/>
                <w:sz w:val="24"/>
                <w:lang w:val="en-US" w:eastAsia="zh-CN"/>
              </w:rPr>
              <w:t>7</w:t>
            </w:r>
            <w:r>
              <w:rPr>
                <w:rFonts w:hint="eastAsia" w:ascii="宋体" w:hAnsi="宋体" w:eastAsia="宋体" w:cs="宋体"/>
                <w:color w:val="auto"/>
                <w:sz w:val="24"/>
              </w:rPr>
              <w:t>分，内容基本完整且不缺项的得</w:t>
            </w:r>
            <w:r>
              <w:rPr>
                <w:rFonts w:hint="eastAsia" w:ascii="宋体" w:hAnsi="宋体" w:eastAsia="宋体" w:cs="宋体"/>
                <w:color w:val="auto"/>
                <w:sz w:val="24"/>
                <w:lang w:val="en-US" w:eastAsia="zh-CN"/>
              </w:rPr>
              <w:t>4</w:t>
            </w:r>
            <w:r>
              <w:rPr>
                <w:rFonts w:hint="eastAsia" w:ascii="宋体" w:hAnsi="宋体" w:eastAsia="宋体" w:cs="宋体"/>
                <w:color w:val="auto"/>
                <w:sz w:val="24"/>
              </w:rPr>
              <w:t>分，不缺项且有简单描述的得1分；否则不得分。</w:t>
            </w:r>
          </w:p>
        </w:tc>
        <w:tc>
          <w:tcPr>
            <w:tcW w:w="999" w:type="dxa"/>
            <w:vAlign w:val="center"/>
          </w:tcPr>
          <w:p w14:paraId="1300BDB1">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p>
        </w:tc>
      </w:tr>
      <w:tr w14:paraId="4028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762" w:type="dxa"/>
            <w:vAlign w:val="center"/>
          </w:tcPr>
          <w:p w14:paraId="6BC55FEE">
            <w:pPr>
              <w:keepNext w:val="0"/>
              <w:keepLines w:val="0"/>
              <w:pageBreakBefore w:val="0"/>
              <w:widowControl w:val="0"/>
              <w:kinsoku/>
              <w:wordWrap/>
              <w:overflowPunct/>
              <w:topLinePunct w:val="0"/>
              <w:autoSpaceDE/>
              <w:autoSpaceDN/>
              <w:bidi w:val="0"/>
              <w:adjustRightInd w:val="0"/>
              <w:snapToGrid w:val="0"/>
              <w:spacing w:line="480" w:lineRule="exact"/>
              <w:ind w:left="0"/>
              <w:contextualSpacing/>
              <w:jc w:val="center"/>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rPr>
              <w:t>服务承诺</w:t>
            </w:r>
          </w:p>
        </w:tc>
        <w:tc>
          <w:tcPr>
            <w:tcW w:w="6754" w:type="dxa"/>
            <w:vAlign w:val="center"/>
          </w:tcPr>
          <w:p w14:paraId="3E022D7B">
            <w:pPr>
              <w:keepNext w:val="0"/>
              <w:keepLines w:val="0"/>
              <w:pageBreakBefore w:val="0"/>
              <w:widowControl w:val="0"/>
              <w:numPr>
                <w:numId w:val="0"/>
              </w:numPr>
              <w:kinsoku/>
              <w:wordWrap/>
              <w:overflowPunct/>
              <w:topLinePunct w:val="0"/>
              <w:autoSpaceDE/>
              <w:autoSpaceDN/>
              <w:bidi w:val="0"/>
              <w:adjustRightInd w:val="0"/>
              <w:snapToGrid w:val="0"/>
              <w:spacing w:line="480" w:lineRule="exact"/>
              <w:ind w:leftChars="-1"/>
              <w:jc w:val="left"/>
              <w:textAlignment w:val="auto"/>
              <w:rPr>
                <w:rFonts w:hint="eastAsia" w:ascii="宋体" w:hAnsi="宋体" w:eastAsia="宋体" w:cs="宋体"/>
                <w:color w:val="auto"/>
                <w:sz w:val="24"/>
              </w:rPr>
            </w:pPr>
            <w:bookmarkStart w:id="24" w:name="_GoBack"/>
            <w:bookmarkEnd w:id="24"/>
            <w:r>
              <w:rPr>
                <w:rFonts w:hint="eastAsia" w:ascii="宋体" w:hAnsi="宋体" w:eastAsia="宋体" w:cs="宋体"/>
                <w:color w:val="auto"/>
                <w:sz w:val="24"/>
                <w:szCs w:val="22"/>
              </w:rPr>
              <w:t>供应商针对本项目特点作出服务</w:t>
            </w:r>
            <w:r>
              <w:rPr>
                <w:rFonts w:hint="eastAsia" w:ascii="宋体" w:hAnsi="宋体" w:eastAsia="宋体" w:cs="宋体"/>
                <w:color w:val="auto"/>
                <w:sz w:val="24"/>
                <w:szCs w:val="22"/>
                <w:lang w:eastAsia="zh-CN"/>
              </w:rPr>
              <w:t>承诺</w:t>
            </w:r>
            <w:r>
              <w:rPr>
                <w:rFonts w:hint="eastAsia" w:ascii="宋体" w:hAnsi="宋体" w:eastAsia="宋体" w:cs="宋体"/>
                <w:color w:val="auto"/>
                <w:sz w:val="24"/>
                <w:szCs w:val="22"/>
              </w:rPr>
              <w:t>（质保期内外维修、保养服务</w:t>
            </w:r>
            <w:r>
              <w:rPr>
                <w:rFonts w:hint="eastAsia" w:ascii="宋体" w:hAnsi="宋体" w:eastAsia="宋体" w:cs="宋体"/>
                <w:color w:val="auto"/>
                <w:sz w:val="24"/>
                <w:szCs w:val="22"/>
                <w:lang w:eastAsia="zh-CN"/>
              </w:rPr>
              <w:t>承诺等</w:t>
            </w:r>
            <w:r>
              <w:rPr>
                <w:rFonts w:hint="eastAsia" w:ascii="宋体" w:hAnsi="宋体" w:eastAsia="宋体" w:cs="宋体"/>
                <w:color w:val="auto"/>
                <w:sz w:val="24"/>
                <w:szCs w:val="22"/>
              </w:rPr>
              <w:t>）。内容详实可行的得</w:t>
            </w:r>
            <w:r>
              <w:rPr>
                <w:rFonts w:hint="eastAsia" w:ascii="宋体" w:hAnsi="宋体" w:eastAsia="宋体" w:cs="宋体"/>
                <w:color w:val="auto"/>
                <w:sz w:val="24"/>
                <w:szCs w:val="22"/>
                <w:lang w:val="en-US" w:eastAsia="zh-CN"/>
              </w:rPr>
              <w:t>8</w:t>
            </w:r>
            <w:r>
              <w:rPr>
                <w:rFonts w:hint="eastAsia" w:ascii="宋体" w:hAnsi="宋体" w:eastAsia="宋体" w:cs="宋体"/>
                <w:color w:val="auto"/>
                <w:sz w:val="24"/>
                <w:szCs w:val="22"/>
              </w:rPr>
              <w:t>分，内容基本完整且不缺项的得</w:t>
            </w:r>
            <w:r>
              <w:rPr>
                <w:rFonts w:hint="eastAsia" w:ascii="宋体" w:hAnsi="宋体" w:eastAsia="宋体" w:cs="宋体"/>
                <w:color w:val="auto"/>
                <w:sz w:val="24"/>
                <w:szCs w:val="22"/>
                <w:lang w:val="en-US" w:eastAsia="zh-CN"/>
              </w:rPr>
              <w:t>5</w:t>
            </w:r>
            <w:r>
              <w:rPr>
                <w:rFonts w:hint="eastAsia" w:ascii="宋体" w:hAnsi="宋体" w:eastAsia="宋体" w:cs="宋体"/>
                <w:color w:val="auto"/>
                <w:sz w:val="24"/>
                <w:szCs w:val="22"/>
              </w:rPr>
              <w:t>分，不缺项且有简单描述的得</w:t>
            </w:r>
            <w:r>
              <w:rPr>
                <w:rFonts w:hint="eastAsia" w:ascii="宋体" w:hAnsi="宋体" w:eastAsia="宋体" w:cs="宋体"/>
                <w:color w:val="auto"/>
                <w:sz w:val="24"/>
                <w:szCs w:val="22"/>
                <w:lang w:val="en-US" w:eastAsia="zh-CN"/>
              </w:rPr>
              <w:t>2</w:t>
            </w:r>
            <w:r>
              <w:rPr>
                <w:rFonts w:hint="eastAsia" w:ascii="宋体" w:hAnsi="宋体" w:eastAsia="宋体" w:cs="宋体"/>
                <w:color w:val="auto"/>
                <w:sz w:val="24"/>
                <w:szCs w:val="22"/>
              </w:rPr>
              <w:t>分；否则不得分。</w:t>
            </w:r>
          </w:p>
        </w:tc>
        <w:tc>
          <w:tcPr>
            <w:tcW w:w="999" w:type="dxa"/>
            <w:vAlign w:val="center"/>
          </w:tcPr>
          <w:p w14:paraId="1E074F06">
            <w:pPr>
              <w:keepNext w:val="0"/>
              <w:keepLines w:val="0"/>
              <w:pageBreakBefore w:val="0"/>
              <w:widowControl w:val="0"/>
              <w:kinsoku/>
              <w:wordWrap/>
              <w:overflowPunct/>
              <w:topLinePunct w:val="0"/>
              <w:autoSpaceDE/>
              <w:autoSpaceDN/>
              <w:bidi w:val="0"/>
              <w:adjustRightInd w:val="0"/>
              <w:snapToGrid w:val="0"/>
              <w:spacing w:line="480" w:lineRule="exact"/>
              <w:ind w:left="0"/>
              <w:contextualSpacing/>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r>
    </w:tbl>
    <w:p w14:paraId="09EA4C1D">
      <w:pPr>
        <w:keepNext w:val="0"/>
        <w:keepLines w:val="0"/>
        <w:pageBreakBefore w:val="0"/>
        <w:widowControl w:val="0"/>
        <w:kinsoku/>
        <w:wordWrap/>
        <w:overflowPunct/>
        <w:topLinePunct w:val="0"/>
        <w:autoSpaceDE/>
        <w:autoSpaceDN/>
        <w:bidi w:val="0"/>
        <w:adjustRightInd w:val="0"/>
        <w:snapToGrid w:val="0"/>
        <w:spacing w:line="360" w:lineRule="auto"/>
        <w:ind w:left="0" w:right="0" w:firstLine="48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注：评标标准中所涉及到的证书及材料不需提供原件，均应在电子响应文件中</w:t>
      </w:r>
      <w:r>
        <w:rPr>
          <w:rFonts w:hint="eastAsia" w:ascii="宋体" w:hAnsi="宋体" w:eastAsia="宋体" w:cs="宋体"/>
          <w:b/>
          <w:bCs/>
          <w:color w:val="auto"/>
          <w:spacing w:val="-3"/>
          <w:sz w:val="24"/>
          <w:szCs w:val="24"/>
          <w:highlight w:val="none"/>
        </w:rPr>
        <w:t>提供原件扫描件（或图片）</w:t>
      </w:r>
    </w:p>
    <w:p w14:paraId="2A448B28">
      <w:pPr>
        <w:keepNext w:val="0"/>
        <w:keepLines w:val="0"/>
        <w:pageBreakBefore w:val="0"/>
        <w:widowControl w:val="0"/>
        <w:kinsoku/>
        <w:wordWrap/>
        <w:overflowPunct/>
        <w:topLinePunct w:val="0"/>
        <w:autoSpaceDE/>
        <w:autoSpaceDN/>
        <w:bidi w:val="0"/>
        <w:adjustRightInd w:val="0"/>
        <w:snapToGrid w:val="0"/>
        <w:spacing w:line="360" w:lineRule="auto"/>
        <w:ind w:left="0" w:right="0" w:firstLine="474"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）评标结果汇总完成后，除下列情形外</w:t>
      </w:r>
      <w:r>
        <w:rPr>
          <w:rFonts w:hint="eastAsia" w:ascii="宋体" w:hAnsi="宋体" w:eastAsia="宋体" w:cs="宋体"/>
          <w:b/>
          <w:bCs/>
          <w:color w:val="auto"/>
          <w:spacing w:val="-3"/>
          <w:sz w:val="24"/>
          <w:szCs w:val="24"/>
          <w:highlight w:val="none"/>
        </w:rPr>
        <w:t>，任何人不得修改评标结果：</w:t>
      </w:r>
    </w:p>
    <w:p w14:paraId="11219644">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1）分值汇总计算错误的；</w:t>
      </w:r>
    </w:p>
    <w:p w14:paraId="62D29B57">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2）分项评分超出评分标准范围的；</w:t>
      </w:r>
    </w:p>
    <w:p w14:paraId="79FCB5F3">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3）磋商小组成员对客观评审因素评分不一致的；</w:t>
      </w:r>
    </w:p>
    <w:p w14:paraId="755C153F">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4）经磋商小组认定评分畸高、畸低的。</w:t>
      </w:r>
    </w:p>
    <w:p w14:paraId="3C1DF703">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评标报告签署前，经复核发现存在以上情形之一的，磋商小组应</w:t>
      </w:r>
      <w:r>
        <w:rPr>
          <w:rFonts w:hint="eastAsia" w:ascii="宋体" w:hAnsi="宋体" w:eastAsia="宋体" w:cs="宋体"/>
          <w:color w:val="auto"/>
          <w:spacing w:val="-4"/>
          <w:sz w:val="24"/>
          <w:szCs w:val="24"/>
          <w:highlight w:val="none"/>
        </w:rPr>
        <w:t>当当场修改</w:t>
      </w:r>
      <w:r>
        <w:rPr>
          <w:rFonts w:hint="eastAsia" w:ascii="宋体" w:hAnsi="宋体" w:eastAsia="宋体" w:cs="宋体"/>
          <w:color w:val="auto"/>
          <w:spacing w:val="-3"/>
          <w:sz w:val="24"/>
          <w:szCs w:val="24"/>
          <w:highlight w:val="none"/>
        </w:rPr>
        <w:t>评标结果，并在评标报告中记载；评标报告签署后，采购人或者采购代理机构发现存在以上情形之一的，应当组织原磋商小组进行重新评审，重新评审改变评标</w:t>
      </w:r>
      <w:r>
        <w:rPr>
          <w:rFonts w:hint="eastAsia" w:ascii="宋体" w:hAnsi="宋体" w:eastAsia="宋体" w:cs="宋体"/>
          <w:color w:val="auto"/>
          <w:spacing w:val="-1"/>
          <w:sz w:val="24"/>
          <w:szCs w:val="24"/>
          <w:highlight w:val="none"/>
        </w:rPr>
        <w:t>结果的，书面报告本级财政部门。</w:t>
      </w:r>
    </w:p>
    <w:p w14:paraId="0E339430">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供应商对本条第一款情形提出质疑的，采购人或者采购代理机构</w:t>
      </w:r>
      <w:r>
        <w:rPr>
          <w:rFonts w:hint="eastAsia" w:ascii="宋体" w:hAnsi="宋体" w:eastAsia="宋体" w:cs="宋体"/>
          <w:color w:val="auto"/>
          <w:spacing w:val="-4"/>
          <w:sz w:val="24"/>
          <w:szCs w:val="24"/>
          <w:highlight w:val="none"/>
        </w:rPr>
        <w:t>可以组织原</w:t>
      </w:r>
      <w:r>
        <w:rPr>
          <w:rFonts w:hint="eastAsia" w:ascii="宋体" w:hAnsi="宋体" w:eastAsia="宋体" w:cs="宋体"/>
          <w:color w:val="auto"/>
          <w:spacing w:val="-7"/>
          <w:sz w:val="24"/>
          <w:szCs w:val="24"/>
          <w:highlight w:val="none"/>
        </w:rPr>
        <w:t>磋商小组进行重新评审，重新评审改变评标结果的，应当</w:t>
      </w:r>
      <w:r>
        <w:rPr>
          <w:rFonts w:hint="eastAsia" w:ascii="宋体" w:hAnsi="宋体" w:eastAsia="宋体" w:cs="宋体"/>
          <w:color w:val="auto"/>
          <w:spacing w:val="-8"/>
          <w:sz w:val="24"/>
          <w:szCs w:val="24"/>
          <w:highlight w:val="none"/>
        </w:rPr>
        <w:t>书面报告本级财政部门。</w:t>
      </w:r>
    </w:p>
    <w:p w14:paraId="33BC115B">
      <w:pPr>
        <w:keepNext w:val="0"/>
        <w:keepLines w:val="0"/>
        <w:pageBreakBefore w:val="0"/>
        <w:widowControl w:val="0"/>
        <w:kinsoku/>
        <w:wordWrap/>
        <w:overflowPunct/>
        <w:topLinePunct w:val="0"/>
        <w:autoSpaceDE/>
        <w:autoSpaceDN/>
        <w:bidi w:val="0"/>
        <w:adjustRightInd w:val="0"/>
        <w:snapToGrid w:val="0"/>
        <w:spacing w:line="360" w:lineRule="auto"/>
        <w:ind w:left="0" w:right="0" w:firstLine="474"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val="en-US" w:eastAsia="zh-CN"/>
        </w:rPr>
        <w:t>（7）</w:t>
      </w:r>
      <w:r>
        <w:rPr>
          <w:rFonts w:hint="eastAsia" w:ascii="宋体" w:hAnsi="宋体" w:eastAsia="宋体" w:cs="宋体"/>
          <w:color w:val="auto"/>
          <w:sz w:val="24"/>
          <w:szCs w:val="24"/>
          <w:highlight w:val="none"/>
        </w:rPr>
        <w:t>按照《关于推进全流程电子化交易和在</w:t>
      </w:r>
      <w:r>
        <w:rPr>
          <w:rFonts w:hint="eastAsia" w:ascii="宋体" w:hAnsi="宋体" w:eastAsia="宋体" w:cs="宋体"/>
          <w:color w:val="auto"/>
          <w:spacing w:val="-1"/>
          <w:sz w:val="24"/>
          <w:szCs w:val="24"/>
          <w:highlight w:val="none"/>
        </w:rPr>
        <w:t>线监管工作有关问题的通知》</w:t>
      </w:r>
      <w:r>
        <w:rPr>
          <w:rFonts w:hint="eastAsia" w:ascii="宋体" w:hAnsi="宋体" w:eastAsia="宋体" w:cs="宋体"/>
          <w:color w:val="auto"/>
          <w:spacing w:val="-2"/>
          <w:sz w:val="24"/>
          <w:szCs w:val="24"/>
          <w:highlight w:val="none"/>
        </w:rPr>
        <w:t>（许公管办[2019]3</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2"/>
          <w:sz w:val="24"/>
          <w:szCs w:val="24"/>
          <w:highlight w:val="none"/>
        </w:rPr>
        <w:t>号）规定：评标专家应严</w:t>
      </w:r>
      <w:r>
        <w:rPr>
          <w:rFonts w:hint="eastAsia" w:ascii="宋体" w:hAnsi="宋体" w:eastAsia="宋体" w:cs="宋体"/>
          <w:color w:val="auto"/>
          <w:spacing w:val="-3"/>
          <w:sz w:val="24"/>
          <w:szCs w:val="24"/>
          <w:highlight w:val="none"/>
        </w:rPr>
        <w:t>格按照要求查看“硬件特征码”相关信息并进行评审，在评审报告中显示“不同供应商电子响应文件制作硬件特征</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3"/>
          <w:sz w:val="24"/>
          <w:szCs w:val="24"/>
          <w:highlight w:val="none"/>
        </w:rPr>
        <w:t>码</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3"/>
          <w:sz w:val="24"/>
          <w:szCs w:val="24"/>
          <w:highlight w:val="none"/>
        </w:rPr>
        <w:t>”是否雷同的分析及判定结果。</w:t>
      </w:r>
    </w:p>
    <w:p w14:paraId="632CFF68">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w:t>
      </w:r>
      <w:r>
        <w:rPr>
          <w:rFonts w:hint="eastAsia" w:ascii="宋体" w:hAnsi="宋体" w:eastAsia="宋体" w:cs="宋体"/>
          <w:b/>
          <w:bCs/>
          <w:color w:val="auto"/>
          <w:spacing w:val="-4"/>
          <w:sz w:val="24"/>
          <w:szCs w:val="24"/>
          <w:highlight w:val="none"/>
          <w:lang w:val="en-US" w:eastAsia="zh-CN"/>
        </w:rPr>
        <w:t>8</w:t>
      </w:r>
      <w:r>
        <w:rPr>
          <w:rFonts w:hint="eastAsia" w:ascii="宋体" w:hAnsi="宋体" w:eastAsia="宋体" w:cs="宋体"/>
          <w:b/>
          <w:bCs/>
          <w:color w:val="auto"/>
          <w:spacing w:val="-4"/>
          <w:sz w:val="24"/>
          <w:szCs w:val="24"/>
          <w:highlight w:val="none"/>
        </w:rPr>
        <w:t>）推荐成交候选供应商</w:t>
      </w:r>
    </w:p>
    <w:p w14:paraId="65917CF0">
      <w:pPr>
        <w:keepNext w:val="0"/>
        <w:keepLines w:val="0"/>
        <w:pageBreakBefore w:val="0"/>
        <w:widowControl w:val="0"/>
        <w:kinsoku/>
        <w:wordWrap/>
        <w:overflowPunct/>
        <w:topLinePunct w:val="0"/>
        <w:autoSpaceDE/>
        <w:autoSpaceDN/>
        <w:bidi w:val="0"/>
        <w:adjustRightInd w:val="0"/>
        <w:snapToGrid w:val="0"/>
        <w:spacing w:line="360" w:lineRule="auto"/>
        <w:ind w:left="0" w:right="0" w:firstLine="46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磋商小组应当根据综合评分情况，按照评审得分由高到低顺序推荐3名以上</w:t>
      </w:r>
      <w:r>
        <w:rPr>
          <w:rFonts w:hint="eastAsia" w:ascii="宋体" w:hAnsi="宋体" w:eastAsia="宋体" w:cs="宋体"/>
          <w:color w:val="auto"/>
          <w:spacing w:val="-3"/>
          <w:sz w:val="24"/>
          <w:szCs w:val="24"/>
          <w:highlight w:val="none"/>
        </w:rPr>
        <w:t>成交候选供应商，并编写评审报告。符合《政府采购竞争性磋商采购方式管理暂行办法》【（财库2014）214号】第二</w:t>
      </w:r>
      <w:r>
        <w:rPr>
          <w:rFonts w:hint="eastAsia" w:ascii="宋体" w:hAnsi="宋体" w:eastAsia="宋体" w:cs="宋体"/>
          <w:color w:val="auto"/>
          <w:spacing w:val="-4"/>
          <w:sz w:val="24"/>
          <w:szCs w:val="24"/>
          <w:highlight w:val="none"/>
        </w:rPr>
        <w:t>十一条第三款情形的，市场竞争不充分的科研项目，以及需要扶持的科技成果转化项目可以推荐2家成交候选供应商。评</w:t>
      </w:r>
      <w:r>
        <w:rPr>
          <w:rFonts w:hint="eastAsia" w:ascii="宋体" w:hAnsi="宋体" w:eastAsia="宋体" w:cs="宋体"/>
          <w:color w:val="auto"/>
          <w:spacing w:val="-8"/>
          <w:sz w:val="24"/>
          <w:szCs w:val="24"/>
          <w:highlight w:val="none"/>
        </w:rPr>
        <w:t>审得分相同的，按照最后报价由低到高的顺序推荐。评审得分且最后报价相同的，</w:t>
      </w:r>
      <w:r>
        <w:rPr>
          <w:rFonts w:hint="eastAsia" w:ascii="宋体" w:hAnsi="宋体" w:eastAsia="宋体" w:cs="宋体"/>
          <w:color w:val="auto"/>
          <w:spacing w:val="-1"/>
          <w:sz w:val="24"/>
          <w:szCs w:val="24"/>
          <w:highlight w:val="none"/>
        </w:rPr>
        <w:t>按照技术指标优劣顺序推荐。</w:t>
      </w:r>
    </w:p>
    <w:p w14:paraId="001100C0">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w:t>
      </w:r>
      <w:r>
        <w:rPr>
          <w:rFonts w:hint="eastAsia" w:ascii="宋体" w:hAnsi="宋体" w:eastAsia="宋体" w:cs="宋体"/>
          <w:b/>
          <w:bCs/>
          <w:color w:val="auto"/>
          <w:spacing w:val="-4"/>
          <w:sz w:val="24"/>
          <w:szCs w:val="24"/>
          <w:highlight w:val="none"/>
          <w:lang w:val="en-US" w:eastAsia="zh-CN"/>
        </w:rPr>
        <w:t>9</w:t>
      </w:r>
      <w:r>
        <w:rPr>
          <w:rFonts w:hint="eastAsia" w:ascii="宋体" w:hAnsi="宋体" w:eastAsia="宋体" w:cs="宋体"/>
          <w:b/>
          <w:bCs/>
          <w:color w:val="auto"/>
          <w:spacing w:val="-4"/>
          <w:sz w:val="24"/>
          <w:szCs w:val="24"/>
          <w:highlight w:val="none"/>
        </w:rPr>
        <w:t>）磋商小组争议处理</w:t>
      </w:r>
    </w:p>
    <w:p w14:paraId="019946B6">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磋商小组成员对需要共同认定的事项存在争议的，应当按照少数服</w:t>
      </w:r>
      <w:r>
        <w:rPr>
          <w:rFonts w:hint="eastAsia" w:ascii="宋体" w:hAnsi="宋体" w:eastAsia="宋体" w:cs="宋体"/>
          <w:color w:val="auto"/>
          <w:spacing w:val="-4"/>
          <w:sz w:val="24"/>
          <w:szCs w:val="24"/>
          <w:highlight w:val="none"/>
        </w:rPr>
        <w:t>从多数的</w:t>
      </w:r>
      <w:r>
        <w:rPr>
          <w:rFonts w:hint="eastAsia" w:ascii="宋体" w:hAnsi="宋体" w:eastAsia="宋体" w:cs="宋体"/>
          <w:color w:val="auto"/>
          <w:spacing w:val="-3"/>
          <w:sz w:val="24"/>
          <w:szCs w:val="24"/>
          <w:highlight w:val="none"/>
        </w:rPr>
        <w:t>原则作出结论。持不同意见的磋商小组成员应当在评标报告上签署不</w:t>
      </w:r>
      <w:r>
        <w:rPr>
          <w:rFonts w:hint="eastAsia" w:ascii="宋体" w:hAnsi="宋体" w:eastAsia="宋体" w:cs="宋体"/>
          <w:color w:val="auto"/>
          <w:spacing w:val="-4"/>
          <w:sz w:val="24"/>
          <w:szCs w:val="24"/>
          <w:highlight w:val="none"/>
        </w:rPr>
        <w:t>同意见及理</w:t>
      </w:r>
      <w:r>
        <w:rPr>
          <w:rFonts w:hint="eastAsia" w:ascii="宋体" w:hAnsi="宋体" w:eastAsia="宋体" w:cs="宋体"/>
          <w:color w:val="auto"/>
          <w:spacing w:val="-2"/>
          <w:sz w:val="24"/>
          <w:szCs w:val="24"/>
          <w:highlight w:val="none"/>
        </w:rPr>
        <w:t>由，否则视为同意评标报告。</w:t>
      </w:r>
    </w:p>
    <w:p w14:paraId="6B64072F">
      <w:pPr>
        <w:keepNext w:val="0"/>
        <w:keepLines w:val="0"/>
        <w:pageBreakBefore w:val="0"/>
        <w:widowControl w:val="0"/>
        <w:kinsoku/>
        <w:wordWrap/>
        <w:overflowPunct/>
        <w:topLinePunct w:val="0"/>
        <w:autoSpaceDE/>
        <w:autoSpaceDN/>
        <w:bidi w:val="0"/>
        <w:adjustRightInd w:val="0"/>
        <w:snapToGrid w:val="0"/>
        <w:spacing w:line="360" w:lineRule="auto"/>
        <w:ind w:left="0" w:right="0" w:firstLine="474" w:firstLineChars="200"/>
        <w:jc w:val="both"/>
        <w:textAlignment w:val="auto"/>
        <w:outlineLvl w:val="0"/>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4、确定成交候选人名单，以及根据采购人委托直接确定成交人。</w:t>
      </w:r>
      <w:bookmarkEnd w:id="10"/>
    </w:p>
    <w:p w14:paraId="380E6007">
      <w:pP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25041479">
      <w:pPr>
        <w:spacing w:line="360" w:lineRule="auto"/>
        <w:jc w:val="center"/>
        <w:outlineLvl w:val="0"/>
        <w:rPr>
          <w:rFonts w:hint="eastAsia" w:ascii="宋体" w:hAnsi="宋体" w:eastAsia="宋体" w:cs="宋体"/>
          <w:b/>
          <w:color w:val="auto"/>
          <w:kern w:val="0"/>
          <w:sz w:val="36"/>
          <w:szCs w:val="36"/>
        </w:rPr>
      </w:pPr>
      <w:r>
        <w:rPr>
          <w:rFonts w:hint="eastAsia" w:ascii="宋体" w:hAnsi="宋体" w:eastAsia="宋体" w:cs="宋体"/>
          <w:b/>
          <w:color w:val="auto"/>
          <w:kern w:val="0"/>
          <w:sz w:val="32"/>
          <w:szCs w:val="32"/>
        </w:rPr>
        <w:t>第七章 合同条款及格式</w:t>
      </w:r>
    </w:p>
    <w:p w14:paraId="4080D3AD">
      <w:pPr>
        <w:spacing w:after="0" w:line="360" w:lineRule="auto"/>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（采用由中华人民共和国住房和城乡建设部与国家工商行政管理局联合制定的《建设工程施工合同》(GF2017-0201)签订合同。）</w:t>
      </w:r>
    </w:p>
    <w:p w14:paraId="347A4191">
      <w:pPr>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合同协议书</w:t>
      </w:r>
    </w:p>
    <w:p w14:paraId="075D4C55">
      <w:pPr>
        <w:spacing w:line="300" w:lineRule="auto"/>
        <w:ind w:firstLine="480" w:firstLineChars="200"/>
        <w:rPr>
          <w:rFonts w:ascii="Times New Roman" w:hAnsi="宋体" w:eastAsia="宋体" w:cs="Times New Roman"/>
          <w:sz w:val="24"/>
          <w:szCs w:val="24"/>
        </w:rPr>
      </w:pPr>
    </w:p>
    <w:p w14:paraId="6BA4CE4B">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u w:val="single"/>
        </w:rPr>
      </w:pPr>
      <w:r>
        <w:rPr>
          <w:rFonts w:hint="eastAsia" w:ascii="Times New Roman" w:hAnsi="宋体" w:eastAsia="宋体" w:cs="Times New Roman"/>
          <w:sz w:val="24"/>
          <w:szCs w:val="24"/>
        </w:rPr>
        <w:t>发包人（全称）</w:t>
      </w:r>
      <w:r>
        <w:rPr>
          <w:rFonts w:hint="eastAsia" w:ascii="Times New Roman" w:hAnsi="宋体" w:eastAsia="宋体" w:cs="Times New Roman"/>
          <w:sz w:val="24"/>
          <w:szCs w:val="24"/>
          <w:u w:val="single"/>
        </w:rPr>
        <w:t xml:space="preserve">                                                 </w:t>
      </w:r>
    </w:p>
    <w:p w14:paraId="465FEF1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u w:val="single"/>
        </w:rPr>
      </w:pPr>
      <w:r>
        <w:rPr>
          <w:rFonts w:hint="eastAsia" w:ascii="Times New Roman" w:hAnsi="宋体" w:eastAsia="宋体" w:cs="Times New Roman"/>
          <w:sz w:val="24"/>
          <w:szCs w:val="24"/>
        </w:rPr>
        <w:t>承包人（全称）</w:t>
      </w:r>
      <w:r>
        <w:rPr>
          <w:rFonts w:hint="eastAsia" w:ascii="Times New Roman" w:hAnsi="宋体" w:eastAsia="宋体" w:cs="Times New Roman"/>
          <w:sz w:val="24"/>
          <w:szCs w:val="24"/>
          <w:u w:val="single"/>
        </w:rPr>
        <w:t xml:space="preserve">                                                 </w:t>
      </w:r>
    </w:p>
    <w:p w14:paraId="502D63B5">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rPr>
        <w:t>依照《中华人民共和国民法典》、《中华人民共和国建筑法》、《中华人民共和国招标投标法》及相关法律、行政法规，遵循平等、自愿、公平和诚信原则，合同双方就</w:t>
      </w:r>
      <w:r>
        <w:rPr>
          <w:rFonts w:hint="eastAsia" w:ascii="Times New Roman" w:hAnsi="宋体" w:eastAsia="宋体" w:cs="Times New Roman"/>
          <w:sz w:val="24"/>
          <w:szCs w:val="24"/>
          <w:u w:val="single"/>
        </w:rPr>
        <w:t xml:space="preserve">                                          </w:t>
      </w:r>
      <w:r>
        <w:rPr>
          <w:rFonts w:hint="eastAsia" w:ascii="Times New Roman" w:hAnsi="宋体" w:eastAsia="宋体" w:cs="Times New Roman"/>
          <w:sz w:val="24"/>
          <w:szCs w:val="24"/>
        </w:rPr>
        <w:t>事宜经协商一致，订立本合同。</w:t>
      </w:r>
    </w:p>
    <w:p w14:paraId="682CEC3A">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rPr>
          <w:rFonts w:ascii="Times New Roman" w:hAnsi="宋体" w:eastAsia="宋体" w:cs="Times New Roman"/>
          <w:b/>
          <w:sz w:val="24"/>
          <w:szCs w:val="24"/>
          <w:u w:val="single"/>
        </w:rPr>
      </w:pPr>
      <w:r>
        <w:rPr>
          <w:rFonts w:hint="eastAsia" w:ascii="Times New Roman" w:hAnsi="宋体" w:eastAsia="宋体" w:cs="Times New Roman"/>
          <w:b/>
          <w:sz w:val="24"/>
          <w:szCs w:val="24"/>
        </w:rPr>
        <w:t>一、工程概况</w:t>
      </w:r>
    </w:p>
    <w:p w14:paraId="158D5EEB">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Times New Roman" w:eastAsia="宋体" w:cs="Times New Roman"/>
          <w:sz w:val="24"/>
          <w:szCs w:val="24"/>
          <w:u w:val="single"/>
        </w:rPr>
      </w:pPr>
      <w:r>
        <w:rPr>
          <w:rFonts w:hint="eastAsia" w:ascii="Times New Roman" w:hAnsi="宋体" w:eastAsia="宋体" w:cs="Times New Roman"/>
          <w:sz w:val="24"/>
          <w:szCs w:val="24"/>
        </w:rPr>
        <w:t>工程名称：</w:t>
      </w:r>
      <w:r>
        <w:rPr>
          <w:rFonts w:hint="eastAsia" w:ascii="Times New Roman" w:hAnsi="宋体"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p>
    <w:p w14:paraId="1DFF5512">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u w:val="single"/>
        </w:rPr>
      </w:pPr>
      <w:r>
        <w:rPr>
          <w:rFonts w:hint="eastAsia" w:ascii="Times New Roman" w:hAnsi="宋体" w:eastAsia="宋体" w:cs="Times New Roman"/>
          <w:sz w:val="24"/>
          <w:szCs w:val="24"/>
        </w:rPr>
        <w:t>工程批准、核准或备案文号：</w:t>
      </w:r>
      <w:r>
        <w:rPr>
          <w:rFonts w:hint="eastAsia" w:ascii="Times New Roman" w:hAnsi="宋体" w:eastAsia="宋体" w:cs="Times New Roman"/>
          <w:sz w:val="24"/>
          <w:szCs w:val="24"/>
          <w:u w:val="single"/>
        </w:rPr>
        <w:t xml:space="preserve">                                    </w:t>
      </w:r>
    </w:p>
    <w:p w14:paraId="00F9F5A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楷体_GB2312" w:hAnsi="宋体" w:eastAsia="宋体" w:cs="宋体"/>
          <w:sz w:val="24"/>
          <w:szCs w:val="24"/>
          <w:u w:val="single"/>
        </w:rPr>
      </w:pPr>
      <w:r>
        <w:rPr>
          <w:rFonts w:hint="eastAsia" w:ascii="Times New Roman" w:hAnsi="宋体" w:eastAsia="宋体" w:cs="Times New Roman"/>
          <w:sz w:val="24"/>
          <w:szCs w:val="24"/>
        </w:rPr>
        <w:t>工程内容及规模：</w:t>
      </w:r>
      <w:r>
        <w:rPr>
          <w:rFonts w:hint="eastAsia" w:ascii="仿宋_GB2312" w:hAnsi="宋体" w:eastAsia="仿宋_GB2312" w:cs="Times New Roman"/>
          <w:sz w:val="24"/>
          <w:szCs w:val="24"/>
          <w:u w:val="single"/>
        </w:rPr>
        <w:t xml:space="preserve">                                              </w:t>
      </w:r>
    </w:p>
    <w:p w14:paraId="456AEF42">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u w:val="single"/>
        </w:rPr>
      </w:pPr>
      <w:r>
        <w:rPr>
          <w:rFonts w:hint="eastAsia" w:ascii="Times New Roman" w:hAnsi="宋体" w:eastAsia="宋体" w:cs="Times New Roman"/>
          <w:sz w:val="24"/>
          <w:szCs w:val="24"/>
        </w:rPr>
        <w:t xml:space="preserve">工程所在省市详细地址： </w:t>
      </w:r>
      <w:r>
        <w:rPr>
          <w:rFonts w:hint="eastAsia" w:ascii="Times New Roman" w:hAnsi="宋体" w:eastAsia="宋体" w:cs="Times New Roman"/>
          <w:sz w:val="24"/>
          <w:szCs w:val="24"/>
          <w:u w:val="single"/>
        </w:rPr>
        <w:t xml:space="preserve">                                       </w:t>
      </w:r>
    </w:p>
    <w:p w14:paraId="0FD9C8B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u w:val="single"/>
        </w:rPr>
      </w:pPr>
      <w:r>
        <w:rPr>
          <w:rFonts w:hint="eastAsia" w:ascii="Times New Roman" w:hAnsi="宋体" w:eastAsia="宋体" w:cs="Times New Roman"/>
          <w:sz w:val="24"/>
          <w:szCs w:val="24"/>
        </w:rPr>
        <w:t>工程承包范围：</w:t>
      </w:r>
      <w:r>
        <w:rPr>
          <w:rFonts w:hint="eastAsia" w:ascii="楷体_GB2312" w:hAnsi="宋体" w:eastAsia="宋体" w:cs="Times New Roman"/>
          <w:sz w:val="24"/>
          <w:szCs w:val="24"/>
          <w:u w:val="single"/>
        </w:rPr>
        <w:t xml:space="preserve">                                                        </w:t>
      </w:r>
    </w:p>
    <w:p w14:paraId="579346B1">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rPr>
          <w:rFonts w:ascii="Times New Roman" w:hAnsi="宋体" w:eastAsia="宋体" w:cs="Times New Roman"/>
          <w:b/>
          <w:sz w:val="24"/>
          <w:szCs w:val="24"/>
        </w:rPr>
      </w:pPr>
      <w:r>
        <w:rPr>
          <w:rFonts w:hint="eastAsia" w:ascii="Times New Roman" w:hAnsi="宋体" w:eastAsia="宋体" w:cs="Times New Roman"/>
          <w:b/>
          <w:sz w:val="24"/>
          <w:szCs w:val="24"/>
        </w:rPr>
        <w:t>二、工程主要生产技术</w:t>
      </w:r>
      <w:r>
        <w:rPr>
          <w:rFonts w:ascii="Times New Roman" w:hAnsi="宋体" w:eastAsia="宋体" w:cs="Times New Roman"/>
          <w:b/>
          <w:sz w:val="24"/>
          <w:szCs w:val="24"/>
        </w:rPr>
        <w:t>（</w:t>
      </w:r>
      <w:r>
        <w:rPr>
          <w:rFonts w:hint="eastAsia" w:ascii="Times New Roman" w:hAnsi="宋体" w:eastAsia="宋体" w:cs="Times New Roman"/>
          <w:b/>
          <w:sz w:val="24"/>
          <w:szCs w:val="24"/>
        </w:rPr>
        <w:t>或建筑设计方案）来源</w:t>
      </w:r>
    </w:p>
    <w:p w14:paraId="11E3FD75">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u w:val="single"/>
        </w:rPr>
      </w:pPr>
      <w:r>
        <w:rPr>
          <w:rFonts w:hint="eastAsia" w:ascii="Times New Roman" w:hAnsi="宋体" w:eastAsia="宋体" w:cs="Times New Roman"/>
          <w:sz w:val="24"/>
          <w:szCs w:val="24"/>
          <w:u w:val="single"/>
        </w:rPr>
        <w:t xml:space="preserve">                                                                 </w:t>
      </w:r>
    </w:p>
    <w:p w14:paraId="5B18A2FA">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rPr>
          <w:rFonts w:ascii="Times New Roman" w:hAnsi="宋体" w:eastAsia="宋体" w:cs="Times New Roman"/>
          <w:b/>
          <w:sz w:val="24"/>
          <w:szCs w:val="24"/>
        </w:rPr>
      </w:pPr>
      <w:r>
        <w:rPr>
          <w:rFonts w:hint="eastAsia" w:ascii="Times New Roman" w:hAnsi="宋体" w:eastAsia="宋体" w:cs="Times New Roman"/>
          <w:b/>
          <w:sz w:val="24"/>
          <w:szCs w:val="24"/>
        </w:rPr>
        <w:t xml:space="preserve">三、主要日期 </w:t>
      </w:r>
    </w:p>
    <w:p w14:paraId="0D94943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u w:val="single"/>
        </w:rPr>
      </w:pPr>
      <w:r>
        <w:rPr>
          <w:rFonts w:hint="eastAsia" w:ascii="Times New Roman" w:hAnsi="宋体" w:eastAsia="宋体" w:cs="Times New Roman"/>
          <w:sz w:val="24"/>
          <w:szCs w:val="24"/>
        </w:rPr>
        <w:t>设计开工日期(绝对日期或相对日期)：</w:t>
      </w:r>
      <w:r>
        <w:rPr>
          <w:rFonts w:hint="eastAsia" w:ascii="Times New Roman" w:hAnsi="宋体" w:eastAsia="宋体" w:cs="Times New Roman"/>
          <w:sz w:val="24"/>
          <w:szCs w:val="24"/>
          <w:u w:val="single"/>
        </w:rPr>
        <w:t xml:space="preserve">                                </w:t>
      </w:r>
    </w:p>
    <w:p w14:paraId="33675EB5">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楷体_GB2312" w:hAnsi="宋体" w:eastAsia="宋体" w:cs="Times New Roman"/>
          <w:sz w:val="24"/>
          <w:szCs w:val="24"/>
          <w:u w:val="single"/>
        </w:rPr>
      </w:pPr>
      <w:r>
        <w:rPr>
          <w:rFonts w:hint="eastAsia" w:ascii="Times New Roman" w:hAnsi="宋体" w:eastAsia="宋体" w:cs="Times New Roman"/>
          <w:sz w:val="24"/>
          <w:szCs w:val="24"/>
        </w:rPr>
        <w:t>施工开工日期(绝对日期或相对日期)：</w:t>
      </w:r>
      <w:r>
        <w:rPr>
          <w:rFonts w:hint="eastAsia" w:ascii="楷体_GB2312" w:hAnsi="宋体" w:eastAsia="宋体" w:cs="Times New Roman"/>
          <w:sz w:val="24"/>
          <w:szCs w:val="24"/>
          <w:u w:val="single"/>
        </w:rPr>
        <w:t xml:space="preserve">                                </w:t>
      </w:r>
    </w:p>
    <w:p w14:paraId="3B7B9A6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u w:val="single"/>
        </w:rPr>
      </w:pPr>
      <w:r>
        <w:rPr>
          <w:rFonts w:hint="eastAsia" w:ascii="Times New Roman" w:hAnsi="宋体" w:eastAsia="宋体" w:cs="Times New Roman"/>
          <w:sz w:val="24"/>
          <w:szCs w:val="24"/>
        </w:rPr>
        <w:t>工程竣工日期(绝对日期或相对日期)：</w:t>
      </w:r>
      <w:r>
        <w:rPr>
          <w:rFonts w:hint="eastAsia" w:ascii="Times New Roman" w:hAnsi="宋体" w:eastAsia="宋体" w:cs="Times New Roman"/>
          <w:sz w:val="24"/>
          <w:szCs w:val="24"/>
          <w:u w:val="single"/>
        </w:rPr>
        <w:t xml:space="preserve">                                </w:t>
      </w:r>
    </w:p>
    <w:p w14:paraId="4812898C">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rPr>
          <w:rFonts w:ascii="Times New Roman" w:hAnsi="宋体" w:eastAsia="宋体" w:cs="Times New Roman"/>
          <w:b/>
          <w:sz w:val="24"/>
          <w:szCs w:val="24"/>
        </w:rPr>
      </w:pPr>
      <w:r>
        <w:rPr>
          <w:rFonts w:hint="eastAsia" w:ascii="Times New Roman" w:hAnsi="宋体" w:eastAsia="宋体" w:cs="Times New Roman"/>
          <w:b/>
          <w:sz w:val="24"/>
          <w:szCs w:val="24"/>
        </w:rPr>
        <w:t>四、工程质量标准</w:t>
      </w:r>
    </w:p>
    <w:p w14:paraId="10060B10">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u w:val="single"/>
        </w:rPr>
      </w:pPr>
      <w:r>
        <w:rPr>
          <w:rFonts w:hint="eastAsia" w:ascii="Times New Roman" w:hAnsi="宋体" w:eastAsia="宋体" w:cs="Times New Roman"/>
          <w:sz w:val="24"/>
          <w:szCs w:val="24"/>
        </w:rPr>
        <w:t>工程设计质量标准：</w:t>
      </w:r>
      <w:r>
        <w:rPr>
          <w:rFonts w:hint="eastAsia" w:ascii="楷体_GB2312" w:hAnsi="宋体" w:eastAsia="宋体" w:cs="Times New Roman"/>
          <w:sz w:val="24"/>
          <w:szCs w:val="24"/>
          <w:u w:val="single"/>
        </w:rPr>
        <w:t xml:space="preserve">                                              </w:t>
      </w:r>
      <w:r>
        <w:rPr>
          <w:rFonts w:hint="eastAsia" w:ascii="Times New Roman" w:hAnsi="宋体" w:eastAsia="宋体" w:cs="Times New Roman"/>
          <w:sz w:val="24"/>
          <w:szCs w:val="24"/>
          <w:u w:val="single"/>
        </w:rPr>
        <w:t xml:space="preserve"> </w:t>
      </w:r>
    </w:p>
    <w:p w14:paraId="19F78E0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rPr>
        <w:t>工程施工质量标准：</w:t>
      </w:r>
      <w:r>
        <w:rPr>
          <w:rFonts w:hint="eastAsia" w:ascii="Times New Roman" w:hAnsi="宋体" w:eastAsia="宋体" w:cs="Times New Roman"/>
          <w:sz w:val="24"/>
          <w:szCs w:val="24"/>
          <w:u w:val="single"/>
        </w:rPr>
        <w:t xml:space="preserve">                                                </w:t>
      </w:r>
    </w:p>
    <w:p w14:paraId="2A49597C">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rPr>
          <w:rFonts w:ascii="Times New Roman" w:hAnsi="宋体" w:eastAsia="宋体" w:cs="Times New Roman"/>
          <w:b/>
          <w:sz w:val="24"/>
          <w:szCs w:val="24"/>
        </w:rPr>
      </w:pPr>
      <w:r>
        <w:rPr>
          <w:rFonts w:hint="eastAsia" w:ascii="Times New Roman" w:hAnsi="宋体" w:eastAsia="宋体" w:cs="Times New Roman"/>
          <w:b/>
          <w:sz w:val="24"/>
          <w:szCs w:val="24"/>
        </w:rPr>
        <w:t>五、合同价格和付款货币</w:t>
      </w:r>
    </w:p>
    <w:p w14:paraId="1AD6ADC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rPr>
        <w:t>合同价格为人民币（大写）：</w:t>
      </w:r>
      <w:r>
        <w:rPr>
          <w:rFonts w:ascii="Times New Roman" w:hAnsi="宋体" w:eastAsia="宋体" w:cs="Times New Roman"/>
          <w:sz w:val="24"/>
          <w:szCs w:val="24"/>
          <w:u w:val="single"/>
        </w:rPr>
        <w:t xml:space="preserve">         </w:t>
      </w:r>
      <w:r>
        <w:rPr>
          <w:rFonts w:hint="eastAsia" w:ascii="Times New Roman" w:hAnsi="宋体" w:eastAsia="宋体" w:cs="Times New Roman"/>
          <w:sz w:val="24"/>
          <w:szCs w:val="24"/>
          <w:u w:val="single"/>
        </w:rPr>
        <w:t xml:space="preserve"> </w:t>
      </w:r>
      <w:r>
        <w:rPr>
          <w:rFonts w:ascii="Times New Roman" w:hAnsi="宋体" w:eastAsia="宋体" w:cs="Times New Roman"/>
          <w:sz w:val="24"/>
          <w:szCs w:val="24"/>
          <w:u w:val="single"/>
        </w:rPr>
        <w:t xml:space="preserve">  </w:t>
      </w:r>
      <w:r>
        <w:rPr>
          <w:rFonts w:hint="eastAsia" w:ascii="Times New Roman" w:hAnsi="宋体" w:eastAsia="宋体" w:cs="Times New Roman"/>
          <w:sz w:val="24"/>
          <w:szCs w:val="24"/>
        </w:rPr>
        <w:t>元（小写金额：</w:t>
      </w:r>
      <w:r>
        <w:rPr>
          <w:rFonts w:hint="eastAsia" w:ascii="Times New Roman" w:hAnsi="宋体" w:eastAsia="宋体" w:cs="Times New Roman"/>
          <w:sz w:val="24"/>
          <w:szCs w:val="24"/>
          <w:u w:val="single"/>
        </w:rPr>
        <w:t xml:space="preserve">           </w:t>
      </w:r>
      <w:r>
        <w:rPr>
          <w:rFonts w:hint="eastAsia" w:ascii="Times New Roman" w:hAnsi="宋体" w:eastAsia="宋体" w:cs="Times New Roman"/>
          <w:sz w:val="24"/>
          <w:szCs w:val="24"/>
        </w:rPr>
        <w:t>元）。</w:t>
      </w:r>
    </w:p>
    <w:p w14:paraId="1419B414">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b/>
          <w:sz w:val="24"/>
          <w:szCs w:val="24"/>
        </w:rPr>
      </w:pPr>
      <w:r>
        <w:rPr>
          <w:rFonts w:hint="eastAsia" w:ascii="Times New Roman" w:hAnsi="宋体" w:eastAsia="宋体" w:cs="Times New Roman"/>
          <w:sz w:val="24"/>
          <w:szCs w:val="24"/>
        </w:rPr>
        <w:t>详见合同价格清单分项表</w:t>
      </w:r>
      <w:r>
        <w:rPr>
          <w:rFonts w:ascii="Times New Roman" w:hAnsi="宋体" w:eastAsia="宋体" w:cs="Times New Roman"/>
          <w:sz w:val="24"/>
          <w:szCs w:val="24"/>
        </w:rPr>
        <w:t>。</w:t>
      </w:r>
      <w:r>
        <w:rPr>
          <w:rFonts w:hint="eastAsia" w:ascii="Times New Roman" w:hAnsi="宋体" w:eastAsia="宋体" w:cs="Times New Roman"/>
          <w:sz w:val="24"/>
          <w:szCs w:val="24"/>
        </w:rPr>
        <w:t>除根据合同约定的在工程实施过程中需进行增减的款项外，合同价格不作调整。</w:t>
      </w:r>
    </w:p>
    <w:p w14:paraId="17FEB6F3">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rPr>
          <w:rFonts w:ascii="Times New Roman" w:hAnsi="宋体" w:eastAsia="宋体" w:cs="Times New Roman"/>
          <w:b/>
          <w:sz w:val="24"/>
          <w:szCs w:val="24"/>
        </w:rPr>
      </w:pPr>
      <w:r>
        <w:rPr>
          <w:rFonts w:hint="eastAsia" w:ascii="Times New Roman" w:hAnsi="宋体" w:eastAsia="宋体" w:cs="Times New Roman"/>
          <w:b/>
          <w:sz w:val="24"/>
          <w:szCs w:val="24"/>
        </w:rPr>
        <w:t>六、定义与解释</w:t>
      </w:r>
    </w:p>
    <w:p w14:paraId="2C022B3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rPr>
        <w:t>本协议书中有关词语的含义与通用条款中赋予的定义与解释相同。</w:t>
      </w:r>
    </w:p>
    <w:p w14:paraId="06818E12">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rPr>
          <w:rFonts w:ascii="Times New Roman" w:hAnsi="宋体" w:eastAsia="宋体" w:cs="Times New Roman"/>
          <w:b/>
          <w:sz w:val="24"/>
          <w:szCs w:val="24"/>
        </w:rPr>
      </w:pPr>
      <w:r>
        <w:rPr>
          <w:rFonts w:hint="eastAsia" w:ascii="Times New Roman" w:hAnsi="宋体" w:eastAsia="宋体" w:cs="Times New Roman"/>
          <w:b/>
          <w:sz w:val="24"/>
          <w:szCs w:val="24"/>
        </w:rPr>
        <w:t>七、合同生效</w:t>
      </w:r>
    </w:p>
    <w:p w14:paraId="1E52FC07">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u w:val="single"/>
        </w:rPr>
      </w:pPr>
      <w:r>
        <w:rPr>
          <w:rFonts w:hint="eastAsia" w:ascii="Times New Roman" w:hAnsi="宋体" w:eastAsia="宋体" w:cs="Times New Roman"/>
          <w:sz w:val="24"/>
          <w:szCs w:val="24"/>
        </w:rPr>
        <w:t>本合同在以下条件全部满足之后生效：</w:t>
      </w:r>
      <w:r>
        <w:rPr>
          <w:rFonts w:hint="eastAsia" w:ascii="Times New Roman" w:hAnsi="宋体" w:eastAsia="宋体" w:cs="Times New Roman"/>
          <w:sz w:val="24"/>
          <w:szCs w:val="24"/>
          <w:u w:val="single"/>
        </w:rPr>
        <w:t>双方签字盖章后生效。</w:t>
      </w:r>
    </w:p>
    <w:p w14:paraId="0D136323">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u w:val="single"/>
        </w:rPr>
      </w:pPr>
    </w:p>
    <w:p w14:paraId="584C26B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rPr>
        <w:t>发包人：                           承包人：</w:t>
      </w:r>
    </w:p>
    <w:p w14:paraId="2CED2A76">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rPr>
        <w:t>（公章或合同专用章）               （公章或合同专用章）</w:t>
      </w:r>
    </w:p>
    <w:p w14:paraId="4B117E5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p>
    <w:p w14:paraId="11D4A0F4">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rPr>
        <w:t xml:space="preserve">法定代表人或其授权代表：         法定代表人或其授权代表：  </w:t>
      </w:r>
    </w:p>
    <w:p w14:paraId="6C30113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rPr>
        <w:t xml:space="preserve">   （签字）                         （签字）</w:t>
      </w:r>
    </w:p>
    <w:p w14:paraId="006DA32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rPr>
        <w:t>工商注册住所：　　</w:t>
      </w:r>
      <w:r>
        <w:rPr>
          <w:rFonts w:ascii="Times New Roman" w:hAnsi="宋体" w:eastAsia="宋体" w:cs="Times New Roman"/>
          <w:sz w:val="24"/>
          <w:szCs w:val="24"/>
        </w:rPr>
        <w:t xml:space="preserve">                </w:t>
      </w:r>
      <w:r>
        <w:rPr>
          <w:rFonts w:hint="eastAsia" w:ascii="Times New Roman" w:hAnsi="宋体" w:eastAsia="宋体" w:cs="Times New Roman"/>
          <w:sz w:val="24"/>
          <w:szCs w:val="24"/>
        </w:rPr>
        <w:t>工商注册住所：</w:t>
      </w:r>
    </w:p>
    <w:p w14:paraId="2BC1470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bCs/>
          <w:sz w:val="24"/>
          <w:szCs w:val="24"/>
        </w:rPr>
      </w:pPr>
      <w:r>
        <w:rPr>
          <w:rFonts w:hint="eastAsia" w:ascii="Times New Roman" w:hAnsi="宋体" w:eastAsia="宋体" w:cs="Times New Roman"/>
          <w:bCs/>
          <w:sz w:val="24"/>
          <w:szCs w:val="24"/>
        </w:rPr>
        <w:t>企业组织机构代码：</w:t>
      </w:r>
      <w:r>
        <w:rPr>
          <w:rFonts w:ascii="Times New Roman" w:hAnsi="宋体" w:eastAsia="宋体" w:cs="Times New Roman"/>
          <w:bCs/>
          <w:sz w:val="24"/>
          <w:szCs w:val="24"/>
        </w:rPr>
        <w:t xml:space="preserve">                </w:t>
      </w:r>
      <w:r>
        <w:rPr>
          <w:rFonts w:hint="eastAsia" w:ascii="Times New Roman" w:hAnsi="宋体" w:eastAsia="宋体" w:cs="Times New Roman"/>
          <w:bCs/>
          <w:sz w:val="24"/>
          <w:szCs w:val="24"/>
        </w:rPr>
        <w:t>企业组织机构代码：</w:t>
      </w:r>
    </w:p>
    <w:p w14:paraId="5BAD55F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rPr>
        <w:t>邮政编码：　　</w:t>
      </w:r>
      <w:r>
        <w:rPr>
          <w:rFonts w:ascii="Times New Roman" w:hAnsi="宋体" w:eastAsia="宋体" w:cs="Times New Roman"/>
          <w:sz w:val="24"/>
          <w:szCs w:val="24"/>
        </w:rPr>
        <w:t xml:space="preserve">                    </w:t>
      </w:r>
      <w:r>
        <w:rPr>
          <w:rFonts w:hint="eastAsia" w:ascii="Times New Roman" w:hAnsi="宋体" w:eastAsia="宋体" w:cs="Times New Roman"/>
          <w:sz w:val="24"/>
          <w:szCs w:val="24"/>
        </w:rPr>
        <w:t>邮政编码：　　</w:t>
      </w:r>
    </w:p>
    <w:p w14:paraId="64B9D6A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rPr>
        <w:t>法定代表人：　　</w:t>
      </w:r>
      <w:r>
        <w:rPr>
          <w:rFonts w:ascii="Times New Roman" w:hAnsi="宋体" w:eastAsia="宋体" w:cs="Times New Roman"/>
          <w:sz w:val="24"/>
          <w:szCs w:val="24"/>
        </w:rPr>
        <w:t xml:space="preserve">                  </w:t>
      </w:r>
      <w:r>
        <w:rPr>
          <w:rFonts w:hint="eastAsia" w:ascii="Times New Roman" w:hAnsi="宋体" w:eastAsia="宋体" w:cs="Times New Roman"/>
          <w:sz w:val="24"/>
          <w:szCs w:val="24"/>
        </w:rPr>
        <w:t>法定代表人：　　　　</w:t>
      </w:r>
    </w:p>
    <w:p w14:paraId="3F01CBE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rPr>
        <w:t>授权代表：　　</w:t>
      </w:r>
      <w:r>
        <w:rPr>
          <w:rFonts w:ascii="Times New Roman" w:hAnsi="宋体" w:eastAsia="宋体" w:cs="Times New Roman"/>
          <w:sz w:val="24"/>
          <w:szCs w:val="24"/>
        </w:rPr>
        <w:t xml:space="preserve">               </w:t>
      </w:r>
      <w:r>
        <w:rPr>
          <w:rFonts w:hint="eastAsia" w:ascii="Times New Roman" w:hAnsi="宋体" w:eastAsia="宋体" w:cs="Times New Roman"/>
          <w:sz w:val="24"/>
          <w:szCs w:val="24"/>
        </w:rPr>
        <w:t xml:space="preserve">     授权代表：　　　　</w:t>
      </w:r>
    </w:p>
    <w:p w14:paraId="3BB04002">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rPr>
        <w:t>电　　话：　　</w:t>
      </w:r>
      <w:r>
        <w:rPr>
          <w:rFonts w:ascii="Times New Roman" w:hAnsi="宋体" w:eastAsia="宋体" w:cs="Times New Roman"/>
          <w:sz w:val="24"/>
          <w:szCs w:val="24"/>
        </w:rPr>
        <w:t xml:space="preserve">                    </w:t>
      </w:r>
      <w:r>
        <w:rPr>
          <w:rFonts w:hint="eastAsia" w:ascii="Times New Roman" w:hAnsi="宋体" w:eastAsia="宋体" w:cs="Times New Roman"/>
          <w:sz w:val="24"/>
          <w:szCs w:val="24"/>
        </w:rPr>
        <w:t>电　　话：　　　　</w:t>
      </w:r>
    </w:p>
    <w:p w14:paraId="7D275D16">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rPr>
        <w:t>传　　真：　　</w:t>
      </w:r>
      <w:r>
        <w:rPr>
          <w:rFonts w:ascii="Times New Roman" w:hAnsi="宋体" w:eastAsia="宋体" w:cs="Times New Roman"/>
          <w:sz w:val="24"/>
          <w:szCs w:val="24"/>
        </w:rPr>
        <w:t xml:space="preserve">                    </w:t>
      </w:r>
      <w:r>
        <w:rPr>
          <w:rFonts w:hint="eastAsia" w:ascii="Times New Roman" w:hAnsi="宋体" w:eastAsia="宋体" w:cs="Times New Roman"/>
          <w:sz w:val="24"/>
          <w:szCs w:val="24"/>
        </w:rPr>
        <w:t>传　　真：</w:t>
      </w:r>
    </w:p>
    <w:p w14:paraId="3000F3F4">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rPr>
        <w:t>电子邮箱：</w:t>
      </w:r>
      <w:r>
        <w:rPr>
          <w:rFonts w:ascii="Times New Roman" w:hAnsi="宋体" w:eastAsia="宋体" w:cs="Times New Roman"/>
          <w:sz w:val="24"/>
          <w:szCs w:val="24"/>
        </w:rPr>
        <w:t xml:space="preserve">                        </w:t>
      </w:r>
      <w:r>
        <w:rPr>
          <w:rFonts w:hint="eastAsia" w:ascii="Times New Roman" w:hAnsi="宋体" w:eastAsia="宋体" w:cs="Times New Roman"/>
          <w:sz w:val="24"/>
          <w:szCs w:val="24"/>
        </w:rPr>
        <w:t>电子邮箱：　　　　</w:t>
      </w:r>
    </w:p>
    <w:p w14:paraId="4EF44A36">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rPr>
        <w:t>开户银行：　　</w:t>
      </w:r>
      <w:r>
        <w:rPr>
          <w:rFonts w:ascii="Times New Roman" w:hAnsi="宋体" w:eastAsia="宋体" w:cs="Times New Roman"/>
          <w:sz w:val="24"/>
          <w:szCs w:val="24"/>
        </w:rPr>
        <w:t xml:space="preserve">                    </w:t>
      </w:r>
      <w:r>
        <w:rPr>
          <w:rFonts w:hint="eastAsia" w:ascii="Times New Roman" w:hAnsi="宋体" w:eastAsia="宋体" w:cs="Times New Roman"/>
          <w:sz w:val="24"/>
          <w:szCs w:val="24"/>
        </w:rPr>
        <w:t>开户银行：　　　　</w:t>
      </w:r>
    </w:p>
    <w:p w14:paraId="4DF333FB">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rPr>
        <w:t>账　　号：　　</w:t>
      </w:r>
      <w:r>
        <w:rPr>
          <w:rFonts w:ascii="Times New Roman" w:hAnsi="宋体" w:eastAsia="宋体" w:cs="Times New Roman"/>
          <w:sz w:val="24"/>
          <w:szCs w:val="24"/>
        </w:rPr>
        <w:t xml:space="preserve">                    </w:t>
      </w:r>
      <w:r>
        <w:rPr>
          <w:rFonts w:hint="eastAsia" w:ascii="Times New Roman" w:hAnsi="宋体" w:eastAsia="宋体" w:cs="Times New Roman"/>
          <w:sz w:val="24"/>
          <w:szCs w:val="24"/>
        </w:rPr>
        <w:t>账　　号：　　　　　</w:t>
      </w:r>
    </w:p>
    <w:p w14:paraId="1F6B00E1">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ascii="Times New Roman" w:hAnsi="Times New Roman" w:eastAsia="宋体" w:cs="Times New Roman"/>
          <w:szCs w:val="24"/>
        </w:rPr>
      </w:pPr>
    </w:p>
    <w:p w14:paraId="7B5FAB8D">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rPr>
        <w:t>合同订立时间：</w:t>
      </w:r>
      <w:r>
        <w:rPr>
          <w:rFonts w:hint="eastAsia" w:ascii="Times New Roman" w:hAnsi="宋体" w:eastAsia="宋体" w:cs="Times New Roman"/>
          <w:sz w:val="24"/>
          <w:szCs w:val="24"/>
          <w:u w:val="single"/>
        </w:rPr>
        <w:t xml:space="preserve">         </w:t>
      </w:r>
      <w:r>
        <w:rPr>
          <w:rFonts w:hint="eastAsia" w:ascii="Times New Roman" w:hAnsi="宋体" w:eastAsia="宋体" w:cs="Times New Roman"/>
          <w:sz w:val="24"/>
          <w:szCs w:val="24"/>
        </w:rPr>
        <w:t>年</w:t>
      </w:r>
      <w:r>
        <w:rPr>
          <w:rFonts w:hint="eastAsia" w:ascii="Times New Roman" w:hAnsi="宋体" w:eastAsia="宋体" w:cs="Times New Roman"/>
          <w:sz w:val="24"/>
          <w:szCs w:val="24"/>
          <w:u w:val="single"/>
        </w:rPr>
        <w:t xml:space="preserve">    </w:t>
      </w:r>
      <w:r>
        <w:rPr>
          <w:rFonts w:hint="eastAsia" w:ascii="Times New Roman" w:hAnsi="宋体" w:eastAsia="宋体" w:cs="Times New Roman"/>
          <w:sz w:val="24"/>
          <w:szCs w:val="24"/>
        </w:rPr>
        <w:t>月</w:t>
      </w:r>
      <w:r>
        <w:rPr>
          <w:rFonts w:hint="eastAsia" w:ascii="Times New Roman" w:hAnsi="宋体" w:eastAsia="宋体" w:cs="Times New Roman"/>
          <w:sz w:val="24"/>
          <w:szCs w:val="24"/>
          <w:u w:val="single"/>
        </w:rPr>
        <w:t xml:space="preserve">    </w:t>
      </w:r>
      <w:r>
        <w:rPr>
          <w:rFonts w:hint="eastAsia" w:ascii="Times New Roman" w:hAnsi="宋体" w:eastAsia="宋体" w:cs="Times New Roman"/>
          <w:sz w:val="24"/>
          <w:szCs w:val="24"/>
        </w:rPr>
        <w:t>日</w:t>
      </w:r>
    </w:p>
    <w:p w14:paraId="6F39E3AB">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rPr>
      </w:pPr>
    </w:p>
    <w:p w14:paraId="76A89E4C">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imes New Roman" w:hAnsi="宋体" w:eastAsia="宋体" w:cs="Times New Roman"/>
          <w:sz w:val="24"/>
          <w:szCs w:val="24"/>
          <w:u w:val="single"/>
        </w:rPr>
      </w:pPr>
      <w:r>
        <w:rPr>
          <w:rFonts w:hint="eastAsia" w:ascii="Times New Roman" w:hAnsi="宋体" w:eastAsia="宋体" w:cs="Times New Roman"/>
          <w:sz w:val="24"/>
          <w:szCs w:val="24"/>
        </w:rPr>
        <w:t>合同订立地点：</w:t>
      </w:r>
      <w:r>
        <w:rPr>
          <w:rFonts w:hint="eastAsia" w:ascii="Times New Roman" w:hAnsi="宋体" w:eastAsia="宋体" w:cs="Times New Roman"/>
          <w:sz w:val="24"/>
          <w:szCs w:val="24"/>
          <w:u w:val="single"/>
        </w:rPr>
        <w:t xml:space="preserve">                       </w:t>
      </w:r>
    </w:p>
    <w:p w14:paraId="0853765F">
      <w:pPr>
        <w:rPr>
          <w:rFonts w:ascii="Times New Roman" w:hAnsi="Times New Roman" w:eastAsia="宋体" w:cs="Times New Roman"/>
          <w:szCs w:val="24"/>
        </w:rPr>
      </w:pPr>
    </w:p>
    <w:p w14:paraId="63E5E88A">
      <w:pPr>
        <w:spacing w:line="360" w:lineRule="auto"/>
        <w:contextualSpacing/>
        <w:rPr>
          <w:rFonts w:hint="eastAsia" w:ascii="宋体" w:hAnsi="宋体" w:eastAsia="宋体" w:cs="宋体"/>
          <w:b/>
          <w:color w:val="auto"/>
          <w:kern w:val="0"/>
          <w:sz w:val="32"/>
          <w:szCs w:val="32"/>
        </w:rPr>
      </w:pPr>
    </w:p>
    <w:p w14:paraId="0EBCE64E">
      <w:pP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1FE1F8DE">
      <w:pPr>
        <w:spacing w:line="360" w:lineRule="auto"/>
        <w:contextualSpacing/>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第八章 响应文件有关格式</w:t>
      </w:r>
      <w:bookmarkEnd w:id="11"/>
    </w:p>
    <w:p w14:paraId="634EC9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8"/>
          <w:szCs w:val="28"/>
          <w:lang w:val="zh-CN" w:eastAsia="zh-CN"/>
        </w:rPr>
      </w:pPr>
      <w:bookmarkStart w:id="14" w:name="_Toc174185203"/>
      <w:bookmarkStart w:id="15" w:name="_Toc138068729"/>
      <w:bookmarkStart w:id="16" w:name="_Toc184023138"/>
      <w:bookmarkStart w:id="17" w:name="_Toc186274126"/>
      <w:r>
        <w:rPr>
          <w:rFonts w:hint="eastAsia"/>
          <w:b/>
          <w:bCs/>
          <w:sz w:val="28"/>
          <w:szCs w:val="28"/>
          <w:lang w:val="zh-CN" w:eastAsia="zh-CN"/>
        </w:rPr>
        <w:t>一、封面</w:t>
      </w:r>
    </w:p>
    <w:p w14:paraId="364727C6">
      <w:pPr>
        <w:spacing w:line="360" w:lineRule="auto"/>
        <w:rPr>
          <w:rFonts w:hint="eastAsia" w:ascii="宋体" w:hAnsi="宋体" w:eastAsia="宋体" w:cs="宋体"/>
          <w:color w:val="auto"/>
          <w:sz w:val="28"/>
          <w:szCs w:val="28"/>
          <w:u w:val="single"/>
        </w:rPr>
      </w:pPr>
    </w:p>
    <w:p w14:paraId="5140F24B">
      <w:pPr>
        <w:spacing w:line="360" w:lineRule="auto"/>
        <w:rPr>
          <w:rFonts w:hint="eastAsia" w:ascii="宋体" w:hAnsi="宋体" w:eastAsia="宋体" w:cs="宋体"/>
          <w:color w:val="auto"/>
          <w:sz w:val="28"/>
          <w:szCs w:val="28"/>
          <w:u w:val="single"/>
        </w:rPr>
      </w:pPr>
    </w:p>
    <w:p w14:paraId="509E84BE">
      <w:pPr>
        <w:spacing w:line="360" w:lineRule="auto"/>
        <w:jc w:val="center"/>
        <w:rPr>
          <w:rFonts w:hint="eastAsia" w:ascii="宋体" w:hAnsi="宋体" w:eastAsia="宋体" w:cs="宋体"/>
          <w:b/>
          <w:bCs/>
          <w:color w:val="auto"/>
          <w:sz w:val="40"/>
          <w:szCs w:val="40"/>
          <w:u w:val="single"/>
        </w:rPr>
      </w:pPr>
    </w:p>
    <w:p w14:paraId="0AD50582">
      <w:pPr>
        <w:spacing w:line="360" w:lineRule="auto"/>
        <w:jc w:val="center"/>
        <w:rPr>
          <w:rFonts w:hint="eastAsia" w:ascii="宋体" w:hAnsi="宋体" w:eastAsia="宋体" w:cs="宋体"/>
          <w:b/>
          <w:bCs/>
          <w:color w:val="auto"/>
          <w:sz w:val="40"/>
          <w:szCs w:val="40"/>
          <w:u w:val="single"/>
          <w:lang w:eastAsia="zh-CN"/>
        </w:rPr>
      </w:pPr>
      <w:r>
        <w:rPr>
          <w:rFonts w:hint="eastAsia" w:ascii="宋体" w:hAnsi="宋体" w:eastAsia="宋体" w:cs="宋体"/>
          <w:b/>
          <w:bCs/>
          <w:color w:val="auto"/>
          <w:sz w:val="40"/>
          <w:szCs w:val="40"/>
          <w:u w:val="single"/>
        </w:rPr>
        <w:t xml:space="preserve">                      （项目名称）</w:t>
      </w:r>
    </w:p>
    <w:p w14:paraId="2EAC2C28">
      <w:pPr>
        <w:spacing w:line="360" w:lineRule="auto"/>
        <w:rPr>
          <w:rFonts w:hint="eastAsia" w:ascii="宋体" w:hAnsi="宋体" w:eastAsia="宋体" w:cs="宋体"/>
          <w:color w:val="auto"/>
          <w:sz w:val="28"/>
          <w:szCs w:val="28"/>
          <w:u w:val="single"/>
        </w:rPr>
      </w:pPr>
    </w:p>
    <w:p w14:paraId="63EBA5F1">
      <w:pPr>
        <w:spacing w:line="360" w:lineRule="auto"/>
        <w:rPr>
          <w:rFonts w:hint="eastAsia" w:ascii="宋体" w:hAnsi="宋体" w:eastAsia="宋体" w:cs="宋体"/>
          <w:color w:val="auto"/>
          <w:sz w:val="20"/>
          <w:szCs w:val="20"/>
        </w:rPr>
      </w:pPr>
    </w:p>
    <w:p w14:paraId="05EA249A">
      <w:pPr>
        <w:spacing w:line="360" w:lineRule="auto"/>
        <w:rPr>
          <w:rFonts w:hint="eastAsia" w:ascii="宋体" w:hAnsi="宋体" w:eastAsia="宋体" w:cs="宋体"/>
          <w:color w:val="auto"/>
          <w:sz w:val="18"/>
          <w:szCs w:val="18"/>
        </w:rPr>
      </w:pPr>
    </w:p>
    <w:p w14:paraId="4F7D37F8">
      <w:pPr>
        <w:spacing w:line="360" w:lineRule="auto"/>
        <w:jc w:val="center"/>
        <w:rPr>
          <w:rFonts w:hint="eastAsia" w:ascii="宋体" w:hAnsi="宋体" w:eastAsia="宋体" w:cs="宋体"/>
          <w:color w:val="auto"/>
          <w:sz w:val="60"/>
          <w:szCs w:val="60"/>
        </w:rPr>
      </w:pPr>
      <w:r>
        <w:rPr>
          <w:rFonts w:hint="eastAsia" w:ascii="宋体" w:hAnsi="宋体" w:eastAsia="宋体" w:cs="宋体"/>
          <w:color w:val="auto"/>
          <w:sz w:val="60"/>
          <w:szCs w:val="60"/>
        </w:rPr>
        <w:t>竞争性</w:t>
      </w:r>
      <w:r>
        <w:rPr>
          <w:rFonts w:hint="eastAsia" w:ascii="宋体" w:hAnsi="宋体" w:eastAsia="宋体" w:cs="宋体"/>
          <w:color w:val="auto"/>
          <w:sz w:val="60"/>
          <w:szCs w:val="60"/>
          <w:lang w:val="en-US" w:eastAsia="zh-CN"/>
        </w:rPr>
        <w:t>磋商</w:t>
      </w:r>
      <w:r>
        <w:rPr>
          <w:rFonts w:hint="eastAsia" w:ascii="宋体" w:hAnsi="宋体" w:eastAsia="宋体" w:cs="宋体"/>
          <w:color w:val="auto"/>
          <w:sz w:val="60"/>
          <w:szCs w:val="60"/>
        </w:rPr>
        <w:t>响应文件</w:t>
      </w:r>
    </w:p>
    <w:p w14:paraId="2F0A1F74">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项目编号：</w:t>
      </w:r>
    </w:p>
    <w:p w14:paraId="72310559">
      <w:pPr>
        <w:spacing w:line="360" w:lineRule="auto"/>
        <w:rPr>
          <w:rFonts w:hint="eastAsia" w:ascii="宋体" w:hAnsi="宋体" w:eastAsia="宋体" w:cs="宋体"/>
          <w:color w:val="auto"/>
          <w:sz w:val="28"/>
          <w:szCs w:val="28"/>
        </w:rPr>
      </w:pPr>
    </w:p>
    <w:p w14:paraId="55984A8E">
      <w:pPr>
        <w:spacing w:line="360" w:lineRule="auto"/>
        <w:rPr>
          <w:rFonts w:hint="eastAsia" w:ascii="宋体" w:hAnsi="宋体" w:eastAsia="宋体" w:cs="宋体"/>
          <w:color w:val="auto"/>
          <w:sz w:val="28"/>
          <w:szCs w:val="28"/>
        </w:rPr>
      </w:pPr>
    </w:p>
    <w:p w14:paraId="00ABFD65">
      <w:pPr>
        <w:pStyle w:val="16"/>
        <w:spacing w:line="360" w:lineRule="auto"/>
        <w:ind w:left="0" w:leftChars="0" w:firstLine="0" w:firstLineChars="0"/>
        <w:rPr>
          <w:rFonts w:hint="eastAsia" w:ascii="宋体" w:hAnsi="宋体" w:eastAsia="宋体" w:cs="宋体"/>
          <w:color w:val="auto"/>
          <w:szCs w:val="28"/>
        </w:rPr>
      </w:pPr>
    </w:p>
    <w:p w14:paraId="7FB33C2F">
      <w:pPr>
        <w:spacing w:line="360" w:lineRule="auto"/>
        <w:jc w:val="left"/>
        <w:rPr>
          <w:rFonts w:hint="eastAsia" w:ascii="宋体" w:hAnsi="宋体" w:eastAsia="宋体" w:cs="宋体"/>
          <w:color w:val="auto"/>
          <w:sz w:val="28"/>
          <w:szCs w:val="28"/>
        </w:rPr>
      </w:pPr>
    </w:p>
    <w:p w14:paraId="72494B81">
      <w:pPr>
        <w:spacing w:line="360" w:lineRule="auto"/>
        <w:jc w:val="left"/>
        <w:rPr>
          <w:rFonts w:hint="eastAsia" w:ascii="宋体" w:hAnsi="宋体" w:eastAsia="宋体" w:cs="宋体"/>
          <w:color w:val="auto"/>
          <w:sz w:val="28"/>
          <w:szCs w:val="28"/>
        </w:rPr>
      </w:pPr>
    </w:p>
    <w:p w14:paraId="1C09C4A1">
      <w:pPr>
        <w:spacing w:line="360" w:lineRule="auto"/>
        <w:jc w:val="left"/>
        <w:rPr>
          <w:rFonts w:hint="eastAsia" w:ascii="宋体" w:hAnsi="宋体" w:eastAsia="宋体" w:cs="宋体"/>
          <w:color w:val="auto"/>
          <w:sz w:val="28"/>
          <w:szCs w:val="28"/>
        </w:rPr>
      </w:pPr>
    </w:p>
    <w:p w14:paraId="35D6D686">
      <w:pPr>
        <w:spacing w:line="360" w:lineRule="auto"/>
        <w:jc w:val="left"/>
        <w:rPr>
          <w:rFonts w:hint="eastAsia" w:ascii="宋体" w:hAnsi="宋体" w:eastAsia="宋体" w:cs="宋体"/>
          <w:color w:val="auto"/>
          <w:sz w:val="28"/>
          <w:szCs w:val="28"/>
        </w:rPr>
      </w:pPr>
    </w:p>
    <w:p w14:paraId="7C78FA77">
      <w:pPr>
        <w:spacing w:line="360" w:lineRule="auto"/>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rPr>
        <w:t>响应人：（盖单位章）</w:t>
      </w:r>
    </w:p>
    <w:p w14:paraId="4B8FC973">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法定代表人（单位负责人）或其委托代理人：</w:t>
      </w:r>
      <w:r>
        <w:rPr>
          <w:rFonts w:hint="eastAsia" w:ascii="宋体" w:hAnsi="宋体" w:eastAsia="宋体" w:cs="宋体"/>
          <w:color w:val="auto"/>
          <w:sz w:val="28"/>
          <w:szCs w:val="28"/>
          <w:u w:val="single"/>
        </w:rPr>
        <w:t>（签字或加盖姓名章）</w:t>
      </w:r>
    </w:p>
    <w:p w14:paraId="4C56ED90">
      <w:pPr>
        <w:spacing w:line="360" w:lineRule="auto"/>
        <w:ind w:left="1079" w:leftChars="514"/>
        <w:jc w:val="left"/>
        <w:rPr>
          <w:rFonts w:hint="eastAsia" w:ascii="宋体" w:hAnsi="宋体" w:eastAsia="宋体" w:cs="宋体"/>
          <w:color w:val="auto"/>
          <w:sz w:val="28"/>
          <w:szCs w:val="28"/>
        </w:rPr>
      </w:pPr>
    </w:p>
    <w:p w14:paraId="05FB80EF">
      <w:pPr>
        <w:spacing w:line="360" w:lineRule="auto"/>
        <w:ind w:left="1079" w:leftChars="514"/>
        <w:jc w:val="center"/>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14:paraId="00BA913F">
      <w:pPr>
        <w:tabs>
          <w:tab w:val="left" w:pos="1260"/>
        </w:tabs>
        <w:autoSpaceDE w:val="0"/>
        <w:autoSpaceDN w:val="0"/>
        <w:spacing w:line="360" w:lineRule="auto"/>
        <w:ind w:firstLine="0"/>
        <w:contextualSpacing/>
        <w:rPr>
          <w:rFonts w:hint="eastAsia" w:ascii="宋体" w:hAnsi="宋体" w:eastAsia="宋体" w:cs="宋体"/>
          <w:b/>
          <w:color w:val="auto"/>
          <w:sz w:val="24"/>
        </w:rPr>
      </w:pPr>
    </w:p>
    <w:bookmarkEnd w:id="14"/>
    <w:bookmarkEnd w:id="15"/>
    <w:bookmarkEnd w:id="16"/>
    <w:bookmarkEnd w:id="17"/>
    <w:p w14:paraId="7B8E5FC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8"/>
          <w:szCs w:val="28"/>
          <w:lang w:val="zh-CN" w:eastAsia="zh-CN"/>
        </w:rPr>
      </w:pPr>
      <w:r>
        <w:rPr>
          <w:rFonts w:hint="eastAsia"/>
          <w:b/>
          <w:bCs/>
          <w:sz w:val="28"/>
          <w:szCs w:val="28"/>
          <w:lang w:val="zh-CN" w:eastAsia="zh-CN"/>
        </w:rPr>
        <w:t>二、供应商应答索引表</w:t>
      </w:r>
    </w:p>
    <w:tbl>
      <w:tblPr>
        <w:tblStyle w:val="34"/>
        <w:tblW w:w="979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88"/>
        <w:gridCol w:w="4364"/>
        <w:gridCol w:w="1718"/>
        <w:gridCol w:w="1690"/>
        <w:gridCol w:w="1537"/>
      </w:tblGrid>
      <w:tr w14:paraId="5D7AB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6" w:hRule="atLeas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7574389D">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12F106B4">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  目</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60125AB0">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供应商应答</w:t>
            </w:r>
          </w:p>
          <w:p w14:paraId="39E062C6">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（有/没有）</w:t>
            </w: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448D3142">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响应文件中所在页码</w:t>
            </w: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61F2ED29">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备注说明</w:t>
            </w:r>
          </w:p>
        </w:tc>
      </w:tr>
      <w:tr w14:paraId="55C12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7" w:hRule="exac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6E0090A8">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7FEF96CE">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bCs/>
                <w:color w:val="auto"/>
                <w:sz w:val="24"/>
                <w:szCs w:val="24"/>
              </w:rPr>
            </w:pPr>
            <w:r>
              <w:rPr>
                <w:rFonts w:hint="eastAsia" w:ascii="宋体" w:hAnsi="宋体" w:eastAsia="宋体" w:cs="宋体"/>
                <w:color w:val="auto"/>
                <w:sz w:val="24"/>
                <w:szCs w:val="24"/>
              </w:rPr>
              <w:t>供应商应答索引表</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5AE6CA03">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26B0302A">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07A4DF56">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0102B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7" w:hRule="exac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3695296B">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4D180C8C">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磋商一览表</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0D607BBD">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5D6EFEBE">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42B96B7C">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6738F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7" w:hRule="exac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09D60A9C">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322CB40B">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bCs/>
                <w:color w:val="auto"/>
                <w:sz w:val="24"/>
                <w:szCs w:val="24"/>
              </w:rPr>
            </w:pPr>
            <w:r>
              <w:rPr>
                <w:rFonts w:hint="eastAsia" w:ascii="宋体" w:hAnsi="宋体" w:eastAsia="宋体" w:cs="宋体"/>
                <w:color w:val="auto"/>
                <w:sz w:val="24"/>
                <w:szCs w:val="24"/>
              </w:rPr>
              <w:t>投标函</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30C8A92D">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5FB606C9">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5694C5F8">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2FB58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7" w:hRule="exac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48A39623">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4E033D0A">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bCs/>
                <w:color w:val="auto"/>
                <w:sz w:val="24"/>
                <w:szCs w:val="24"/>
                <w:lang w:val="zh-CN"/>
              </w:rPr>
              <w:t>法定代表人（单位负责人）资格证明书</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65BAEB7B">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6CFED2F8">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67C06EE8">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6C470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7" w:hRule="exac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0F91C951">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348967B9">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法定代表人（单位负责人）授权书</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7E2288D7">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4BDEFD18">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2C111ED5">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3B213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7" w:hRule="exac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11E1A196">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5C8966FD">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bCs/>
                <w:color w:val="auto"/>
                <w:sz w:val="24"/>
                <w:szCs w:val="24"/>
              </w:rPr>
            </w:pPr>
            <w:r>
              <w:rPr>
                <w:rFonts w:hint="eastAsia" w:ascii="宋体" w:hAnsi="宋体" w:eastAsia="宋体" w:cs="宋体"/>
                <w:bCs/>
                <w:color w:val="auto"/>
                <w:sz w:val="24"/>
                <w:szCs w:val="24"/>
                <w:lang w:val="zh-CN"/>
              </w:rPr>
              <w:t>磋商承诺函</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0956C8C2">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13CB3665">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7F7892BF">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44A26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0F950BA7">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4A79F6D7">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bCs/>
                <w:color w:val="auto"/>
                <w:sz w:val="24"/>
                <w:szCs w:val="24"/>
              </w:rPr>
            </w:pPr>
            <w:r>
              <w:rPr>
                <w:rFonts w:hint="eastAsia" w:ascii="宋体" w:hAnsi="宋体" w:eastAsia="宋体" w:cs="宋体"/>
                <w:color w:val="auto"/>
                <w:sz w:val="24"/>
                <w:szCs w:val="24"/>
              </w:rPr>
              <w:t>襄城县政府采购供应商信用承诺函</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01629423">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204A883A">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20CA51CF">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12DEF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26FE9040">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8</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672EE353">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联合体协议（</w:t>
            </w:r>
            <w:r>
              <w:rPr>
                <w:rFonts w:hint="eastAsia" w:ascii="宋体" w:hAnsi="宋体" w:eastAsia="宋体" w:cs="宋体"/>
                <w:bCs/>
                <w:color w:val="auto"/>
                <w:sz w:val="24"/>
                <w:szCs w:val="24"/>
              </w:rPr>
              <w:t>若有</w:t>
            </w:r>
            <w:r>
              <w:rPr>
                <w:rFonts w:hint="eastAsia" w:ascii="宋体" w:hAnsi="宋体" w:eastAsia="宋体" w:cs="宋体"/>
                <w:bCs/>
                <w:color w:val="auto"/>
                <w:sz w:val="24"/>
                <w:szCs w:val="24"/>
                <w:lang w:val="zh-CN"/>
              </w:rPr>
              <w:t>）</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68344829">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1F6006C0">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630138C1">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2215D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06" w:hRule="atLeas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63039BFE">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9</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6FB851A1">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供应商与参加本项目响应的其他供应商之间，单位负责人不为同一人并且不存在直接控股、管理关系承诺函</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4DE8B2A2">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67BD2B4D">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26FFB343">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350ED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06" w:hRule="atLeas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70350C48">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10</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4D01ED4D">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bCs/>
                <w:color w:val="auto"/>
                <w:sz w:val="24"/>
                <w:szCs w:val="24"/>
                <w:lang w:val="zh-CN"/>
              </w:rPr>
            </w:pPr>
            <w:r>
              <w:rPr>
                <w:rFonts w:hint="eastAsia" w:ascii="宋体" w:hAnsi="宋体" w:eastAsia="宋体" w:cs="宋体"/>
                <w:color w:val="auto"/>
                <w:sz w:val="24"/>
                <w:szCs w:val="24"/>
                <w:lang w:val="zh-CN"/>
              </w:rPr>
              <w:t>供应商未为本项目提供整体设计、规范编制或者项目管理、监理、检测等服务承诺函</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38D172CB">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037FD968">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500FAC71">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6B1DC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9" w:hRule="atLeast"/>
        </w:trPr>
        <w:tc>
          <w:tcPr>
            <w:tcW w:w="488" w:type="dxa"/>
            <w:tcBorders>
              <w:top w:val="double" w:color="auto" w:sz="4" w:space="0"/>
              <w:left w:val="single" w:color="000000" w:sz="6" w:space="0"/>
              <w:bottom w:val="single" w:color="000000" w:sz="6" w:space="0"/>
              <w:right w:val="single" w:color="000000" w:sz="6" w:space="0"/>
            </w:tcBorders>
            <w:noWrap w:val="0"/>
            <w:vAlign w:val="center"/>
          </w:tcPr>
          <w:p w14:paraId="71604407">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4364" w:type="dxa"/>
            <w:tcBorders>
              <w:top w:val="double" w:color="auto" w:sz="4" w:space="0"/>
              <w:left w:val="single" w:color="000000" w:sz="6" w:space="0"/>
              <w:bottom w:val="single" w:color="000000" w:sz="6" w:space="0"/>
              <w:right w:val="single" w:color="000000" w:sz="6" w:space="0"/>
            </w:tcBorders>
            <w:noWrap w:val="0"/>
            <w:vAlign w:val="center"/>
          </w:tcPr>
          <w:p w14:paraId="1FB60A9F">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已标价的工程量清单</w:t>
            </w:r>
          </w:p>
        </w:tc>
        <w:tc>
          <w:tcPr>
            <w:tcW w:w="1718" w:type="dxa"/>
            <w:tcBorders>
              <w:top w:val="double" w:color="auto" w:sz="4" w:space="0"/>
              <w:left w:val="single" w:color="000000" w:sz="6" w:space="0"/>
              <w:bottom w:val="single" w:color="000000" w:sz="6" w:space="0"/>
              <w:right w:val="single" w:color="000000" w:sz="6" w:space="0"/>
            </w:tcBorders>
            <w:noWrap w:val="0"/>
            <w:vAlign w:val="center"/>
          </w:tcPr>
          <w:p w14:paraId="579ADD5F">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double" w:color="auto" w:sz="4" w:space="0"/>
              <w:left w:val="single" w:color="000000" w:sz="6" w:space="0"/>
              <w:bottom w:val="single" w:color="000000" w:sz="6" w:space="0"/>
              <w:right w:val="single" w:color="000000" w:sz="6" w:space="0"/>
            </w:tcBorders>
            <w:noWrap w:val="0"/>
            <w:vAlign w:val="center"/>
          </w:tcPr>
          <w:p w14:paraId="00D4FEF2">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double" w:color="auto" w:sz="4" w:space="0"/>
              <w:left w:val="single" w:color="000000" w:sz="6" w:space="0"/>
              <w:bottom w:val="single" w:color="000000" w:sz="6" w:space="0"/>
              <w:right w:val="single" w:color="000000" w:sz="6" w:space="0"/>
            </w:tcBorders>
            <w:noWrap w:val="0"/>
            <w:vAlign w:val="center"/>
          </w:tcPr>
          <w:p w14:paraId="3F364850">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17AD6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05BEB2F3">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309E75B6">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技术方案（实施方案）</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322F678D">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41F04E75">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118A52CA">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38344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64BCB33C">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0D40F5C6">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服务方案</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2641FD10">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auto" w:sz="4" w:space="0"/>
              <w:left w:val="single" w:color="000000" w:sz="6" w:space="0"/>
              <w:bottom w:val="single" w:color="000000" w:sz="6" w:space="0"/>
              <w:right w:val="single" w:color="000000" w:sz="6" w:space="0"/>
            </w:tcBorders>
            <w:noWrap w:val="0"/>
            <w:vAlign w:val="center"/>
          </w:tcPr>
          <w:p w14:paraId="01125CE6">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auto" w:sz="4" w:space="0"/>
              <w:left w:val="single" w:color="000000" w:sz="6" w:space="0"/>
              <w:bottom w:val="single" w:color="000000" w:sz="6" w:space="0"/>
              <w:right w:val="single" w:color="000000" w:sz="6" w:space="0"/>
            </w:tcBorders>
            <w:noWrap w:val="0"/>
            <w:vAlign w:val="center"/>
          </w:tcPr>
          <w:p w14:paraId="3D2D10C3">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252CE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250B486E">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65CDFC56">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业绩情况表</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2F9740F3">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6E80D5C7">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00230958">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6AF06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0ACFEB30">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55FA2133">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政府强制采购节能产品品目清单情况</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32326285">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2D925358">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234BD984">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6EA88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6" w:hRule="atLeas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33900EB5">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3A5924D5">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优先采购节能产品政府采购品目清单情况</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0651A97E">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718E01FF">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3ACB6E78">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4F631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6" w:hRule="atLeas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0F68D52E">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22CB603C">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bCs/>
                <w:color w:val="auto"/>
                <w:sz w:val="24"/>
                <w:szCs w:val="24"/>
              </w:rPr>
            </w:pPr>
            <w:r>
              <w:rPr>
                <w:rFonts w:hint="eastAsia" w:ascii="宋体" w:hAnsi="宋体" w:eastAsia="宋体" w:cs="宋体"/>
                <w:color w:val="auto"/>
                <w:sz w:val="24"/>
                <w:szCs w:val="24"/>
                <w:lang w:val="en-GB"/>
              </w:rPr>
              <w:t>优先采购环境标志产品政府采购品目清单情况</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1C793D1C">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71F335DE">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6C143A05">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27EF6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0DBD004F">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6515785A">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中小企业声明函</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2301118A">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70A90D91">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51191DA1">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2647B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1206AC18">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4C7B11A1">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bCs/>
                <w:color w:val="auto"/>
                <w:sz w:val="24"/>
                <w:szCs w:val="24"/>
              </w:rPr>
            </w:pPr>
            <w:r>
              <w:rPr>
                <w:rFonts w:hint="eastAsia" w:ascii="宋体" w:hAnsi="宋体" w:eastAsia="宋体" w:cs="宋体"/>
                <w:color w:val="auto"/>
                <w:sz w:val="24"/>
                <w:szCs w:val="24"/>
                <w:lang w:val="zh-CN"/>
              </w:rPr>
              <w:t>残疾人福利性单位声明函</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2E69DBD2">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6F2545D6">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5BD73815">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0E5B5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3200A3BE">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3A35569B">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监狱企业证明文件</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6B5592B6">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20B8DA1C">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05E0AC99">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r w14:paraId="27FF3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9" w:hRule="atLeast"/>
        </w:trPr>
        <w:tc>
          <w:tcPr>
            <w:tcW w:w="488" w:type="dxa"/>
            <w:tcBorders>
              <w:top w:val="single" w:color="000000" w:sz="6" w:space="0"/>
              <w:left w:val="single" w:color="000000" w:sz="6" w:space="0"/>
              <w:bottom w:val="single" w:color="000000" w:sz="6" w:space="0"/>
              <w:right w:val="single" w:color="000000" w:sz="6" w:space="0"/>
            </w:tcBorders>
            <w:noWrap w:val="0"/>
            <w:vAlign w:val="center"/>
          </w:tcPr>
          <w:p w14:paraId="20BEA9D2">
            <w:pPr>
              <w:keepNext w:val="0"/>
              <w:keepLines w:val="0"/>
              <w:pageBreakBefore w:val="0"/>
              <w:widowControl w:val="0"/>
              <w:wordWrap/>
              <w:topLinePunct w:val="0"/>
              <w:bidi w:val="0"/>
              <w:adjustRightInd w:val="0"/>
              <w:snapToGrid w:val="0"/>
              <w:spacing w:line="48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4364" w:type="dxa"/>
            <w:tcBorders>
              <w:top w:val="single" w:color="000000" w:sz="6" w:space="0"/>
              <w:left w:val="single" w:color="000000" w:sz="6" w:space="0"/>
              <w:bottom w:val="single" w:color="000000" w:sz="6" w:space="0"/>
              <w:right w:val="single" w:color="000000" w:sz="6" w:space="0"/>
            </w:tcBorders>
            <w:noWrap w:val="0"/>
            <w:vAlign w:val="center"/>
          </w:tcPr>
          <w:p w14:paraId="40872DE8">
            <w:pPr>
              <w:pStyle w:val="21"/>
              <w:keepNext w:val="0"/>
              <w:keepLines w:val="0"/>
              <w:pageBreakBefore w:val="0"/>
              <w:widowControl w:val="0"/>
              <w:kinsoku w:val="0"/>
              <w:wordWrap/>
              <w:overflowPunct w:val="0"/>
              <w:topLinePunct w:val="0"/>
              <w:autoSpaceDE w:val="0"/>
              <w:autoSpaceDN w:val="0"/>
              <w:bidi w:val="0"/>
              <w:adjustRightInd w:val="0"/>
              <w:snapToGrid w:val="0"/>
              <w:spacing w:line="480" w:lineRule="exact"/>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其他</w:t>
            </w:r>
            <w:r>
              <w:rPr>
                <w:rFonts w:hint="eastAsia" w:ascii="宋体" w:hAnsi="宋体" w:eastAsia="宋体" w:cs="宋体"/>
                <w:bCs/>
                <w:color w:val="auto"/>
                <w:sz w:val="24"/>
                <w:szCs w:val="24"/>
              </w:rPr>
              <w:t>资料</w:t>
            </w:r>
          </w:p>
        </w:tc>
        <w:tc>
          <w:tcPr>
            <w:tcW w:w="1718" w:type="dxa"/>
            <w:tcBorders>
              <w:top w:val="single" w:color="000000" w:sz="6" w:space="0"/>
              <w:left w:val="single" w:color="000000" w:sz="6" w:space="0"/>
              <w:bottom w:val="single" w:color="000000" w:sz="6" w:space="0"/>
              <w:right w:val="single" w:color="000000" w:sz="6" w:space="0"/>
            </w:tcBorders>
            <w:noWrap w:val="0"/>
            <w:vAlign w:val="center"/>
          </w:tcPr>
          <w:p w14:paraId="40DFD772">
            <w:pPr>
              <w:keepNext w:val="0"/>
              <w:keepLines w:val="0"/>
              <w:pageBreakBefore w:val="0"/>
              <w:widowControl w:val="0"/>
              <w:wordWrap/>
              <w:topLinePunct w:val="0"/>
              <w:bidi w:val="0"/>
              <w:adjustRightInd w:val="0"/>
              <w:snapToGrid w:val="0"/>
              <w:spacing w:line="480" w:lineRule="exact"/>
              <w:jc w:val="center"/>
              <w:rPr>
                <w:rFonts w:hint="eastAsia" w:ascii="宋体" w:hAnsi="宋体" w:eastAsia="宋体" w:cs="宋体"/>
                <w:color w:val="auto"/>
                <w:sz w:val="24"/>
                <w:szCs w:val="24"/>
              </w:rPr>
            </w:pPr>
          </w:p>
        </w:tc>
        <w:tc>
          <w:tcPr>
            <w:tcW w:w="1690" w:type="dxa"/>
            <w:tcBorders>
              <w:top w:val="single" w:color="000000" w:sz="6" w:space="0"/>
              <w:left w:val="single" w:color="000000" w:sz="6" w:space="0"/>
              <w:bottom w:val="single" w:color="000000" w:sz="6" w:space="0"/>
              <w:right w:val="single" w:color="000000" w:sz="6" w:space="0"/>
            </w:tcBorders>
            <w:noWrap w:val="0"/>
            <w:vAlign w:val="center"/>
          </w:tcPr>
          <w:p w14:paraId="5D0D8361">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c>
          <w:tcPr>
            <w:tcW w:w="1537" w:type="dxa"/>
            <w:tcBorders>
              <w:top w:val="single" w:color="000000" w:sz="6" w:space="0"/>
              <w:left w:val="single" w:color="000000" w:sz="6" w:space="0"/>
              <w:bottom w:val="single" w:color="000000" w:sz="6" w:space="0"/>
              <w:right w:val="single" w:color="000000" w:sz="6" w:space="0"/>
            </w:tcBorders>
            <w:noWrap w:val="0"/>
            <w:vAlign w:val="center"/>
          </w:tcPr>
          <w:p w14:paraId="6E32363F">
            <w:pPr>
              <w:keepNext w:val="0"/>
              <w:keepLines w:val="0"/>
              <w:pageBreakBefore w:val="0"/>
              <w:widowControl w:val="0"/>
              <w:wordWrap/>
              <w:topLinePunct w:val="0"/>
              <w:bidi w:val="0"/>
              <w:adjustRightInd w:val="0"/>
              <w:snapToGrid w:val="0"/>
              <w:spacing w:line="480" w:lineRule="exact"/>
              <w:rPr>
                <w:rFonts w:hint="eastAsia" w:ascii="宋体" w:hAnsi="宋体" w:eastAsia="宋体" w:cs="宋体"/>
                <w:color w:val="auto"/>
                <w:sz w:val="24"/>
                <w:szCs w:val="24"/>
              </w:rPr>
            </w:pPr>
          </w:p>
        </w:tc>
      </w:tr>
    </w:tbl>
    <w:p w14:paraId="2C894E73">
      <w:pPr>
        <w:pStyle w:val="21"/>
        <w:spacing w:line="360" w:lineRule="auto"/>
        <w:jc w:val="center"/>
        <w:rPr>
          <w:rFonts w:hint="eastAsia" w:ascii="宋体" w:hAnsi="宋体" w:eastAsia="宋体" w:cs="宋体"/>
          <w:b/>
          <w:snapToGrid w:val="0"/>
          <w:color w:val="auto"/>
          <w:sz w:val="36"/>
          <w:szCs w:val="36"/>
        </w:rPr>
      </w:pPr>
    </w:p>
    <w:p w14:paraId="4E573EF9">
      <w:pPr>
        <w:pStyle w:val="21"/>
        <w:spacing w:line="360" w:lineRule="auto"/>
        <w:jc w:val="center"/>
        <w:rPr>
          <w:rFonts w:hint="eastAsia" w:ascii="宋体" w:hAnsi="宋体" w:eastAsia="宋体" w:cs="宋体"/>
          <w:b/>
          <w:snapToGrid w:val="0"/>
          <w:color w:val="auto"/>
          <w:sz w:val="36"/>
          <w:szCs w:val="36"/>
        </w:rPr>
      </w:pPr>
    </w:p>
    <w:p w14:paraId="048A9403">
      <w:pPr>
        <w:pStyle w:val="21"/>
        <w:spacing w:line="360" w:lineRule="auto"/>
        <w:ind w:firstLine="2711" w:firstLineChars="750"/>
        <w:rPr>
          <w:rFonts w:hint="eastAsia" w:ascii="宋体" w:hAnsi="宋体" w:eastAsia="宋体" w:cs="宋体"/>
          <w:b/>
          <w:snapToGrid w:val="0"/>
          <w:color w:val="auto"/>
          <w:sz w:val="36"/>
          <w:szCs w:val="36"/>
        </w:rPr>
      </w:pPr>
    </w:p>
    <w:p w14:paraId="6CC94136">
      <w:pPr>
        <w:pStyle w:val="21"/>
        <w:spacing w:line="360" w:lineRule="auto"/>
        <w:ind w:firstLine="2711" w:firstLineChars="750"/>
        <w:rPr>
          <w:rFonts w:hint="eastAsia" w:ascii="宋体" w:hAnsi="宋体" w:eastAsia="宋体" w:cs="宋体"/>
          <w:b/>
          <w:snapToGrid w:val="0"/>
          <w:color w:val="auto"/>
          <w:sz w:val="36"/>
          <w:szCs w:val="36"/>
        </w:rPr>
      </w:pPr>
    </w:p>
    <w:p w14:paraId="082677D2">
      <w:pPr>
        <w:pStyle w:val="21"/>
        <w:spacing w:line="360" w:lineRule="auto"/>
        <w:ind w:firstLine="2711" w:firstLineChars="750"/>
        <w:rPr>
          <w:rFonts w:hint="eastAsia" w:ascii="宋体" w:hAnsi="宋体" w:eastAsia="宋体" w:cs="宋体"/>
          <w:b/>
          <w:snapToGrid w:val="0"/>
          <w:color w:val="auto"/>
          <w:sz w:val="36"/>
          <w:szCs w:val="36"/>
        </w:rPr>
      </w:pPr>
    </w:p>
    <w:p w14:paraId="79A4F68C">
      <w:pPr>
        <w:pStyle w:val="21"/>
        <w:spacing w:line="360" w:lineRule="auto"/>
        <w:ind w:firstLine="2711" w:firstLineChars="750"/>
        <w:rPr>
          <w:rFonts w:hint="eastAsia" w:ascii="宋体" w:hAnsi="宋体" w:eastAsia="宋体" w:cs="宋体"/>
          <w:b/>
          <w:snapToGrid w:val="0"/>
          <w:color w:val="auto"/>
          <w:sz w:val="36"/>
          <w:szCs w:val="36"/>
        </w:rPr>
      </w:pPr>
    </w:p>
    <w:p w14:paraId="47486B77">
      <w:pPr>
        <w:pStyle w:val="21"/>
        <w:spacing w:line="360" w:lineRule="auto"/>
        <w:ind w:firstLine="2711" w:firstLineChars="750"/>
        <w:rPr>
          <w:rFonts w:hint="eastAsia" w:ascii="宋体" w:hAnsi="宋体" w:eastAsia="宋体" w:cs="宋体"/>
          <w:b/>
          <w:snapToGrid w:val="0"/>
          <w:color w:val="auto"/>
          <w:sz w:val="36"/>
          <w:szCs w:val="36"/>
        </w:rPr>
      </w:pPr>
    </w:p>
    <w:p w14:paraId="75A1DE84">
      <w:pPr>
        <w:pStyle w:val="21"/>
        <w:spacing w:line="360" w:lineRule="auto"/>
        <w:ind w:firstLine="2711" w:firstLineChars="750"/>
        <w:rPr>
          <w:rFonts w:hint="eastAsia" w:ascii="宋体" w:hAnsi="宋体" w:eastAsia="宋体" w:cs="宋体"/>
          <w:b/>
          <w:snapToGrid w:val="0"/>
          <w:color w:val="auto"/>
          <w:sz w:val="36"/>
          <w:szCs w:val="36"/>
        </w:rPr>
      </w:pPr>
    </w:p>
    <w:p w14:paraId="7B3E4D94">
      <w:pPr>
        <w:pStyle w:val="21"/>
        <w:spacing w:line="360" w:lineRule="auto"/>
        <w:ind w:firstLine="2711" w:firstLineChars="750"/>
        <w:rPr>
          <w:rFonts w:hint="eastAsia" w:ascii="宋体" w:hAnsi="宋体" w:eastAsia="宋体" w:cs="宋体"/>
          <w:b/>
          <w:snapToGrid w:val="0"/>
          <w:color w:val="auto"/>
          <w:sz w:val="36"/>
          <w:szCs w:val="36"/>
        </w:rPr>
      </w:pPr>
    </w:p>
    <w:p w14:paraId="172EAA4F">
      <w:pPr>
        <w:pStyle w:val="21"/>
        <w:spacing w:line="360" w:lineRule="auto"/>
        <w:ind w:firstLine="2711" w:firstLineChars="750"/>
        <w:rPr>
          <w:rFonts w:hint="eastAsia" w:ascii="宋体" w:hAnsi="宋体" w:eastAsia="宋体" w:cs="宋体"/>
          <w:b/>
          <w:snapToGrid w:val="0"/>
          <w:color w:val="auto"/>
          <w:sz w:val="36"/>
          <w:szCs w:val="36"/>
        </w:rPr>
      </w:pPr>
    </w:p>
    <w:p w14:paraId="42159699">
      <w:pPr>
        <w:pStyle w:val="21"/>
        <w:spacing w:line="360" w:lineRule="auto"/>
        <w:ind w:firstLine="2711" w:firstLineChars="750"/>
        <w:rPr>
          <w:rFonts w:hint="eastAsia" w:ascii="宋体" w:hAnsi="宋体" w:eastAsia="宋体" w:cs="宋体"/>
          <w:b/>
          <w:snapToGrid w:val="0"/>
          <w:color w:val="auto"/>
          <w:sz w:val="36"/>
          <w:szCs w:val="36"/>
        </w:rPr>
      </w:pPr>
    </w:p>
    <w:p w14:paraId="5C187B6D">
      <w:pPr>
        <w:pStyle w:val="21"/>
        <w:spacing w:line="360" w:lineRule="auto"/>
        <w:ind w:firstLine="2711" w:firstLineChars="750"/>
        <w:rPr>
          <w:rFonts w:hint="eastAsia" w:ascii="宋体" w:hAnsi="宋体" w:eastAsia="宋体" w:cs="宋体"/>
          <w:b/>
          <w:snapToGrid w:val="0"/>
          <w:color w:val="auto"/>
          <w:sz w:val="36"/>
          <w:szCs w:val="36"/>
        </w:rPr>
      </w:pPr>
    </w:p>
    <w:p w14:paraId="4D50CAAA">
      <w:pPr>
        <w:pStyle w:val="21"/>
        <w:spacing w:line="360" w:lineRule="auto"/>
        <w:ind w:firstLine="2711" w:firstLineChars="750"/>
        <w:rPr>
          <w:rFonts w:hint="eastAsia" w:ascii="宋体" w:hAnsi="宋体" w:eastAsia="宋体" w:cs="宋体"/>
          <w:b/>
          <w:snapToGrid w:val="0"/>
          <w:color w:val="auto"/>
          <w:sz w:val="36"/>
          <w:szCs w:val="36"/>
        </w:rPr>
      </w:pPr>
    </w:p>
    <w:p w14:paraId="58245B78">
      <w:pPr>
        <w:pStyle w:val="21"/>
        <w:spacing w:line="360" w:lineRule="auto"/>
        <w:ind w:firstLine="2711" w:firstLineChars="750"/>
        <w:rPr>
          <w:rFonts w:hint="eastAsia" w:ascii="宋体" w:hAnsi="宋体" w:eastAsia="宋体" w:cs="宋体"/>
          <w:b/>
          <w:snapToGrid w:val="0"/>
          <w:color w:val="auto"/>
          <w:sz w:val="36"/>
          <w:szCs w:val="36"/>
        </w:rPr>
      </w:pPr>
    </w:p>
    <w:p w14:paraId="03185E48">
      <w:pPr>
        <w:rPr>
          <w:rFonts w:hint="eastAsia" w:ascii="宋体" w:hAnsi="宋体" w:eastAsia="宋体" w:cs="宋体"/>
          <w:b/>
          <w:bCs/>
          <w:snapToGrid w:val="0"/>
          <w:color w:val="auto"/>
          <w:sz w:val="28"/>
          <w:szCs w:val="28"/>
          <w:lang w:val="en-US" w:eastAsia="zh-CN"/>
        </w:rPr>
      </w:pPr>
      <w:bookmarkStart w:id="18" w:name="_Toc138068730"/>
      <w:r>
        <w:rPr>
          <w:rFonts w:hint="eastAsia" w:ascii="宋体" w:hAnsi="宋体" w:eastAsia="宋体" w:cs="宋体"/>
          <w:b/>
          <w:bCs/>
          <w:snapToGrid w:val="0"/>
          <w:color w:val="auto"/>
          <w:sz w:val="28"/>
          <w:szCs w:val="28"/>
          <w:lang w:val="en-US" w:eastAsia="zh-CN"/>
        </w:rPr>
        <w:br w:type="page"/>
      </w:r>
    </w:p>
    <w:p w14:paraId="225CFBB2">
      <w:pPr>
        <w:bidi w:val="0"/>
        <w:jc w:val="center"/>
        <w:rPr>
          <w:rFonts w:hint="eastAsia"/>
          <w:b/>
          <w:bCs/>
          <w:sz w:val="28"/>
          <w:szCs w:val="28"/>
          <w:lang w:val="en-US" w:eastAsia="zh-CN"/>
        </w:rPr>
      </w:pPr>
      <w:r>
        <w:rPr>
          <w:rFonts w:hint="eastAsia"/>
          <w:b/>
          <w:bCs/>
          <w:sz w:val="28"/>
          <w:szCs w:val="28"/>
          <w:lang w:val="en-US" w:eastAsia="zh-CN"/>
        </w:rPr>
        <w:t>三、磋商一览表</w:t>
      </w:r>
      <w:bookmarkEnd w:id="18"/>
    </w:p>
    <w:p w14:paraId="76BDA45D">
      <w:pPr>
        <w:pStyle w:val="32"/>
        <w:spacing w:before="45" w:beforeAutospacing="0" w:after="120" w:afterAutospacing="0" w:line="360" w:lineRule="auto"/>
        <w:rPr>
          <w:rFonts w:hint="eastAsia" w:ascii="宋体" w:hAnsi="宋体" w:eastAsia="宋体" w:cs="宋体"/>
          <w:color w:val="auto"/>
        </w:rPr>
      </w:pPr>
    </w:p>
    <w:p w14:paraId="6161D08D">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rPr>
      </w:pPr>
      <w:r>
        <w:rPr>
          <w:rFonts w:hint="eastAsia" w:ascii="宋体" w:hAnsi="宋体" w:eastAsia="宋体" w:cs="宋体"/>
          <w:color w:val="auto"/>
        </w:rPr>
        <w:t>项目编号：</w:t>
      </w:r>
    </w:p>
    <w:p w14:paraId="6E8AC907">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rPr>
        <w:t xml:space="preserve">项目名称：                                    </w:t>
      </w:r>
      <w:r>
        <w:rPr>
          <w:rFonts w:hint="eastAsia" w:ascii="宋体" w:hAnsi="宋体" w:eastAsia="宋体" w:cs="宋体"/>
          <w:color w:val="auto"/>
          <w:lang w:val="en-US" w:eastAsia="zh-CN"/>
        </w:rPr>
        <w:t xml:space="preserve">    </w:t>
      </w:r>
    </w:p>
    <w:p w14:paraId="33DA6EB5">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720" w:firstLineChars="2800"/>
        <w:textAlignment w:val="auto"/>
        <w:rPr>
          <w:rFonts w:hint="eastAsia" w:ascii="宋体" w:hAnsi="宋体" w:eastAsia="宋体" w:cs="宋体"/>
          <w:color w:val="auto"/>
          <w:sz w:val="24"/>
          <w:szCs w:val="24"/>
        </w:rPr>
      </w:pPr>
      <w:r>
        <w:rPr>
          <w:rFonts w:hint="eastAsia" w:ascii="宋体" w:hAnsi="宋体" w:eastAsia="宋体" w:cs="宋体"/>
          <w:color w:val="auto"/>
        </w:rPr>
        <w:t xml:space="preserve"> 单位：元（人民币）</w:t>
      </w:r>
    </w:p>
    <w:tbl>
      <w:tblPr>
        <w:tblStyle w:val="34"/>
        <w:tblW w:w="10110" w:type="dxa"/>
        <w:jc w:val="center"/>
        <w:tblLayout w:type="fixed"/>
        <w:tblCellMar>
          <w:top w:w="0" w:type="dxa"/>
          <w:left w:w="108" w:type="dxa"/>
          <w:bottom w:w="0" w:type="dxa"/>
          <w:right w:w="108" w:type="dxa"/>
        </w:tblCellMar>
      </w:tblPr>
      <w:tblGrid>
        <w:gridCol w:w="1198"/>
        <w:gridCol w:w="2553"/>
        <w:gridCol w:w="3874"/>
        <w:gridCol w:w="1341"/>
        <w:gridCol w:w="1144"/>
      </w:tblGrid>
      <w:tr w14:paraId="0951D21F">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vAlign w:val="center"/>
          </w:tcPr>
          <w:p w14:paraId="5FB649FC">
            <w:pPr>
              <w:autoSpaceDE w:val="0"/>
              <w:autoSpaceDN w:val="0"/>
              <w:adjustRightInd w:val="0"/>
              <w:spacing w:line="360" w:lineRule="auto"/>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14:paraId="3D3137B3">
            <w:pPr>
              <w:autoSpaceDE w:val="0"/>
              <w:autoSpaceDN w:val="0"/>
              <w:adjustRightInd w:val="0"/>
              <w:spacing w:line="360" w:lineRule="auto"/>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14:paraId="720B0897">
            <w:pPr>
              <w:autoSpaceDE w:val="0"/>
              <w:autoSpaceDN w:val="0"/>
              <w:adjustRightInd w:val="0"/>
              <w:spacing w:line="360" w:lineRule="auto"/>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14:paraId="241361C0">
            <w:pPr>
              <w:autoSpaceDE w:val="0"/>
              <w:autoSpaceDN w:val="0"/>
              <w:adjustRightInd w:val="0"/>
              <w:spacing w:line="360" w:lineRule="auto"/>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工期</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14:paraId="14B67D93">
            <w:pPr>
              <w:autoSpaceDE w:val="0"/>
              <w:autoSpaceDN w:val="0"/>
              <w:adjustRightInd w:val="0"/>
              <w:spacing w:line="360" w:lineRule="auto"/>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备注</w:t>
            </w:r>
          </w:p>
        </w:tc>
      </w:tr>
      <w:tr w14:paraId="5BB747C2">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65F6AA15">
            <w:pPr>
              <w:autoSpaceDE w:val="0"/>
              <w:autoSpaceDN w:val="0"/>
              <w:adjustRightInd w:val="0"/>
              <w:spacing w:line="360" w:lineRule="auto"/>
              <w:ind w:firstLine="240"/>
              <w:rPr>
                <w:rFonts w:hint="eastAsia" w:ascii="宋体" w:hAnsi="宋体" w:eastAsia="宋体" w:cs="宋体"/>
                <w:color w:val="auto"/>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14:paraId="3915ED72">
            <w:pPr>
              <w:autoSpaceDE w:val="0"/>
              <w:autoSpaceDN w:val="0"/>
              <w:adjustRightInd w:val="0"/>
              <w:spacing w:line="360" w:lineRule="auto"/>
              <w:ind w:firstLine="240"/>
              <w:rPr>
                <w:rFonts w:hint="eastAsia" w:ascii="宋体" w:hAnsi="宋体" w:eastAsia="宋体" w:cs="宋体"/>
                <w:color w:val="auto"/>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71278BB9">
            <w:pPr>
              <w:autoSpaceDE w:val="0"/>
              <w:autoSpaceDN w:val="0"/>
              <w:adjustRightInd w:val="0"/>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大写：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14:paraId="35846E4D">
            <w:pPr>
              <w:autoSpaceDE w:val="0"/>
              <w:autoSpaceDN w:val="0"/>
              <w:adjustRightInd w:val="0"/>
              <w:spacing w:line="360" w:lineRule="auto"/>
              <w:ind w:firstLine="240"/>
              <w:rPr>
                <w:rFonts w:hint="eastAsia" w:ascii="宋体" w:hAnsi="宋体" w:eastAsia="宋体" w:cs="宋体"/>
                <w:color w:val="auto"/>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41C4F66B">
            <w:pPr>
              <w:autoSpaceDE w:val="0"/>
              <w:autoSpaceDN w:val="0"/>
              <w:adjustRightInd w:val="0"/>
              <w:spacing w:line="360" w:lineRule="auto"/>
              <w:ind w:firstLine="240"/>
              <w:rPr>
                <w:rFonts w:hint="eastAsia" w:ascii="宋体" w:hAnsi="宋体" w:eastAsia="宋体" w:cs="宋体"/>
                <w:color w:val="auto"/>
                <w:sz w:val="24"/>
                <w:szCs w:val="24"/>
                <w:lang w:val="zh-CN"/>
              </w:rPr>
            </w:pPr>
          </w:p>
        </w:tc>
      </w:tr>
      <w:tr w14:paraId="2E00180C">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6A866F73">
            <w:pPr>
              <w:autoSpaceDE w:val="0"/>
              <w:autoSpaceDN w:val="0"/>
              <w:adjustRightInd w:val="0"/>
              <w:spacing w:line="360" w:lineRule="auto"/>
              <w:ind w:firstLine="240"/>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14:paraId="479C5754">
            <w:pPr>
              <w:autoSpaceDE w:val="0"/>
              <w:autoSpaceDN w:val="0"/>
              <w:adjustRightInd w:val="0"/>
              <w:spacing w:line="360" w:lineRule="auto"/>
              <w:ind w:firstLine="240"/>
              <w:rPr>
                <w:rFonts w:hint="eastAsia" w:ascii="宋体" w:hAnsi="宋体" w:eastAsia="宋体" w:cs="宋体"/>
                <w:color w:val="auto"/>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20497E80">
            <w:pPr>
              <w:autoSpaceDE w:val="0"/>
              <w:autoSpaceDN w:val="0"/>
              <w:adjustRightInd w:val="0"/>
              <w:spacing w:line="360" w:lineRule="auto"/>
              <w:rPr>
                <w:rFonts w:hint="eastAsia" w:ascii="宋体" w:hAnsi="宋体" w:eastAsia="宋体" w:cs="宋体"/>
                <w:color w:val="auto"/>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14:paraId="2AA402D3">
            <w:pPr>
              <w:autoSpaceDE w:val="0"/>
              <w:autoSpaceDN w:val="0"/>
              <w:adjustRightInd w:val="0"/>
              <w:spacing w:line="360" w:lineRule="auto"/>
              <w:ind w:firstLine="240"/>
              <w:rPr>
                <w:rFonts w:hint="eastAsia" w:ascii="宋体" w:hAnsi="宋体" w:eastAsia="宋体" w:cs="宋体"/>
                <w:color w:val="auto"/>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1C424EC4">
            <w:pPr>
              <w:autoSpaceDE w:val="0"/>
              <w:autoSpaceDN w:val="0"/>
              <w:adjustRightInd w:val="0"/>
              <w:spacing w:line="360" w:lineRule="auto"/>
              <w:ind w:firstLine="240"/>
              <w:rPr>
                <w:rFonts w:hint="eastAsia" w:ascii="宋体" w:hAnsi="宋体" w:eastAsia="宋体" w:cs="宋体"/>
                <w:color w:val="auto"/>
                <w:sz w:val="24"/>
                <w:szCs w:val="24"/>
                <w:lang w:val="zh-CN"/>
              </w:rPr>
            </w:pPr>
          </w:p>
        </w:tc>
      </w:tr>
    </w:tbl>
    <w:p w14:paraId="7E28BB24">
      <w:pPr>
        <w:pStyle w:val="15"/>
        <w:spacing w:before="207" w:line="549" w:lineRule="auto"/>
        <w:ind w:left="123"/>
        <w:rPr>
          <w:rFonts w:hint="eastAsia" w:ascii="宋体" w:hAnsi="宋体" w:eastAsia="宋体" w:cs="宋体"/>
          <w:color w:val="auto"/>
          <w:sz w:val="21"/>
          <w:szCs w:val="21"/>
        </w:rPr>
      </w:pPr>
      <w:r>
        <w:rPr>
          <w:rFonts w:hint="eastAsia" w:ascii="宋体" w:hAnsi="宋体" w:eastAsia="宋体" w:cs="宋体"/>
          <w:color w:val="auto"/>
          <w:spacing w:val="-20"/>
          <w:sz w:val="21"/>
          <w:szCs w:val="21"/>
        </w:rPr>
        <w:t>供应商名称</w:t>
      </w:r>
      <w:r>
        <w:rPr>
          <w:rFonts w:hint="eastAsia" w:ascii="宋体" w:hAnsi="宋体" w:eastAsia="宋体" w:cs="宋体"/>
          <w:color w:val="auto"/>
          <w:spacing w:val="-10"/>
          <w:sz w:val="21"/>
          <w:szCs w:val="21"/>
        </w:rPr>
        <w:t>：</w:t>
      </w:r>
      <w:r>
        <w:rPr>
          <w:rFonts w:hint="eastAsia" w:ascii="宋体" w:hAnsi="宋体" w:eastAsia="宋体" w:cs="宋体"/>
          <w:color w:val="auto"/>
          <w:spacing w:val="11"/>
          <w:sz w:val="21"/>
          <w:szCs w:val="21"/>
          <w:u w:val="single" w:color="auto"/>
        </w:rPr>
        <w:t xml:space="preserve">     </w:t>
      </w:r>
      <w:r>
        <w:rPr>
          <w:rFonts w:hint="eastAsia" w:ascii="宋体" w:hAnsi="宋体" w:eastAsia="宋体" w:cs="宋体"/>
          <w:color w:val="auto"/>
          <w:spacing w:val="-10"/>
          <w:sz w:val="21"/>
          <w:szCs w:val="21"/>
          <w:u w:val="single" w:color="auto"/>
        </w:rPr>
        <w:t>（</w:t>
      </w:r>
      <w:r>
        <w:rPr>
          <w:rFonts w:hint="eastAsia" w:ascii="宋体" w:hAnsi="宋体" w:eastAsia="宋体" w:cs="宋体"/>
          <w:color w:val="auto"/>
          <w:spacing w:val="-20"/>
          <w:sz w:val="21"/>
          <w:szCs w:val="21"/>
          <w:u w:val="single" w:color="auto"/>
        </w:rPr>
        <w:t>全称</w:t>
      </w:r>
      <w:r>
        <w:rPr>
          <w:rFonts w:hint="eastAsia" w:ascii="宋体" w:hAnsi="宋体" w:eastAsia="宋体" w:cs="宋体"/>
          <w:color w:val="auto"/>
          <w:spacing w:val="-10"/>
          <w:sz w:val="21"/>
          <w:szCs w:val="21"/>
          <w:u w:val="single" w:color="auto"/>
        </w:rPr>
        <w:t>）</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49"/>
          <w:sz w:val="21"/>
          <w:szCs w:val="21"/>
        </w:rPr>
        <w:t xml:space="preserve"> </w:t>
      </w:r>
      <w:r>
        <w:rPr>
          <w:rFonts w:hint="eastAsia" w:ascii="宋体" w:hAnsi="宋体" w:eastAsia="宋体" w:cs="宋体"/>
          <w:color w:val="auto"/>
          <w:spacing w:val="-10"/>
          <w:sz w:val="21"/>
          <w:szCs w:val="21"/>
        </w:rPr>
        <w:t>（</w:t>
      </w:r>
      <w:r>
        <w:rPr>
          <w:rFonts w:hint="eastAsia" w:ascii="宋体" w:hAnsi="宋体" w:eastAsia="宋体" w:cs="宋体"/>
          <w:color w:val="auto"/>
          <w:spacing w:val="-20"/>
          <w:sz w:val="21"/>
          <w:szCs w:val="21"/>
        </w:rPr>
        <w:t>公章</w:t>
      </w:r>
      <w:r>
        <w:rPr>
          <w:rFonts w:hint="eastAsia" w:ascii="宋体" w:hAnsi="宋体" w:eastAsia="宋体" w:cs="宋体"/>
          <w:color w:val="auto"/>
          <w:spacing w:val="-10"/>
          <w:sz w:val="21"/>
          <w:szCs w:val="21"/>
        </w:rPr>
        <w:t>）：</w:t>
      </w:r>
    </w:p>
    <w:p w14:paraId="5B036ABB">
      <w:pPr>
        <w:pStyle w:val="15"/>
        <w:spacing w:before="1" w:line="220" w:lineRule="auto"/>
        <w:ind w:left="159"/>
        <w:rPr>
          <w:rFonts w:hint="eastAsia" w:ascii="宋体" w:hAnsi="宋体" w:eastAsia="宋体" w:cs="宋体"/>
          <w:color w:val="auto"/>
          <w:sz w:val="21"/>
          <w:szCs w:val="21"/>
        </w:rPr>
      </w:pPr>
      <w:r>
        <w:rPr>
          <w:rFonts w:hint="eastAsia" w:ascii="宋体" w:hAnsi="宋体" w:eastAsia="宋体" w:cs="宋体"/>
          <w:color w:val="auto"/>
          <w:spacing w:val="-21"/>
          <w:sz w:val="21"/>
          <w:szCs w:val="21"/>
        </w:rPr>
        <w:t>日期： 年月日</w:t>
      </w:r>
    </w:p>
    <w:p w14:paraId="2E237A4F">
      <w:pPr>
        <w:spacing w:line="302" w:lineRule="auto"/>
        <w:rPr>
          <w:rFonts w:hint="eastAsia" w:ascii="宋体" w:hAnsi="宋体" w:eastAsia="宋体" w:cs="宋体"/>
          <w:color w:val="auto"/>
          <w:sz w:val="21"/>
        </w:rPr>
      </w:pPr>
    </w:p>
    <w:p w14:paraId="53428FAA">
      <w:pPr>
        <w:pStyle w:val="15"/>
        <w:spacing w:before="68" w:line="221" w:lineRule="auto"/>
        <w:ind w:left="125"/>
        <w:rPr>
          <w:rFonts w:hint="eastAsia" w:ascii="宋体" w:hAnsi="宋体" w:eastAsia="宋体" w:cs="宋体"/>
          <w:color w:val="auto"/>
          <w:sz w:val="21"/>
          <w:szCs w:val="21"/>
        </w:rPr>
      </w:pPr>
      <w:r>
        <w:rPr>
          <w:rFonts w:hint="eastAsia" w:ascii="宋体" w:hAnsi="宋体" w:eastAsia="宋体" w:cs="宋体"/>
          <w:color w:val="auto"/>
          <w:spacing w:val="-1"/>
          <w:sz w:val="21"/>
          <w:szCs w:val="21"/>
        </w:rPr>
        <w:t>参加磋商的法定代表人或授权代表</w:t>
      </w:r>
    </w:p>
    <w:p w14:paraId="43EE5406">
      <w:pPr>
        <w:spacing w:line="303" w:lineRule="auto"/>
        <w:rPr>
          <w:rFonts w:hint="eastAsia" w:ascii="宋体" w:hAnsi="宋体" w:eastAsia="宋体" w:cs="宋体"/>
          <w:color w:val="auto"/>
          <w:sz w:val="21"/>
        </w:rPr>
      </w:pPr>
    </w:p>
    <w:p w14:paraId="1556E6B5">
      <w:pPr>
        <w:pStyle w:val="15"/>
        <w:spacing w:before="69" w:line="220" w:lineRule="auto"/>
        <w:ind w:left="123"/>
        <w:rPr>
          <w:rFonts w:hint="eastAsia" w:ascii="宋体" w:hAnsi="宋体" w:eastAsia="宋体" w:cs="宋体"/>
          <w:color w:val="auto"/>
          <w:sz w:val="21"/>
          <w:szCs w:val="21"/>
        </w:rPr>
      </w:pPr>
      <w:r>
        <w:rPr>
          <w:rFonts w:hint="eastAsia" w:ascii="宋体" w:hAnsi="宋体" w:eastAsia="宋体" w:cs="宋体"/>
          <w:color w:val="auto"/>
          <w:spacing w:val="-11"/>
          <w:sz w:val="21"/>
          <w:szCs w:val="21"/>
        </w:rPr>
        <w:t>姓名：                         联系电话（手机</w:t>
      </w:r>
      <w:r>
        <w:rPr>
          <w:rFonts w:hint="eastAsia" w:ascii="宋体" w:hAnsi="宋体" w:eastAsia="宋体" w:cs="宋体"/>
          <w:color w:val="auto"/>
          <w:spacing w:val="-28"/>
          <w:sz w:val="21"/>
          <w:szCs w:val="21"/>
        </w:rPr>
        <w:t>）：</w:t>
      </w:r>
    </w:p>
    <w:p w14:paraId="75F9681E">
      <w:pPr>
        <w:spacing w:line="303" w:lineRule="auto"/>
        <w:rPr>
          <w:rFonts w:hint="eastAsia" w:ascii="宋体" w:hAnsi="宋体" w:eastAsia="宋体" w:cs="宋体"/>
          <w:color w:val="auto"/>
          <w:sz w:val="21"/>
        </w:rPr>
      </w:pPr>
    </w:p>
    <w:p w14:paraId="6EC75EE1">
      <w:pPr>
        <w:pStyle w:val="15"/>
        <w:spacing w:before="68" w:line="221" w:lineRule="auto"/>
        <w:ind w:left="123"/>
        <w:rPr>
          <w:rFonts w:hint="eastAsia" w:ascii="宋体" w:hAnsi="宋体" w:eastAsia="宋体" w:cs="宋体"/>
          <w:color w:val="auto"/>
          <w:sz w:val="21"/>
          <w:szCs w:val="21"/>
        </w:rPr>
      </w:pPr>
      <w:r>
        <w:rPr>
          <w:rFonts w:hint="eastAsia" w:ascii="宋体" w:hAnsi="宋体" w:eastAsia="宋体" w:cs="宋体"/>
          <w:color w:val="auto"/>
          <w:spacing w:val="-9"/>
          <w:sz w:val="21"/>
          <w:szCs w:val="21"/>
        </w:rPr>
        <w:t>注： 1、交付日期指完成该项目的最终时间（日历天）。</w:t>
      </w:r>
    </w:p>
    <w:p w14:paraId="0CC87397">
      <w:pPr>
        <w:spacing w:line="302" w:lineRule="auto"/>
        <w:rPr>
          <w:rFonts w:hint="eastAsia" w:ascii="宋体" w:hAnsi="宋体" w:eastAsia="宋体" w:cs="宋体"/>
          <w:color w:val="auto"/>
          <w:sz w:val="21"/>
        </w:rPr>
      </w:pPr>
    </w:p>
    <w:p w14:paraId="27A586B7">
      <w:pPr>
        <w:autoSpaceDE w:val="0"/>
        <w:autoSpaceDN w:val="0"/>
        <w:adjustRightInd w:val="0"/>
        <w:spacing w:line="360" w:lineRule="auto"/>
        <w:rPr>
          <w:rFonts w:hint="eastAsia" w:ascii="宋体" w:hAnsi="宋体" w:eastAsia="宋体" w:cs="宋体"/>
          <w:color w:val="auto"/>
          <w:sz w:val="24"/>
          <w:lang w:val="zh-CN"/>
        </w:rPr>
      </w:pPr>
      <w:r>
        <w:rPr>
          <w:rFonts w:hint="eastAsia" w:ascii="宋体" w:hAnsi="宋体" w:eastAsia="宋体" w:cs="宋体"/>
          <w:color w:val="auto"/>
          <w:spacing w:val="-3"/>
          <w:sz w:val="21"/>
          <w:szCs w:val="21"/>
        </w:rPr>
        <w:t>2、如采购公告明确项目交付日期以年为单位，</w:t>
      </w:r>
      <w:r>
        <w:rPr>
          <w:rFonts w:hint="eastAsia" w:ascii="宋体" w:hAnsi="宋体" w:eastAsia="宋体" w:cs="宋体"/>
          <w:color w:val="auto"/>
          <w:spacing w:val="-7"/>
          <w:sz w:val="21"/>
          <w:szCs w:val="21"/>
        </w:rPr>
        <w:t xml:space="preserve"> </w:t>
      </w:r>
      <w:r>
        <w:rPr>
          <w:rFonts w:hint="eastAsia" w:ascii="宋体" w:hAnsi="宋体" w:eastAsia="宋体" w:cs="宋体"/>
          <w:color w:val="auto"/>
          <w:spacing w:val="-3"/>
          <w:sz w:val="21"/>
          <w:szCs w:val="21"/>
        </w:rPr>
        <w:t>本表应填写完成该项目的年限。</w:t>
      </w:r>
    </w:p>
    <w:p w14:paraId="7141D4E4">
      <w:pPr>
        <w:autoSpaceDE w:val="0"/>
        <w:autoSpaceDN w:val="0"/>
        <w:adjustRightInd w:val="0"/>
        <w:spacing w:line="360" w:lineRule="auto"/>
        <w:rPr>
          <w:rFonts w:hint="eastAsia" w:ascii="宋体" w:hAnsi="宋体" w:eastAsia="宋体" w:cs="宋体"/>
          <w:color w:val="auto"/>
          <w:sz w:val="24"/>
          <w:lang w:val="zh-CN"/>
        </w:rPr>
      </w:pPr>
    </w:p>
    <w:p w14:paraId="79CC32CA">
      <w:pPr>
        <w:widowControl/>
        <w:jc w:val="left"/>
        <w:rPr>
          <w:rFonts w:hint="eastAsia" w:ascii="宋体" w:hAnsi="宋体" w:eastAsia="宋体" w:cs="宋体"/>
          <w:color w:val="auto"/>
          <w:sz w:val="24"/>
          <w:lang w:val="zh-CN"/>
        </w:rPr>
      </w:pPr>
      <w:r>
        <w:rPr>
          <w:rFonts w:hint="eastAsia" w:ascii="宋体" w:hAnsi="宋体" w:eastAsia="宋体" w:cs="宋体"/>
          <w:color w:val="auto"/>
          <w:sz w:val="24"/>
          <w:lang w:val="zh-CN"/>
        </w:rPr>
        <w:br w:type="page"/>
      </w:r>
    </w:p>
    <w:p w14:paraId="5CBFC2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8"/>
          <w:szCs w:val="28"/>
          <w:lang w:val="en-US" w:eastAsia="zh-CN"/>
        </w:rPr>
      </w:pPr>
      <w:r>
        <w:rPr>
          <w:rFonts w:hint="eastAsia"/>
          <w:b/>
          <w:bCs/>
          <w:sz w:val="28"/>
          <w:szCs w:val="28"/>
          <w:lang w:val="en-US" w:eastAsia="zh-CN"/>
        </w:rPr>
        <w:t>四、资格审查证明材料</w:t>
      </w:r>
    </w:p>
    <w:p w14:paraId="6E39C1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 xml:space="preserve">4.1 </w:t>
      </w:r>
      <w:r>
        <w:rPr>
          <w:rFonts w:hint="eastAsia" w:ascii="宋体" w:hAnsi="宋体" w:eastAsia="宋体" w:cs="宋体"/>
          <w:b/>
          <w:bCs/>
          <w:sz w:val="24"/>
          <w:szCs w:val="24"/>
          <w:lang w:val="en-US" w:eastAsia="zh-CN"/>
        </w:rPr>
        <w:t>投标函</w:t>
      </w:r>
    </w:p>
    <w:p w14:paraId="1732F68C">
      <w:pPr>
        <w:keepNext w:val="0"/>
        <w:keepLines w:val="0"/>
        <w:pageBreakBefore w:val="0"/>
        <w:kinsoku/>
        <w:wordWrap/>
        <w:topLinePunct w:val="0"/>
        <w:bidi w:val="0"/>
        <w:adjustRightInd w:val="0"/>
        <w:snapToGrid w:val="0"/>
        <w:spacing w:beforeAutospacing="0" w:afterAutospacing="0" w:line="360" w:lineRule="auto"/>
        <w:contextualSpacing/>
        <w:rPr>
          <w:rFonts w:hint="default" w:ascii="宋体" w:hAnsi="宋体" w:eastAsia="宋体" w:cs="宋体"/>
          <w:b/>
          <w:snapToGrid w:val="0"/>
          <w:color w:val="auto"/>
          <w:kern w:val="0"/>
          <w:sz w:val="24"/>
          <w:szCs w:val="24"/>
          <w:u w:val="single"/>
          <w:lang w:val="en-US" w:eastAsia="zh-CN"/>
        </w:rPr>
      </w:pPr>
      <w:r>
        <w:rPr>
          <w:rFonts w:hint="eastAsia" w:ascii="宋体" w:hAnsi="宋体" w:eastAsia="宋体" w:cs="宋体"/>
          <w:snapToGrid w:val="0"/>
          <w:color w:val="auto"/>
          <w:kern w:val="0"/>
          <w:sz w:val="24"/>
          <w:szCs w:val="24"/>
        </w:rPr>
        <w:t>致：</w:t>
      </w:r>
      <w:r>
        <w:rPr>
          <w:rFonts w:hint="eastAsia" w:ascii="宋体" w:hAnsi="宋体" w:eastAsia="宋体" w:cs="宋体"/>
          <w:snapToGrid w:val="0"/>
          <w:color w:val="auto"/>
          <w:kern w:val="0"/>
          <w:sz w:val="24"/>
          <w:szCs w:val="24"/>
          <w:u w:val="single"/>
          <w:lang w:val="en-US" w:eastAsia="zh-CN"/>
        </w:rPr>
        <w:t xml:space="preserve">   </w:t>
      </w:r>
      <w:r>
        <w:rPr>
          <w:rFonts w:hint="eastAsia" w:ascii="宋体" w:hAnsi="宋体" w:eastAsia="宋体" w:cs="宋体"/>
          <w:b/>
          <w:snapToGrid w:val="0"/>
          <w:color w:val="auto"/>
          <w:kern w:val="0"/>
          <w:sz w:val="24"/>
          <w:szCs w:val="24"/>
          <w:u w:val="single"/>
        </w:rPr>
        <w:t>（采购人）</w:t>
      </w:r>
      <w:r>
        <w:rPr>
          <w:rFonts w:hint="eastAsia" w:ascii="宋体" w:hAnsi="宋体" w:eastAsia="宋体" w:cs="宋体"/>
          <w:b/>
          <w:snapToGrid w:val="0"/>
          <w:color w:val="auto"/>
          <w:kern w:val="0"/>
          <w:sz w:val="24"/>
          <w:szCs w:val="24"/>
          <w:u w:val="single"/>
          <w:lang w:val="en-US" w:eastAsia="zh-CN"/>
        </w:rPr>
        <w:t xml:space="preserve">   </w:t>
      </w:r>
    </w:p>
    <w:p w14:paraId="44CA0F82">
      <w:pPr>
        <w:keepNext w:val="0"/>
        <w:keepLines w:val="0"/>
        <w:pageBreakBefore w:val="0"/>
        <w:kinsoku/>
        <w:wordWrap/>
        <w:topLinePunct w:val="0"/>
        <w:bidi w:val="0"/>
        <w:adjustRightInd w:val="0"/>
        <w:snapToGrid w:val="0"/>
        <w:spacing w:beforeAutospacing="0" w:afterAutospacing="0" w:line="360" w:lineRule="auto"/>
        <w:ind w:firstLine="480" w:firstLineChars="200"/>
        <w:contextualSpacing/>
        <w:outlineLvl w:val="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根据贵方</w:t>
      </w:r>
      <w:r>
        <w:rPr>
          <w:rFonts w:hint="eastAsia" w:ascii="宋体" w:hAnsi="宋体" w:eastAsia="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（项目名称、招标编号）采购的</w:t>
      </w:r>
      <w:r>
        <w:rPr>
          <w:rFonts w:hint="eastAsia" w:ascii="宋体" w:hAnsi="宋体" w:eastAsia="宋体" w:cs="宋体"/>
          <w:snapToGrid w:val="0"/>
          <w:color w:val="auto"/>
          <w:kern w:val="0"/>
          <w:sz w:val="24"/>
          <w:szCs w:val="24"/>
          <w:lang w:eastAsia="zh-CN"/>
        </w:rPr>
        <w:t>采购</w:t>
      </w:r>
      <w:r>
        <w:rPr>
          <w:rFonts w:hint="eastAsia" w:ascii="宋体" w:hAnsi="宋体" w:eastAsia="宋体" w:cs="宋体"/>
          <w:snapToGrid w:val="0"/>
          <w:color w:val="auto"/>
          <w:kern w:val="0"/>
          <w:sz w:val="24"/>
          <w:szCs w:val="24"/>
        </w:rPr>
        <w:t>公告及</w:t>
      </w:r>
      <w:r>
        <w:rPr>
          <w:rFonts w:hint="eastAsia" w:ascii="宋体" w:hAnsi="宋体" w:eastAsia="宋体" w:cs="宋体"/>
          <w:snapToGrid w:val="0"/>
          <w:color w:val="auto"/>
          <w:kern w:val="0"/>
          <w:sz w:val="24"/>
          <w:szCs w:val="24"/>
          <w:lang w:eastAsia="zh-CN"/>
        </w:rPr>
        <w:t>磋商</w:t>
      </w:r>
      <w:r>
        <w:rPr>
          <w:rFonts w:hint="eastAsia" w:ascii="宋体" w:hAnsi="宋体" w:eastAsia="宋体" w:cs="宋体"/>
          <w:snapToGrid w:val="0"/>
          <w:color w:val="auto"/>
          <w:kern w:val="0"/>
          <w:sz w:val="24"/>
          <w:szCs w:val="24"/>
        </w:rPr>
        <w:t>邀请，</w:t>
      </w:r>
      <w:r>
        <w:rPr>
          <w:rFonts w:hint="eastAsia" w:ascii="宋体" w:hAnsi="宋体" w:eastAsia="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（姓名和职务）被正式授权并代表供应商</w:t>
      </w:r>
      <w:r>
        <w:rPr>
          <w:rFonts w:hint="eastAsia" w:ascii="宋体" w:hAnsi="宋体" w:eastAsia="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（供应商名称、地址）提交。</w:t>
      </w:r>
    </w:p>
    <w:p w14:paraId="6BF68E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我方确认收到贵方提供的</w:t>
      </w:r>
      <w:r>
        <w:rPr>
          <w:rFonts w:hint="eastAsia" w:ascii="宋体" w:hAnsi="宋体" w:eastAsia="宋体" w:cs="宋体"/>
          <w:sz w:val="24"/>
          <w:szCs w:val="24"/>
          <w:u w:val="single"/>
          <w:lang w:val="en-US" w:eastAsia="zh-CN"/>
        </w:rPr>
        <w:t xml:space="preserve">         </w:t>
      </w:r>
      <w:r>
        <w:rPr>
          <w:rFonts w:hint="eastAsia"/>
          <w:sz w:val="24"/>
          <w:szCs w:val="24"/>
        </w:rPr>
        <w:t>（项目名称、招标编号）</w:t>
      </w:r>
      <w:r>
        <w:rPr>
          <w:rFonts w:hint="eastAsia"/>
          <w:sz w:val="24"/>
          <w:szCs w:val="24"/>
          <w:lang w:eastAsia="zh-CN"/>
        </w:rPr>
        <w:t>磋商</w:t>
      </w:r>
      <w:r>
        <w:rPr>
          <w:rFonts w:hint="eastAsia"/>
          <w:sz w:val="24"/>
          <w:szCs w:val="24"/>
        </w:rPr>
        <w:t>文件的全部内容。</w:t>
      </w:r>
    </w:p>
    <w:p w14:paraId="2508B4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我方在参与投标前已详细研究了</w:t>
      </w:r>
      <w:r>
        <w:rPr>
          <w:rFonts w:hint="eastAsia"/>
          <w:sz w:val="24"/>
          <w:szCs w:val="24"/>
          <w:lang w:eastAsia="zh-CN"/>
        </w:rPr>
        <w:t>磋商</w:t>
      </w:r>
      <w:r>
        <w:rPr>
          <w:rFonts w:hint="eastAsia"/>
          <w:sz w:val="24"/>
          <w:szCs w:val="24"/>
        </w:rPr>
        <w:t>文件的所有内容，包括澄清、修改文件（如果有）和所有已提供的参考资料以及有关附件，我方完全明白并认为此</w:t>
      </w:r>
      <w:r>
        <w:rPr>
          <w:rFonts w:hint="eastAsia"/>
          <w:sz w:val="24"/>
          <w:szCs w:val="24"/>
          <w:lang w:eastAsia="zh-CN"/>
        </w:rPr>
        <w:t>磋商</w:t>
      </w:r>
      <w:r>
        <w:rPr>
          <w:rFonts w:hint="eastAsia"/>
          <w:sz w:val="24"/>
          <w:szCs w:val="24"/>
        </w:rPr>
        <w:t>文件没有倾向性，也不存在排斥潜在投标供应商的内容，我方同意</w:t>
      </w:r>
      <w:r>
        <w:rPr>
          <w:rFonts w:hint="eastAsia"/>
          <w:sz w:val="24"/>
          <w:szCs w:val="24"/>
          <w:lang w:eastAsia="zh-CN"/>
        </w:rPr>
        <w:t>磋商</w:t>
      </w:r>
      <w:r>
        <w:rPr>
          <w:rFonts w:hint="eastAsia"/>
          <w:sz w:val="24"/>
          <w:szCs w:val="24"/>
        </w:rPr>
        <w:t>文件的相关条款和已完全理解并接受</w:t>
      </w:r>
      <w:r>
        <w:rPr>
          <w:rFonts w:hint="eastAsia"/>
          <w:sz w:val="24"/>
          <w:szCs w:val="24"/>
          <w:lang w:eastAsia="zh-CN"/>
        </w:rPr>
        <w:t>磋商</w:t>
      </w:r>
      <w:r>
        <w:rPr>
          <w:rFonts w:hint="eastAsia"/>
          <w:sz w:val="24"/>
          <w:szCs w:val="24"/>
        </w:rPr>
        <w:t>文件的各项规定和要求及资金支付规定，对</w:t>
      </w:r>
      <w:r>
        <w:rPr>
          <w:rFonts w:hint="eastAsia"/>
          <w:sz w:val="24"/>
          <w:szCs w:val="24"/>
          <w:lang w:eastAsia="zh-CN"/>
        </w:rPr>
        <w:t>磋商</w:t>
      </w:r>
      <w:r>
        <w:rPr>
          <w:rFonts w:hint="eastAsia"/>
          <w:sz w:val="24"/>
          <w:szCs w:val="24"/>
        </w:rPr>
        <w:t>文件的合理性、合法性不再有异议，并承诺在发生争议时不会以对</w:t>
      </w:r>
      <w:r>
        <w:rPr>
          <w:rFonts w:hint="eastAsia"/>
          <w:sz w:val="24"/>
          <w:szCs w:val="24"/>
          <w:lang w:eastAsia="zh-CN"/>
        </w:rPr>
        <w:t>磋商</w:t>
      </w:r>
      <w:r>
        <w:rPr>
          <w:rFonts w:hint="eastAsia"/>
          <w:sz w:val="24"/>
          <w:szCs w:val="24"/>
        </w:rPr>
        <w:t>文件存在误解、不明白的条款为由，对贵中心行使任何法律上的抗辩权。</w:t>
      </w:r>
    </w:p>
    <w:p w14:paraId="4F781412">
      <w:pPr>
        <w:keepNext w:val="0"/>
        <w:keepLines w:val="0"/>
        <w:pageBreakBefore w:val="0"/>
        <w:kinsoku/>
        <w:wordWrap/>
        <w:topLinePunct w:val="0"/>
        <w:bidi w:val="0"/>
        <w:adjustRightInd w:val="0"/>
        <w:snapToGrid w:val="0"/>
        <w:spacing w:beforeAutospacing="0" w:afterAutospacing="0"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我方已完全明白</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文件的所有条款要求，并申明如下：</w:t>
      </w:r>
    </w:p>
    <w:p w14:paraId="15FEC5EC">
      <w:pPr>
        <w:keepNext w:val="0"/>
        <w:keepLines w:val="0"/>
        <w:pageBreakBefore w:val="0"/>
        <w:kinsoku/>
        <w:wordWrap/>
        <w:topLinePunct w:val="0"/>
        <w:bidi w:val="0"/>
        <w:adjustRightInd w:val="0"/>
        <w:snapToGrid w:val="0"/>
        <w:spacing w:beforeAutospacing="0" w:afterAutospacing="0" w:line="360" w:lineRule="auto"/>
        <w:ind w:firstLine="480" w:firstLineChars="200"/>
        <w:contextualSpacing/>
        <w:rPr>
          <w:rFonts w:hint="eastAsia" w:ascii="宋体" w:hAnsi="宋体" w:eastAsia="宋体" w:cs="宋体"/>
          <w:color w:val="auto"/>
          <w:sz w:val="24"/>
          <w:szCs w:val="24"/>
          <w:u w:val="none"/>
        </w:rPr>
      </w:pPr>
      <w:r>
        <w:rPr>
          <w:rFonts w:hint="eastAsia" w:ascii="宋体" w:hAnsi="宋体" w:eastAsia="宋体" w:cs="宋体"/>
          <w:color w:val="auto"/>
          <w:sz w:val="24"/>
          <w:szCs w:val="24"/>
        </w:rPr>
        <w:t>一、按</w:t>
      </w:r>
      <w:r>
        <w:rPr>
          <w:rFonts w:hint="eastAsia" w:ascii="宋体" w:hAnsi="宋体" w:eastAsia="宋体" w:cs="宋体"/>
          <w:sz w:val="24"/>
        </w:rPr>
        <w:t>按磋商文件提供的全部货物与相关服务的投标总价详见《磋商一览表》</w:t>
      </w:r>
      <w:r>
        <w:rPr>
          <w:rFonts w:hint="eastAsia" w:ascii="宋体" w:hAnsi="宋体" w:eastAsia="宋体" w:cs="宋体"/>
          <w:snapToGrid w:val="0"/>
          <w:color w:val="auto"/>
          <w:kern w:val="0"/>
          <w:sz w:val="24"/>
          <w:szCs w:val="24"/>
          <w:u w:val="none"/>
          <w:lang w:val="en-US" w:eastAsia="zh-CN"/>
        </w:rPr>
        <w:t>。</w:t>
      </w:r>
    </w:p>
    <w:p w14:paraId="69A30B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二、本</w:t>
      </w:r>
      <w:r>
        <w:rPr>
          <w:rFonts w:hint="eastAsia"/>
          <w:sz w:val="24"/>
          <w:szCs w:val="24"/>
          <w:lang w:eastAsia="zh-CN"/>
        </w:rPr>
        <w:t>磋商</w:t>
      </w:r>
      <w:r>
        <w:rPr>
          <w:rFonts w:hint="eastAsia"/>
          <w:sz w:val="24"/>
          <w:szCs w:val="24"/>
        </w:rPr>
        <w:t>文件的有效期为</w:t>
      </w:r>
      <w:r>
        <w:rPr>
          <w:rFonts w:hint="eastAsia"/>
          <w:sz w:val="24"/>
          <w:szCs w:val="24"/>
          <w:lang w:eastAsia="zh-CN"/>
        </w:rPr>
        <w:t>磋商</w:t>
      </w:r>
      <w:r>
        <w:rPr>
          <w:rFonts w:hint="eastAsia"/>
          <w:sz w:val="24"/>
          <w:szCs w:val="24"/>
        </w:rPr>
        <w:t>响应截止时间起</w:t>
      </w:r>
      <w:r>
        <w:rPr>
          <w:rFonts w:hint="eastAsia"/>
          <w:sz w:val="24"/>
          <w:szCs w:val="24"/>
          <w:lang w:val="en-US" w:eastAsia="zh-CN"/>
        </w:rPr>
        <w:t>60</w:t>
      </w:r>
      <w:r>
        <w:rPr>
          <w:rFonts w:hint="eastAsia"/>
          <w:sz w:val="24"/>
          <w:szCs w:val="24"/>
        </w:rPr>
        <w:t>天。如成交，有效期将延至供货终止日为止。在此提交的资格证明文件均至响应文件有效期截止日有效，如有在有效期内失效的，我方承诺在成交后补齐一切手续，保证所有资格证明文件能在签订采购合同时直至采购合同终止日有效。</w:t>
      </w:r>
    </w:p>
    <w:p w14:paraId="2D88EE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三、我方明白并同意，在规定的</w:t>
      </w:r>
      <w:r>
        <w:rPr>
          <w:rFonts w:hint="eastAsia"/>
          <w:sz w:val="24"/>
          <w:szCs w:val="24"/>
          <w:lang w:eastAsia="zh-CN"/>
        </w:rPr>
        <w:t>磋商</w:t>
      </w:r>
      <w:r>
        <w:rPr>
          <w:rFonts w:hint="eastAsia"/>
          <w:sz w:val="24"/>
          <w:szCs w:val="24"/>
        </w:rPr>
        <w:t>时间截止之后，响应有效期之内撤销</w:t>
      </w:r>
      <w:r>
        <w:rPr>
          <w:rFonts w:hint="eastAsia"/>
          <w:sz w:val="24"/>
          <w:szCs w:val="24"/>
          <w:lang w:eastAsia="zh-CN"/>
        </w:rPr>
        <w:t>磋商</w:t>
      </w:r>
      <w:r>
        <w:rPr>
          <w:rFonts w:hint="eastAsia"/>
          <w:sz w:val="24"/>
          <w:szCs w:val="24"/>
        </w:rPr>
        <w:t>响应的，则我方承担违背投标承诺的责任追究。</w:t>
      </w:r>
    </w:p>
    <w:p w14:paraId="7EDA46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四、我方同意按照贵方可能提出的要求而提供与</w:t>
      </w:r>
      <w:r>
        <w:rPr>
          <w:rFonts w:hint="eastAsia"/>
          <w:sz w:val="24"/>
          <w:szCs w:val="24"/>
          <w:lang w:eastAsia="zh-CN"/>
        </w:rPr>
        <w:t>磋商</w:t>
      </w:r>
      <w:r>
        <w:rPr>
          <w:rFonts w:hint="eastAsia"/>
          <w:sz w:val="24"/>
          <w:szCs w:val="24"/>
        </w:rPr>
        <w:t>响应有关的任何</w:t>
      </w:r>
      <w:r>
        <w:rPr>
          <w:rFonts w:hint="eastAsia"/>
          <w:sz w:val="24"/>
          <w:szCs w:val="24"/>
          <w:lang w:eastAsia="zh-CN"/>
        </w:rPr>
        <w:t>其他数据</w:t>
      </w:r>
      <w:r>
        <w:rPr>
          <w:rFonts w:hint="eastAsia"/>
          <w:sz w:val="24"/>
          <w:szCs w:val="24"/>
        </w:rPr>
        <w:t>、信息或资料。</w:t>
      </w:r>
    </w:p>
    <w:p w14:paraId="206E32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五、我方理解贵方不一定接受最低响应价或任何贵方可能收到的</w:t>
      </w:r>
      <w:r>
        <w:rPr>
          <w:rFonts w:hint="eastAsia"/>
          <w:sz w:val="24"/>
          <w:szCs w:val="24"/>
          <w:lang w:eastAsia="zh-CN"/>
        </w:rPr>
        <w:t>磋商</w:t>
      </w:r>
      <w:r>
        <w:rPr>
          <w:rFonts w:hint="eastAsia"/>
          <w:sz w:val="24"/>
          <w:szCs w:val="24"/>
        </w:rPr>
        <w:t>响应。</w:t>
      </w:r>
    </w:p>
    <w:p w14:paraId="2A528B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六、我方如果成交，将保证履行</w:t>
      </w:r>
      <w:r>
        <w:rPr>
          <w:rFonts w:hint="eastAsia"/>
          <w:sz w:val="24"/>
          <w:szCs w:val="24"/>
          <w:lang w:eastAsia="zh-CN"/>
        </w:rPr>
        <w:t>磋商</w:t>
      </w:r>
      <w:r>
        <w:rPr>
          <w:rFonts w:hint="eastAsia"/>
          <w:sz w:val="24"/>
          <w:szCs w:val="24"/>
        </w:rPr>
        <w:t>文件及其澄清、修改文件（如果有）中的全部责任和义务，按质、按量、按期完成《采购需求》及《合同书》中的全部任务。</w:t>
      </w:r>
    </w:p>
    <w:p w14:paraId="4614CB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七、我方在此保证所提交的所有文件和全部说明是真实的和正确的。</w:t>
      </w:r>
    </w:p>
    <w:p w14:paraId="293929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八、我方响应报价已包含应向知识产权所有权人支付的所有相关税费，并保证采购人在中国使用我方提供的货物时，如有第三方提出侵犯其知识产权主张的，责任由我方承担。 </w:t>
      </w:r>
    </w:p>
    <w:p w14:paraId="49C731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九、我方具备《政府采购法》第二十二条规定的条件；承诺如下：</w:t>
      </w:r>
    </w:p>
    <w:p w14:paraId="2B38E3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1.具有独立承担民事责任能力的在中华人民共和国境内注册的法人或其他组织或自然人，有效的营业执照（或事业法人登记证或身份证等相关证明）。</w:t>
      </w:r>
    </w:p>
    <w:p w14:paraId="1BE138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2.我方已依法缴纳了各项税费及社会保险费用，如有需要，可随时向采购人提供近六个月内的相关缴费证明，以便核查。</w:t>
      </w:r>
    </w:p>
    <w:p w14:paraId="433257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3.我方已依法建立健全的财务会计制度，如有需要，可随时向采购人提供相关证明材料，以便核查。</w:t>
      </w:r>
    </w:p>
    <w:p w14:paraId="68AAE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4.参加政府采购活动前三年内，在经营活动中没有重大违法记录。</w:t>
      </w:r>
    </w:p>
    <w:p w14:paraId="22D8F7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5.符合法律、行政法规规定的其他条件。</w:t>
      </w:r>
    </w:p>
    <w:p w14:paraId="73EE52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以上内容如有虚假或与事实不符的，</w:t>
      </w:r>
      <w:r>
        <w:rPr>
          <w:rFonts w:hint="eastAsia"/>
          <w:sz w:val="24"/>
          <w:szCs w:val="24"/>
          <w:lang w:eastAsia="zh-CN"/>
        </w:rPr>
        <w:t>磋商</w:t>
      </w:r>
      <w:r>
        <w:rPr>
          <w:rFonts w:hint="eastAsia"/>
          <w:sz w:val="24"/>
          <w:szCs w:val="24"/>
        </w:rPr>
        <w:t>小组可将我方</w:t>
      </w:r>
      <w:r>
        <w:rPr>
          <w:rFonts w:hint="eastAsia"/>
          <w:sz w:val="24"/>
          <w:szCs w:val="24"/>
          <w:lang w:eastAsia="zh-CN"/>
        </w:rPr>
        <w:t>作</w:t>
      </w:r>
      <w:r>
        <w:rPr>
          <w:rFonts w:hint="eastAsia"/>
          <w:sz w:val="24"/>
          <w:szCs w:val="24"/>
        </w:rPr>
        <w:t>无效投标处理，我方愿意承担相应的法律责任。</w:t>
      </w:r>
    </w:p>
    <w:p w14:paraId="0F450F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十、我方具备履行合同所必需的设备和专业技术能力。</w:t>
      </w:r>
    </w:p>
    <w:p w14:paraId="666222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十一、我方对在本函及响应文件中所作的所有承诺承担法律责任。</w:t>
      </w:r>
    </w:p>
    <w:p w14:paraId="41D5AC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所有与本招标有关的一切正式往来请寄：</w:t>
      </w:r>
    </w:p>
    <w:p w14:paraId="083954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地    址：              邮政编码：</w:t>
      </w:r>
    </w:p>
    <w:p w14:paraId="505484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电    话：              传    真：</w:t>
      </w:r>
    </w:p>
    <w:p w14:paraId="55A871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投标人代表姓名：        职    务：</w:t>
      </w:r>
    </w:p>
    <w:p w14:paraId="199E7A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2699ED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投标人法定代表人（单位负责人）或</w:t>
      </w:r>
      <w:r>
        <w:rPr>
          <w:rFonts w:hint="eastAsia"/>
          <w:sz w:val="24"/>
          <w:szCs w:val="24"/>
          <w:lang w:eastAsia="zh-CN"/>
        </w:rPr>
        <w:t>授权代表</w:t>
      </w:r>
      <w:r>
        <w:rPr>
          <w:rFonts w:hint="eastAsia"/>
          <w:sz w:val="24"/>
          <w:szCs w:val="24"/>
        </w:rPr>
        <w:t>（签字或加盖姓名章）：</w:t>
      </w:r>
    </w:p>
    <w:p w14:paraId="4FBCD2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339499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法定代表人（单位负责人）或授权代表手机号码：</w:t>
      </w:r>
    </w:p>
    <w:p w14:paraId="4EFF0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695FF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投标人名称（盖章）：统一社会信用代码：</w:t>
      </w:r>
    </w:p>
    <w:p w14:paraId="24F5BDF6">
      <w:pPr>
        <w:keepNext w:val="0"/>
        <w:keepLines w:val="0"/>
        <w:pageBreakBefore w:val="0"/>
        <w:kinsoku/>
        <w:wordWrap/>
        <w:topLinePunct w:val="0"/>
        <w:bidi w:val="0"/>
        <w:adjustRightInd w:val="0"/>
        <w:snapToGrid w:val="0"/>
        <w:spacing w:beforeAutospacing="0" w:afterAutospacing="0" w:line="360" w:lineRule="auto"/>
        <w:rPr>
          <w:rFonts w:hint="eastAsia" w:ascii="宋体" w:hAnsi="宋体" w:eastAsia="宋体" w:cs="宋体"/>
          <w:color w:val="auto"/>
          <w:sz w:val="24"/>
          <w:szCs w:val="24"/>
        </w:rPr>
      </w:pPr>
    </w:p>
    <w:p w14:paraId="26EB4681">
      <w:pPr>
        <w:keepNext w:val="0"/>
        <w:keepLines w:val="0"/>
        <w:pageBreakBefore w:val="0"/>
        <w:kinsoku/>
        <w:wordWrap/>
        <w:topLinePunct w:val="0"/>
        <w:bidi w:val="0"/>
        <w:adjustRightInd w:val="0"/>
        <w:snapToGrid w:val="0"/>
        <w:spacing w:beforeAutospacing="0" w:afterAutospacing="0" w:line="360" w:lineRule="auto"/>
        <w:ind w:firstLine="4920" w:firstLineChars="2050"/>
        <w:rPr>
          <w:rFonts w:hint="eastAsia" w:ascii="宋体" w:hAnsi="宋体" w:eastAsia="宋体" w:cs="宋体"/>
          <w:color w:val="auto"/>
          <w:sz w:val="24"/>
          <w:szCs w:val="24"/>
        </w:rPr>
      </w:pPr>
    </w:p>
    <w:p w14:paraId="1E561B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24"/>
        </w:rPr>
      </w:pPr>
      <w:r>
        <w:rPr>
          <w:rFonts w:hint="eastAsia"/>
          <w:sz w:val="24"/>
          <w:szCs w:val="24"/>
        </w:rPr>
        <w:t>日期：   年   月   日</w:t>
      </w:r>
    </w:p>
    <w:p w14:paraId="1A365410">
      <w:pPr>
        <w:spacing w:line="480" w:lineRule="exact"/>
        <w:jc w:val="center"/>
        <w:rPr>
          <w:rFonts w:hint="eastAsia" w:ascii="宋体" w:hAnsi="宋体" w:eastAsia="宋体" w:cs="宋体"/>
          <w:b/>
          <w:bCs/>
          <w:color w:val="auto"/>
          <w:sz w:val="36"/>
          <w:szCs w:val="36"/>
        </w:rPr>
      </w:pPr>
    </w:p>
    <w:p w14:paraId="2B2DCF39">
      <w:pP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14:paraId="6979B2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4.2 法定代表人（单位负责人）资格证明书</w:t>
      </w:r>
    </w:p>
    <w:p w14:paraId="5E4504B8">
      <w:pPr>
        <w:autoSpaceDE w:val="0"/>
        <w:autoSpaceDN w:val="0"/>
        <w:adjustRightInd w:val="0"/>
        <w:spacing w:line="480" w:lineRule="auto"/>
        <w:ind w:firstLine="616" w:firstLineChars="257"/>
        <w:rPr>
          <w:rFonts w:hint="eastAsia" w:ascii="宋体" w:hAnsi="宋体" w:eastAsia="宋体" w:cs="宋体"/>
          <w:color w:val="auto"/>
          <w:sz w:val="24"/>
          <w:szCs w:val="24"/>
        </w:rPr>
      </w:pPr>
    </w:p>
    <w:p w14:paraId="687C84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单位名称：</w:t>
      </w:r>
    </w:p>
    <w:p w14:paraId="77D727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地址：</w:t>
      </w:r>
    </w:p>
    <w:p w14:paraId="0590F1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 xml:space="preserve">姓名：       性别：     年龄：     职务：    手机号码：    </w:t>
      </w:r>
    </w:p>
    <w:p w14:paraId="4013F7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本人系</w:t>
      </w:r>
      <w:r>
        <w:rPr>
          <w:rFonts w:hint="eastAsia"/>
          <w:sz w:val="24"/>
          <w:szCs w:val="24"/>
          <w:u w:val="single"/>
          <w:lang w:val="en-US" w:eastAsia="zh-CN"/>
        </w:rPr>
        <w:t xml:space="preserve"> </w:t>
      </w:r>
      <w:r>
        <w:rPr>
          <w:rFonts w:hint="eastAsia"/>
          <w:sz w:val="24"/>
          <w:szCs w:val="24"/>
          <w:u w:val="single"/>
        </w:rPr>
        <w:t>供应商名称</w:t>
      </w:r>
      <w:r>
        <w:rPr>
          <w:rFonts w:hint="eastAsia"/>
          <w:sz w:val="24"/>
          <w:szCs w:val="24"/>
          <w:u w:val="single"/>
          <w:lang w:val="en-US" w:eastAsia="zh-CN"/>
        </w:rPr>
        <w:t xml:space="preserve"> </w:t>
      </w:r>
      <w:r>
        <w:rPr>
          <w:rFonts w:hint="eastAsia"/>
          <w:sz w:val="24"/>
          <w:szCs w:val="24"/>
        </w:rPr>
        <w:t>的法定代表人。就参加贵方</w:t>
      </w:r>
      <w:r>
        <w:rPr>
          <w:rFonts w:hint="eastAsia"/>
          <w:sz w:val="24"/>
          <w:szCs w:val="24"/>
          <w:u w:val="none"/>
        </w:rPr>
        <w:t>项目编号</w:t>
      </w:r>
      <w:r>
        <w:rPr>
          <w:rFonts w:hint="eastAsia"/>
          <w:sz w:val="24"/>
          <w:szCs w:val="24"/>
        </w:rPr>
        <w:t>为</w:t>
      </w:r>
      <w:r>
        <w:rPr>
          <w:rFonts w:hint="eastAsia"/>
          <w:sz w:val="24"/>
          <w:szCs w:val="24"/>
          <w:u w:val="single"/>
          <w:lang w:val="en-US" w:eastAsia="zh-CN"/>
        </w:rPr>
        <w:t xml:space="preserve"> </w:t>
      </w:r>
      <w:r>
        <w:rPr>
          <w:rFonts w:hint="eastAsia"/>
          <w:sz w:val="24"/>
          <w:szCs w:val="24"/>
          <w:u w:val="single"/>
        </w:rPr>
        <w:t>项目编号</w:t>
      </w:r>
      <w:r>
        <w:rPr>
          <w:rFonts w:hint="eastAsia"/>
          <w:sz w:val="24"/>
          <w:szCs w:val="24"/>
          <w:u w:val="single"/>
          <w:lang w:val="en-US" w:eastAsia="zh-CN"/>
        </w:rPr>
        <w:t xml:space="preserve"> </w:t>
      </w:r>
      <w:r>
        <w:rPr>
          <w:rFonts w:hint="eastAsia"/>
          <w:sz w:val="24"/>
          <w:szCs w:val="24"/>
        </w:rPr>
        <w:t>的</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u w:val="single"/>
          <w:lang w:val="en-US" w:eastAsia="zh-CN"/>
        </w:rPr>
        <w:t xml:space="preserve"> </w:t>
      </w:r>
      <w:r>
        <w:rPr>
          <w:rFonts w:hint="eastAsia"/>
          <w:sz w:val="24"/>
          <w:szCs w:val="24"/>
          <w:u w:val="none"/>
          <w:lang w:val="en-US" w:eastAsia="zh-CN"/>
        </w:rPr>
        <w:t>竞争性磋商项目的响应报价</w:t>
      </w:r>
      <w:r>
        <w:rPr>
          <w:rFonts w:hint="eastAsia"/>
          <w:sz w:val="24"/>
          <w:szCs w:val="24"/>
        </w:rPr>
        <w:t>，签署上述项目的响应文件及合同的执行、完成、服务和保修，签署合同和处理与之有关的一切事务。</w:t>
      </w:r>
    </w:p>
    <w:p w14:paraId="250D2A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特此证明。</w:t>
      </w:r>
    </w:p>
    <w:p w14:paraId="3F0FA1E5">
      <w:pPr>
        <w:pStyle w:val="82"/>
        <w:spacing w:line="480" w:lineRule="auto"/>
        <w:ind w:firstLine="540" w:firstLineChars="225"/>
        <w:jc w:val="left"/>
        <w:rPr>
          <w:rFonts w:hint="eastAsia" w:ascii="宋体" w:hAnsi="宋体" w:eastAsia="宋体" w:cs="宋体"/>
          <w:color w:val="auto"/>
          <w:szCs w:val="24"/>
        </w:rPr>
      </w:pPr>
    </w:p>
    <w:p w14:paraId="7A624E59">
      <w:pPr>
        <w:pStyle w:val="82"/>
        <w:spacing w:line="480" w:lineRule="auto"/>
        <w:ind w:firstLine="540" w:firstLineChars="225"/>
        <w:jc w:val="left"/>
        <w:rPr>
          <w:rFonts w:hint="eastAsia" w:ascii="宋体" w:hAnsi="宋体" w:eastAsia="宋体" w:cs="宋体"/>
          <w:color w:val="auto"/>
          <w:szCs w:val="24"/>
        </w:rPr>
      </w:pPr>
    </w:p>
    <w:p w14:paraId="3643F87C">
      <w:pPr>
        <w:pStyle w:val="82"/>
        <w:spacing w:line="480" w:lineRule="auto"/>
        <w:ind w:left="-538" w:leftChars="-256" w:firstLine="616" w:firstLineChars="257"/>
        <w:jc w:val="center"/>
        <w:rPr>
          <w:rFonts w:hint="eastAsia" w:ascii="宋体" w:hAnsi="宋体" w:eastAsia="宋体" w:cs="宋体"/>
          <w:bCs/>
          <w:color w:val="auto"/>
          <w:szCs w:val="24"/>
        </w:rPr>
      </w:pPr>
      <w:r>
        <w:rPr>
          <w:rFonts w:hint="eastAsia" w:ascii="宋体" w:hAnsi="宋体" w:eastAsia="宋体" w:cs="宋体"/>
          <w:bCs/>
          <w:color w:val="auto"/>
          <w:szCs w:val="24"/>
        </w:rPr>
        <w:t>【此处请粘贴法定代表人（单位负责人）身份证复印件扫描件或图片，需清晰反映身份证有效期限】</w:t>
      </w:r>
    </w:p>
    <w:p w14:paraId="0241E3B7">
      <w:pPr>
        <w:pStyle w:val="82"/>
        <w:spacing w:line="480" w:lineRule="auto"/>
        <w:ind w:left="-538" w:leftChars="-256" w:firstLine="616" w:firstLineChars="257"/>
        <w:jc w:val="center"/>
        <w:rPr>
          <w:rFonts w:hint="eastAsia" w:ascii="宋体" w:hAnsi="宋体" w:eastAsia="宋体" w:cs="宋体"/>
          <w:bCs/>
          <w:color w:val="auto"/>
          <w:szCs w:val="24"/>
        </w:rPr>
      </w:pPr>
    </w:p>
    <w:p w14:paraId="5A9D0D6C">
      <w:pPr>
        <w:autoSpaceDE w:val="0"/>
        <w:autoSpaceDN w:val="0"/>
        <w:adjustRightInd w:val="0"/>
        <w:spacing w:line="360" w:lineRule="auto"/>
        <w:ind w:right="-11"/>
        <w:rPr>
          <w:rFonts w:hint="eastAsia" w:ascii="宋体" w:hAnsi="宋体" w:eastAsia="宋体" w:cs="宋体"/>
          <w:color w:val="auto"/>
          <w:sz w:val="24"/>
          <w:szCs w:val="24"/>
          <w:lang w:val="zh-CN"/>
        </w:rPr>
      </w:pPr>
    </w:p>
    <w:p w14:paraId="6465F771">
      <w:pPr>
        <w:autoSpaceDE w:val="0"/>
        <w:autoSpaceDN w:val="0"/>
        <w:adjustRightInd w:val="0"/>
        <w:spacing w:line="360" w:lineRule="auto"/>
        <w:ind w:right="-11"/>
        <w:rPr>
          <w:rFonts w:hint="eastAsia" w:ascii="宋体" w:hAnsi="宋体" w:eastAsia="宋体" w:cs="宋体"/>
          <w:color w:val="auto"/>
          <w:sz w:val="24"/>
          <w:szCs w:val="24"/>
          <w:lang w:val="zh-CN"/>
        </w:rPr>
      </w:pPr>
    </w:p>
    <w:p w14:paraId="18BB8B53">
      <w:pPr>
        <w:autoSpaceDE w:val="0"/>
        <w:autoSpaceDN w:val="0"/>
        <w:adjustRightInd w:val="0"/>
        <w:spacing w:line="360" w:lineRule="auto"/>
        <w:ind w:right="-11"/>
        <w:rPr>
          <w:rFonts w:hint="eastAsia" w:ascii="宋体" w:hAnsi="宋体" w:eastAsia="宋体" w:cs="宋体"/>
          <w:color w:val="auto"/>
          <w:sz w:val="24"/>
          <w:szCs w:val="24"/>
          <w:lang w:val="zh-CN"/>
        </w:rPr>
      </w:pPr>
    </w:p>
    <w:p w14:paraId="7663A6D1">
      <w:pPr>
        <w:spacing w:line="480" w:lineRule="auto"/>
        <w:ind w:firstLine="3900" w:firstLineChars="1625"/>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供应商名称（并加盖公章）：</w:t>
      </w:r>
    </w:p>
    <w:p w14:paraId="5E3ECC33">
      <w:pPr>
        <w:pStyle w:val="77"/>
        <w:spacing w:before="60" w:line="480" w:lineRule="auto"/>
        <w:ind w:firstLine="3900" w:firstLineChars="1625"/>
        <w:rPr>
          <w:rFonts w:hint="eastAsia" w:ascii="宋体" w:hAnsi="宋体" w:eastAsia="宋体" w:cs="宋体"/>
          <w:color w:val="auto"/>
          <w:szCs w:val="24"/>
        </w:rPr>
      </w:pPr>
      <w:r>
        <w:rPr>
          <w:rFonts w:hint="eastAsia" w:ascii="宋体" w:hAnsi="宋体" w:eastAsia="宋体" w:cs="宋体"/>
          <w:color w:val="auto"/>
          <w:szCs w:val="24"/>
        </w:rPr>
        <w:t>签署日期：   年   月  日</w:t>
      </w:r>
    </w:p>
    <w:p w14:paraId="61518087">
      <w:pPr>
        <w:pStyle w:val="78"/>
        <w:spacing w:line="480" w:lineRule="auto"/>
        <w:rPr>
          <w:rFonts w:hint="eastAsia" w:ascii="宋体" w:hAnsi="宋体" w:eastAsia="宋体" w:cs="宋体"/>
          <w:color w:val="auto"/>
          <w:szCs w:val="24"/>
        </w:rPr>
      </w:pPr>
    </w:p>
    <w:p w14:paraId="148CAC95">
      <w:pPr>
        <w:spacing w:line="480" w:lineRule="exact"/>
        <w:jc w:val="center"/>
        <w:rPr>
          <w:rFonts w:hint="eastAsia" w:ascii="宋体" w:hAnsi="宋体" w:eastAsia="宋体" w:cs="宋体"/>
          <w:b/>
          <w:bCs/>
          <w:color w:val="auto"/>
          <w:sz w:val="32"/>
          <w:szCs w:val="32"/>
        </w:rPr>
      </w:pPr>
    </w:p>
    <w:p w14:paraId="5E4911A1">
      <w:pPr>
        <w:spacing w:line="480" w:lineRule="exact"/>
        <w:jc w:val="center"/>
        <w:rPr>
          <w:rFonts w:hint="eastAsia" w:ascii="宋体" w:hAnsi="宋体" w:eastAsia="宋体" w:cs="宋体"/>
          <w:b/>
          <w:bCs/>
          <w:color w:val="auto"/>
          <w:sz w:val="32"/>
          <w:szCs w:val="32"/>
        </w:rPr>
      </w:pPr>
    </w:p>
    <w:p w14:paraId="7BAD778B">
      <w:pPr>
        <w:spacing w:line="480" w:lineRule="exact"/>
        <w:jc w:val="center"/>
        <w:rPr>
          <w:rFonts w:hint="eastAsia" w:ascii="宋体" w:hAnsi="宋体" w:eastAsia="宋体" w:cs="宋体"/>
          <w:b/>
          <w:bCs/>
          <w:color w:val="auto"/>
          <w:sz w:val="32"/>
          <w:szCs w:val="32"/>
        </w:rPr>
      </w:pPr>
    </w:p>
    <w:p w14:paraId="45A89691">
      <w:pPr>
        <w:spacing w:line="480" w:lineRule="exact"/>
        <w:jc w:val="center"/>
        <w:rPr>
          <w:rFonts w:hint="eastAsia" w:ascii="宋体" w:hAnsi="宋体" w:eastAsia="宋体" w:cs="宋体"/>
          <w:b/>
          <w:bCs/>
          <w:color w:val="auto"/>
          <w:sz w:val="32"/>
          <w:szCs w:val="32"/>
        </w:rPr>
      </w:pPr>
    </w:p>
    <w:p w14:paraId="45C161CF">
      <w:pPr>
        <w:spacing w:line="480" w:lineRule="exact"/>
        <w:jc w:val="center"/>
        <w:rPr>
          <w:rFonts w:hint="eastAsia" w:ascii="宋体" w:hAnsi="宋体" w:eastAsia="宋体" w:cs="宋体"/>
          <w:b/>
          <w:bCs/>
          <w:color w:val="auto"/>
          <w:sz w:val="32"/>
          <w:szCs w:val="32"/>
        </w:rPr>
      </w:pPr>
    </w:p>
    <w:p w14:paraId="531BE9B4">
      <w:pPr>
        <w:spacing w:line="480" w:lineRule="exact"/>
        <w:jc w:val="center"/>
        <w:rPr>
          <w:rFonts w:hint="eastAsia" w:ascii="宋体" w:hAnsi="宋体" w:eastAsia="宋体" w:cs="宋体"/>
          <w:b/>
          <w:bCs/>
          <w:color w:val="auto"/>
          <w:sz w:val="32"/>
          <w:szCs w:val="32"/>
        </w:rPr>
      </w:pPr>
    </w:p>
    <w:p w14:paraId="66FC6E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4.3 法定代表人（单位负责人）授权书</w:t>
      </w:r>
    </w:p>
    <w:p w14:paraId="48ECDCD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rPr>
      </w:pPr>
    </w:p>
    <w:p w14:paraId="78C185F5">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1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snapToGrid w:val="0"/>
          <w:color w:val="auto"/>
          <w:sz w:val="24"/>
          <w:szCs w:val="24"/>
          <w:u w:val="single"/>
        </w:rPr>
        <w:t>法人姓名</w:t>
      </w:r>
      <w:r>
        <w:rPr>
          <w:rFonts w:hint="eastAsia" w:ascii="宋体" w:hAnsi="宋体" w:eastAsia="宋体" w:cs="宋体"/>
          <w:i w:val="0"/>
          <w:iCs w:val="0"/>
          <w:snapToGrid w:val="0"/>
          <w:color w:val="auto"/>
          <w:sz w:val="24"/>
          <w:szCs w:val="24"/>
          <w:u w:val="single"/>
          <w:lang w:val="en-US" w:eastAsia="zh-CN"/>
        </w:rPr>
        <w:t xml:space="preserve"> </w:t>
      </w:r>
      <w:r>
        <w:rPr>
          <w:rFonts w:hint="eastAsia" w:ascii="宋体" w:hAnsi="宋体" w:eastAsia="宋体" w:cs="宋体"/>
          <w:i w:val="0"/>
          <w:iCs w:val="0"/>
          <w:color w:val="auto"/>
          <w:sz w:val="24"/>
          <w:szCs w:val="24"/>
        </w:rPr>
        <w:t>系</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snapToGrid w:val="0"/>
          <w:color w:val="auto"/>
          <w:sz w:val="24"/>
          <w:szCs w:val="24"/>
          <w:u w:val="single"/>
        </w:rPr>
        <w:t xml:space="preserve">供应商名称 </w:t>
      </w:r>
      <w:r>
        <w:rPr>
          <w:rFonts w:hint="eastAsia" w:ascii="宋体" w:hAnsi="宋体" w:eastAsia="宋体" w:cs="宋体"/>
          <w:i w:val="0"/>
          <w:iCs w:val="0"/>
          <w:color w:val="auto"/>
          <w:sz w:val="24"/>
          <w:szCs w:val="24"/>
        </w:rPr>
        <w:t>的法定代表人，现委托</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snapToGrid w:val="0"/>
          <w:color w:val="auto"/>
          <w:sz w:val="24"/>
          <w:szCs w:val="24"/>
          <w:u w:val="single"/>
        </w:rPr>
        <w:t>姓名，职务</w:t>
      </w:r>
      <w:r>
        <w:rPr>
          <w:rFonts w:hint="eastAsia" w:ascii="宋体" w:hAnsi="宋体" w:eastAsia="宋体" w:cs="宋体"/>
          <w:i w:val="0"/>
          <w:iCs w:val="0"/>
          <w:snapToGrid w:val="0"/>
          <w:color w:val="auto"/>
          <w:sz w:val="24"/>
          <w:szCs w:val="24"/>
          <w:u w:val="single"/>
          <w:lang w:val="en-US" w:eastAsia="zh-CN"/>
        </w:rPr>
        <w:t xml:space="preserve"> </w:t>
      </w:r>
      <w:r>
        <w:rPr>
          <w:rFonts w:hint="eastAsia" w:ascii="宋体" w:hAnsi="宋体" w:eastAsia="宋体" w:cs="宋体"/>
          <w:i w:val="0"/>
          <w:iCs w:val="0"/>
          <w:color w:val="auto"/>
          <w:sz w:val="24"/>
          <w:szCs w:val="24"/>
        </w:rPr>
        <w:t>以我方的名义</w:t>
      </w:r>
      <w:r>
        <w:rPr>
          <w:rFonts w:hint="eastAsia" w:ascii="宋体" w:hAnsi="宋体" w:eastAsia="宋体" w:cs="宋体"/>
          <w:color w:val="auto"/>
          <w:sz w:val="24"/>
          <w:szCs w:val="24"/>
        </w:rPr>
        <w:t>参加贵方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项目的投标活动，并代表我方全权办理针对上述项目的投标、开标、响应文件澄清、签约等一切具体事务和签署相关文件。</w:t>
      </w:r>
    </w:p>
    <w:p w14:paraId="79E25E76">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1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我方对被授权人的签名事项负全部责任。</w:t>
      </w:r>
    </w:p>
    <w:p w14:paraId="756F5C79">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1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C8AB69B">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1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被授权人无转委托权，特此委托。</w:t>
      </w:r>
    </w:p>
    <w:p w14:paraId="2498FE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投标人名称： </w:t>
      </w:r>
      <w:r>
        <w:rPr>
          <w:rFonts w:hint="eastAsia" w:ascii="宋体" w:hAnsi="宋体" w:eastAsia="宋体" w:cs="宋体"/>
          <w:color w:val="auto"/>
          <w:sz w:val="24"/>
          <w:szCs w:val="24"/>
          <w:u w:val="single"/>
        </w:rPr>
        <w:t xml:space="preserve">       （全称）       </w:t>
      </w:r>
      <w:r>
        <w:rPr>
          <w:rFonts w:hint="eastAsia" w:ascii="宋体" w:hAnsi="宋体" w:eastAsia="宋体" w:cs="宋体"/>
          <w:color w:val="auto"/>
          <w:sz w:val="24"/>
          <w:szCs w:val="24"/>
        </w:rPr>
        <w:t xml:space="preserve"> （盖单位公章）</w:t>
      </w:r>
    </w:p>
    <w:p w14:paraId="7CEFBD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kern w:val="0"/>
          <w:sz w:val="24"/>
          <w:szCs w:val="24"/>
        </w:rPr>
        <w:t>（签字或加盖姓名章）</w:t>
      </w:r>
    </w:p>
    <w:p w14:paraId="57D391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kern w:val="0"/>
          <w:sz w:val="24"/>
          <w:szCs w:val="24"/>
        </w:rPr>
        <w:t>（签字或加盖姓名章）</w:t>
      </w:r>
    </w:p>
    <w:p w14:paraId="399C75BD">
      <w:pPr>
        <w:pStyle w:val="7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法定代表人（单位负责人）授权代表联系电话（手机）：</w:t>
      </w:r>
    </w:p>
    <w:p w14:paraId="2738767E">
      <w:pPr>
        <w:pStyle w:val="76"/>
        <w:ind w:firstLine="480"/>
        <w:rPr>
          <w:rFonts w:hint="eastAsia" w:ascii="宋体" w:hAnsi="宋体" w:eastAsia="宋体" w:cs="宋体"/>
          <w:color w:val="auto"/>
          <w:sz w:val="24"/>
          <w:szCs w:val="24"/>
        </w:rPr>
      </w:pPr>
    </w:p>
    <w:tbl>
      <w:tblPr>
        <w:tblStyle w:val="34"/>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D45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484" w:type="dxa"/>
            <w:vAlign w:val="center"/>
          </w:tcPr>
          <w:p w14:paraId="5C662A0D">
            <w:pPr>
              <w:jc w:val="center"/>
              <w:rPr>
                <w:rFonts w:hint="eastAsia" w:ascii="宋体" w:hAnsi="宋体" w:eastAsia="宋体" w:cs="宋体"/>
                <w:color w:val="auto"/>
                <w:sz w:val="22"/>
                <w:szCs w:val="24"/>
              </w:rPr>
            </w:pPr>
            <w:r>
              <w:rPr>
                <w:rFonts w:hint="eastAsia" w:ascii="宋体" w:hAnsi="宋体" w:eastAsia="宋体" w:cs="宋体"/>
                <w:color w:val="auto"/>
                <w:sz w:val="22"/>
                <w:szCs w:val="24"/>
              </w:rPr>
              <w:t>法定代表人（单位负责人）身份证（正面）</w:t>
            </w:r>
          </w:p>
        </w:tc>
        <w:tc>
          <w:tcPr>
            <w:tcW w:w="4485" w:type="dxa"/>
            <w:gridSpan w:val="2"/>
            <w:vAlign w:val="center"/>
          </w:tcPr>
          <w:p w14:paraId="1026AFB0">
            <w:pPr>
              <w:jc w:val="center"/>
              <w:rPr>
                <w:rFonts w:hint="eastAsia" w:ascii="宋体" w:hAnsi="宋体" w:eastAsia="宋体" w:cs="宋体"/>
                <w:color w:val="auto"/>
                <w:sz w:val="22"/>
                <w:szCs w:val="24"/>
              </w:rPr>
            </w:pPr>
            <w:r>
              <w:rPr>
                <w:rFonts w:hint="eastAsia" w:ascii="宋体" w:hAnsi="宋体" w:eastAsia="宋体" w:cs="宋体"/>
                <w:color w:val="auto"/>
                <w:sz w:val="22"/>
                <w:szCs w:val="24"/>
              </w:rPr>
              <w:t>法定代表人（单位负责人）身份证（反面）</w:t>
            </w:r>
          </w:p>
        </w:tc>
      </w:tr>
      <w:tr w14:paraId="39E6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491" w:type="dxa"/>
            <w:gridSpan w:val="2"/>
            <w:vAlign w:val="center"/>
          </w:tcPr>
          <w:p w14:paraId="685B41CF">
            <w:pPr>
              <w:jc w:val="center"/>
              <w:rPr>
                <w:rFonts w:hint="eastAsia" w:ascii="宋体" w:hAnsi="宋体" w:eastAsia="宋体" w:cs="宋体"/>
                <w:color w:val="auto"/>
                <w:sz w:val="22"/>
                <w:szCs w:val="24"/>
              </w:rPr>
            </w:pPr>
            <w:bookmarkStart w:id="19" w:name="_资格证明文件"/>
            <w:bookmarkEnd w:id="19"/>
            <w:bookmarkStart w:id="20" w:name="_Toc364329026"/>
            <w:r>
              <w:rPr>
                <w:rFonts w:hint="eastAsia" w:ascii="宋体" w:hAnsi="宋体" w:eastAsia="宋体" w:cs="宋体"/>
                <w:color w:val="auto"/>
                <w:sz w:val="22"/>
                <w:szCs w:val="24"/>
              </w:rPr>
              <w:t>法定代表人(单位负责人)授权代表身份证（正面）</w:t>
            </w:r>
            <w:bookmarkEnd w:id="20"/>
          </w:p>
        </w:tc>
        <w:tc>
          <w:tcPr>
            <w:tcW w:w="4492" w:type="dxa"/>
            <w:gridSpan w:val="2"/>
            <w:vAlign w:val="center"/>
          </w:tcPr>
          <w:p w14:paraId="3555F69E">
            <w:pPr>
              <w:jc w:val="center"/>
              <w:rPr>
                <w:rFonts w:hint="eastAsia" w:ascii="宋体" w:hAnsi="宋体" w:eastAsia="宋体" w:cs="宋体"/>
                <w:color w:val="auto"/>
                <w:sz w:val="22"/>
                <w:szCs w:val="24"/>
              </w:rPr>
            </w:pPr>
            <w:bookmarkStart w:id="21" w:name="_Toc364329027"/>
            <w:r>
              <w:rPr>
                <w:rFonts w:hint="eastAsia" w:ascii="宋体" w:hAnsi="宋体" w:eastAsia="宋体" w:cs="宋体"/>
                <w:color w:val="auto"/>
                <w:sz w:val="22"/>
                <w:szCs w:val="24"/>
              </w:rPr>
              <w:t>法定代表人（单位负责人）授权代表身份证（反面）</w:t>
            </w:r>
            <w:bookmarkEnd w:id="21"/>
          </w:p>
        </w:tc>
      </w:tr>
    </w:tbl>
    <w:p w14:paraId="56129F0D">
      <w:pPr>
        <w:spacing w:line="320" w:lineRule="exact"/>
        <w:ind w:left="2" w:firstLine="327" w:firstLineChars="149"/>
        <w:rPr>
          <w:rFonts w:hint="eastAsia" w:ascii="宋体" w:hAnsi="宋体" w:eastAsia="宋体" w:cs="宋体"/>
          <w:color w:val="auto"/>
          <w:sz w:val="22"/>
          <w:szCs w:val="24"/>
        </w:rPr>
      </w:pPr>
    </w:p>
    <w:p w14:paraId="3CA989CE">
      <w:pPr>
        <w:widowControl/>
        <w:spacing w:before="100" w:beforeAutospacing="1" w:after="100" w:afterAutospacing="1" w:line="360" w:lineRule="auto"/>
        <w:jc w:val="center"/>
        <w:rPr>
          <w:rFonts w:hint="eastAsia" w:ascii="宋体" w:hAnsi="宋体" w:eastAsia="宋体" w:cs="宋体"/>
          <w:b/>
          <w:bCs/>
          <w:color w:val="auto"/>
          <w:sz w:val="36"/>
          <w:szCs w:val="36"/>
        </w:rPr>
      </w:pPr>
    </w:p>
    <w:p w14:paraId="1A096E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4.4 磋商承诺函</w:t>
      </w:r>
    </w:p>
    <w:p w14:paraId="100B4EF4">
      <w:pPr>
        <w:spacing w:line="297" w:lineRule="auto"/>
        <w:rPr>
          <w:rFonts w:hint="eastAsia" w:ascii="宋体" w:hAnsi="宋体" w:eastAsia="宋体" w:cs="宋体"/>
          <w:color w:val="auto"/>
          <w:sz w:val="21"/>
        </w:rPr>
      </w:pPr>
    </w:p>
    <w:p w14:paraId="3009F1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致：</w:t>
      </w:r>
      <w:r>
        <w:rPr>
          <w:rFonts w:hint="eastAsia"/>
          <w:sz w:val="24"/>
          <w:szCs w:val="24"/>
          <w:u w:val="single"/>
          <w:lang w:val="en-US" w:eastAsia="zh-CN"/>
        </w:rPr>
        <w:t xml:space="preserve">    （采购人）</w:t>
      </w:r>
    </w:p>
    <w:p w14:paraId="3FF508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经研究，我方自愿参与贵方</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sz w:val="24"/>
          <w:szCs w:val="24"/>
          <w:u w:val="single"/>
        </w:rPr>
        <w:t xml:space="preserve">        （项目编号、项目名称）</w:t>
      </w:r>
      <w:r>
        <w:rPr>
          <w:rFonts w:hint="eastAsia"/>
          <w:sz w:val="24"/>
          <w:szCs w:val="24"/>
        </w:rPr>
        <w:t>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14:paraId="551FA3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一、在响应有效期内撤销响应文件；</w:t>
      </w:r>
    </w:p>
    <w:p w14:paraId="41BC78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二、在响应文件中提供虚假材料；</w:t>
      </w:r>
    </w:p>
    <w:p w14:paraId="6790A4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三、除因不可抗力或磋商文件认可的情形以外，成交后不与采购人签订合同；</w:t>
      </w:r>
    </w:p>
    <w:p w14:paraId="0A2C3F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四、与采购人、其他供应商或者采购代理机构恶意串通；</w:t>
      </w:r>
    </w:p>
    <w:p w14:paraId="0CF448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五、法律法规及本磋商文件规定的其他严重违法行为。</w:t>
      </w:r>
    </w:p>
    <w:p w14:paraId="21CF29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58D0DB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16C31D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322603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66EDF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28740D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656498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供应商名称（并加盖公章）：</w:t>
      </w:r>
    </w:p>
    <w:p w14:paraId="72C9F7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5D16E9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sectPr>
          <w:footerReference r:id="rId4" w:type="default"/>
          <w:pgSz w:w="11907" w:h="16839"/>
          <w:pgMar w:top="1440" w:right="1080" w:bottom="1440" w:left="1080" w:header="992" w:footer="991" w:gutter="0"/>
          <w:pgBorders>
            <w:top w:val="none" w:sz="0" w:space="0"/>
            <w:left w:val="none" w:sz="0" w:space="0"/>
            <w:bottom w:val="none" w:sz="0" w:space="0"/>
            <w:right w:val="none" w:sz="0" w:space="0"/>
          </w:pgBorders>
          <w:pgNumType w:fmt="decimal"/>
          <w:cols w:space="720" w:num="1"/>
        </w:sectPr>
      </w:pPr>
      <w:r>
        <w:rPr>
          <w:rFonts w:hint="eastAsia"/>
          <w:sz w:val="24"/>
          <w:szCs w:val="24"/>
        </w:rPr>
        <w:t>日期：      年    月    日</w:t>
      </w:r>
    </w:p>
    <w:p w14:paraId="2C345B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4.5中小企业声明函（工程）</w:t>
      </w:r>
    </w:p>
    <w:p w14:paraId="474DC479">
      <w:pPr>
        <w:spacing w:line="360" w:lineRule="auto"/>
        <w:jc w:val="center"/>
        <w:rPr>
          <w:rFonts w:hint="eastAsia" w:ascii="宋体" w:hAnsi="宋体" w:eastAsia="宋体" w:cs="宋体"/>
          <w:b/>
          <w:bCs/>
          <w:color w:val="auto"/>
          <w:sz w:val="36"/>
          <w:szCs w:val="36"/>
        </w:rPr>
      </w:pPr>
    </w:p>
    <w:p w14:paraId="60DA080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FAFC40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0"/>
        <w:rPr>
          <w:rFonts w:hint="eastAsia" w:ascii="宋体" w:hAnsi="宋体" w:eastAsia="宋体" w:cs="宋体"/>
          <w:color w:val="auto"/>
          <w:sz w:val="24"/>
          <w:szCs w:val="24"/>
          <w:u w:val="single"/>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采购文件中明确的所属行业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；承建（承接）企业为</w:t>
      </w:r>
      <w:r>
        <w:rPr>
          <w:rFonts w:hint="eastAsia" w:ascii="宋体" w:hAnsi="宋体" w:eastAsia="宋体" w:cs="宋体"/>
          <w:snapToGrid w:val="0"/>
          <w:color w:val="auto"/>
          <w:kern w:val="0"/>
          <w:sz w:val="24"/>
          <w:szCs w:val="24"/>
          <w:u w:val="single"/>
        </w:rPr>
        <w:t xml:space="preserve"> （企业名称） </w:t>
      </w:r>
      <w:r>
        <w:rPr>
          <w:rFonts w:hint="eastAsia" w:ascii="宋体" w:hAnsi="宋体" w:eastAsia="宋体" w:cs="宋体"/>
          <w:color w:val="auto"/>
          <w:sz w:val="24"/>
          <w:szCs w:val="24"/>
        </w:rPr>
        <w:t>，从业人员</w:t>
      </w:r>
      <w:r>
        <w:rPr>
          <w:rFonts w:hint="eastAsia" w:ascii="宋体" w:hAnsi="宋体" w:eastAsia="宋体" w:cs="宋体"/>
          <w:snapToGrid w:val="0"/>
          <w:color w:val="auto"/>
          <w:kern w:val="0"/>
          <w:sz w:val="24"/>
          <w:szCs w:val="24"/>
          <w:u w:val="single"/>
          <w:lang w:val="en-US"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snapToGrid w:val="0"/>
          <w:color w:val="auto"/>
          <w:kern w:val="0"/>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snapToGrid w:val="0"/>
          <w:color w:val="auto"/>
          <w:kern w:val="0"/>
          <w:sz w:val="24"/>
          <w:szCs w:val="24"/>
          <w:u w:val="single"/>
          <w:lang w:val="en-US" w:eastAsia="zh-CN"/>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 xml:space="preserve"> （中型企业、 小型企业、微型企业）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AC4820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采购文件中明确的所属行业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；承建（承接）企业为</w:t>
      </w:r>
      <w:r>
        <w:rPr>
          <w:rFonts w:hint="eastAsia" w:ascii="宋体" w:hAnsi="宋体" w:eastAsia="宋体" w:cs="宋体"/>
          <w:snapToGrid w:val="0"/>
          <w:color w:val="auto"/>
          <w:kern w:val="0"/>
          <w:sz w:val="24"/>
          <w:szCs w:val="24"/>
          <w:u w:val="single"/>
        </w:rPr>
        <w:t xml:space="preserve"> （企业名称） </w:t>
      </w:r>
      <w:r>
        <w:rPr>
          <w:rFonts w:hint="eastAsia" w:ascii="宋体" w:hAnsi="宋体" w:eastAsia="宋体" w:cs="宋体"/>
          <w:color w:val="auto"/>
          <w:sz w:val="24"/>
          <w:szCs w:val="24"/>
        </w:rPr>
        <w:t>，从业人员</w:t>
      </w:r>
      <w:r>
        <w:rPr>
          <w:rFonts w:hint="eastAsia" w:ascii="宋体" w:hAnsi="宋体" w:eastAsia="宋体" w:cs="宋体"/>
          <w:snapToGrid w:val="0"/>
          <w:color w:val="auto"/>
          <w:kern w:val="0"/>
          <w:sz w:val="24"/>
          <w:szCs w:val="24"/>
          <w:u w:val="single"/>
          <w:lang w:val="en-US"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snapToGrid w:val="0"/>
          <w:color w:val="auto"/>
          <w:kern w:val="0"/>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snapToGrid w:val="0"/>
          <w:color w:val="auto"/>
          <w:kern w:val="0"/>
          <w:sz w:val="24"/>
          <w:szCs w:val="24"/>
          <w:u w:val="single"/>
          <w:lang w:val="en-US" w:eastAsia="zh-CN"/>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 xml:space="preserve"> （中型企业、 小型企业、微型企业）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DD3B39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3517D5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w:t>
      </w:r>
    </w:p>
    <w:p w14:paraId="7083962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与大企业的负责人为同一人的情形。 </w:t>
      </w:r>
    </w:p>
    <w:p w14:paraId="70872D2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1894D80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0"/>
        <w:rPr>
          <w:rFonts w:hint="eastAsia" w:ascii="宋体" w:hAnsi="宋体" w:eastAsia="宋体" w:cs="宋体"/>
          <w:color w:val="auto"/>
          <w:sz w:val="24"/>
          <w:szCs w:val="24"/>
        </w:rPr>
      </w:pPr>
    </w:p>
    <w:p w14:paraId="66240DF7">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outlineLvl w:val="0"/>
        <w:rPr>
          <w:rFonts w:hint="eastAsia" w:ascii="宋体" w:hAnsi="宋体" w:eastAsia="宋体" w:cs="宋体"/>
          <w:color w:val="auto"/>
          <w:sz w:val="24"/>
          <w:szCs w:val="24"/>
        </w:rPr>
      </w:pPr>
    </w:p>
    <w:p w14:paraId="18587B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0"/>
        <w:rPr>
          <w:rFonts w:hint="eastAsia" w:ascii="宋体" w:hAnsi="宋体" w:eastAsia="宋体" w:cs="宋体"/>
          <w:color w:val="auto"/>
          <w:sz w:val="24"/>
          <w:szCs w:val="24"/>
        </w:rPr>
      </w:pPr>
    </w:p>
    <w:p w14:paraId="241A958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企业名称（盖章）：</w:t>
      </w:r>
    </w:p>
    <w:p w14:paraId="25E9787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w:t>
      </w:r>
    </w:p>
    <w:p w14:paraId="11465CD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说明： </w:t>
      </w:r>
    </w:p>
    <w:p w14:paraId="56F8739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1187D8C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2、中小企业参加政府采购活动，应当出具《中小企业声明函》，否则不得享受相关中小企业扶持政策。</w:t>
      </w:r>
    </w:p>
    <w:p w14:paraId="778DE1F4">
      <w:pPr>
        <w:spacing w:line="360" w:lineRule="auto"/>
        <w:rPr>
          <w:rFonts w:hint="eastAsia" w:ascii="宋体" w:hAnsi="宋体" w:eastAsia="宋体" w:cs="宋体"/>
          <w:b/>
          <w:bCs/>
          <w:color w:val="auto"/>
          <w:sz w:val="32"/>
          <w:szCs w:val="32"/>
        </w:rPr>
      </w:pPr>
      <w:bookmarkStart w:id="22" w:name="OLE_LINK14"/>
      <w:bookmarkStart w:id="23" w:name="OLE_LINK13"/>
    </w:p>
    <w:p w14:paraId="3C30FAC7">
      <w:pPr>
        <w:spacing w:line="360" w:lineRule="auto"/>
        <w:rPr>
          <w:rFonts w:hint="eastAsia" w:ascii="宋体" w:hAnsi="宋体" w:eastAsia="宋体" w:cs="宋体"/>
          <w:b/>
          <w:bCs/>
          <w:color w:val="auto"/>
          <w:sz w:val="32"/>
          <w:szCs w:val="32"/>
        </w:rPr>
      </w:pPr>
    </w:p>
    <w:p w14:paraId="119F43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p>
    <w:p w14:paraId="4CACD6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4.6 残疾人福利性单位声明函</w:t>
      </w:r>
    </w:p>
    <w:bookmarkEnd w:id="22"/>
    <w:bookmarkEnd w:id="23"/>
    <w:p w14:paraId="657FA61B">
      <w:pPr>
        <w:spacing w:line="360" w:lineRule="auto"/>
        <w:rPr>
          <w:rFonts w:hint="eastAsia" w:ascii="宋体" w:hAnsi="宋体" w:eastAsia="宋体" w:cs="宋体"/>
          <w:color w:val="auto"/>
          <w:szCs w:val="21"/>
        </w:rPr>
      </w:pPr>
    </w:p>
    <w:p w14:paraId="698890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中国残疾人联合会关于促进残疾人就业政府采购政策的通知》（财库〔2017〕141号）的规定，本单位为□符合□</w:t>
      </w:r>
      <w:r>
        <w:rPr>
          <w:rFonts w:hint="eastAsia" w:ascii="宋体" w:hAnsi="宋体" w:eastAsia="宋体" w:cs="宋体"/>
          <w:color w:val="auto"/>
          <w:sz w:val="24"/>
          <w:szCs w:val="24"/>
          <w:lang w:val="en-US" w:eastAsia="zh-CN"/>
        </w:rPr>
        <w:t>不符合</w:t>
      </w:r>
      <w:r>
        <w:rPr>
          <w:rFonts w:hint="eastAsia" w:ascii="宋体" w:hAnsi="宋体" w:eastAsia="宋体" w:cs="宋体"/>
          <w:color w:val="auto"/>
          <w:sz w:val="24"/>
          <w:szCs w:val="24"/>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57288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3A37362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7B8D442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1DCE6D8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单位名称（盖章）：</w:t>
      </w:r>
    </w:p>
    <w:p w14:paraId="55EF626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日    期：</w:t>
      </w:r>
      <w:r>
        <w:rPr>
          <w:rFonts w:hint="eastAsia" w:ascii="宋体" w:hAnsi="宋体" w:eastAsia="宋体" w:cs="宋体"/>
          <w:b/>
          <w:bCs/>
          <w:color w:val="auto"/>
          <w:sz w:val="24"/>
          <w:szCs w:val="24"/>
        </w:rPr>
        <w:br w:type="page"/>
      </w:r>
    </w:p>
    <w:p w14:paraId="49680F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4.7监狱企业证明函</w:t>
      </w:r>
    </w:p>
    <w:p w14:paraId="7A47478D">
      <w:pPr>
        <w:spacing w:line="360" w:lineRule="auto"/>
        <w:ind w:firstLine="480" w:firstLineChars="200"/>
        <w:jc w:val="both"/>
        <w:rPr>
          <w:rFonts w:hint="eastAsia" w:ascii="宋体" w:hAnsi="宋体" w:eastAsia="宋体" w:cs="宋体"/>
          <w:b w:val="0"/>
          <w:bCs w:val="0"/>
          <w:color w:val="auto"/>
          <w:sz w:val="24"/>
          <w:szCs w:val="22"/>
          <w:lang w:val="en-US" w:eastAsia="zh-CN"/>
        </w:rPr>
      </w:pPr>
    </w:p>
    <w:p w14:paraId="637A2875">
      <w:pPr>
        <w:spacing w:line="360" w:lineRule="auto"/>
        <w:ind w:firstLine="480" w:firstLineChars="200"/>
        <w:jc w:val="both"/>
        <w:rPr>
          <w:rFonts w:hint="eastAsia" w:ascii="宋体" w:hAnsi="宋体" w:eastAsia="宋体" w:cs="宋体"/>
          <w:b w:val="0"/>
          <w:bCs w:val="0"/>
          <w:i w:val="0"/>
          <w:iCs w:val="0"/>
          <w:color w:val="auto"/>
          <w:sz w:val="24"/>
          <w:szCs w:val="22"/>
          <w:u w:val="single"/>
          <w:lang w:val="en-US" w:eastAsia="zh-CN"/>
        </w:rPr>
      </w:pPr>
      <w:r>
        <w:rPr>
          <w:rFonts w:hint="eastAsia" w:ascii="宋体" w:hAnsi="宋体" w:eastAsia="宋体" w:cs="宋体"/>
          <w:b w:val="0"/>
          <w:bCs w:val="0"/>
          <w:color w:val="auto"/>
          <w:sz w:val="24"/>
          <w:szCs w:val="22"/>
          <w:lang w:val="en-US" w:eastAsia="zh-CN"/>
        </w:rPr>
        <w:t>根据《财政部司法部关于政府采购支持监狱企业发展有关问题的通知》（财库〔2014〕68号）的规定，</w:t>
      </w:r>
      <w:r>
        <w:rPr>
          <w:rFonts w:hint="eastAsia" w:ascii="宋体" w:hAnsi="宋体" w:eastAsia="宋体" w:cs="宋体"/>
          <w:b w:val="0"/>
          <w:bCs w:val="0"/>
          <w:i w:val="0"/>
          <w:iCs w:val="0"/>
          <w:color w:val="auto"/>
          <w:sz w:val="24"/>
          <w:szCs w:val="22"/>
          <w:u w:val="single"/>
          <w:lang w:val="en-US" w:eastAsia="zh-CN"/>
        </w:rPr>
        <w:t xml:space="preserve">     （填写供应商全称）为监狱企业。</w:t>
      </w:r>
    </w:p>
    <w:p w14:paraId="61E5C17E">
      <w:pPr>
        <w:spacing w:line="360" w:lineRule="auto"/>
        <w:ind w:firstLine="480" w:firstLineChars="200"/>
        <w:jc w:val="both"/>
        <w:rPr>
          <w:rFonts w:hint="eastAsia" w:ascii="宋体" w:hAnsi="宋体" w:eastAsia="宋体" w:cs="宋体"/>
          <w:b w:val="0"/>
          <w:bCs w:val="0"/>
          <w:i w:val="0"/>
          <w:iCs w:val="0"/>
          <w:color w:val="auto"/>
          <w:sz w:val="24"/>
          <w:szCs w:val="22"/>
          <w:u w:val="none"/>
          <w:lang w:val="en-US" w:eastAsia="zh-CN"/>
        </w:rPr>
      </w:pPr>
      <w:r>
        <w:rPr>
          <w:rFonts w:hint="eastAsia" w:ascii="宋体" w:hAnsi="宋体" w:eastAsia="宋体" w:cs="宋体"/>
          <w:b w:val="0"/>
          <w:bCs w:val="0"/>
          <w:i w:val="0"/>
          <w:iCs w:val="0"/>
          <w:color w:val="auto"/>
          <w:sz w:val="24"/>
          <w:szCs w:val="22"/>
          <w:u w:val="none"/>
          <w:lang w:val="en-US" w:eastAsia="zh-CN"/>
        </w:rPr>
        <w:t>特此声明。</w:t>
      </w:r>
    </w:p>
    <w:p w14:paraId="4C6F2717">
      <w:pPr>
        <w:spacing w:line="360" w:lineRule="auto"/>
        <w:ind w:firstLine="480" w:firstLineChars="200"/>
        <w:jc w:val="right"/>
        <w:rPr>
          <w:rFonts w:hint="eastAsia" w:ascii="宋体" w:hAnsi="宋体" w:eastAsia="宋体" w:cs="宋体"/>
          <w:b w:val="0"/>
          <w:bCs w:val="0"/>
          <w:i w:val="0"/>
          <w:iCs w:val="0"/>
          <w:color w:val="auto"/>
          <w:sz w:val="24"/>
          <w:szCs w:val="22"/>
          <w:u w:val="none"/>
          <w:lang w:val="en-US" w:eastAsia="zh-CN"/>
        </w:rPr>
      </w:pPr>
    </w:p>
    <w:p w14:paraId="77B24703">
      <w:pPr>
        <w:spacing w:line="360" w:lineRule="auto"/>
        <w:ind w:firstLine="480" w:firstLineChars="200"/>
        <w:jc w:val="right"/>
        <w:rPr>
          <w:rFonts w:hint="eastAsia" w:ascii="宋体" w:hAnsi="宋体" w:eastAsia="宋体" w:cs="宋体"/>
          <w:b w:val="0"/>
          <w:bCs w:val="0"/>
          <w:i w:val="0"/>
          <w:iCs w:val="0"/>
          <w:color w:val="auto"/>
          <w:sz w:val="24"/>
          <w:szCs w:val="22"/>
          <w:u w:val="none"/>
          <w:lang w:val="en-US" w:eastAsia="zh-CN"/>
        </w:rPr>
      </w:pPr>
      <w:r>
        <w:rPr>
          <w:rFonts w:hint="eastAsia" w:ascii="宋体" w:hAnsi="宋体" w:eastAsia="宋体" w:cs="宋体"/>
          <w:b w:val="0"/>
          <w:bCs w:val="0"/>
          <w:i w:val="0"/>
          <w:iCs w:val="0"/>
          <w:color w:val="auto"/>
          <w:sz w:val="24"/>
          <w:szCs w:val="22"/>
          <w:u w:val="none"/>
          <w:lang w:val="en-US" w:eastAsia="zh-CN"/>
        </w:rPr>
        <w:t>省级以上监狱管理局、戒毒管理所（含新疆生产建设兵团）（盖章）：</w:t>
      </w:r>
    </w:p>
    <w:p w14:paraId="14E72035">
      <w:pPr>
        <w:spacing w:line="360" w:lineRule="auto"/>
        <w:jc w:val="right"/>
        <w:rPr>
          <w:rFonts w:hint="eastAsia" w:ascii="宋体" w:hAnsi="宋体" w:eastAsia="宋体" w:cs="宋体"/>
          <w:b w:val="0"/>
          <w:bCs w:val="0"/>
          <w:i w:val="0"/>
          <w:iCs w:val="0"/>
          <w:color w:val="auto"/>
          <w:sz w:val="24"/>
          <w:szCs w:val="22"/>
          <w:u w:val="none"/>
          <w:lang w:val="en-US" w:eastAsia="zh-CN"/>
        </w:rPr>
      </w:pPr>
      <w:r>
        <w:rPr>
          <w:rFonts w:hint="eastAsia" w:ascii="宋体" w:hAnsi="宋体" w:eastAsia="宋体" w:cs="宋体"/>
          <w:b w:val="0"/>
          <w:bCs w:val="0"/>
          <w:i w:val="0"/>
          <w:iCs w:val="0"/>
          <w:color w:val="auto"/>
          <w:sz w:val="24"/>
          <w:szCs w:val="22"/>
          <w:u w:val="none"/>
          <w:lang w:val="en-US" w:eastAsia="zh-CN"/>
        </w:rPr>
        <w:t>日期：   年     月   日</w:t>
      </w:r>
    </w:p>
    <w:p w14:paraId="094E9EA7">
      <w:pPr>
        <w:spacing w:line="360" w:lineRule="auto"/>
        <w:jc w:val="right"/>
        <w:rPr>
          <w:rFonts w:hint="eastAsia" w:ascii="宋体" w:hAnsi="宋体" w:eastAsia="宋体" w:cs="宋体"/>
          <w:b/>
          <w:bCs/>
          <w:i w:val="0"/>
          <w:iCs w:val="0"/>
          <w:color w:val="auto"/>
          <w:sz w:val="24"/>
          <w:szCs w:val="22"/>
          <w:u w:val="none"/>
          <w:lang w:val="en-US" w:eastAsia="zh-CN"/>
        </w:rPr>
      </w:pPr>
    </w:p>
    <w:p w14:paraId="26C2AD6D">
      <w:pPr>
        <w:spacing w:line="360" w:lineRule="auto"/>
        <w:jc w:val="both"/>
        <w:rPr>
          <w:rFonts w:hint="eastAsia" w:ascii="宋体" w:hAnsi="宋体" w:eastAsia="宋体" w:cs="宋体"/>
          <w:b/>
          <w:bCs/>
          <w:i w:val="0"/>
          <w:iCs w:val="0"/>
          <w:color w:val="auto"/>
          <w:sz w:val="24"/>
          <w:szCs w:val="22"/>
          <w:u w:val="none"/>
          <w:lang w:val="en-US" w:eastAsia="zh-CN"/>
        </w:rPr>
      </w:pPr>
      <w:r>
        <w:rPr>
          <w:rFonts w:hint="eastAsia" w:ascii="宋体" w:hAnsi="宋体" w:eastAsia="宋体" w:cs="宋体"/>
          <w:b/>
          <w:bCs/>
          <w:i w:val="0"/>
          <w:iCs w:val="0"/>
          <w:color w:val="auto"/>
          <w:sz w:val="24"/>
          <w:szCs w:val="22"/>
          <w:u w:val="none"/>
          <w:lang w:val="en-US" w:eastAsia="zh-CN"/>
        </w:rPr>
        <w:t>注：符合条件的监狱企业请提供此函，不符合的可不提供本函。</w:t>
      </w:r>
    </w:p>
    <w:p w14:paraId="35708D3B">
      <w:pPr>
        <w:jc w:val="center"/>
        <w:rPr>
          <w:rFonts w:hint="eastAsia" w:ascii="宋体" w:hAnsi="宋体" w:eastAsia="宋体" w:cs="宋体"/>
          <w:b w:val="0"/>
          <w:bCs w:val="0"/>
          <w:i w:val="0"/>
          <w:iCs w:val="0"/>
          <w:color w:val="auto"/>
          <w:sz w:val="28"/>
          <w:szCs w:val="24"/>
          <w:u w:val="none"/>
          <w:lang w:val="en-US" w:eastAsia="zh-CN"/>
        </w:rPr>
      </w:pPr>
    </w:p>
    <w:p w14:paraId="5275F435">
      <w:pPr>
        <w:jc w:val="both"/>
        <w:rPr>
          <w:rFonts w:hint="eastAsia" w:ascii="宋体" w:hAnsi="宋体" w:eastAsia="宋体" w:cs="宋体"/>
          <w:b w:val="0"/>
          <w:bCs w:val="0"/>
          <w:color w:val="auto"/>
          <w:sz w:val="28"/>
          <w:szCs w:val="24"/>
          <w:u w:val="none"/>
        </w:rPr>
      </w:pPr>
      <w:r>
        <w:rPr>
          <w:rFonts w:hint="eastAsia" w:ascii="宋体" w:hAnsi="宋体" w:eastAsia="宋体" w:cs="宋体"/>
          <w:b w:val="0"/>
          <w:bCs w:val="0"/>
          <w:color w:val="auto"/>
          <w:sz w:val="28"/>
          <w:szCs w:val="24"/>
          <w:u w:val="none"/>
        </w:rPr>
        <w:br w:type="page"/>
      </w:r>
    </w:p>
    <w:p w14:paraId="2494B2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4.8 襄城县政府采购供应商信用承诺函</w:t>
      </w:r>
    </w:p>
    <w:p w14:paraId="7047FD4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zh-CN"/>
        </w:rPr>
        <w:t>致</w:t>
      </w:r>
      <w:r>
        <w:rPr>
          <w:rFonts w:hint="eastAsia" w:ascii="宋体" w:hAnsi="宋体" w:eastAsia="宋体" w:cs="宋体"/>
          <w:b/>
          <w:bCs/>
          <w:color w:val="auto"/>
          <w:sz w:val="24"/>
          <w:szCs w:val="24"/>
          <w:lang w:val="zh-CN" w:eastAsia="zh-CN"/>
        </w:rPr>
        <w:t>：</w:t>
      </w:r>
      <w:r>
        <w:rPr>
          <w:rFonts w:hint="eastAsia" w:ascii="宋体" w:hAnsi="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lang w:val="zh-CN"/>
        </w:rPr>
        <w:t>（采购人）</w:t>
      </w:r>
      <w:r>
        <w:rPr>
          <w:rFonts w:hint="eastAsia" w:ascii="宋体" w:hAnsi="宋体" w:cs="宋体"/>
          <w:b/>
          <w:bCs/>
          <w:color w:val="auto"/>
          <w:sz w:val="24"/>
          <w:szCs w:val="24"/>
          <w:u w:val="single"/>
          <w:lang w:val="en-US" w:eastAsia="zh-CN"/>
        </w:rPr>
        <w:t xml:space="preserve">   </w:t>
      </w:r>
    </w:p>
    <w:p w14:paraId="2641B0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zh-CN"/>
        </w:rPr>
        <w:t>单位名称（自然人姓名）:</w:t>
      </w:r>
      <w:r>
        <w:rPr>
          <w:rFonts w:hint="eastAsia" w:ascii="宋体" w:hAnsi="宋体" w:eastAsia="宋体" w:cs="宋体"/>
          <w:color w:val="auto"/>
          <w:sz w:val="24"/>
          <w:szCs w:val="24"/>
          <w:u w:val="single"/>
          <w:lang w:val="en-US" w:eastAsia="zh-CN"/>
        </w:rPr>
        <w:t xml:space="preserve">                  </w:t>
      </w:r>
    </w:p>
    <w:p w14:paraId="1E4FBB5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统一社会信用代码（身份证号码）:</w:t>
      </w:r>
      <w:r>
        <w:rPr>
          <w:rFonts w:hint="eastAsia" w:ascii="宋体" w:hAnsi="宋体" w:eastAsia="宋体" w:cs="宋体"/>
          <w:color w:val="auto"/>
          <w:sz w:val="24"/>
          <w:szCs w:val="24"/>
          <w:u w:val="single"/>
          <w:lang w:val="en-US" w:eastAsia="zh-CN"/>
        </w:rPr>
        <w:t xml:space="preserve">                  </w:t>
      </w:r>
    </w:p>
    <w:p w14:paraId="78768D7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法定代表人（负责人）:</w:t>
      </w:r>
      <w:r>
        <w:rPr>
          <w:rFonts w:hint="eastAsia" w:ascii="宋体" w:hAnsi="宋体" w:eastAsia="宋体" w:cs="宋体"/>
          <w:color w:val="auto"/>
          <w:sz w:val="24"/>
          <w:szCs w:val="24"/>
          <w:u w:val="single"/>
          <w:lang w:val="en-US" w:eastAsia="zh-CN"/>
        </w:rPr>
        <w:t xml:space="preserve">                  </w:t>
      </w:r>
    </w:p>
    <w:p w14:paraId="5941769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联系地址和电话：</w:t>
      </w:r>
      <w:r>
        <w:rPr>
          <w:rFonts w:hint="eastAsia" w:ascii="宋体" w:hAnsi="宋体" w:eastAsia="宋体" w:cs="宋体"/>
          <w:color w:val="auto"/>
          <w:sz w:val="24"/>
          <w:szCs w:val="24"/>
          <w:u w:val="single"/>
          <w:lang w:val="en-US" w:eastAsia="zh-CN"/>
        </w:rPr>
        <w:t xml:space="preserve">                  </w:t>
      </w:r>
    </w:p>
    <w:p w14:paraId="1FA264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为维护公平、公正、公开的政府采购市场秩序，树立诚实守信的政府采购供应商形象，我单位（本人）自愿作出以下承诺：</w:t>
      </w:r>
    </w:p>
    <w:p w14:paraId="3989561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6C7C32A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（一）具有独立承担民事责任的能力；</w:t>
      </w:r>
    </w:p>
    <w:p w14:paraId="2493D39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（二）具有良好的商业信誉和健全的财务会计制度；</w:t>
      </w:r>
    </w:p>
    <w:p w14:paraId="79F50C5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（三）具有履行合同所必需的设备和专业技术能力；</w:t>
      </w:r>
    </w:p>
    <w:p w14:paraId="0A023C4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（四）有依法缴纳税收和社会保障资金的良好记录；</w:t>
      </w:r>
    </w:p>
    <w:p w14:paraId="4EE83E8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（五）参加政府采购活动前三年内，在经营活动中没有重大违法记录；</w:t>
      </w:r>
    </w:p>
    <w:p w14:paraId="63293A8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（六）未被列入经营异常名录或者严重违法失信名单、失信被执行人，</w:t>
      </w:r>
    </w:p>
    <w:p w14:paraId="4BA12F4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重大税收违法案件当事人名单、政府采购严重违法失信行为记录名单；</w:t>
      </w:r>
    </w:p>
    <w:p w14:paraId="5A17EE2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（七）未被相关监管部门作出行政处罚且尚在处罚有效期的；</w:t>
      </w:r>
    </w:p>
    <w:p w14:paraId="4CBDD03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（八）未曾作出虚假采购承诺；</w:t>
      </w:r>
    </w:p>
    <w:p w14:paraId="4317530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（九）符合法律、行政法规规定的其他条件。</w:t>
      </w:r>
    </w:p>
    <w:p w14:paraId="1FA1354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二、我单位（本人）保证上述承诺事项的真实性。如有弄虚作假或其他</w:t>
      </w:r>
    </w:p>
    <w:p w14:paraId="75582FF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17FA2B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供应商（电子章）:</w:t>
      </w:r>
    </w:p>
    <w:p w14:paraId="1281ED1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法定代表人、负责人、本人、或授权代表（签字或电子印章）:</w:t>
      </w:r>
    </w:p>
    <w:p w14:paraId="681B694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p>
    <w:p w14:paraId="7ACE91E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日期：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年 月 日</w:t>
      </w:r>
    </w:p>
    <w:p w14:paraId="22F62E6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w:t>
      </w:r>
    </w:p>
    <w:p w14:paraId="42302FB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1.投标人须在投标文件中按此模板提供承诺函，未提供视为未实质性响应招标文件要求，按无效投标处理。</w:t>
      </w:r>
    </w:p>
    <w:p w14:paraId="48C7ACE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2.投标人的法定代表人或者授权代表的签字或盖章应真实、有效，如由授权代表签字或盖章的，应提供“法定代表人授权书”。</w:t>
      </w:r>
    </w:p>
    <w:p w14:paraId="05F8ACCC">
      <w:pPr>
        <w:spacing w:line="360" w:lineRule="auto"/>
        <w:ind w:firstLine="120" w:firstLineChars="50"/>
        <w:rPr>
          <w:rFonts w:hint="eastAsia" w:ascii="宋体" w:hAnsi="宋体" w:eastAsia="宋体" w:cs="宋体"/>
          <w:color w:val="auto"/>
          <w:sz w:val="24"/>
          <w:szCs w:val="24"/>
          <w:lang w:val="zh-CN"/>
        </w:rPr>
      </w:pPr>
    </w:p>
    <w:p w14:paraId="50DB6548">
      <w:pPr>
        <w:spacing w:line="360" w:lineRule="auto"/>
        <w:ind w:firstLine="120" w:firstLineChars="50"/>
        <w:rPr>
          <w:rFonts w:hint="eastAsia" w:ascii="宋体" w:hAnsi="宋体" w:eastAsia="宋体" w:cs="宋体"/>
          <w:color w:val="auto"/>
          <w:sz w:val="24"/>
          <w:szCs w:val="24"/>
          <w:lang w:val="zh-CN"/>
        </w:rPr>
      </w:pPr>
    </w:p>
    <w:p w14:paraId="025F0860">
      <w:pPr>
        <w:spacing w:line="360" w:lineRule="auto"/>
        <w:ind w:firstLine="141" w:firstLineChars="50"/>
        <w:rPr>
          <w:rFonts w:hint="eastAsia" w:ascii="宋体" w:hAnsi="宋体" w:eastAsia="宋体" w:cs="宋体"/>
          <w:b/>
          <w:bCs/>
          <w:color w:val="auto"/>
          <w:sz w:val="28"/>
          <w:szCs w:val="24"/>
        </w:rPr>
      </w:pPr>
    </w:p>
    <w:p w14:paraId="4E358407">
      <w:pPr>
        <w:spacing w:line="360" w:lineRule="auto"/>
        <w:ind w:firstLine="141" w:firstLineChars="50"/>
        <w:rPr>
          <w:rFonts w:hint="eastAsia" w:ascii="宋体" w:hAnsi="宋体" w:eastAsia="宋体" w:cs="宋体"/>
          <w:b/>
          <w:bCs/>
          <w:color w:val="auto"/>
          <w:sz w:val="28"/>
          <w:szCs w:val="24"/>
        </w:rPr>
      </w:pPr>
    </w:p>
    <w:p w14:paraId="7D4C06D6">
      <w:pPr>
        <w:spacing w:line="360" w:lineRule="auto"/>
        <w:ind w:firstLine="141" w:firstLineChars="50"/>
        <w:rPr>
          <w:rFonts w:hint="eastAsia" w:ascii="宋体" w:hAnsi="宋体" w:eastAsia="宋体" w:cs="宋体"/>
          <w:b/>
          <w:bCs/>
          <w:color w:val="auto"/>
          <w:sz w:val="28"/>
          <w:szCs w:val="24"/>
        </w:rPr>
      </w:pPr>
    </w:p>
    <w:p w14:paraId="2BFCACD6">
      <w:pPr>
        <w:spacing w:line="360" w:lineRule="auto"/>
        <w:ind w:firstLine="141" w:firstLineChars="50"/>
        <w:rPr>
          <w:rFonts w:hint="eastAsia" w:ascii="宋体" w:hAnsi="宋体" w:eastAsia="宋体" w:cs="宋体"/>
          <w:b/>
          <w:bCs/>
          <w:color w:val="auto"/>
          <w:sz w:val="28"/>
          <w:szCs w:val="24"/>
        </w:rPr>
      </w:pPr>
    </w:p>
    <w:p w14:paraId="48E7EE1C">
      <w:pPr>
        <w:spacing w:line="360" w:lineRule="auto"/>
        <w:ind w:firstLine="141" w:firstLineChars="50"/>
        <w:rPr>
          <w:rFonts w:hint="eastAsia" w:ascii="宋体" w:hAnsi="宋体" w:eastAsia="宋体" w:cs="宋体"/>
          <w:b/>
          <w:bCs/>
          <w:color w:val="auto"/>
          <w:sz w:val="28"/>
          <w:szCs w:val="24"/>
        </w:rPr>
      </w:pPr>
    </w:p>
    <w:p w14:paraId="2565636D">
      <w:pPr>
        <w:spacing w:line="360" w:lineRule="auto"/>
        <w:ind w:firstLine="141" w:firstLineChars="50"/>
        <w:rPr>
          <w:rFonts w:hint="eastAsia" w:ascii="宋体" w:hAnsi="宋体" w:eastAsia="宋体" w:cs="宋体"/>
          <w:b/>
          <w:bCs/>
          <w:color w:val="auto"/>
          <w:sz w:val="28"/>
          <w:szCs w:val="24"/>
        </w:rPr>
      </w:pPr>
    </w:p>
    <w:p w14:paraId="6E3B1F41">
      <w:pPr>
        <w:spacing w:line="360" w:lineRule="auto"/>
        <w:ind w:firstLine="141" w:firstLineChars="50"/>
        <w:rPr>
          <w:rFonts w:hint="eastAsia" w:ascii="宋体" w:hAnsi="宋体" w:eastAsia="宋体" w:cs="宋体"/>
          <w:b/>
          <w:bCs/>
          <w:color w:val="auto"/>
          <w:sz w:val="28"/>
          <w:szCs w:val="24"/>
        </w:rPr>
      </w:pPr>
    </w:p>
    <w:p w14:paraId="28D443EA">
      <w:pPr>
        <w:spacing w:line="360" w:lineRule="auto"/>
        <w:ind w:firstLine="141" w:firstLineChars="50"/>
        <w:rPr>
          <w:rFonts w:hint="eastAsia" w:ascii="宋体" w:hAnsi="宋体" w:eastAsia="宋体" w:cs="宋体"/>
          <w:b/>
          <w:bCs/>
          <w:color w:val="auto"/>
          <w:sz w:val="28"/>
          <w:szCs w:val="24"/>
        </w:rPr>
      </w:pPr>
    </w:p>
    <w:p w14:paraId="720F22DA">
      <w:pPr>
        <w:spacing w:line="360" w:lineRule="auto"/>
        <w:ind w:firstLine="141" w:firstLineChars="50"/>
        <w:rPr>
          <w:rFonts w:hint="eastAsia" w:ascii="宋体" w:hAnsi="宋体" w:eastAsia="宋体" w:cs="宋体"/>
          <w:b/>
          <w:bCs/>
          <w:color w:val="auto"/>
          <w:sz w:val="28"/>
          <w:szCs w:val="24"/>
        </w:rPr>
      </w:pPr>
    </w:p>
    <w:p w14:paraId="4F1605E6">
      <w:pPr>
        <w:spacing w:line="360" w:lineRule="auto"/>
        <w:ind w:firstLine="141" w:firstLineChars="50"/>
        <w:rPr>
          <w:rFonts w:hint="eastAsia" w:ascii="宋体" w:hAnsi="宋体" w:eastAsia="宋体" w:cs="宋体"/>
          <w:b/>
          <w:bCs/>
          <w:color w:val="auto"/>
          <w:sz w:val="28"/>
          <w:szCs w:val="24"/>
        </w:rPr>
      </w:pPr>
    </w:p>
    <w:p w14:paraId="31D58643">
      <w:pPr>
        <w:spacing w:line="360" w:lineRule="auto"/>
        <w:ind w:firstLine="141" w:firstLineChars="50"/>
        <w:rPr>
          <w:rFonts w:hint="eastAsia" w:ascii="宋体" w:hAnsi="宋体" w:eastAsia="宋体" w:cs="宋体"/>
          <w:b/>
          <w:bCs/>
          <w:color w:val="auto"/>
          <w:sz w:val="28"/>
          <w:szCs w:val="24"/>
        </w:rPr>
      </w:pPr>
    </w:p>
    <w:p w14:paraId="6F8C8266">
      <w:pPr>
        <w:spacing w:line="360" w:lineRule="auto"/>
        <w:ind w:firstLine="141" w:firstLineChars="50"/>
        <w:rPr>
          <w:rFonts w:hint="eastAsia" w:ascii="宋体" w:hAnsi="宋体" w:eastAsia="宋体" w:cs="宋体"/>
          <w:b/>
          <w:bCs/>
          <w:color w:val="auto"/>
          <w:sz w:val="28"/>
          <w:szCs w:val="24"/>
        </w:rPr>
      </w:pPr>
    </w:p>
    <w:p w14:paraId="36DE0530">
      <w:pPr>
        <w:spacing w:line="360" w:lineRule="auto"/>
        <w:ind w:firstLine="141" w:firstLineChars="50"/>
        <w:rPr>
          <w:rFonts w:hint="eastAsia" w:ascii="宋体" w:hAnsi="宋体" w:eastAsia="宋体" w:cs="宋体"/>
          <w:b/>
          <w:bCs/>
          <w:color w:val="auto"/>
          <w:sz w:val="28"/>
          <w:szCs w:val="24"/>
        </w:rPr>
      </w:pPr>
    </w:p>
    <w:p w14:paraId="1EFA6C66">
      <w:pPr>
        <w:spacing w:line="360" w:lineRule="auto"/>
        <w:ind w:firstLine="141" w:firstLineChars="50"/>
        <w:rPr>
          <w:rFonts w:hint="eastAsia" w:ascii="宋体" w:hAnsi="宋体" w:eastAsia="宋体" w:cs="宋体"/>
          <w:b/>
          <w:bCs/>
          <w:color w:val="auto"/>
          <w:sz w:val="28"/>
          <w:szCs w:val="24"/>
        </w:rPr>
      </w:pPr>
    </w:p>
    <w:p w14:paraId="2E2009EB">
      <w:pPr>
        <w:spacing w:line="360" w:lineRule="auto"/>
        <w:ind w:firstLine="141" w:firstLineChars="50"/>
        <w:rPr>
          <w:rFonts w:hint="eastAsia" w:ascii="宋体" w:hAnsi="宋体" w:eastAsia="宋体" w:cs="宋体"/>
          <w:b/>
          <w:bCs/>
          <w:color w:val="auto"/>
          <w:sz w:val="28"/>
          <w:szCs w:val="24"/>
        </w:rPr>
      </w:pPr>
    </w:p>
    <w:p w14:paraId="72E6BC1B">
      <w:pPr>
        <w:spacing w:line="360" w:lineRule="auto"/>
        <w:ind w:firstLine="141" w:firstLineChars="50"/>
        <w:rPr>
          <w:rFonts w:hint="eastAsia" w:ascii="宋体" w:hAnsi="宋体" w:eastAsia="宋体" w:cs="宋体"/>
          <w:b/>
          <w:bCs/>
          <w:color w:val="auto"/>
          <w:sz w:val="28"/>
          <w:szCs w:val="24"/>
        </w:rPr>
      </w:pPr>
    </w:p>
    <w:p w14:paraId="3F4C1C86">
      <w:pPr>
        <w:spacing w:line="360" w:lineRule="auto"/>
        <w:ind w:firstLine="141" w:firstLineChars="50"/>
        <w:rPr>
          <w:rFonts w:hint="eastAsia" w:ascii="宋体" w:hAnsi="宋体" w:eastAsia="宋体" w:cs="宋体"/>
          <w:b/>
          <w:bCs/>
          <w:color w:val="auto"/>
          <w:sz w:val="28"/>
          <w:szCs w:val="24"/>
        </w:rPr>
      </w:pPr>
    </w:p>
    <w:p w14:paraId="251891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en-US" w:eastAsia="zh-CN"/>
        </w:rPr>
        <w:t>4.9、</w:t>
      </w:r>
      <w:r>
        <w:rPr>
          <w:rFonts w:hint="eastAsia" w:ascii="宋体" w:hAnsi="宋体" w:eastAsia="宋体" w:cs="宋体"/>
          <w:b/>
          <w:bCs/>
          <w:sz w:val="24"/>
          <w:szCs w:val="24"/>
          <w:lang w:val="zh-CN" w:eastAsia="zh-CN"/>
        </w:rPr>
        <w:t>供应商与参加本项目投标的其他供应商之间，单位负责人不为同一人并且不存在直接控股、管理关系</w:t>
      </w:r>
    </w:p>
    <w:p w14:paraId="14C7AE0C">
      <w:pPr>
        <w:autoSpaceDE w:val="0"/>
        <w:autoSpaceDN w:val="0"/>
        <w:adjustRightInd w:val="0"/>
        <w:spacing w:line="360" w:lineRule="auto"/>
        <w:jc w:val="center"/>
        <w:outlineLvl w:val="0"/>
        <w:rPr>
          <w:rFonts w:hint="eastAsia" w:ascii="宋体" w:hAnsi="宋体" w:eastAsia="宋体" w:cs="宋体"/>
          <w:b/>
          <w:bCs/>
          <w:color w:val="auto"/>
          <w:sz w:val="24"/>
          <w:szCs w:val="22"/>
          <w:lang w:val="zh-CN"/>
        </w:rPr>
      </w:pPr>
    </w:p>
    <w:p w14:paraId="496FB034">
      <w:pPr>
        <w:autoSpaceDE w:val="0"/>
        <w:autoSpaceDN w:val="0"/>
        <w:adjustRightInd w:val="0"/>
        <w:spacing w:line="360" w:lineRule="auto"/>
        <w:jc w:val="center"/>
        <w:outlineLvl w:val="0"/>
        <w:rPr>
          <w:rFonts w:hint="eastAsia" w:ascii="宋体" w:hAnsi="宋体" w:eastAsia="宋体" w:cs="宋体"/>
          <w:b/>
          <w:bCs/>
          <w:color w:val="auto"/>
          <w:sz w:val="24"/>
          <w:szCs w:val="22"/>
          <w:lang w:val="zh-CN"/>
        </w:rPr>
      </w:pPr>
    </w:p>
    <w:p w14:paraId="3FAE7527">
      <w:pPr>
        <w:autoSpaceDE w:val="0"/>
        <w:autoSpaceDN w:val="0"/>
        <w:adjustRightInd w:val="0"/>
        <w:spacing w:line="360" w:lineRule="auto"/>
        <w:jc w:val="center"/>
        <w:outlineLvl w:val="0"/>
        <w:rPr>
          <w:rFonts w:hint="eastAsia" w:ascii="宋体" w:hAnsi="宋体" w:eastAsia="宋体" w:cs="宋体"/>
          <w:b/>
          <w:bCs/>
          <w:color w:val="auto"/>
          <w:sz w:val="24"/>
          <w:szCs w:val="22"/>
          <w:lang w:val="zh-CN"/>
        </w:rPr>
      </w:pPr>
      <w:r>
        <w:rPr>
          <w:rFonts w:hint="eastAsia" w:ascii="宋体" w:hAnsi="宋体" w:eastAsia="宋体" w:cs="宋体"/>
          <w:b/>
          <w:bCs/>
          <w:color w:val="auto"/>
          <w:sz w:val="24"/>
          <w:szCs w:val="22"/>
          <w:lang w:val="zh-CN"/>
        </w:rPr>
        <w:t>（承诺函格式自拟）</w:t>
      </w:r>
    </w:p>
    <w:p w14:paraId="3A8AC706">
      <w:pPr>
        <w:spacing w:line="360" w:lineRule="auto"/>
        <w:ind w:firstLine="120" w:firstLineChars="50"/>
        <w:rPr>
          <w:rFonts w:hint="eastAsia" w:ascii="宋体" w:hAnsi="宋体" w:eastAsia="宋体" w:cs="宋体"/>
          <w:bCs/>
          <w:color w:val="auto"/>
          <w:sz w:val="24"/>
          <w:szCs w:val="24"/>
        </w:rPr>
      </w:pPr>
    </w:p>
    <w:p w14:paraId="5C142477">
      <w:pPr>
        <w:autoSpaceDE w:val="0"/>
        <w:autoSpaceDN w:val="0"/>
        <w:adjustRightInd w:val="0"/>
        <w:spacing w:line="360" w:lineRule="auto"/>
        <w:jc w:val="center"/>
        <w:outlineLvl w:val="0"/>
        <w:rPr>
          <w:rFonts w:hint="eastAsia" w:ascii="宋体" w:hAnsi="宋体" w:eastAsia="宋体" w:cs="宋体"/>
          <w:b/>
          <w:bCs/>
          <w:color w:val="auto"/>
          <w:sz w:val="32"/>
          <w:szCs w:val="32"/>
        </w:rPr>
      </w:pPr>
    </w:p>
    <w:p w14:paraId="46488477">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3F19A245">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1B2A71C6">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7396837F">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37B214C6">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1F0E79A2">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2AAD47D8">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6CECD48C">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626A6C24">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1FF7F7C2">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0658FD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zh-CN" w:eastAsia="zh-CN"/>
        </w:rPr>
      </w:pPr>
    </w:p>
    <w:p w14:paraId="229B92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4.</w:t>
      </w:r>
      <w:r>
        <w:rPr>
          <w:rFonts w:hint="eastAsia" w:ascii="宋体" w:hAnsi="宋体" w:eastAsia="宋体" w:cs="宋体"/>
          <w:b/>
          <w:bCs/>
          <w:sz w:val="24"/>
          <w:szCs w:val="24"/>
          <w:lang w:val="en-US" w:eastAsia="zh-CN"/>
        </w:rPr>
        <w:t>10</w:t>
      </w:r>
      <w:r>
        <w:rPr>
          <w:rFonts w:hint="eastAsia" w:ascii="宋体" w:hAnsi="宋体" w:eastAsia="宋体" w:cs="宋体"/>
          <w:b/>
          <w:bCs/>
          <w:sz w:val="24"/>
          <w:szCs w:val="24"/>
          <w:lang w:val="zh-CN" w:eastAsia="zh-CN"/>
        </w:rPr>
        <w:t>、供应商未为本项目提供整体设计、规范编制或者项目管理、监理、检测等服务承诺函</w:t>
      </w:r>
    </w:p>
    <w:p w14:paraId="371306C3">
      <w:pPr>
        <w:autoSpaceDE w:val="0"/>
        <w:autoSpaceDN w:val="0"/>
        <w:adjustRightInd w:val="0"/>
        <w:spacing w:line="360" w:lineRule="auto"/>
        <w:jc w:val="center"/>
        <w:outlineLvl w:val="0"/>
        <w:rPr>
          <w:rFonts w:hint="eastAsia" w:ascii="宋体" w:hAnsi="宋体" w:eastAsia="宋体" w:cs="宋体"/>
          <w:b/>
          <w:bCs/>
          <w:color w:val="auto"/>
          <w:sz w:val="24"/>
          <w:szCs w:val="22"/>
          <w:lang w:val="zh-CN"/>
        </w:rPr>
      </w:pPr>
    </w:p>
    <w:p w14:paraId="260AC534">
      <w:pPr>
        <w:autoSpaceDE w:val="0"/>
        <w:autoSpaceDN w:val="0"/>
        <w:adjustRightInd w:val="0"/>
        <w:spacing w:line="360" w:lineRule="auto"/>
        <w:jc w:val="center"/>
        <w:outlineLvl w:val="0"/>
        <w:rPr>
          <w:rFonts w:hint="eastAsia" w:ascii="宋体" w:hAnsi="宋体" w:eastAsia="宋体" w:cs="宋体"/>
          <w:b/>
          <w:bCs/>
          <w:color w:val="auto"/>
          <w:sz w:val="24"/>
          <w:szCs w:val="22"/>
          <w:lang w:val="zh-CN"/>
        </w:rPr>
      </w:pPr>
    </w:p>
    <w:p w14:paraId="0193B172">
      <w:pPr>
        <w:autoSpaceDE w:val="0"/>
        <w:autoSpaceDN w:val="0"/>
        <w:adjustRightInd w:val="0"/>
        <w:spacing w:line="360" w:lineRule="auto"/>
        <w:jc w:val="center"/>
        <w:outlineLvl w:val="0"/>
        <w:rPr>
          <w:rFonts w:hint="eastAsia" w:ascii="宋体" w:hAnsi="宋体" w:eastAsia="宋体" w:cs="宋体"/>
          <w:b/>
          <w:bCs/>
          <w:color w:val="auto"/>
          <w:sz w:val="24"/>
          <w:szCs w:val="22"/>
          <w:lang w:val="zh-CN"/>
        </w:rPr>
      </w:pPr>
      <w:r>
        <w:rPr>
          <w:rFonts w:hint="eastAsia" w:ascii="宋体" w:hAnsi="宋体" w:eastAsia="宋体" w:cs="宋体"/>
          <w:b/>
          <w:bCs/>
          <w:color w:val="auto"/>
          <w:sz w:val="24"/>
          <w:szCs w:val="22"/>
          <w:lang w:val="zh-CN"/>
        </w:rPr>
        <w:t>（承诺函格式自拟）</w:t>
      </w:r>
    </w:p>
    <w:p w14:paraId="71C12329">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4C153937">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47C7FFD9">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0E9BAF2F">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15F8FD64">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74B22FE2">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5D3209DD">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57B6F1E4">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0CD3CDA7">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58C5C1D5">
      <w:pPr>
        <w:widowControl/>
        <w:spacing w:before="100" w:beforeAutospacing="1" w:after="100" w:afterAutospacing="1" w:line="360" w:lineRule="auto"/>
        <w:ind w:firstLine="2530" w:firstLineChars="700"/>
        <w:rPr>
          <w:rFonts w:hint="eastAsia" w:ascii="宋体" w:hAnsi="宋体" w:eastAsia="宋体" w:cs="宋体"/>
          <w:b/>
          <w:bCs/>
          <w:color w:val="auto"/>
          <w:sz w:val="36"/>
          <w:szCs w:val="32"/>
        </w:rPr>
      </w:pPr>
    </w:p>
    <w:p w14:paraId="60A94B67">
      <w:pPr>
        <w:widowControl/>
        <w:spacing w:before="100" w:beforeAutospacing="1" w:after="100" w:afterAutospacing="1" w:line="360" w:lineRule="auto"/>
        <w:ind w:firstLine="2530" w:firstLineChars="700"/>
        <w:rPr>
          <w:rFonts w:hint="eastAsia" w:ascii="宋体" w:hAnsi="宋体" w:eastAsia="宋体" w:cs="宋体"/>
          <w:b/>
          <w:bCs/>
          <w:color w:val="auto"/>
          <w:sz w:val="36"/>
          <w:szCs w:val="32"/>
          <w:lang w:val="en-US" w:eastAsia="zh-CN"/>
        </w:rPr>
      </w:pPr>
    </w:p>
    <w:p w14:paraId="04580515">
      <w:pPr>
        <w:widowControl/>
        <w:spacing w:before="100" w:beforeAutospacing="1" w:after="100" w:afterAutospacing="1" w:line="360" w:lineRule="auto"/>
        <w:ind w:firstLine="2530" w:firstLineChars="700"/>
        <w:rPr>
          <w:rFonts w:hint="eastAsia" w:ascii="宋体" w:hAnsi="宋体" w:eastAsia="宋体" w:cs="宋体"/>
          <w:b/>
          <w:bCs/>
          <w:color w:val="auto"/>
          <w:sz w:val="36"/>
          <w:szCs w:val="32"/>
          <w:lang w:val="en-US" w:eastAsia="zh-CN"/>
        </w:rPr>
      </w:pPr>
    </w:p>
    <w:p w14:paraId="56FB5A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4.</w:t>
      </w:r>
      <w:r>
        <w:rPr>
          <w:rFonts w:hint="eastAsia" w:ascii="宋体" w:hAnsi="宋体" w:eastAsia="宋体" w:cs="宋体"/>
          <w:b/>
          <w:bCs/>
          <w:sz w:val="24"/>
          <w:szCs w:val="24"/>
          <w:lang w:val="en-US" w:eastAsia="zh-CN"/>
        </w:rPr>
        <w:t>11</w:t>
      </w:r>
      <w:r>
        <w:rPr>
          <w:rFonts w:hint="eastAsia" w:ascii="宋体" w:hAnsi="宋体" w:eastAsia="宋体" w:cs="宋体"/>
          <w:b/>
          <w:bCs/>
          <w:sz w:val="24"/>
          <w:szCs w:val="24"/>
          <w:lang w:val="zh-CN" w:eastAsia="zh-CN"/>
        </w:rPr>
        <w:t>其他资格证书或材料</w:t>
      </w:r>
    </w:p>
    <w:p w14:paraId="77D8BBCD">
      <w:pPr>
        <w:autoSpaceDE w:val="0"/>
        <w:autoSpaceDN w:val="0"/>
        <w:adjustRightInd w:val="0"/>
        <w:spacing w:line="360" w:lineRule="auto"/>
        <w:jc w:val="both"/>
        <w:outlineLvl w:val="0"/>
        <w:rPr>
          <w:rFonts w:hint="eastAsia" w:ascii="宋体" w:hAnsi="宋体" w:eastAsia="宋体" w:cs="宋体"/>
          <w:b/>
          <w:bCs/>
          <w:color w:val="auto"/>
          <w:sz w:val="36"/>
          <w:szCs w:val="32"/>
        </w:rPr>
      </w:pPr>
    </w:p>
    <w:p w14:paraId="76E58834">
      <w:pPr>
        <w:autoSpaceDE w:val="0"/>
        <w:autoSpaceDN w:val="0"/>
        <w:adjustRightInd w:val="0"/>
        <w:spacing w:line="360" w:lineRule="auto"/>
        <w:jc w:val="both"/>
        <w:outlineLvl w:val="0"/>
        <w:rPr>
          <w:rFonts w:hint="eastAsia" w:ascii="宋体" w:hAnsi="宋体" w:eastAsia="宋体" w:cs="宋体"/>
          <w:b/>
          <w:bCs/>
          <w:color w:val="auto"/>
          <w:sz w:val="36"/>
          <w:szCs w:val="32"/>
        </w:rPr>
      </w:pPr>
    </w:p>
    <w:p w14:paraId="15C8D24E">
      <w:pPr>
        <w:autoSpaceDE w:val="0"/>
        <w:autoSpaceDN w:val="0"/>
        <w:adjustRightInd w:val="0"/>
        <w:spacing w:line="360" w:lineRule="auto"/>
        <w:rPr>
          <w:rFonts w:hint="eastAsia" w:ascii="宋体" w:hAnsi="宋体" w:eastAsia="宋体" w:cs="宋体"/>
          <w:b/>
          <w:bCs/>
          <w:color w:val="auto"/>
          <w:sz w:val="36"/>
          <w:szCs w:val="36"/>
          <w:lang w:val="zh-CN"/>
        </w:rPr>
      </w:pPr>
    </w:p>
    <w:p w14:paraId="7CA5A92B">
      <w:pPr>
        <w:autoSpaceDE w:val="0"/>
        <w:autoSpaceDN w:val="0"/>
        <w:adjustRightInd w:val="0"/>
        <w:spacing w:line="360" w:lineRule="auto"/>
        <w:rPr>
          <w:rFonts w:hint="eastAsia" w:ascii="宋体" w:hAnsi="宋体" w:eastAsia="宋体" w:cs="宋体"/>
          <w:b/>
          <w:bCs/>
          <w:color w:val="auto"/>
          <w:sz w:val="36"/>
          <w:szCs w:val="36"/>
          <w:lang w:val="zh-CN"/>
        </w:rPr>
      </w:pPr>
    </w:p>
    <w:p w14:paraId="6D9D9B00">
      <w:pPr>
        <w:autoSpaceDE w:val="0"/>
        <w:autoSpaceDN w:val="0"/>
        <w:adjustRightInd w:val="0"/>
        <w:spacing w:line="360" w:lineRule="auto"/>
        <w:rPr>
          <w:rFonts w:hint="eastAsia" w:ascii="宋体" w:hAnsi="宋体" w:eastAsia="宋体" w:cs="宋体"/>
          <w:b/>
          <w:bCs/>
          <w:color w:val="auto"/>
          <w:sz w:val="36"/>
          <w:szCs w:val="36"/>
          <w:lang w:val="zh-CN"/>
        </w:rPr>
      </w:pPr>
    </w:p>
    <w:p w14:paraId="7A8B3FFF">
      <w:pPr>
        <w:autoSpaceDE w:val="0"/>
        <w:autoSpaceDN w:val="0"/>
        <w:adjustRightInd w:val="0"/>
        <w:spacing w:line="360" w:lineRule="auto"/>
        <w:rPr>
          <w:rFonts w:hint="eastAsia" w:ascii="宋体" w:hAnsi="宋体" w:eastAsia="宋体" w:cs="宋体"/>
          <w:b/>
          <w:bCs/>
          <w:color w:val="auto"/>
          <w:sz w:val="36"/>
          <w:szCs w:val="36"/>
          <w:lang w:val="zh-CN"/>
        </w:rPr>
      </w:pPr>
    </w:p>
    <w:p w14:paraId="37CF14CA">
      <w:pPr>
        <w:autoSpaceDE w:val="0"/>
        <w:autoSpaceDN w:val="0"/>
        <w:adjustRightInd w:val="0"/>
        <w:spacing w:line="360" w:lineRule="auto"/>
        <w:rPr>
          <w:rFonts w:hint="eastAsia" w:ascii="宋体" w:hAnsi="宋体" w:eastAsia="宋体" w:cs="宋体"/>
          <w:b/>
          <w:bCs/>
          <w:color w:val="auto"/>
          <w:sz w:val="36"/>
          <w:szCs w:val="36"/>
          <w:lang w:val="zh-CN"/>
        </w:rPr>
      </w:pPr>
    </w:p>
    <w:p w14:paraId="5F952683">
      <w:pPr>
        <w:autoSpaceDE w:val="0"/>
        <w:autoSpaceDN w:val="0"/>
        <w:adjustRightInd w:val="0"/>
        <w:spacing w:line="360" w:lineRule="auto"/>
        <w:rPr>
          <w:rFonts w:hint="eastAsia" w:ascii="宋体" w:hAnsi="宋体" w:eastAsia="宋体" w:cs="宋体"/>
          <w:b/>
          <w:bCs/>
          <w:color w:val="auto"/>
          <w:sz w:val="36"/>
          <w:szCs w:val="36"/>
          <w:lang w:val="zh-CN"/>
        </w:rPr>
      </w:pPr>
    </w:p>
    <w:p w14:paraId="6777F161">
      <w:pPr>
        <w:autoSpaceDE w:val="0"/>
        <w:autoSpaceDN w:val="0"/>
        <w:adjustRightInd w:val="0"/>
        <w:spacing w:line="360" w:lineRule="auto"/>
        <w:rPr>
          <w:rFonts w:hint="eastAsia" w:ascii="宋体" w:hAnsi="宋体" w:eastAsia="宋体" w:cs="宋体"/>
          <w:b/>
          <w:bCs/>
          <w:color w:val="auto"/>
          <w:sz w:val="36"/>
          <w:szCs w:val="36"/>
          <w:lang w:val="zh-CN"/>
        </w:rPr>
      </w:pPr>
    </w:p>
    <w:p w14:paraId="1617C9E7">
      <w:pPr>
        <w:autoSpaceDE w:val="0"/>
        <w:autoSpaceDN w:val="0"/>
        <w:adjustRightInd w:val="0"/>
        <w:spacing w:line="360" w:lineRule="auto"/>
        <w:rPr>
          <w:rFonts w:hint="eastAsia" w:ascii="宋体" w:hAnsi="宋体" w:eastAsia="宋体" w:cs="宋体"/>
          <w:b/>
          <w:bCs/>
          <w:color w:val="auto"/>
          <w:sz w:val="36"/>
          <w:szCs w:val="36"/>
          <w:lang w:val="zh-CN"/>
        </w:rPr>
      </w:pPr>
    </w:p>
    <w:p w14:paraId="74CFCE74">
      <w:pPr>
        <w:autoSpaceDE w:val="0"/>
        <w:autoSpaceDN w:val="0"/>
        <w:adjustRightInd w:val="0"/>
        <w:spacing w:line="360" w:lineRule="auto"/>
        <w:rPr>
          <w:rFonts w:hint="eastAsia" w:ascii="宋体" w:hAnsi="宋体" w:eastAsia="宋体" w:cs="宋体"/>
          <w:b/>
          <w:bCs/>
          <w:color w:val="auto"/>
          <w:sz w:val="36"/>
          <w:szCs w:val="36"/>
          <w:lang w:val="zh-CN"/>
        </w:rPr>
      </w:pPr>
    </w:p>
    <w:p w14:paraId="3D409A98">
      <w:pPr>
        <w:autoSpaceDE w:val="0"/>
        <w:autoSpaceDN w:val="0"/>
        <w:adjustRightInd w:val="0"/>
        <w:spacing w:line="360" w:lineRule="auto"/>
        <w:rPr>
          <w:rFonts w:hint="eastAsia" w:ascii="宋体" w:hAnsi="宋体" w:eastAsia="宋体" w:cs="宋体"/>
          <w:b/>
          <w:bCs/>
          <w:color w:val="auto"/>
          <w:sz w:val="36"/>
          <w:szCs w:val="36"/>
          <w:lang w:val="zh-CN"/>
        </w:rPr>
      </w:pPr>
    </w:p>
    <w:p w14:paraId="2DDD41E2">
      <w:pPr>
        <w:autoSpaceDE w:val="0"/>
        <w:autoSpaceDN w:val="0"/>
        <w:adjustRightInd w:val="0"/>
        <w:spacing w:line="360" w:lineRule="auto"/>
        <w:rPr>
          <w:rFonts w:hint="eastAsia" w:ascii="宋体" w:hAnsi="宋体" w:eastAsia="宋体" w:cs="宋体"/>
          <w:b/>
          <w:bCs/>
          <w:color w:val="auto"/>
          <w:sz w:val="36"/>
          <w:szCs w:val="36"/>
          <w:lang w:val="zh-CN"/>
        </w:rPr>
      </w:pPr>
    </w:p>
    <w:p w14:paraId="36ACFA1C">
      <w:pPr>
        <w:autoSpaceDE w:val="0"/>
        <w:autoSpaceDN w:val="0"/>
        <w:adjustRightInd w:val="0"/>
        <w:spacing w:line="360" w:lineRule="auto"/>
        <w:rPr>
          <w:rFonts w:hint="eastAsia" w:ascii="宋体" w:hAnsi="宋体" w:eastAsia="宋体" w:cs="宋体"/>
          <w:b/>
          <w:bCs/>
          <w:color w:val="auto"/>
          <w:sz w:val="36"/>
          <w:szCs w:val="36"/>
          <w:lang w:val="zh-CN"/>
        </w:rPr>
      </w:pPr>
    </w:p>
    <w:p w14:paraId="42AE03BD">
      <w:pPr>
        <w:autoSpaceDE w:val="0"/>
        <w:autoSpaceDN w:val="0"/>
        <w:adjustRightInd w:val="0"/>
        <w:spacing w:line="360" w:lineRule="auto"/>
        <w:rPr>
          <w:rFonts w:hint="eastAsia" w:ascii="宋体" w:hAnsi="宋体" w:eastAsia="宋体" w:cs="宋体"/>
          <w:b/>
          <w:bCs/>
          <w:color w:val="auto"/>
          <w:sz w:val="36"/>
          <w:szCs w:val="36"/>
          <w:lang w:val="zh-CN"/>
        </w:rPr>
      </w:pPr>
    </w:p>
    <w:p w14:paraId="41CF7D10">
      <w:pPr>
        <w:autoSpaceDE w:val="0"/>
        <w:autoSpaceDN w:val="0"/>
        <w:adjustRightInd w:val="0"/>
        <w:spacing w:line="360" w:lineRule="auto"/>
        <w:rPr>
          <w:rFonts w:hint="eastAsia" w:ascii="宋体" w:hAnsi="宋体" w:eastAsia="宋体" w:cs="宋体"/>
          <w:b/>
          <w:bCs/>
          <w:color w:val="auto"/>
          <w:sz w:val="36"/>
          <w:szCs w:val="36"/>
          <w:lang w:val="zh-CN"/>
        </w:rPr>
      </w:pPr>
    </w:p>
    <w:p w14:paraId="788DC9E0">
      <w:pPr>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zh-CN"/>
        </w:rPr>
        <w:br w:type="page"/>
      </w:r>
    </w:p>
    <w:p w14:paraId="7D9E5D18">
      <w:pPr>
        <w:autoSpaceDE w:val="0"/>
        <w:autoSpaceDN w:val="0"/>
        <w:adjustRightInd w:val="0"/>
        <w:spacing w:line="360" w:lineRule="auto"/>
        <w:jc w:val="cente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五、符合性审查证明材料</w:t>
      </w:r>
    </w:p>
    <w:p w14:paraId="5C8141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5.1已标价的工程量清单</w:t>
      </w:r>
    </w:p>
    <w:p w14:paraId="42C683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zh-CN" w:eastAsia="zh-CN"/>
        </w:rPr>
      </w:pPr>
    </w:p>
    <w:p w14:paraId="353455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zh-CN" w:eastAsia="zh-CN"/>
        </w:rPr>
      </w:pPr>
    </w:p>
    <w:p w14:paraId="26F4BB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（供应商根据本项目工程量清单制作）</w:t>
      </w:r>
    </w:p>
    <w:p w14:paraId="0E572E54">
      <w:pPr>
        <w:widowControl/>
        <w:ind w:firstLine="2570" w:firstLineChars="800"/>
        <w:rPr>
          <w:rFonts w:hint="eastAsia" w:ascii="宋体" w:hAnsi="宋体" w:eastAsia="宋体" w:cs="宋体"/>
          <w:b/>
          <w:bCs/>
          <w:color w:val="auto"/>
          <w:sz w:val="32"/>
          <w:szCs w:val="32"/>
        </w:rPr>
      </w:pPr>
    </w:p>
    <w:p w14:paraId="50EAFA37">
      <w:pP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14:paraId="0F342B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5.</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val="zh-CN" w:eastAsia="zh-CN"/>
        </w:rPr>
        <w:t>技术方案（实施方案）</w:t>
      </w:r>
    </w:p>
    <w:p w14:paraId="7BB76A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zh-CN" w:eastAsia="zh-CN"/>
        </w:rPr>
      </w:pPr>
    </w:p>
    <w:p w14:paraId="5533A269">
      <w:pPr>
        <w:snapToGrid w:val="0"/>
        <w:spacing w:line="360" w:lineRule="auto"/>
        <w:jc w:val="both"/>
        <w:rPr>
          <w:rFonts w:hint="eastAsia" w:ascii="宋体" w:hAnsi="宋体" w:eastAsia="宋体" w:cs="宋体"/>
          <w:b/>
          <w:snapToGrid w:val="0"/>
          <w:color w:val="auto"/>
          <w:kern w:val="0"/>
          <w:sz w:val="36"/>
          <w:szCs w:val="36"/>
        </w:rPr>
      </w:pPr>
    </w:p>
    <w:p w14:paraId="34438F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（供应商根据</w:t>
      </w:r>
      <w:r>
        <w:rPr>
          <w:rFonts w:hint="eastAsia" w:ascii="宋体" w:hAnsi="宋体" w:cs="宋体"/>
          <w:b w:val="0"/>
          <w:bCs w:val="0"/>
          <w:sz w:val="24"/>
          <w:szCs w:val="24"/>
          <w:lang w:val="en-US" w:eastAsia="zh-CN"/>
        </w:rPr>
        <w:t>磋商</w:t>
      </w:r>
      <w:r>
        <w:rPr>
          <w:rFonts w:hint="eastAsia" w:ascii="宋体" w:hAnsi="宋体" w:eastAsia="宋体" w:cs="宋体"/>
          <w:b w:val="0"/>
          <w:bCs w:val="0"/>
          <w:sz w:val="24"/>
          <w:szCs w:val="24"/>
          <w:lang w:val="zh-CN" w:eastAsia="zh-CN"/>
        </w:rPr>
        <w:t>文件要求自行编制）</w:t>
      </w:r>
    </w:p>
    <w:p w14:paraId="615DD4B4">
      <w:pPr>
        <w:autoSpaceDE w:val="0"/>
        <w:autoSpaceDN w:val="0"/>
        <w:adjustRightInd w:val="0"/>
        <w:spacing w:line="360" w:lineRule="auto"/>
        <w:jc w:val="center"/>
        <w:rPr>
          <w:rFonts w:hint="eastAsia" w:ascii="宋体" w:hAnsi="宋体" w:eastAsia="宋体" w:cs="宋体"/>
          <w:color w:val="auto"/>
          <w:sz w:val="24"/>
          <w:szCs w:val="24"/>
          <w:lang w:val="zh-CN"/>
        </w:rPr>
      </w:pPr>
    </w:p>
    <w:p w14:paraId="717014E3">
      <w:pPr>
        <w:snapToGrid w:val="0"/>
        <w:spacing w:line="360" w:lineRule="auto"/>
        <w:jc w:val="center"/>
        <w:rPr>
          <w:rFonts w:hint="eastAsia" w:ascii="宋体" w:hAnsi="宋体" w:eastAsia="宋体" w:cs="宋体"/>
          <w:b/>
          <w:snapToGrid w:val="0"/>
          <w:color w:val="auto"/>
          <w:kern w:val="0"/>
          <w:sz w:val="36"/>
          <w:szCs w:val="36"/>
        </w:rPr>
      </w:pPr>
    </w:p>
    <w:p w14:paraId="52C31F7F">
      <w:pPr>
        <w:spacing w:line="360" w:lineRule="auto"/>
        <w:jc w:val="center"/>
        <w:rPr>
          <w:rFonts w:hint="eastAsia" w:ascii="宋体" w:hAnsi="宋体" w:eastAsia="宋体" w:cs="宋体"/>
          <w:color w:val="auto"/>
          <w:sz w:val="24"/>
        </w:rPr>
      </w:pPr>
    </w:p>
    <w:p w14:paraId="7C5E9D41">
      <w:pPr>
        <w:snapToGrid w:val="0"/>
        <w:spacing w:line="360" w:lineRule="auto"/>
        <w:jc w:val="center"/>
        <w:rPr>
          <w:rFonts w:hint="eastAsia" w:ascii="宋体" w:hAnsi="宋体" w:eastAsia="宋体" w:cs="宋体"/>
          <w:b/>
          <w:bCs/>
          <w:color w:val="auto"/>
          <w:sz w:val="24"/>
        </w:rPr>
      </w:pPr>
    </w:p>
    <w:p w14:paraId="75B1BC44">
      <w:pPr>
        <w:snapToGrid w:val="0"/>
        <w:spacing w:line="360" w:lineRule="auto"/>
        <w:jc w:val="center"/>
        <w:rPr>
          <w:rFonts w:hint="eastAsia" w:ascii="宋体" w:hAnsi="宋体" w:eastAsia="宋体" w:cs="宋体"/>
          <w:b/>
          <w:bCs/>
          <w:color w:val="auto"/>
          <w:sz w:val="24"/>
        </w:rPr>
      </w:pPr>
    </w:p>
    <w:p w14:paraId="079B6664">
      <w:pPr>
        <w:snapToGrid w:val="0"/>
        <w:spacing w:line="360" w:lineRule="auto"/>
        <w:jc w:val="center"/>
        <w:rPr>
          <w:rFonts w:hint="eastAsia" w:ascii="宋体" w:hAnsi="宋体" w:eastAsia="宋体" w:cs="宋体"/>
          <w:b/>
          <w:bCs/>
          <w:color w:val="auto"/>
          <w:sz w:val="24"/>
        </w:rPr>
      </w:pPr>
    </w:p>
    <w:p w14:paraId="03DA83E3">
      <w:pPr>
        <w:snapToGrid w:val="0"/>
        <w:spacing w:line="360" w:lineRule="auto"/>
        <w:jc w:val="center"/>
        <w:rPr>
          <w:rFonts w:hint="eastAsia" w:ascii="宋体" w:hAnsi="宋体" w:eastAsia="宋体" w:cs="宋体"/>
          <w:b/>
          <w:bCs/>
          <w:color w:val="auto"/>
          <w:sz w:val="32"/>
          <w:szCs w:val="32"/>
        </w:rPr>
      </w:pPr>
    </w:p>
    <w:p w14:paraId="60FE4CC9">
      <w:pPr>
        <w:snapToGrid w:val="0"/>
        <w:spacing w:line="360" w:lineRule="auto"/>
        <w:jc w:val="center"/>
        <w:rPr>
          <w:rFonts w:hint="eastAsia" w:ascii="宋体" w:hAnsi="宋体" w:eastAsia="宋体" w:cs="宋体"/>
          <w:b/>
          <w:bCs/>
          <w:color w:val="auto"/>
          <w:sz w:val="32"/>
          <w:szCs w:val="32"/>
        </w:rPr>
      </w:pPr>
    </w:p>
    <w:p w14:paraId="0A774D65">
      <w:pPr>
        <w:snapToGrid w:val="0"/>
        <w:spacing w:line="360" w:lineRule="auto"/>
        <w:jc w:val="center"/>
        <w:rPr>
          <w:rFonts w:hint="eastAsia" w:ascii="宋体" w:hAnsi="宋体" w:eastAsia="宋体" w:cs="宋体"/>
          <w:b/>
          <w:bCs/>
          <w:color w:val="auto"/>
          <w:sz w:val="32"/>
          <w:szCs w:val="32"/>
        </w:rPr>
      </w:pPr>
    </w:p>
    <w:p w14:paraId="79C42640">
      <w:pPr>
        <w:snapToGrid w:val="0"/>
        <w:spacing w:line="360" w:lineRule="auto"/>
        <w:jc w:val="center"/>
        <w:rPr>
          <w:rFonts w:hint="eastAsia" w:ascii="宋体" w:hAnsi="宋体" w:eastAsia="宋体" w:cs="宋体"/>
          <w:b/>
          <w:bCs/>
          <w:color w:val="auto"/>
          <w:sz w:val="32"/>
          <w:szCs w:val="32"/>
        </w:rPr>
      </w:pPr>
    </w:p>
    <w:p w14:paraId="7BE99B97">
      <w:pPr>
        <w:snapToGrid w:val="0"/>
        <w:spacing w:line="360" w:lineRule="auto"/>
        <w:jc w:val="center"/>
        <w:rPr>
          <w:rFonts w:hint="eastAsia" w:ascii="宋体" w:hAnsi="宋体" w:eastAsia="宋体" w:cs="宋体"/>
          <w:b/>
          <w:bCs/>
          <w:color w:val="auto"/>
          <w:sz w:val="32"/>
          <w:szCs w:val="32"/>
        </w:rPr>
      </w:pPr>
    </w:p>
    <w:p w14:paraId="2AB6E120">
      <w:pPr>
        <w:snapToGrid w:val="0"/>
        <w:spacing w:line="360" w:lineRule="auto"/>
        <w:jc w:val="center"/>
        <w:rPr>
          <w:rFonts w:hint="eastAsia" w:ascii="宋体" w:hAnsi="宋体" w:eastAsia="宋体" w:cs="宋体"/>
          <w:b/>
          <w:bCs/>
          <w:color w:val="auto"/>
          <w:sz w:val="32"/>
          <w:szCs w:val="32"/>
        </w:rPr>
      </w:pPr>
    </w:p>
    <w:p w14:paraId="3A1326EF">
      <w:pPr>
        <w:snapToGrid w:val="0"/>
        <w:spacing w:line="360" w:lineRule="auto"/>
        <w:jc w:val="center"/>
        <w:rPr>
          <w:rFonts w:hint="eastAsia" w:ascii="宋体" w:hAnsi="宋体" w:eastAsia="宋体" w:cs="宋体"/>
          <w:b/>
          <w:bCs/>
          <w:color w:val="auto"/>
          <w:sz w:val="32"/>
          <w:szCs w:val="32"/>
        </w:rPr>
      </w:pPr>
    </w:p>
    <w:p w14:paraId="5AC0ED9F">
      <w:pPr>
        <w:snapToGrid w:val="0"/>
        <w:spacing w:line="360" w:lineRule="auto"/>
        <w:jc w:val="center"/>
        <w:rPr>
          <w:rFonts w:hint="eastAsia" w:ascii="宋体" w:hAnsi="宋体" w:eastAsia="宋体" w:cs="宋体"/>
          <w:b/>
          <w:bCs/>
          <w:color w:val="auto"/>
          <w:sz w:val="32"/>
          <w:szCs w:val="32"/>
        </w:rPr>
      </w:pPr>
    </w:p>
    <w:p w14:paraId="751DEA89">
      <w:pPr>
        <w:snapToGrid w:val="0"/>
        <w:spacing w:line="360" w:lineRule="auto"/>
        <w:jc w:val="center"/>
        <w:rPr>
          <w:rFonts w:hint="eastAsia" w:ascii="宋体" w:hAnsi="宋体" w:eastAsia="宋体" w:cs="宋体"/>
          <w:color w:val="auto"/>
          <w:sz w:val="24"/>
          <w:szCs w:val="24"/>
          <w:lang w:val="en-US" w:eastAsia="zh-CN"/>
          <w14:textOutline w14:w="4354" w14:cap="flat" w14:cmpd="sng">
            <w14:solidFill>
              <w14:srgbClr w14:val="000000"/>
            </w14:solidFill>
            <w14:prstDash w14:val="solid"/>
            <w14:miter w14:val="0"/>
          </w14:textOutline>
        </w:rPr>
      </w:pPr>
    </w:p>
    <w:p w14:paraId="3C7BDF73">
      <w:pPr>
        <w:snapToGrid w:val="0"/>
        <w:spacing w:line="360" w:lineRule="auto"/>
        <w:jc w:val="center"/>
        <w:rPr>
          <w:rFonts w:hint="eastAsia" w:ascii="宋体" w:hAnsi="宋体" w:eastAsia="宋体" w:cs="宋体"/>
          <w:color w:val="auto"/>
          <w:sz w:val="24"/>
          <w:szCs w:val="24"/>
          <w:lang w:val="en-US" w:eastAsia="zh-CN"/>
          <w14:textOutline w14:w="4354" w14:cap="flat" w14:cmpd="sng">
            <w14:solidFill>
              <w14:srgbClr w14:val="000000"/>
            </w14:solidFill>
            <w14:prstDash w14:val="solid"/>
            <w14:miter w14:val="0"/>
          </w14:textOutline>
        </w:rPr>
      </w:pPr>
    </w:p>
    <w:p w14:paraId="1820365D">
      <w:pPr>
        <w:snapToGrid w:val="0"/>
        <w:spacing w:line="360" w:lineRule="auto"/>
        <w:jc w:val="center"/>
        <w:rPr>
          <w:rFonts w:hint="eastAsia" w:ascii="宋体" w:hAnsi="宋体" w:eastAsia="宋体" w:cs="宋体"/>
          <w:color w:val="auto"/>
          <w:sz w:val="24"/>
          <w:szCs w:val="24"/>
          <w:lang w:val="en-US" w:eastAsia="zh-CN"/>
          <w14:textOutline w14:w="4354" w14:cap="flat" w14:cmpd="sng">
            <w14:solidFill>
              <w14:srgbClr w14:val="000000"/>
            </w14:solidFill>
            <w14:prstDash w14:val="solid"/>
            <w14:miter w14:val="0"/>
          </w14:textOutline>
        </w:rPr>
      </w:pPr>
    </w:p>
    <w:p w14:paraId="73CC8BBE">
      <w:pPr>
        <w:snapToGrid w:val="0"/>
        <w:spacing w:line="360" w:lineRule="auto"/>
        <w:jc w:val="center"/>
        <w:rPr>
          <w:rFonts w:hint="eastAsia" w:ascii="宋体" w:hAnsi="宋体" w:eastAsia="宋体" w:cs="宋体"/>
          <w:color w:val="auto"/>
          <w:sz w:val="24"/>
          <w:szCs w:val="24"/>
          <w:lang w:val="en-US" w:eastAsia="zh-CN"/>
          <w14:textOutline w14:w="4354" w14:cap="flat" w14:cmpd="sng">
            <w14:solidFill>
              <w14:srgbClr w14:val="000000"/>
            </w14:solidFill>
            <w14:prstDash w14:val="solid"/>
            <w14:miter w14:val="0"/>
          </w14:textOutline>
        </w:rPr>
      </w:pPr>
    </w:p>
    <w:p w14:paraId="6697F649">
      <w:pPr>
        <w:snapToGrid w:val="0"/>
        <w:spacing w:line="360" w:lineRule="auto"/>
        <w:jc w:val="center"/>
        <w:rPr>
          <w:rFonts w:hint="eastAsia" w:ascii="宋体" w:hAnsi="宋体" w:eastAsia="宋体" w:cs="宋体"/>
          <w:color w:val="auto"/>
          <w:sz w:val="24"/>
          <w:szCs w:val="24"/>
          <w:lang w:val="en-US" w:eastAsia="zh-CN"/>
          <w14:textOutline w14:w="4354" w14:cap="flat" w14:cmpd="sng">
            <w14:solidFill>
              <w14:srgbClr w14:val="000000"/>
            </w14:solidFill>
            <w14:prstDash w14:val="solid"/>
            <w14:miter w14:val="0"/>
          </w14:textOutline>
        </w:rPr>
      </w:pPr>
    </w:p>
    <w:p w14:paraId="0504D5AF">
      <w:pPr>
        <w:snapToGrid w:val="0"/>
        <w:spacing w:line="360" w:lineRule="auto"/>
        <w:jc w:val="center"/>
        <w:rPr>
          <w:rFonts w:hint="eastAsia" w:ascii="宋体" w:hAnsi="宋体" w:eastAsia="宋体" w:cs="宋体"/>
          <w:color w:val="auto"/>
          <w:sz w:val="24"/>
          <w:szCs w:val="24"/>
          <w:lang w:val="en-US" w:eastAsia="zh-CN"/>
          <w14:textOutline w14:w="4354" w14:cap="flat" w14:cmpd="sng">
            <w14:solidFill>
              <w14:srgbClr w14:val="000000"/>
            </w14:solidFill>
            <w14:prstDash w14:val="solid"/>
            <w14:miter w14:val="0"/>
          </w14:textOutline>
        </w:rPr>
      </w:pPr>
    </w:p>
    <w:p w14:paraId="413EDE3F">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br w:type="page"/>
      </w:r>
    </w:p>
    <w:p w14:paraId="37984D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5.3业绩情况表</w:t>
      </w:r>
    </w:p>
    <w:p w14:paraId="2B0215EF">
      <w:pPr>
        <w:spacing w:before="50" w:afterLines="50"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14:paraId="23BC7B81">
      <w:pPr>
        <w:snapToGrid w:val="0"/>
        <w:spacing w:line="360" w:lineRule="auto"/>
        <w:rPr>
          <w:rFonts w:hint="eastAsia" w:ascii="宋体" w:hAnsi="宋体" w:eastAsia="宋体" w:cs="宋体"/>
          <w:b/>
          <w:snapToGrid w:val="0"/>
          <w:color w:val="auto"/>
          <w:kern w:val="0"/>
          <w:sz w:val="36"/>
          <w:szCs w:val="36"/>
        </w:rPr>
      </w:pPr>
      <w:r>
        <w:rPr>
          <w:rFonts w:hint="eastAsia" w:ascii="宋体" w:hAnsi="宋体" w:eastAsia="宋体" w:cs="宋体"/>
          <w:color w:val="auto"/>
          <w:sz w:val="24"/>
          <w:szCs w:val="24"/>
        </w:rPr>
        <w:t xml:space="preserve">项目名称：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701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24FA0C13">
            <w:pPr>
              <w:pStyle w:val="1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808" w:type="dxa"/>
            <w:shd w:val="clear" w:color="auto" w:fill="F3F3F3"/>
            <w:vAlign w:val="center"/>
          </w:tcPr>
          <w:p w14:paraId="0D61AEC5">
            <w:pPr>
              <w:pStyle w:val="1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客户单位名称</w:t>
            </w:r>
          </w:p>
        </w:tc>
        <w:tc>
          <w:tcPr>
            <w:tcW w:w="3579" w:type="dxa"/>
            <w:shd w:val="clear" w:color="auto" w:fill="F3F3F3"/>
            <w:vAlign w:val="center"/>
          </w:tcPr>
          <w:p w14:paraId="3EEED8D2">
            <w:pPr>
              <w:pStyle w:val="1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项目名称及主要内容</w:t>
            </w:r>
          </w:p>
        </w:tc>
        <w:tc>
          <w:tcPr>
            <w:tcW w:w="1440" w:type="dxa"/>
            <w:shd w:val="clear" w:color="auto" w:fill="F3F3F3"/>
            <w:vAlign w:val="center"/>
          </w:tcPr>
          <w:p w14:paraId="7BC42ACF">
            <w:pPr>
              <w:pStyle w:val="1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合同金额（万元）</w:t>
            </w:r>
          </w:p>
        </w:tc>
        <w:tc>
          <w:tcPr>
            <w:tcW w:w="1706" w:type="dxa"/>
            <w:shd w:val="clear" w:color="auto" w:fill="F3F3F3"/>
            <w:vAlign w:val="center"/>
          </w:tcPr>
          <w:p w14:paraId="3097C430">
            <w:pPr>
              <w:pStyle w:val="1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联系人及电话</w:t>
            </w:r>
          </w:p>
        </w:tc>
      </w:tr>
      <w:tr w14:paraId="2D75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0A4A1B6">
            <w:pPr>
              <w:pStyle w:val="13"/>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08" w:type="dxa"/>
            <w:vAlign w:val="center"/>
          </w:tcPr>
          <w:p w14:paraId="08C0DD31">
            <w:pPr>
              <w:pStyle w:val="13"/>
              <w:spacing w:line="360" w:lineRule="auto"/>
              <w:rPr>
                <w:rFonts w:hint="eastAsia" w:ascii="宋体" w:hAnsi="宋体" w:eastAsia="宋体" w:cs="宋体"/>
                <w:color w:val="auto"/>
                <w:sz w:val="24"/>
                <w:szCs w:val="24"/>
              </w:rPr>
            </w:pPr>
          </w:p>
        </w:tc>
        <w:tc>
          <w:tcPr>
            <w:tcW w:w="3579" w:type="dxa"/>
            <w:vAlign w:val="center"/>
          </w:tcPr>
          <w:p w14:paraId="52C91EA0">
            <w:pPr>
              <w:pStyle w:val="13"/>
              <w:spacing w:line="360" w:lineRule="auto"/>
              <w:rPr>
                <w:rFonts w:hint="eastAsia" w:ascii="宋体" w:hAnsi="宋体" w:eastAsia="宋体" w:cs="宋体"/>
                <w:color w:val="auto"/>
                <w:sz w:val="24"/>
                <w:szCs w:val="24"/>
              </w:rPr>
            </w:pPr>
          </w:p>
        </w:tc>
        <w:tc>
          <w:tcPr>
            <w:tcW w:w="1440" w:type="dxa"/>
            <w:vAlign w:val="center"/>
          </w:tcPr>
          <w:p w14:paraId="39CF8531">
            <w:pPr>
              <w:pStyle w:val="13"/>
              <w:spacing w:line="360" w:lineRule="auto"/>
              <w:rPr>
                <w:rFonts w:hint="eastAsia" w:ascii="宋体" w:hAnsi="宋体" w:eastAsia="宋体" w:cs="宋体"/>
                <w:color w:val="auto"/>
                <w:sz w:val="24"/>
                <w:szCs w:val="24"/>
              </w:rPr>
            </w:pPr>
          </w:p>
        </w:tc>
        <w:tc>
          <w:tcPr>
            <w:tcW w:w="1706" w:type="dxa"/>
            <w:vAlign w:val="center"/>
          </w:tcPr>
          <w:p w14:paraId="4F23F53D">
            <w:pPr>
              <w:pStyle w:val="13"/>
              <w:spacing w:line="360" w:lineRule="auto"/>
              <w:rPr>
                <w:rFonts w:hint="eastAsia" w:ascii="宋体" w:hAnsi="宋体" w:eastAsia="宋体" w:cs="宋体"/>
                <w:color w:val="auto"/>
                <w:sz w:val="24"/>
                <w:szCs w:val="24"/>
              </w:rPr>
            </w:pPr>
          </w:p>
        </w:tc>
      </w:tr>
      <w:tr w14:paraId="33C8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DFE32A4">
            <w:pPr>
              <w:pStyle w:val="13"/>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08" w:type="dxa"/>
            <w:vAlign w:val="center"/>
          </w:tcPr>
          <w:p w14:paraId="16D3490A">
            <w:pPr>
              <w:pStyle w:val="13"/>
              <w:spacing w:line="360" w:lineRule="auto"/>
              <w:rPr>
                <w:rFonts w:hint="eastAsia" w:ascii="宋体" w:hAnsi="宋体" w:eastAsia="宋体" w:cs="宋体"/>
                <w:color w:val="auto"/>
                <w:sz w:val="24"/>
                <w:szCs w:val="24"/>
              </w:rPr>
            </w:pPr>
          </w:p>
        </w:tc>
        <w:tc>
          <w:tcPr>
            <w:tcW w:w="3579" w:type="dxa"/>
            <w:vAlign w:val="center"/>
          </w:tcPr>
          <w:p w14:paraId="507B8155">
            <w:pPr>
              <w:pStyle w:val="13"/>
              <w:spacing w:line="360" w:lineRule="auto"/>
              <w:rPr>
                <w:rFonts w:hint="eastAsia" w:ascii="宋体" w:hAnsi="宋体" w:eastAsia="宋体" w:cs="宋体"/>
                <w:color w:val="auto"/>
                <w:sz w:val="24"/>
                <w:szCs w:val="24"/>
              </w:rPr>
            </w:pPr>
          </w:p>
        </w:tc>
        <w:tc>
          <w:tcPr>
            <w:tcW w:w="1440" w:type="dxa"/>
            <w:vAlign w:val="center"/>
          </w:tcPr>
          <w:p w14:paraId="32D21C36">
            <w:pPr>
              <w:pStyle w:val="13"/>
              <w:spacing w:line="360" w:lineRule="auto"/>
              <w:rPr>
                <w:rFonts w:hint="eastAsia" w:ascii="宋体" w:hAnsi="宋体" w:eastAsia="宋体" w:cs="宋体"/>
                <w:color w:val="auto"/>
                <w:sz w:val="24"/>
                <w:szCs w:val="24"/>
              </w:rPr>
            </w:pPr>
          </w:p>
        </w:tc>
        <w:tc>
          <w:tcPr>
            <w:tcW w:w="1706" w:type="dxa"/>
            <w:vAlign w:val="center"/>
          </w:tcPr>
          <w:p w14:paraId="6E54B2C3">
            <w:pPr>
              <w:pStyle w:val="13"/>
              <w:spacing w:line="360" w:lineRule="auto"/>
              <w:rPr>
                <w:rFonts w:hint="eastAsia" w:ascii="宋体" w:hAnsi="宋体" w:eastAsia="宋体" w:cs="宋体"/>
                <w:color w:val="auto"/>
                <w:sz w:val="24"/>
                <w:szCs w:val="24"/>
              </w:rPr>
            </w:pPr>
          </w:p>
        </w:tc>
      </w:tr>
      <w:tr w14:paraId="42A0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C4AF136">
            <w:pPr>
              <w:pStyle w:val="13"/>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08" w:type="dxa"/>
            <w:vAlign w:val="center"/>
          </w:tcPr>
          <w:p w14:paraId="66E57EC3">
            <w:pPr>
              <w:pStyle w:val="13"/>
              <w:spacing w:line="360" w:lineRule="auto"/>
              <w:rPr>
                <w:rFonts w:hint="eastAsia" w:ascii="宋体" w:hAnsi="宋体" w:eastAsia="宋体" w:cs="宋体"/>
                <w:color w:val="auto"/>
                <w:sz w:val="24"/>
                <w:szCs w:val="24"/>
              </w:rPr>
            </w:pPr>
          </w:p>
        </w:tc>
        <w:tc>
          <w:tcPr>
            <w:tcW w:w="3579" w:type="dxa"/>
            <w:vAlign w:val="center"/>
          </w:tcPr>
          <w:p w14:paraId="67AE0C72">
            <w:pPr>
              <w:pStyle w:val="13"/>
              <w:spacing w:line="360" w:lineRule="auto"/>
              <w:rPr>
                <w:rFonts w:hint="eastAsia" w:ascii="宋体" w:hAnsi="宋体" w:eastAsia="宋体" w:cs="宋体"/>
                <w:color w:val="auto"/>
                <w:sz w:val="24"/>
                <w:szCs w:val="24"/>
              </w:rPr>
            </w:pPr>
          </w:p>
        </w:tc>
        <w:tc>
          <w:tcPr>
            <w:tcW w:w="1440" w:type="dxa"/>
            <w:vAlign w:val="center"/>
          </w:tcPr>
          <w:p w14:paraId="770AC533">
            <w:pPr>
              <w:pStyle w:val="13"/>
              <w:spacing w:line="360" w:lineRule="auto"/>
              <w:rPr>
                <w:rFonts w:hint="eastAsia" w:ascii="宋体" w:hAnsi="宋体" w:eastAsia="宋体" w:cs="宋体"/>
                <w:color w:val="auto"/>
                <w:sz w:val="24"/>
                <w:szCs w:val="24"/>
              </w:rPr>
            </w:pPr>
          </w:p>
        </w:tc>
        <w:tc>
          <w:tcPr>
            <w:tcW w:w="1706" w:type="dxa"/>
            <w:vAlign w:val="center"/>
          </w:tcPr>
          <w:p w14:paraId="7997AD0B">
            <w:pPr>
              <w:pStyle w:val="13"/>
              <w:spacing w:line="360" w:lineRule="auto"/>
              <w:rPr>
                <w:rFonts w:hint="eastAsia" w:ascii="宋体" w:hAnsi="宋体" w:eastAsia="宋体" w:cs="宋体"/>
                <w:color w:val="auto"/>
                <w:sz w:val="24"/>
                <w:szCs w:val="24"/>
              </w:rPr>
            </w:pPr>
          </w:p>
        </w:tc>
      </w:tr>
      <w:tr w14:paraId="725A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72AB456">
            <w:pPr>
              <w:pStyle w:val="13"/>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808" w:type="dxa"/>
            <w:vAlign w:val="center"/>
          </w:tcPr>
          <w:p w14:paraId="54D41DDD">
            <w:pPr>
              <w:rPr>
                <w:rFonts w:hint="eastAsia" w:ascii="宋体" w:hAnsi="宋体" w:eastAsia="宋体" w:cs="宋体"/>
                <w:color w:val="auto"/>
              </w:rPr>
            </w:pPr>
          </w:p>
        </w:tc>
        <w:tc>
          <w:tcPr>
            <w:tcW w:w="3579" w:type="dxa"/>
            <w:vAlign w:val="center"/>
          </w:tcPr>
          <w:p w14:paraId="288BEE30">
            <w:pPr>
              <w:rPr>
                <w:rFonts w:hint="eastAsia" w:ascii="宋体" w:hAnsi="宋体" w:eastAsia="宋体" w:cs="宋体"/>
                <w:color w:val="auto"/>
              </w:rPr>
            </w:pPr>
          </w:p>
        </w:tc>
        <w:tc>
          <w:tcPr>
            <w:tcW w:w="1440" w:type="dxa"/>
            <w:vAlign w:val="center"/>
          </w:tcPr>
          <w:p w14:paraId="3E93F86A">
            <w:pPr>
              <w:rPr>
                <w:rFonts w:hint="eastAsia" w:ascii="宋体" w:hAnsi="宋体" w:eastAsia="宋体" w:cs="宋体"/>
                <w:color w:val="auto"/>
              </w:rPr>
            </w:pPr>
          </w:p>
        </w:tc>
        <w:tc>
          <w:tcPr>
            <w:tcW w:w="1706" w:type="dxa"/>
            <w:vAlign w:val="center"/>
          </w:tcPr>
          <w:p w14:paraId="2F6DC23C">
            <w:pPr>
              <w:rPr>
                <w:rFonts w:hint="eastAsia" w:ascii="宋体" w:hAnsi="宋体" w:eastAsia="宋体" w:cs="宋体"/>
                <w:color w:val="auto"/>
              </w:rPr>
            </w:pPr>
          </w:p>
        </w:tc>
      </w:tr>
      <w:tr w14:paraId="686A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E2FB255">
            <w:pPr>
              <w:pStyle w:val="13"/>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808" w:type="dxa"/>
            <w:vAlign w:val="center"/>
          </w:tcPr>
          <w:p w14:paraId="0223C19E">
            <w:pPr>
              <w:rPr>
                <w:rFonts w:hint="eastAsia" w:ascii="宋体" w:hAnsi="宋体" w:eastAsia="宋体" w:cs="宋体"/>
                <w:color w:val="auto"/>
              </w:rPr>
            </w:pPr>
          </w:p>
        </w:tc>
        <w:tc>
          <w:tcPr>
            <w:tcW w:w="3579" w:type="dxa"/>
            <w:vAlign w:val="center"/>
          </w:tcPr>
          <w:p w14:paraId="27DE5260">
            <w:pPr>
              <w:rPr>
                <w:rFonts w:hint="eastAsia" w:ascii="宋体" w:hAnsi="宋体" w:eastAsia="宋体" w:cs="宋体"/>
                <w:color w:val="auto"/>
              </w:rPr>
            </w:pPr>
          </w:p>
        </w:tc>
        <w:tc>
          <w:tcPr>
            <w:tcW w:w="1440" w:type="dxa"/>
            <w:vAlign w:val="center"/>
          </w:tcPr>
          <w:p w14:paraId="25C2D702">
            <w:pPr>
              <w:rPr>
                <w:rFonts w:hint="eastAsia" w:ascii="宋体" w:hAnsi="宋体" w:eastAsia="宋体" w:cs="宋体"/>
                <w:color w:val="auto"/>
              </w:rPr>
            </w:pPr>
          </w:p>
        </w:tc>
        <w:tc>
          <w:tcPr>
            <w:tcW w:w="1706" w:type="dxa"/>
            <w:vAlign w:val="center"/>
          </w:tcPr>
          <w:p w14:paraId="204C478E">
            <w:pPr>
              <w:rPr>
                <w:rFonts w:hint="eastAsia" w:ascii="宋体" w:hAnsi="宋体" w:eastAsia="宋体" w:cs="宋体"/>
                <w:color w:val="auto"/>
              </w:rPr>
            </w:pPr>
          </w:p>
        </w:tc>
      </w:tr>
    </w:tbl>
    <w:p w14:paraId="2FA24722">
      <w:pPr>
        <w:autoSpaceDE w:val="0"/>
        <w:autoSpaceDN w:val="0"/>
        <w:adjustRightInd w:val="0"/>
        <w:spacing w:line="48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供应商（公章）：</w:t>
      </w:r>
    </w:p>
    <w:p w14:paraId="0715F6CF">
      <w:pPr>
        <w:autoSpaceDE w:val="0"/>
        <w:autoSpaceDN w:val="0"/>
        <w:adjustRightInd w:val="0"/>
        <w:spacing w:line="48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供应商法定代表人或授权代表（签字或加盖姓名章）：</w:t>
      </w:r>
    </w:p>
    <w:p w14:paraId="75CCB71D">
      <w:pPr>
        <w:autoSpaceDE w:val="0"/>
        <w:autoSpaceDN w:val="0"/>
        <w:adjustRightInd w:val="0"/>
        <w:spacing w:line="360" w:lineRule="auto"/>
        <w:jc w:val="center"/>
        <w:outlineLvl w:val="0"/>
        <w:rPr>
          <w:rFonts w:hint="eastAsia" w:ascii="宋体" w:hAnsi="宋体" w:eastAsia="宋体" w:cs="宋体"/>
          <w:b/>
          <w:bCs/>
          <w:color w:val="auto"/>
          <w:sz w:val="36"/>
          <w:szCs w:val="36"/>
        </w:rPr>
      </w:pPr>
    </w:p>
    <w:p w14:paraId="48D4B1A0">
      <w:pPr>
        <w:autoSpaceDE w:val="0"/>
        <w:autoSpaceDN w:val="0"/>
        <w:adjustRightInd w:val="0"/>
        <w:spacing w:line="360" w:lineRule="auto"/>
        <w:jc w:val="center"/>
        <w:outlineLvl w:val="0"/>
        <w:rPr>
          <w:rFonts w:hint="eastAsia" w:ascii="宋体" w:hAnsi="宋体" w:eastAsia="宋体" w:cs="宋体"/>
          <w:b/>
          <w:bCs/>
          <w:color w:val="auto"/>
          <w:sz w:val="32"/>
          <w:szCs w:val="32"/>
        </w:rPr>
      </w:pPr>
    </w:p>
    <w:p w14:paraId="65CDB2A0">
      <w:pPr>
        <w:autoSpaceDE w:val="0"/>
        <w:autoSpaceDN w:val="0"/>
        <w:adjustRightInd w:val="0"/>
        <w:spacing w:line="360" w:lineRule="auto"/>
        <w:jc w:val="center"/>
        <w:outlineLvl w:val="0"/>
        <w:rPr>
          <w:rFonts w:hint="eastAsia" w:ascii="宋体" w:hAnsi="宋体" w:eastAsia="宋体" w:cs="宋体"/>
          <w:b/>
          <w:bCs/>
          <w:color w:val="auto"/>
          <w:sz w:val="32"/>
          <w:szCs w:val="32"/>
        </w:rPr>
      </w:pPr>
    </w:p>
    <w:p w14:paraId="2967BDCD">
      <w:pPr>
        <w:autoSpaceDE w:val="0"/>
        <w:autoSpaceDN w:val="0"/>
        <w:adjustRightInd w:val="0"/>
        <w:spacing w:line="360" w:lineRule="auto"/>
        <w:jc w:val="center"/>
        <w:outlineLvl w:val="0"/>
        <w:rPr>
          <w:rFonts w:hint="eastAsia" w:ascii="宋体" w:hAnsi="宋体" w:eastAsia="宋体" w:cs="宋体"/>
          <w:b/>
          <w:bCs/>
          <w:color w:val="auto"/>
          <w:sz w:val="32"/>
          <w:szCs w:val="32"/>
        </w:rPr>
      </w:pPr>
    </w:p>
    <w:p w14:paraId="124614DF">
      <w:pPr>
        <w:autoSpaceDE w:val="0"/>
        <w:autoSpaceDN w:val="0"/>
        <w:adjustRightInd w:val="0"/>
        <w:spacing w:line="360" w:lineRule="auto"/>
        <w:jc w:val="center"/>
        <w:outlineLvl w:val="0"/>
        <w:rPr>
          <w:rFonts w:hint="eastAsia" w:ascii="宋体" w:hAnsi="宋体" w:eastAsia="宋体" w:cs="宋体"/>
          <w:b/>
          <w:bCs/>
          <w:color w:val="auto"/>
          <w:sz w:val="32"/>
          <w:szCs w:val="32"/>
        </w:rPr>
      </w:pPr>
    </w:p>
    <w:p w14:paraId="20DD7624">
      <w:pPr>
        <w:autoSpaceDE w:val="0"/>
        <w:autoSpaceDN w:val="0"/>
        <w:adjustRightInd w:val="0"/>
        <w:spacing w:line="360" w:lineRule="auto"/>
        <w:jc w:val="center"/>
        <w:outlineLvl w:val="0"/>
        <w:rPr>
          <w:rFonts w:hint="eastAsia" w:ascii="宋体" w:hAnsi="宋体" w:eastAsia="宋体" w:cs="宋体"/>
          <w:b/>
          <w:bCs/>
          <w:color w:val="auto"/>
          <w:sz w:val="32"/>
          <w:szCs w:val="32"/>
        </w:rPr>
      </w:pPr>
    </w:p>
    <w:p w14:paraId="06487C5E">
      <w:pPr>
        <w:autoSpaceDE w:val="0"/>
        <w:autoSpaceDN w:val="0"/>
        <w:adjustRightInd w:val="0"/>
        <w:spacing w:line="360" w:lineRule="auto"/>
        <w:jc w:val="center"/>
        <w:outlineLvl w:val="0"/>
        <w:rPr>
          <w:rFonts w:hint="eastAsia" w:ascii="宋体" w:hAnsi="宋体" w:eastAsia="宋体" w:cs="宋体"/>
          <w:b/>
          <w:bCs/>
          <w:color w:val="auto"/>
          <w:sz w:val="32"/>
          <w:szCs w:val="32"/>
        </w:rPr>
      </w:pPr>
    </w:p>
    <w:p w14:paraId="3673FA8F">
      <w:pPr>
        <w:autoSpaceDE w:val="0"/>
        <w:autoSpaceDN w:val="0"/>
        <w:adjustRightInd w:val="0"/>
        <w:spacing w:line="360" w:lineRule="auto"/>
        <w:jc w:val="center"/>
        <w:outlineLvl w:val="0"/>
        <w:rPr>
          <w:rFonts w:hint="eastAsia" w:ascii="宋体" w:hAnsi="宋体" w:eastAsia="宋体" w:cs="宋体"/>
          <w:b/>
          <w:bCs/>
          <w:color w:val="auto"/>
          <w:sz w:val="32"/>
          <w:szCs w:val="32"/>
        </w:rPr>
      </w:pPr>
    </w:p>
    <w:p w14:paraId="6DA3B7D8">
      <w:pPr>
        <w:autoSpaceDE w:val="0"/>
        <w:autoSpaceDN w:val="0"/>
        <w:adjustRightInd w:val="0"/>
        <w:spacing w:line="360" w:lineRule="auto"/>
        <w:jc w:val="center"/>
        <w:outlineLvl w:val="0"/>
        <w:rPr>
          <w:rFonts w:hint="eastAsia" w:ascii="宋体" w:hAnsi="宋体" w:eastAsia="宋体" w:cs="宋体"/>
          <w:b/>
          <w:bCs/>
          <w:color w:val="auto"/>
          <w:sz w:val="32"/>
          <w:szCs w:val="32"/>
        </w:rPr>
      </w:pPr>
    </w:p>
    <w:p w14:paraId="3C60823F">
      <w:pPr>
        <w:autoSpaceDE w:val="0"/>
        <w:autoSpaceDN w:val="0"/>
        <w:adjustRightInd w:val="0"/>
        <w:spacing w:line="360" w:lineRule="auto"/>
        <w:jc w:val="center"/>
        <w:outlineLvl w:val="0"/>
        <w:rPr>
          <w:rFonts w:hint="eastAsia" w:ascii="宋体" w:hAnsi="宋体" w:eastAsia="宋体" w:cs="宋体"/>
          <w:b/>
          <w:bCs/>
          <w:color w:val="auto"/>
          <w:sz w:val="32"/>
          <w:szCs w:val="32"/>
        </w:rPr>
      </w:pPr>
    </w:p>
    <w:p w14:paraId="62EDFC12">
      <w:pPr>
        <w:autoSpaceDE w:val="0"/>
        <w:autoSpaceDN w:val="0"/>
        <w:adjustRightInd w:val="0"/>
        <w:spacing w:line="360" w:lineRule="auto"/>
        <w:jc w:val="center"/>
        <w:outlineLvl w:val="0"/>
        <w:rPr>
          <w:rFonts w:hint="eastAsia" w:ascii="宋体" w:hAnsi="宋体" w:eastAsia="宋体" w:cs="宋体"/>
          <w:b/>
          <w:bCs/>
          <w:color w:val="auto"/>
          <w:sz w:val="32"/>
          <w:szCs w:val="32"/>
        </w:rPr>
      </w:pPr>
    </w:p>
    <w:p w14:paraId="0B9831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en-US" w:eastAsia="zh-CN"/>
        </w:rPr>
        <w:t>5.4</w:t>
      </w:r>
      <w:r>
        <w:rPr>
          <w:rFonts w:hint="eastAsia" w:ascii="宋体" w:hAnsi="宋体" w:eastAsia="宋体" w:cs="宋体"/>
          <w:b/>
          <w:bCs/>
          <w:sz w:val="24"/>
          <w:szCs w:val="24"/>
          <w:lang w:val="zh-CN" w:eastAsia="zh-CN"/>
        </w:rPr>
        <w:t xml:space="preserve"> 售后服务承诺</w:t>
      </w:r>
    </w:p>
    <w:p w14:paraId="2598C518">
      <w:pPr>
        <w:autoSpaceDE w:val="0"/>
        <w:autoSpaceDN w:val="0"/>
        <w:adjustRightInd w:val="0"/>
        <w:spacing w:line="360" w:lineRule="auto"/>
        <w:jc w:val="center"/>
        <w:outlineLvl w:val="0"/>
        <w:rPr>
          <w:rFonts w:hint="eastAsia" w:ascii="宋体" w:hAnsi="宋体" w:eastAsia="宋体" w:cs="宋体"/>
          <w:b/>
          <w:bCs/>
          <w:color w:val="auto"/>
          <w:sz w:val="36"/>
          <w:szCs w:val="36"/>
        </w:rPr>
      </w:pPr>
    </w:p>
    <w:p w14:paraId="68FC0192">
      <w:pPr>
        <w:autoSpaceDE w:val="0"/>
        <w:autoSpaceDN w:val="0"/>
        <w:adjustRightIn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（供应商根据</w:t>
      </w:r>
      <w:r>
        <w:rPr>
          <w:rFonts w:hint="eastAsia" w:ascii="宋体" w:hAnsi="宋体" w:cs="宋体"/>
          <w:b w:val="0"/>
          <w:bCs w:val="0"/>
          <w:sz w:val="24"/>
          <w:szCs w:val="24"/>
          <w:lang w:val="en-US" w:eastAsia="zh-CN"/>
        </w:rPr>
        <w:t>磋商</w:t>
      </w:r>
      <w:r>
        <w:rPr>
          <w:rFonts w:hint="eastAsia" w:ascii="宋体" w:hAnsi="宋体" w:eastAsia="宋体" w:cs="宋体"/>
          <w:color w:val="auto"/>
          <w:sz w:val="24"/>
          <w:szCs w:val="24"/>
          <w:lang w:val="zh-CN"/>
        </w:rPr>
        <w:t>文件要求自行编制）</w:t>
      </w:r>
    </w:p>
    <w:p w14:paraId="19865BFF">
      <w:pPr>
        <w:widowControl/>
        <w:jc w:val="left"/>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2F216A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en-US" w:eastAsia="zh-CN"/>
        </w:rPr>
        <w:t>5.5</w:t>
      </w:r>
      <w:r>
        <w:rPr>
          <w:rFonts w:hint="eastAsia" w:ascii="宋体" w:hAnsi="宋体" w:eastAsia="宋体" w:cs="宋体"/>
          <w:b/>
          <w:bCs/>
          <w:sz w:val="24"/>
          <w:szCs w:val="24"/>
          <w:lang w:val="zh-CN" w:eastAsia="zh-CN"/>
        </w:rPr>
        <w:t>项目管理机构配备情况</w:t>
      </w:r>
    </w:p>
    <w:tbl>
      <w:tblPr>
        <w:tblStyle w:val="34"/>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1284"/>
        <w:gridCol w:w="873"/>
        <w:gridCol w:w="892"/>
        <w:gridCol w:w="962"/>
        <w:gridCol w:w="1338"/>
        <w:gridCol w:w="740"/>
      </w:tblGrid>
      <w:tr w14:paraId="4003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03" w:type="dxa"/>
            <w:vMerge w:val="restart"/>
            <w:noWrap w:val="0"/>
            <w:vAlign w:val="center"/>
          </w:tcPr>
          <w:p w14:paraId="0848EB70">
            <w:pPr>
              <w:spacing w:line="0" w:lineRule="atLeast"/>
              <w:jc w:val="center"/>
              <w:rPr>
                <w:rFonts w:hint="eastAsia" w:ascii="宋体" w:hAnsi="宋体" w:eastAsia="宋体" w:cs="宋体"/>
                <w:color w:val="auto"/>
              </w:rPr>
            </w:pPr>
            <w:r>
              <w:rPr>
                <w:rFonts w:hint="eastAsia" w:ascii="宋体" w:hAnsi="宋体" w:eastAsia="宋体" w:cs="宋体"/>
                <w:color w:val="auto"/>
              </w:rPr>
              <w:t>职务</w:t>
            </w:r>
          </w:p>
        </w:tc>
        <w:tc>
          <w:tcPr>
            <w:tcW w:w="803" w:type="dxa"/>
            <w:vMerge w:val="restart"/>
            <w:noWrap w:val="0"/>
            <w:vAlign w:val="center"/>
          </w:tcPr>
          <w:p w14:paraId="00DB5D0C">
            <w:pPr>
              <w:spacing w:line="0" w:lineRule="atLeast"/>
              <w:jc w:val="center"/>
              <w:rPr>
                <w:rFonts w:hint="eastAsia" w:ascii="宋体" w:hAnsi="宋体" w:eastAsia="宋体" w:cs="宋体"/>
                <w:color w:val="auto"/>
              </w:rPr>
            </w:pPr>
            <w:r>
              <w:rPr>
                <w:rFonts w:hint="eastAsia" w:ascii="宋体" w:hAnsi="宋体" w:eastAsia="宋体" w:cs="宋体"/>
                <w:color w:val="auto"/>
              </w:rPr>
              <w:t>姓名</w:t>
            </w:r>
          </w:p>
        </w:tc>
        <w:tc>
          <w:tcPr>
            <w:tcW w:w="803" w:type="dxa"/>
            <w:vMerge w:val="restart"/>
            <w:noWrap w:val="0"/>
            <w:vAlign w:val="center"/>
          </w:tcPr>
          <w:p w14:paraId="73C5836A">
            <w:pPr>
              <w:spacing w:line="0" w:lineRule="atLeast"/>
              <w:jc w:val="center"/>
              <w:rPr>
                <w:rFonts w:hint="eastAsia" w:ascii="宋体" w:hAnsi="宋体" w:eastAsia="宋体" w:cs="宋体"/>
                <w:color w:val="auto"/>
              </w:rPr>
            </w:pPr>
            <w:r>
              <w:rPr>
                <w:rFonts w:hint="eastAsia" w:ascii="宋体" w:hAnsi="宋体" w:eastAsia="宋体" w:cs="宋体"/>
                <w:color w:val="auto"/>
              </w:rPr>
              <w:t>职称</w:t>
            </w:r>
          </w:p>
        </w:tc>
        <w:tc>
          <w:tcPr>
            <w:tcW w:w="5349" w:type="dxa"/>
            <w:gridSpan w:val="5"/>
            <w:noWrap w:val="0"/>
            <w:vAlign w:val="center"/>
          </w:tcPr>
          <w:p w14:paraId="2786D20D">
            <w:pPr>
              <w:spacing w:line="0" w:lineRule="atLeast"/>
              <w:jc w:val="center"/>
              <w:rPr>
                <w:rFonts w:hint="eastAsia" w:ascii="宋体" w:hAnsi="宋体" w:eastAsia="宋体" w:cs="宋体"/>
                <w:color w:val="auto"/>
              </w:rPr>
            </w:pPr>
            <w:r>
              <w:rPr>
                <w:rFonts w:hint="eastAsia" w:ascii="宋体" w:hAnsi="宋体" w:eastAsia="宋体" w:cs="宋体"/>
                <w:color w:val="auto"/>
              </w:rPr>
              <w:t>执业或职业资格证明</w:t>
            </w:r>
          </w:p>
        </w:tc>
        <w:tc>
          <w:tcPr>
            <w:tcW w:w="740" w:type="dxa"/>
            <w:vMerge w:val="restart"/>
            <w:noWrap w:val="0"/>
            <w:vAlign w:val="center"/>
          </w:tcPr>
          <w:p w14:paraId="720869CE">
            <w:pPr>
              <w:spacing w:line="0" w:lineRule="atLeast"/>
              <w:jc w:val="center"/>
              <w:rPr>
                <w:rFonts w:hint="eastAsia" w:ascii="宋体" w:hAnsi="宋体" w:eastAsia="宋体" w:cs="宋体"/>
                <w:color w:val="auto"/>
              </w:rPr>
            </w:pPr>
            <w:r>
              <w:rPr>
                <w:rFonts w:hint="eastAsia" w:ascii="宋体" w:hAnsi="宋体" w:eastAsia="宋体" w:cs="宋体"/>
                <w:color w:val="auto"/>
              </w:rPr>
              <w:t>备注</w:t>
            </w:r>
          </w:p>
        </w:tc>
      </w:tr>
      <w:tr w14:paraId="287B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03" w:type="dxa"/>
            <w:vMerge w:val="continue"/>
            <w:noWrap w:val="0"/>
            <w:vAlign w:val="center"/>
          </w:tcPr>
          <w:p w14:paraId="0D9D5354">
            <w:pPr>
              <w:spacing w:line="0" w:lineRule="atLeast"/>
              <w:jc w:val="center"/>
              <w:rPr>
                <w:rFonts w:hint="eastAsia" w:ascii="宋体" w:hAnsi="宋体" w:eastAsia="宋体" w:cs="宋体"/>
                <w:color w:val="auto"/>
              </w:rPr>
            </w:pPr>
          </w:p>
        </w:tc>
        <w:tc>
          <w:tcPr>
            <w:tcW w:w="803" w:type="dxa"/>
            <w:vMerge w:val="continue"/>
            <w:noWrap w:val="0"/>
            <w:vAlign w:val="center"/>
          </w:tcPr>
          <w:p w14:paraId="7B9D1632">
            <w:pPr>
              <w:spacing w:line="0" w:lineRule="atLeast"/>
              <w:jc w:val="center"/>
              <w:rPr>
                <w:rFonts w:hint="eastAsia" w:ascii="宋体" w:hAnsi="宋体" w:eastAsia="宋体" w:cs="宋体"/>
                <w:color w:val="auto"/>
              </w:rPr>
            </w:pPr>
          </w:p>
        </w:tc>
        <w:tc>
          <w:tcPr>
            <w:tcW w:w="803" w:type="dxa"/>
            <w:vMerge w:val="continue"/>
            <w:noWrap w:val="0"/>
            <w:vAlign w:val="center"/>
          </w:tcPr>
          <w:p w14:paraId="593B710B">
            <w:pPr>
              <w:spacing w:line="0" w:lineRule="atLeast"/>
              <w:jc w:val="center"/>
              <w:rPr>
                <w:rFonts w:hint="eastAsia" w:ascii="宋体" w:hAnsi="宋体" w:eastAsia="宋体" w:cs="宋体"/>
                <w:color w:val="auto"/>
              </w:rPr>
            </w:pPr>
          </w:p>
        </w:tc>
        <w:tc>
          <w:tcPr>
            <w:tcW w:w="1284" w:type="dxa"/>
            <w:noWrap w:val="0"/>
            <w:vAlign w:val="center"/>
          </w:tcPr>
          <w:p w14:paraId="51E8489B">
            <w:pPr>
              <w:spacing w:line="0" w:lineRule="atLeast"/>
              <w:jc w:val="center"/>
              <w:rPr>
                <w:rFonts w:hint="eastAsia" w:ascii="宋体" w:hAnsi="宋体" w:eastAsia="宋体" w:cs="宋体"/>
                <w:color w:val="auto"/>
              </w:rPr>
            </w:pPr>
            <w:r>
              <w:rPr>
                <w:rFonts w:hint="eastAsia" w:ascii="宋体" w:hAnsi="宋体" w:eastAsia="宋体" w:cs="宋体"/>
                <w:color w:val="auto"/>
              </w:rPr>
              <w:t>证书</w:t>
            </w:r>
          </w:p>
          <w:p w14:paraId="312662A0">
            <w:pPr>
              <w:spacing w:line="0" w:lineRule="atLeast"/>
              <w:jc w:val="center"/>
              <w:rPr>
                <w:rFonts w:hint="eastAsia" w:ascii="宋体" w:hAnsi="宋体" w:eastAsia="宋体" w:cs="宋体"/>
                <w:color w:val="auto"/>
              </w:rPr>
            </w:pPr>
            <w:r>
              <w:rPr>
                <w:rFonts w:hint="eastAsia" w:ascii="宋体" w:hAnsi="宋体" w:eastAsia="宋体" w:cs="宋体"/>
                <w:color w:val="auto"/>
              </w:rPr>
              <w:t>名称</w:t>
            </w:r>
          </w:p>
        </w:tc>
        <w:tc>
          <w:tcPr>
            <w:tcW w:w="873" w:type="dxa"/>
            <w:noWrap w:val="0"/>
            <w:vAlign w:val="center"/>
          </w:tcPr>
          <w:p w14:paraId="0C0C3E5E">
            <w:pPr>
              <w:spacing w:line="0" w:lineRule="atLeast"/>
              <w:jc w:val="center"/>
              <w:rPr>
                <w:rFonts w:hint="eastAsia" w:ascii="宋体" w:hAnsi="宋体" w:eastAsia="宋体" w:cs="宋体"/>
                <w:color w:val="auto"/>
              </w:rPr>
            </w:pPr>
            <w:r>
              <w:rPr>
                <w:rFonts w:hint="eastAsia" w:ascii="宋体" w:hAnsi="宋体" w:eastAsia="宋体" w:cs="宋体"/>
                <w:color w:val="auto"/>
              </w:rPr>
              <w:t>级别</w:t>
            </w:r>
          </w:p>
        </w:tc>
        <w:tc>
          <w:tcPr>
            <w:tcW w:w="892" w:type="dxa"/>
            <w:noWrap w:val="0"/>
            <w:vAlign w:val="center"/>
          </w:tcPr>
          <w:p w14:paraId="37CB36D1">
            <w:pPr>
              <w:spacing w:line="0" w:lineRule="atLeast"/>
              <w:jc w:val="center"/>
              <w:rPr>
                <w:rFonts w:hint="eastAsia" w:ascii="宋体" w:hAnsi="宋体" w:eastAsia="宋体" w:cs="宋体"/>
                <w:color w:val="auto"/>
              </w:rPr>
            </w:pPr>
            <w:r>
              <w:rPr>
                <w:rFonts w:hint="eastAsia" w:ascii="宋体" w:hAnsi="宋体" w:eastAsia="宋体" w:cs="宋体"/>
                <w:color w:val="auto"/>
              </w:rPr>
              <w:t>证号</w:t>
            </w:r>
          </w:p>
        </w:tc>
        <w:tc>
          <w:tcPr>
            <w:tcW w:w="962" w:type="dxa"/>
            <w:noWrap w:val="0"/>
            <w:vAlign w:val="center"/>
          </w:tcPr>
          <w:p w14:paraId="1360AFA0">
            <w:pPr>
              <w:spacing w:line="0" w:lineRule="atLeast"/>
              <w:jc w:val="center"/>
              <w:rPr>
                <w:rFonts w:hint="eastAsia" w:ascii="宋体" w:hAnsi="宋体" w:eastAsia="宋体" w:cs="宋体"/>
                <w:color w:val="auto"/>
              </w:rPr>
            </w:pPr>
            <w:r>
              <w:rPr>
                <w:rFonts w:hint="eastAsia" w:ascii="宋体" w:hAnsi="宋体" w:eastAsia="宋体" w:cs="宋体"/>
                <w:color w:val="auto"/>
              </w:rPr>
              <w:t>专业</w:t>
            </w:r>
          </w:p>
        </w:tc>
        <w:tc>
          <w:tcPr>
            <w:tcW w:w="1338" w:type="dxa"/>
            <w:noWrap w:val="0"/>
            <w:vAlign w:val="center"/>
          </w:tcPr>
          <w:p w14:paraId="34CC4AD3">
            <w:pPr>
              <w:spacing w:line="0" w:lineRule="atLeast"/>
              <w:jc w:val="center"/>
              <w:rPr>
                <w:rFonts w:hint="eastAsia" w:ascii="宋体" w:hAnsi="宋体" w:eastAsia="宋体" w:cs="宋体"/>
                <w:color w:val="auto"/>
              </w:rPr>
            </w:pPr>
            <w:r>
              <w:rPr>
                <w:rFonts w:hint="eastAsia" w:ascii="宋体" w:hAnsi="宋体" w:eastAsia="宋体" w:cs="宋体"/>
                <w:color w:val="auto"/>
              </w:rPr>
              <w:t>养老保险</w:t>
            </w:r>
          </w:p>
        </w:tc>
        <w:tc>
          <w:tcPr>
            <w:tcW w:w="740" w:type="dxa"/>
            <w:vMerge w:val="continue"/>
            <w:noWrap w:val="0"/>
            <w:vAlign w:val="center"/>
          </w:tcPr>
          <w:p w14:paraId="360F8B16">
            <w:pPr>
              <w:spacing w:line="0" w:lineRule="atLeast"/>
              <w:jc w:val="center"/>
              <w:rPr>
                <w:rFonts w:hint="eastAsia" w:ascii="宋体" w:hAnsi="宋体" w:eastAsia="宋体" w:cs="宋体"/>
                <w:color w:val="auto"/>
              </w:rPr>
            </w:pPr>
          </w:p>
        </w:tc>
      </w:tr>
      <w:tr w14:paraId="365B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03" w:type="dxa"/>
            <w:noWrap w:val="0"/>
            <w:vAlign w:val="center"/>
          </w:tcPr>
          <w:p w14:paraId="587AA1BC">
            <w:pPr>
              <w:spacing w:line="0" w:lineRule="atLeast"/>
              <w:jc w:val="center"/>
              <w:rPr>
                <w:rFonts w:hint="eastAsia" w:ascii="宋体" w:hAnsi="宋体" w:eastAsia="宋体" w:cs="宋体"/>
                <w:color w:val="auto"/>
              </w:rPr>
            </w:pPr>
          </w:p>
        </w:tc>
        <w:tc>
          <w:tcPr>
            <w:tcW w:w="803" w:type="dxa"/>
            <w:noWrap w:val="0"/>
            <w:vAlign w:val="center"/>
          </w:tcPr>
          <w:p w14:paraId="0D69FB5E">
            <w:pPr>
              <w:spacing w:line="0" w:lineRule="atLeast"/>
              <w:jc w:val="center"/>
              <w:rPr>
                <w:rFonts w:hint="eastAsia" w:ascii="宋体" w:hAnsi="宋体" w:eastAsia="宋体" w:cs="宋体"/>
                <w:color w:val="auto"/>
              </w:rPr>
            </w:pPr>
          </w:p>
        </w:tc>
        <w:tc>
          <w:tcPr>
            <w:tcW w:w="803" w:type="dxa"/>
            <w:noWrap w:val="0"/>
            <w:vAlign w:val="center"/>
          </w:tcPr>
          <w:p w14:paraId="36CDC630">
            <w:pPr>
              <w:spacing w:line="0" w:lineRule="atLeast"/>
              <w:jc w:val="center"/>
              <w:rPr>
                <w:rFonts w:hint="eastAsia" w:ascii="宋体" w:hAnsi="宋体" w:eastAsia="宋体" w:cs="宋体"/>
                <w:color w:val="auto"/>
              </w:rPr>
            </w:pPr>
          </w:p>
        </w:tc>
        <w:tc>
          <w:tcPr>
            <w:tcW w:w="1284" w:type="dxa"/>
            <w:noWrap w:val="0"/>
            <w:vAlign w:val="center"/>
          </w:tcPr>
          <w:p w14:paraId="750C1049">
            <w:pPr>
              <w:spacing w:line="0" w:lineRule="atLeast"/>
              <w:jc w:val="center"/>
              <w:rPr>
                <w:rFonts w:hint="eastAsia" w:ascii="宋体" w:hAnsi="宋体" w:eastAsia="宋体" w:cs="宋体"/>
                <w:color w:val="auto"/>
              </w:rPr>
            </w:pPr>
          </w:p>
        </w:tc>
        <w:tc>
          <w:tcPr>
            <w:tcW w:w="873" w:type="dxa"/>
            <w:noWrap w:val="0"/>
            <w:vAlign w:val="center"/>
          </w:tcPr>
          <w:p w14:paraId="395A23B6">
            <w:pPr>
              <w:spacing w:line="0" w:lineRule="atLeast"/>
              <w:jc w:val="center"/>
              <w:rPr>
                <w:rFonts w:hint="eastAsia" w:ascii="宋体" w:hAnsi="宋体" w:eastAsia="宋体" w:cs="宋体"/>
                <w:color w:val="auto"/>
              </w:rPr>
            </w:pPr>
          </w:p>
        </w:tc>
        <w:tc>
          <w:tcPr>
            <w:tcW w:w="892" w:type="dxa"/>
            <w:noWrap w:val="0"/>
            <w:vAlign w:val="center"/>
          </w:tcPr>
          <w:p w14:paraId="32FAA7A1">
            <w:pPr>
              <w:spacing w:line="0" w:lineRule="atLeast"/>
              <w:jc w:val="center"/>
              <w:rPr>
                <w:rFonts w:hint="eastAsia" w:ascii="宋体" w:hAnsi="宋体" w:eastAsia="宋体" w:cs="宋体"/>
                <w:color w:val="auto"/>
              </w:rPr>
            </w:pPr>
          </w:p>
        </w:tc>
        <w:tc>
          <w:tcPr>
            <w:tcW w:w="962" w:type="dxa"/>
            <w:noWrap w:val="0"/>
            <w:vAlign w:val="center"/>
          </w:tcPr>
          <w:p w14:paraId="4B267C1D">
            <w:pPr>
              <w:spacing w:line="0" w:lineRule="atLeast"/>
              <w:jc w:val="center"/>
              <w:rPr>
                <w:rFonts w:hint="eastAsia" w:ascii="宋体" w:hAnsi="宋体" w:eastAsia="宋体" w:cs="宋体"/>
                <w:color w:val="auto"/>
              </w:rPr>
            </w:pPr>
          </w:p>
        </w:tc>
        <w:tc>
          <w:tcPr>
            <w:tcW w:w="1338" w:type="dxa"/>
            <w:noWrap w:val="0"/>
            <w:vAlign w:val="center"/>
          </w:tcPr>
          <w:p w14:paraId="2FFD4C69">
            <w:pPr>
              <w:spacing w:line="0" w:lineRule="atLeast"/>
              <w:jc w:val="center"/>
              <w:rPr>
                <w:rFonts w:hint="eastAsia" w:ascii="宋体" w:hAnsi="宋体" w:eastAsia="宋体" w:cs="宋体"/>
                <w:color w:val="auto"/>
              </w:rPr>
            </w:pPr>
          </w:p>
        </w:tc>
        <w:tc>
          <w:tcPr>
            <w:tcW w:w="740" w:type="dxa"/>
            <w:noWrap w:val="0"/>
            <w:vAlign w:val="center"/>
          </w:tcPr>
          <w:p w14:paraId="402E3F76">
            <w:pPr>
              <w:spacing w:line="0" w:lineRule="atLeast"/>
              <w:jc w:val="center"/>
              <w:rPr>
                <w:rFonts w:hint="eastAsia" w:ascii="宋体" w:hAnsi="宋体" w:eastAsia="宋体" w:cs="宋体"/>
                <w:color w:val="auto"/>
              </w:rPr>
            </w:pPr>
          </w:p>
        </w:tc>
      </w:tr>
      <w:tr w14:paraId="7E64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03" w:type="dxa"/>
            <w:noWrap w:val="0"/>
            <w:vAlign w:val="center"/>
          </w:tcPr>
          <w:p w14:paraId="4B3EA4C6">
            <w:pPr>
              <w:jc w:val="center"/>
              <w:rPr>
                <w:rFonts w:hint="eastAsia" w:ascii="宋体" w:hAnsi="宋体" w:eastAsia="宋体" w:cs="宋体"/>
                <w:color w:val="auto"/>
              </w:rPr>
            </w:pPr>
          </w:p>
        </w:tc>
        <w:tc>
          <w:tcPr>
            <w:tcW w:w="803" w:type="dxa"/>
            <w:noWrap w:val="0"/>
            <w:vAlign w:val="center"/>
          </w:tcPr>
          <w:p w14:paraId="15BCDA3A">
            <w:pPr>
              <w:jc w:val="center"/>
              <w:rPr>
                <w:rFonts w:hint="eastAsia" w:ascii="宋体" w:hAnsi="宋体" w:eastAsia="宋体" w:cs="宋体"/>
                <w:color w:val="auto"/>
              </w:rPr>
            </w:pPr>
          </w:p>
        </w:tc>
        <w:tc>
          <w:tcPr>
            <w:tcW w:w="803" w:type="dxa"/>
            <w:noWrap w:val="0"/>
            <w:vAlign w:val="center"/>
          </w:tcPr>
          <w:p w14:paraId="38F3D045">
            <w:pPr>
              <w:jc w:val="center"/>
              <w:rPr>
                <w:rFonts w:hint="eastAsia" w:ascii="宋体" w:hAnsi="宋体" w:eastAsia="宋体" w:cs="宋体"/>
                <w:color w:val="auto"/>
              </w:rPr>
            </w:pPr>
          </w:p>
        </w:tc>
        <w:tc>
          <w:tcPr>
            <w:tcW w:w="1284" w:type="dxa"/>
            <w:noWrap w:val="0"/>
            <w:vAlign w:val="center"/>
          </w:tcPr>
          <w:p w14:paraId="0F6B8448">
            <w:pPr>
              <w:jc w:val="center"/>
              <w:rPr>
                <w:rFonts w:hint="eastAsia" w:ascii="宋体" w:hAnsi="宋体" w:eastAsia="宋体" w:cs="宋体"/>
                <w:color w:val="auto"/>
              </w:rPr>
            </w:pPr>
          </w:p>
        </w:tc>
        <w:tc>
          <w:tcPr>
            <w:tcW w:w="873" w:type="dxa"/>
            <w:noWrap w:val="0"/>
            <w:vAlign w:val="center"/>
          </w:tcPr>
          <w:p w14:paraId="67B24D3D">
            <w:pPr>
              <w:jc w:val="center"/>
              <w:rPr>
                <w:rFonts w:hint="eastAsia" w:ascii="宋体" w:hAnsi="宋体" w:eastAsia="宋体" w:cs="宋体"/>
                <w:color w:val="auto"/>
              </w:rPr>
            </w:pPr>
          </w:p>
        </w:tc>
        <w:tc>
          <w:tcPr>
            <w:tcW w:w="892" w:type="dxa"/>
            <w:noWrap w:val="0"/>
            <w:vAlign w:val="center"/>
          </w:tcPr>
          <w:p w14:paraId="450E3BA0">
            <w:pPr>
              <w:jc w:val="center"/>
              <w:rPr>
                <w:rFonts w:hint="eastAsia" w:ascii="宋体" w:hAnsi="宋体" w:eastAsia="宋体" w:cs="宋体"/>
                <w:color w:val="auto"/>
              </w:rPr>
            </w:pPr>
          </w:p>
        </w:tc>
        <w:tc>
          <w:tcPr>
            <w:tcW w:w="962" w:type="dxa"/>
            <w:noWrap w:val="0"/>
            <w:vAlign w:val="center"/>
          </w:tcPr>
          <w:p w14:paraId="4C877262">
            <w:pPr>
              <w:jc w:val="center"/>
              <w:rPr>
                <w:rFonts w:hint="eastAsia" w:ascii="宋体" w:hAnsi="宋体" w:eastAsia="宋体" w:cs="宋体"/>
                <w:color w:val="auto"/>
              </w:rPr>
            </w:pPr>
          </w:p>
        </w:tc>
        <w:tc>
          <w:tcPr>
            <w:tcW w:w="1338" w:type="dxa"/>
            <w:noWrap w:val="0"/>
            <w:vAlign w:val="center"/>
          </w:tcPr>
          <w:p w14:paraId="4B29AEF1">
            <w:pPr>
              <w:jc w:val="center"/>
              <w:rPr>
                <w:rFonts w:hint="eastAsia" w:ascii="宋体" w:hAnsi="宋体" w:eastAsia="宋体" w:cs="宋体"/>
                <w:color w:val="auto"/>
              </w:rPr>
            </w:pPr>
          </w:p>
        </w:tc>
        <w:tc>
          <w:tcPr>
            <w:tcW w:w="740" w:type="dxa"/>
            <w:noWrap w:val="0"/>
            <w:vAlign w:val="center"/>
          </w:tcPr>
          <w:p w14:paraId="09E03337">
            <w:pPr>
              <w:jc w:val="center"/>
              <w:rPr>
                <w:rFonts w:hint="eastAsia" w:ascii="宋体" w:hAnsi="宋体" w:eastAsia="宋体" w:cs="宋体"/>
                <w:color w:val="auto"/>
              </w:rPr>
            </w:pPr>
          </w:p>
        </w:tc>
      </w:tr>
      <w:tr w14:paraId="06A6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03" w:type="dxa"/>
            <w:noWrap w:val="0"/>
            <w:vAlign w:val="center"/>
          </w:tcPr>
          <w:p w14:paraId="5D8FDE85">
            <w:pPr>
              <w:jc w:val="center"/>
              <w:rPr>
                <w:rFonts w:hint="eastAsia" w:ascii="宋体" w:hAnsi="宋体" w:eastAsia="宋体" w:cs="宋体"/>
                <w:color w:val="auto"/>
              </w:rPr>
            </w:pPr>
          </w:p>
        </w:tc>
        <w:tc>
          <w:tcPr>
            <w:tcW w:w="803" w:type="dxa"/>
            <w:noWrap w:val="0"/>
            <w:vAlign w:val="center"/>
          </w:tcPr>
          <w:p w14:paraId="35EC3D50">
            <w:pPr>
              <w:jc w:val="center"/>
              <w:rPr>
                <w:rFonts w:hint="eastAsia" w:ascii="宋体" w:hAnsi="宋体" w:eastAsia="宋体" w:cs="宋体"/>
                <w:color w:val="auto"/>
              </w:rPr>
            </w:pPr>
          </w:p>
        </w:tc>
        <w:tc>
          <w:tcPr>
            <w:tcW w:w="803" w:type="dxa"/>
            <w:noWrap w:val="0"/>
            <w:vAlign w:val="center"/>
          </w:tcPr>
          <w:p w14:paraId="1B8D1CC1">
            <w:pPr>
              <w:jc w:val="center"/>
              <w:rPr>
                <w:rFonts w:hint="eastAsia" w:ascii="宋体" w:hAnsi="宋体" w:eastAsia="宋体" w:cs="宋体"/>
                <w:color w:val="auto"/>
              </w:rPr>
            </w:pPr>
          </w:p>
        </w:tc>
        <w:tc>
          <w:tcPr>
            <w:tcW w:w="1284" w:type="dxa"/>
            <w:noWrap w:val="0"/>
            <w:vAlign w:val="center"/>
          </w:tcPr>
          <w:p w14:paraId="361D2A6C">
            <w:pPr>
              <w:jc w:val="center"/>
              <w:rPr>
                <w:rFonts w:hint="eastAsia" w:ascii="宋体" w:hAnsi="宋体" w:eastAsia="宋体" w:cs="宋体"/>
                <w:color w:val="auto"/>
              </w:rPr>
            </w:pPr>
          </w:p>
        </w:tc>
        <w:tc>
          <w:tcPr>
            <w:tcW w:w="873" w:type="dxa"/>
            <w:noWrap w:val="0"/>
            <w:vAlign w:val="center"/>
          </w:tcPr>
          <w:p w14:paraId="01445CAC">
            <w:pPr>
              <w:jc w:val="center"/>
              <w:rPr>
                <w:rFonts w:hint="eastAsia" w:ascii="宋体" w:hAnsi="宋体" w:eastAsia="宋体" w:cs="宋体"/>
                <w:color w:val="auto"/>
              </w:rPr>
            </w:pPr>
          </w:p>
        </w:tc>
        <w:tc>
          <w:tcPr>
            <w:tcW w:w="892" w:type="dxa"/>
            <w:noWrap w:val="0"/>
            <w:vAlign w:val="center"/>
          </w:tcPr>
          <w:p w14:paraId="0D44D51B">
            <w:pPr>
              <w:jc w:val="center"/>
              <w:rPr>
                <w:rFonts w:hint="eastAsia" w:ascii="宋体" w:hAnsi="宋体" w:eastAsia="宋体" w:cs="宋体"/>
                <w:color w:val="auto"/>
              </w:rPr>
            </w:pPr>
          </w:p>
        </w:tc>
        <w:tc>
          <w:tcPr>
            <w:tcW w:w="962" w:type="dxa"/>
            <w:noWrap w:val="0"/>
            <w:vAlign w:val="center"/>
          </w:tcPr>
          <w:p w14:paraId="5BCF36FA">
            <w:pPr>
              <w:jc w:val="center"/>
              <w:rPr>
                <w:rFonts w:hint="eastAsia" w:ascii="宋体" w:hAnsi="宋体" w:eastAsia="宋体" w:cs="宋体"/>
                <w:color w:val="auto"/>
              </w:rPr>
            </w:pPr>
          </w:p>
        </w:tc>
        <w:tc>
          <w:tcPr>
            <w:tcW w:w="1338" w:type="dxa"/>
            <w:noWrap w:val="0"/>
            <w:vAlign w:val="center"/>
          </w:tcPr>
          <w:p w14:paraId="4EFFFEC2">
            <w:pPr>
              <w:jc w:val="center"/>
              <w:rPr>
                <w:rFonts w:hint="eastAsia" w:ascii="宋体" w:hAnsi="宋体" w:eastAsia="宋体" w:cs="宋体"/>
                <w:color w:val="auto"/>
              </w:rPr>
            </w:pPr>
          </w:p>
        </w:tc>
        <w:tc>
          <w:tcPr>
            <w:tcW w:w="740" w:type="dxa"/>
            <w:noWrap w:val="0"/>
            <w:vAlign w:val="center"/>
          </w:tcPr>
          <w:p w14:paraId="233B5642">
            <w:pPr>
              <w:jc w:val="center"/>
              <w:rPr>
                <w:rFonts w:hint="eastAsia" w:ascii="宋体" w:hAnsi="宋体" w:eastAsia="宋体" w:cs="宋体"/>
                <w:color w:val="auto"/>
              </w:rPr>
            </w:pPr>
          </w:p>
        </w:tc>
      </w:tr>
      <w:tr w14:paraId="1E94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03" w:type="dxa"/>
            <w:noWrap w:val="0"/>
            <w:vAlign w:val="center"/>
          </w:tcPr>
          <w:p w14:paraId="42D2F17D">
            <w:pPr>
              <w:jc w:val="center"/>
              <w:rPr>
                <w:rFonts w:hint="eastAsia" w:ascii="宋体" w:hAnsi="宋体" w:eastAsia="宋体" w:cs="宋体"/>
                <w:color w:val="auto"/>
              </w:rPr>
            </w:pPr>
          </w:p>
        </w:tc>
        <w:tc>
          <w:tcPr>
            <w:tcW w:w="803" w:type="dxa"/>
            <w:noWrap w:val="0"/>
            <w:vAlign w:val="center"/>
          </w:tcPr>
          <w:p w14:paraId="46534B2E">
            <w:pPr>
              <w:jc w:val="center"/>
              <w:rPr>
                <w:rFonts w:hint="eastAsia" w:ascii="宋体" w:hAnsi="宋体" w:eastAsia="宋体" w:cs="宋体"/>
                <w:color w:val="auto"/>
              </w:rPr>
            </w:pPr>
          </w:p>
        </w:tc>
        <w:tc>
          <w:tcPr>
            <w:tcW w:w="803" w:type="dxa"/>
            <w:noWrap w:val="0"/>
            <w:vAlign w:val="center"/>
          </w:tcPr>
          <w:p w14:paraId="7BBE5DFF">
            <w:pPr>
              <w:jc w:val="center"/>
              <w:rPr>
                <w:rFonts w:hint="eastAsia" w:ascii="宋体" w:hAnsi="宋体" w:eastAsia="宋体" w:cs="宋体"/>
                <w:color w:val="auto"/>
              </w:rPr>
            </w:pPr>
          </w:p>
        </w:tc>
        <w:tc>
          <w:tcPr>
            <w:tcW w:w="1284" w:type="dxa"/>
            <w:noWrap w:val="0"/>
            <w:vAlign w:val="center"/>
          </w:tcPr>
          <w:p w14:paraId="3E768414">
            <w:pPr>
              <w:jc w:val="center"/>
              <w:rPr>
                <w:rFonts w:hint="eastAsia" w:ascii="宋体" w:hAnsi="宋体" w:eastAsia="宋体" w:cs="宋体"/>
                <w:color w:val="auto"/>
              </w:rPr>
            </w:pPr>
          </w:p>
        </w:tc>
        <w:tc>
          <w:tcPr>
            <w:tcW w:w="873" w:type="dxa"/>
            <w:noWrap w:val="0"/>
            <w:vAlign w:val="center"/>
          </w:tcPr>
          <w:p w14:paraId="0BFE52AA">
            <w:pPr>
              <w:jc w:val="center"/>
              <w:rPr>
                <w:rFonts w:hint="eastAsia" w:ascii="宋体" w:hAnsi="宋体" w:eastAsia="宋体" w:cs="宋体"/>
                <w:color w:val="auto"/>
              </w:rPr>
            </w:pPr>
          </w:p>
        </w:tc>
        <w:tc>
          <w:tcPr>
            <w:tcW w:w="892" w:type="dxa"/>
            <w:noWrap w:val="0"/>
            <w:vAlign w:val="center"/>
          </w:tcPr>
          <w:p w14:paraId="25063C70">
            <w:pPr>
              <w:jc w:val="center"/>
              <w:rPr>
                <w:rFonts w:hint="eastAsia" w:ascii="宋体" w:hAnsi="宋体" w:eastAsia="宋体" w:cs="宋体"/>
                <w:color w:val="auto"/>
              </w:rPr>
            </w:pPr>
          </w:p>
        </w:tc>
        <w:tc>
          <w:tcPr>
            <w:tcW w:w="962" w:type="dxa"/>
            <w:noWrap w:val="0"/>
            <w:vAlign w:val="center"/>
          </w:tcPr>
          <w:p w14:paraId="0D809FF8">
            <w:pPr>
              <w:jc w:val="center"/>
              <w:rPr>
                <w:rFonts w:hint="eastAsia" w:ascii="宋体" w:hAnsi="宋体" w:eastAsia="宋体" w:cs="宋体"/>
                <w:color w:val="auto"/>
              </w:rPr>
            </w:pPr>
          </w:p>
        </w:tc>
        <w:tc>
          <w:tcPr>
            <w:tcW w:w="1338" w:type="dxa"/>
            <w:noWrap w:val="0"/>
            <w:vAlign w:val="center"/>
          </w:tcPr>
          <w:p w14:paraId="1EF8B492">
            <w:pPr>
              <w:jc w:val="center"/>
              <w:rPr>
                <w:rFonts w:hint="eastAsia" w:ascii="宋体" w:hAnsi="宋体" w:eastAsia="宋体" w:cs="宋体"/>
                <w:color w:val="auto"/>
              </w:rPr>
            </w:pPr>
          </w:p>
        </w:tc>
        <w:tc>
          <w:tcPr>
            <w:tcW w:w="740" w:type="dxa"/>
            <w:noWrap w:val="0"/>
            <w:vAlign w:val="center"/>
          </w:tcPr>
          <w:p w14:paraId="6A038087">
            <w:pPr>
              <w:jc w:val="center"/>
              <w:rPr>
                <w:rFonts w:hint="eastAsia" w:ascii="宋体" w:hAnsi="宋体" w:eastAsia="宋体" w:cs="宋体"/>
                <w:color w:val="auto"/>
              </w:rPr>
            </w:pPr>
          </w:p>
        </w:tc>
      </w:tr>
      <w:tr w14:paraId="5939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03" w:type="dxa"/>
            <w:noWrap w:val="0"/>
            <w:vAlign w:val="center"/>
          </w:tcPr>
          <w:p w14:paraId="41F3166E">
            <w:pPr>
              <w:jc w:val="center"/>
              <w:rPr>
                <w:rFonts w:hint="eastAsia" w:ascii="宋体" w:hAnsi="宋体" w:eastAsia="宋体" w:cs="宋体"/>
                <w:color w:val="auto"/>
              </w:rPr>
            </w:pPr>
          </w:p>
        </w:tc>
        <w:tc>
          <w:tcPr>
            <w:tcW w:w="803" w:type="dxa"/>
            <w:noWrap w:val="0"/>
            <w:vAlign w:val="center"/>
          </w:tcPr>
          <w:p w14:paraId="5105AB07">
            <w:pPr>
              <w:jc w:val="center"/>
              <w:rPr>
                <w:rFonts w:hint="eastAsia" w:ascii="宋体" w:hAnsi="宋体" w:eastAsia="宋体" w:cs="宋体"/>
                <w:color w:val="auto"/>
              </w:rPr>
            </w:pPr>
          </w:p>
        </w:tc>
        <w:tc>
          <w:tcPr>
            <w:tcW w:w="803" w:type="dxa"/>
            <w:noWrap w:val="0"/>
            <w:vAlign w:val="center"/>
          </w:tcPr>
          <w:p w14:paraId="36CEC081">
            <w:pPr>
              <w:jc w:val="center"/>
              <w:rPr>
                <w:rFonts w:hint="eastAsia" w:ascii="宋体" w:hAnsi="宋体" w:eastAsia="宋体" w:cs="宋体"/>
                <w:color w:val="auto"/>
              </w:rPr>
            </w:pPr>
          </w:p>
        </w:tc>
        <w:tc>
          <w:tcPr>
            <w:tcW w:w="1284" w:type="dxa"/>
            <w:noWrap w:val="0"/>
            <w:vAlign w:val="center"/>
          </w:tcPr>
          <w:p w14:paraId="5E09A8AC">
            <w:pPr>
              <w:jc w:val="center"/>
              <w:rPr>
                <w:rFonts w:hint="eastAsia" w:ascii="宋体" w:hAnsi="宋体" w:eastAsia="宋体" w:cs="宋体"/>
                <w:color w:val="auto"/>
              </w:rPr>
            </w:pPr>
          </w:p>
        </w:tc>
        <w:tc>
          <w:tcPr>
            <w:tcW w:w="873" w:type="dxa"/>
            <w:noWrap w:val="0"/>
            <w:vAlign w:val="center"/>
          </w:tcPr>
          <w:p w14:paraId="65DB40C0">
            <w:pPr>
              <w:jc w:val="center"/>
              <w:rPr>
                <w:rFonts w:hint="eastAsia" w:ascii="宋体" w:hAnsi="宋体" w:eastAsia="宋体" w:cs="宋体"/>
                <w:color w:val="auto"/>
              </w:rPr>
            </w:pPr>
          </w:p>
        </w:tc>
        <w:tc>
          <w:tcPr>
            <w:tcW w:w="892" w:type="dxa"/>
            <w:noWrap w:val="0"/>
            <w:vAlign w:val="center"/>
          </w:tcPr>
          <w:p w14:paraId="39BEB5F0">
            <w:pPr>
              <w:jc w:val="center"/>
              <w:rPr>
                <w:rFonts w:hint="eastAsia" w:ascii="宋体" w:hAnsi="宋体" w:eastAsia="宋体" w:cs="宋体"/>
                <w:color w:val="auto"/>
              </w:rPr>
            </w:pPr>
          </w:p>
        </w:tc>
        <w:tc>
          <w:tcPr>
            <w:tcW w:w="962" w:type="dxa"/>
            <w:noWrap w:val="0"/>
            <w:vAlign w:val="center"/>
          </w:tcPr>
          <w:p w14:paraId="5BC9E502">
            <w:pPr>
              <w:jc w:val="center"/>
              <w:rPr>
                <w:rFonts w:hint="eastAsia" w:ascii="宋体" w:hAnsi="宋体" w:eastAsia="宋体" w:cs="宋体"/>
                <w:color w:val="auto"/>
              </w:rPr>
            </w:pPr>
          </w:p>
        </w:tc>
        <w:tc>
          <w:tcPr>
            <w:tcW w:w="1338" w:type="dxa"/>
            <w:noWrap w:val="0"/>
            <w:vAlign w:val="center"/>
          </w:tcPr>
          <w:p w14:paraId="2BFAB4E7">
            <w:pPr>
              <w:jc w:val="center"/>
              <w:rPr>
                <w:rFonts w:hint="eastAsia" w:ascii="宋体" w:hAnsi="宋体" w:eastAsia="宋体" w:cs="宋体"/>
                <w:color w:val="auto"/>
              </w:rPr>
            </w:pPr>
          </w:p>
        </w:tc>
        <w:tc>
          <w:tcPr>
            <w:tcW w:w="740" w:type="dxa"/>
            <w:noWrap w:val="0"/>
            <w:vAlign w:val="center"/>
          </w:tcPr>
          <w:p w14:paraId="3F1A67C1">
            <w:pPr>
              <w:jc w:val="center"/>
              <w:rPr>
                <w:rFonts w:hint="eastAsia" w:ascii="宋体" w:hAnsi="宋体" w:eastAsia="宋体" w:cs="宋体"/>
                <w:color w:val="auto"/>
              </w:rPr>
            </w:pPr>
          </w:p>
        </w:tc>
      </w:tr>
      <w:tr w14:paraId="61C4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03" w:type="dxa"/>
            <w:noWrap w:val="0"/>
            <w:vAlign w:val="center"/>
          </w:tcPr>
          <w:p w14:paraId="6086A0B7">
            <w:pPr>
              <w:jc w:val="center"/>
              <w:rPr>
                <w:rFonts w:hint="eastAsia" w:ascii="宋体" w:hAnsi="宋体" w:eastAsia="宋体" w:cs="宋体"/>
                <w:color w:val="auto"/>
              </w:rPr>
            </w:pPr>
            <w:r>
              <w:rPr>
                <w:rFonts w:hint="eastAsia" w:ascii="宋体" w:hAnsi="宋体" w:eastAsia="宋体" w:cs="宋体"/>
                <w:color w:val="auto"/>
              </w:rPr>
              <w:t>……</w:t>
            </w:r>
          </w:p>
        </w:tc>
        <w:tc>
          <w:tcPr>
            <w:tcW w:w="803" w:type="dxa"/>
            <w:noWrap w:val="0"/>
            <w:vAlign w:val="center"/>
          </w:tcPr>
          <w:p w14:paraId="1A36A8C5">
            <w:pPr>
              <w:jc w:val="center"/>
              <w:rPr>
                <w:rFonts w:hint="eastAsia" w:ascii="宋体" w:hAnsi="宋体" w:eastAsia="宋体" w:cs="宋体"/>
                <w:color w:val="auto"/>
              </w:rPr>
            </w:pPr>
          </w:p>
        </w:tc>
        <w:tc>
          <w:tcPr>
            <w:tcW w:w="803" w:type="dxa"/>
            <w:noWrap w:val="0"/>
            <w:vAlign w:val="center"/>
          </w:tcPr>
          <w:p w14:paraId="2F4660BB">
            <w:pPr>
              <w:jc w:val="center"/>
              <w:rPr>
                <w:rFonts w:hint="eastAsia" w:ascii="宋体" w:hAnsi="宋体" w:eastAsia="宋体" w:cs="宋体"/>
                <w:color w:val="auto"/>
              </w:rPr>
            </w:pPr>
          </w:p>
        </w:tc>
        <w:tc>
          <w:tcPr>
            <w:tcW w:w="1284" w:type="dxa"/>
            <w:noWrap w:val="0"/>
            <w:vAlign w:val="center"/>
          </w:tcPr>
          <w:p w14:paraId="15D2E7C3">
            <w:pPr>
              <w:jc w:val="center"/>
              <w:rPr>
                <w:rFonts w:hint="eastAsia" w:ascii="宋体" w:hAnsi="宋体" w:eastAsia="宋体" w:cs="宋体"/>
                <w:color w:val="auto"/>
              </w:rPr>
            </w:pPr>
          </w:p>
        </w:tc>
        <w:tc>
          <w:tcPr>
            <w:tcW w:w="873" w:type="dxa"/>
            <w:noWrap w:val="0"/>
            <w:vAlign w:val="center"/>
          </w:tcPr>
          <w:p w14:paraId="4A9A21B9">
            <w:pPr>
              <w:jc w:val="center"/>
              <w:rPr>
                <w:rFonts w:hint="eastAsia" w:ascii="宋体" w:hAnsi="宋体" w:eastAsia="宋体" w:cs="宋体"/>
                <w:color w:val="auto"/>
              </w:rPr>
            </w:pPr>
          </w:p>
        </w:tc>
        <w:tc>
          <w:tcPr>
            <w:tcW w:w="892" w:type="dxa"/>
            <w:noWrap w:val="0"/>
            <w:vAlign w:val="center"/>
          </w:tcPr>
          <w:p w14:paraId="6261A228">
            <w:pPr>
              <w:jc w:val="center"/>
              <w:rPr>
                <w:rFonts w:hint="eastAsia" w:ascii="宋体" w:hAnsi="宋体" w:eastAsia="宋体" w:cs="宋体"/>
                <w:color w:val="auto"/>
              </w:rPr>
            </w:pPr>
          </w:p>
        </w:tc>
        <w:tc>
          <w:tcPr>
            <w:tcW w:w="962" w:type="dxa"/>
            <w:noWrap w:val="0"/>
            <w:vAlign w:val="center"/>
          </w:tcPr>
          <w:p w14:paraId="69DC2199">
            <w:pPr>
              <w:jc w:val="center"/>
              <w:rPr>
                <w:rFonts w:hint="eastAsia" w:ascii="宋体" w:hAnsi="宋体" w:eastAsia="宋体" w:cs="宋体"/>
                <w:color w:val="auto"/>
              </w:rPr>
            </w:pPr>
          </w:p>
        </w:tc>
        <w:tc>
          <w:tcPr>
            <w:tcW w:w="1338" w:type="dxa"/>
            <w:noWrap w:val="0"/>
            <w:vAlign w:val="center"/>
          </w:tcPr>
          <w:p w14:paraId="427937F7">
            <w:pPr>
              <w:jc w:val="center"/>
              <w:rPr>
                <w:rFonts w:hint="eastAsia" w:ascii="宋体" w:hAnsi="宋体" w:eastAsia="宋体" w:cs="宋体"/>
                <w:color w:val="auto"/>
              </w:rPr>
            </w:pPr>
          </w:p>
        </w:tc>
        <w:tc>
          <w:tcPr>
            <w:tcW w:w="740" w:type="dxa"/>
            <w:noWrap w:val="0"/>
            <w:vAlign w:val="center"/>
          </w:tcPr>
          <w:p w14:paraId="7B1042C7">
            <w:pPr>
              <w:jc w:val="center"/>
              <w:rPr>
                <w:rFonts w:hint="eastAsia" w:ascii="宋体" w:hAnsi="宋体" w:eastAsia="宋体" w:cs="宋体"/>
                <w:color w:val="auto"/>
              </w:rPr>
            </w:pPr>
          </w:p>
        </w:tc>
      </w:tr>
    </w:tbl>
    <w:p w14:paraId="612DE813">
      <w:pPr>
        <w:pStyle w:val="16"/>
        <w:ind w:firstLine="340"/>
        <w:rPr>
          <w:rFonts w:hint="eastAsia" w:ascii="宋体" w:hAnsi="宋体" w:eastAsia="宋体" w:cs="宋体"/>
          <w:color w:val="auto"/>
          <w:lang w:val="zh-CN"/>
        </w:rPr>
      </w:pPr>
    </w:p>
    <w:p w14:paraId="5DADA9C4">
      <w:pPr>
        <w:rPr>
          <w:rFonts w:hint="eastAsia" w:ascii="宋体" w:hAnsi="宋体" w:eastAsia="宋体" w:cs="宋体"/>
          <w:color w:val="auto"/>
        </w:rPr>
      </w:pPr>
      <w:r>
        <w:rPr>
          <w:rFonts w:hint="eastAsia" w:ascii="宋体" w:hAnsi="宋体" w:eastAsia="宋体" w:cs="宋体"/>
          <w:color w:val="auto"/>
        </w:rPr>
        <w:br w:type="page"/>
      </w:r>
    </w:p>
    <w:p w14:paraId="5958C0B8">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“主要人员简历表”中的</w:t>
      </w:r>
      <w:r>
        <w:rPr>
          <w:rFonts w:hint="eastAsia" w:ascii="宋体" w:hAnsi="宋体" w:eastAsia="宋体" w:cs="宋体"/>
          <w:color w:val="auto"/>
          <w:lang w:eastAsia="zh-CN"/>
        </w:rPr>
        <w:t>项目负责人</w:t>
      </w:r>
      <w:r>
        <w:rPr>
          <w:rFonts w:hint="eastAsia" w:ascii="宋体" w:hAnsi="宋体" w:eastAsia="宋体" w:cs="宋体"/>
          <w:color w:val="auto"/>
        </w:rPr>
        <w:t>应附执业资格证书（或技术职称证书）、身份证</w:t>
      </w:r>
      <w:r>
        <w:rPr>
          <w:rFonts w:hint="eastAsia" w:ascii="宋体" w:hAnsi="宋体" w:eastAsia="宋体" w:cs="宋体"/>
          <w:color w:val="auto"/>
          <w:lang w:eastAsia="zh-CN"/>
        </w:rPr>
        <w:t>等</w:t>
      </w:r>
      <w:r>
        <w:rPr>
          <w:rFonts w:hint="eastAsia" w:ascii="宋体" w:hAnsi="宋体" w:eastAsia="宋体" w:cs="宋体"/>
          <w:color w:val="auto"/>
        </w:rPr>
        <w:t>，管理过的项目业绩</w:t>
      </w:r>
      <w:r>
        <w:rPr>
          <w:rFonts w:hint="eastAsia" w:ascii="宋体" w:hAnsi="宋体" w:eastAsia="宋体" w:cs="宋体"/>
          <w:color w:val="auto"/>
          <w:lang w:val="en-US" w:eastAsia="zh-CN"/>
        </w:rPr>
        <w:t>提供</w:t>
      </w:r>
      <w:r>
        <w:rPr>
          <w:rFonts w:hint="eastAsia" w:ascii="宋体" w:hAnsi="宋体" w:eastAsia="宋体" w:cs="宋体"/>
          <w:color w:val="auto"/>
        </w:rPr>
        <w:t>中标通知书和合同协议书或（合同协议书和竣工验收证明材料）原件扫描件。其他主要人员应附身份证、职称证（执业证或上岗证书）</w:t>
      </w:r>
      <w:r>
        <w:rPr>
          <w:rFonts w:hint="eastAsia" w:ascii="宋体" w:hAnsi="宋体" w:eastAsia="宋体" w:cs="宋体"/>
          <w:color w:val="auto"/>
          <w:lang w:eastAsia="zh-CN"/>
        </w:rPr>
        <w:t>等</w:t>
      </w:r>
      <w:r>
        <w:rPr>
          <w:rFonts w:hint="eastAsia" w:ascii="宋体" w:hAnsi="宋体" w:eastAsia="宋体" w:cs="宋体"/>
          <w:color w:val="auto"/>
        </w:rPr>
        <w:t>原件扫描件。</w:t>
      </w:r>
    </w:p>
    <w:p w14:paraId="4C944339">
      <w:pPr>
        <w:topLinePunct/>
        <w:spacing w:line="360" w:lineRule="auto"/>
        <w:jc w:val="center"/>
        <w:rPr>
          <w:rFonts w:hint="eastAsia" w:ascii="宋体" w:hAnsi="宋体" w:eastAsia="宋体" w:cs="宋体"/>
          <w:color w:val="auto"/>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1146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14:paraId="3D24D6F2">
            <w:pPr>
              <w:spacing w:line="360" w:lineRule="auto"/>
              <w:jc w:val="center"/>
              <w:rPr>
                <w:rFonts w:hint="eastAsia" w:ascii="宋体" w:hAnsi="宋体" w:eastAsia="宋体" w:cs="宋体"/>
                <w:color w:val="auto"/>
              </w:rPr>
            </w:pPr>
            <w:r>
              <w:rPr>
                <w:rFonts w:hint="eastAsia" w:ascii="宋体" w:hAnsi="宋体" w:eastAsia="宋体" w:cs="宋体"/>
                <w:color w:val="auto"/>
              </w:rPr>
              <w:t>姓  名</w:t>
            </w:r>
          </w:p>
        </w:tc>
        <w:tc>
          <w:tcPr>
            <w:tcW w:w="1079" w:type="dxa"/>
            <w:gridSpan w:val="2"/>
            <w:noWrap w:val="0"/>
            <w:vAlign w:val="center"/>
          </w:tcPr>
          <w:p w14:paraId="6B370F14">
            <w:pPr>
              <w:spacing w:line="360" w:lineRule="auto"/>
              <w:jc w:val="center"/>
              <w:rPr>
                <w:rFonts w:hint="eastAsia" w:ascii="宋体" w:hAnsi="宋体" w:eastAsia="宋体" w:cs="宋体"/>
                <w:color w:val="auto"/>
              </w:rPr>
            </w:pPr>
          </w:p>
        </w:tc>
        <w:tc>
          <w:tcPr>
            <w:tcW w:w="927" w:type="dxa"/>
            <w:noWrap w:val="0"/>
            <w:vAlign w:val="center"/>
          </w:tcPr>
          <w:p w14:paraId="55483F59">
            <w:pPr>
              <w:spacing w:line="360" w:lineRule="auto"/>
              <w:jc w:val="center"/>
              <w:rPr>
                <w:rFonts w:hint="eastAsia" w:ascii="宋体" w:hAnsi="宋体" w:eastAsia="宋体" w:cs="宋体"/>
                <w:color w:val="auto"/>
              </w:rPr>
            </w:pPr>
            <w:r>
              <w:rPr>
                <w:rFonts w:hint="eastAsia" w:ascii="宋体" w:hAnsi="宋体" w:eastAsia="宋体" w:cs="宋体"/>
                <w:color w:val="auto"/>
              </w:rPr>
              <w:t>年 龄</w:t>
            </w:r>
          </w:p>
        </w:tc>
        <w:tc>
          <w:tcPr>
            <w:tcW w:w="1065" w:type="dxa"/>
            <w:noWrap w:val="0"/>
            <w:vAlign w:val="center"/>
          </w:tcPr>
          <w:p w14:paraId="6EC2E8AD">
            <w:pPr>
              <w:spacing w:line="360" w:lineRule="auto"/>
              <w:jc w:val="center"/>
              <w:rPr>
                <w:rFonts w:hint="eastAsia" w:ascii="宋体" w:hAnsi="宋体" w:eastAsia="宋体" w:cs="宋体"/>
                <w:color w:val="auto"/>
              </w:rPr>
            </w:pPr>
          </w:p>
        </w:tc>
        <w:tc>
          <w:tcPr>
            <w:tcW w:w="2130" w:type="dxa"/>
            <w:gridSpan w:val="3"/>
            <w:noWrap w:val="0"/>
            <w:vAlign w:val="center"/>
          </w:tcPr>
          <w:p w14:paraId="1BF00B48">
            <w:pPr>
              <w:spacing w:line="360" w:lineRule="auto"/>
              <w:jc w:val="center"/>
              <w:rPr>
                <w:rFonts w:hint="eastAsia" w:ascii="宋体" w:hAnsi="宋体" w:eastAsia="宋体" w:cs="宋体"/>
                <w:color w:val="auto"/>
              </w:rPr>
            </w:pPr>
            <w:r>
              <w:rPr>
                <w:rFonts w:hint="eastAsia" w:ascii="宋体" w:hAnsi="宋体" w:eastAsia="宋体" w:cs="宋体"/>
                <w:color w:val="auto"/>
              </w:rPr>
              <w:t>学历</w:t>
            </w:r>
          </w:p>
        </w:tc>
        <w:tc>
          <w:tcPr>
            <w:tcW w:w="2134" w:type="dxa"/>
            <w:noWrap w:val="0"/>
            <w:vAlign w:val="center"/>
          </w:tcPr>
          <w:p w14:paraId="636E48B1">
            <w:pPr>
              <w:spacing w:line="360" w:lineRule="auto"/>
              <w:jc w:val="center"/>
              <w:rPr>
                <w:rFonts w:hint="eastAsia" w:ascii="宋体" w:hAnsi="宋体" w:eastAsia="宋体" w:cs="宋体"/>
                <w:color w:val="auto"/>
              </w:rPr>
            </w:pPr>
          </w:p>
        </w:tc>
      </w:tr>
      <w:tr w14:paraId="1ACC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14:paraId="56FF856B">
            <w:pPr>
              <w:spacing w:line="360" w:lineRule="auto"/>
              <w:jc w:val="center"/>
              <w:rPr>
                <w:rFonts w:hint="eastAsia" w:ascii="宋体" w:hAnsi="宋体" w:eastAsia="宋体" w:cs="宋体"/>
                <w:color w:val="auto"/>
              </w:rPr>
            </w:pPr>
            <w:r>
              <w:rPr>
                <w:rFonts w:hint="eastAsia" w:ascii="宋体" w:hAnsi="宋体" w:eastAsia="宋体" w:cs="宋体"/>
                <w:color w:val="auto"/>
              </w:rPr>
              <w:t>职  称</w:t>
            </w:r>
          </w:p>
        </w:tc>
        <w:tc>
          <w:tcPr>
            <w:tcW w:w="1079" w:type="dxa"/>
            <w:gridSpan w:val="2"/>
            <w:noWrap w:val="0"/>
            <w:vAlign w:val="center"/>
          </w:tcPr>
          <w:p w14:paraId="14CBFA99">
            <w:pPr>
              <w:spacing w:line="360" w:lineRule="auto"/>
              <w:jc w:val="center"/>
              <w:rPr>
                <w:rFonts w:hint="eastAsia" w:ascii="宋体" w:hAnsi="宋体" w:eastAsia="宋体" w:cs="宋体"/>
                <w:color w:val="auto"/>
              </w:rPr>
            </w:pPr>
          </w:p>
        </w:tc>
        <w:tc>
          <w:tcPr>
            <w:tcW w:w="927" w:type="dxa"/>
            <w:noWrap w:val="0"/>
            <w:vAlign w:val="center"/>
          </w:tcPr>
          <w:p w14:paraId="751E1DB8">
            <w:pPr>
              <w:spacing w:line="360" w:lineRule="auto"/>
              <w:jc w:val="center"/>
              <w:rPr>
                <w:rFonts w:hint="eastAsia" w:ascii="宋体" w:hAnsi="宋体" w:eastAsia="宋体" w:cs="宋体"/>
                <w:color w:val="auto"/>
              </w:rPr>
            </w:pPr>
            <w:r>
              <w:rPr>
                <w:rFonts w:hint="eastAsia" w:ascii="宋体" w:hAnsi="宋体" w:eastAsia="宋体" w:cs="宋体"/>
                <w:color w:val="auto"/>
              </w:rPr>
              <w:t>职 务</w:t>
            </w:r>
          </w:p>
        </w:tc>
        <w:tc>
          <w:tcPr>
            <w:tcW w:w="1065" w:type="dxa"/>
            <w:noWrap w:val="0"/>
            <w:vAlign w:val="center"/>
          </w:tcPr>
          <w:p w14:paraId="3FA54CA6">
            <w:pPr>
              <w:spacing w:line="360" w:lineRule="auto"/>
              <w:jc w:val="center"/>
              <w:rPr>
                <w:rFonts w:hint="eastAsia" w:ascii="宋体" w:hAnsi="宋体" w:eastAsia="宋体" w:cs="宋体"/>
                <w:color w:val="auto"/>
              </w:rPr>
            </w:pPr>
          </w:p>
        </w:tc>
        <w:tc>
          <w:tcPr>
            <w:tcW w:w="2130" w:type="dxa"/>
            <w:gridSpan w:val="3"/>
            <w:noWrap w:val="0"/>
            <w:vAlign w:val="center"/>
          </w:tcPr>
          <w:p w14:paraId="307F4CCA">
            <w:pPr>
              <w:spacing w:line="360" w:lineRule="auto"/>
              <w:jc w:val="center"/>
              <w:rPr>
                <w:rFonts w:hint="eastAsia" w:ascii="宋体" w:hAnsi="宋体" w:eastAsia="宋体" w:cs="宋体"/>
                <w:color w:val="auto"/>
              </w:rPr>
            </w:pPr>
            <w:r>
              <w:rPr>
                <w:rFonts w:hint="eastAsia" w:ascii="宋体" w:hAnsi="宋体" w:eastAsia="宋体" w:cs="宋体"/>
                <w:color w:val="auto"/>
              </w:rPr>
              <w:t>拟在本合同任职</w:t>
            </w:r>
          </w:p>
        </w:tc>
        <w:tc>
          <w:tcPr>
            <w:tcW w:w="2134" w:type="dxa"/>
            <w:noWrap w:val="0"/>
            <w:vAlign w:val="center"/>
          </w:tcPr>
          <w:p w14:paraId="704A9CF3">
            <w:pPr>
              <w:spacing w:line="360" w:lineRule="auto"/>
              <w:jc w:val="center"/>
              <w:rPr>
                <w:rFonts w:hint="eastAsia" w:ascii="宋体" w:hAnsi="宋体" w:eastAsia="宋体" w:cs="宋体"/>
                <w:color w:val="auto"/>
              </w:rPr>
            </w:pPr>
          </w:p>
        </w:tc>
      </w:tr>
      <w:tr w14:paraId="10CF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14:paraId="6B657BA6">
            <w:pPr>
              <w:spacing w:line="360" w:lineRule="auto"/>
              <w:jc w:val="center"/>
              <w:rPr>
                <w:rFonts w:hint="eastAsia" w:ascii="宋体" w:hAnsi="宋体" w:eastAsia="宋体" w:cs="宋体"/>
                <w:color w:val="auto"/>
              </w:rPr>
            </w:pPr>
            <w:r>
              <w:rPr>
                <w:rFonts w:hint="eastAsia" w:ascii="宋体" w:hAnsi="宋体" w:eastAsia="宋体" w:cs="宋体"/>
                <w:color w:val="auto"/>
              </w:rPr>
              <w:t>毕业学校</w:t>
            </w:r>
          </w:p>
        </w:tc>
        <w:tc>
          <w:tcPr>
            <w:tcW w:w="7335" w:type="dxa"/>
            <w:gridSpan w:val="8"/>
            <w:noWrap w:val="0"/>
            <w:vAlign w:val="top"/>
          </w:tcPr>
          <w:p w14:paraId="03C17717">
            <w:pPr>
              <w:spacing w:line="360" w:lineRule="auto"/>
              <w:ind w:firstLine="945" w:firstLineChars="450"/>
              <w:rPr>
                <w:rFonts w:hint="eastAsia" w:ascii="宋体" w:hAnsi="宋体" w:eastAsia="宋体" w:cs="宋体"/>
                <w:color w:val="auto"/>
              </w:rPr>
            </w:pPr>
            <w:r>
              <w:rPr>
                <w:rFonts w:hint="eastAsia" w:ascii="宋体" w:hAnsi="宋体" w:eastAsia="宋体" w:cs="宋体"/>
                <w:color w:val="auto"/>
              </w:rPr>
              <w:t>年毕业于            学校        专业</w:t>
            </w:r>
          </w:p>
        </w:tc>
      </w:tr>
      <w:tr w14:paraId="41C5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14:paraId="65C60C6B">
            <w:pPr>
              <w:spacing w:line="360" w:lineRule="auto"/>
              <w:rPr>
                <w:rFonts w:hint="eastAsia" w:ascii="宋体" w:hAnsi="宋体" w:eastAsia="宋体" w:cs="宋体"/>
                <w:color w:val="auto"/>
              </w:rPr>
            </w:pPr>
            <w:r>
              <w:rPr>
                <w:rFonts w:hint="eastAsia" w:ascii="宋体" w:hAnsi="宋体" w:eastAsia="宋体" w:cs="宋体"/>
                <w:color w:val="auto"/>
              </w:rPr>
              <w:t>主要工作经历</w:t>
            </w:r>
          </w:p>
        </w:tc>
      </w:tr>
      <w:tr w14:paraId="1CEC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0"/>
            <w:vAlign w:val="center"/>
          </w:tcPr>
          <w:p w14:paraId="5756D859">
            <w:pPr>
              <w:spacing w:line="360" w:lineRule="auto"/>
              <w:jc w:val="center"/>
              <w:rPr>
                <w:rFonts w:hint="eastAsia" w:ascii="宋体" w:hAnsi="宋体" w:eastAsia="宋体" w:cs="宋体"/>
                <w:color w:val="auto"/>
              </w:rPr>
            </w:pPr>
            <w:r>
              <w:rPr>
                <w:rFonts w:hint="eastAsia" w:ascii="宋体" w:hAnsi="宋体" w:eastAsia="宋体" w:cs="宋体"/>
                <w:color w:val="auto"/>
              </w:rPr>
              <w:t>时  间</w:t>
            </w:r>
          </w:p>
        </w:tc>
        <w:tc>
          <w:tcPr>
            <w:tcW w:w="3420" w:type="dxa"/>
            <w:gridSpan w:val="4"/>
            <w:noWrap w:val="0"/>
            <w:vAlign w:val="center"/>
          </w:tcPr>
          <w:p w14:paraId="601F4A72">
            <w:pPr>
              <w:spacing w:line="360" w:lineRule="auto"/>
              <w:jc w:val="center"/>
              <w:rPr>
                <w:rFonts w:hint="eastAsia" w:ascii="宋体" w:hAnsi="宋体" w:eastAsia="宋体" w:cs="宋体"/>
                <w:color w:val="auto"/>
              </w:rPr>
            </w:pPr>
            <w:r>
              <w:rPr>
                <w:rFonts w:hint="eastAsia" w:ascii="宋体" w:hAnsi="宋体" w:eastAsia="宋体" w:cs="宋体"/>
                <w:color w:val="auto"/>
              </w:rPr>
              <w:t>参加过的类似项目</w:t>
            </w:r>
          </w:p>
        </w:tc>
        <w:tc>
          <w:tcPr>
            <w:tcW w:w="1261" w:type="dxa"/>
            <w:noWrap w:val="0"/>
            <w:vAlign w:val="center"/>
          </w:tcPr>
          <w:p w14:paraId="7ED53E3B">
            <w:pPr>
              <w:spacing w:line="360" w:lineRule="auto"/>
              <w:rPr>
                <w:rFonts w:hint="eastAsia" w:ascii="宋体" w:hAnsi="宋体" w:eastAsia="宋体" w:cs="宋体"/>
                <w:color w:val="auto"/>
              </w:rPr>
            </w:pPr>
            <w:r>
              <w:rPr>
                <w:rFonts w:hint="eastAsia" w:ascii="宋体" w:hAnsi="宋体" w:eastAsia="宋体" w:cs="宋体"/>
                <w:color w:val="auto"/>
              </w:rPr>
              <w:t>担任职务</w:t>
            </w:r>
          </w:p>
        </w:tc>
        <w:tc>
          <w:tcPr>
            <w:tcW w:w="2297" w:type="dxa"/>
            <w:gridSpan w:val="2"/>
            <w:noWrap w:val="0"/>
            <w:vAlign w:val="center"/>
          </w:tcPr>
          <w:p w14:paraId="715A31D3">
            <w:pPr>
              <w:spacing w:line="360" w:lineRule="auto"/>
              <w:jc w:val="center"/>
              <w:rPr>
                <w:rFonts w:hint="eastAsia" w:ascii="宋体" w:hAnsi="宋体" w:eastAsia="宋体" w:cs="宋体"/>
                <w:color w:val="auto"/>
              </w:rPr>
            </w:pPr>
            <w:r>
              <w:rPr>
                <w:rFonts w:hint="eastAsia" w:ascii="宋体" w:hAnsi="宋体" w:eastAsia="宋体" w:cs="宋体"/>
                <w:color w:val="auto"/>
              </w:rPr>
              <w:t>备注</w:t>
            </w:r>
          </w:p>
        </w:tc>
      </w:tr>
      <w:tr w14:paraId="3017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3EB54DAD">
            <w:pPr>
              <w:spacing w:line="360" w:lineRule="auto"/>
              <w:rPr>
                <w:rFonts w:hint="eastAsia" w:ascii="宋体" w:hAnsi="宋体" w:eastAsia="宋体" w:cs="宋体"/>
                <w:color w:val="auto"/>
              </w:rPr>
            </w:pPr>
          </w:p>
        </w:tc>
        <w:tc>
          <w:tcPr>
            <w:tcW w:w="3420" w:type="dxa"/>
            <w:gridSpan w:val="4"/>
            <w:noWrap w:val="0"/>
            <w:vAlign w:val="top"/>
          </w:tcPr>
          <w:p w14:paraId="51393168">
            <w:pPr>
              <w:spacing w:line="360" w:lineRule="auto"/>
              <w:rPr>
                <w:rFonts w:hint="eastAsia" w:ascii="宋体" w:hAnsi="宋体" w:eastAsia="宋体" w:cs="宋体"/>
                <w:color w:val="auto"/>
              </w:rPr>
            </w:pPr>
          </w:p>
        </w:tc>
        <w:tc>
          <w:tcPr>
            <w:tcW w:w="1261" w:type="dxa"/>
            <w:noWrap w:val="0"/>
            <w:vAlign w:val="top"/>
          </w:tcPr>
          <w:p w14:paraId="57858181">
            <w:pPr>
              <w:spacing w:line="360" w:lineRule="auto"/>
              <w:rPr>
                <w:rFonts w:hint="eastAsia" w:ascii="宋体" w:hAnsi="宋体" w:eastAsia="宋体" w:cs="宋体"/>
                <w:color w:val="auto"/>
              </w:rPr>
            </w:pPr>
          </w:p>
        </w:tc>
        <w:tc>
          <w:tcPr>
            <w:tcW w:w="2297" w:type="dxa"/>
            <w:gridSpan w:val="2"/>
            <w:noWrap w:val="0"/>
            <w:vAlign w:val="top"/>
          </w:tcPr>
          <w:p w14:paraId="0CDA0AA8">
            <w:pPr>
              <w:spacing w:line="360" w:lineRule="auto"/>
              <w:rPr>
                <w:rFonts w:hint="eastAsia" w:ascii="宋体" w:hAnsi="宋体" w:eastAsia="宋体" w:cs="宋体"/>
                <w:color w:val="auto"/>
              </w:rPr>
            </w:pPr>
          </w:p>
        </w:tc>
      </w:tr>
      <w:tr w14:paraId="57DD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482AE925">
            <w:pPr>
              <w:spacing w:line="360" w:lineRule="auto"/>
              <w:rPr>
                <w:rFonts w:hint="eastAsia" w:ascii="宋体" w:hAnsi="宋体" w:eastAsia="宋体" w:cs="宋体"/>
                <w:color w:val="auto"/>
              </w:rPr>
            </w:pPr>
          </w:p>
        </w:tc>
        <w:tc>
          <w:tcPr>
            <w:tcW w:w="3420" w:type="dxa"/>
            <w:gridSpan w:val="4"/>
            <w:noWrap w:val="0"/>
            <w:vAlign w:val="top"/>
          </w:tcPr>
          <w:p w14:paraId="76A0D3A4">
            <w:pPr>
              <w:spacing w:line="360" w:lineRule="auto"/>
              <w:rPr>
                <w:rFonts w:hint="eastAsia" w:ascii="宋体" w:hAnsi="宋体" w:eastAsia="宋体" w:cs="宋体"/>
                <w:color w:val="auto"/>
              </w:rPr>
            </w:pPr>
          </w:p>
        </w:tc>
        <w:tc>
          <w:tcPr>
            <w:tcW w:w="1261" w:type="dxa"/>
            <w:noWrap w:val="0"/>
            <w:vAlign w:val="top"/>
          </w:tcPr>
          <w:p w14:paraId="3C1C999B">
            <w:pPr>
              <w:spacing w:line="360" w:lineRule="auto"/>
              <w:rPr>
                <w:rFonts w:hint="eastAsia" w:ascii="宋体" w:hAnsi="宋体" w:eastAsia="宋体" w:cs="宋体"/>
                <w:color w:val="auto"/>
              </w:rPr>
            </w:pPr>
          </w:p>
        </w:tc>
        <w:tc>
          <w:tcPr>
            <w:tcW w:w="2297" w:type="dxa"/>
            <w:gridSpan w:val="2"/>
            <w:noWrap w:val="0"/>
            <w:vAlign w:val="top"/>
          </w:tcPr>
          <w:p w14:paraId="41834D09">
            <w:pPr>
              <w:spacing w:line="360" w:lineRule="auto"/>
              <w:rPr>
                <w:rFonts w:hint="eastAsia" w:ascii="宋体" w:hAnsi="宋体" w:eastAsia="宋体" w:cs="宋体"/>
                <w:color w:val="auto"/>
              </w:rPr>
            </w:pPr>
          </w:p>
        </w:tc>
      </w:tr>
      <w:tr w14:paraId="69C9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6545AFF1">
            <w:pPr>
              <w:spacing w:line="360" w:lineRule="auto"/>
              <w:rPr>
                <w:rFonts w:hint="eastAsia" w:ascii="宋体" w:hAnsi="宋体" w:eastAsia="宋体" w:cs="宋体"/>
                <w:color w:val="auto"/>
              </w:rPr>
            </w:pPr>
          </w:p>
        </w:tc>
        <w:tc>
          <w:tcPr>
            <w:tcW w:w="3420" w:type="dxa"/>
            <w:gridSpan w:val="4"/>
            <w:noWrap w:val="0"/>
            <w:vAlign w:val="top"/>
          </w:tcPr>
          <w:p w14:paraId="11720511">
            <w:pPr>
              <w:spacing w:line="360" w:lineRule="auto"/>
              <w:rPr>
                <w:rFonts w:hint="eastAsia" w:ascii="宋体" w:hAnsi="宋体" w:eastAsia="宋体" w:cs="宋体"/>
                <w:color w:val="auto"/>
              </w:rPr>
            </w:pPr>
          </w:p>
        </w:tc>
        <w:tc>
          <w:tcPr>
            <w:tcW w:w="1261" w:type="dxa"/>
            <w:noWrap w:val="0"/>
            <w:vAlign w:val="top"/>
          </w:tcPr>
          <w:p w14:paraId="7451AD84">
            <w:pPr>
              <w:spacing w:line="360" w:lineRule="auto"/>
              <w:rPr>
                <w:rFonts w:hint="eastAsia" w:ascii="宋体" w:hAnsi="宋体" w:eastAsia="宋体" w:cs="宋体"/>
                <w:color w:val="auto"/>
              </w:rPr>
            </w:pPr>
          </w:p>
        </w:tc>
        <w:tc>
          <w:tcPr>
            <w:tcW w:w="2297" w:type="dxa"/>
            <w:gridSpan w:val="2"/>
            <w:noWrap w:val="0"/>
            <w:vAlign w:val="top"/>
          </w:tcPr>
          <w:p w14:paraId="6C3C20B2">
            <w:pPr>
              <w:spacing w:line="360" w:lineRule="auto"/>
              <w:rPr>
                <w:rFonts w:hint="eastAsia" w:ascii="宋体" w:hAnsi="宋体" w:eastAsia="宋体" w:cs="宋体"/>
                <w:color w:val="auto"/>
              </w:rPr>
            </w:pPr>
          </w:p>
        </w:tc>
      </w:tr>
      <w:tr w14:paraId="7902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7823299C">
            <w:pPr>
              <w:spacing w:line="360" w:lineRule="auto"/>
              <w:rPr>
                <w:rFonts w:hint="eastAsia" w:ascii="宋体" w:hAnsi="宋体" w:eastAsia="宋体" w:cs="宋体"/>
                <w:color w:val="auto"/>
              </w:rPr>
            </w:pPr>
          </w:p>
        </w:tc>
        <w:tc>
          <w:tcPr>
            <w:tcW w:w="3420" w:type="dxa"/>
            <w:gridSpan w:val="4"/>
            <w:noWrap w:val="0"/>
            <w:vAlign w:val="center"/>
          </w:tcPr>
          <w:p w14:paraId="756F8F1B">
            <w:pPr>
              <w:spacing w:line="360" w:lineRule="auto"/>
              <w:rPr>
                <w:rFonts w:hint="eastAsia" w:ascii="宋体" w:hAnsi="宋体" w:eastAsia="宋体" w:cs="宋体"/>
                <w:color w:val="auto"/>
              </w:rPr>
            </w:pPr>
          </w:p>
        </w:tc>
        <w:tc>
          <w:tcPr>
            <w:tcW w:w="1261" w:type="dxa"/>
            <w:noWrap w:val="0"/>
            <w:vAlign w:val="center"/>
          </w:tcPr>
          <w:p w14:paraId="537C09E6">
            <w:pPr>
              <w:spacing w:line="360" w:lineRule="auto"/>
              <w:rPr>
                <w:rFonts w:hint="eastAsia" w:ascii="宋体" w:hAnsi="宋体" w:eastAsia="宋体" w:cs="宋体"/>
                <w:color w:val="auto"/>
              </w:rPr>
            </w:pPr>
          </w:p>
        </w:tc>
        <w:tc>
          <w:tcPr>
            <w:tcW w:w="2297" w:type="dxa"/>
            <w:gridSpan w:val="2"/>
            <w:noWrap w:val="0"/>
            <w:vAlign w:val="center"/>
          </w:tcPr>
          <w:p w14:paraId="03CA3B9B">
            <w:pPr>
              <w:spacing w:line="360" w:lineRule="auto"/>
              <w:rPr>
                <w:rFonts w:hint="eastAsia" w:ascii="宋体" w:hAnsi="宋体" w:eastAsia="宋体" w:cs="宋体"/>
                <w:color w:val="auto"/>
              </w:rPr>
            </w:pPr>
          </w:p>
        </w:tc>
      </w:tr>
      <w:tr w14:paraId="3B90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2E307138">
            <w:pPr>
              <w:spacing w:line="360" w:lineRule="auto"/>
              <w:rPr>
                <w:rFonts w:hint="eastAsia" w:ascii="宋体" w:hAnsi="宋体" w:eastAsia="宋体" w:cs="宋体"/>
                <w:color w:val="auto"/>
              </w:rPr>
            </w:pPr>
          </w:p>
        </w:tc>
        <w:tc>
          <w:tcPr>
            <w:tcW w:w="3420" w:type="dxa"/>
            <w:gridSpan w:val="4"/>
            <w:noWrap w:val="0"/>
            <w:vAlign w:val="center"/>
          </w:tcPr>
          <w:p w14:paraId="487D8F04">
            <w:pPr>
              <w:spacing w:line="360" w:lineRule="auto"/>
              <w:rPr>
                <w:rFonts w:hint="eastAsia" w:ascii="宋体" w:hAnsi="宋体" w:eastAsia="宋体" w:cs="宋体"/>
                <w:color w:val="auto"/>
              </w:rPr>
            </w:pPr>
          </w:p>
        </w:tc>
        <w:tc>
          <w:tcPr>
            <w:tcW w:w="1261" w:type="dxa"/>
            <w:noWrap w:val="0"/>
            <w:vAlign w:val="center"/>
          </w:tcPr>
          <w:p w14:paraId="2BAA7CCA">
            <w:pPr>
              <w:spacing w:line="360" w:lineRule="auto"/>
              <w:rPr>
                <w:rFonts w:hint="eastAsia" w:ascii="宋体" w:hAnsi="宋体" w:eastAsia="宋体" w:cs="宋体"/>
                <w:color w:val="auto"/>
              </w:rPr>
            </w:pPr>
          </w:p>
        </w:tc>
        <w:tc>
          <w:tcPr>
            <w:tcW w:w="2297" w:type="dxa"/>
            <w:gridSpan w:val="2"/>
            <w:noWrap w:val="0"/>
            <w:vAlign w:val="center"/>
          </w:tcPr>
          <w:p w14:paraId="05C964B5">
            <w:pPr>
              <w:spacing w:line="360" w:lineRule="auto"/>
              <w:rPr>
                <w:rFonts w:hint="eastAsia" w:ascii="宋体" w:hAnsi="宋体" w:eastAsia="宋体" w:cs="宋体"/>
                <w:color w:val="auto"/>
              </w:rPr>
            </w:pPr>
          </w:p>
        </w:tc>
      </w:tr>
      <w:tr w14:paraId="1B12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68CF1FBE">
            <w:pPr>
              <w:spacing w:line="360" w:lineRule="auto"/>
              <w:rPr>
                <w:rFonts w:hint="eastAsia" w:ascii="宋体" w:hAnsi="宋体" w:eastAsia="宋体" w:cs="宋体"/>
                <w:color w:val="auto"/>
              </w:rPr>
            </w:pPr>
          </w:p>
        </w:tc>
        <w:tc>
          <w:tcPr>
            <w:tcW w:w="3420" w:type="dxa"/>
            <w:gridSpan w:val="4"/>
            <w:noWrap w:val="0"/>
            <w:vAlign w:val="center"/>
          </w:tcPr>
          <w:p w14:paraId="64A2B41A">
            <w:pPr>
              <w:spacing w:line="360" w:lineRule="auto"/>
              <w:rPr>
                <w:rFonts w:hint="eastAsia" w:ascii="宋体" w:hAnsi="宋体" w:eastAsia="宋体" w:cs="宋体"/>
                <w:color w:val="auto"/>
              </w:rPr>
            </w:pPr>
          </w:p>
        </w:tc>
        <w:tc>
          <w:tcPr>
            <w:tcW w:w="1261" w:type="dxa"/>
            <w:noWrap w:val="0"/>
            <w:vAlign w:val="center"/>
          </w:tcPr>
          <w:p w14:paraId="162F44DA">
            <w:pPr>
              <w:spacing w:line="360" w:lineRule="auto"/>
              <w:rPr>
                <w:rFonts w:hint="eastAsia" w:ascii="宋体" w:hAnsi="宋体" w:eastAsia="宋体" w:cs="宋体"/>
                <w:color w:val="auto"/>
              </w:rPr>
            </w:pPr>
          </w:p>
        </w:tc>
        <w:tc>
          <w:tcPr>
            <w:tcW w:w="2297" w:type="dxa"/>
            <w:gridSpan w:val="2"/>
            <w:noWrap w:val="0"/>
            <w:vAlign w:val="center"/>
          </w:tcPr>
          <w:p w14:paraId="17AE491A">
            <w:pPr>
              <w:spacing w:line="360" w:lineRule="auto"/>
              <w:rPr>
                <w:rFonts w:hint="eastAsia" w:ascii="宋体" w:hAnsi="宋体" w:eastAsia="宋体" w:cs="宋体"/>
                <w:color w:val="auto"/>
              </w:rPr>
            </w:pPr>
          </w:p>
        </w:tc>
      </w:tr>
      <w:tr w14:paraId="41D7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3DFDA9D2">
            <w:pPr>
              <w:spacing w:line="360" w:lineRule="auto"/>
              <w:rPr>
                <w:rFonts w:hint="eastAsia" w:ascii="宋体" w:hAnsi="宋体" w:eastAsia="宋体" w:cs="宋体"/>
                <w:color w:val="auto"/>
              </w:rPr>
            </w:pPr>
          </w:p>
        </w:tc>
        <w:tc>
          <w:tcPr>
            <w:tcW w:w="3420" w:type="dxa"/>
            <w:gridSpan w:val="4"/>
            <w:noWrap w:val="0"/>
            <w:vAlign w:val="center"/>
          </w:tcPr>
          <w:p w14:paraId="1685CDA6">
            <w:pPr>
              <w:spacing w:line="360" w:lineRule="auto"/>
              <w:rPr>
                <w:rFonts w:hint="eastAsia" w:ascii="宋体" w:hAnsi="宋体" w:eastAsia="宋体" w:cs="宋体"/>
                <w:color w:val="auto"/>
              </w:rPr>
            </w:pPr>
          </w:p>
        </w:tc>
        <w:tc>
          <w:tcPr>
            <w:tcW w:w="1261" w:type="dxa"/>
            <w:noWrap w:val="0"/>
            <w:vAlign w:val="center"/>
          </w:tcPr>
          <w:p w14:paraId="0E330A2F">
            <w:pPr>
              <w:spacing w:line="360" w:lineRule="auto"/>
              <w:rPr>
                <w:rFonts w:hint="eastAsia" w:ascii="宋体" w:hAnsi="宋体" w:eastAsia="宋体" w:cs="宋体"/>
                <w:color w:val="auto"/>
              </w:rPr>
            </w:pPr>
          </w:p>
        </w:tc>
        <w:tc>
          <w:tcPr>
            <w:tcW w:w="2297" w:type="dxa"/>
            <w:gridSpan w:val="2"/>
            <w:noWrap w:val="0"/>
            <w:vAlign w:val="center"/>
          </w:tcPr>
          <w:p w14:paraId="53306114">
            <w:pPr>
              <w:spacing w:line="360" w:lineRule="auto"/>
              <w:rPr>
                <w:rFonts w:hint="eastAsia" w:ascii="宋体" w:hAnsi="宋体" w:eastAsia="宋体" w:cs="宋体"/>
                <w:color w:val="auto"/>
              </w:rPr>
            </w:pPr>
          </w:p>
        </w:tc>
      </w:tr>
      <w:tr w14:paraId="7E2C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0DAACD1F">
            <w:pPr>
              <w:spacing w:line="360" w:lineRule="auto"/>
              <w:rPr>
                <w:rFonts w:hint="eastAsia" w:ascii="宋体" w:hAnsi="宋体" w:eastAsia="宋体" w:cs="宋体"/>
                <w:color w:val="auto"/>
              </w:rPr>
            </w:pPr>
          </w:p>
        </w:tc>
        <w:tc>
          <w:tcPr>
            <w:tcW w:w="3420" w:type="dxa"/>
            <w:gridSpan w:val="4"/>
            <w:noWrap w:val="0"/>
            <w:vAlign w:val="center"/>
          </w:tcPr>
          <w:p w14:paraId="60DD94DF">
            <w:pPr>
              <w:spacing w:line="360" w:lineRule="auto"/>
              <w:rPr>
                <w:rFonts w:hint="eastAsia" w:ascii="宋体" w:hAnsi="宋体" w:eastAsia="宋体" w:cs="宋体"/>
                <w:color w:val="auto"/>
              </w:rPr>
            </w:pPr>
          </w:p>
        </w:tc>
        <w:tc>
          <w:tcPr>
            <w:tcW w:w="1261" w:type="dxa"/>
            <w:noWrap w:val="0"/>
            <w:vAlign w:val="center"/>
          </w:tcPr>
          <w:p w14:paraId="0D362E63">
            <w:pPr>
              <w:spacing w:line="360" w:lineRule="auto"/>
              <w:rPr>
                <w:rFonts w:hint="eastAsia" w:ascii="宋体" w:hAnsi="宋体" w:eastAsia="宋体" w:cs="宋体"/>
                <w:color w:val="auto"/>
              </w:rPr>
            </w:pPr>
          </w:p>
        </w:tc>
        <w:tc>
          <w:tcPr>
            <w:tcW w:w="2297" w:type="dxa"/>
            <w:gridSpan w:val="2"/>
            <w:noWrap w:val="0"/>
            <w:vAlign w:val="center"/>
          </w:tcPr>
          <w:p w14:paraId="494A6068">
            <w:pPr>
              <w:spacing w:line="360" w:lineRule="auto"/>
              <w:rPr>
                <w:rFonts w:hint="eastAsia" w:ascii="宋体" w:hAnsi="宋体" w:eastAsia="宋体" w:cs="宋体"/>
                <w:color w:val="auto"/>
              </w:rPr>
            </w:pPr>
          </w:p>
        </w:tc>
      </w:tr>
      <w:tr w14:paraId="405C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4EB4A447">
            <w:pPr>
              <w:spacing w:line="360" w:lineRule="auto"/>
              <w:rPr>
                <w:rFonts w:hint="eastAsia" w:ascii="宋体" w:hAnsi="宋体" w:eastAsia="宋体" w:cs="宋体"/>
                <w:color w:val="auto"/>
              </w:rPr>
            </w:pPr>
          </w:p>
        </w:tc>
        <w:tc>
          <w:tcPr>
            <w:tcW w:w="3420" w:type="dxa"/>
            <w:gridSpan w:val="4"/>
            <w:noWrap w:val="0"/>
            <w:vAlign w:val="center"/>
          </w:tcPr>
          <w:p w14:paraId="13B0A114">
            <w:pPr>
              <w:spacing w:line="360" w:lineRule="auto"/>
              <w:rPr>
                <w:rFonts w:hint="eastAsia" w:ascii="宋体" w:hAnsi="宋体" w:eastAsia="宋体" w:cs="宋体"/>
                <w:color w:val="auto"/>
              </w:rPr>
            </w:pPr>
          </w:p>
        </w:tc>
        <w:tc>
          <w:tcPr>
            <w:tcW w:w="1261" w:type="dxa"/>
            <w:noWrap w:val="0"/>
            <w:vAlign w:val="center"/>
          </w:tcPr>
          <w:p w14:paraId="5DAA08A3">
            <w:pPr>
              <w:spacing w:line="360" w:lineRule="auto"/>
              <w:rPr>
                <w:rFonts w:hint="eastAsia" w:ascii="宋体" w:hAnsi="宋体" w:eastAsia="宋体" w:cs="宋体"/>
                <w:color w:val="auto"/>
              </w:rPr>
            </w:pPr>
          </w:p>
        </w:tc>
        <w:tc>
          <w:tcPr>
            <w:tcW w:w="2297" w:type="dxa"/>
            <w:gridSpan w:val="2"/>
            <w:noWrap w:val="0"/>
            <w:vAlign w:val="center"/>
          </w:tcPr>
          <w:p w14:paraId="332FE814">
            <w:pPr>
              <w:spacing w:line="360" w:lineRule="auto"/>
              <w:rPr>
                <w:rFonts w:hint="eastAsia" w:ascii="宋体" w:hAnsi="宋体" w:eastAsia="宋体" w:cs="宋体"/>
                <w:color w:val="auto"/>
              </w:rPr>
            </w:pPr>
          </w:p>
        </w:tc>
      </w:tr>
    </w:tbl>
    <w:p w14:paraId="146C8003">
      <w:pPr>
        <w:spacing w:line="360" w:lineRule="auto"/>
        <w:rPr>
          <w:rFonts w:hint="eastAsia" w:ascii="宋体" w:hAnsi="宋体" w:eastAsia="宋体" w:cs="宋体"/>
          <w:color w:val="auto"/>
        </w:rPr>
      </w:pPr>
      <w:r>
        <w:rPr>
          <w:rFonts w:hint="eastAsia" w:ascii="宋体" w:hAnsi="宋体" w:eastAsia="宋体" w:cs="宋体"/>
          <w:color w:val="auto"/>
        </w:rPr>
        <w:t>注：投标人的每位主要人员均按此表格式分别填写和附相应的证明资料原件扫描件。</w:t>
      </w:r>
    </w:p>
    <w:p w14:paraId="46164D9C">
      <w:pPr>
        <w:rPr>
          <w:rFonts w:hint="eastAsia" w:ascii="宋体" w:hAnsi="宋体" w:eastAsia="宋体" w:cs="宋体"/>
          <w:color w:val="auto"/>
          <w:lang w:val="en-US" w:eastAsia="zh-CN"/>
        </w:rPr>
      </w:pPr>
    </w:p>
    <w:p w14:paraId="7FBD5D56">
      <w:pPr>
        <w:pStyle w:val="27"/>
        <w:rPr>
          <w:rFonts w:hint="eastAsia" w:ascii="宋体" w:hAnsi="宋体" w:eastAsia="宋体" w:cs="宋体"/>
        </w:rPr>
      </w:pPr>
    </w:p>
    <w:p w14:paraId="3570351F">
      <w:pPr>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zh-CN"/>
        </w:rPr>
        <w:br w:type="page"/>
      </w:r>
    </w:p>
    <w:p w14:paraId="790F1888">
      <w:pPr>
        <w:widowControl/>
        <w:jc w:val="cente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六、</w:t>
      </w:r>
      <w:r>
        <w:rPr>
          <w:rFonts w:hint="eastAsia" w:ascii="宋体" w:hAnsi="宋体" w:eastAsia="宋体" w:cs="宋体"/>
          <w:b/>
          <w:color w:val="auto"/>
          <w:sz w:val="28"/>
          <w:szCs w:val="28"/>
          <w:lang w:val="zh-CN"/>
        </w:rPr>
        <w:t>其他资料（若有）</w:t>
      </w:r>
    </w:p>
    <w:p w14:paraId="4244527F">
      <w:pPr>
        <w:rPr>
          <w:rFonts w:hint="eastAsia" w:ascii="宋体" w:hAnsi="宋体" w:eastAsia="宋体" w:cs="宋体"/>
          <w:color w:val="auto"/>
        </w:rPr>
      </w:pPr>
    </w:p>
    <w:p w14:paraId="02E85A04">
      <w:pPr>
        <w:rPr>
          <w:rFonts w:hint="eastAsia" w:ascii="宋体" w:hAnsi="宋体" w:eastAsia="宋体" w:cs="宋体"/>
          <w:color w:val="auto"/>
        </w:rPr>
      </w:pPr>
    </w:p>
    <w:p w14:paraId="0A44FA1D">
      <w:pPr>
        <w:rPr>
          <w:rFonts w:hint="eastAsia" w:ascii="宋体" w:hAnsi="宋体" w:eastAsia="宋体" w:cs="宋体"/>
          <w:color w:val="auto"/>
        </w:rPr>
      </w:pPr>
    </w:p>
    <w:p w14:paraId="6CE78E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除采购文件另有规定外，供应商认为需要提交的其他证明材料或资料加盖供应商的单位公章后应在此项下提交。</w:t>
      </w:r>
    </w:p>
    <w:p w14:paraId="137C2488">
      <w:pPr>
        <w:rPr>
          <w:rFonts w:hint="eastAsia" w:ascii="宋体" w:hAnsi="宋体" w:eastAsia="宋体" w:cs="宋体"/>
          <w:color w:val="auto"/>
          <w:lang w:val="en-US" w:eastAsia="zh-CN"/>
        </w:rPr>
      </w:pPr>
    </w:p>
    <w:p w14:paraId="561E593D">
      <w:pPr>
        <w:rPr>
          <w:rFonts w:hint="eastAsia" w:ascii="宋体" w:hAnsi="宋体" w:eastAsia="宋体" w:cs="宋体"/>
          <w:color w:val="auto"/>
          <w:lang w:val="en-US" w:eastAsia="zh-CN"/>
        </w:rPr>
      </w:pPr>
    </w:p>
    <w:sectPr>
      <w:footerReference r:id="rId5" w:type="default"/>
      <w:pgSz w:w="11907" w:h="16839"/>
      <w:pgMar w:top="1440" w:right="1080" w:bottom="1440" w:left="1080" w:header="992" w:footer="991"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90879">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D588E">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0D588E">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16E04">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BDC4B">
                          <w:pPr>
                            <w:pStyle w:val="2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BBDC4B">
                    <w:pPr>
                      <w:pStyle w:val="2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D5FF9">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7F22B">
                          <w:pPr>
                            <w:pStyle w:val="2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97F22B">
                    <w:pPr>
                      <w:pStyle w:val="2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C3EDE"/>
    <w:multiLevelType w:val="singleLevel"/>
    <w:tmpl w:val="91AC3ED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iNmU0NDAwNGVjMWIyYjE0N2M4NDNhODkwNGIyZGEifQ=="/>
  </w:docVars>
  <w:rsids>
    <w:rsidRoot w:val="00FA2F21"/>
    <w:rsid w:val="00332C6C"/>
    <w:rsid w:val="00374B8A"/>
    <w:rsid w:val="003752C8"/>
    <w:rsid w:val="005A7208"/>
    <w:rsid w:val="00682DFB"/>
    <w:rsid w:val="00733CA1"/>
    <w:rsid w:val="00814CBF"/>
    <w:rsid w:val="00842415"/>
    <w:rsid w:val="0090144C"/>
    <w:rsid w:val="00911540"/>
    <w:rsid w:val="00AB30EE"/>
    <w:rsid w:val="00BA0659"/>
    <w:rsid w:val="00BD2BCC"/>
    <w:rsid w:val="00CF2930"/>
    <w:rsid w:val="00F33052"/>
    <w:rsid w:val="00FA2F21"/>
    <w:rsid w:val="00FD775E"/>
    <w:rsid w:val="01316F9C"/>
    <w:rsid w:val="013A220F"/>
    <w:rsid w:val="01FD6A02"/>
    <w:rsid w:val="0204567E"/>
    <w:rsid w:val="024C2B81"/>
    <w:rsid w:val="026E3EDB"/>
    <w:rsid w:val="02862199"/>
    <w:rsid w:val="028F0B41"/>
    <w:rsid w:val="029D518A"/>
    <w:rsid w:val="031F2043"/>
    <w:rsid w:val="0416753B"/>
    <w:rsid w:val="041D2A27"/>
    <w:rsid w:val="04303F1B"/>
    <w:rsid w:val="04950159"/>
    <w:rsid w:val="05027020"/>
    <w:rsid w:val="05404C1F"/>
    <w:rsid w:val="054162A1"/>
    <w:rsid w:val="05AF76AE"/>
    <w:rsid w:val="05C90199"/>
    <w:rsid w:val="05FD666C"/>
    <w:rsid w:val="065D35AE"/>
    <w:rsid w:val="06CB49BC"/>
    <w:rsid w:val="06DC1081"/>
    <w:rsid w:val="06F529EB"/>
    <w:rsid w:val="07866B35"/>
    <w:rsid w:val="091066B6"/>
    <w:rsid w:val="095D49B3"/>
    <w:rsid w:val="09A8305C"/>
    <w:rsid w:val="09B63701"/>
    <w:rsid w:val="09C37BCC"/>
    <w:rsid w:val="0A083831"/>
    <w:rsid w:val="0A1F60F0"/>
    <w:rsid w:val="0A5D0037"/>
    <w:rsid w:val="0AC97464"/>
    <w:rsid w:val="0AEC3ED0"/>
    <w:rsid w:val="0AEC6CAF"/>
    <w:rsid w:val="0BFA53FB"/>
    <w:rsid w:val="0C2D57D1"/>
    <w:rsid w:val="0CE916F8"/>
    <w:rsid w:val="0D280DA5"/>
    <w:rsid w:val="0D4340F6"/>
    <w:rsid w:val="0D4342C4"/>
    <w:rsid w:val="0D9F44AC"/>
    <w:rsid w:val="0DA25129"/>
    <w:rsid w:val="0DE824DE"/>
    <w:rsid w:val="0DFC545B"/>
    <w:rsid w:val="0E3533D6"/>
    <w:rsid w:val="0E741495"/>
    <w:rsid w:val="0EA7186A"/>
    <w:rsid w:val="0ED21530"/>
    <w:rsid w:val="0FB00BF3"/>
    <w:rsid w:val="0FE91A0F"/>
    <w:rsid w:val="1001144E"/>
    <w:rsid w:val="102D2243"/>
    <w:rsid w:val="10C434EC"/>
    <w:rsid w:val="10F72C00"/>
    <w:rsid w:val="112E2DE9"/>
    <w:rsid w:val="11702D73"/>
    <w:rsid w:val="11CB6687"/>
    <w:rsid w:val="12FE1C75"/>
    <w:rsid w:val="1365686D"/>
    <w:rsid w:val="13DF1AA7"/>
    <w:rsid w:val="13ED6044"/>
    <w:rsid w:val="15190FE8"/>
    <w:rsid w:val="15273705"/>
    <w:rsid w:val="15782278"/>
    <w:rsid w:val="15EC5DE0"/>
    <w:rsid w:val="15F0717D"/>
    <w:rsid w:val="16255F93"/>
    <w:rsid w:val="162E0AC3"/>
    <w:rsid w:val="167C7678"/>
    <w:rsid w:val="16CD3E38"/>
    <w:rsid w:val="170F0E76"/>
    <w:rsid w:val="17935082"/>
    <w:rsid w:val="19314B52"/>
    <w:rsid w:val="19BE51D4"/>
    <w:rsid w:val="19CF1C75"/>
    <w:rsid w:val="19FE5033"/>
    <w:rsid w:val="1A4C59BC"/>
    <w:rsid w:val="1AA11864"/>
    <w:rsid w:val="1AD92CB5"/>
    <w:rsid w:val="1AEB1C53"/>
    <w:rsid w:val="1B063E10"/>
    <w:rsid w:val="1B7E1BA5"/>
    <w:rsid w:val="1C6646A5"/>
    <w:rsid w:val="1C6A3ED7"/>
    <w:rsid w:val="1C7364B2"/>
    <w:rsid w:val="1C961170"/>
    <w:rsid w:val="1CC72E38"/>
    <w:rsid w:val="1CCE26B8"/>
    <w:rsid w:val="1CD53A47"/>
    <w:rsid w:val="1D0E157D"/>
    <w:rsid w:val="1DE101C9"/>
    <w:rsid w:val="1E111B6D"/>
    <w:rsid w:val="1E450758"/>
    <w:rsid w:val="1E8976CC"/>
    <w:rsid w:val="1F046865"/>
    <w:rsid w:val="1F1A4010"/>
    <w:rsid w:val="1F4E188E"/>
    <w:rsid w:val="1F9965C8"/>
    <w:rsid w:val="20724D78"/>
    <w:rsid w:val="208F1FFE"/>
    <w:rsid w:val="20A52017"/>
    <w:rsid w:val="21093CBF"/>
    <w:rsid w:val="22442910"/>
    <w:rsid w:val="227C02C9"/>
    <w:rsid w:val="228026A7"/>
    <w:rsid w:val="22FD3A37"/>
    <w:rsid w:val="23711CB2"/>
    <w:rsid w:val="23FE1AD5"/>
    <w:rsid w:val="24311EAA"/>
    <w:rsid w:val="248D2AAF"/>
    <w:rsid w:val="249B37C8"/>
    <w:rsid w:val="24BE792F"/>
    <w:rsid w:val="24D464A4"/>
    <w:rsid w:val="24F627AC"/>
    <w:rsid w:val="25A20B86"/>
    <w:rsid w:val="25B032A3"/>
    <w:rsid w:val="26126800"/>
    <w:rsid w:val="26577B9C"/>
    <w:rsid w:val="268424E2"/>
    <w:rsid w:val="26927416"/>
    <w:rsid w:val="26B80661"/>
    <w:rsid w:val="27226242"/>
    <w:rsid w:val="274D69EF"/>
    <w:rsid w:val="2784009E"/>
    <w:rsid w:val="2794090C"/>
    <w:rsid w:val="27CD02A0"/>
    <w:rsid w:val="28A8200F"/>
    <w:rsid w:val="28B43FBE"/>
    <w:rsid w:val="28DE0127"/>
    <w:rsid w:val="29127DD1"/>
    <w:rsid w:val="293711C1"/>
    <w:rsid w:val="298056E9"/>
    <w:rsid w:val="29BB5D72"/>
    <w:rsid w:val="29C31E0B"/>
    <w:rsid w:val="29D3676F"/>
    <w:rsid w:val="29E758B9"/>
    <w:rsid w:val="2A20464E"/>
    <w:rsid w:val="2A2E2BB3"/>
    <w:rsid w:val="2A331DAD"/>
    <w:rsid w:val="2A8D5961"/>
    <w:rsid w:val="2AAD7DB1"/>
    <w:rsid w:val="2AB27ADD"/>
    <w:rsid w:val="2AF61758"/>
    <w:rsid w:val="2B013A1E"/>
    <w:rsid w:val="2B69017C"/>
    <w:rsid w:val="2B754EC4"/>
    <w:rsid w:val="2BA271EA"/>
    <w:rsid w:val="2CCB6C14"/>
    <w:rsid w:val="2CFD5FD1"/>
    <w:rsid w:val="2D036CC8"/>
    <w:rsid w:val="2D287BC3"/>
    <w:rsid w:val="2D387107"/>
    <w:rsid w:val="2D4644DB"/>
    <w:rsid w:val="2D5207E6"/>
    <w:rsid w:val="2D834DF9"/>
    <w:rsid w:val="2DFC2046"/>
    <w:rsid w:val="2E1113A3"/>
    <w:rsid w:val="2EC60A5B"/>
    <w:rsid w:val="2EC92CDF"/>
    <w:rsid w:val="2ED76DE2"/>
    <w:rsid w:val="2F0D439D"/>
    <w:rsid w:val="2F1039C0"/>
    <w:rsid w:val="2FDB53C0"/>
    <w:rsid w:val="30847806"/>
    <w:rsid w:val="312132A7"/>
    <w:rsid w:val="320564FA"/>
    <w:rsid w:val="323B2146"/>
    <w:rsid w:val="32454D73"/>
    <w:rsid w:val="324A2916"/>
    <w:rsid w:val="32597007"/>
    <w:rsid w:val="32931F82"/>
    <w:rsid w:val="32A2319F"/>
    <w:rsid w:val="32BD6FFF"/>
    <w:rsid w:val="3343100F"/>
    <w:rsid w:val="33977850"/>
    <w:rsid w:val="34034EE6"/>
    <w:rsid w:val="344A041F"/>
    <w:rsid w:val="349A1687"/>
    <w:rsid w:val="34FE741A"/>
    <w:rsid w:val="352C5D76"/>
    <w:rsid w:val="35681254"/>
    <w:rsid w:val="35775243"/>
    <w:rsid w:val="358636D8"/>
    <w:rsid w:val="35956011"/>
    <w:rsid w:val="36366D93"/>
    <w:rsid w:val="364C2B74"/>
    <w:rsid w:val="36695E13"/>
    <w:rsid w:val="368F78E6"/>
    <w:rsid w:val="36A55DE0"/>
    <w:rsid w:val="36CA5847"/>
    <w:rsid w:val="36DB3EF8"/>
    <w:rsid w:val="3771502A"/>
    <w:rsid w:val="37914911"/>
    <w:rsid w:val="383C4522"/>
    <w:rsid w:val="388F0AF6"/>
    <w:rsid w:val="38EA6674"/>
    <w:rsid w:val="395357F5"/>
    <w:rsid w:val="39871270"/>
    <w:rsid w:val="39F8692E"/>
    <w:rsid w:val="3A4016D6"/>
    <w:rsid w:val="3A4F326B"/>
    <w:rsid w:val="3A915F1D"/>
    <w:rsid w:val="3ACE3FCD"/>
    <w:rsid w:val="3B037579"/>
    <w:rsid w:val="3B28629A"/>
    <w:rsid w:val="3B375C76"/>
    <w:rsid w:val="3B7A5A8D"/>
    <w:rsid w:val="3B8561E0"/>
    <w:rsid w:val="3BD90E16"/>
    <w:rsid w:val="3C0105DA"/>
    <w:rsid w:val="3C090BBF"/>
    <w:rsid w:val="3C0F1A40"/>
    <w:rsid w:val="3C4B567C"/>
    <w:rsid w:val="3CDC5C06"/>
    <w:rsid w:val="3D5F318D"/>
    <w:rsid w:val="3DB8289D"/>
    <w:rsid w:val="3DD509FE"/>
    <w:rsid w:val="3DE112B6"/>
    <w:rsid w:val="3E574B9A"/>
    <w:rsid w:val="3EAD617A"/>
    <w:rsid w:val="3EC51715"/>
    <w:rsid w:val="41195D48"/>
    <w:rsid w:val="4163290A"/>
    <w:rsid w:val="41872927"/>
    <w:rsid w:val="42277FF1"/>
    <w:rsid w:val="422C1AAB"/>
    <w:rsid w:val="422E56AB"/>
    <w:rsid w:val="42A65FF4"/>
    <w:rsid w:val="431228EA"/>
    <w:rsid w:val="43362BE2"/>
    <w:rsid w:val="435F591F"/>
    <w:rsid w:val="438423D8"/>
    <w:rsid w:val="449B599D"/>
    <w:rsid w:val="45117A04"/>
    <w:rsid w:val="45193878"/>
    <w:rsid w:val="454F01C7"/>
    <w:rsid w:val="45965BB9"/>
    <w:rsid w:val="463410AD"/>
    <w:rsid w:val="464B69A4"/>
    <w:rsid w:val="46C72A79"/>
    <w:rsid w:val="46D83FB0"/>
    <w:rsid w:val="46F56910"/>
    <w:rsid w:val="47022DDB"/>
    <w:rsid w:val="474653BD"/>
    <w:rsid w:val="47820BCA"/>
    <w:rsid w:val="478657BA"/>
    <w:rsid w:val="47975C19"/>
    <w:rsid w:val="47CA7D9C"/>
    <w:rsid w:val="480A0199"/>
    <w:rsid w:val="484E277B"/>
    <w:rsid w:val="488066AD"/>
    <w:rsid w:val="48827FD7"/>
    <w:rsid w:val="488E2B78"/>
    <w:rsid w:val="48981981"/>
    <w:rsid w:val="48A405ED"/>
    <w:rsid w:val="49115557"/>
    <w:rsid w:val="49BA174B"/>
    <w:rsid w:val="4A1672C9"/>
    <w:rsid w:val="4A192915"/>
    <w:rsid w:val="4A7A4BE2"/>
    <w:rsid w:val="4ABB577A"/>
    <w:rsid w:val="4AFF5FAF"/>
    <w:rsid w:val="4B296B88"/>
    <w:rsid w:val="4B50680B"/>
    <w:rsid w:val="4B577B99"/>
    <w:rsid w:val="4B7A73E4"/>
    <w:rsid w:val="4BBE0F48"/>
    <w:rsid w:val="4BDA6E70"/>
    <w:rsid w:val="4C8449BE"/>
    <w:rsid w:val="4CBE1552"/>
    <w:rsid w:val="4D5E3E4E"/>
    <w:rsid w:val="4D92310A"/>
    <w:rsid w:val="4DA4255D"/>
    <w:rsid w:val="4DAD1CF2"/>
    <w:rsid w:val="4E1B7F00"/>
    <w:rsid w:val="4F0D1E6F"/>
    <w:rsid w:val="4FF97471"/>
    <w:rsid w:val="502D6F76"/>
    <w:rsid w:val="508307D5"/>
    <w:rsid w:val="508B3E41"/>
    <w:rsid w:val="50D71089"/>
    <w:rsid w:val="511F2F07"/>
    <w:rsid w:val="519A0805"/>
    <w:rsid w:val="52010AF7"/>
    <w:rsid w:val="520D050E"/>
    <w:rsid w:val="523A167B"/>
    <w:rsid w:val="52903990"/>
    <w:rsid w:val="52D66101"/>
    <w:rsid w:val="535A6478"/>
    <w:rsid w:val="538F42FD"/>
    <w:rsid w:val="540672D6"/>
    <w:rsid w:val="546E1AAF"/>
    <w:rsid w:val="54893381"/>
    <w:rsid w:val="54976DE1"/>
    <w:rsid w:val="54A3750F"/>
    <w:rsid w:val="54B3437E"/>
    <w:rsid w:val="55110E83"/>
    <w:rsid w:val="552911A2"/>
    <w:rsid w:val="557B0FDA"/>
    <w:rsid w:val="55DA564E"/>
    <w:rsid w:val="57185DE8"/>
    <w:rsid w:val="57551741"/>
    <w:rsid w:val="58AB6D52"/>
    <w:rsid w:val="59A005FF"/>
    <w:rsid w:val="5A032C9A"/>
    <w:rsid w:val="5A495CC4"/>
    <w:rsid w:val="5AF50835"/>
    <w:rsid w:val="5B231846"/>
    <w:rsid w:val="5B9067AF"/>
    <w:rsid w:val="5CE6147D"/>
    <w:rsid w:val="5CF1327E"/>
    <w:rsid w:val="5D4810F0"/>
    <w:rsid w:val="5DB669A1"/>
    <w:rsid w:val="5EE15586"/>
    <w:rsid w:val="5EF3474A"/>
    <w:rsid w:val="5F1A4D0E"/>
    <w:rsid w:val="5F6D7533"/>
    <w:rsid w:val="5F8836F5"/>
    <w:rsid w:val="5FA847B9"/>
    <w:rsid w:val="600764DE"/>
    <w:rsid w:val="60104B30"/>
    <w:rsid w:val="60234096"/>
    <w:rsid w:val="602776E2"/>
    <w:rsid w:val="60532B13"/>
    <w:rsid w:val="608E4166"/>
    <w:rsid w:val="60F15F42"/>
    <w:rsid w:val="616C5277"/>
    <w:rsid w:val="616E7593"/>
    <w:rsid w:val="62586279"/>
    <w:rsid w:val="62CA25A7"/>
    <w:rsid w:val="62E0626E"/>
    <w:rsid w:val="633B16F7"/>
    <w:rsid w:val="635C4BF8"/>
    <w:rsid w:val="63A70B3A"/>
    <w:rsid w:val="63A81D1D"/>
    <w:rsid w:val="63F3550A"/>
    <w:rsid w:val="64432470"/>
    <w:rsid w:val="64AB3765"/>
    <w:rsid w:val="64F61D79"/>
    <w:rsid w:val="659F6132"/>
    <w:rsid w:val="66106E6A"/>
    <w:rsid w:val="661E2EBE"/>
    <w:rsid w:val="667473F9"/>
    <w:rsid w:val="66CC2D91"/>
    <w:rsid w:val="66ED3E50"/>
    <w:rsid w:val="66EE6506"/>
    <w:rsid w:val="677B7F4E"/>
    <w:rsid w:val="678F3DBF"/>
    <w:rsid w:val="67C9107F"/>
    <w:rsid w:val="68115A04"/>
    <w:rsid w:val="693C3AD3"/>
    <w:rsid w:val="69463972"/>
    <w:rsid w:val="6A1A3E14"/>
    <w:rsid w:val="6A3B3D8A"/>
    <w:rsid w:val="6A5D1F52"/>
    <w:rsid w:val="6A647785"/>
    <w:rsid w:val="6AFE1987"/>
    <w:rsid w:val="6B5727C1"/>
    <w:rsid w:val="6B9A16B0"/>
    <w:rsid w:val="6BB41665"/>
    <w:rsid w:val="6D170CBB"/>
    <w:rsid w:val="6D7B2E1B"/>
    <w:rsid w:val="6DFD3F31"/>
    <w:rsid w:val="6E032421"/>
    <w:rsid w:val="6E34251F"/>
    <w:rsid w:val="6E4D1362"/>
    <w:rsid w:val="6ED92668"/>
    <w:rsid w:val="6F8C0A65"/>
    <w:rsid w:val="70DD1DC5"/>
    <w:rsid w:val="713745FD"/>
    <w:rsid w:val="71AF12E6"/>
    <w:rsid w:val="71D83356"/>
    <w:rsid w:val="71ED713D"/>
    <w:rsid w:val="727F59CD"/>
    <w:rsid w:val="72B1229D"/>
    <w:rsid w:val="72FF629D"/>
    <w:rsid w:val="731D7F03"/>
    <w:rsid w:val="74026044"/>
    <w:rsid w:val="741753D0"/>
    <w:rsid w:val="74D7679F"/>
    <w:rsid w:val="7501606D"/>
    <w:rsid w:val="75C953F2"/>
    <w:rsid w:val="762B73A9"/>
    <w:rsid w:val="7662726E"/>
    <w:rsid w:val="769A6A08"/>
    <w:rsid w:val="76B50237"/>
    <w:rsid w:val="76B9653D"/>
    <w:rsid w:val="774A385E"/>
    <w:rsid w:val="77851FE2"/>
    <w:rsid w:val="77C6382D"/>
    <w:rsid w:val="78164874"/>
    <w:rsid w:val="783267CC"/>
    <w:rsid w:val="78411713"/>
    <w:rsid w:val="78437408"/>
    <w:rsid w:val="79804164"/>
    <w:rsid w:val="79AE3BA7"/>
    <w:rsid w:val="79BA049C"/>
    <w:rsid w:val="7A756E44"/>
    <w:rsid w:val="7A7E219D"/>
    <w:rsid w:val="7B203254"/>
    <w:rsid w:val="7B8521D8"/>
    <w:rsid w:val="7C1C5887"/>
    <w:rsid w:val="7C23124E"/>
    <w:rsid w:val="7C2B3C5E"/>
    <w:rsid w:val="7C6969C4"/>
    <w:rsid w:val="7CA35EEB"/>
    <w:rsid w:val="7D676F18"/>
    <w:rsid w:val="7DAB7DDE"/>
    <w:rsid w:val="7DFF74B2"/>
    <w:rsid w:val="7E6B6EDC"/>
    <w:rsid w:val="7E9615CC"/>
    <w:rsid w:val="7EC258FD"/>
    <w:rsid w:val="7F216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qFormat="1"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link w:val="49"/>
    <w:qFormat/>
    <w:uiPriority w:val="1"/>
    <w:pPr>
      <w:keepNext/>
      <w:keepLines/>
      <w:spacing w:before="340" w:after="330" w:line="576" w:lineRule="auto"/>
      <w:outlineLvl w:val="0"/>
    </w:pPr>
    <w:rPr>
      <w:rFonts w:cs="Times New Roman"/>
      <w:b/>
      <w:kern w:val="44"/>
      <w:sz w:val="44"/>
      <w:szCs w:val="20"/>
    </w:rPr>
  </w:style>
  <w:style w:type="paragraph" w:styleId="3">
    <w:name w:val="heading 2"/>
    <w:basedOn w:val="1"/>
    <w:next w:val="1"/>
    <w:link w:val="182"/>
    <w:unhideWhenUsed/>
    <w:qFormat/>
    <w:uiPriority w:val="0"/>
    <w:pPr>
      <w:keepNext/>
      <w:keepLines/>
      <w:spacing w:before="260" w:after="260" w:line="412" w:lineRule="auto"/>
      <w:outlineLvl w:val="1"/>
    </w:pPr>
    <w:rPr>
      <w:rFonts w:asciiTheme="majorHAnsi" w:hAnsiTheme="majorHAnsi" w:eastAsiaTheme="majorEastAsia" w:cstheme="majorBidi"/>
      <w:b/>
      <w:bCs/>
      <w:sz w:val="32"/>
      <w:szCs w:val="32"/>
    </w:rPr>
  </w:style>
  <w:style w:type="paragraph" w:styleId="4">
    <w:name w:val="heading 3"/>
    <w:basedOn w:val="1"/>
    <w:next w:val="1"/>
    <w:link w:val="51"/>
    <w:unhideWhenUsed/>
    <w:qFormat/>
    <w:uiPriority w:val="0"/>
    <w:pPr>
      <w:keepNext/>
      <w:keepLines/>
      <w:spacing w:before="260" w:after="260" w:line="410" w:lineRule="auto"/>
      <w:ind w:left="720" w:hanging="720"/>
      <w:outlineLvl w:val="2"/>
    </w:pPr>
    <w:rPr>
      <w:rFonts w:ascii="Calibri" w:hAnsi="Calibri" w:cs="Times New Roman"/>
      <w:b/>
      <w:sz w:val="32"/>
      <w:szCs w:val="24"/>
    </w:rPr>
  </w:style>
  <w:style w:type="paragraph" w:styleId="5">
    <w:name w:val="heading 4"/>
    <w:basedOn w:val="1"/>
    <w:next w:val="1"/>
    <w:link w:val="52"/>
    <w:unhideWhenUsed/>
    <w:qFormat/>
    <w:uiPriority w:val="0"/>
    <w:pPr>
      <w:spacing w:before="280" w:after="290" w:line="372" w:lineRule="auto"/>
      <w:ind w:left="864" w:hanging="864"/>
      <w:outlineLvl w:val="3"/>
    </w:pPr>
    <w:rPr>
      <w:rFonts w:ascii="Arial" w:hAnsi="Arial" w:eastAsia="黑体"/>
      <w:sz w:val="28"/>
    </w:rPr>
  </w:style>
  <w:style w:type="paragraph" w:styleId="6">
    <w:name w:val="heading 5"/>
    <w:basedOn w:val="1"/>
    <w:next w:val="1"/>
    <w:link w:val="53"/>
    <w:semiHidden/>
    <w:unhideWhenUsed/>
    <w:qFormat/>
    <w:uiPriority w:val="0"/>
    <w:pPr>
      <w:keepNext/>
      <w:keepLines/>
      <w:spacing w:before="280" w:after="290" w:line="372" w:lineRule="auto"/>
      <w:ind w:left="1008" w:hanging="1008"/>
      <w:outlineLvl w:val="4"/>
    </w:pPr>
    <w:rPr>
      <w:rFonts w:ascii="Calibri" w:hAnsi="Calibri" w:cs="Times New Roman"/>
      <w:b/>
      <w:sz w:val="28"/>
      <w:szCs w:val="24"/>
    </w:rPr>
  </w:style>
  <w:style w:type="paragraph" w:styleId="7">
    <w:name w:val="heading 6"/>
    <w:basedOn w:val="1"/>
    <w:next w:val="1"/>
    <w:link w:val="54"/>
    <w:semiHidden/>
    <w:unhideWhenUsed/>
    <w:qFormat/>
    <w:uiPriority w:val="0"/>
    <w:pPr>
      <w:keepNext/>
      <w:keepLines/>
      <w:spacing w:before="240" w:after="64" w:line="314" w:lineRule="auto"/>
      <w:ind w:left="1151" w:hanging="1151"/>
      <w:outlineLvl w:val="5"/>
    </w:pPr>
    <w:rPr>
      <w:rFonts w:ascii="Arial" w:hAnsi="Arial" w:eastAsia="黑体" w:cs="Times New Roman"/>
      <w:b/>
      <w:sz w:val="24"/>
      <w:szCs w:val="24"/>
    </w:rPr>
  </w:style>
  <w:style w:type="paragraph" w:styleId="8">
    <w:name w:val="heading 7"/>
    <w:basedOn w:val="1"/>
    <w:next w:val="1"/>
    <w:link w:val="55"/>
    <w:semiHidden/>
    <w:unhideWhenUsed/>
    <w:qFormat/>
    <w:uiPriority w:val="99"/>
    <w:pPr>
      <w:keepNext/>
      <w:keepLines/>
      <w:spacing w:before="240" w:after="64" w:line="314" w:lineRule="auto"/>
      <w:ind w:left="1296" w:hanging="1296"/>
      <w:outlineLvl w:val="6"/>
    </w:pPr>
    <w:rPr>
      <w:rFonts w:ascii="Calibri" w:hAnsi="Calibri" w:cs="Times New Roman"/>
      <w:b/>
      <w:sz w:val="24"/>
      <w:szCs w:val="24"/>
    </w:rPr>
  </w:style>
  <w:style w:type="paragraph" w:styleId="9">
    <w:name w:val="heading 8"/>
    <w:basedOn w:val="1"/>
    <w:next w:val="1"/>
    <w:link w:val="56"/>
    <w:semiHidden/>
    <w:unhideWhenUsed/>
    <w:qFormat/>
    <w:uiPriority w:val="99"/>
    <w:pPr>
      <w:keepNext/>
      <w:keepLines/>
      <w:spacing w:before="240" w:after="64" w:line="314" w:lineRule="auto"/>
      <w:ind w:left="1440" w:hanging="1440"/>
      <w:outlineLvl w:val="7"/>
    </w:pPr>
    <w:rPr>
      <w:rFonts w:ascii="Arial" w:hAnsi="Arial" w:eastAsia="黑体" w:cs="Times New Roman"/>
      <w:sz w:val="24"/>
      <w:szCs w:val="24"/>
    </w:rPr>
  </w:style>
  <w:style w:type="paragraph" w:styleId="10">
    <w:name w:val="heading 9"/>
    <w:basedOn w:val="1"/>
    <w:next w:val="1"/>
    <w:link w:val="57"/>
    <w:semiHidden/>
    <w:unhideWhenUsed/>
    <w:qFormat/>
    <w:uiPriority w:val="99"/>
    <w:pPr>
      <w:keepNext/>
      <w:keepLines/>
      <w:spacing w:before="240" w:after="64" w:line="314" w:lineRule="auto"/>
      <w:ind w:left="1583" w:hanging="1583"/>
      <w:outlineLvl w:val="8"/>
    </w:pPr>
    <w:rPr>
      <w:rFonts w:ascii="Arial" w:hAnsi="Arial" w:eastAsia="黑体" w:cs="Times New Roman"/>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semiHidden/>
    <w:unhideWhenUsed/>
    <w:qFormat/>
    <w:uiPriority w:val="99"/>
    <w:pPr>
      <w:ind w:left="420" w:leftChars="200"/>
    </w:pPr>
  </w:style>
  <w:style w:type="paragraph" w:styleId="12">
    <w:name w:val="Normal Indent"/>
    <w:basedOn w:val="1"/>
    <w:link w:val="61"/>
    <w:semiHidden/>
    <w:unhideWhenUsed/>
    <w:qFormat/>
    <w:uiPriority w:val="0"/>
    <w:pPr>
      <w:ind w:firstLine="425"/>
    </w:pPr>
    <w:rPr>
      <w:rFonts w:asciiTheme="minorHAnsi" w:hAnsiTheme="minorHAnsi" w:eastAsiaTheme="minorEastAsia" w:cstheme="minorBidi"/>
    </w:rPr>
  </w:style>
  <w:style w:type="paragraph" w:styleId="13">
    <w:name w:val="caption"/>
    <w:basedOn w:val="1"/>
    <w:next w:val="1"/>
    <w:semiHidden/>
    <w:unhideWhenUsed/>
    <w:qFormat/>
    <w:uiPriority w:val="99"/>
    <w:rPr>
      <w:rFonts w:ascii="Arial" w:hAnsi="Arial" w:eastAsia="黑体" w:cs="Arial"/>
      <w:sz w:val="20"/>
      <w:szCs w:val="20"/>
    </w:rPr>
  </w:style>
  <w:style w:type="paragraph" w:styleId="14">
    <w:name w:val="toa heading"/>
    <w:basedOn w:val="1"/>
    <w:next w:val="1"/>
    <w:semiHidden/>
    <w:unhideWhenUsed/>
    <w:qFormat/>
    <w:uiPriority w:val="99"/>
    <w:rPr>
      <w:rFonts w:ascii="Arial" w:hAnsi="Arial"/>
      <w:sz w:val="24"/>
    </w:rPr>
  </w:style>
  <w:style w:type="paragraph" w:styleId="15">
    <w:name w:val="Body Text"/>
    <w:basedOn w:val="1"/>
    <w:next w:val="16"/>
    <w:link w:val="64"/>
    <w:semiHidden/>
    <w:unhideWhenUsed/>
    <w:qFormat/>
    <w:uiPriority w:val="99"/>
    <w:pPr>
      <w:spacing w:after="120"/>
    </w:pPr>
    <w:rPr>
      <w:rFonts w:ascii="Calibri" w:hAnsi="Calibri" w:cs="Times New Roman"/>
      <w:kern w:val="0"/>
      <w:sz w:val="20"/>
    </w:rPr>
  </w:style>
  <w:style w:type="paragraph" w:styleId="16">
    <w:name w:val="Body Text First Indent"/>
    <w:basedOn w:val="15"/>
    <w:next w:val="17"/>
    <w:link w:val="69"/>
    <w:semiHidden/>
    <w:unhideWhenUsed/>
    <w:qFormat/>
    <w:uiPriority w:val="99"/>
    <w:pPr>
      <w:spacing w:before="100" w:beforeAutospacing="1"/>
      <w:ind w:firstLine="420" w:firstLineChars="100"/>
    </w:pPr>
    <w:rPr>
      <w:rFonts w:ascii="宋体" w:hAnsi="Times New Roman"/>
      <w:sz w:val="34"/>
      <w:szCs w:val="34"/>
    </w:rPr>
  </w:style>
  <w:style w:type="paragraph" w:customStyle="1" w:styleId="17">
    <w:name w:val="List Paragraph1"/>
    <w:basedOn w:val="1"/>
    <w:next w:val="1"/>
    <w:qFormat/>
    <w:uiPriority w:val="0"/>
    <w:pPr>
      <w:ind w:left="420" w:firstLine="3748"/>
    </w:pPr>
  </w:style>
  <w:style w:type="paragraph" w:styleId="18">
    <w:name w:val="Body Text Indent"/>
    <w:basedOn w:val="1"/>
    <w:next w:val="1"/>
    <w:link w:val="65"/>
    <w:semiHidden/>
    <w:unhideWhenUsed/>
    <w:qFormat/>
    <w:uiPriority w:val="99"/>
    <w:pPr>
      <w:spacing w:after="120"/>
      <w:ind w:left="420" w:leftChars="200"/>
    </w:pPr>
  </w:style>
  <w:style w:type="paragraph" w:styleId="19">
    <w:name w:val="Block Text"/>
    <w:basedOn w:val="1"/>
    <w:semiHidden/>
    <w:unhideWhenUsed/>
    <w:qFormat/>
    <w:uiPriority w:val="99"/>
    <w:pPr>
      <w:spacing w:after="120"/>
      <w:ind w:left="1440" w:leftChars="700" w:right="1440" w:rightChars="700"/>
    </w:pPr>
  </w:style>
  <w:style w:type="paragraph" w:styleId="20">
    <w:name w:val="toc 3"/>
    <w:basedOn w:val="1"/>
    <w:next w:val="1"/>
    <w:semiHidden/>
    <w:unhideWhenUsed/>
    <w:qFormat/>
    <w:uiPriority w:val="39"/>
    <w:pPr>
      <w:ind w:left="840" w:leftChars="400"/>
    </w:pPr>
  </w:style>
  <w:style w:type="paragraph" w:styleId="21">
    <w:name w:val="Plain Text"/>
    <w:basedOn w:val="1"/>
    <w:link w:val="71"/>
    <w:semiHidden/>
    <w:unhideWhenUsed/>
    <w:qFormat/>
    <w:uiPriority w:val="99"/>
    <w:rPr>
      <w:rFonts w:cs="Times New Roman"/>
      <w:kern w:val="0"/>
      <w:sz w:val="24"/>
      <w:szCs w:val="24"/>
    </w:rPr>
  </w:style>
  <w:style w:type="paragraph" w:styleId="22">
    <w:name w:val="Date"/>
    <w:basedOn w:val="1"/>
    <w:next w:val="1"/>
    <w:link w:val="67"/>
    <w:semiHidden/>
    <w:unhideWhenUsed/>
    <w:qFormat/>
    <w:uiPriority w:val="99"/>
    <w:pPr>
      <w:ind w:left="100" w:leftChars="2500"/>
    </w:pPr>
    <w:rPr>
      <w:rFonts w:ascii="Calibri" w:hAnsi="Calibri" w:cs="Times New Roman"/>
      <w:kern w:val="0"/>
      <w:sz w:val="20"/>
    </w:rPr>
  </w:style>
  <w:style w:type="paragraph" w:styleId="23">
    <w:name w:val="Balloon Text"/>
    <w:basedOn w:val="1"/>
    <w:link w:val="72"/>
    <w:semiHidden/>
    <w:unhideWhenUsed/>
    <w:qFormat/>
    <w:uiPriority w:val="99"/>
    <w:rPr>
      <w:sz w:val="18"/>
      <w:szCs w:val="18"/>
    </w:rPr>
  </w:style>
  <w:style w:type="paragraph" w:styleId="24">
    <w:name w:val="footer"/>
    <w:basedOn w:val="1"/>
    <w:link w:val="63"/>
    <w:unhideWhenUsed/>
    <w:qFormat/>
    <w:uiPriority w:val="99"/>
    <w:pPr>
      <w:snapToGrid w:val="0"/>
      <w:jc w:val="left"/>
    </w:pPr>
    <w:rPr>
      <w:rFonts w:cs="Times New Roman"/>
      <w:kern w:val="0"/>
      <w:sz w:val="18"/>
      <w:szCs w:val="18"/>
    </w:rPr>
  </w:style>
  <w:style w:type="paragraph" w:styleId="25">
    <w:name w:val="envelope return"/>
    <w:basedOn w:val="1"/>
    <w:qFormat/>
    <w:uiPriority w:val="0"/>
    <w:pPr>
      <w:snapToGrid w:val="0"/>
    </w:pPr>
    <w:rPr>
      <w:rFonts w:ascii="Arial" w:hAnsi="Arial"/>
    </w:rPr>
  </w:style>
  <w:style w:type="paragraph" w:styleId="26">
    <w:name w:val="header"/>
    <w:basedOn w:val="1"/>
    <w:link w:val="62"/>
    <w:unhideWhenUsed/>
    <w:qFormat/>
    <w:uiPriority w:val="99"/>
    <w:pPr>
      <w:tabs>
        <w:tab w:val="center" w:pos="4153"/>
        <w:tab w:val="right" w:pos="8306"/>
      </w:tabs>
      <w:snapToGrid w:val="0"/>
    </w:pPr>
    <w:rPr>
      <w:rFonts w:ascii="Calibri" w:hAnsi="Calibri" w:cs="Times New Roman"/>
      <w:kern w:val="0"/>
      <w:sz w:val="18"/>
    </w:rPr>
  </w:style>
  <w:style w:type="paragraph" w:styleId="27">
    <w:name w:val="toc 1"/>
    <w:basedOn w:val="1"/>
    <w:next w:val="1"/>
    <w:semiHidden/>
    <w:unhideWhenUsed/>
    <w:qFormat/>
    <w:uiPriority w:val="39"/>
  </w:style>
  <w:style w:type="paragraph" w:styleId="28">
    <w:name w:val="toc 2"/>
    <w:basedOn w:val="1"/>
    <w:next w:val="1"/>
    <w:semiHidden/>
    <w:unhideWhenUsed/>
    <w:qFormat/>
    <w:uiPriority w:val="39"/>
    <w:pPr>
      <w:spacing w:before="120"/>
      <w:ind w:left="210"/>
      <w:jc w:val="left"/>
    </w:pPr>
    <w:rPr>
      <w:rFonts w:cs="Times New Roman"/>
      <w:i/>
      <w:iCs/>
      <w:sz w:val="20"/>
      <w:szCs w:val="24"/>
    </w:rPr>
  </w:style>
  <w:style w:type="paragraph" w:styleId="29">
    <w:name w:val="Body Text 2"/>
    <w:basedOn w:val="1"/>
    <w:next w:val="15"/>
    <w:link w:val="70"/>
    <w:semiHidden/>
    <w:unhideWhenUsed/>
    <w:qFormat/>
    <w:uiPriority w:val="99"/>
    <w:pPr>
      <w:widowControl/>
      <w:spacing w:before="100" w:beforeAutospacing="1" w:after="100" w:afterAutospacing="1"/>
      <w:jc w:val="left"/>
    </w:pPr>
    <w:rPr>
      <w:rFonts w:ascii="宋体" w:hAnsi="宋体"/>
      <w:kern w:val="0"/>
      <w:sz w:val="24"/>
    </w:rPr>
  </w:style>
  <w:style w:type="paragraph" w:styleId="30">
    <w:name w:val="Message Header"/>
    <w:basedOn w:val="1"/>
    <w:link w:val="66"/>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kern w:val="0"/>
      <w:sz w:val="20"/>
    </w:rPr>
  </w:style>
  <w:style w:type="paragraph" w:styleId="31">
    <w:name w:val="HTML Preformatted"/>
    <w:basedOn w:val="1"/>
    <w:link w:val="59"/>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3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33">
    <w:name w:val="Body Text First Indent 2"/>
    <w:basedOn w:val="18"/>
    <w:next w:val="1"/>
    <w:link w:val="68"/>
    <w:semiHidden/>
    <w:unhideWhenUsed/>
    <w:qFormat/>
    <w:uiPriority w:val="99"/>
    <w:pPr>
      <w:ind w:firstLine="420" w:firstLineChars="200"/>
    </w:pPr>
    <w:rPr>
      <w:rFonts w:cs="Times New Roman"/>
      <w:kern w:val="0"/>
      <w:sz w:val="20"/>
    </w:rPr>
  </w:style>
  <w:style w:type="table" w:styleId="35">
    <w:name w:val="Table Grid"/>
    <w:basedOn w:val="3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rPr>
  </w:style>
  <w:style w:type="character" w:styleId="38">
    <w:name w:val="FollowedHyperlink"/>
    <w:basedOn w:val="36"/>
    <w:semiHidden/>
    <w:unhideWhenUsed/>
    <w:qFormat/>
    <w:uiPriority w:val="99"/>
    <w:rPr>
      <w:color w:val="000000"/>
      <w:u w:val="none"/>
    </w:rPr>
  </w:style>
  <w:style w:type="character" w:styleId="39">
    <w:name w:val="Emphasis"/>
    <w:basedOn w:val="36"/>
    <w:qFormat/>
    <w:uiPriority w:val="20"/>
  </w:style>
  <w:style w:type="character" w:styleId="40">
    <w:name w:val="HTML Definition"/>
    <w:basedOn w:val="36"/>
    <w:semiHidden/>
    <w:unhideWhenUsed/>
    <w:qFormat/>
    <w:uiPriority w:val="99"/>
  </w:style>
  <w:style w:type="character" w:styleId="41">
    <w:name w:val="HTML Typewriter"/>
    <w:basedOn w:val="36"/>
    <w:semiHidden/>
    <w:unhideWhenUsed/>
    <w:qFormat/>
    <w:uiPriority w:val="99"/>
    <w:rPr>
      <w:rFonts w:hint="default" w:ascii="monospace" w:hAnsi="monospace" w:eastAsia="monospace" w:cs="monospace"/>
      <w:sz w:val="20"/>
    </w:rPr>
  </w:style>
  <w:style w:type="character" w:styleId="42">
    <w:name w:val="HTML Acronym"/>
    <w:basedOn w:val="36"/>
    <w:semiHidden/>
    <w:unhideWhenUsed/>
    <w:qFormat/>
    <w:uiPriority w:val="99"/>
  </w:style>
  <w:style w:type="character" w:styleId="43">
    <w:name w:val="HTML Variable"/>
    <w:basedOn w:val="36"/>
    <w:semiHidden/>
    <w:unhideWhenUsed/>
    <w:qFormat/>
    <w:uiPriority w:val="99"/>
  </w:style>
  <w:style w:type="character" w:styleId="44">
    <w:name w:val="Hyperlink"/>
    <w:basedOn w:val="36"/>
    <w:semiHidden/>
    <w:unhideWhenUsed/>
    <w:qFormat/>
    <w:uiPriority w:val="99"/>
    <w:rPr>
      <w:color w:val="000000"/>
      <w:u w:val="none"/>
    </w:rPr>
  </w:style>
  <w:style w:type="character" w:styleId="45">
    <w:name w:val="HTML Code"/>
    <w:basedOn w:val="36"/>
    <w:semiHidden/>
    <w:unhideWhenUsed/>
    <w:qFormat/>
    <w:uiPriority w:val="99"/>
    <w:rPr>
      <w:rFonts w:ascii="monospace" w:hAnsi="monospace" w:eastAsia="monospace" w:cs="monospace"/>
      <w:sz w:val="20"/>
    </w:rPr>
  </w:style>
  <w:style w:type="character" w:styleId="46">
    <w:name w:val="HTML Cite"/>
    <w:basedOn w:val="36"/>
    <w:semiHidden/>
    <w:unhideWhenUsed/>
    <w:qFormat/>
    <w:uiPriority w:val="99"/>
  </w:style>
  <w:style w:type="character" w:styleId="47">
    <w:name w:val="HTML Keyboard"/>
    <w:basedOn w:val="36"/>
    <w:semiHidden/>
    <w:unhideWhenUsed/>
    <w:qFormat/>
    <w:uiPriority w:val="99"/>
    <w:rPr>
      <w:rFonts w:hint="default" w:ascii="monospace" w:hAnsi="monospace" w:eastAsia="monospace" w:cs="monospace"/>
      <w:sz w:val="20"/>
    </w:rPr>
  </w:style>
  <w:style w:type="character" w:styleId="48">
    <w:name w:val="HTML Sample"/>
    <w:basedOn w:val="36"/>
    <w:semiHidden/>
    <w:unhideWhenUsed/>
    <w:qFormat/>
    <w:uiPriority w:val="99"/>
    <w:rPr>
      <w:rFonts w:hint="default" w:ascii="monospace" w:hAnsi="monospace" w:eastAsia="monospace" w:cs="monospace"/>
    </w:rPr>
  </w:style>
  <w:style w:type="character" w:customStyle="1" w:styleId="49">
    <w:name w:val="标题 1 字符"/>
    <w:basedOn w:val="36"/>
    <w:link w:val="2"/>
    <w:qFormat/>
    <w:uiPriority w:val="1"/>
    <w:rPr>
      <w:rFonts w:ascii="Times New Roman" w:hAnsi="Times New Roman" w:eastAsia="宋体" w:cs="Times New Roman"/>
      <w:b/>
      <w:kern w:val="44"/>
      <w:sz w:val="44"/>
      <w:szCs w:val="20"/>
    </w:rPr>
  </w:style>
  <w:style w:type="character" w:customStyle="1" w:styleId="50">
    <w:name w:val="标题 2 字符"/>
    <w:basedOn w:val="36"/>
    <w:link w:val="3"/>
    <w:semiHidden/>
    <w:qFormat/>
    <w:uiPriority w:val="0"/>
    <w:rPr>
      <w:rFonts w:asciiTheme="majorHAnsi" w:hAnsiTheme="majorHAnsi" w:eastAsiaTheme="majorEastAsia" w:cstheme="majorBidi"/>
      <w:b/>
      <w:bCs/>
      <w:sz w:val="32"/>
      <w:szCs w:val="32"/>
    </w:rPr>
  </w:style>
  <w:style w:type="character" w:customStyle="1" w:styleId="51">
    <w:name w:val="标题 3 字符"/>
    <w:basedOn w:val="36"/>
    <w:link w:val="4"/>
    <w:semiHidden/>
    <w:qFormat/>
    <w:uiPriority w:val="0"/>
    <w:rPr>
      <w:rFonts w:ascii="Calibri" w:hAnsi="Calibri" w:eastAsia="宋体" w:cs="Times New Roman"/>
      <w:b/>
      <w:sz w:val="32"/>
      <w:szCs w:val="24"/>
    </w:rPr>
  </w:style>
  <w:style w:type="character" w:customStyle="1" w:styleId="52">
    <w:name w:val="标题 4 字符"/>
    <w:basedOn w:val="36"/>
    <w:link w:val="5"/>
    <w:semiHidden/>
    <w:qFormat/>
    <w:uiPriority w:val="0"/>
    <w:rPr>
      <w:rFonts w:ascii="Arial" w:hAnsi="Arial" w:eastAsia="黑体" w:cs="Calibri"/>
      <w:sz w:val="28"/>
      <w:szCs w:val="21"/>
    </w:rPr>
  </w:style>
  <w:style w:type="character" w:customStyle="1" w:styleId="53">
    <w:name w:val="标题 5 字符"/>
    <w:basedOn w:val="36"/>
    <w:link w:val="6"/>
    <w:semiHidden/>
    <w:qFormat/>
    <w:uiPriority w:val="0"/>
    <w:rPr>
      <w:rFonts w:ascii="Calibri" w:hAnsi="Calibri" w:eastAsia="宋体" w:cs="Times New Roman"/>
      <w:b/>
      <w:sz w:val="28"/>
      <w:szCs w:val="24"/>
    </w:rPr>
  </w:style>
  <w:style w:type="character" w:customStyle="1" w:styleId="54">
    <w:name w:val="标题 6 字符"/>
    <w:basedOn w:val="36"/>
    <w:link w:val="7"/>
    <w:semiHidden/>
    <w:qFormat/>
    <w:uiPriority w:val="0"/>
    <w:rPr>
      <w:rFonts w:ascii="Arial" w:hAnsi="Arial" w:eastAsia="黑体" w:cs="Times New Roman"/>
      <w:b/>
      <w:sz w:val="24"/>
      <w:szCs w:val="24"/>
    </w:rPr>
  </w:style>
  <w:style w:type="character" w:customStyle="1" w:styleId="55">
    <w:name w:val="标题 7 字符"/>
    <w:basedOn w:val="36"/>
    <w:link w:val="8"/>
    <w:semiHidden/>
    <w:qFormat/>
    <w:uiPriority w:val="99"/>
    <w:rPr>
      <w:rFonts w:ascii="Calibri" w:hAnsi="Calibri" w:eastAsia="宋体" w:cs="Times New Roman"/>
      <w:b/>
      <w:sz w:val="24"/>
      <w:szCs w:val="24"/>
    </w:rPr>
  </w:style>
  <w:style w:type="character" w:customStyle="1" w:styleId="56">
    <w:name w:val="标题 8 字符"/>
    <w:basedOn w:val="36"/>
    <w:link w:val="9"/>
    <w:semiHidden/>
    <w:qFormat/>
    <w:uiPriority w:val="99"/>
    <w:rPr>
      <w:rFonts w:ascii="Arial" w:hAnsi="Arial" w:eastAsia="黑体" w:cs="Times New Roman"/>
      <w:sz w:val="24"/>
      <w:szCs w:val="24"/>
    </w:rPr>
  </w:style>
  <w:style w:type="character" w:customStyle="1" w:styleId="57">
    <w:name w:val="标题 9 字符"/>
    <w:basedOn w:val="36"/>
    <w:link w:val="10"/>
    <w:semiHidden/>
    <w:qFormat/>
    <w:uiPriority w:val="99"/>
    <w:rPr>
      <w:rFonts w:ascii="Arial" w:hAnsi="Arial" w:eastAsia="黑体" w:cs="Times New Roman"/>
      <w:szCs w:val="24"/>
    </w:rPr>
  </w:style>
  <w:style w:type="paragraph" w:styleId="58">
    <w:name w:val="List Paragraph"/>
    <w:basedOn w:val="1"/>
    <w:qFormat/>
    <w:uiPriority w:val="99"/>
    <w:pPr>
      <w:ind w:firstLine="420" w:firstLineChars="200"/>
    </w:pPr>
  </w:style>
  <w:style w:type="character" w:customStyle="1" w:styleId="59">
    <w:name w:val="HTML 预设格式 字符"/>
    <w:basedOn w:val="36"/>
    <w:link w:val="31"/>
    <w:semiHidden/>
    <w:qFormat/>
    <w:uiPriority w:val="0"/>
    <w:rPr>
      <w:rFonts w:ascii="Arial" w:hAnsi="Arial" w:eastAsia="宋体" w:cs="Times New Roman"/>
      <w:kern w:val="0"/>
      <w:sz w:val="24"/>
      <w:szCs w:val="24"/>
    </w:rPr>
  </w:style>
  <w:style w:type="paragraph" w:customStyle="1" w:styleId="60">
    <w:name w:val="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61">
    <w:name w:val="正文缩进 字符"/>
    <w:link w:val="12"/>
    <w:semiHidden/>
    <w:qFormat/>
    <w:locked/>
    <w:uiPriority w:val="0"/>
    <w:rPr>
      <w:szCs w:val="21"/>
    </w:rPr>
  </w:style>
  <w:style w:type="character" w:customStyle="1" w:styleId="62">
    <w:name w:val="页眉 字符"/>
    <w:basedOn w:val="36"/>
    <w:link w:val="26"/>
    <w:qFormat/>
    <w:uiPriority w:val="99"/>
    <w:rPr>
      <w:rFonts w:ascii="Calibri" w:hAnsi="Calibri" w:eastAsia="宋体" w:cs="Times New Roman"/>
      <w:kern w:val="0"/>
      <w:sz w:val="18"/>
      <w:szCs w:val="21"/>
    </w:rPr>
  </w:style>
  <w:style w:type="character" w:customStyle="1" w:styleId="63">
    <w:name w:val="页脚 字符"/>
    <w:basedOn w:val="36"/>
    <w:link w:val="24"/>
    <w:qFormat/>
    <w:uiPriority w:val="99"/>
    <w:rPr>
      <w:rFonts w:ascii="Times New Roman" w:hAnsi="Times New Roman" w:eastAsia="宋体" w:cs="Times New Roman"/>
      <w:kern w:val="0"/>
      <w:sz w:val="18"/>
      <w:szCs w:val="18"/>
    </w:rPr>
  </w:style>
  <w:style w:type="character" w:customStyle="1" w:styleId="64">
    <w:name w:val="正文文本 字符"/>
    <w:basedOn w:val="36"/>
    <w:link w:val="15"/>
    <w:semiHidden/>
    <w:qFormat/>
    <w:uiPriority w:val="99"/>
    <w:rPr>
      <w:rFonts w:ascii="Calibri" w:hAnsi="Calibri" w:eastAsia="宋体" w:cs="Times New Roman"/>
      <w:kern w:val="0"/>
      <w:sz w:val="20"/>
      <w:szCs w:val="21"/>
    </w:rPr>
  </w:style>
  <w:style w:type="character" w:customStyle="1" w:styleId="65">
    <w:name w:val="正文文本缩进 字符"/>
    <w:basedOn w:val="36"/>
    <w:link w:val="18"/>
    <w:semiHidden/>
    <w:qFormat/>
    <w:uiPriority w:val="99"/>
    <w:rPr>
      <w:rFonts w:ascii="Times New Roman" w:hAnsi="Times New Roman" w:eastAsia="宋体" w:cs="Calibri"/>
      <w:szCs w:val="21"/>
    </w:rPr>
  </w:style>
  <w:style w:type="character" w:customStyle="1" w:styleId="66">
    <w:name w:val="信息标题 字符"/>
    <w:basedOn w:val="36"/>
    <w:link w:val="30"/>
    <w:semiHidden/>
    <w:qFormat/>
    <w:uiPriority w:val="99"/>
    <w:rPr>
      <w:rFonts w:ascii="Cambria" w:hAnsi="Cambria" w:eastAsia="宋体" w:cs="Times New Roman"/>
      <w:kern w:val="0"/>
      <w:sz w:val="20"/>
      <w:szCs w:val="21"/>
      <w:shd w:val="pct20" w:color="auto" w:fill="auto"/>
    </w:rPr>
  </w:style>
  <w:style w:type="character" w:customStyle="1" w:styleId="67">
    <w:name w:val="日期 字符"/>
    <w:basedOn w:val="36"/>
    <w:link w:val="22"/>
    <w:semiHidden/>
    <w:qFormat/>
    <w:uiPriority w:val="99"/>
    <w:rPr>
      <w:rFonts w:ascii="Calibri" w:hAnsi="Calibri" w:eastAsia="宋体" w:cs="Times New Roman"/>
      <w:kern w:val="0"/>
      <w:sz w:val="20"/>
      <w:szCs w:val="21"/>
    </w:rPr>
  </w:style>
  <w:style w:type="character" w:customStyle="1" w:styleId="68">
    <w:name w:val="正文文本首行缩进 2 字符"/>
    <w:basedOn w:val="65"/>
    <w:link w:val="33"/>
    <w:semiHidden/>
    <w:qFormat/>
    <w:uiPriority w:val="99"/>
    <w:rPr>
      <w:rFonts w:ascii="Times New Roman" w:hAnsi="Times New Roman" w:eastAsia="宋体" w:cs="Times New Roman"/>
      <w:kern w:val="0"/>
      <w:sz w:val="20"/>
      <w:szCs w:val="21"/>
    </w:rPr>
  </w:style>
  <w:style w:type="character" w:customStyle="1" w:styleId="69">
    <w:name w:val="正文文本首行缩进 字符"/>
    <w:basedOn w:val="64"/>
    <w:link w:val="16"/>
    <w:semiHidden/>
    <w:qFormat/>
    <w:uiPriority w:val="99"/>
    <w:rPr>
      <w:rFonts w:ascii="宋体" w:hAnsi="Times New Roman" w:eastAsia="宋体" w:cs="Times New Roman"/>
      <w:kern w:val="0"/>
      <w:sz w:val="34"/>
      <w:szCs w:val="34"/>
    </w:rPr>
  </w:style>
  <w:style w:type="character" w:customStyle="1" w:styleId="70">
    <w:name w:val="正文文本 2 字符"/>
    <w:basedOn w:val="36"/>
    <w:link w:val="29"/>
    <w:semiHidden/>
    <w:qFormat/>
    <w:uiPriority w:val="99"/>
    <w:rPr>
      <w:rFonts w:ascii="宋体" w:hAnsi="宋体" w:eastAsia="宋体" w:cs="Calibri"/>
      <w:kern w:val="0"/>
      <w:sz w:val="24"/>
      <w:szCs w:val="21"/>
    </w:rPr>
  </w:style>
  <w:style w:type="character" w:customStyle="1" w:styleId="71">
    <w:name w:val="纯文本 字符"/>
    <w:basedOn w:val="36"/>
    <w:link w:val="21"/>
    <w:semiHidden/>
    <w:qFormat/>
    <w:uiPriority w:val="99"/>
    <w:rPr>
      <w:rFonts w:ascii="Times New Roman" w:hAnsi="Times New Roman" w:eastAsia="宋体" w:cs="Times New Roman"/>
      <w:kern w:val="0"/>
      <w:sz w:val="24"/>
      <w:szCs w:val="24"/>
    </w:rPr>
  </w:style>
  <w:style w:type="character" w:customStyle="1" w:styleId="72">
    <w:name w:val="批注框文本 字符"/>
    <w:basedOn w:val="36"/>
    <w:link w:val="23"/>
    <w:semiHidden/>
    <w:qFormat/>
    <w:uiPriority w:val="99"/>
    <w:rPr>
      <w:rFonts w:ascii="Times New Roman" w:hAnsi="Times New Roman" w:eastAsia="宋体" w:cs="Calibri"/>
      <w:sz w:val="18"/>
      <w:szCs w:val="18"/>
    </w:rPr>
  </w:style>
  <w:style w:type="character" w:customStyle="1" w:styleId="73">
    <w:name w:val="无间隔 字符"/>
    <w:basedOn w:val="36"/>
    <w:link w:val="74"/>
    <w:qFormat/>
    <w:locked/>
    <w:uiPriority w:val="1"/>
    <w:rPr>
      <w:sz w:val="24"/>
      <w:szCs w:val="24"/>
    </w:rPr>
  </w:style>
  <w:style w:type="paragraph" w:styleId="74">
    <w:name w:val="No Spacing"/>
    <w:next w:val="1"/>
    <w:link w:val="73"/>
    <w:qFormat/>
    <w:uiPriority w:val="1"/>
    <w:pPr>
      <w:jc w:val="both"/>
    </w:pPr>
    <w:rPr>
      <w:rFonts w:asciiTheme="minorHAnsi" w:hAnsiTheme="minorHAnsi" w:eastAsiaTheme="minorEastAsia" w:cstheme="minorBidi"/>
      <w:kern w:val="2"/>
      <w:sz w:val="24"/>
      <w:szCs w:val="24"/>
      <w:lang w:val="en-US" w:eastAsia="zh-CN" w:bidi="ar-SA"/>
    </w:rPr>
  </w:style>
  <w:style w:type="paragraph" w:customStyle="1" w:styleId="75">
    <w:name w:val="_Style 3"/>
    <w:basedOn w:val="1"/>
    <w:qFormat/>
    <w:uiPriority w:val="99"/>
    <w:pPr>
      <w:ind w:firstLine="420" w:firstLineChars="200"/>
    </w:pPr>
  </w:style>
  <w:style w:type="paragraph" w:customStyle="1" w:styleId="76">
    <w:name w:val="列出段落1"/>
    <w:basedOn w:val="1"/>
    <w:qFormat/>
    <w:uiPriority w:val="99"/>
    <w:pPr>
      <w:ind w:firstLine="420" w:firstLineChars="200"/>
    </w:pPr>
  </w:style>
  <w:style w:type="paragraph" w:customStyle="1" w:styleId="77">
    <w:name w:val="正文缩进1"/>
    <w:basedOn w:val="1"/>
    <w:qFormat/>
    <w:uiPriority w:val="99"/>
    <w:pPr>
      <w:adjustRightInd w:val="0"/>
      <w:spacing w:line="360" w:lineRule="atLeast"/>
      <w:ind w:firstLine="420" w:firstLineChars="200"/>
      <w:jc w:val="left"/>
    </w:pPr>
    <w:rPr>
      <w:rFonts w:cs="Times New Roman"/>
      <w:kern w:val="0"/>
      <w:sz w:val="24"/>
      <w:szCs w:val="24"/>
    </w:rPr>
  </w:style>
  <w:style w:type="paragraph" w:customStyle="1" w:styleId="78">
    <w:name w:val="日期1"/>
    <w:basedOn w:val="1"/>
    <w:next w:val="1"/>
    <w:qFormat/>
    <w:uiPriority w:val="99"/>
    <w:rPr>
      <w:rFonts w:cs="Times New Roman"/>
      <w:kern w:val="0"/>
      <w:sz w:val="24"/>
      <w:szCs w:val="24"/>
    </w:rPr>
  </w:style>
  <w:style w:type="paragraph" w:customStyle="1" w:styleId="79">
    <w:name w:val="HtmlNormal"/>
    <w:basedOn w:val="1"/>
    <w:qFormat/>
    <w:uiPriority w:val="99"/>
    <w:pPr>
      <w:jc w:val="left"/>
    </w:pPr>
    <w:rPr>
      <w:rFonts w:ascii="Calibri" w:hAnsi="Calibri"/>
      <w:kern w:val="0"/>
      <w:sz w:val="24"/>
      <w:szCs w:val="22"/>
    </w:rPr>
  </w:style>
  <w:style w:type="paragraph" w:customStyle="1" w:styleId="80">
    <w:name w:val="样式 样式 样式 样式 标题 2 + 宋体 五号 非加粗 黑色 + 段前: 6 磅 段后: 0 磅 行距: 单倍行距 + 段前:..."/>
    <w:basedOn w:val="1"/>
    <w:qFormat/>
    <w:uiPriority w:val="99"/>
    <w:pPr>
      <w:keepNext/>
      <w:keepLines/>
      <w:adjustRightInd w:val="0"/>
      <w:spacing w:before="240" w:after="100" w:afterAutospacing="1"/>
      <w:jc w:val="left"/>
      <w:outlineLvl w:val="1"/>
    </w:pPr>
    <w:rPr>
      <w:rFonts w:ascii="宋体" w:hAnsi="宋体" w:cs="宋体"/>
      <w:b/>
      <w:bCs/>
      <w:color w:val="000000"/>
      <w:kern w:val="0"/>
    </w:rPr>
  </w:style>
  <w:style w:type="paragraph" w:customStyle="1" w:styleId="81">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文本缩进1"/>
    <w:basedOn w:val="1"/>
    <w:qFormat/>
    <w:uiPriority w:val="99"/>
    <w:pPr>
      <w:spacing w:line="360" w:lineRule="auto"/>
      <w:ind w:firstLine="480" w:firstLineChars="200"/>
    </w:pPr>
    <w:rPr>
      <w:rFonts w:ascii="宋体" w:cs="宋体"/>
      <w:kern w:val="0"/>
      <w:sz w:val="24"/>
      <w:szCs w:val="24"/>
    </w:rPr>
  </w:style>
  <w:style w:type="paragraph" w:customStyle="1" w:styleId="83">
    <w:name w:val="Char Char10 Char Char Char Char"/>
    <w:basedOn w:val="1"/>
    <w:next w:val="84"/>
    <w:qFormat/>
    <w:uiPriority w:val="99"/>
    <w:rPr>
      <w:rFonts w:ascii="Calibri" w:hAnsi="Calibri"/>
      <w:kern w:val="0"/>
    </w:rPr>
  </w:style>
  <w:style w:type="paragraph" w:customStyle="1" w:styleId="84">
    <w:name w:val="xl87"/>
    <w:basedOn w:val="1"/>
    <w:next w:val="85"/>
    <w:qFormat/>
    <w:uiPriority w:val="99"/>
    <w:pPr>
      <w:widowControl/>
      <w:pBdr>
        <w:top w:val="single" w:color="000000" w:sz="4" w:space="0"/>
        <w:left w:val="single" w:color="000000" w:sz="8" w:space="0"/>
        <w:right w:val="single" w:color="000000" w:sz="4" w:space="0"/>
      </w:pBdr>
      <w:suppressAutoHyphens/>
      <w:spacing w:before="280" w:after="280"/>
      <w:jc w:val="center"/>
    </w:pPr>
    <w:rPr>
      <w:rFonts w:ascii="Arial Unicode MS" w:hAnsi="Arial Unicode MS" w:eastAsia="Arial Unicode MS" w:cs="Arial Unicode MS"/>
      <w:sz w:val="22"/>
      <w:szCs w:val="22"/>
    </w:rPr>
  </w:style>
  <w:style w:type="paragraph" w:customStyle="1" w:styleId="85">
    <w:name w:val="xl72"/>
    <w:basedOn w:val="1"/>
    <w:next w:val="22"/>
    <w:qFormat/>
    <w:uiPriority w:val="99"/>
    <w:pPr>
      <w:widowControl/>
      <w:pBdr>
        <w:top w:val="single" w:color="000000" w:sz="4" w:space="0"/>
        <w:left w:val="single" w:color="000000" w:sz="8" w:space="0"/>
        <w:right w:val="single" w:color="000000" w:sz="4" w:space="0"/>
      </w:pBdr>
      <w:suppressAutoHyphens/>
      <w:spacing w:before="280" w:after="280"/>
      <w:jc w:val="center"/>
    </w:pPr>
    <w:rPr>
      <w:rFonts w:ascii="楷体_GB2312" w:hAnsi="楷体_GB2312" w:eastAsia="楷体_GB2312" w:cs="Arial Unicode MS"/>
      <w:sz w:val="22"/>
      <w:szCs w:val="22"/>
    </w:rPr>
  </w:style>
  <w:style w:type="paragraph" w:customStyle="1" w:styleId="86">
    <w:name w:val="Default"/>
    <w:qFormat/>
    <w:uiPriority w:val="99"/>
    <w:pPr>
      <w:widowControl w:val="0"/>
      <w:autoSpaceDE w:val="0"/>
      <w:autoSpaceDN w:val="0"/>
      <w:adjustRightInd w:val="0"/>
    </w:pPr>
    <w:rPr>
      <w:rFonts w:ascii="宋体" w:hAnsi="Times New Roman" w:eastAsia="宋体" w:cs="Times New Roman"/>
      <w:color w:val="000000"/>
      <w:kern w:val="0"/>
      <w:sz w:val="22"/>
      <w:szCs w:val="20"/>
      <w:lang w:val="en-US" w:eastAsia="zh-CN" w:bidi="ar-SA"/>
    </w:rPr>
  </w:style>
  <w:style w:type="paragraph" w:customStyle="1" w:styleId="87">
    <w:name w:val="大标题"/>
    <w:basedOn w:val="1"/>
    <w:next w:val="33"/>
    <w:qFormat/>
    <w:uiPriority w:val="0"/>
    <w:pPr>
      <w:jc w:val="center"/>
    </w:pPr>
    <w:rPr>
      <w:rFonts w:ascii="Arial" w:hAnsi="Arial" w:eastAsia="宋体"/>
      <w:b/>
      <w:sz w:val="28"/>
      <w:szCs w:val="24"/>
    </w:rPr>
  </w:style>
  <w:style w:type="paragraph" w:customStyle="1" w:styleId="88">
    <w:name w:val="UserStyle_104"/>
    <w:basedOn w:val="1"/>
    <w:qFormat/>
    <w:uiPriority w:val="99"/>
    <w:rPr>
      <w:rFonts w:ascii="宋体" w:hAnsi="宋体"/>
      <w:szCs w:val="20"/>
      <w:lang w:val="zh-CN" w:bidi="zh-CN"/>
    </w:rPr>
  </w:style>
  <w:style w:type="paragraph" w:customStyle="1" w:styleId="89">
    <w:name w:val="Normal_26"/>
    <w:next w:val="1"/>
    <w:qFormat/>
    <w:uiPriority w:val="99"/>
    <w:pPr>
      <w:widowControl w:val="0"/>
      <w:suppressAutoHyphens/>
      <w:jc w:val="both"/>
    </w:pPr>
    <w:rPr>
      <w:rFonts w:ascii="Calibri" w:hAnsi="Calibri" w:eastAsia="宋体" w:cs="Times New Roman"/>
      <w:kern w:val="2"/>
      <w:sz w:val="21"/>
      <w:szCs w:val="22"/>
      <w:lang w:val="en-US" w:eastAsia="zh-CN" w:bidi="ar-SA"/>
    </w:rPr>
  </w:style>
  <w:style w:type="paragraph" w:customStyle="1" w:styleId="90">
    <w:name w:val="样式_0"/>
    <w:qFormat/>
    <w:uiPriority w:val="99"/>
    <w:pPr>
      <w:widowControl w:val="0"/>
      <w:suppressAutoHyphens/>
      <w:autoSpaceDE w:val="0"/>
    </w:pPr>
    <w:rPr>
      <w:rFonts w:ascii="宋体" w:hAnsi="宋体" w:eastAsia="宋体" w:cs="宋体"/>
      <w:kern w:val="0"/>
      <w:sz w:val="24"/>
      <w:szCs w:val="24"/>
      <w:lang w:val="en-US" w:eastAsia="zh-CN" w:bidi="ar-SA"/>
    </w:rPr>
  </w:style>
  <w:style w:type="paragraph" w:customStyle="1" w:styleId="91">
    <w:name w:val="pa-3"/>
    <w:basedOn w:val="1"/>
    <w:qFormat/>
    <w:uiPriority w:val="99"/>
    <w:pPr>
      <w:widowControl/>
      <w:spacing w:before="150" w:after="150" w:line="360" w:lineRule="auto"/>
      <w:jc w:val="left"/>
    </w:pPr>
    <w:rPr>
      <w:rFonts w:ascii="宋体" w:hAnsi="Calibri" w:cs="宋体"/>
      <w:kern w:val="0"/>
      <w:sz w:val="24"/>
      <w:szCs w:val="24"/>
    </w:rPr>
  </w:style>
  <w:style w:type="paragraph" w:customStyle="1" w:styleId="92">
    <w:name w:val="Other|1"/>
    <w:basedOn w:val="1"/>
    <w:qFormat/>
    <w:uiPriority w:val="99"/>
    <w:pPr>
      <w:spacing w:line="560" w:lineRule="exact"/>
    </w:pPr>
    <w:rPr>
      <w:rFonts w:ascii="宋体" w:hAnsi="宋体" w:cs="宋体"/>
      <w:sz w:val="15"/>
      <w:szCs w:val="15"/>
      <w:lang w:val="zh-TW" w:eastAsia="zh-TW" w:bidi="zh-TW"/>
    </w:rPr>
  </w:style>
  <w:style w:type="paragraph" w:customStyle="1" w:styleId="93">
    <w:name w:val="段落正文"/>
    <w:basedOn w:val="1"/>
    <w:qFormat/>
    <w:uiPriority w:val="99"/>
    <w:pPr>
      <w:spacing w:before="156" w:after="156"/>
    </w:pPr>
    <w:rPr>
      <w:rFonts w:ascii="Calibri" w:hAnsi="Calibri" w:cs="Times New Roman"/>
      <w:szCs w:val="22"/>
      <w:lang w:eastAsia="en-US"/>
    </w:rPr>
  </w:style>
  <w:style w:type="paragraph" w:customStyle="1" w:styleId="94">
    <w:name w:val="_Style 78"/>
    <w:basedOn w:val="15"/>
    <w:next w:val="16"/>
    <w:qFormat/>
    <w:uiPriority w:val="99"/>
    <w:pPr>
      <w:ind w:firstLine="420" w:firstLineChars="100"/>
    </w:pPr>
    <w:rPr>
      <w:rFonts w:ascii="宋体" w:hAnsi="Times New Roman"/>
      <w:sz w:val="34"/>
      <w:szCs w:val="20"/>
    </w:rPr>
  </w:style>
  <w:style w:type="paragraph" w:customStyle="1" w:styleId="95">
    <w:name w:val="Table Paragraph"/>
    <w:basedOn w:val="1"/>
    <w:qFormat/>
    <w:uiPriority w:val="1"/>
    <w:rPr>
      <w:rFonts w:ascii="宋体" w:hAnsi="宋体" w:cs="宋体"/>
      <w:lang w:val="zh-CN" w:bidi="zh-CN"/>
    </w:rPr>
  </w:style>
  <w:style w:type="paragraph" w:customStyle="1" w:styleId="96">
    <w:name w:val="列出段落2"/>
    <w:basedOn w:val="1"/>
    <w:qFormat/>
    <w:uiPriority w:val="99"/>
    <w:pPr>
      <w:ind w:firstLine="420" w:firstLineChars="200"/>
    </w:pPr>
    <w:rPr>
      <w:rFonts w:cs="Times New Roman"/>
      <w:szCs w:val="22"/>
    </w:rPr>
  </w:style>
  <w:style w:type="paragraph" w:customStyle="1" w:styleId="97">
    <w:name w:val="！正文"/>
    <w:basedOn w:val="1"/>
    <w:qFormat/>
    <w:uiPriority w:val="99"/>
    <w:pPr>
      <w:spacing w:line="360" w:lineRule="auto"/>
    </w:pPr>
    <w:rPr>
      <w:kern w:val="0"/>
    </w:rPr>
  </w:style>
  <w:style w:type="character" w:customStyle="1" w:styleId="98">
    <w:name w:val="font151"/>
    <w:qFormat/>
    <w:uiPriority w:val="0"/>
    <w:rPr>
      <w:rFonts w:hint="eastAsia" w:ascii="宋体" w:hAnsi="宋体" w:eastAsia="宋体" w:cs="宋体"/>
      <w:color w:val="000000"/>
      <w:sz w:val="18"/>
      <w:szCs w:val="18"/>
      <w:u w:val="none"/>
    </w:rPr>
  </w:style>
  <w:style w:type="character" w:customStyle="1" w:styleId="99">
    <w:name w:val="font101"/>
    <w:qFormat/>
    <w:uiPriority w:val="0"/>
    <w:rPr>
      <w:rFonts w:hint="eastAsia" w:ascii="微软雅黑" w:hAnsi="微软雅黑" w:eastAsia="微软雅黑" w:cs="微软雅黑"/>
      <w:b/>
      <w:bCs/>
      <w:color w:val="000000"/>
      <w:sz w:val="18"/>
      <w:szCs w:val="18"/>
      <w:u w:val="none"/>
    </w:rPr>
  </w:style>
  <w:style w:type="character" w:customStyle="1" w:styleId="100">
    <w:name w:val="font51"/>
    <w:qFormat/>
    <w:uiPriority w:val="0"/>
    <w:rPr>
      <w:rFonts w:hint="eastAsia" w:ascii="微软雅黑" w:hAnsi="微软雅黑" w:eastAsia="微软雅黑" w:cs="微软雅黑"/>
      <w:color w:val="000000"/>
      <w:sz w:val="18"/>
      <w:szCs w:val="18"/>
      <w:u w:val="none"/>
    </w:rPr>
  </w:style>
  <w:style w:type="character" w:customStyle="1" w:styleId="101">
    <w:name w:val="NormalCharacter"/>
    <w:qFormat/>
    <w:uiPriority w:val="0"/>
  </w:style>
  <w:style w:type="character" w:customStyle="1" w:styleId="102">
    <w:name w:val="15"/>
    <w:qFormat/>
    <w:uiPriority w:val="0"/>
    <w:rPr>
      <w:rFonts w:hint="default" w:ascii="Times New Roman" w:hAnsi="Times New Roman" w:cs="Times New Roman"/>
      <w:color w:val="000000"/>
    </w:rPr>
  </w:style>
  <w:style w:type="character" w:customStyle="1" w:styleId="103">
    <w:name w:val="font161"/>
    <w:qFormat/>
    <w:uiPriority w:val="0"/>
    <w:rPr>
      <w:rFonts w:hint="eastAsia" w:ascii="微软雅黑" w:hAnsi="微软雅黑" w:eastAsia="微软雅黑" w:cs="微软雅黑"/>
      <w:color w:val="FF0000"/>
      <w:sz w:val="18"/>
      <w:szCs w:val="18"/>
      <w:u w:val="none"/>
    </w:rPr>
  </w:style>
  <w:style w:type="character" w:customStyle="1" w:styleId="104">
    <w:name w:val="font01"/>
    <w:qFormat/>
    <w:uiPriority w:val="0"/>
    <w:rPr>
      <w:rFonts w:hint="eastAsia" w:ascii="宋体" w:hAnsi="宋体" w:eastAsia="宋体" w:cs="宋体"/>
      <w:color w:val="000000"/>
      <w:sz w:val="24"/>
      <w:szCs w:val="24"/>
      <w:u w:val="none"/>
    </w:rPr>
  </w:style>
  <w:style w:type="character" w:customStyle="1" w:styleId="105">
    <w:name w:val="font121"/>
    <w:qFormat/>
    <w:uiPriority w:val="0"/>
    <w:rPr>
      <w:rFonts w:hint="eastAsia" w:ascii="宋体" w:hAnsi="宋体" w:eastAsia="宋体" w:cs="宋体"/>
      <w:color w:val="FF0000"/>
      <w:sz w:val="16"/>
      <w:szCs w:val="16"/>
      <w:u w:val="none"/>
    </w:rPr>
  </w:style>
  <w:style w:type="character" w:customStyle="1" w:styleId="106">
    <w:name w:val="font21"/>
    <w:qFormat/>
    <w:uiPriority w:val="0"/>
    <w:rPr>
      <w:rFonts w:hint="eastAsia" w:ascii="宋体" w:hAnsi="宋体" w:eastAsia="宋体" w:cs="宋体"/>
      <w:color w:val="000000"/>
      <w:sz w:val="16"/>
      <w:szCs w:val="16"/>
      <w:u w:val="none"/>
    </w:rPr>
  </w:style>
  <w:style w:type="character" w:customStyle="1" w:styleId="107">
    <w:name w:val="font71"/>
    <w:qFormat/>
    <w:uiPriority w:val="0"/>
    <w:rPr>
      <w:rFonts w:hint="eastAsia" w:ascii="宋体" w:hAnsi="宋体" w:eastAsia="宋体" w:cs="宋体"/>
      <w:color w:val="000000"/>
      <w:sz w:val="16"/>
      <w:szCs w:val="16"/>
      <w:u w:val="none"/>
    </w:rPr>
  </w:style>
  <w:style w:type="character" w:customStyle="1" w:styleId="108">
    <w:name w:val="font81"/>
    <w:qFormat/>
    <w:uiPriority w:val="0"/>
    <w:rPr>
      <w:rFonts w:hint="eastAsia" w:ascii="宋体" w:hAnsi="宋体" w:eastAsia="宋体" w:cs="宋体"/>
      <w:color w:val="000000"/>
      <w:sz w:val="16"/>
      <w:szCs w:val="16"/>
      <w:u w:val="none"/>
    </w:rPr>
  </w:style>
  <w:style w:type="character" w:customStyle="1" w:styleId="109">
    <w:name w:val="纯文本 Char1"/>
    <w:semiHidden/>
    <w:qFormat/>
    <w:uiPriority w:val="99"/>
    <w:rPr>
      <w:rFonts w:hint="eastAsia" w:ascii="宋体" w:hAnsi="Courier New" w:eastAsia="宋体" w:cs="Courier New"/>
      <w:szCs w:val="21"/>
    </w:rPr>
  </w:style>
  <w:style w:type="character" w:customStyle="1" w:styleId="110">
    <w:name w:val="正文首行缩进 Char1"/>
    <w:semiHidden/>
    <w:qFormat/>
    <w:uiPriority w:val="99"/>
    <w:rPr>
      <w:rFonts w:hint="default" w:ascii="Times New Roman" w:hAnsi="Times New Roman" w:eastAsia="宋体" w:cs="Calibri"/>
      <w:szCs w:val="21"/>
    </w:rPr>
  </w:style>
  <w:style w:type="character" w:customStyle="1" w:styleId="111">
    <w:name w:val="信息标题 Char1"/>
    <w:semiHidden/>
    <w:qFormat/>
    <w:uiPriority w:val="99"/>
    <w:rPr>
      <w:rFonts w:hint="default" w:ascii="Cambria" w:hAnsi="Cambria" w:eastAsia="宋体" w:cs="Times New Roman"/>
      <w:sz w:val="24"/>
      <w:szCs w:val="24"/>
      <w:shd w:val="pct20" w:color="auto" w:fill="auto"/>
    </w:rPr>
  </w:style>
  <w:style w:type="character" w:customStyle="1" w:styleId="112">
    <w:name w:val="正文缩进 Char"/>
    <w:qFormat/>
    <w:uiPriority w:val="0"/>
    <w:rPr>
      <w:rFonts w:hint="default" w:ascii="Times New Roman" w:hAnsi="Times New Roman" w:eastAsia="宋体" w:cs="Times New Roman"/>
      <w:szCs w:val="21"/>
    </w:rPr>
  </w:style>
  <w:style w:type="character" w:customStyle="1" w:styleId="113">
    <w:name w:val="正文文本缩进 Char1"/>
    <w:semiHidden/>
    <w:qFormat/>
    <w:uiPriority w:val="99"/>
    <w:rPr>
      <w:rFonts w:hint="default" w:ascii="Times New Roman" w:hAnsi="Times New Roman" w:eastAsia="宋体" w:cs="Calibri"/>
      <w:szCs w:val="21"/>
    </w:rPr>
  </w:style>
  <w:style w:type="character" w:customStyle="1" w:styleId="114">
    <w:name w:val="HTML 预设格式 Char1"/>
    <w:semiHidden/>
    <w:qFormat/>
    <w:uiPriority w:val="99"/>
    <w:rPr>
      <w:rFonts w:hint="default" w:ascii="Courier New" w:hAnsi="Courier New" w:eastAsia="宋体" w:cs="Courier New"/>
      <w:sz w:val="20"/>
      <w:szCs w:val="20"/>
    </w:rPr>
  </w:style>
  <w:style w:type="character" w:customStyle="1" w:styleId="115">
    <w:name w:val="纯文本 Char2"/>
    <w:semiHidden/>
    <w:qFormat/>
    <w:uiPriority w:val="99"/>
    <w:rPr>
      <w:rFonts w:hint="eastAsia" w:ascii="宋体" w:hAnsi="Courier New" w:eastAsia="宋体" w:cs="Courier New"/>
      <w:kern w:val="2"/>
      <w:sz w:val="21"/>
      <w:szCs w:val="21"/>
    </w:rPr>
  </w:style>
  <w:style w:type="character" w:customStyle="1" w:styleId="116">
    <w:name w:val="ca-5"/>
    <w:basedOn w:val="36"/>
    <w:qFormat/>
    <w:uiPriority w:val="0"/>
  </w:style>
  <w:style w:type="character" w:customStyle="1" w:styleId="117">
    <w:name w:val="font11"/>
    <w:qFormat/>
    <w:uiPriority w:val="0"/>
    <w:rPr>
      <w:rFonts w:hint="eastAsia" w:ascii="宋体" w:hAnsi="宋体" w:eastAsia="宋体" w:cs="宋体"/>
      <w:color w:val="000000"/>
      <w:sz w:val="22"/>
      <w:szCs w:val="22"/>
      <w:u w:val="none"/>
    </w:rPr>
  </w:style>
  <w:style w:type="character" w:customStyle="1" w:styleId="118">
    <w:name w:val="right"/>
    <w:basedOn w:val="36"/>
    <w:qFormat/>
    <w:uiPriority w:val="0"/>
    <w:rPr>
      <w:color w:val="999999"/>
      <w:sz w:val="14"/>
      <w:szCs w:val="14"/>
    </w:rPr>
  </w:style>
  <w:style w:type="character" w:customStyle="1" w:styleId="119">
    <w:name w:val="red"/>
    <w:basedOn w:val="36"/>
    <w:qFormat/>
    <w:uiPriority w:val="0"/>
    <w:rPr>
      <w:color w:val="FF0000"/>
      <w:sz w:val="14"/>
      <w:szCs w:val="14"/>
    </w:rPr>
  </w:style>
  <w:style w:type="character" w:customStyle="1" w:styleId="120">
    <w:name w:val="red1"/>
    <w:basedOn w:val="36"/>
    <w:qFormat/>
    <w:uiPriority w:val="0"/>
    <w:rPr>
      <w:color w:val="FF0000"/>
      <w:sz w:val="14"/>
      <w:szCs w:val="14"/>
    </w:rPr>
  </w:style>
  <w:style w:type="character" w:customStyle="1" w:styleId="121">
    <w:name w:val="red2"/>
    <w:basedOn w:val="36"/>
    <w:qFormat/>
    <w:uiPriority w:val="0"/>
    <w:rPr>
      <w:color w:val="CC0000"/>
    </w:rPr>
  </w:style>
  <w:style w:type="character" w:customStyle="1" w:styleId="122">
    <w:name w:val="red3"/>
    <w:basedOn w:val="36"/>
    <w:qFormat/>
    <w:uiPriority w:val="0"/>
    <w:rPr>
      <w:color w:val="FF0000"/>
    </w:rPr>
  </w:style>
  <w:style w:type="character" w:customStyle="1" w:styleId="123">
    <w:name w:val="hover25"/>
    <w:basedOn w:val="36"/>
    <w:qFormat/>
    <w:uiPriority w:val="0"/>
  </w:style>
  <w:style w:type="character" w:customStyle="1" w:styleId="124">
    <w:name w:val="green"/>
    <w:basedOn w:val="36"/>
    <w:qFormat/>
    <w:uiPriority w:val="0"/>
    <w:rPr>
      <w:color w:val="66AE00"/>
      <w:sz w:val="14"/>
      <w:szCs w:val="14"/>
    </w:rPr>
  </w:style>
  <w:style w:type="character" w:customStyle="1" w:styleId="125">
    <w:name w:val="green1"/>
    <w:basedOn w:val="36"/>
    <w:qFormat/>
    <w:uiPriority w:val="0"/>
    <w:rPr>
      <w:color w:val="66AE00"/>
      <w:sz w:val="14"/>
      <w:szCs w:val="14"/>
    </w:rPr>
  </w:style>
  <w:style w:type="character" w:customStyle="1" w:styleId="126">
    <w:name w:val="active"/>
    <w:basedOn w:val="36"/>
    <w:qFormat/>
    <w:uiPriority w:val="0"/>
    <w:rPr>
      <w:color w:val="FFFFFF"/>
      <w:shd w:val="clear" w:color="auto" w:fill="2B7AFC"/>
    </w:rPr>
  </w:style>
  <w:style w:type="character" w:customStyle="1" w:styleId="127">
    <w:name w:val="blue"/>
    <w:basedOn w:val="36"/>
    <w:qFormat/>
    <w:uiPriority w:val="0"/>
    <w:rPr>
      <w:color w:val="0371C6"/>
      <w:sz w:val="16"/>
      <w:szCs w:val="16"/>
    </w:rPr>
  </w:style>
  <w:style w:type="character" w:customStyle="1" w:styleId="128">
    <w:name w:val="gb-jt"/>
    <w:basedOn w:val="36"/>
    <w:qFormat/>
    <w:uiPriority w:val="0"/>
  </w:style>
  <w:style w:type="character" w:customStyle="1" w:styleId="129">
    <w:name w:val="icon_gzkj"/>
    <w:basedOn w:val="36"/>
    <w:qFormat/>
    <w:uiPriority w:val="0"/>
  </w:style>
  <w:style w:type="character" w:customStyle="1" w:styleId="130">
    <w:name w:val="focus"/>
    <w:basedOn w:val="36"/>
    <w:qFormat/>
    <w:uiPriority w:val="0"/>
    <w:rPr>
      <w:b/>
      <w:bCs/>
      <w:color w:val="000000"/>
    </w:rPr>
  </w:style>
  <w:style w:type="character" w:customStyle="1" w:styleId="131">
    <w:name w:val="close"/>
    <w:basedOn w:val="36"/>
    <w:qFormat/>
    <w:uiPriority w:val="0"/>
  </w:style>
  <w:style w:type="character" w:customStyle="1" w:styleId="132">
    <w:name w:val="searchclose"/>
    <w:basedOn w:val="36"/>
    <w:qFormat/>
    <w:uiPriority w:val="0"/>
  </w:style>
  <w:style w:type="character" w:customStyle="1" w:styleId="133">
    <w:name w:val="l_6"/>
    <w:basedOn w:val="36"/>
    <w:qFormat/>
    <w:uiPriority w:val="0"/>
  </w:style>
  <w:style w:type="character" w:customStyle="1" w:styleId="134">
    <w:name w:val="l_5"/>
    <w:basedOn w:val="36"/>
    <w:qFormat/>
    <w:uiPriority w:val="0"/>
  </w:style>
  <w:style w:type="character" w:customStyle="1" w:styleId="135">
    <w:name w:val="l_1"/>
    <w:basedOn w:val="36"/>
    <w:qFormat/>
    <w:uiPriority w:val="0"/>
  </w:style>
  <w:style w:type="character" w:customStyle="1" w:styleId="136">
    <w:name w:val="l_11"/>
    <w:basedOn w:val="36"/>
    <w:qFormat/>
    <w:uiPriority w:val="0"/>
  </w:style>
  <w:style w:type="character" w:customStyle="1" w:styleId="137">
    <w:name w:val="l_13"/>
    <w:basedOn w:val="36"/>
    <w:qFormat/>
    <w:uiPriority w:val="0"/>
  </w:style>
  <w:style w:type="character" w:customStyle="1" w:styleId="138">
    <w:name w:val="l_131"/>
    <w:basedOn w:val="36"/>
    <w:qFormat/>
    <w:uiPriority w:val="0"/>
  </w:style>
  <w:style w:type="character" w:customStyle="1" w:styleId="139">
    <w:name w:val="l_9"/>
    <w:basedOn w:val="36"/>
    <w:qFormat/>
    <w:uiPriority w:val="0"/>
  </w:style>
  <w:style w:type="character" w:customStyle="1" w:styleId="140">
    <w:name w:val="l_7"/>
    <w:basedOn w:val="36"/>
    <w:qFormat/>
    <w:uiPriority w:val="0"/>
  </w:style>
  <w:style w:type="character" w:customStyle="1" w:styleId="141">
    <w:name w:val="l_4"/>
    <w:basedOn w:val="36"/>
    <w:qFormat/>
    <w:uiPriority w:val="0"/>
  </w:style>
  <w:style w:type="character" w:customStyle="1" w:styleId="142">
    <w:name w:val="searchopen"/>
    <w:basedOn w:val="36"/>
    <w:qFormat/>
    <w:uiPriority w:val="0"/>
  </w:style>
  <w:style w:type="character" w:customStyle="1" w:styleId="143">
    <w:name w:val="l_12"/>
    <w:basedOn w:val="36"/>
    <w:qFormat/>
    <w:uiPriority w:val="0"/>
  </w:style>
  <w:style w:type="character" w:customStyle="1" w:styleId="144">
    <w:name w:val="l_121"/>
    <w:basedOn w:val="36"/>
    <w:qFormat/>
    <w:uiPriority w:val="0"/>
  </w:style>
  <w:style w:type="character" w:customStyle="1" w:styleId="145">
    <w:name w:val="menutitle12"/>
    <w:basedOn w:val="36"/>
    <w:qFormat/>
    <w:uiPriority w:val="0"/>
    <w:rPr>
      <w:color w:val="333333"/>
      <w:sz w:val="24"/>
      <w:szCs w:val="24"/>
    </w:rPr>
  </w:style>
  <w:style w:type="character" w:customStyle="1" w:styleId="146">
    <w:name w:val="menutitle13"/>
    <w:basedOn w:val="36"/>
    <w:qFormat/>
    <w:uiPriority w:val="0"/>
    <w:rPr>
      <w:color w:val="333333"/>
      <w:sz w:val="24"/>
      <w:szCs w:val="24"/>
    </w:rPr>
  </w:style>
  <w:style w:type="character" w:customStyle="1" w:styleId="147">
    <w:name w:val="icon_dljg"/>
    <w:basedOn w:val="36"/>
    <w:qFormat/>
    <w:uiPriority w:val="0"/>
  </w:style>
  <w:style w:type="character" w:customStyle="1" w:styleId="148">
    <w:name w:val="icon_cxktbr"/>
    <w:basedOn w:val="36"/>
    <w:qFormat/>
    <w:uiPriority w:val="0"/>
  </w:style>
  <w:style w:type="character" w:customStyle="1" w:styleId="149">
    <w:name w:val="icon_cxkcyry"/>
    <w:basedOn w:val="36"/>
    <w:qFormat/>
    <w:uiPriority w:val="0"/>
  </w:style>
  <w:style w:type="character" w:customStyle="1" w:styleId="150">
    <w:name w:val="color_cdyy"/>
    <w:basedOn w:val="36"/>
    <w:qFormat/>
    <w:uiPriority w:val="0"/>
    <w:rPr>
      <w:color w:val="FFFFFF"/>
      <w:bdr w:val="single" w:color="FFFFFF" w:sz="6" w:space="0"/>
    </w:rPr>
  </w:style>
  <w:style w:type="character" w:customStyle="1" w:styleId="151">
    <w:name w:val="icon_lzrz"/>
    <w:basedOn w:val="36"/>
    <w:qFormat/>
    <w:uiPriority w:val="0"/>
  </w:style>
  <w:style w:type="character" w:customStyle="1" w:styleId="152">
    <w:name w:val="l_8"/>
    <w:basedOn w:val="36"/>
    <w:qFormat/>
    <w:uiPriority w:val="0"/>
  </w:style>
  <w:style w:type="character" w:customStyle="1" w:styleId="153">
    <w:name w:val="l_0"/>
    <w:basedOn w:val="36"/>
    <w:qFormat/>
    <w:uiPriority w:val="0"/>
  </w:style>
  <w:style w:type="character" w:customStyle="1" w:styleId="154">
    <w:name w:val="l_01"/>
    <w:basedOn w:val="36"/>
    <w:qFormat/>
    <w:uiPriority w:val="0"/>
  </w:style>
  <w:style w:type="character" w:customStyle="1" w:styleId="155">
    <w:name w:val="icon_xglc"/>
    <w:basedOn w:val="36"/>
    <w:qFormat/>
    <w:uiPriority w:val="0"/>
  </w:style>
  <w:style w:type="character" w:customStyle="1" w:styleId="156">
    <w:name w:val="swapimg3"/>
    <w:basedOn w:val="36"/>
    <w:qFormat/>
    <w:uiPriority w:val="0"/>
  </w:style>
  <w:style w:type="character" w:customStyle="1" w:styleId="157">
    <w:name w:val="swapimg4"/>
    <w:basedOn w:val="36"/>
    <w:qFormat/>
    <w:uiPriority w:val="0"/>
  </w:style>
  <w:style w:type="character" w:customStyle="1" w:styleId="158">
    <w:name w:val="icon_xzry"/>
    <w:basedOn w:val="36"/>
    <w:qFormat/>
    <w:uiPriority w:val="0"/>
  </w:style>
  <w:style w:type="character" w:customStyle="1" w:styleId="159">
    <w:name w:val="m-text"/>
    <w:basedOn w:val="36"/>
    <w:qFormat/>
    <w:uiPriority w:val="0"/>
  </w:style>
  <w:style w:type="character" w:customStyle="1" w:styleId="160">
    <w:name w:val="l_2"/>
    <w:basedOn w:val="36"/>
    <w:qFormat/>
    <w:uiPriority w:val="0"/>
  </w:style>
  <w:style w:type="character" w:customStyle="1" w:styleId="161">
    <w:name w:val="l_21"/>
    <w:basedOn w:val="36"/>
    <w:qFormat/>
    <w:uiPriority w:val="0"/>
  </w:style>
  <w:style w:type="character" w:customStyle="1" w:styleId="162">
    <w:name w:val="l_3"/>
    <w:basedOn w:val="36"/>
    <w:qFormat/>
    <w:uiPriority w:val="0"/>
  </w:style>
  <w:style w:type="character" w:customStyle="1" w:styleId="163">
    <w:name w:val="l_31"/>
    <w:basedOn w:val="36"/>
    <w:qFormat/>
    <w:uiPriority w:val="0"/>
  </w:style>
  <w:style w:type="character" w:customStyle="1" w:styleId="164">
    <w:name w:val="l_10"/>
    <w:basedOn w:val="36"/>
    <w:qFormat/>
    <w:uiPriority w:val="0"/>
  </w:style>
  <w:style w:type="character" w:customStyle="1" w:styleId="165">
    <w:name w:val="l_101"/>
    <w:basedOn w:val="36"/>
    <w:qFormat/>
    <w:uiPriority w:val="0"/>
  </w:style>
  <w:style w:type="character" w:customStyle="1" w:styleId="166">
    <w:name w:val="l_111"/>
    <w:basedOn w:val="36"/>
    <w:qFormat/>
    <w:uiPriority w:val="0"/>
  </w:style>
  <w:style w:type="character" w:customStyle="1" w:styleId="167">
    <w:name w:val="l_112"/>
    <w:basedOn w:val="36"/>
    <w:qFormat/>
    <w:uiPriority w:val="0"/>
  </w:style>
  <w:style w:type="character" w:customStyle="1" w:styleId="168">
    <w:name w:val="l_14"/>
    <w:basedOn w:val="36"/>
    <w:qFormat/>
    <w:uiPriority w:val="0"/>
  </w:style>
  <w:style w:type="character" w:customStyle="1" w:styleId="169">
    <w:name w:val="l_141"/>
    <w:basedOn w:val="36"/>
    <w:qFormat/>
    <w:uiPriority w:val="0"/>
  </w:style>
  <w:style w:type="character" w:customStyle="1" w:styleId="170">
    <w:name w:val="l_15"/>
    <w:basedOn w:val="36"/>
    <w:qFormat/>
    <w:uiPriority w:val="0"/>
  </w:style>
  <w:style w:type="character" w:customStyle="1" w:styleId="171">
    <w:name w:val="l_151"/>
    <w:basedOn w:val="36"/>
    <w:qFormat/>
    <w:uiPriority w:val="0"/>
  </w:style>
  <w:style w:type="table" w:customStyle="1" w:styleId="172">
    <w:name w:val="网格型3"/>
    <w:basedOn w:val="3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3">
    <w:name w:val="active4"/>
    <w:basedOn w:val="36"/>
    <w:qFormat/>
    <w:uiPriority w:val="0"/>
    <w:rPr>
      <w:color w:val="FFFFFF"/>
      <w:shd w:val="clear" w:fill="2B7AFC"/>
    </w:rPr>
  </w:style>
  <w:style w:type="character" w:customStyle="1" w:styleId="174">
    <w:name w:val="hover24"/>
    <w:basedOn w:val="36"/>
    <w:qFormat/>
    <w:uiPriority w:val="0"/>
  </w:style>
  <w:style w:type="character" w:customStyle="1" w:styleId="175">
    <w:name w:val="red4"/>
    <w:basedOn w:val="36"/>
    <w:qFormat/>
    <w:uiPriority w:val="0"/>
    <w:rPr>
      <w:color w:val="FF0000"/>
      <w:sz w:val="18"/>
      <w:szCs w:val="18"/>
    </w:rPr>
  </w:style>
  <w:style w:type="character" w:customStyle="1" w:styleId="176">
    <w:name w:val="red5"/>
    <w:basedOn w:val="36"/>
    <w:qFormat/>
    <w:uiPriority w:val="0"/>
    <w:rPr>
      <w:color w:val="FF0000"/>
      <w:sz w:val="18"/>
      <w:szCs w:val="18"/>
    </w:rPr>
  </w:style>
  <w:style w:type="character" w:customStyle="1" w:styleId="177">
    <w:name w:val="red6"/>
    <w:basedOn w:val="36"/>
    <w:qFormat/>
    <w:uiPriority w:val="0"/>
    <w:rPr>
      <w:color w:val="CC0000"/>
    </w:rPr>
  </w:style>
  <w:style w:type="character" w:customStyle="1" w:styleId="178">
    <w:name w:val="red7"/>
    <w:basedOn w:val="36"/>
    <w:qFormat/>
    <w:uiPriority w:val="0"/>
    <w:rPr>
      <w:color w:val="FF0000"/>
    </w:rPr>
  </w:style>
  <w:style w:type="character" w:customStyle="1" w:styleId="179">
    <w:name w:val="hover"/>
    <w:basedOn w:val="36"/>
    <w:qFormat/>
    <w:uiPriority w:val="0"/>
  </w:style>
  <w:style w:type="paragraph" w:customStyle="1" w:styleId="180">
    <w:name w:val="Table Text"/>
    <w:basedOn w:val="1"/>
    <w:semiHidden/>
    <w:qFormat/>
    <w:uiPriority w:val="0"/>
    <w:rPr>
      <w:rFonts w:ascii="宋体" w:hAnsi="宋体" w:eastAsia="宋体" w:cs="宋体"/>
      <w:sz w:val="21"/>
      <w:szCs w:val="21"/>
      <w:lang w:val="en-US" w:eastAsia="en-US" w:bidi="ar-SA"/>
    </w:rPr>
  </w:style>
  <w:style w:type="table" w:customStyle="1" w:styleId="181">
    <w:name w:val="Table Normal"/>
    <w:semiHidden/>
    <w:unhideWhenUsed/>
    <w:qFormat/>
    <w:uiPriority w:val="0"/>
    <w:tblPr>
      <w:tblCellMar>
        <w:top w:w="0" w:type="dxa"/>
        <w:left w:w="0" w:type="dxa"/>
        <w:bottom w:w="0" w:type="dxa"/>
        <w:right w:w="0" w:type="dxa"/>
      </w:tblCellMar>
    </w:tblPr>
  </w:style>
  <w:style w:type="character" w:customStyle="1" w:styleId="182">
    <w:name w:val="标题 2 Char"/>
    <w:basedOn w:val="36"/>
    <w:link w:val="3"/>
    <w:qFormat/>
    <w:uiPriority w:val="0"/>
    <w:rPr>
      <w:rFonts w:ascii="Arial" w:hAnsi="Arial" w:eastAsia="黑体" w:cs="Times New Roman"/>
      <w:b/>
      <w:bCs/>
      <w:sz w:val="32"/>
      <w:szCs w:val="32"/>
    </w:rPr>
  </w:style>
  <w:style w:type="paragraph" w:customStyle="1" w:styleId="183">
    <w:name w:val="纯文本1"/>
    <w:basedOn w:val="1"/>
    <w:unhideWhenUsed/>
    <w:qFormat/>
    <w:uiPriority w:val="0"/>
    <w:pPr>
      <w:widowControl/>
      <w:overflowPunct w:val="0"/>
      <w:autoSpaceDE w:val="0"/>
      <w:autoSpaceDN w:val="0"/>
      <w:adjustRightInd w:val="0"/>
      <w:jc w:val="left"/>
      <w:textAlignment w:val="baseline"/>
    </w:pPr>
    <w:rPr>
      <w:rFonts w:ascii="宋体" w:hAnsi="Courier New" w:eastAsia="宋体" w:cs="Times New Roman"/>
      <w:kern w:val="0"/>
      <w:szCs w:val="20"/>
    </w:rPr>
  </w:style>
  <w:style w:type="character" w:customStyle="1" w:styleId="184">
    <w:name w:val="nth-child(n+2)"/>
    <w:basedOn w:val="36"/>
    <w:qFormat/>
    <w:uiPriority w:val="0"/>
  </w:style>
  <w:style w:type="character" w:customStyle="1" w:styleId="185">
    <w:name w:val="hover5"/>
    <w:basedOn w:val="36"/>
    <w:qFormat/>
    <w:uiPriority w:val="0"/>
    <w:rPr>
      <w:color w:val="0282FF"/>
    </w:rPr>
  </w:style>
  <w:style w:type="character" w:customStyle="1" w:styleId="186">
    <w:name w:val="layui-this"/>
    <w:basedOn w:val="36"/>
    <w:qFormat/>
    <w:uiPriority w:val="0"/>
    <w:rPr>
      <w:bdr w:val="single" w:color="EEEEEE" w:sz="6" w:space="0"/>
      <w:shd w:val="clear" w:fill="FFFFFF"/>
    </w:rPr>
  </w:style>
  <w:style w:type="character" w:customStyle="1" w:styleId="187">
    <w:name w:val="first-child"/>
    <w:basedOn w:val="3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0fd5b2-9ee5-40fa-9a18-7ad376708e6d}">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23972</Words>
  <Characters>25721</Characters>
  <Lines>297</Lines>
  <Paragraphs>83</Paragraphs>
  <TotalTime>4</TotalTime>
  <ScaleCrop>false</ScaleCrop>
  <LinksUpToDate>false</LinksUpToDate>
  <CharactersWithSpaces>25867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2023-08-28T07:36:00Z</dcterms:created>
  <dc:creator>河南环昂工程咨询有限公司:胥冰洋</dc:creator>
  <cp:lastModifiedBy>TY</cp:lastModifiedBy>
  <cp:lastPrinted>2026-06-01T05:52:00Z</cp:lastPrinted>
  <dcterms:modified xsi:type="dcterms:W3CDTF">2026-06-03T07:11:02Z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4521E3AE3C114746AED4C489AE188D5A_13</vt:lpwstr>
  </property>
  <property fmtid="{D5CDD505-2E9C-101B-9397-08002B2CF9AE}" pid="4" name="KSOTemplateDocerSaveRecord">
    <vt:lpwstr>eyJoZGlkIjoiNWJmODVmYjBiMDVjZWEwZDVlMDQwNjA1MTA5YTc3MzYiLCJ1c2VySWQiOiI3NDg0MTEyMjkifQ==</vt:lpwstr>
  </property>
</Properties>
</file>