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1BC4">
      <w:pPr>
        <w:jc w:val="center"/>
        <w:rPr>
          <w:rFonts w:hint="eastAsia" w:ascii="宋体" w:hAnsi="宋体" w:eastAsia="宋体" w:cs="宋体"/>
          <w:bCs/>
          <w:color w:val="auto"/>
          <w:sz w:val="40"/>
          <w:szCs w:val="40"/>
          <w:highlight w:val="none"/>
          <w:lang w:eastAsia="zh-CN"/>
        </w:rPr>
      </w:pPr>
    </w:p>
    <w:p w14:paraId="6077D08A">
      <w:pPr>
        <w:jc w:val="center"/>
        <w:rPr>
          <w:rFonts w:hint="eastAsia" w:ascii="宋体" w:hAnsi="宋体" w:eastAsia="宋体" w:cs="宋体"/>
          <w:color w:val="auto"/>
          <w:highlight w:val="none"/>
        </w:rPr>
      </w:pPr>
      <w:r>
        <w:rPr>
          <w:rFonts w:hint="eastAsia" w:ascii="宋体" w:hAnsi="宋体" w:eastAsia="宋体" w:cs="宋体"/>
          <w:b/>
          <w:bCs/>
          <w:color w:val="auto"/>
          <w:sz w:val="44"/>
          <w:szCs w:val="44"/>
          <w:highlight w:val="none"/>
          <w:lang w:val="en-US" w:eastAsia="zh-CN"/>
        </w:rPr>
        <w:t>禹州市行政审批和政务信息管理局市级政务服务大厅软硬件提档升级改造项目</w:t>
      </w:r>
    </w:p>
    <w:p w14:paraId="0C49A1DD">
      <w:pPr>
        <w:rPr>
          <w:rFonts w:hint="eastAsia" w:ascii="宋体" w:hAnsi="宋体" w:eastAsia="宋体" w:cs="宋体"/>
          <w:color w:val="auto"/>
          <w:highlight w:val="none"/>
        </w:rPr>
      </w:pPr>
    </w:p>
    <w:p w14:paraId="5CE957EB">
      <w:pPr>
        <w:rPr>
          <w:rFonts w:hint="eastAsia" w:ascii="宋体" w:hAnsi="宋体" w:eastAsia="宋体" w:cs="宋体"/>
          <w:color w:val="auto"/>
          <w:highlight w:val="none"/>
        </w:rPr>
      </w:pPr>
    </w:p>
    <w:p w14:paraId="15E97D4B">
      <w:pPr>
        <w:rPr>
          <w:rFonts w:hint="eastAsia" w:ascii="宋体" w:hAnsi="宋体" w:eastAsia="宋体" w:cs="宋体"/>
          <w:color w:val="auto"/>
          <w:highlight w:val="none"/>
        </w:rPr>
      </w:pPr>
    </w:p>
    <w:p w14:paraId="7DC8164D">
      <w:pPr>
        <w:rPr>
          <w:rFonts w:hint="eastAsia" w:ascii="宋体" w:hAnsi="宋体" w:eastAsia="宋体" w:cs="宋体"/>
          <w:color w:val="auto"/>
          <w:highlight w:val="none"/>
        </w:rPr>
      </w:pPr>
    </w:p>
    <w:p w14:paraId="447C585A">
      <w:pPr>
        <w:rPr>
          <w:rFonts w:hint="eastAsia" w:ascii="宋体" w:hAnsi="宋体" w:eastAsia="宋体" w:cs="宋体"/>
          <w:color w:val="auto"/>
          <w:highlight w:val="none"/>
        </w:rPr>
      </w:pPr>
    </w:p>
    <w:p w14:paraId="25F67EC7">
      <w:pPr>
        <w:rPr>
          <w:rFonts w:hint="eastAsia" w:ascii="宋体" w:hAnsi="宋体" w:eastAsia="宋体" w:cs="宋体"/>
          <w:color w:val="auto"/>
          <w:highlight w:val="none"/>
        </w:rPr>
      </w:pPr>
    </w:p>
    <w:p w14:paraId="35240179">
      <w:pPr>
        <w:rPr>
          <w:rFonts w:hint="eastAsia" w:ascii="宋体" w:hAnsi="宋体" w:eastAsia="宋体" w:cs="宋体"/>
          <w:color w:val="auto"/>
          <w:highlight w:val="none"/>
        </w:rPr>
      </w:pPr>
    </w:p>
    <w:p w14:paraId="31A033FF">
      <w:pPr>
        <w:rPr>
          <w:rFonts w:hint="eastAsia" w:ascii="宋体" w:hAnsi="宋体" w:eastAsia="宋体" w:cs="宋体"/>
          <w:color w:val="auto"/>
          <w:highlight w:val="none"/>
        </w:rPr>
      </w:pPr>
    </w:p>
    <w:p w14:paraId="3851FB4D">
      <w:pPr>
        <w:rPr>
          <w:rFonts w:hint="eastAsia" w:ascii="宋体" w:hAnsi="宋体" w:eastAsia="宋体" w:cs="宋体"/>
          <w:color w:val="auto"/>
          <w:highlight w:val="none"/>
        </w:rPr>
      </w:pPr>
    </w:p>
    <w:p w14:paraId="50BC5E9D">
      <w:pPr>
        <w:jc w:val="center"/>
        <w:rPr>
          <w:rFonts w:hint="eastAsia" w:ascii="宋体" w:hAnsi="宋体" w:eastAsia="宋体" w:cs="宋体"/>
          <w:b/>
          <w:bCs/>
          <w:color w:val="auto"/>
          <w:w w:val="90"/>
          <w:sz w:val="72"/>
          <w:szCs w:val="72"/>
          <w:highlight w:val="none"/>
        </w:rPr>
      </w:pPr>
      <w:r>
        <w:rPr>
          <w:rFonts w:hint="eastAsia" w:ascii="宋体" w:hAnsi="宋体" w:eastAsia="宋体" w:cs="宋体"/>
          <w:b/>
          <w:bCs/>
          <w:color w:val="auto"/>
          <w:w w:val="90"/>
          <w:sz w:val="72"/>
          <w:szCs w:val="72"/>
          <w:highlight w:val="none"/>
        </w:rPr>
        <w:t>竞争性磋商文件</w:t>
      </w:r>
    </w:p>
    <w:p w14:paraId="614502D0">
      <w:pPr>
        <w:rPr>
          <w:rFonts w:hint="eastAsia" w:ascii="宋体" w:hAnsi="宋体" w:eastAsia="宋体" w:cs="宋体"/>
          <w:color w:val="auto"/>
          <w:highlight w:val="none"/>
        </w:rPr>
      </w:pPr>
    </w:p>
    <w:p w14:paraId="56AED1D2">
      <w:pPr>
        <w:rPr>
          <w:rFonts w:hint="eastAsia" w:ascii="宋体" w:hAnsi="宋体" w:eastAsia="宋体" w:cs="宋体"/>
          <w:color w:val="auto"/>
          <w:highlight w:val="none"/>
        </w:rPr>
      </w:pPr>
    </w:p>
    <w:p w14:paraId="577A9C4A">
      <w:pPr>
        <w:rPr>
          <w:rFonts w:hint="eastAsia" w:ascii="宋体" w:hAnsi="宋体" w:eastAsia="宋体" w:cs="宋体"/>
          <w:color w:val="auto"/>
          <w:highlight w:val="none"/>
        </w:rPr>
      </w:pPr>
    </w:p>
    <w:p w14:paraId="48360B5E">
      <w:pPr>
        <w:rPr>
          <w:rFonts w:hint="eastAsia" w:ascii="宋体" w:hAnsi="宋体" w:eastAsia="宋体" w:cs="宋体"/>
          <w:color w:val="auto"/>
          <w:highlight w:val="none"/>
        </w:rPr>
      </w:pPr>
    </w:p>
    <w:p w14:paraId="6FE1B63A">
      <w:pPr>
        <w:rPr>
          <w:rFonts w:hint="eastAsia" w:ascii="宋体" w:hAnsi="宋体" w:eastAsia="宋体" w:cs="宋体"/>
          <w:color w:val="auto"/>
          <w:highlight w:val="none"/>
        </w:rPr>
      </w:pPr>
    </w:p>
    <w:p w14:paraId="2176E2D7">
      <w:pPr>
        <w:rPr>
          <w:rFonts w:hint="eastAsia" w:ascii="宋体" w:hAnsi="宋体" w:eastAsia="宋体" w:cs="宋体"/>
          <w:color w:val="auto"/>
          <w:highlight w:val="none"/>
        </w:rPr>
      </w:pPr>
    </w:p>
    <w:p w14:paraId="0F97CA63">
      <w:pPr>
        <w:rPr>
          <w:rFonts w:hint="eastAsia" w:ascii="宋体" w:hAnsi="宋体" w:eastAsia="宋体" w:cs="宋体"/>
          <w:color w:val="auto"/>
          <w:highlight w:val="none"/>
        </w:rPr>
      </w:pPr>
    </w:p>
    <w:p w14:paraId="59A6A635">
      <w:pPr>
        <w:rPr>
          <w:rFonts w:hint="eastAsia" w:ascii="宋体" w:hAnsi="宋体" w:eastAsia="宋体" w:cs="宋体"/>
          <w:color w:val="auto"/>
          <w:highlight w:val="none"/>
        </w:rPr>
      </w:pPr>
    </w:p>
    <w:p w14:paraId="3874D2E6">
      <w:pPr>
        <w:rPr>
          <w:rFonts w:hint="eastAsia" w:ascii="宋体" w:hAnsi="宋体" w:eastAsia="宋体" w:cs="宋体"/>
          <w:color w:val="auto"/>
          <w:highlight w:val="none"/>
        </w:rPr>
      </w:pPr>
    </w:p>
    <w:p w14:paraId="3968CD8C">
      <w:pPr>
        <w:rPr>
          <w:rFonts w:hint="eastAsia" w:ascii="宋体" w:hAnsi="宋体" w:eastAsia="宋体" w:cs="宋体"/>
          <w:color w:val="auto"/>
          <w:highlight w:val="none"/>
        </w:rPr>
      </w:pPr>
    </w:p>
    <w:p w14:paraId="28DF0F99">
      <w:pPr>
        <w:rPr>
          <w:rFonts w:hint="eastAsia" w:ascii="宋体" w:hAnsi="宋体" w:eastAsia="宋体" w:cs="宋体"/>
          <w:color w:val="auto"/>
          <w:highlight w:val="none"/>
        </w:rPr>
      </w:pPr>
    </w:p>
    <w:p w14:paraId="1E611281">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采购编号：</w:t>
      </w:r>
      <w:r>
        <w:rPr>
          <w:rFonts w:hint="eastAsia" w:ascii="宋体" w:hAnsi="宋体" w:eastAsia="宋体" w:cs="宋体"/>
          <w:b/>
          <w:bCs/>
          <w:color w:val="auto"/>
          <w:sz w:val="36"/>
          <w:szCs w:val="36"/>
          <w:highlight w:val="none"/>
          <w:lang w:eastAsia="zh-CN"/>
        </w:rPr>
        <w:t>YZCG-DLC2026</w:t>
      </w:r>
      <w:r>
        <w:rPr>
          <w:rFonts w:hint="eastAsia" w:ascii="宋体" w:hAnsi="宋体" w:eastAsia="宋体" w:cs="宋体"/>
          <w:b/>
          <w:bCs/>
          <w:color w:val="auto"/>
          <w:sz w:val="36"/>
          <w:szCs w:val="36"/>
          <w:highlight w:val="none"/>
          <w:lang w:val="en-US" w:eastAsia="zh-CN"/>
        </w:rPr>
        <w:t>050</w:t>
      </w:r>
    </w:p>
    <w:p w14:paraId="59776248">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采购单位：</w:t>
      </w:r>
      <w:r>
        <w:rPr>
          <w:rFonts w:hint="eastAsia" w:ascii="宋体" w:hAnsi="宋体" w:eastAsia="宋体" w:cs="宋体"/>
          <w:b/>
          <w:bCs/>
          <w:color w:val="auto"/>
          <w:sz w:val="36"/>
          <w:szCs w:val="36"/>
          <w:highlight w:val="none"/>
          <w:lang w:eastAsia="zh-CN"/>
        </w:rPr>
        <w:t>禹州市行政审批和政务信息管理局</w:t>
      </w:r>
    </w:p>
    <w:p w14:paraId="79DFECD2">
      <w:pPr>
        <w:keepNext w:val="0"/>
        <w:keepLines w:val="0"/>
        <w:pageBreakBefore w:val="0"/>
        <w:widowControl w:val="0"/>
        <w:kinsoku/>
        <w:wordWrap/>
        <w:overflowPunct/>
        <w:topLinePunct w:val="0"/>
        <w:bidi w:val="0"/>
        <w:snapToGrid/>
        <w:spacing w:line="900" w:lineRule="exact"/>
        <w:ind w:firstLine="723" w:firstLineChars="200"/>
        <w:jc w:val="both"/>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eastAsia="zh-CN"/>
        </w:rPr>
        <w:t>师梦勘测设计集团有限公司</w:t>
      </w:r>
    </w:p>
    <w:p w14:paraId="16B20706">
      <w:pPr>
        <w:keepNext w:val="0"/>
        <w:keepLines w:val="0"/>
        <w:pageBreakBefore w:val="0"/>
        <w:widowControl w:val="0"/>
        <w:kinsoku/>
        <w:wordWrap/>
        <w:overflowPunct/>
        <w:topLinePunct w:val="0"/>
        <w:bidi w:val="0"/>
        <w:snapToGrid/>
        <w:spacing w:line="900" w:lineRule="exact"/>
        <w:ind w:firstLine="3408" w:firstLineChars="943"/>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七</w:t>
      </w:r>
      <w:r>
        <w:rPr>
          <w:rFonts w:hint="eastAsia" w:ascii="宋体" w:hAnsi="宋体" w:eastAsia="宋体" w:cs="宋体"/>
          <w:b/>
          <w:bCs/>
          <w:color w:val="auto"/>
          <w:sz w:val="36"/>
          <w:szCs w:val="36"/>
          <w:highlight w:val="none"/>
        </w:rPr>
        <w:t>月</w:t>
      </w:r>
    </w:p>
    <w:p w14:paraId="534E946F">
      <w:pPr>
        <w:keepNext w:val="0"/>
        <w:keepLines w:val="0"/>
        <w:pageBreakBefore w:val="0"/>
        <w:widowControl w:val="0"/>
        <w:kinsoku/>
        <w:wordWrap/>
        <w:overflowPunct/>
        <w:topLinePunct w:val="0"/>
        <w:autoSpaceDE w:val="0"/>
        <w:autoSpaceDN w:val="0"/>
        <w:bidi w:val="0"/>
        <w:adjustRightInd w:val="0"/>
        <w:snapToGrid/>
        <w:spacing w:line="900" w:lineRule="exact"/>
        <w:jc w:val="center"/>
        <w:textAlignment w:val="auto"/>
        <w:rPr>
          <w:rFonts w:hint="eastAsia" w:ascii="宋体" w:hAnsi="宋体" w:eastAsia="宋体" w:cs="宋体"/>
          <w:b/>
          <w:color w:val="auto"/>
          <w:kern w:val="0"/>
          <w:sz w:val="44"/>
          <w:szCs w:val="44"/>
          <w:highlight w:val="none"/>
        </w:rPr>
        <w:sectPr>
          <w:pgSz w:w="11906" w:h="16838"/>
          <w:pgMar w:top="1440" w:right="1531" w:bottom="1440" w:left="1531" w:header="851" w:footer="992" w:gutter="0"/>
          <w:pgNumType w:fmt="decimal" w:start="1"/>
          <w:cols w:space="425" w:num="1"/>
          <w:docGrid w:type="lines" w:linePitch="312" w:charSpace="0"/>
        </w:sectPr>
      </w:pPr>
    </w:p>
    <w:p w14:paraId="6F45ED73">
      <w:pPr>
        <w:autoSpaceDE w:val="0"/>
        <w:autoSpaceDN w:val="0"/>
        <w:adjustRightInd w:val="0"/>
        <w:spacing w:line="7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目    录</w:t>
      </w:r>
    </w:p>
    <w:p w14:paraId="7B4DEE9C">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p>
    <w:p w14:paraId="6B4ECD2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磋商邀请</w:t>
      </w:r>
    </w:p>
    <w:p w14:paraId="244B18D4">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644593CE">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color w:val="auto"/>
          <w:kern w:val="0"/>
          <w:sz w:val="32"/>
          <w:szCs w:val="32"/>
          <w:highlight w:val="none"/>
        </w:rPr>
        <w:t>供应商须知前附表</w:t>
      </w:r>
    </w:p>
    <w:p w14:paraId="66AD2311">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第四章 </w:t>
      </w:r>
      <w:r>
        <w:rPr>
          <w:rFonts w:hint="eastAsia" w:ascii="宋体" w:hAnsi="宋体" w:eastAsia="宋体" w:cs="宋体"/>
          <w:b/>
          <w:color w:val="auto"/>
          <w:kern w:val="0"/>
          <w:sz w:val="32"/>
          <w:szCs w:val="32"/>
          <w:highlight w:val="none"/>
        </w:rPr>
        <w:t>供应商须知</w:t>
      </w:r>
    </w:p>
    <w:p w14:paraId="7433471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7F12F102">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二、磋商文件说明</w:t>
      </w:r>
    </w:p>
    <w:p w14:paraId="2E119D29">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bookmarkStart w:id="11" w:name="_GoBack"/>
      <w:bookmarkEnd w:id="11"/>
    </w:p>
    <w:p w14:paraId="29E3929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513469F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五、磋商和评审</w:t>
      </w:r>
    </w:p>
    <w:p w14:paraId="64F8AA9D">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5DF8947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color w:val="auto"/>
          <w:kern w:val="0"/>
          <w:sz w:val="32"/>
          <w:szCs w:val="32"/>
          <w:highlight w:val="none"/>
        </w:rPr>
        <w:t>政府采购政策功能</w:t>
      </w:r>
    </w:p>
    <w:p w14:paraId="0590B42E">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color w:val="auto"/>
          <w:kern w:val="0"/>
          <w:sz w:val="32"/>
          <w:szCs w:val="32"/>
          <w:highlight w:val="none"/>
        </w:rPr>
        <w:t>对响应文件审查与评审</w:t>
      </w:r>
    </w:p>
    <w:p w14:paraId="0C27CF99">
      <w:pPr>
        <w:autoSpaceDE w:val="0"/>
        <w:autoSpaceDN w:val="0"/>
        <w:adjustRightInd w:val="0"/>
        <w:spacing w:line="700" w:lineRule="exact"/>
        <w:ind w:firstLine="551"/>
        <w:outlineLvl w:val="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第七章 </w:t>
      </w:r>
      <w:r>
        <w:rPr>
          <w:rFonts w:hint="eastAsia" w:ascii="宋体" w:hAnsi="宋体" w:eastAsia="宋体" w:cs="宋体"/>
          <w:b/>
          <w:color w:val="auto"/>
          <w:kern w:val="0"/>
          <w:sz w:val="32"/>
          <w:szCs w:val="32"/>
          <w:highlight w:val="none"/>
        </w:rPr>
        <w:t>拟签订的合同文本</w:t>
      </w:r>
    </w:p>
    <w:p w14:paraId="28164D4B">
      <w:pPr>
        <w:autoSpaceDE w:val="0"/>
        <w:autoSpaceDN w:val="0"/>
        <w:adjustRightInd w:val="0"/>
        <w:spacing w:line="700" w:lineRule="exact"/>
        <w:ind w:firstLine="55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第八章 </w:t>
      </w:r>
      <w:r>
        <w:rPr>
          <w:rFonts w:hint="eastAsia" w:ascii="宋体" w:hAnsi="宋体" w:eastAsia="宋体" w:cs="宋体"/>
          <w:b/>
          <w:color w:val="auto"/>
          <w:kern w:val="0"/>
          <w:sz w:val="32"/>
          <w:szCs w:val="32"/>
          <w:highlight w:val="none"/>
        </w:rPr>
        <w:t>响应文件有关格式</w:t>
      </w:r>
    </w:p>
    <w:p w14:paraId="1ED4BA2F">
      <w:pPr>
        <w:jc w:val="both"/>
        <w:rPr>
          <w:rFonts w:hint="eastAsia" w:ascii="宋体" w:hAnsi="宋体" w:eastAsia="宋体" w:cs="宋体"/>
          <w:b/>
          <w:color w:val="auto"/>
          <w:kern w:val="0"/>
          <w:sz w:val="32"/>
          <w:szCs w:val="32"/>
          <w:highlight w:val="none"/>
        </w:rPr>
      </w:pPr>
    </w:p>
    <w:p w14:paraId="500D4DB7">
      <w:pPr>
        <w:jc w:val="both"/>
        <w:rPr>
          <w:rFonts w:hint="eastAsia" w:ascii="宋体" w:hAnsi="宋体" w:eastAsia="宋体" w:cs="宋体"/>
          <w:b/>
          <w:color w:val="auto"/>
          <w:kern w:val="0"/>
          <w:sz w:val="32"/>
          <w:szCs w:val="32"/>
          <w:highlight w:val="none"/>
        </w:rPr>
      </w:pPr>
    </w:p>
    <w:p w14:paraId="64C93F8C">
      <w:pPr>
        <w:jc w:val="both"/>
        <w:rPr>
          <w:rFonts w:hint="eastAsia" w:ascii="宋体" w:hAnsi="宋体" w:eastAsia="宋体" w:cs="宋体"/>
          <w:b/>
          <w:color w:val="auto"/>
          <w:kern w:val="0"/>
          <w:sz w:val="32"/>
          <w:szCs w:val="32"/>
          <w:highlight w:val="none"/>
        </w:rPr>
      </w:pPr>
    </w:p>
    <w:p w14:paraId="2EFA7C7B">
      <w:pPr>
        <w:jc w:val="both"/>
        <w:rPr>
          <w:rFonts w:hint="eastAsia" w:ascii="宋体" w:hAnsi="宋体" w:eastAsia="宋体" w:cs="宋体"/>
          <w:b/>
          <w:color w:val="auto"/>
          <w:kern w:val="0"/>
          <w:sz w:val="32"/>
          <w:szCs w:val="32"/>
          <w:highlight w:val="none"/>
        </w:rPr>
      </w:pPr>
    </w:p>
    <w:p w14:paraId="766586A4">
      <w:pPr>
        <w:numPr>
          <w:ilvl w:val="0"/>
          <w:numId w:val="3"/>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磋商邀请</w:t>
      </w:r>
    </w:p>
    <w:p w14:paraId="0540005C">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26BED912">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禹州市行政审批和政务信息管理局市级政务服务大厅软硬件提档升级改造项目的</w:t>
      </w:r>
      <w:r>
        <w:rPr>
          <w:rFonts w:hint="eastAsia" w:ascii="宋体" w:hAnsi="宋体" w:eastAsia="宋体" w:cs="宋体"/>
          <w:color w:val="auto"/>
          <w:sz w:val="21"/>
          <w:szCs w:val="21"/>
          <w:highlight w:val="none"/>
        </w:rPr>
        <w:t>潜在投标人应在投标截止时间前登录《全国公共资源交易平台（河南省·许昌市）》</w:t>
      </w:r>
      <w:r>
        <w:rPr>
          <w:rFonts w:hint="eastAsia" w:ascii="宋体" w:hAnsi="宋体" w:eastAsia="宋体" w:cs="宋体"/>
          <w:color w:val="auto"/>
          <w:sz w:val="21"/>
          <w:szCs w:val="21"/>
          <w:highlight w:val="none"/>
          <w:u w:val="none"/>
          <w:lang w:eastAsia="zh-CN"/>
        </w:rPr>
        <w:t>（</w:t>
      </w:r>
      <w:r>
        <w:rPr>
          <w:rStyle w:val="25"/>
          <w:rFonts w:hint="eastAsia" w:ascii="宋体" w:hAnsi="宋体" w:eastAsia="宋体" w:cs="宋体"/>
          <w:color w:val="auto"/>
          <w:sz w:val="21"/>
          <w:szCs w:val="21"/>
          <w:highlight w:val="none"/>
          <w:u w:val="none"/>
        </w:rPr>
        <w:t>https://ggzy.xuchang.gov.cn</w:t>
      </w:r>
      <w:r>
        <w:rPr>
          <w:rFonts w:hint="eastAsia" w:ascii="宋体" w:hAnsi="宋体" w:eastAsia="宋体" w:cs="宋体"/>
          <w:color w:val="auto"/>
          <w:sz w:val="21"/>
          <w:szCs w:val="21"/>
          <w:highlight w:val="none"/>
        </w:rPr>
        <w:t>）自行免费下载获取招标文件，并于202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08时3</w:t>
      </w:r>
      <w:r>
        <w:rPr>
          <w:rFonts w:hint="eastAsia" w:ascii="宋体" w:hAnsi="宋体" w:eastAsia="宋体" w:cs="宋体"/>
          <w:color w:val="auto"/>
          <w:sz w:val="21"/>
          <w:szCs w:val="21"/>
          <w:highlight w:val="none"/>
        </w:rPr>
        <w:t>0分（北京时间）前递交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01146CB9">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5A645B9E">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YZCG-DLC2026</w:t>
      </w:r>
      <w:r>
        <w:rPr>
          <w:rFonts w:hint="eastAsia" w:ascii="宋体" w:hAnsi="宋体" w:eastAsia="宋体" w:cs="宋体"/>
          <w:color w:val="auto"/>
          <w:sz w:val="21"/>
          <w:szCs w:val="21"/>
          <w:highlight w:val="none"/>
          <w:lang w:val="en-US" w:eastAsia="zh-CN"/>
        </w:rPr>
        <w:t xml:space="preserve">050 </w:t>
      </w:r>
    </w:p>
    <w:p w14:paraId="1915C07D">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2.项目名称：</w:t>
      </w:r>
      <w:r>
        <w:rPr>
          <w:rFonts w:hint="eastAsia" w:ascii="宋体" w:hAnsi="宋体" w:eastAsia="宋体" w:cs="宋体"/>
          <w:color w:val="auto"/>
          <w:kern w:val="2"/>
          <w:sz w:val="21"/>
          <w:szCs w:val="21"/>
          <w:highlight w:val="none"/>
          <w:lang w:val="en-US" w:eastAsia="zh-CN" w:bidi="ar-SA"/>
        </w:rPr>
        <w:t>禹州市行政审批和政务信息管理局市级政务服务大厅软硬件提档升级改造项目</w:t>
      </w:r>
    </w:p>
    <w:p w14:paraId="091D2AA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2E552566">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4.预算金额：1875969.14元</w:t>
      </w:r>
    </w:p>
    <w:p w14:paraId="3D7A1567">
      <w:pPr>
        <w:keepNext w:val="0"/>
        <w:keepLines w:val="0"/>
        <w:pageBreakBefore w:val="0"/>
        <w:widowControl w:val="0"/>
        <w:kinsoku/>
        <w:overflowPunct/>
        <w:topLinePunct w:val="0"/>
        <w:autoSpaceDE/>
        <w:autoSpaceDN/>
        <w:bidi w:val="0"/>
        <w:adjustRightInd/>
        <w:snapToGrid/>
        <w:spacing w:line="52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i w:val="0"/>
          <w:iCs w:val="0"/>
          <w:color w:val="auto"/>
          <w:sz w:val="21"/>
          <w:szCs w:val="21"/>
          <w:highlight w:val="none"/>
          <w:u w:val="none"/>
          <w:lang w:val="en-US" w:eastAsia="zh-CN"/>
        </w:rPr>
        <w:t>1875969.14</w:t>
      </w:r>
      <w:r>
        <w:rPr>
          <w:rFonts w:hint="eastAsia" w:ascii="宋体" w:hAnsi="宋体" w:eastAsia="宋体" w:cs="宋体"/>
          <w:color w:val="auto"/>
          <w:sz w:val="21"/>
          <w:szCs w:val="21"/>
          <w:highlight w:val="none"/>
        </w:rPr>
        <w:t xml:space="preserve">元 </w:t>
      </w:r>
    </w:p>
    <w:tbl>
      <w:tblPr>
        <w:tblStyle w:val="17"/>
        <w:tblW w:w="5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568"/>
        <w:gridCol w:w="1711"/>
        <w:gridCol w:w="1516"/>
        <w:gridCol w:w="1516"/>
        <w:gridCol w:w="1107"/>
        <w:gridCol w:w="1282"/>
      </w:tblGrid>
      <w:tr w14:paraId="4DB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8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包号</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包名称</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包预算（元）</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包最高限价（元）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是否专门面向中小企业</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采购预留金额（元）</w:t>
            </w:r>
          </w:p>
        </w:tc>
      </w:tr>
      <w:tr w14:paraId="2B3A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D1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YZCG-DLC2026050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禹州市行政审批和政务信息管理局市级政务服务大厅软硬件提档升级改造项目</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28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1875969.14</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1875969.14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3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0BA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1875969.14</w:t>
            </w:r>
          </w:p>
        </w:tc>
      </w:tr>
    </w:tbl>
    <w:p w14:paraId="22207662">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采购需求（包括但不限于标的的名称、数量、简要技术需求或服务要求等）：</w:t>
      </w:r>
    </w:p>
    <w:p w14:paraId="150DEE94">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禹州市行政审批和政务信息管理局市级政务服务大厅软硬件提档升级改造项目。</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p>
    <w:p w14:paraId="78B45BF0">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bookmarkStart w:id="0" w:name="OLE_LINK1"/>
      <w:r>
        <w:rPr>
          <w:rFonts w:hint="eastAsia" w:ascii="宋体" w:hAnsi="宋体" w:eastAsia="宋体" w:cs="宋体"/>
          <w:color w:val="auto"/>
          <w:sz w:val="21"/>
          <w:szCs w:val="21"/>
          <w:highlight w:val="none"/>
          <w:lang w:val="zh-CN"/>
        </w:rPr>
        <w:t>合同签订后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val="zh-CN"/>
        </w:rPr>
        <w:t>日历天</w:t>
      </w:r>
      <w:bookmarkEnd w:id="0"/>
    </w:p>
    <w:p w14:paraId="2F574919">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本项目是否接受联合体投标：否</w:t>
      </w:r>
    </w:p>
    <w:p w14:paraId="38F4F9C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73BCA96A">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9.是否专门面向中小企业：是</w:t>
      </w:r>
    </w:p>
    <w:p w14:paraId="51FA0841">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6C72B2D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6027457">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01BDAD54">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w:t>
      </w:r>
    </w:p>
    <w:p w14:paraId="16F3CFB0">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78D1C2F6">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3.1供应商须具备建设行政主管部门核发的建筑工程施工总承包贰级及以上资质</w:t>
      </w:r>
      <w:r>
        <w:rPr>
          <w:rFonts w:ascii="Segoe UI" w:hAnsi="Segoe UI" w:eastAsia="Segoe UI" w:cs="Segoe UI"/>
          <w:i w:val="0"/>
          <w:iCs w:val="0"/>
          <w:caps w:val="0"/>
          <w:color w:val="auto"/>
          <w:spacing w:val="0"/>
          <w:sz w:val="21"/>
          <w:szCs w:val="21"/>
          <w:shd w:val="clear" w:fill="FFFFFF"/>
        </w:rPr>
        <w:t>（未换发新资质证书的按照原相关规定执行，即未换发新资质证书的须具备</w:t>
      </w:r>
      <w:r>
        <w:rPr>
          <w:rFonts w:hint="eastAsia" w:ascii="宋体" w:hAnsi="宋体" w:eastAsia="宋体" w:cs="宋体"/>
          <w:color w:val="auto"/>
          <w:sz w:val="21"/>
          <w:szCs w:val="21"/>
          <w:highlight w:val="none"/>
          <w:lang w:val="en-US" w:eastAsia="zh-CN"/>
        </w:rPr>
        <w:t>建筑工程施工总承包叁级及以上资质</w:t>
      </w:r>
      <w:r>
        <w:rPr>
          <w:rFonts w:ascii="Segoe UI" w:hAnsi="Segoe UI" w:eastAsia="Segoe UI" w:cs="Segoe UI"/>
          <w:i w:val="0"/>
          <w:iCs w:val="0"/>
          <w:caps w:val="0"/>
          <w:color w:val="auto"/>
          <w:spacing w:val="0"/>
          <w:sz w:val="21"/>
          <w:szCs w:val="21"/>
          <w:shd w:val="clear" w:fill="FFFFFF"/>
        </w:rPr>
        <w:t>，且资质证书在有效期之内）</w:t>
      </w:r>
      <w:r>
        <w:rPr>
          <w:rFonts w:hint="eastAsia" w:ascii="宋体" w:hAnsi="宋体" w:eastAsia="宋体" w:cs="宋体"/>
          <w:color w:val="auto"/>
          <w:sz w:val="21"/>
          <w:szCs w:val="21"/>
          <w:highlight w:val="none"/>
          <w:lang w:val="en-US" w:eastAsia="zh-CN"/>
        </w:rPr>
        <w:t>或建筑装修装饰工程专业承包贰级及以上资质，具有有效的安全生产许可证，且在人员、设备、资金等方面具备相应的施工能力；</w:t>
      </w:r>
    </w:p>
    <w:p w14:paraId="7B683AF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3.2拟派项目负责人具有建筑工程专业二级及以上注册建造师执业资格和有效的安全生产考核合格证，且未担任其他在施建设工程的项目负责人。</w:t>
      </w:r>
    </w:p>
    <w:p w14:paraId="416480B7">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6A24230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日，每天上午00:00至12:00，下午12:01至23:59（北京时间，法定节假日除外）</w:t>
      </w:r>
    </w:p>
    <w:p w14:paraId="50EA9D0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https://ggzy.xuchang.gov.cn）</w:t>
      </w:r>
    </w:p>
    <w:p w14:paraId="554F470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723B9D7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5D96C90D">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21FCEBBF">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0分（北京时间）</w:t>
      </w:r>
    </w:p>
    <w:p w14:paraId="4CE7E3EF">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3BAB3E5">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78470F8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0分（北京时间）</w:t>
      </w:r>
    </w:p>
    <w:p w14:paraId="62D945BA">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2.地点：本项目采用“不见面”网上开标方式，请投标供应商使用CA数字证书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97047F8">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7985C43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w:t>
      </w:r>
      <w:r>
        <w:rPr>
          <w:rFonts w:hint="eastAsia" w:ascii="宋体" w:hAnsi="宋体" w:eastAsia="宋体" w:cs="宋体"/>
          <w:color w:val="auto"/>
          <w:sz w:val="21"/>
          <w:szCs w:val="21"/>
          <w:highlight w:val="none"/>
          <w:lang w:eastAsia="zh-CN"/>
        </w:rPr>
        <w:t>《河南省政府采购网》</w:t>
      </w:r>
      <w:r>
        <w:rPr>
          <w:rFonts w:hint="eastAsia" w:ascii="宋体" w:hAnsi="宋体" w:eastAsia="宋体" w:cs="宋体"/>
          <w:color w:val="auto"/>
          <w:sz w:val="21"/>
          <w:szCs w:val="21"/>
          <w:highlight w:val="none"/>
        </w:rPr>
        <w:t>《许昌市政府采购网》《全国公共资源交易平台（河南省·许昌市）》上发布。招标公告期限为三个工作日。</w:t>
      </w:r>
    </w:p>
    <w:p w14:paraId="0932D1BA">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p>
    <w:p w14:paraId="4C3FA062">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1.监督单位：禹州市政府采购监督管理办公室</w:t>
      </w:r>
    </w:p>
    <w:p w14:paraId="79D5DA1B">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2.电话：0374-8112523</w:t>
      </w:r>
    </w:p>
    <w:p w14:paraId="337F85AE">
      <w:pPr>
        <w:keepNext w:val="0"/>
        <w:keepLines w:val="0"/>
        <w:pageBreakBefore w:val="0"/>
        <w:widowControl w:val="0"/>
        <w:shd w:val="clear"/>
        <w:kinsoku/>
        <w:wordWrap w:val="0"/>
        <w:overflowPunct/>
        <w:topLinePunct w:val="0"/>
        <w:autoSpaceDE/>
        <w:autoSpaceDN/>
        <w:bidi w:val="0"/>
        <w:adjustRightInd/>
        <w:snapToGrid/>
        <w:spacing w:line="5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3.项目编号以本</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文件中的采购编号为准，采购编号：</w:t>
      </w:r>
      <w:r>
        <w:rPr>
          <w:rFonts w:hint="eastAsia" w:ascii="宋体" w:hAnsi="宋体" w:eastAsia="宋体" w:cs="宋体"/>
          <w:color w:val="auto"/>
          <w:sz w:val="21"/>
          <w:szCs w:val="21"/>
          <w:highlight w:val="none"/>
          <w:lang w:eastAsia="zh-CN"/>
        </w:rPr>
        <w:t>YZCG-DLC2026</w:t>
      </w:r>
      <w:r>
        <w:rPr>
          <w:rFonts w:hint="eastAsia" w:ascii="宋体" w:hAnsi="宋体" w:eastAsia="宋体" w:cs="宋体"/>
          <w:color w:val="auto"/>
          <w:sz w:val="21"/>
          <w:szCs w:val="21"/>
          <w:highlight w:val="none"/>
          <w:lang w:val="en-US" w:eastAsia="zh-CN"/>
        </w:rPr>
        <w:t xml:space="preserve">050 </w:t>
      </w:r>
    </w:p>
    <w:p w14:paraId="064B7255">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1926A8C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bookmarkStart w:id="1" w:name="OLE_LINK7"/>
      <w:r>
        <w:rPr>
          <w:rFonts w:hint="eastAsia" w:ascii="宋体" w:hAnsi="宋体" w:eastAsia="宋体" w:cs="宋体"/>
          <w:color w:val="auto"/>
          <w:sz w:val="21"/>
          <w:szCs w:val="21"/>
          <w:highlight w:val="none"/>
          <w:lang w:val="en-US" w:eastAsia="zh-CN"/>
        </w:rPr>
        <w:t>1.采购人信息</w:t>
      </w:r>
    </w:p>
    <w:p w14:paraId="6A202FB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eastAsia="zh-CN"/>
        </w:rPr>
        <w:t>禹州市行政审批和政务信息管理局</w:t>
      </w:r>
    </w:p>
    <w:p w14:paraId="53DABCB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地址：禹州市禹王大道99号政务服务大楼</w:t>
      </w:r>
    </w:p>
    <w:p w14:paraId="6613784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Theme="minorEastAsia" w:hAnsiTheme="minorEastAsia"/>
          <w:color w:val="auto"/>
          <w:szCs w:val="21"/>
        </w:rPr>
        <w:t xml:space="preserve">连女士 </w:t>
      </w:r>
    </w:p>
    <w:p w14:paraId="4771CA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联系方式：</w:t>
      </w:r>
      <w:bookmarkEnd w:id="1"/>
      <w:r>
        <w:rPr>
          <w:rFonts w:hint="eastAsia" w:asciiTheme="minorEastAsia" w:hAnsiTheme="minorEastAsia"/>
          <w:color w:val="auto"/>
          <w:szCs w:val="21"/>
        </w:rPr>
        <w:t>0374-2076799</w:t>
      </w:r>
    </w:p>
    <w:p w14:paraId="7B73B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55C303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名称：师梦勘测设计集团有限公司</w:t>
      </w:r>
    </w:p>
    <w:p w14:paraId="00AB92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地址：郑州市高新技术开发区冬青街46号B区007号</w:t>
      </w:r>
    </w:p>
    <w:p w14:paraId="50DC25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联系人：王女士</w:t>
      </w:r>
    </w:p>
    <w:p w14:paraId="6410C9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联系方式：13733156531</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712DA4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联系人：王女士</w:t>
      </w:r>
    </w:p>
    <w:p w14:paraId="4F4B39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联系方式：13733156531</w:t>
      </w:r>
    </w:p>
    <w:p w14:paraId="1F1E7336">
      <w:pPr>
        <w:pStyle w:val="1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4DBA378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1.</w:t>
      </w:r>
      <w:r>
        <w:rPr>
          <w:rFonts w:hint="eastAsia" w:ascii="宋体" w:hAnsi="宋体" w:eastAsia="宋体" w:cs="宋体"/>
          <w:b w:val="0"/>
          <w:bCs w:val="0"/>
          <w:i w:val="0"/>
          <w:iCs w:val="0"/>
          <w:color w:val="auto"/>
          <w:spacing w:val="0"/>
          <w:w w:val="100"/>
          <w:sz w:val="21"/>
          <w:szCs w:val="21"/>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服务机构办理数字认证证书并进行电子签章。</w:t>
      </w:r>
    </w:p>
    <w:p w14:paraId="19D9FF2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2.磋商</w:t>
      </w:r>
      <w:r>
        <w:rPr>
          <w:rFonts w:hint="eastAsia" w:ascii="宋体" w:hAnsi="宋体" w:eastAsia="宋体" w:cs="宋体"/>
          <w:b w:val="0"/>
          <w:bCs w:val="0"/>
          <w:i w:val="0"/>
          <w:iCs w:val="0"/>
          <w:color w:val="auto"/>
          <w:spacing w:val="0"/>
          <w:w w:val="100"/>
          <w:sz w:val="21"/>
          <w:szCs w:val="21"/>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（证书须在有效期内并可正常使用）。</w:t>
      </w:r>
    </w:p>
    <w:p w14:paraId="0653A7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w w:val="100"/>
          <w:sz w:val="21"/>
          <w:szCs w:val="21"/>
          <w:highlight w:val="none"/>
          <w:vertAlign w:val="baseline"/>
        </w:rPr>
        <w:t>3.电子响应文件的制作</w:t>
      </w:r>
    </w:p>
    <w:p w14:paraId="0159244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3.1</w:t>
      </w:r>
      <w:r>
        <w:rPr>
          <w:rFonts w:hint="eastAsia" w:ascii="宋体" w:hAnsi="宋体" w:eastAsia="宋体" w:cs="宋体"/>
          <w:b w:val="0"/>
          <w:bCs w:val="0"/>
          <w:i w:val="0"/>
          <w:iCs w:val="0"/>
          <w:color w:val="auto"/>
          <w:spacing w:val="0"/>
          <w:w w:val="100"/>
          <w:sz w:val="21"/>
          <w:szCs w:val="21"/>
          <w:highlight w:val="none"/>
          <w:vertAlign w:val="baseline"/>
        </w:rPr>
        <w:t>供应商登录“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下载</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1"/>
          <w:szCs w:val="21"/>
          <w:highlight w:val="none"/>
          <w:vertAlign w:val="baseline"/>
        </w:rPr>
        <w:t>。</w:t>
      </w:r>
    </w:p>
    <w:p w14:paraId="62152F4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3.2</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其中后缀格式为“.XCSTF”的加密电子响应文件用于上传至交易系统中投标。</w:t>
      </w:r>
    </w:p>
    <w:p w14:paraId="4BA2B72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i w:val="0"/>
          <w:iCs w:val="0"/>
          <w:color w:val="auto"/>
          <w:spacing w:val="0"/>
          <w:w w:val="100"/>
          <w:sz w:val="21"/>
          <w:szCs w:val="21"/>
          <w:highlight w:val="none"/>
          <w:vertAlign w:val="baseline"/>
        </w:rPr>
        <w:t>加密电子响应文件的提交</w:t>
      </w:r>
    </w:p>
    <w:p w14:paraId="6FBE39A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供应商对同一项目多个标段进行响应的，加密电子响应文件应按标段分别提交。</w:t>
      </w:r>
    </w:p>
    <w:p w14:paraId="34BA854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val="0"/>
          <w:bCs w:val="0"/>
          <w:i w:val="0"/>
          <w:iCs w:val="0"/>
          <w:color w:val="auto"/>
          <w:spacing w:val="0"/>
          <w:w w:val="100"/>
          <w:sz w:val="21"/>
          <w:szCs w:val="21"/>
          <w:highlight w:val="none"/>
          <w:vertAlign w:val="baseline"/>
        </w:rPr>
        <w:t>加密电子响应文件成功上传至“</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后，应在上传页面进行模拟解密，以验证是否能够成功解密。</w:t>
      </w:r>
    </w:p>
    <w:p w14:paraId="35743C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i w:val="0"/>
          <w:iCs w:val="0"/>
          <w:color w:val="auto"/>
          <w:spacing w:val="0"/>
          <w:w w:val="100"/>
          <w:sz w:val="21"/>
          <w:szCs w:val="21"/>
          <w:highlight w:val="none"/>
          <w:vertAlign w:val="baseline"/>
        </w:rPr>
        <w:t>远程不见面开标（电子响应文件的解密）</w:t>
      </w:r>
    </w:p>
    <w:p w14:paraId="64447FA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b w:val="0"/>
          <w:bCs w:val="0"/>
          <w:i w:val="0"/>
          <w:iCs w:val="0"/>
          <w:color w:val="auto"/>
          <w:spacing w:val="0"/>
          <w:w w:val="100"/>
          <w:sz w:val="21"/>
          <w:szCs w:val="21"/>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1"/>
          <w:szCs w:val="21"/>
          <w:highlight w:val="none"/>
          <w:vertAlign w:val="baseline"/>
        </w:rPr>
        <w:t>“服务指南”栏目下《新交易平台使用手册》中的相关内容。</w:t>
      </w:r>
    </w:p>
    <w:p w14:paraId="2D5A215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b w:val="0"/>
          <w:bCs w:val="0"/>
          <w:i w:val="0"/>
          <w:iCs w:val="0"/>
          <w:color w:val="auto"/>
          <w:spacing w:val="0"/>
          <w:w w:val="100"/>
          <w:sz w:val="21"/>
          <w:szCs w:val="21"/>
          <w:highlight w:val="none"/>
          <w:vertAlign w:val="baseline"/>
        </w:rPr>
        <w:t>供应商应按新交易平台使用手册提前设置好浏览器，并于开标时间前登录本项目网上开标大厅，按照规定的开标时间准时参加网上开标。</w:t>
      </w:r>
    </w:p>
    <w:p w14:paraId="417426E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p>
    <w:p w14:paraId="64DE89A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65E9E36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5.5</w:t>
      </w:r>
      <w:r>
        <w:rPr>
          <w:rFonts w:hint="eastAsia" w:ascii="宋体" w:hAnsi="宋体" w:eastAsia="宋体" w:cs="宋体"/>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419CB4D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5.6</w:t>
      </w:r>
      <w:r>
        <w:rPr>
          <w:rFonts w:hint="eastAsia" w:ascii="宋体" w:hAnsi="宋体" w:eastAsia="宋体" w:cs="宋体"/>
          <w:b w:val="0"/>
          <w:bCs w:val="0"/>
          <w:i w:val="0"/>
          <w:iCs w:val="0"/>
          <w:color w:val="auto"/>
          <w:spacing w:val="0"/>
          <w:w w:val="100"/>
          <w:sz w:val="21"/>
          <w:szCs w:val="21"/>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1"/>
          <w:szCs w:val="21"/>
          <w:highlight w:val="none"/>
          <w:vertAlign w:val="baseline"/>
          <w:lang w:eastAsia="zh-CN"/>
        </w:rPr>
        <w:t>提出</w:t>
      </w:r>
      <w:r>
        <w:rPr>
          <w:rFonts w:hint="eastAsia" w:ascii="宋体" w:hAnsi="宋体" w:eastAsia="宋体" w:cs="宋体"/>
          <w:b w:val="0"/>
          <w:bCs w:val="0"/>
          <w:i w:val="0"/>
          <w:iCs w:val="0"/>
          <w:color w:val="auto"/>
          <w:spacing w:val="0"/>
          <w:w w:val="100"/>
          <w:sz w:val="21"/>
          <w:szCs w:val="21"/>
          <w:highlight w:val="none"/>
          <w:vertAlign w:val="baseline"/>
        </w:rPr>
        <w:t>异议。</w:t>
      </w:r>
    </w:p>
    <w:p w14:paraId="18456BD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bCs/>
          <w:i w:val="0"/>
          <w:iCs w:val="0"/>
          <w:color w:val="auto"/>
          <w:spacing w:val="0"/>
          <w:w w:val="100"/>
          <w:sz w:val="21"/>
          <w:szCs w:val="21"/>
          <w:highlight w:val="none"/>
          <w:vertAlign w:val="baseline"/>
        </w:rPr>
        <w:t>评标依据</w:t>
      </w:r>
    </w:p>
    <w:p w14:paraId="1105BDE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b w:val="0"/>
          <w:bCs w:val="0"/>
          <w:i w:val="0"/>
          <w:iCs w:val="0"/>
          <w:color w:val="auto"/>
          <w:spacing w:val="0"/>
          <w:w w:val="100"/>
          <w:sz w:val="21"/>
          <w:szCs w:val="21"/>
          <w:highlight w:val="none"/>
          <w:vertAlign w:val="baseline"/>
        </w:rPr>
        <w:t>全流程电子化交易（不见面开标）项目，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小组以成功上传、解密的电子响应文件为评审依据。</w:t>
      </w:r>
    </w:p>
    <w:p w14:paraId="51CA537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b w:val="0"/>
          <w:bCs w:val="0"/>
          <w:i w:val="0"/>
          <w:iCs w:val="0"/>
          <w:color w:val="auto"/>
          <w:spacing w:val="0"/>
          <w:w w:val="100"/>
          <w:sz w:val="21"/>
          <w:szCs w:val="21"/>
          <w:highlight w:val="none"/>
          <w:vertAlign w:val="baseline"/>
        </w:rPr>
        <w:t>评审期间，供应商（参加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小组要求在规定时间内提供：</w:t>
      </w:r>
    </w:p>
    <w:p w14:paraId="6A160D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（1）最后报价（加盖公章，</w:t>
      </w:r>
      <w:r>
        <w:rPr>
          <w:rFonts w:hint="eastAsia" w:ascii="宋体" w:hAnsi="宋体" w:eastAsia="宋体" w:cs="宋体"/>
          <w:b w:val="0"/>
          <w:bCs w:val="0"/>
          <w:i w:val="0"/>
          <w:iCs w:val="0"/>
          <w:color w:val="auto"/>
          <w:spacing w:val="0"/>
          <w:w w:val="100"/>
          <w:sz w:val="21"/>
          <w:szCs w:val="21"/>
          <w:highlight w:val="none"/>
          <w:vertAlign w:val="baseline"/>
          <w:lang w:val="en-US" w:eastAsia="zh-CN"/>
        </w:rPr>
        <w:t>并</w:t>
      </w:r>
      <w:r>
        <w:rPr>
          <w:rFonts w:hint="eastAsia" w:ascii="宋体" w:hAnsi="宋体" w:eastAsia="宋体" w:cs="宋体"/>
          <w:b w:val="0"/>
          <w:bCs w:val="0"/>
          <w:i w:val="0"/>
          <w:iCs w:val="0"/>
          <w:color w:val="auto"/>
          <w:spacing w:val="0"/>
          <w:w w:val="100"/>
          <w:sz w:val="21"/>
          <w:szCs w:val="21"/>
          <w:highlight w:val="none"/>
          <w:vertAlign w:val="baseline"/>
        </w:rPr>
        <w:t>由法定代表人或其授权的代表签字）；</w:t>
      </w:r>
    </w:p>
    <w:p w14:paraId="1A7A9E2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提交方式：供应商须使用CA数字证书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进行最后报价，最后报价应包括：①总报价②分项报价。</w:t>
      </w:r>
    </w:p>
    <w:p w14:paraId="127726B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注：①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小组要求供应商提交最后报价时，在</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小组规定时间内，供应商应提交最后报价（包括总报价及分项报价）。最后报价是供应商响应文件的有效组成部分。</w:t>
      </w:r>
    </w:p>
    <w:p w14:paraId="3D3C587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②</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文件第二章“采购需求”中“采购清单”以工程量清单提供的，供应商应以工程量清单方式提交最后报价。</w:t>
      </w:r>
    </w:p>
    <w:p w14:paraId="3289A74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outlineLvl w:val="3"/>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③请供应商根据项目情况，可提前准备分项报价。</w:t>
      </w:r>
    </w:p>
    <w:p w14:paraId="0BE8515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（2）</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文件的变动情况和</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小组的要求重新提交响应文件”；“最终设计方案或解决方案”的，供应商提供的书面材料应加盖公章，或者由法定代表人或其授权的代表签字后通过电子邮件形式提供。</w:t>
      </w:r>
    </w:p>
    <w:p w14:paraId="7CE6295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6.3</w:t>
      </w:r>
      <w:r>
        <w:rPr>
          <w:rFonts w:hint="eastAsia" w:ascii="宋体" w:hAnsi="宋体" w:eastAsia="宋体" w:cs="宋体"/>
          <w:b w:val="0"/>
          <w:bCs w:val="0"/>
          <w:i w:val="0"/>
          <w:iCs w:val="0"/>
          <w:color w:val="auto"/>
          <w:spacing w:val="0"/>
          <w:w w:val="100"/>
          <w:sz w:val="21"/>
          <w:szCs w:val="21"/>
          <w:highlight w:val="none"/>
          <w:vertAlign w:val="baseline"/>
        </w:rPr>
        <w:t>如因供应商（参加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小组无法联系供应商参加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1"/>
          <w:szCs w:val="21"/>
          <w:highlight w:val="none"/>
          <w:vertAlign w:val="baseline"/>
          <w:lang w:val="en-US" w:eastAsia="zh-CN"/>
        </w:rPr>
        <w:t>代理</w:t>
      </w:r>
      <w:r>
        <w:rPr>
          <w:rFonts w:hint="eastAsia" w:ascii="宋体" w:hAnsi="宋体" w:eastAsia="宋体" w:cs="宋体"/>
          <w:b w:val="0"/>
          <w:bCs w:val="0"/>
          <w:i w:val="0"/>
          <w:iCs w:val="0"/>
          <w:color w:val="auto"/>
          <w:spacing w:val="0"/>
          <w:w w:val="100"/>
          <w:sz w:val="21"/>
          <w:szCs w:val="21"/>
          <w:highlight w:val="none"/>
          <w:vertAlign w:val="baseline"/>
        </w:rPr>
        <w:t>机构不承担任何责任。</w:t>
      </w:r>
    </w:p>
    <w:p w14:paraId="223184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bCs/>
          <w:i w:val="0"/>
          <w:iCs w:val="0"/>
          <w:color w:val="auto"/>
          <w:spacing w:val="0"/>
          <w:w w:val="100"/>
          <w:sz w:val="21"/>
          <w:szCs w:val="21"/>
          <w:highlight w:val="none"/>
          <w:vertAlign w:val="baseline"/>
        </w:rPr>
        <w:t>相关事项</w:t>
      </w:r>
    </w:p>
    <w:p w14:paraId="054E288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b w:val="0"/>
          <w:bCs w:val="0"/>
          <w:i w:val="0"/>
          <w:iCs w:val="0"/>
          <w:color w:val="auto"/>
          <w:spacing w:val="0"/>
          <w:w w:val="100"/>
          <w:sz w:val="21"/>
          <w:szCs w:val="21"/>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文件的质疑期限从下载之日起计算。</w:t>
      </w:r>
    </w:p>
    <w:p w14:paraId="5732647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采购公告栏提供的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文件仅供浏览。供应商下载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文件应使用 CA 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从</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“全国公共资源交易平台（河南省·许昌市）”的“投标人”登录入口获取本项目招标文件。</w:t>
      </w:r>
    </w:p>
    <w:p w14:paraId="1FA664E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26B01CC">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254118F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E9F3D8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563714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556D85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5C8B3D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6413B4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AE8D69F">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376B01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C5D5EE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D9561FE">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AC40E0C">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67C022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A0BF6E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31C8B9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2AAF3AD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CE4DDDE">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066B15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180D2F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371365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C16C0E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708ACF5">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5EC0053">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CB55A2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49ADB6A">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80DE85D">
      <w:pPr>
        <w:widowControl/>
        <w:numPr>
          <w:ilvl w:val="0"/>
          <w:numId w:val="5"/>
        </w:numPr>
        <w:spacing w:line="360" w:lineRule="auto"/>
        <w:ind w:firstLine="422" w:firstLineChars="200"/>
        <w:contextualSpacing/>
        <w:jc w:val="lef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本项目需实现的功能或者目标</w:t>
      </w:r>
    </w:p>
    <w:p w14:paraId="31C2CB72">
      <w:pPr>
        <w:widowControl/>
        <w:numPr>
          <w:ilvl w:val="0"/>
          <w:numId w:val="0"/>
        </w:numPr>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禹州市行政审批和政务信息管理局市级政务服务大厅软硬件提档升级改造项目</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政务服务大厅原有基础设施、硬件配套设备、信息化政务服务系统及办公便民配套设施均已达到使用年限，整体老化破损、性能衰减、故障频发问题日益突出，已严重跟不上新时代政务服务标准化、规范化、便利化、智慧化建设工作新要求，现对政务服务大厅软硬件提档升级改造。</w:t>
      </w:r>
    </w:p>
    <w:p w14:paraId="36C96CBB">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4A5D888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5C2AA50A">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651D3837">
      <w:pPr>
        <w:wordWrap w:val="0"/>
        <w:topLinePunct/>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hAnsi="宋体" w:eastAsia="宋体" w:cs="宋体"/>
          <w:color w:val="auto"/>
          <w:szCs w:val="21"/>
          <w:highlight w:val="none"/>
          <w:lang w:val="zh-CN"/>
        </w:rPr>
        <w:t>质量</w:t>
      </w:r>
      <w:r>
        <w:rPr>
          <w:rFonts w:hint="eastAsia" w:ascii="宋体" w:hAnsi="宋体" w:eastAsia="宋体" w:cs="宋体"/>
          <w:color w:val="000000" w:themeColor="text1"/>
          <w:szCs w:val="21"/>
          <w:highlight w:val="none"/>
          <w:lang w:val="zh-CN"/>
          <w14:textFill>
            <w14:solidFill>
              <w14:schemeClr w14:val="tx1"/>
            </w14:solidFill>
          </w14:textFill>
        </w:rPr>
        <w:t>要求：合格。</w:t>
      </w:r>
    </w:p>
    <w:p w14:paraId="1025B975">
      <w:pPr>
        <w:widowControl/>
        <w:numPr>
          <w:ilvl w:val="0"/>
          <w:numId w:val="0"/>
        </w:numPr>
        <w:shd w:val="clear" w:color="auto" w:fill="FFFFFF"/>
        <w:spacing w:line="360" w:lineRule="auto"/>
        <w:ind w:leftChars="200"/>
        <w:contextualSpacing/>
        <w:jc w:val="left"/>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2.合同履行期限：合同签订后90日历天。</w:t>
      </w:r>
    </w:p>
    <w:p w14:paraId="4B1181D5">
      <w:pPr>
        <w:widowControl/>
        <w:numPr>
          <w:ilvl w:val="0"/>
          <w:numId w:val="0"/>
        </w:numPr>
        <w:shd w:val="clear" w:color="auto" w:fill="FFFFFF"/>
        <w:spacing w:line="360" w:lineRule="auto"/>
        <w:ind w:leftChars="200"/>
        <w:contextualSpacing/>
        <w:jc w:val="left"/>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1F735A1F">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1.供应商</w:t>
      </w:r>
      <w:r>
        <w:rPr>
          <w:rFonts w:hint="eastAsia" w:ascii="宋体" w:hAnsi="宋体" w:eastAsia="宋体" w:cs="宋体"/>
          <w:b w:val="0"/>
          <w:bCs w:val="0"/>
          <w:i w:val="0"/>
          <w:iCs w:val="0"/>
          <w:color w:val="auto"/>
          <w:kern w:val="2"/>
          <w:sz w:val="21"/>
          <w:szCs w:val="21"/>
          <w:highlight w:val="none"/>
          <w:lang w:val="zh-CN" w:eastAsia="zh-CN" w:bidi="ar-SA"/>
        </w:rPr>
        <w:t>须有详细合理的实施（技术）方案，否则为无效响应文件。</w:t>
      </w:r>
    </w:p>
    <w:p w14:paraId="002C406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w:t>
      </w:r>
      <w:r>
        <w:rPr>
          <w:rFonts w:hint="eastAsia" w:ascii="宋体" w:hAnsi="宋体" w:eastAsia="宋体" w:cs="宋体"/>
          <w:b w:val="0"/>
          <w:bCs w:val="0"/>
          <w:i w:val="0"/>
          <w:iCs w:val="0"/>
          <w:color w:val="auto"/>
          <w:kern w:val="2"/>
          <w:sz w:val="21"/>
          <w:szCs w:val="21"/>
          <w:highlight w:val="none"/>
          <w:lang w:val="en-US" w:eastAsia="zh-CN" w:bidi="ar-SA"/>
        </w:rPr>
        <w:t>供应商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66FCA6ED">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w:t>
      </w:r>
      <w:r>
        <w:rPr>
          <w:rFonts w:hint="eastAsia" w:ascii="宋体" w:hAnsi="宋体" w:eastAsia="宋体" w:cs="宋体"/>
          <w:b w:val="0"/>
          <w:bCs w:val="0"/>
          <w:i w:val="0"/>
          <w:iCs w:val="0"/>
          <w:color w:val="auto"/>
          <w:kern w:val="2"/>
          <w:sz w:val="21"/>
          <w:szCs w:val="21"/>
          <w:highlight w:val="none"/>
          <w:lang w:val="en-US" w:eastAsia="zh-CN" w:bidi="ar-SA"/>
        </w:rPr>
        <w:t>成交</w:t>
      </w:r>
      <w:r>
        <w:rPr>
          <w:rFonts w:hint="eastAsia" w:ascii="宋体" w:hAnsi="宋体" w:eastAsia="宋体" w:cs="宋体"/>
          <w:b w:val="0"/>
          <w:bCs w:val="0"/>
          <w:i w:val="0"/>
          <w:iCs w:val="0"/>
          <w:color w:val="auto"/>
          <w:kern w:val="2"/>
          <w:sz w:val="21"/>
          <w:szCs w:val="21"/>
          <w:highlight w:val="none"/>
          <w:lang w:val="zh-CN" w:eastAsia="zh-CN" w:bidi="ar-SA"/>
        </w:rPr>
        <w:t>供应商承担，</w:t>
      </w:r>
      <w:r>
        <w:rPr>
          <w:rFonts w:hint="eastAsia" w:ascii="宋体" w:hAnsi="宋体" w:eastAsia="宋体" w:cs="宋体"/>
          <w:b w:val="0"/>
          <w:bCs w:val="0"/>
          <w:i w:val="0"/>
          <w:iCs w:val="0"/>
          <w:color w:val="auto"/>
          <w:kern w:val="2"/>
          <w:sz w:val="21"/>
          <w:szCs w:val="21"/>
          <w:highlight w:val="none"/>
          <w:lang w:val="en-US" w:eastAsia="zh-CN" w:bidi="ar-SA"/>
        </w:rPr>
        <w:t>采购人</w:t>
      </w:r>
      <w:r>
        <w:rPr>
          <w:rFonts w:hint="eastAsia" w:ascii="宋体" w:hAnsi="宋体" w:eastAsia="宋体" w:cs="宋体"/>
          <w:b w:val="0"/>
          <w:bCs w:val="0"/>
          <w:i w:val="0"/>
          <w:iCs w:val="0"/>
          <w:color w:val="auto"/>
          <w:kern w:val="2"/>
          <w:sz w:val="21"/>
          <w:szCs w:val="21"/>
          <w:highlight w:val="none"/>
          <w:lang w:val="zh-CN" w:eastAsia="zh-CN" w:bidi="ar-SA"/>
        </w:rPr>
        <w:t>不承担任何责任及费用。</w:t>
      </w:r>
    </w:p>
    <w:p w14:paraId="591FEE84">
      <w:pPr>
        <w:widowControl/>
        <w:numPr>
          <w:ilvl w:val="0"/>
          <w:numId w:val="0"/>
        </w:numPr>
        <w:shd w:val="clear" w:color="auto" w:fill="FFFFFF"/>
        <w:spacing w:line="360" w:lineRule="auto"/>
        <w:ind w:firstLine="420" w:firstLineChars="200"/>
        <w:contextualSpacing/>
        <w:jc w:val="left"/>
        <w:rPr>
          <w:rFonts w:hint="default"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为保障</w:t>
      </w:r>
      <w:r>
        <w:rPr>
          <w:rFonts w:hint="eastAsia" w:ascii="宋体" w:hAnsi="宋体" w:eastAsia="宋体" w:cs="宋体"/>
          <w:b w:val="0"/>
          <w:bCs w:val="0"/>
          <w:color w:val="auto"/>
          <w:szCs w:val="21"/>
          <w:highlight w:val="none"/>
          <w:lang w:val="en-US" w:eastAsia="zh-CN"/>
        </w:rPr>
        <w:t>政务服务大厅</w:t>
      </w:r>
      <w:r>
        <w:rPr>
          <w:rFonts w:hint="eastAsia" w:ascii="宋体" w:hAnsi="宋体" w:eastAsia="宋体" w:cs="宋体"/>
          <w:b w:val="0"/>
          <w:bCs w:val="0"/>
          <w:i w:val="0"/>
          <w:iCs w:val="0"/>
          <w:color w:val="auto"/>
          <w:kern w:val="2"/>
          <w:sz w:val="21"/>
          <w:szCs w:val="21"/>
          <w:highlight w:val="none"/>
          <w:lang w:val="zh-CN" w:eastAsia="zh-CN" w:bidi="ar-SA"/>
        </w:rPr>
        <w:t>日常办公秩序不受干扰，</w:t>
      </w:r>
      <w:r>
        <w:rPr>
          <w:rFonts w:hint="eastAsia" w:ascii="宋体" w:hAnsi="宋体" w:eastAsia="宋体" w:cs="宋体"/>
          <w:b w:val="0"/>
          <w:bCs w:val="0"/>
          <w:i w:val="0"/>
          <w:iCs w:val="0"/>
          <w:color w:val="auto"/>
          <w:kern w:val="2"/>
          <w:sz w:val="21"/>
          <w:szCs w:val="21"/>
          <w:highlight w:val="none"/>
          <w:lang w:val="en-US" w:eastAsia="zh-CN" w:bidi="ar-SA"/>
        </w:rPr>
        <w:t>成交供应商</w:t>
      </w:r>
      <w:r>
        <w:rPr>
          <w:rFonts w:hint="eastAsia" w:ascii="宋体" w:hAnsi="宋体" w:eastAsia="宋体" w:cs="宋体"/>
          <w:b w:val="0"/>
          <w:bCs w:val="0"/>
          <w:i w:val="0"/>
          <w:iCs w:val="0"/>
          <w:color w:val="auto"/>
          <w:kern w:val="2"/>
          <w:sz w:val="21"/>
          <w:szCs w:val="21"/>
          <w:highlight w:val="none"/>
          <w:lang w:val="zh-CN" w:eastAsia="zh-CN" w:bidi="ar-SA"/>
        </w:rPr>
        <w:t>所有施工作业</w:t>
      </w:r>
      <w:r>
        <w:rPr>
          <w:rFonts w:hint="eastAsia" w:ascii="宋体" w:hAnsi="宋体" w:eastAsia="宋体" w:cs="宋体"/>
          <w:b w:val="0"/>
          <w:bCs w:val="0"/>
          <w:i w:val="0"/>
          <w:iCs w:val="0"/>
          <w:color w:val="auto"/>
          <w:kern w:val="2"/>
          <w:sz w:val="21"/>
          <w:szCs w:val="21"/>
          <w:highlight w:val="none"/>
          <w:lang w:val="en-US" w:eastAsia="zh-CN" w:bidi="ar-SA"/>
        </w:rPr>
        <w:t>在</w:t>
      </w:r>
      <w:r>
        <w:rPr>
          <w:rFonts w:hint="eastAsia" w:ascii="宋体" w:hAnsi="宋体" w:eastAsia="宋体" w:cs="宋体"/>
          <w:b w:val="0"/>
          <w:bCs w:val="0"/>
          <w:i w:val="0"/>
          <w:iCs w:val="0"/>
          <w:color w:val="auto"/>
          <w:kern w:val="2"/>
          <w:sz w:val="21"/>
          <w:szCs w:val="21"/>
          <w:highlight w:val="none"/>
          <w:lang w:val="zh-CN" w:eastAsia="zh-CN" w:bidi="ar-SA"/>
        </w:rPr>
        <w:t>法定节假日、周末非办公时段开展；工作日办公时间内严禁一切产生噪音、扬尘、人员流动及设备作业的施工行为。施工全过程须严格降噪防尘、规范管控现场，不得出现施工扰民、干扰内部办公的情况，若违规造成办公秩序受</w:t>
      </w:r>
      <w:r>
        <w:rPr>
          <w:rFonts w:hint="eastAsia" w:ascii="宋体" w:hAnsi="宋体" w:eastAsia="宋体" w:cs="宋体"/>
          <w:b w:val="0"/>
          <w:bCs w:val="0"/>
          <w:i w:val="0"/>
          <w:iCs w:val="0"/>
          <w:color w:val="auto"/>
          <w:kern w:val="2"/>
          <w:sz w:val="21"/>
          <w:szCs w:val="21"/>
          <w:highlight w:val="none"/>
          <w:lang w:val="en-US" w:eastAsia="zh-CN" w:bidi="ar-SA"/>
        </w:rPr>
        <w:t>到</w:t>
      </w:r>
      <w:r>
        <w:rPr>
          <w:rFonts w:hint="eastAsia" w:ascii="宋体" w:hAnsi="宋体" w:eastAsia="宋体" w:cs="宋体"/>
          <w:b w:val="0"/>
          <w:bCs w:val="0"/>
          <w:i w:val="0"/>
          <w:iCs w:val="0"/>
          <w:color w:val="auto"/>
          <w:kern w:val="2"/>
          <w:sz w:val="21"/>
          <w:szCs w:val="21"/>
          <w:highlight w:val="none"/>
          <w:lang w:val="zh-CN" w:eastAsia="zh-CN" w:bidi="ar-SA"/>
        </w:rPr>
        <w:t>影响，</w:t>
      </w:r>
      <w:r>
        <w:rPr>
          <w:rFonts w:hint="eastAsia" w:ascii="宋体" w:hAnsi="宋体" w:eastAsia="宋体" w:cs="宋体"/>
          <w:b w:val="0"/>
          <w:bCs w:val="0"/>
          <w:i w:val="0"/>
          <w:iCs w:val="0"/>
          <w:color w:val="auto"/>
          <w:kern w:val="2"/>
          <w:sz w:val="21"/>
          <w:szCs w:val="21"/>
          <w:highlight w:val="none"/>
          <w:lang w:val="en-US" w:eastAsia="zh-CN" w:bidi="ar-SA"/>
        </w:rPr>
        <w:t>采购人</w:t>
      </w:r>
      <w:r>
        <w:rPr>
          <w:rFonts w:hint="eastAsia" w:ascii="宋体" w:hAnsi="宋体" w:eastAsia="宋体" w:cs="宋体"/>
          <w:b w:val="0"/>
          <w:bCs w:val="0"/>
          <w:i w:val="0"/>
          <w:iCs w:val="0"/>
          <w:color w:val="auto"/>
          <w:kern w:val="2"/>
          <w:sz w:val="21"/>
          <w:szCs w:val="21"/>
          <w:highlight w:val="none"/>
          <w:lang w:val="zh-CN" w:eastAsia="zh-CN" w:bidi="ar-SA"/>
        </w:rPr>
        <w:t>将依规暂停施工并追究相关责任。</w:t>
      </w:r>
      <w:r>
        <w:rPr>
          <w:rFonts w:hint="eastAsia" w:ascii="宋体" w:hAnsi="宋体" w:eastAsia="宋体" w:cs="宋体"/>
          <w:b w:val="0"/>
          <w:bCs w:val="0"/>
          <w:i w:val="0"/>
          <w:iCs w:val="0"/>
          <w:color w:val="auto"/>
          <w:kern w:val="2"/>
          <w:sz w:val="21"/>
          <w:szCs w:val="21"/>
          <w:highlight w:val="none"/>
          <w:lang w:val="en-US" w:eastAsia="zh-CN" w:bidi="ar-SA"/>
        </w:rPr>
        <w:t>供应商需对此项做出专项承诺，</w:t>
      </w:r>
      <w:r>
        <w:rPr>
          <w:rFonts w:hint="eastAsia" w:ascii="宋体" w:hAnsi="宋体" w:eastAsia="宋体" w:cs="宋体"/>
          <w:b w:val="0"/>
          <w:bCs w:val="0"/>
          <w:i w:val="0"/>
          <w:iCs w:val="0"/>
          <w:color w:val="auto"/>
          <w:kern w:val="2"/>
          <w:sz w:val="21"/>
          <w:szCs w:val="21"/>
          <w:highlight w:val="none"/>
          <w:lang w:val="zh-CN" w:eastAsia="zh-CN" w:bidi="ar-SA"/>
        </w:rPr>
        <w:t>否则为无效响应文件。</w:t>
      </w:r>
    </w:p>
    <w:p w14:paraId="6606646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5.成交</w:t>
      </w:r>
      <w:r>
        <w:rPr>
          <w:rFonts w:hint="eastAsia" w:ascii="宋体" w:hAnsi="宋体" w:eastAsia="宋体" w:cs="宋体"/>
          <w:b w:val="0"/>
          <w:bCs w:val="0"/>
          <w:i w:val="0"/>
          <w:iCs w:val="0"/>
          <w:color w:val="auto"/>
          <w:kern w:val="2"/>
          <w:sz w:val="21"/>
          <w:szCs w:val="21"/>
          <w:highlight w:val="none"/>
          <w:lang w:val="zh-CN" w:eastAsia="zh-CN" w:bidi="ar-SA"/>
        </w:rPr>
        <w:t>方未达到作业计划标准及工作违规或引起纠纷、被上级部门处罚等不良后果，造成重大经济损失或服务严重失误，招标方有权终止本合同，并追究中标方的经济责任。</w:t>
      </w:r>
    </w:p>
    <w:p w14:paraId="43D5440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0E120CFD">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w:t>
      </w:r>
      <w:r>
        <w:rPr>
          <w:rFonts w:hint="eastAsia" w:ascii="宋体" w:hAnsi="宋体" w:eastAsia="宋体" w:cs="宋体"/>
          <w:b w:val="0"/>
          <w:bCs w:val="0"/>
          <w:i w:val="0"/>
          <w:iCs w:val="0"/>
          <w:color w:val="auto"/>
          <w:kern w:val="2"/>
          <w:sz w:val="21"/>
          <w:szCs w:val="21"/>
          <w:highlight w:val="none"/>
          <w:lang w:val="en-US" w:eastAsia="zh-CN" w:bidi="ar-SA"/>
        </w:rPr>
        <w:t>供应商</w:t>
      </w:r>
      <w:r>
        <w:rPr>
          <w:rFonts w:hint="eastAsia" w:ascii="宋体" w:hAnsi="宋体" w:eastAsia="宋体" w:cs="宋体"/>
          <w:b w:val="0"/>
          <w:bCs w:val="0"/>
          <w:i w:val="0"/>
          <w:iCs w:val="0"/>
          <w:color w:val="auto"/>
          <w:kern w:val="2"/>
          <w:sz w:val="21"/>
          <w:szCs w:val="21"/>
          <w:highlight w:val="none"/>
          <w:lang w:val="zh-CN" w:eastAsia="zh-CN" w:bidi="ar-SA"/>
        </w:rPr>
        <w:t>有责任给予补充说明。</w:t>
      </w:r>
    </w:p>
    <w:p w14:paraId="3CD6E0AF">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8</w:t>
      </w:r>
      <w:r>
        <w:rPr>
          <w:rFonts w:hint="eastAsia" w:ascii="宋体" w:hAnsi="宋体" w:eastAsia="宋体" w:cs="宋体"/>
          <w:b w:val="0"/>
          <w:bCs w:val="0"/>
          <w:i w:val="0"/>
          <w:iCs w:val="0"/>
          <w:color w:val="auto"/>
          <w:kern w:val="2"/>
          <w:sz w:val="21"/>
          <w:szCs w:val="21"/>
          <w:highlight w:val="none"/>
          <w:lang w:val="zh-CN" w:eastAsia="zh-CN" w:bidi="ar-SA"/>
        </w:rPr>
        <w:t>.以上要求为最低要求，投标商不得低于以上要求，否则为无效响应文件。</w:t>
      </w:r>
    </w:p>
    <w:p w14:paraId="3EF41F1A">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01B6A9F">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C421BA3">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71726447">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2CF2FEF8">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633691B1">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417AB1BF">
      <w:pPr>
        <w:widowControl/>
        <w:shd w:val="clear" w:color="auto" w:fill="FFFFFF"/>
        <w:spacing w:line="560" w:lineRule="exact"/>
        <w:ind w:firstLine="600"/>
        <w:jc w:val="left"/>
        <w:rPr>
          <w:rFonts w:hint="eastAsia" w:ascii="宋体" w:hAnsi="宋体" w:eastAsia="宋体" w:cs="宋体"/>
          <w:color w:val="auto"/>
          <w:kern w:val="0"/>
          <w:szCs w:val="21"/>
          <w:highlight w:val="none"/>
        </w:rPr>
      </w:pPr>
    </w:p>
    <w:p w14:paraId="72F25C41">
      <w:pPr>
        <w:pStyle w:val="7"/>
        <w:rPr>
          <w:rFonts w:hint="eastAsia" w:ascii="宋体" w:hAnsi="宋体" w:eastAsia="宋体" w:cs="宋体"/>
          <w:b/>
          <w:color w:val="auto"/>
          <w:kern w:val="0"/>
          <w:sz w:val="32"/>
          <w:szCs w:val="32"/>
          <w:highlight w:val="none"/>
        </w:rPr>
      </w:pPr>
    </w:p>
    <w:p w14:paraId="050F6C06">
      <w:pPr>
        <w:widowControl/>
        <w:ind w:firstLine="2570" w:firstLineChars="800"/>
        <w:jc w:val="both"/>
        <w:rPr>
          <w:rFonts w:hint="eastAsia" w:ascii="宋体" w:hAnsi="宋体" w:eastAsia="宋体" w:cs="宋体"/>
          <w:b/>
          <w:color w:val="auto"/>
          <w:kern w:val="0"/>
          <w:sz w:val="32"/>
          <w:szCs w:val="32"/>
          <w:highlight w:val="none"/>
        </w:rPr>
      </w:pPr>
    </w:p>
    <w:p w14:paraId="3C6E6AE3">
      <w:pPr>
        <w:widowControl/>
        <w:ind w:firstLine="2570" w:firstLineChars="800"/>
        <w:jc w:val="both"/>
        <w:rPr>
          <w:rFonts w:hint="eastAsia" w:ascii="宋体" w:hAnsi="宋体" w:eastAsia="宋体" w:cs="宋体"/>
          <w:b/>
          <w:color w:val="auto"/>
          <w:kern w:val="0"/>
          <w:sz w:val="32"/>
          <w:szCs w:val="32"/>
          <w:highlight w:val="none"/>
        </w:rPr>
      </w:pPr>
    </w:p>
    <w:p w14:paraId="0C4AE99C">
      <w:pPr>
        <w:widowControl/>
        <w:ind w:firstLine="2570" w:firstLineChars="800"/>
        <w:jc w:val="both"/>
        <w:rPr>
          <w:rFonts w:hint="eastAsia" w:ascii="宋体" w:hAnsi="宋体" w:eastAsia="宋体" w:cs="宋体"/>
          <w:b/>
          <w:color w:val="auto"/>
          <w:kern w:val="0"/>
          <w:sz w:val="32"/>
          <w:szCs w:val="32"/>
          <w:highlight w:val="none"/>
        </w:rPr>
      </w:pPr>
    </w:p>
    <w:p w14:paraId="7A711D84">
      <w:pPr>
        <w:widowControl/>
        <w:ind w:firstLine="2570" w:firstLineChars="800"/>
        <w:jc w:val="both"/>
        <w:rPr>
          <w:rFonts w:hint="eastAsia" w:ascii="宋体" w:hAnsi="宋体" w:eastAsia="宋体" w:cs="宋体"/>
          <w:b/>
          <w:color w:val="auto"/>
          <w:kern w:val="0"/>
          <w:sz w:val="32"/>
          <w:szCs w:val="32"/>
          <w:highlight w:val="none"/>
        </w:rPr>
      </w:pPr>
    </w:p>
    <w:p w14:paraId="68D462B8">
      <w:pPr>
        <w:widowControl/>
        <w:ind w:firstLine="2570" w:firstLineChars="800"/>
        <w:jc w:val="both"/>
        <w:rPr>
          <w:rFonts w:hint="eastAsia" w:ascii="宋体" w:hAnsi="宋体" w:eastAsia="宋体" w:cs="宋体"/>
          <w:b/>
          <w:color w:val="auto"/>
          <w:kern w:val="0"/>
          <w:sz w:val="32"/>
          <w:szCs w:val="32"/>
          <w:highlight w:val="none"/>
        </w:rPr>
      </w:pPr>
    </w:p>
    <w:p w14:paraId="4238EBBC">
      <w:pPr>
        <w:widowControl/>
        <w:ind w:firstLine="2570" w:firstLineChars="800"/>
        <w:jc w:val="both"/>
        <w:rPr>
          <w:rFonts w:hint="eastAsia" w:ascii="宋体" w:hAnsi="宋体" w:eastAsia="宋体" w:cs="宋体"/>
          <w:b/>
          <w:color w:val="auto"/>
          <w:kern w:val="0"/>
          <w:sz w:val="32"/>
          <w:szCs w:val="32"/>
          <w:highlight w:val="none"/>
        </w:rPr>
      </w:pPr>
    </w:p>
    <w:p w14:paraId="045B6F2B">
      <w:pPr>
        <w:widowControl/>
        <w:ind w:firstLine="2570" w:firstLineChars="800"/>
        <w:jc w:val="both"/>
        <w:rPr>
          <w:rFonts w:hint="eastAsia" w:ascii="宋体" w:hAnsi="宋体" w:eastAsia="宋体" w:cs="宋体"/>
          <w:b/>
          <w:color w:val="auto"/>
          <w:kern w:val="0"/>
          <w:sz w:val="32"/>
          <w:szCs w:val="32"/>
          <w:highlight w:val="none"/>
        </w:rPr>
      </w:pPr>
    </w:p>
    <w:p w14:paraId="5E146BA3">
      <w:pPr>
        <w:widowControl/>
        <w:jc w:val="both"/>
        <w:rPr>
          <w:rFonts w:hint="eastAsia" w:ascii="宋体" w:hAnsi="宋体" w:eastAsia="宋体" w:cs="宋体"/>
          <w:b/>
          <w:color w:val="auto"/>
          <w:kern w:val="0"/>
          <w:sz w:val="32"/>
          <w:szCs w:val="32"/>
          <w:highlight w:val="none"/>
        </w:rPr>
      </w:pPr>
    </w:p>
    <w:p w14:paraId="0655A3F5">
      <w:pPr>
        <w:widowControl/>
        <w:jc w:val="both"/>
        <w:rPr>
          <w:rFonts w:hint="eastAsia" w:ascii="宋体" w:hAnsi="宋体" w:eastAsia="宋体" w:cs="宋体"/>
          <w:b/>
          <w:color w:val="auto"/>
          <w:kern w:val="0"/>
          <w:sz w:val="32"/>
          <w:szCs w:val="32"/>
          <w:highlight w:val="none"/>
        </w:rPr>
      </w:pPr>
    </w:p>
    <w:p w14:paraId="35B359B7">
      <w:pPr>
        <w:widowControl/>
        <w:jc w:val="both"/>
        <w:rPr>
          <w:rFonts w:hint="eastAsia" w:ascii="宋体" w:hAnsi="宋体" w:eastAsia="宋体" w:cs="宋体"/>
          <w:b/>
          <w:color w:val="auto"/>
          <w:kern w:val="0"/>
          <w:sz w:val="32"/>
          <w:szCs w:val="32"/>
          <w:highlight w:val="none"/>
        </w:rPr>
      </w:pPr>
    </w:p>
    <w:p w14:paraId="7E9D27C8">
      <w:pPr>
        <w:widowControl/>
        <w:jc w:val="both"/>
        <w:rPr>
          <w:rFonts w:hint="eastAsia" w:ascii="宋体" w:hAnsi="宋体" w:eastAsia="宋体" w:cs="宋体"/>
          <w:b/>
          <w:color w:val="auto"/>
          <w:kern w:val="0"/>
          <w:sz w:val="32"/>
          <w:szCs w:val="32"/>
          <w:highlight w:val="none"/>
        </w:rPr>
      </w:pPr>
    </w:p>
    <w:p w14:paraId="1100260C">
      <w:pPr>
        <w:widowControl/>
        <w:jc w:val="both"/>
        <w:rPr>
          <w:rFonts w:hint="eastAsia" w:ascii="宋体" w:hAnsi="宋体" w:eastAsia="宋体" w:cs="宋体"/>
          <w:b/>
          <w:color w:val="auto"/>
          <w:kern w:val="0"/>
          <w:sz w:val="32"/>
          <w:szCs w:val="32"/>
          <w:highlight w:val="none"/>
        </w:rPr>
      </w:pPr>
    </w:p>
    <w:p w14:paraId="104A5EED">
      <w:pPr>
        <w:widowControl/>
        <w:jc w:val="both"/>
        <w:rPr>
          <w:rFonts w:hint="eastAsia" w:ascii="宋体" w:hAnsi="宋体" w:eastAsia="宋体" w:cs="宋体"/>
          <w:b/>
          <w:color w:val="auto"/>
          <w:kern w:val="0"/>
          <w:sz w:val="32"/>
          <w:szCs w:val="32"/>
          <w:highlight w:val="none"/>
        </w:rPr>
      </w:pPr>
    </w:p>
    <w:p w14:paraId="154589AF">
      <w:pPr>
        <w:widowControl/>
        <w:ind w:firstLine="2249" w:firstLineChars="70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供应商须知前附表</w:t>
      </w:r>
    </w:p>
    <w:p w14:paraId="54F40861">
      <w:pPr>
        <w:autoSpaceDE w:val="0"/>
        <w:autoSpaceDN w:val="0"/>
        <w:adjustRightInd w:val="0"/>
        <w:spacing w:line="360" w:lineRule="auto"/>
        <w:ind w:right="-11"/>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磋商文件中凡标有★条款均为实质性要求条款，响应文件须完全响应，未实质响应的，按照无效响应处理。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07A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B67D776">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18" w:type="dxa"/>
            <w:vAlign w:val="center"/>
          </w:tcPr>
          <w:p w14:paraId="6D596FA2">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163" w:type="dxa"/>
            <w:vAlign w:val="center"/>
          </w:tcPr>
          <w:p w14:paraId="37407A0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767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06" w:type="dxa"/>
            <w:vAlign w:val="center"/>
          </w:tcPr>
          <w:p w14:paraId="0A7DDA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18" w:type="dxa"/>
            <w:vAlign w:val="center"/>
          </w:tcPr>
          <w:p w14:paraId="5DD2D3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7163" w:type="dxa"/>
            <w:vAlign w:val="center"/>
          </w:tcPr>
          <w:p w14:paraId="01A0B283">
            <w:pPr>
              <w:autoSpaceDE w:val="0"/>
              <w:autoSpaceDN w:val="0"/>
              <w:adjustRightInd w:val="0"/>
              <w:spacing w:line="276"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禹州市行政审批和政务信息管理局市级政务服务大厅软硬件提档升级改造项目</w:t>
            </w:r>
          </w:p>
        </w:tc>
      </w:tr>
      <w:tr w14:paraId="3340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A83940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18" w:type="dxa"/>
            <w:vAlign w:val="center"/>
          </w:tcPr>
          <w:p w14:paraId="0C595B6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7163" w:type="dxa"/>
            <w:vAlign w:val="center"/>
          </w:tcPr>
          <w:p w14:paraId="35A5B1E6">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名称：禹州市行政审批和政务信息管理局</w:t>
            </w:r>
          </w:p>
          <w:p w14:paraId="39580655">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地址：禹州市禹王大道99号政务服务大楼</w:t>
            </w:r>
          </w:p>
          <w:p w14:paraId="71BCDCA9">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联系人：连女士 </w:t>
            </w:r>
          </w:p>
          <w:p w14:paraId="7E056BEA">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联系方式：0374-2076799</w:t>
            </w:r>
          </w:p>
        </w:tc>
      </w:tr>
      <w:tr w14:paraId="294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505F9C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18" w:type="dxa"/>
            <w:vAlign w:val="center"/>
          </w:tcPr>
          <w:p w14:paraId="3B309A0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p>
        </w:tc>
        <w:tc>
          <w:tcPr>
            <w:tcW w:w="7163" w:type="dxa"/>
            <w:vAlign w:val="center"/>
          </w:tcPr>
          <w:p w14:paraId="079972E8">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名称：师梦勘测设计集团有限公司</w:t>
            </w:r>
          </w:p>
          <w:p w14:paraId="44EEC755">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地址：郑州市高新技术开发区冬青街46号B区007号</w:t>
            </w:r>
          </w:p>
          <w:p w14:paraId="57190D07">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联系人：王女士</w:t>
            </w:r>
          </w:p>
          <w:p w14:paraId="31767330">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 w:val="21"/>
                <w:szCs w:val="21"/>
                <w:highlight w:val="none"/>
                <w:lang w:val="en-US" w:eastAsia="zh-CN"/>
              </w:rPr>
              <w:t>13733156531</w:t>
            </w:r>
          </w:p>
        </w:tc>
      </w:tr>
      <w:tr w14:paraId="7F1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34274D3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18" w:type="dxa"/>
            <w:vMerge w:val="restart"/>
            <w:vAlign w:val="center"/>
          </w:tcPr>
          <w:p w14:paraId="34AAFD6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7163" w:type="dxa"/>
            <w:vAlign w:val="center"/>
          </w:tcPr>
          <w:p w14:paraId="508DE345">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val="zh-CN"/>
              </w:rPr>
              <w:t>中小企业或者残疾人福利性单位声明函</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监狱企业证明文件</w:t>
            </w:r>
          </w:p>
          <w:p w14:paraId="7F03F9BB">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67AEDB06">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16387FC2">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监狱企业提供由省级以上监狱管理局、戒毒管理局（含新疆生产建设兵团）出具的属于监狱企业的证明文件</w:t>
            </w:r>
          </w:p>
        </w:tc>
      </w:tr>
      <w:tr w14:paraId="403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7819E8D8">
            <w:pPr>
              <w:autoSpaceDE w:val="0"/>
              <w:autoSpaceDN w:val="0"/>
              <w:adjustRightInd w:val="0"/>
              <w:spacing w:line="276" w:lineRule="auto"/>
              <w:jc w:val="center"/>
              <w:rPr>
                <w:rFonts w:hint="eastAsia" w:ascii="宋体" w:hAnsi="宋体" w:eastAsia="宋体" w:cs="宋体"/>
                <w:color w:val="auto"/>
                <w:szCs w:val="21"/>
                <w:highlight w:val="none"/>
              </w:rPr>
            </w:pPr>
          </w:p>
        </w:tc>
        <w:tc>
          <w:tcPr>
            <w:tcW w:w="1918" w:type="dxa"/>
            <w:vMerge w:val="continue"/>
            <w:vAlign w:val="center"/>
          </w:tcPr>
          <w:p w14:paraId="1206ABD4">
            <w:pPr>
              <w:autoSpaceDE w:val="0"/>
              <w:autoSpaceDN w:val="0"/>
              <w:adjustRightInd w:val="0"/>
              <w:spacing w:line="276" w:lineRule="auto"/>
              <w:jc w:val="center"/>
              <w:rPr>
                <w:rFonts w:hint="eastAsia" w:ascii="宋体" w:hAnsi="宋体" w:eastAsia="宋体" w:cs="宋体"/>
                <w:color w:val="auto"/>
                <w:szCs w:val="21"/>
                <w:highlight w:val="none"/>
              </w:rPr>
            </w:pPr>
          </w:p>
        </w:tc>
        <w:tc>
          <w:tcPr>
            <w:tcW w:w="7163" w:type="dxa"/>
            <w:vAlign w:val="center"/>
          </w:tcPr>
          <w:p w14:paraId="781A1D73">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二、</w:t>
            </w: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482885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4DC755F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463B9BE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290047F7">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27A9AE2D">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222D0319">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70D1CA82">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78E2EFFF">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62D896FA">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p w14:paraId="15B26680">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仿宋_GB2312"/>
                <w:szCs w:val="21"/>
              </w:rPr>
              <w:t>三、特定资格要求：详见</w:t>
            </w:r>
            <w:r>
              <w:rPr>
                <w:rFonts w:hint="eastAsia" w:ascii="宋体" w:hAnsi="宋体" w:eastAsia="宋体" w:cs="仿宋_GB2312"/>
                <w:szCs w:val="21"/>
                <w:lang w:val="en-US" w:eastAsia="zh-CN"/>
              </w:rPr>
              <w:t>磋商</w:t>
            </w:r>
            <w:r>
              <w:rPr>
                <w:rFonts w:hint="eastAsia" w:ascii="宋体" w:hAnsi="宋体" w:eastAsia="宋体" w:cs="仿宋_GB2312"/>
                <w:szCs w:val="21"/>
              </w:rPr>
              <w:t>公告</w:t>
            </w:r>
          </w:p>
        </w:tc>
      </w:tr>
      <w:tr w14:paraId="546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ED7C5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18" w:type="dxa"/>
            <w:vAlign w:val="center"/>
          </w:tcPr>
          <w:p w14:paraId="5AFB7AD2">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联合体响应</w:t>
            </w:r>
          </w:p>
        </w:tc>
        <w:tc>
          <w:tcPr>
            <w:tcW w:w="7163" w:type="dxa"/>
            <w:vAlign w:val="center"/>
          </w:tcPr>
          <w:p w14:paraId="7220E2D4">
            <w:pPr>
              <w:autoSpaceDE w:val="0"/>
              <w:autoSpaceDN w:val="0"/>
              <w:adjustRightInd w:val="0"/>
              <w:spacing w:line="276" w:lineRule="auto"/>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联合体响应</w:t>
            </w:r>
          </w:p>
        </w:tc>
      </w:tr>
      <w:tr w14:paraId="1F14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605A2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18" w:type="dxa"/>
            <w:vAlign w:val="center"/>
          </w:tcPr>
          <w:p w14:paraId="04FD1AF2">
            <w:pPr>
              <w:autoSpaceDE w:val="0"/>
              <w:autoSpaceDN w:val="0"/>
              <w:adjustRightInd w:val="0"/>
              <w:spacing w:line="276"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最高限价</w:t>
            </w:r>
          </w:p>
        </w:tc>
        <w:tc>
          <w:tcPr>
            <w:tcW w:w="7163" w:type="dxa"/>
            <w:vAlign w:val="center"/>
          </w:tcPr>
          <w:p w14:paraId="6BCF689D">
            <w:pPr>
              <w:autoSpaceDE w:val="0"/>
              <w:autoSpaceDN w:val="0"/>
              <w:adjustRightInd w:val="0"/>
              <w:spacing w:line="276" w:lineRule="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shd w:val="clear" w:color="auto" w:fill="FFFFFF"/>
                <w:lang w:val="en-US" w:eastAsia="zh-CN"/>
              </w:rPr>
              <w:t>1875969.14元</w:t>
            </w:r>
            <w:r>
              <w:rPr>
                <w:rFonts w:hint="eastAsia" w:ascii="宋体" w:hAnsi="宋体" w:eastAsia="宋体" w:cs="宋体"/>
                <w:b/>
                <w:bCs w:val="0"/>
                <w:color w:val="auto"/>
                <w:szCs w:val="21"/>
                <w:highlight w:val="none"/>
                <w:lang w:val="zh-CN"/>
              </w:rPr>
              <w:t>，超出</w:t>
            </w:r>
            <w:r>
              <w:rPr>
                <w:rFonts w:hint="eastAsia" w:ascii="宋体" w:hAnsi="宋体" w:eastAsia="宋体" w:cs="宋体"/>
                <w:b/>
                <w:bCs w:val="0"/>
                <w:color w:val="auto"/>
                <w:szCs w:val="21"/>
                <w:highlight w:val="none"/>
                <w:lang w:val="en-US" w:eastAsia="zh-CN"/>
              </w:rPr>
              <w:t>最高限价的</w:t>
            </w:r>
            <w:r>
              <w:rPr>
                <w:rFonts w:hint="eastAsia" w:ascii="宋体" w:hAnsi="宋体" w:eastAsia="宋体" w:cs="宋体"/>
                <w:b/>
                <w:bCs w:val="0"/>
                <w:color w:val="auto"/>
                <w:szCs w:val="21"/>
                <w:highlight w:val="none"/>
                <w:lang w:val="zh-CN"/>
              </w:rPr>
              <w:t>响应无效。</w:t>
            </w:r>
          </w:p>
        </w:tc>
      </w:tr>
      <w:tr w14:paraId="2CC6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589528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18" w:type="dxa"/>
            <w:vAlign w:val="center"/>
          </w:tcPr>
          <w:p w14:paraId="189E358D">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7163" w:type="dxa"/>
            <w:vAlign w:val="center"/>
          </w:tcPr>
          <w:p w14:paraId="4986DFDF">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55A688F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005F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77004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18" w:type="dxa"/>
            <w:vAlign w:val="center"/>
          </w:tcPr>
          <w:p w14:paraId="3774700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磋商前答疑会</w:t>
            </w:r>
          </w:p>
        </w:tc>
        <w:tc>
          <w:tcPr>
            <w:tcW w:w="7163" w:type="dxa"/>
            <w:vAlign w:val="center"/>
          </w:tcPr>
          <w:p w14:paraId="42F587C7">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36D7EDC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27AC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64A4A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18" w:type="dxa"/>
            <w:vAlign w:val="center"/>
          </w:tcPr>
          <w:p w14:paraId="74BF300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7163" w:type="dxa"/>
            <w:vAlign w:val="center"/>
          </w:tcPr>
          <w:p w14:paraId="0C0368F1">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377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228F89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18" w:type="dxa"/>
            <w:vAlign w:val="center"/>
          </w:tcPr>
          <w:p w14:paraId="304AD4C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磋商有效期</w:t>
            </w:r>
          </w:p>
        </w:tc>
        <w:tc>
          <w:tcPr>
            <w:tcW w:w="7163" w:type="dxa"/>
            <w:vAlign w:val="center"/>
          </w:tcPr>
          <w:p w14:paraId="523ABC8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提交磋商响应文件的截止之日起算</w:t>
            </w:r>
            <w:r>
              <w:rPr>
                <w:rFonts w:hint="eastAsia" w:ascii="宋体" w:hAnsi="宋体" w:eastAsia="宋体" w:cs="宋体"/>
                <w:color w:val="auto"/>
                <w:szCs w:val="21"/>
                <w:highlight w:val="none"/>
              </w:rPr>
              <w:t>）</w:t>
            </w:r>
          </w:p>
          <w:p w14:paraId="52D6515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成交供应商磋商有效期延长至合同验收之日，</w:t>
            </w:r>
            <w:r>
              <w:rPr>
                <w:rFonts w:hint="eastAsia" w:ascii="宋体" w:hAnsi="宋体" w:eastAsia="宋体" w:cs="宋体"/>
                <w:color w:val="auto"/>
                <w:kern w:val="0"/>
                <w:szCs w:val="21"/>
                <w:highlight w:val="none"/>
              </w:rPr>
              <w:t>成交供应商全部合同义务履行完毕为止。</w:t>
            </w:r>
          </w:p>
        </w:tc>
      </w:tr>
      <w:tr w14:paraId="424A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AA11FF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18" w:type="dxa"/>
            <w:vAlign w:val="center"/>
          </w:tcPr>
          <w:p w14:paraId="6351052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7163" w:type="dxa"/>
            <w:vAlign w:val="center"/>
          </w:tcPr>
          <w:p w14:paraId="4A64F37B">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646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10D75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18" w:type="dxa"/>
            <w:vAlign w:val="center"/>
          </w:tcPr>
          <w:p w14:paraId="7E9B4BE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响应文件提交截止、</w:t>
            </w:r>
            <w:r>
              <w:rPr>
                <w:rFonts w:hint="eastAsia" w:ascii="宋体" w:hAnsi="宋体" w:eastAsia="宋体" w:cs="宋体"/>
                <w:bCs/>
                <w:color w:val="auto"/>
                <w:szCs w:val="21"/>
                <w:highlight w:val="none"/>
                <w:lang w:val="zh-CN"/>
              </w:rPr>
              <w:t>磋商响应截止及磋商时间</w:t>
            </w:r>
          </w:p>
        </w:tc>
        <w:tc>
          <w:tcPr>
            <w:tcW w:w="7163" w:type="dxa"/>
            <w:vAlign w:val="center"/>
          </w:tcPr>
          <w:p w14:paraId="6BCAE80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0000FF"/>
                <w:szCs w:val="21"/>
                <w:highlight w:val="none"/>
              </w:rPr>
              <w:t>202</w:t>
            </w:r>
            <w:r>
              <w:rPr>
                <w:rFonts w:hint="eastAsia" w:ascii="宋体" w:hAnsi="宋体" w:eastAsia="宋体" w:cs="宋体"/>
                <w:color w:val="0000FF"/>
                <w:szCs w:val="21"/>
                <w:highlight w:val="none"/>
                <w:lang w:val="en-US" w:eastAsia="zh-CN"/>
              </w:rPr>
              <w:t>6</w:t>
            </w:r>
            <w:r>
              <w:rPr>
                <w:rFonts w:hint="eastAsia" w:ascii="宋体" w:hAnsi="宋体" w:eastAsia="宋体" w:cs="宋体"/>
                <w:color w:val="0000FF"/>
                <w:szCs w:val="21"/>
                <w:highlight w:val="none"/>
              </w:rPr>
              <w:t>年</w:t>
            </w:r>
            <w:r>
              <w:rPr>
                <w:rFonts w:hint="eastAsia" w:ascii="宋体" w:hAnsi="宋体" w:eastAsia="宋体" w:cs="宋体"/>
                <w:color w:val="0000FF"/>
                <w:szCs w:val="21"/>
                <w:highlight w:val="none"/>
                <w:lang w:val="en-US" w:eastAsia="zh-CN"/>
              </w:rPr>
              <w:t>7</w:t>
            </w:r>
            <w:r>
              <w:rPr>
                <w:rFonts w:hint="eastAsia" w:ascii="宋体" w:hAnsi="宋体" w:eastAsia="宋体" w:cs="宋体"/>
                <w:color w:val="0000FF"/>
                <w:szCs w:val="21"/>
                <w:highlight w:val="none"/>
              </w:rPr>
              <w:t>月</w:t>
            </w:r>
            <w:r>
              <w:rPr>
                <w:rFonts w:hint="eastAsia" w:ascii="宋体" w:hAnsi="宋体" w:eastAsia="宋体" w:cs="宋体"/>
                <w:color w:val="0000FF"/>
                <w:szCs w:val="21"/>
                <w:highlight w:val="none"/>
                <w:lang w:val="en-US" w:eastAsia="zh-CN"/>
              </w:rPr>
              <w:t>28</w:t>
            </w:r>
            <w:r>
              <w:rPr>
                <w:rFonts w:hint="eastAsia" w:ascii="宋体" w:hAnsi="宋体" w:eastAsia="宋体" w:cs="宋体"/>
                <w:color w:val="0000FF"/>
                <w:szCs w:val="21"/>
                <w:highlight w:val="none"/>
              </w:rPr>
              <w:t>日</w:t>
            </w:r>
            <w:r>
              <w:rPr>
                <w:rFonts w:hint="eastAsia" w:ascii="宋体" w:hAnsi="宋体" w:eastAsia="宋体" w:cs="宋体"/>
                <w:color w:val="0000FF"/>
                <w:szCs w:val="21"/>
                <w:highlight w:val="none"/>
                <w:lang w:val="en-US" w:eastAsia="zh-CN"/>
              </w:rPr>
              <w:t>08</w:t>
            </w:r>
            <w:r>
              <w:rPr>
                <w:rFonts w:hint="eastAsia" w:ascii="宋体" w:hAnsi="宋体" w:eastAsia="宋体" w:cs="宋体"/>
                <w:color w:val="0000FF"/>
                <w:szCs w:val="21"/>
                <w:highlight w:val="none"/>
                <w:lang w:val="zh-CN"/>
              </w:rPr>
              <w:t>时</w:t>
            </w:r>
            <w:r>
              <w:rPr>
                <w:rFonts w:hint="eastAsia" w:ascii="宋体" w:hAnsi="宋体" w:eastAsia="宋体" w:cs="宋体"/>
                <w:color w:val="0000FF"/>
                <w:szCs w:val="21"/>
                <w:highlight w:val="none"/>
                <w:lang w:val="en-US" w:eastAsia="zh-CN"/>
              </w:rPr>
              <w:t>3</w:t>
            </w:r>
            <w:r>
              <w:rPr>
                <w:rFonts w:hint="eastAsia" w:ascii="宋体" w:hAnsi="宋体" w:eastAsia="宋体" w:cs="宋体"/>
                <w:color w:val="0000FF"/>
                <w:szCs w:val="21"/>
                <w:highlight w:val="none"/>
                <w:lang w:val="zh-CN"/>
              </w:rPr>
              <w:t>0分（北京时间）</w:t>
            </w:r>
          </w:p>
        </w:tc>
      </w:tr>
      <w:tr w14:paraId="427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37511A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18" w:type="dxa"/>
            <w:vAlign w:val="center"/>
          </w:tcPr>
          <w:p w14:paraId="1FEED83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CA2B1D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7163" w:type="dxa"/>
            <w:vAlign w:val="center"/>
          </w:tcPr>
          <w:p w14:paraId="307E32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磋商响应文件开启地点：禹州市公共资源交易中心九楼不见面开标二室。（</w:t>
            </w:r>
            <w:r>
              <w:rPr>
                <w:rFonts w:hint="eastAsia" w:ascii="宋体" w:hAnsi="宋体" w:eastAsia="宋体" w:cs="宋体"/>
                <w:b/>
                <w:color w:val="auto"/>
                <w:szCs w:val="21"/>
                <w:highlight w:val="none"/>
              </w:rPr>
              <w:t>本项目采用远程不见面磋商，供应商无须到达现场</w:t>
            </w:r>
            <w:r>
              <w:rPr>
                <w:rFonts w:hint="eastAsia" w:ascii="宋体" w:hAnsi="宋体" w:eastAsia="宋体" w:cs="宋体"/>
                <w:color w:val="auto"/>
                <w:szCs w:val="21"/>
                <w:highlight w:val="none"/>
              </w:rPr>
              <w:t>）</w:t>
            </w:r>
          </w:p>
        </w:tc>
      </w:tr>
      <w:tr w14:paraId="679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E359C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918" w:type="dxa"/>
            <w:vAlign w:val="center"/>
          </w:tcPr>
          <w:p w14:paraId="4236351B">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磋商保证金</w:t>
            </w:r>
          </w:p>
        </w:tc>
        <w:tc>
          <w:tcPr>
            <w:tcW w:w="7163" w:type="dxa"/>
            <w:vAlign w:val="center"/>
          </w:tcPr>
          <w:p w14:paraId="7F071590">
            <w:pPr>
              <w:tabs>
                <w:tab w:val="left" w:pos="1260"/>
              </w:tabs>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7B12E5E4">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供应商应提供磋商承诺函。</w:t>
            </w:r>
          </w:p>
        </w:tc>
      </w:tr>
      <w:tr w14:paraId="0A3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53F5E07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18" w:type="dxa"/>
            <w:vAlign w:val="center"/>
          </w:tcPr>
          <w:p w14:paraId="69B0212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7163" w:type="dxa"/>
            <w:tcBorders>
              <w:top w:val="single" w:color="auto" w:sz="4" w:space="0"/>
            </w:tcBorders>
            <w:vAlign w:val="center"/>
          </w:tcPr>
          <w:p w14:paraId="6D2E87E4">
            <w:pPr>
              <w:autoSpaceDE w:val="0"/>
              <w:autoSpaceDN w:val="0"/>
              <w:adjustRightInd w:val="0"/>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color w:val="auto"/>
                <w:szCs w:val="21"/>
                <w:highlight w:val="none"/>
              </w:rPr>
              <w:t>磋商公告、成交公告、变更（更正）公告、现场勘察答复等相关信息同时在以下网站发布：</w:t>
            </w:r>
            <w:r>
              <w:rPr>
                <w:rFonts w:hint="eastAsia" w:ascii="宋体" w:hAnsi="宋体" w:eastAsia="宋体" w:cs="宋体"/>
                <w:color w:val="auto"/>
                <w:szCs w:val="21"/>
                <w:highlight w:val="none"/>
                <w:lang w:eastAsia="zh-CN"/>
              </w:rPr>
              <w:t>《河南省政府采购网》</w:t>
            </w:r>
            <w:r>
              <w:rPr>
                <w:rFonts w:hint="eastAsia" w:ascii="宋体" w:hAnsi="宋体" w:eastAsia="宋体" w:cs="宋体"/>
                <w:color w:val="auto"/>
                <w:szCs w:val="21"/>
                <w:highlight w:val="none"/>
              </w:rPr>
              <w:t>《许昌市政府采购网》</w:t>
            </w:r>
            <w:r>
              <w:rPr>
                <w:rFonts w:hint="eastAsia" w:ascii="宋体" w:hAnsi="宋体" w:eastAsia="宋体" w:cs="宋体"/>
                <w:color w:val="auto"/>
                <w:szCs w:val="21"/>
                <w:highlight w:val="none"/>
                <w:lang w:eastAsia="zh-CN"/>
              </w:rPr>
              <w:t>《全国公共资源交易平台（河南省·许昌市）》</w:t>
            </w:r>
          </w:p>
        </w:tc>
      </w:tr>
      <w:tr w14:paraId="1FE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BE0DF">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918" w:type="dxa"/>
            <w:vAlign w:val="center"/>
          </w:tcPr>
          <w:p w14:paraId="5B12BE3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468D543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磋商文件时间</w:t>
            </w:r>
          </w:p>
        </w:tc>
        <w:tc>
          <w:tcPr>
            <w:tcW w:w="7163" w:type="dxa"/>
            <w:vAlign w:val="center"/>
          </w:tcPr>
          <w:p w14:paraId="5D132BB9">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磋商响应截止时间5日前（</w:t>
            </w:r>
            <w:r>
              <w:rPr>
                <w:rFonts w:hint="eastAsia" w:ascii="宋体" w:hAnsi="宋体" w:eastAsia="宋体" w:cs="宋体"/>
                <w:color w:val="auto"/>
                <w:szCs w:val="21"/>
                <w:highlight w:val="none"/>
                <w:lang w:val="zh-CN"/>
              </w:rPr>
              <w:t>澄清内容可能影响响应文件编制的）</w:t>
            </w:r>
          </w:p>
        </w:tc>
      </w:tr>
      <w:tr w14:paraId="610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2EF6B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918" w:type="dxa"/>
            <w:vAlign w:val="center"/>
          </w:tcPr>
          <w:p w14:paraId="7854836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供应商对磋商文件</w:t>
            </w:r>
          </w:p>
          <w:p w14:paraId="551CCAC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7163" w:type="dxa"/>
            <w:vAlign w:val="center"/>
          </w:tcPr>
          <w:p w14:paraId="4160A0AC">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磋商公告期满之日起七个工作日</w:t>
            </w:r>
          </w:p>
        </w:tc>
      </w:tr>
      <w:tr w14:paraId="79E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397A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918" w:type="dxa"/>
            <w:vAlign w:val="center"/>
          </w:tcPr>
          <w:p w14:paraId="7564473B">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7163" w:type="dxa"/>
            <w:vAlign w:val="center"/>
          </w:tcPr>
          <w:p w14:paraId="70FD829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电子响应文件：成功上传至“全国公共资源交易平台（河南省•许昌市）”公共资源交易系统加密电子响应文件1份（后缀格式为.XCSTF）。</w:t>
            </w:r>
          </w:p>
          <w:p w14:paraId="740748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注：供应商登录“全国公共资源交易平台（河南省•许昌市）”下载“新点投标文件制作软件（河南省版）”的最新版本制作电子响应文件。</w:t>
            </w:r>
          </w:p>
          <w:p w14:paraId="5886C54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20D630E7">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纸质响应文件：正本</w:t>
            </w:r>
            <w:r>
              <w:rPr>
                <w:rFonts w:hint="eastAsia" w:ascii="宋体" w:hAnsi="宋体" w:eastAsia="宋体" w:cs="宋体"/>
                <w:b/>
                <w:color w:val="auto"/>
                <w:szCs w:val="21"/>
                <w:highlight w:val="none"/>
              </w:rPr>
              <w:t>一</w:t>
            </w:r>
            <w:r>
              <w:rPr>
                <w:rFonts w:hint="eastAsia" w:ascii="宋体" w:hAnsi="宋体" w:eastAsia="宋体" w:cs="宋体"/>
                <w:color w:val="auto"/>
                <w:szCs w:val="21"/>
                <w:highlight w:val="none"/>
              </w:rPr>
              <w:t>份，副本一份。使用格式为“投标文件（供打印）.PDF”的文件</w:t>
            </w:r>
          </w:p>
        </w:tc>
      </w:tr>
      <w:tr w14:paraId="4AC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D63A6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918" w:type="dxa"/>
            <w:vAlign w:val="center"/>
          </w:tcPr>
          <w:p w14:paraId="24083108">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w:t>
            </w:r>
          </w:p>
          <w:p w14:paraId="723E846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7163" w:type="dxa"/>
            <w:vAlign w:val="center"/>
          </w:tcPr>
          <w:p w14:paraId="3927597D">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文件要求加盖供应商电子印章和法人电子印章。</w:t>
            </w:r>
          </w:p>
          <w:p w14:paraId="6A359436">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纸质响应文件：响应文件封面加盖供应商公章（响应文件是指供应商电子响应文件制作完成后生成的后缀名为“.nXCSTF”的文件打印的纸质响应文件）。</w:t>
            </w:r>
          </w:p>
        </w:tc>
      </w:tr>
      <w:tr w14:paraId="1B6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C0FAE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918" w:type="dxa"/>
            <w:vAlign w:val="center"/>
          </w:tcPr>
          <w:p w14:paraId="252F8C74">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磋商小组组建</w:t>
            </w:r>
          </w:p>
        </w:tc>
        <w:tc>
          <w:tcPr>
            <w:tcW w:w="7163" w:type="dxa"/>
            <w:vAlign w:val="center"/>
          </w:tcPr>
          <w:p w14:paraId="3155A98A">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由采购人代表</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lang w:val="zh-CN"/>
              </w:rPr>
              <w:t>和评审专家</w:t>
            </w:r>
            <w:r>
              <w:rPr>
                <w:rFonts w:hint="eastAsia" w:ascii="宋体" w:hAnsi="宋体" w:eastAsia="宋体" w:cs="宋体"/>
                <w:color w:val="auto"/>
                <w:szCs w:val="21"/>
                <w:highlight w:val="none"/>
                <w:lang w:val="en-US" w:eastAsia="zh-CN"/>
              </w:rPr>
              <w:t>2人，共3人</w:t>
            </w:r>
            <w:r>
              <w:rPr>
                <w:rFonts w:hint="eastAsia" w:ascii="宋体" w:hAnsi="宋体" w:eastAsia="宋体" w:cs="宋体"/>
                <w:color w:val="auto"/>
                <w:szCs w:val="21"/>
                <w:highlight w:val="none"/>
                <w:lang w:val="zh-CN"/>
              </w:rPr>
              <w:t>组成，其中评审专家的人数不少于磋商小组成员总数的三分之二。评审专家从政府采购评审专家库中随机抽取。</w:t>
            </w:r>
          </w:p>
          <w:p w14:paraId="1846072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□由评审专家组成。评审专家从政府采购评审专家库中随机抽取。</w:t>
            </w:r>
          </w:p>
        </w:tc>
      </w:tr>
      <w:tr w14:paraId="3305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1CFD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18" w:type="dxa"/>
            <w:vAlign w:val="center"/>
          </w:tcPr>
          <w:p w14:paraId="71F5D18E">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7163" w:type="dxa"/>
            <w:vAlign w:val="center"/>
          </w:tcPr>
          <w:p w14:paraId="5F73CD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综合评分法</w:t>
            </w:r>
          </w:p>
        </w:tc>
      </w:tr>
      <w:tr w14:paraId="378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E1529B">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918" w:type="dxa"/>
            <w:vAlign w:val="center"/>
          </w:tcPr>
          <w:p w14:paraId="5C49D01A">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7163" w:type="dxa"/>
            <w:vAlign w:val="center"/>
          </w:tcPr>
          <w:p w14:paraId="5E33C289">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本项目属于专门面向中小企业采购的项目</w:t>
            </w:r>
            <w:r>
              <w:rPr>
                <w:rFonts w:hint="eastAsia" w:ascii="宋体" w:hAnsi="宋体" w:eastAsia="宋体" w:cs="宋体"/>
                <w:color w:val="auto"/>
                <w:highlight w:val="none"/>
                <w:lang w:eastAsia="zh-CN"/>
              </w:rPr>
              <w:t>（不再执行价格评审优惠的扶持政策）。</w:t>
            </w:r>
          </w:p>
          <w:p w14:paraId="51950867">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本次采购标的对应的中小企业划分标准所属行业：</w:t>
            </w:r>
            <w:r>
              <w:rPr>
                <w:rFonts w:hint="eastAsia" w:ascii="宋体" w:hAnsi="宋体" w:eastAsia="宋体" w:cs="宋体"/>
                <w:b/>
                <w:bCs/>
                <w:color w:val="auto"/>
                <w:highlight w:val="none"/>
                <w:lang w:val="en-US" w:eastAsia="zh-CN"/>
              </w:rPr>
              <w:t>建筑业</w:t>
            </w:r>
          </w:p>
          <w:p w14:paraId="76766AE6">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795FCF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提供由省级以上监狱管理局、戒毒管理局（含新疆生产建设兵团）出具的属于监狱企业证明文件的，视同为小型和微型企业。</w:t>
            </w:r>
          </w:p>
          <w:p w14:paraId="50839E29">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符合享受政府采购支持政策的残疾人福利性单位条件且提供《残疾人福利性单位声明函》的，视同为小型和微型企业。</w:t>
            </w:r>
          </w:p>
        </w:tc>
      </w:tr>
      <w:tr w14:paraId="7D4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12973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918" w:type="dxa"/>
            <w:vAlign w:val="center"/>
          </w:tcPr>
          <w:p w14:paraId="3B33FCC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7163" w:type="dxa"/>
            <w:vAlign w:val="center"/>
          </w:tcPr>
          <w:p w14:paraId="44EF044A">
            <w:pPr>
              <w:autoSpaceDE w:val="0"/>
              <w:adjustRightInd w:val="0"/>
              <w:snapToGrid w:val="0"/>
              <w:spacing w:line="5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rPr>
              <w:t>本项目强制节能产品：</w:t>
            </w:r>
            <w:r>
              <w:rPr>
                <w:rFonts w:hint="eastAsia" w:ascii="宋体" w:hAnsi="宋体" w:eastAsia="宋体" w:cs="宋体"/>
                <w:bCs/>
                <w:color w:val="auto"/>
                <w:szCs w:val="21"/>
                <w:highlight w:val="none"/>
                <w:lang w:val="en-US" w:eastAsia="zh-CN"/>
              </w:rPr>
              <w:t>无</w:t>
            </w:r>
          </w:p>
          <w:p w14:paraId="1E3D4C0E">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22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90DCA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918" w:type="dxa"/>
            <w:vAlign w:val="center"/>
          </w:tcPr>
          <w:p w14:paraId="45E9DA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网络关键设备、网络安全专用产品要求</w:t>
            </w:r>
          </w:p>
        </w:tc>
        <w:tc>
          <w:tcPr>
            <w:tcW w:w="7163" w:type="dxa"/>
            <w:vAlign w:val="center"/>
          </w:tcPr>
          <w:p w14:paraId="085E2BB6">
            <w:pPr>
              <w:autoSpaceDE w:val="0"/>
              <w:autoSpaceDN w:val="0"/>
              <w:adjustRightIn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本项目网络关键设备：</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val="zh-CN"/>
              </w:rPr>
              <w:t>；网络安全专用产品：</w:t>
            </w:r>
            <w:r>
              <w:rPr>
                <w:rFonts w:hint="eastAsia" w:ascii="宋体" w:hAnsi="宋体" w:eastAsia="宋体" w:cs="宋体"/>
                <w:bCs/>
                <w:color w:val="auto"/>
                <w:szCs w:val="21"/>
                <w:highlight w:val="none"/>
                <w:lang w:val="en-US" w:eastAsia="zh-CN"/>
              </w:rPr>
              <w:t xml:space="preserve">无 </w:t>
            </w:r>
          </w:p>
          <w:p w14:paraId="34707C0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63AA6055">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11348893">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1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①</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网络关键设备和网络安全专用产品安全认证证书；</w:t>
            </w:r>
          </w:p>
          <w:p w14:paraId="612DFDC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2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②</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网络关键设备安全检测证书、网络安全专用产品安全检测证书；</w:t>
            </w:r>
          </w:p>
          <w:p w14:paraId="6D2D98A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3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③</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计算机信息系统安全专用产品销售许可证；</w:t>
            </w:r>
          </w:p>
          <w:p w14:paraId="7E0603B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4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④</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3FC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BAD830">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918" w:type="dxa"/>
            <w:shd w:val="clear" w:color="auto" w:fill="auto"/>
            <w:vAlign w:val="center"/>
          </w:tcPr>
          <w:p w14:paraId="041CCE08">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7163" w:type="dxa"/>
            <w:shd w:val="clear" w:color="auto" w:fill="auto"/>
            <w:vAlign w:val="center"/>
          </w:tcPr>
          <w:p w14:paraId="0DF8573A">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1C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3E8ACD5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26</w:t>
            </w:r>
          </w:p>
        </w:tc>
        <w:tc>
          <w:tcPr>
            <w:tcW w:w="1918" w:type="dxa"/>
            <w:vAlign w:val="center"/>
          </w:tcPr>
          <w:p w14:paraId="505623A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7163" w:type="dxa"/>
            <w:vAlign w:val="center"/>
          </w:tcPr>
          <w:p w14:paraId="0CACCFD8">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无要求</w:t>
            </w:r>
          </w:p>
        </w:tc>
      </w:tr>
      <w:tr w14:paraId="10D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68FED4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27</w:t>
            </w:r>
          </w:p>
        </w:tc>
        <w:tc>
          <w:tcPr>
            <w:tcW w:w="1918" w:type="dxa"/>
            <w:vAlign w:val="center"/>
          </w:tcPr>
          <w:p w14:paraId="276A0B07">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7163" w:type="dxa"/>
            <w:vAlign w:val="center"/>
          </w:tcPr>
          <w:p w14:paraId="7A89610F">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收取标准：以中标（成交）金额为基数参照《河南省招标代理服务收费指导意见》（豫招协[2023]002号）文件中所属类别的收费标准按差额定率累进法计算，由中标人（成交供应商）支付。</w:t>
            </w:r>
          </w:p>
        </w:tc>
      </w:tr>
      <w:tr w14:paraId="5BB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764C925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28</w:t>
            </w:r>
          </w:p>
        </w:tc>
        <w:tc>
          <w:tcPr>
            <w:tcW w:w="1918" w:type="dxa"/>
            <w:vAlign w:val="center"/>
          </w:tcPr>
          <w:p w14:paraId="38615513">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7163" w:type="dxa"/>
            <w:vAlign w:val="center"/>
          </w:tcPr>
          <w:p w14:paraId="49FA099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采购单位委派代表参加磋商小组的，须向</w:t>
            </w:r>
            <w:r>
              <w:rPr>
                <w:rFonts w:hint="eastAsia" w:ascii="宋体" w:hAnsi="宋体" w:eastAsia="宋体" w:cs="宋体"/>
                <w:color w:val="auto"/>
                <w:szCs w:val="21"/>
                <w:highlight w:val="none"/>
                <w:lang w:val="en-US" w:eastAsia="zh-CN"/>
              </w:rPr>
              <w:t>采购代理机构</w:t>
            </w:r>
            <w:r>
              <w:rPr>
                <w:rFonts w:hint="eastAsia" w:ascii="宋体" w:hAnsi="宋体" w:eastAsia="宋体" w:cs="宋体"/>
                <w:color w:val="auto"/>
                <w:szCs w:val="21"/>
                <w:highlight w:val="none"/>
                <w:lang w:val="zh-CN"/>
              </w:rPr>
              <w:t>出具授权函。除授权代表外，采购单位委派纪检监察人员对磋商过程实施监督的须进入禹州市公共资源交易中心九楼电子监督室，并向</w:t>
            </w:r>
            <w:r>
              <w:rPr>
                <w:rFonts w:hint="eastAsia" w:ascii="宋体" w:hAnsi="宋体" w:eastAsia="宋体" w:cs="宋体"/>
                <w:color w:val="auto"/>
                <w:szCs w:val="21"/>
                <w:highlight w:val="none"/>
                <w:lang w:val="en-US" w:eastAsia="zh-CN"/>
              </w:rPr>
              <w:t>采购代理机构出</w:t>
            </w:r>
            <w:r>
              <w:rPr>
                <w:rFonts w:hint="eastAsia" w:ascii="宋体" w:hAnsi="宋体" w:eastAsia="宋体" w:cs="宋体"/>
                <w:color w:val="auto"/>
                <w:szCs w:val="21"/>
                <w:highlight w:val="none"/>
                <w:lang w:val="zh-CN"/>
              </w:rPr>
              <w:t>具授权函，且不得超过2人。</w:t>
            </w:r>
          </w:p>
        </w:tc>
      </w:tr>
      <w:tr w14:paraId="3EF7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49527B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29</w:t>
            </w:r>
          </w:p>
        </w:tc>
        <w:tc>
          <w:tcPr>
            <w:tcW w:w="1918" w:type="dxa"/>
            <w:vAlign w:val="center"/>
          </w:tcPr>
          <w:p w14:paraId="0F656BD8">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7163" w:type="dxa"/>
            <w:vAlign w:val="center"/>
          </w:tcPr>
          <w:p w14:paraId="522CEC6D">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602B589D">
            <w:pPr>
              <w:autoSpaceDE w:val="0"/>
              <w:autoSpaceDN w:val="0"/>
              <w:adjustRightInd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□否。供应商投标时须提供纸质响应文件。供应商资质、业绩、荣誉及相关人员证明材料等资料原件根据磋商文件要求提供。</w:t>
            </w:r>
          </w:p>
        </w:tc>
      </w:tr>
      <w:tr w14:paraId="3FE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CF87B1B">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30</w:t>
            </w:r>
          </w:p>
        </w:tc>
        <w:tc>
          <w:tcPr>
            <w:tcW w:w="1918" w:type="dxa"/>
            <w:vAlign w:val="center"/>
          </w:tcPr>
          <w:p w14:paraId="0C6C8931">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最后报价</w:t>
            </w:r>
          </w:p>
        </w:tc>
        <w:tc>
          <w:tcPr>
            <w:tcW w:w="7163" w:type="dxa"/>
            <w:vAlign w:val="center"/>
          </w:tcPr>
          <w:p w14:paraId="2D37035F">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根据磋商小组要求，供应商须使用CA数字证书登录《全国公共资源交易平台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河南省▪许昌市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》公共资源交易系统</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https://ggzy.xuchang.gov.cn）</w:t>
            </w:r>
            <w:r>
              <w:rPr>
                <w:rFonts w:hint="eastAsia" w:ascii="宋体" w:hAnsi="宋体" w:eastAsia="宋体" w:cs="宋体"/>
                <w:color w:val="auto"/>
                <w:highlight w:val="none"/>
              </w:rPr>
              <w:t>进行最后报价，最后报价应包括：①总报价②分项报价。</w:t>
            </w:r>
          </w:p>
          <w:p w14:paraId="47FCBE5D">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p>
          <w:p w14:paraId="10194085">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①磋商小组要求供应商提交最后报价时，在磋商小组规定时间内，供应商应提交最后报价（包括总报价及分项报价）。最后报价是供应商响应文件的有效组成部分。</w:t>
            </w:r>
          </w:p>
          <w:p w14:paraId="76249293">
            <w:pPr>
              <w:autoSpaceDE w:val="0"/>
              <w:autoSpaceDN w:val="0"/>
              <w:adjustRightInd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②磋商文件第二章“采购需求”中“采购清单”以工程量清单提供的，供应商应以工程量清单方式提交最后报价。</w:t>
            </w:r>
          </w:p>
          <w:p w14:paraId="12D3F3B3">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③请供应商根据项目情况，可提前准备分项报价。</w:t>
            </w:r>
          </w:p>
        </w:tc>
      </w:tr>
      <w:tr w14:paraId="2B3E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1EB58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918" w:type="dxa"/>
            <w:vAlign w:val="center"/>
          </w:tcPr>
          <w:p w14:paraId="156C457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特别提示</w:t>
            </w:r>
          </w:p>
        </w:tc>
        <w:tc>
          <w:tcPr>
            <w:tcW w:w="7163" w:type="dxa"/>
            <w:vAlign w:val="center"/>
          </w:tcPr>
          <w:p w14:paraId="2097CDD7">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按照《关于推进全流程电子化交易和在线监管工作有关问题的通知》（许公管办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w:t>
            </w:r>
          </w:p>
          <w:p w14:paraId="1F2845FB">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F255E9D">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rPr>
              <w:t>评审专家应严格按照要求查看“硬件特征码”相关信息并进行评审，在评审报告中显示“不同供应商电子响应文件制作硬件特征码”是否雷同的分析及判定结果。</w:t>
            </w:r>
          </w:p>
        </w:tc>
      </w:tr>
      <w:tr w14:paraId="6D3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E69DF1">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1918" w:type="dxa"/>
            <w:vAlign w:val="center"/>
          </w:tcPr>
          <w:p w14:paraId="1DCD29A0">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供应商资格</w:t>
            </w:r>
            <w:r>
              <w:rPr>
                <w:rFonts w:hint="eastAsia" w:ascii="宋体" w:hAnsi="宋体" w:eastAsia="宋体" w:cs="宋体"/>
                <w:color w:val="auto"/>
                <w:szCs w:val="21"/>
                <w:highlight w:val="none"/>
                <w:lang w:val="en-US" w:eastAsia="zh-CN"/>
              </w:rPr>
              <w:t>核验</w:t>
            </w:r>
          </w:p>
        </w:tc>
        <w:tc>
          <w:tcPr>
            <w:tcW w:w="7163" w:type="dxa"/>
            <w:vAlign w:val="center"/>
          </w:tcPr>
          <w:p w14:paraId="782DBC50">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highlight w:val="none"/>
              </w:rPr>
              <w:t>供应商在成交后，应将由《禹州市政府采购供应商信用承诺函》替代的证明材料提交采购人核验，经核验无误后，发出成交通知书。</w:t>
            </w:r>
          </w:p>
          <w:p w14:paraId="66565C00">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4BE9446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71DF0CC9">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945CE72">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35E1A88D">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523B9B7E">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0A6CFDA9">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73D3E65">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47301F2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2F1FB22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4A2658F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18B0157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3EAB6B17">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645A6A2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63C4ADE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37F9068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64C8B4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2DBD9F14">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30EE60D">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
                <w:sz w:val="22"/>
              </w:rPr>
              <w:t>三、依法缴纳税收相关材料</w:t>
            </w:r>
          </w:p>
          <w:p w14:paraId="2F10D818">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参加本次政府采购项目磋商响应截止时间前一年内任意一个月缴纳税收凭据。（依法免税的供应商，应提供相应文件证明依法免税）</w:t>
            </w:r>
          </w:p>
          <w:p w14:paraId="29DB9B1C">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四、依法缴纳社会保障资金的证明材料</w:t>
            </w:r>
          </w:p>
          <w:p w14:paraId="46AA67C4">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参加本次政府采购项目磋商响应截止时间前一年内任意一个月缴纳社会保险凭据。（依法不需要缴纳社会保障资金的供应商，应提供相应文件证明依法不需要缴纳社会保障资金）</w:t>
            </w:r>
          </w:p>
          <w:p w14:paraId="770CD745">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五、履行合同所必需的设备和专业技术能力的证明材料</w:t>
            </w:r>
          </w:p>
          <w:p w14:paraId="30A3BEDB">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593D2AF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w:t>
            </w:r>
            <w:r>
              <w:rPr>
                <w:rFonts w:hint="eastAsia" w:ascii="宋体" w:hAnsi="宋体" w:eastAsia="宋体" w:cs="宋体"/>
                <w:bCs/>
                <w:color w:val="auto"/>
                <w:szCs w:val="21"/>
                <w:highlight w:val="none"/>
                <w:lang w:eastAsia="zh-CN"/>
              </w:rPr>
              <w:t>所必需的</w:t>
            </w:r>
            <w:r>
              <w:rPr>
                <w:rFonts w:hint="eastAsia" w:ascii="宋体" w:hAnsi="宋体" w:eastAsia="宋体" w:cs="宋体"/>
                <w:bCs/>
                <w:color w:val="auto"/>
                <w:szCs w:val="21"/>
                <w:highlight w:val="none"/>
              </w:rPr>
              <w:t>设备和专业技术能力承诺函或声明（承诺函或声明格式自拟）。</w:t>
            </w:r>
          </w:p>
          <w:p w14:paraId="7A11B4A2">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14:paraId="77D8C7C3">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41DC341B">
            <w:pPr>
              <w:autoSpaceDE w:val="0"/>
              <w:autoSpaceDN w:val="0"/>
              <w:spacing w:line="360" w:lineRule="auto"/>
              <w:contextualSpacing/>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DF7D375">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③“中国社会组织政务服务平台”网站（https://chinanpo.mca.gov.cn）（仅查询社会组织）；</w:t>
            </w:r>
          </w:p>
        </w:tc>
      </w:tr>
      <w:tr w14:paraId="6135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3FD78D6">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w:t>
            </w:r>
          </w:p>
        </w:tc>
        <w:tc>
          <w:tcPr>
            <w:tcW w:w="1918" w:type="dxa"/>
            <w:vAlign w:val="center"/>
          </w:tcPr>
          <w:p w14:paraId="0D3EBC1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投诉渠道</w:t>
            </w:r>
          </w:p>
        </w:tc>
        <w:tc>
          <w:tcPr>
            <w:tcW w:w="7163" w:type="dxa"/>
            <w:vAlign w:val="center"/>
          </w:tcPr>
          <w:p w14:paraId="7A6103A4">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供应商在评标结果和中标结果公示期间，按照《政府采购质疑和投诉办法》的有关规定，已质疑的供应商可以依法向财政部门提起书面投诉。</w:t>
            </w:r>
          </w:p>
          <w:p w14:paraId="4C910E01">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受理部门：禹州市政府采购监督管理办公室</w:t>
            </w:r>
          </w:p>
          <w:p w14:paraId="04A4BB88">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受理电话：0374-8112523 </w:t>
            </w:r>
          </w:p>
          <w:p w14:paraId="5F7FC45B">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电子邮箱：yzscgb8112523@163.com</w:t>
            </w:r>
          </w:p>
          <w:p w14:paraId="6A4B4F16">
            <w:pPr>
              <w:autoSpaceDE w:val="0"/>
              <w:autoSpaceDN w:val="0"/>
              <w:spacing w:line="360" w:lineRule="auto"/>
              <w:contextualSpacing/>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Cs w:val="21"/>
                <w:highlight w:val="none"/>
              </w:rPr>
              <w:t xml:space="preserve">   通讯地址：禹州市行政北路2号禹州市财政局1305房间</w:t>
            </w:r>
          </w:p>
        </w:tc>
      </w:tr>
      <w:tr w14:paraId="67A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A58FDE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1918" w:type="dxa"/>
            <w:shd w:val="clear" w:color="auto" w:fill="auto"/>
            <w:vAlign w:val="center"/>
          </w:tcPr>
          <w:p w14:paraId="27743C09">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7163" w:type="dxa"/>
            <w:shd w:val="clear" w:color="auto" w:fill="auto"/>
            <w:vAlign w:val="center"/>
          </w:tcPr>
          <w:p w14:paraId="46B5C5AA">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1.投标（响应）报价低于全部通过符合性审查供应商投标（响应）报价平均值50%的；</w:t>
            </w:r>
          </w:p>
          <w:p w14:paraId="729DAB33">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2.投标（响应）报价低于通过符合性审查的次低报价供应商投标（响应）报价50%的；</w:t>
            </w:r>
          </w:p>
          <w:p w14:paraId="44FD8338">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3.投标（响应）报价低于采购项目最高限价45%的；</w:t>
            </w:r>
          </w:p>
          <w:p w14:paraId="32295EFE">
            <w:pPr>
              <w:autoSpaceDE w:val="0"/>
              <w:autoSpaceDN w:val="0"/>
              <w:adjustRightInd w:val="0"/>
              <w:spacing w:line="360" w:lineRule="auto"/>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4.磋商小组基于专业判断，认为供应商报价过低，有可能影响产品质量或者不能诚信履约的其他情形。</w:t>
            </w:r>
          </w:p>
          <w:p w14:paraId="01C0D5C4">
            <w:pPr>
              <w:autoSpaceDE w:val="0"/>
              <w:autoSpaceDN w:val="0"/>
              <w:adjustRightInd w:val="0"/>
              <w:spacing w:line="360" w:lineRule="auto"/>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Cs/>
                <w:color w:val="auto"/>
                <w:szCs w:val="21"/>
                <w:highlight w:val="none"/>
                <w:lang w:val="en-US" w:eastAsia="zh-CN"/>
              </w:rPr>
              <w:t>5.相关法律法规对供应商报价有规定的，从其规定。</w:t>
            </w:r>
          </w:p>
        </w:tc>
      </w:tr>
      <w:tr w14:paraId="012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A8C05BD">
            <w:pPr>
              <w:autoSpaceDE w:val="0"/>
              <w:autoSpaceDN w:val="0"/>
              <w:spacing w:line="360" w:lineRule="auto"/>
              <w:contextualSpacing/>
              <w:rPr>
                <w:rFonts w:hint="eastAsia" w:ascii="宋体" w:hAnsi="宋体" w:eastAsia="宋体" w:cs="宋体"/>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4F0761D4">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356A95CF">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3970FB76">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4E06D07C">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61A8B238">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553CA24D">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572D7035">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723007FC">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04864C66">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p>
    <w:p w14:paraId="191E8685">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sectPr>
          <w:footerReference r:id="rId3" w:type="default"/>
          <w:pgSz w:w="11906" w:h="16838"/>
          <w:pgMar w:top="1440" w:right="1531" w:bottom="1440" w:left="1531" w:header="851" w:footer="992" w:gutter="0"/>
          <w:pgNumType w:fmt="decimal" w:start="1"/>
          <w:cols w:space="425" w:num="1"/>
          <w:docGrid w:type="lines" w:linePitch="312" w:charSpace="0"/>
        </w:sectPr>
      </w:pPr>
    </w:p>
    <w:p w14:paraId="13C69FAD">
      <w:pPr>
        <w:tabs>
          <w:tab w:val="left" w:pos="1260"/>
        </w:tabs>
        <w:autoSpaceDE w:val="0"/>
        <w:autoSpaceDN w:val="0"/>
        <w:adjustRightInd w:val="0"/>
        <w:spacing w:line="360" w:lineRule="auto"/>
        <w:ind w:firstLine="2570" w:firstLineChars="800"/>
        <w:contextualSpacing/>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50914F1D">
      <w:pPr>
        <w:pStyle w:val="34"/>
        <w:numPr>
          <w:ilvl w:val="0"/>
          <w:numId w:val="6"/>
        </w:numPr>
        <w:tabs>
          <w:tab w:val="left" w:pos="1260"/>
        </w:tabs>
        <w:autoSpaceDE w:val="0"/>
        <w:autoSpaceDN w:val="0"/>
        <w:adjustRightInd w:val="0"/>
        <w:spacing w:line="360" w:lineRule="auto"/>
        <w:ind w:firstLineChars="0"/>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概念释义</w:t>
      </w:r>
    </w:p>
    <w:p w14:paraId="6794C4B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4DA9E80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w:t>
      </w:r>
      <w:r>
        <w:rPr>
          <w:rFonts w:hint="eastAsia" w:ascii="宋体" w:hAnsi="宋体" w:eastAsia="宋体" w:cs="宋体"/>
          <w:color w:val="auto"/>
          <w:kern w:val="0"/>
          <w:szCs w:val="21"/>
          <w:highlight w:val="none"/>
        </w:rPr>
        <w:t>本磋商文件仅适用于本次“采购邀请”</w:t>
      </w:r>
      <w:r>
        <w:rPr>
          <w:rFonts w:hint="eastAsia" w:ascii="宋体" w:hAnsi="宋体" w:eastAsia="宋体" w:cs="宋体"/>
          <w:color w:val="auto"/>
          <w:szCs w:val="21"/>
          <w:highlight w:val="none"/>
        </w:rPr>
        <w:t>中所述采购项目的采购。</w:t>
      </w:r>
    </w:p>
    <w:p w14:paraId="3A8E123D">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 </w:t>
      </w:r>
      <w:r>
        <w:rPr>
          <w:rFonts w:hint="eastAsia" w:ascii="宋体" w:hAnsi="宋体" w:eastAsia="宋体" w:cs="宋体"/>
          <w:color w:val="auto"/>
          <w:kern w:val="0"/>
          <w:szCs w:val="21"/>
          <w:highlight w:val="none"/>
        </w:rPr>
        <w:t>本磋商文件解释权属于“采购邀请”所述的采购人。</w:t>
      </w:r>
    </w:p>
    <w:p w14:paraId="4646C36E">
      <w:pPr>
        <w:pStyle w:val="34"/>
        <w:autoSpaceDE w:val="0"/>
        <w:autoSpaceDN w:val="0"/>
        <w:spacing w:line="360" w:lineRule="auto"/>
        <w:ind w:left="-424" w:leftChars="-202" w:firstLine="424" w:firstLineChars="201"/>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783E793B">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 </w:t>
      </w:r>
      <w:r>
        <w:rPr>
          <w:rFonts w:hint="eastAsia" w:ascii="宋体" w:hAnsi="宋体" w:eastAsia="宋体" w:cs="宋体"/>
          <w:color w:val="auto"/>
          <w:kern w:val="0"/>
          <w:szCs w:val="21"/>
          <w:highlight w:val="none"/>
        </w:rPr>
        <w:t>“采购项目”：</w:t>
      </w:r>
      <w:r>
        <w:rPr>
          <w:rFonts w:hint="eastAsia" w:ascii="宋体" w:hAnsi="宋体" w:eastAsia="宋体" w:cs="宋体"/>
          <w:color w:val="auto"/>
          <w:szCs w:val="21"/>
          <w:highlight w:val="none"/>
        </w:rPr>
        <w:t>系指</w:t>
      </w:r>
      <w:r>
        <w:rPr>
          <w:rFonts w:hint="eastAsia" w:ascii="宋体" w:hAnsi="宋体" w:eastAsia="宋体" w:cs="宋体"/>
          <w:color w:val="auto"/>
          <w:kern w:val="0"/>
          <w:szCs w:val="21"/>
          <w:highlight w:val="none"/>
        </w:rPr>
        <w:t>“供应商须知前附表”中所述的采购项目。</w:t>
      </w:r>
    </w:p>
    <w:p w14:paraId="19D859BB">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2.2 </w:t>
      </w:r>
      <w:r>
        <w:rPr>
          <w:rFonts w:hint="eastAsia" w:ascii="宋体" w:hAnsi="宋体" w:eastAsia="宋体" w:cs="宋体"/>
          <w:color w:val="auto"/>
          <w:kern w:val="0"/>
          <w:szCs w:val="21"/>
          <w:highlight w:val="none"/>
        </w:rPr>
        <w:t>“招标人”：</w:t>
      </w:r>
      <w:r>
        <w:rPr>
          <w:rFonts w:hint="eastAsia" w:ascii="宋体" w:hAnsi="宋体" w:eastAsia="宋体" w:cs="宋体"/>
          <w:color w:val="auto"/>
          <w:szCs w:val="21"/>
          <w:highlight w:val="none"/>
        </w:rPr>
        <w:t>“供应商须知前附表”中所述的组织本次采购的代理机构和采购人。</w:t>
      </w:r>
    </w:p>
    <w:p w14:paraId="13FE4D6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 </w:t>
      </w:r>
      <w:r>
        <w:rPr>
          <w:rFonts w:hint="eastAsia" w:ascii="宋体" w:hAnsi="宋体" w:eastAsia="宋体" w:cs="宋体"/>
          <w:color w:val="auto"/>
          <w:kern w:val="0"/>
          <w:szCs w:val="21"/>
          <w:highlight w:val="none"/>
        </w:rPr>
        <w:t>“采购人”：是指依法进行政府采购的国家机关、事业单位、团体组织。采购人名称、地址、电话、联系人见“供应商须知前附表”。</w:t>
      </w:r>
    </w:p>
    <w:p w14:paraId="7E644AF1">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2.4 </w:t>
      </w:r>
      <w:r>
        <w:rPr>
          <w:rFonts w:hint="eastAsia" w:ascii="宋体" w:hAnsi="宋体" w:eastAsia="宋体" w:cs="宋体"/>
          <w:color w:val="auto"/>
          <w:kern w:val="0"/>
          <w:szCs w:val="21"/>
          <w:highlight w:val="none"/>
        </w:rPr>
        <w:t>“代理机构”：接受采购人委托，代理采购项目的采购代理机构。代理机构名称、地址、 电话、联系人见“供应商须知前附表”。</w:t>
      </w:r>
    </w:p>
    <w:p w14:paraId="63FCB46B">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 </w:t>
      </w:r>
      <w:r>
        <w:rPr>
          <w:rFonts w:hint="eastAsia" w:ascii="宋体" w:hAnsi="宋体" w:eastAsia="宋体" w:cs="宋体"/>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财库</w:t>
      </w:r>
      <w:r>
        <w:rPr>
          <w:rFonts w:hint="eastAsia" w:ascii="宋体" w:hAnsi="宋体" w:eastAsia="宋体" w:cs="宋体"/>
          <w:color w:val="auto"/>
          <w:kern w:val="0"/>
          <w:szCs w:val="21"/>
          <w:highlight w:val="none"/>
          <w:lang w:eastAsia="zh-CN"/>
        </w:rPr>
        <w:t>〔2007〕119号）</w:t>
      </w:r>
      <w:r>
        <w:rPr>
          <w:rFonts w:hint="eastAsia" w:ascii="宋体" w:hAnsi="宋体" w:eastAsia="宋体" w:cs="宋体"/>
          <w:color w:val="auto"/>
          <w:kern w:val="0"/>
          <w:szCs w:val="21"/>
          <w:highlight w:val="none"/>
        </w:rPr>
        <w:t>、《关于政府采购进口产品管理有关问题的通知》（财办库</w:t>
      </w:r>
      <w:r>
        <w:rPr>
          <w:rFonts w:hint="eastAsia" w:ascii="宋体" w:hAnsi="宋体" w:eastAsia="宋体" w:cs="宋体"/>
          <w:color w:val="auto"/>
          <w:kern w:val="0"/>
          <w:szCs w:val="21"/>
          <w:highlight w:val="none"/>
          <w:lang w:eastAsia="zh-CN"/>
        </w:rPr>
        <w:t>〔2008〕</w:t>
      </w:r>
      <w:r>
        <w:rPr>
          <w:rFonts w:hint="eastAsia" w:ascii="宋体" w:hAnsi="宋体" w:eastAsia="宋体" w:cs="宋体"/>
          <w:color w:val="auto"/>
          <w:kern w:val="0"/>
          <w:szCs w:val="21"/>
          <w:highlight w:val="none"/>
        </w:rPr>
        <w:t>248 号）。</w:t>
      </w:r>
    </w:p>
    <w:p w14:paraId="4811E3EE">
      <w:pPr>
        <w:autoSpaceDE w:val="0"/>
        <w:autoSpaceDN w:val="0"/>
        <w:spacing w:line="360" w:lineRule="auto"/>
        <w:ind w:left="1415" w:leftChars="199"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磋商文件未列明允许进口产品参加响应的，均视为拒绝进口产品参加响应。</w:t>
      </w:r>
    </w:p>
    <w:p w14:paraId="1ACC91D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如响应文件中已说明，经财政部门审核同意，允许部分或全部产品采购进口产品，供应商既可提供本国产品，也可以提供进口产品。</w:t>
      </w:r>
    </w:p>
    <w:p w14:paraId="0A3AA2F6">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 </w:t>
      </w:r>
      <w:r>
        <w:rPr>
          <w:rFonts w:hint="eastAsia" w:ascii="宋体" w:hAnsi="宋体" w:eastAsia="宋体" w:cs="宋体"/>
          <w:color w:val="auto"/>
          <w:kern w:val="0"/>
          <w:szCs w:val="21"/>
          <w:highlight w:val="none"/>
        </w:rPr>
        <w:t>磋商文件中凡标有“★”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技术参数中的除外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的条款均系实质性要求条款。</w:t>
      </w:r>
    </w:p>
    <w:p w14:paraId="7956C3DB">
      <w:pPr>
        <w:pStyle w:val="34"/>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6BD1EE1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 </w:t>
      </w:r>
      <w:r>
        <w:rPr>
          <w:rFonts w:hint="eastAsia" w:ascii="宋体" w:hAnsi="宋体" w:eastAsia="宋体" w:cs="宋体"/>
          <w:color w:val="auto"/>
          <w:kern w:val="0"/>
          <w:szCs w:val="21"/>
          <w:highlight w:val="none"/>
        </w:rPr>
        <w:t>在中华人民共和国境内注册，具有本项目生产、制造、供应或实施能力，符合、承认并承诺履行本磋商文件各项规定的法人、其他组织或者自然人。</w:t>
      </w:r>
    </w:p>
    <w:p w14:paraId="6CDDB75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 </w:t>
      </w:r>
      <w:r>
        <w:rPr>
          <w:rFonts w:hint="eastAsia" w:ascii="宋体" w:hAnsi="宋体" w:eastAsia="宋体" w:cs="宋体"/>
          <w:color w:val="auto"/>
          <w:kern w:val="0"/>
          <w:szCs w:val="21"/>
          <w:highlight w:val="none"/>
        </w:rPr>
        <w:t>符合本项目“投标邀请”和“供应商须知前附表”中规定的合格供应商所必须具备的条</w:t>
      </w:r>
    </w:p>
    <w:p w14:paraId="748EAFDC">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件。</w:t>
      </w:r>
    </w:p>
    <w:p w14:paraId="4314534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 </w:t>
      </w:r>
      <w:r>
        <w:rPr>
          <w:rFonts w:hint="eastAsia" w:ascii="宋体" w:hAnsi="宋体" w:eastAsia="宋体" w:cs="宋体"/>
          <w:color w:val="auto"/>
          <w:szCs w:val="21"/>
          <w:highlight w:val="none"/>
        </w:rPr>
        <w:t>按照财政部《</w:t>
      </w:r>
      <w:r>
        <w:rPr>
          <w:rFonts w:hint="eastAsia" w:ascii="宋体" w:hAnsi="宋体" w:eastAsia="宋体" w:cs="宋体"/>
          <w:bCs/>
          <w:color w:val="auto"/>
          <w:szCs w:val="21"/>
          <w:highlight w:val="none"/>
        </w:rPr>
        <w:t>关于在政府采购活动中查询及使用信用记录有关问题的通知</w:t>
      </w:r>
      <w:r>
        <w:rPr>
          <w:rFonts w:hint="eastAsia" w:ascii="宋体" w:hAnsi="宋体" w:eastAsia="宋体" w:cs="宋体"/>
          <w:color w:val="auto"/>
          <w:szCs w:val="21"/>
          <w:highlight w:val="none"/>
        </w:rPr>
        <w:t>》（财库</w:t>
      </w:r>
      <w:r>
        <w:rPr>
          <w:rFonts w:hint="eastAsia" w:ascii="宋体" w:hAnsi="宋体" w:eastAsia="宋体" w:cs="宋体"/>
          <w:bCs/>
          <w:color w:val="auto"/>
          <w:szCs w:val="21"/>
          <w:highlight w:val="none"/>
        </w:rPr>
        <w:t>〔2016〕</w:t>
      </w:r>
      <w:r>
        <w:rPr>
          <w:rFonts w:hint="eastAsia" w:ascii="宋体" w:hAnsi="宋体" w:eastAsia="宋体" w:cs="宋体"/>
          <w:color w:val="auto"/>
          <w:szCs w:val="21"/>
          <w:highlight w:val="none"/>
        </w:rPr>
        <w:t>125号）要求，</w:t>
      </w:r>
      <w:r>
        <w:rPr>
          <w:rFonts w:hint="eastAsia" w:ascii="宋体" w:hAnsi="宋体" w:eastAsia="宋体" w:cs="宋体"/>
          <w:color w:val="auto"/>
          <w:kern w:val="0"/>
          <w:szCs w:val="21"/>
          <w:highlight w:val="none"/>
        </w:rPr>
        <w:t>政府采购活动中查询及使用供应商信用记录的具体要求为：供应商未被列入失信被执行人、重大税收违法失信主体的供应商、</w:t>
      </w:r>
      <w:r>
        <w:rPr>
          <w:rFonts w:hint="eastAsia" w:ascii="宋体" w:hAnsi="宋体" w:eastAsia="宋体" w:cs="宋体"/>
          <w:color w:val="auto"/>
          <w:szCs w:val="21"/>
          <w:highlight w:val="none"/>
          <w:shd w:val="clear" w:color="auto" w:fill="FFFFFF"/>
        </w:rPr>
        <w:t>政府采购严重违法失信行为记录名单、</w:t>
      </w:r>
      <w:r>
        <w:rPr>
          <w:rFonts w:hint="eastAsia" w:ascii="宋体" w:hAnsi="宋体" w:eastAsia="宋体" w:cs="宋体"/>
          <w:color w:val="auto"/>
          <w:kern w:val="0"/>
          <w:szCs w:val="21"/>
          <w:highlight w:val="none"/>
        </w:rPr>
        <w:t>严重违法失信社会组织名单</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5FABB87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3.3.1</w:t>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"http://www.chinanpo.gov.cn" </w:instrText>
      </w:r>
      <w:r>
        <w:rPr>
          <w:rFonts w:hint="eastAsia" w:ascii="宋体" w:hAnsi="宋体" w:eastAsia="宋体" w:cs="宋体"/>
          <w:color w:val="auto"/>
          <w:highlight w:val="none"/>
          <w:u w:val="none"/>
        </w:rPr>
        <w:fldChar w:fldCharType="separate"/>
      </w:r>
      <w:r>
        <w:rPr>
          <w:rStyle w:val="25"/>
          <w:rFonts w:hint="eastAsia" w:ascii="宋体" w:hAnsi="宋体" w:eastAsia="宋体" w:cs="宋体"/>
          <w:color w:val="auto"/>
          <w:szCs w:val="21"/>
          <w:highlight w:val="none"/>
          <w:u w:val="none"/>
        </w:rPr>
        <w:t>https://chinanpo.mca.gov.cn</w:t>
      </w:r>
      <w:r>
        <w:rPr>
          <w:rStyle w:val="25"/>
          <w:rFonts w:hint="eastAsia" w:ascii="宋体" w:hAnsi="宋体" w:eastAsia="宋体" w:cs="宋体"/>
          <w:color w:val="auto"/>
          <w:szCs w:val="21"/>
          <w:highlight w:val="none"/>
          <w:u w:val="none"/>
        </w:rPr>
        <w:fldChar w:fldCharType="end"/>
      </w:r>
      <w:r>
        <w:rPr>
          <w:rFonts w:hint="eastAsia" w:ascii="宋体" w:hAnsi="宋体" w:eastAsia="宋体" w:cs="宋体"/>
          <w:color w:val="auto"/>
          <w:kern w:val="0"/>
          <w:szCs w:val="21"/>
          <w:highlight w:val="none"/>
        </w:rPr>
        <w:t>）；</w:t>
      </w:r>
    </w:p>
    <w:p w14:paraId="4DA70F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 </w:t>
      </w:r>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p>
    <w:p w14:paraId="35C13B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 </w:t>
      </w:r>
      <w:r>
        <w:rPr>
          <w:rFonts w:hint="eastAsia" w:ascii="宋体" w:hAnsi="宋体" w:eastAsia="宋体" w:cs="宋体"/>
          <w:color w:val="auto"/>
          <w:kern w:val="0"/>
          <w:szCs w:val="21"/>
          <w:highlight w:val="none"/>
        </w:rPr>
        <w:t>为采购项目提供整体设计、规范编制或者项目管理、监理、检测等服务的供应商，不得再参加该采购项目的其他采购活动。</w:t>
      </w:r>
    </w:p>
    <w:p w14:paraId="683DA2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 </w:t>
      </w:r>
      <w:r>
        <w:rPr>
          <w:rFonts w:hint="eastAsia" w:ascii="宋体" w:hAnsi="宋体" w:eastAsia="宋体" w:cs="宋体"/>
          <w:color w:val="auto"/>
          <w:kern w:val="0"/>
          <w:szCs w:val="21"/>
          <w:highlight w:val="none"/>
        </w:rPr>
        <w:t>“投标邀请”和“供应商须知前附表”规定接受联合体投标的，除应符合本章第3.1项和3.2项要求外，还应遵守以下规定：</w:t>
      </w:r>
    </w:p>
    <w:p w14:paraId="7E41298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3.6.1</w:t>
      </w:r>
      <w:r>
        <w:rPr>
          <w:rFonts w:hint="eastAsia" w:ascii="宋体" w:hAnsi="宋体" w:eastAsia="宋体" w:cs="宋体"/>
          <w:color w:val="auto"/>
          <w:kern w:val="0"/>
          <w:szCs w:val="21"/>
          <w:highlight w:val="none"/>
        </w:rPr>
        <w:t>在响应文件中向采购人提交联合体协议书，明确联合体各方承担的工作和义务；</w:t>
      </w:r>
    </w:p>
    <w:p w14:paraId="58366D5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3.6.2</w:t>
      </w:r>
      <w:r>
        <w:rPr>
          <w:rFonts w:hint="eastAsia" w:ascii="宋体" w:hAnsi="宋体" w:eastAsia="宋体" w:cs="宋体"/>
          <w:color w:val="auto"/>
          <w:kern w:val="0"/>
          <w:szCs w:val="21"/>
          <w:highlight w:val="none"/>
        </w:rPr>
        <w:t>联合体中有同类资质的供应商按联合体分工承担相同工作的，应当按照资质等级较低的供应商确定资质等级；</w:t>
      </w:r>
    </w:p>
    <w:p w14:paraId="3F508FF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3.6.3</w:t>
      </w:r>
      <w:r>
        <w:rPr>
          <w:rFonts w:hint="eastAsia" w:ascii="宋体" w:hAnsi="宋体" w:eastAsia="宋体" w:cs="宋体"/>
          <w:color w:val="auto"/>
          <w:kern w:val="0"/>
          <w:szCs w:val="21"/>
          <w:highlight w:val="none"/>
        </w:rPr>
        <w:t>招标人根据采购项目的特殊要求规定供应商特定条件的，联合体各方中至少应当有一方符合采购规定的特定条件；</w:t>
      </w:r>
    </w:p>
    <w:p w14:paraId="347B831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3.6.4</w:t>
      </w:r>
      <w:r>
        <w:rPr>
          <w:rFonts w:hint="eastAsia" w:ascii="宋体" w:hAnsi="宋体" w:eastAsia="宋体" w:cs="宋体"/>
          <w:color w:val="auto"/>
          <w:kern w:val="0"/>
          <w:szCs w:val="21"/>
          <w:highlight w:val="none"/>
        </w:rPr>
        <w:t>联合体各方不得再单独参加或者与其他供应商另外组成联合体参加同一合同项下的政府采购活动；</w:t>
      </w:r>
    </w:p>
    <w:p w14:paraId="630CC7E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3.6.5</w:t>
      </w:r>
      <w:r>
        <w:rPr>
          <w:rFonts w:hint="eastAsia" w:ascii="宋体" w:hAnsi="宋体" w:eastAsia="宋体" w:cs="宋体"/>
          <w:color w:val="auto"/>
          <w:kern w:val="0"/>
          <w:szCs w:val="21"/>
          <w:highlight w:val="none"/>
        </w:rPr>
        <w:t>联合体各方应当共同与采购人签订采购合同，就采购合同约定的事项对采购人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"https://baike.baidu.com/item/%E6%89%BF%E6%8B%85%E8%BF%9E%E5%B8%A6%E8%B4%A3%E4%BB%BB"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承担连带责任</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highlight w:val="none"/>
        </w:rPr>
        <w:t>。</w:t>
      </w:r>
    </w:p>
    <w:p w14:paraId="48E63665">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 </w:t>
      </w:r>
      <w:r>
        <w:rPr>
          <w:rFonts w:hint="eastAsia" w:ascii="宋体" w:hAnsi="宋体" w:eastAsia="宋体" w:cs="宋体"/>
          <w:color w:val="auto"/>
          <w:kern w:val="0"/>
          <w:szCs w:val="21"/>
          <w:highlight w:val="none"/>
        </w:rPr>
        <w:t>法律、行政法规规定的其他条件。</w:t>
      </w:r>
    </w:p>
    <w:p w14:paraId="5D614287">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4.</w:t>
      </w:r>
      <w:r>
        <w:rPr>
          <w:rFonts w:hint="eastAsia" w:ascii="宋体" w:hAnsi="宋体" w:eastAsia="宋体" w:cs="宋体"/>
          <w:b/>
          <w:color w:val="auto"/>
          <w:kern w:val="0"/>
          <w:szCs w:val="21"/>
          <w:highlight w:val="none"/>
        </w:rPr>
        <w:t>合格的货物和服务</w:t>
      </w:r>
    </w:p>
    <w:p w14:paraId="00E750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4.1 </w:t>
      </w:r>
      <w:r>
        <w:rPr>
          <w:rFonts w:hint="eastAsia" w:ascii="宋体" w:hAnsi="宋体" w:eastAsia="宋体" w:cs="宋体"/>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0E7B5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4.2 </w:t>
      </w:r>
      <w:r>
        <w:rPr>
          <w:rFonts w:hint="eastAsia" w:ascii="宋体" w:hAnsi="宋体" w:eastAsia="宋体" w:cs="宋体"/>
          <w:color w:val="auto"/>
          <w:kern w:val="0"/>
          <w:szCs w:val="21"/>
          <w:highlight w:val="none"/>
        </w:rPr>
        <w:t>供应商所提供的服务应当没有侵犯任何第三方的知识产权、技术秘密等合法权利。</w:t>
      </w:r>
    </w:p>
    <w:p w14:paraId="167C963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4.3 </w:t>
      </w:r>
      <w:r>
        <w:rPr>
          <w:rFonts w:hint="eastAsia" w:ascii="宋体" w:hAnsi="宋体" w:eastAsia="宋体" w:cs="宋体"/>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37AC9940">
      <w:pPr>
        <w:autoSpaceDE w:val="0"/>
        <w:autoSpaceDN w:val="0"/>
        <w:spacing w:line="360" w:lineRule="auto"/>
        <w:contextualSpacing/>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val="0"/>
          <w:bCs/>
          <w:color w:val="auto"/>
          <w:kern w:val="0"/>
          <w:szCs w:val="21"/>
          <w:highlight w:val="none"/>
          <w:lang w:val="en-US" w:eastAsia="zh-CN"/>
        </w:rPr>
        <w:t>4.4 根据国家互联网信息办公室、工业和信息化部、公安部和国家认证认可监督管理委员会 2023年第2号《关于调整〈网络关键设备和网络安全专用产品目录〉的公告》及国家互联网信息办公室、工业和信息化部、公安部、财政部和国家认证认可监督管理委员会 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0AA318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5.</w:t>
      </w:r>
      <w:r>
        <w:rPr>
          <w:rFonts w:hint="eastAsia" w:ascii="宋体" w:hAnsi="宋体" w:eastAsia="宋体" w:cs="宋体"/>
          <w:b/>
          <w:color w:val="auto"/>
          <w:kern w:val="0"/>
          <w:szCs w:val="21"/>
          <w:highlight w:val="none"/>
        </w:rPr>
        <w:t>磋商费用</w:t>
      </w:r>
    </w:p>
    <w:p w14:paraId="4E511C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不论采购的结果如何，供应商均应自行承担所有与磋商有关的全部费用，采购人在任何情况下均无义务和责任承担这些费用。</w:t>
      </w:r>
    </w:p>
    <w:p w14:paraId="30A9FCB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6.</w:t>
      </w:r>
      <w:r>
        <w:rPr>
          <w:rFonts w:hint="eastAsia" w:ascii="宋体" w:hAnsi="宋体" w:eastAsia="宋体" w:cs="宋体"/>
          <w:b/>
          <w:color w:val="auto"/>
          <w:kern w:val="0"/>
          <w:szCs w:val="21"/>
          <w:highlight w:val="none"/>
        </w:rPr>
        <w:t>信息发布</w:t>
      </w:r>
    </w:p>
    <w:p w14:paraId="75A0A69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本采购项目需要公开的有关信息，包括磋商公告、磋商文件澄清或修改公告、成交公告以及延长响应文件提交截止时间等与采购活动有关的通知，采购人将</w:t>
      </w:r>
      <w:r>
        <w:rPr>
          <w:rFonts w:hint="eastAsia" w:ascii="宋体" w:hAnsi="宋体" w:eastAsia="宋体" w:cs="宋体"/>
          <w:color w:val="auto"/>
          <w:kern w:val="0"/>
          <w:szCs w:val="21"/>
          <w:highlight w:val="none"/>
          <w:lang w:eastAsia="zh-CN"/>
        </w:rPr>
        <w:t>通过《河南省政府采购网》</w:t>
      </w:r>
      <w:r>
        <w:rPr>
          <w:rFonts w:hint="eastAsia" w:ascii="宋体" w:hAnsi="宋体" w:eastAsia="宋体" w:cs="宋体"/>
          <w:color w:val="auto"/>
          <w:szCs w:val="21"/>
          <w:highlight w:val="none"/>
        </w:rPr>
        <w:t>《许昌市政府采购网》</w:t>
      </w:r>
      <w:r>
        <w:rPr>
          <w:rFonts w:hint="eastAsia" w:ascii="宋体" w:hAnsi="宋体" w:eastAsia="宋体" w:cs="宋体"/>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及因此所产生的一切后果和责任，由供应商自行承担，采购人在任何情况下均不对此承担任何责任。</w:t>
      </w:r>
    </w:p>
    <w:p w14:paraId="5FECB48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7.</w:t>
      </w:r>
      <w:r>
        <w:rPr>
          <w:rFonts w:hint="eastAsia" w:ascii="宋体" w:hAnsi="宋体" w:eastAsia="宋体" w:cs="宋体"/>
          <w:b/>
          <w:color w:val="auto"/>
          <w:kern w:val="0"/>
          <w:szCs w:val="21"/>
          <w:highlight w:val="none"/>
        </w:rPr>
        <w:t>代理费用</w:t>
      </w:r>
    </w:p>
    <w:p w14:paraId="31D0ADE7">
      <w:pPr>
        <w:pStyle w:val="34"/>
        <w:autoSpaceDE w:val="0"/>
        <w:autoSpaceDN w:val="0"/>
        <w:spacing w:line="360" w:lineRule="auto"/>
        <w:ind w:left="0" w:leftChars="0" w:firstLine="420" w:firstLineChars="200"/>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详见供应商须知前附表</w:t>
      </w:r>
      <w:r>
        <w:rPr>
          <w:rFonts w:hint="eastAsia" w:ascii="宋体" w:hAnsi="宋体" w:eastAsia="宋体" w:cs="宋体"/>
          <w:color w:val="auto"/>
          <w:kern w:val="0"/>
          <w:szCs w:val="21"/>
          <w:highlight w:val="none"/>
          <w:lang w:eastAsia="zh-CN"/>
        </w:rPr>
        <w:t>。</w:t>
      </w:r>
    </w:p>
    <w:p w14:paraId="0F26FB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8.</w:t>
      </w:r>
      <w:r>
        <w:rPr>
          <w:rFonts w:hint="eastAsia" w:ascii="宋体" w:hAnsi="宋体" w:eastAsia="宋体" w:cs="宋体"/>
          <w:b/>
          <w:color w:val="auto"/>
          <w:kern w:val="0"/>
          <w:szCs w:val="21"/>
          <w:highlight w:val="none"/>
        </w:rPr>
        <w:t>其他</w:t>
      </w:r>
    </w:p>
    <w:p w14:paraId="70BF8C69">
      <w:pPr>
        <w:autoSpaceDE w:val="0"/>
        <w:autoSpaceDN w:val="0"/>
        <w:spacing w:line="360" w:lineRule="auto"/>
        <w:ind w:firstLine="420" w:firstLineChars="200"/>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供应商须知前附表”和“对响应文件审查与评审”中规定的内容为准。</w:t>
      </w:r>
    </w:p>
    <w:p w14:paraId="700BD536">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二、磋商文件说明</w:t>
      </w:r>
    </w:p>
    <w:p w14:paraId="4F99C064">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9.</w:t>
      </w:r>
      <w:r>
        <w:rPr>
          <w:rFonts w:hint="eastAsia" w:ascii="宋体" w:hAnsi="宋体" w:eastAsia="宋体" w:cs="宋体"/>
          <w:b/>
          <w:color w:val="auto"/>
          <w:kern w:val="0"/>
          <w:szCs w:val="21"/>
          <w:highlight w:val="none"/>
        </w:rPr>
        <w:t>磋商文件构成</w:t>
      </w:r>
    </w:p>
    <w:p w14:paraId="6AF47C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9.1 </w:t>
      </w:r>
      <w:r>
        <w:rPr>
          <w:rFonts w:hint="eastAsia" w:ascii="宋体" w:hAnsi="宋体" w:eastAsia="宋体" w:cs="宋体"/>
          <w:color w:val="auto"/>
          <w:kern w:val="0"/>
          <w:szCs w:val="21"/>
          <w:highlight w:val="none"/>
        </w:rPr>
        <w:t>磋商文件由以下部分组成：</w:t>
      </w:r>
    </w:p>
    <w:p w14:paraId="50EB2AC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6E84A97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07AB44C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E5778E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6251810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20973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（6）对响应文件审查与评审</w:t>
      </w:r>
    </w:p>
    <w:p w14:paraId="27DF602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（7）拟签订的合同文本</w:t>
      </w:r>
    </w:p>
    <w:p w14:paraId="124DF3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553DB84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（9）本项目磋商文件的澄清、答复、修改、补充内容（如有的话）</w:t>
      </w:r>
    </w:p>
    <w:p w14:paraId="707CF93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9.2 </w:t>
      </w:r>
      <w:r>
        <w:rPr>
          <w:rFonts w:hint="eastAsia" w:ascii="宋体" w:hAnsi="宋体" w:eastAsia="宋体" w:cs="宋体"/>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48861B4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9.3 </w:t>
      </w:r>
      <w:r>
        <w:rPr>
          <w:rFonts w:hint="eastAsia" w:ascii="宋体" w:hAnsi="宋体" w:eastAsia="宋体" w:cs="宋体"/>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C89F2E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10.</w:t>
      </w:r>
      <w:r>
        <w:rPr>
          <w:rFonts w:hint="eastAsia" w:ascii="宋体" w:hAnsi="宋体" w:eastAsia="宋体" w:cs="宋体"/>
          <w:b/>
          <w:color w:val="auto"/>
          <w:kern w:val="0"/>
          <w:szCs w:val="21"/>
          <w:highlight w:val="none"/>
        </w:rPr>
        <w:t>现场考察、磋商前答疑会</w:t>
      </w:r>
    </w:p>
    <w:p w14:paraId="1158352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10.1 </w:t>
      </w:r>
      <w:r>
        <w:rPr>
          <w:rFonts w:hint="eastAsia" w:ascii="宋体" w:hAnsi="宋体" w:eastAsia="宋体" w:cs="宋体"/>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109E8C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10.2 </w:t>
      </w:r>
      <w:r>
        <w:rPr>
          <w:rFonts w:hint="eastAsia" w:ascii="宋体" w:hAnsi="宋体" w:eastAsia="宋体" w:cs="宋体"/>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4E1C9BA1">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10.3 </w:t>
      </w:r>
      <w:r>
        <w:rPr>
          <w:rFonts w:hint="eastAsia" w:ascii="宋体" w:hAnsi="宋体" w:eastAsia="宋体" w:cs="宋体"/>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4A2D3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10.4 </w:t>
      </w:r>
      <w:r>
        <w:rPr>
          <w:rFonts w:hint="eastAsia" w:ascii="宋体" w:hAnsi="宋体" w:eastAsia="宋体" w:cs="宋体"/>
          <w:color w:val="auto"/>
          <w:kern w:val="0"/>
          <w:szCs w:val="21"/>
          <w:highlight w:val="none"/>
        </w:rPr>
        <w:t>现场考察及参加磋商前答疑会所发生的费用及一切责任由供应商自行承担。</w:t>
      </w:r>
    </w:p>
    <w:p w14:paraId="65BBE72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11.</w:t>
      </w:r>
      <w:r>
        <w:rPr>
          <w:rFonts w:hint="eastAsia" w:ascii="宋体" w:hAnsi="宋体" w:eastAsia="宋体" w:cs="宋体"/>
          <w:b/>
          <w:color w:val="auto"/>
          <w:kern w:val="0"/>
          <w:szCs w:val="21"/>
          <w:highlight w:val="none"/>
        </w:rPr>
        <w:t>磋商文件的澄清或修改</w:t>
      </w:r>
    </w:p>
    <w:p w14:paraId="5041B34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11.1 </w:t>
      </w:r>
      <w:r>
        <w:rPr>
          <w:rFonts w:hint="eastAsia" w:ascii="宋体" w:hAnsi="宋体" w:eastAsia="宋体" w:cs="宋体"/>
          <w:color w:val="auto"/>
          <w:kern w:val="0"/>
          <w:szCs w:val="21"/>
          <w:highlight w:val="none"/>
        </w:rPr>
        <w:t>在磋商响应截止期前，无论出于何种原因，采购人可主动地或在解答供应商提出的澄清问题时对磋商文件进行修改。</w:t>
      </w:r>
    </w:p>
    <w:p w14:paraId="69545D6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11.2 </w:t>
      </w:r>
      <w:r>
        <w:rPr>
          <w:rFonts w:hint="eastAsia" w:ascii="宋体" w:hAnsi="宋体" w:eastAsia="宋体" w:cs="宋体"/>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3C8A1F2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11.3 </w:t>
      </w:r>
      <w:r>
        <w:rPr>
          <w:rFonts w:hint="eastAsia" w:ascii="宋体" w:hAnsi="宋体" w:eastAsia="宋体" w:cs="宋体"/>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422959C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11.4 </w:t>
      </w:r>
      <w:r>
        <w:rPr>
          <w:rFonts w:hint="eastAsia" w:ascii="宋体" w:hAnsi="宋体" w:eastAsia="宋体" w:cs="宋体"/>
          <w:color w:val="auto"/>
          <w:kern w:val="0"/>
          <w:szCs w:val="21"/>
          <w:highlight w:val="none"/>
        </w:rPr>
        <w:t>如果澄清或者修改发出的时间距规定的磋商响应截止时间不足5日的，采购人将顺延提交响应文件的截止时间。</w:t>
      </w:r>
    </w:p>
    <w:p w14:paraId="377FC68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4EDA616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12.</w:t>
      </w:r>
      <w:r>
        <w:rPr>
          <w:rFonts w:hint="eastAsia" w:ascii="宋体" w:hAnsi="宋体" w:eastAsia="宋体" w:cs="宋体"/>
          <w:b/>
          <w:color w:val="auto"/>
          <w:kern w:val="0"/>
          <w:szCs w:val="21"/>
          <w:highlight w:val="none"/>
        </w:rPr>
        <w:t>响应文件的语言及计量单位</w:t>
      </w:r>
    </w:p>
    <w:p w14:paraId="21F2DFD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12.1 </w:t>
      </w:r>
      <w:r>
        <w:rPr>
          <w:rFonts w:hint="eastAsia" w:ascii="宋体" w:hAnsi="宋体" w:eastAsia="宋体" w:cs="宋体"/>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0CCD2CA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12.2 </w:t>
      </w:r>
      <w:r>
        <w:rPr>
          <w:rFonts w:hint="eastAsia" w:ascii="宋体" w:hAnsi="宋体" w:eastAsia="宋体" w:cs="宋体"/>
          <w:color w:val="auto"/>
          <w:kern w:val="0"/>
          <w:szCs w:val="21"/>
          <w:highlight w:val="none"/>
        </w:rPr>
        <w:t>响应文件计量单位，磋商文件已有明确规定的，使用磋商文件规定的计量单位；磋商文件没有规定的，一律采用中华人民共和国法定计量单位。</w:t>
      </w:r>
    </w:p>
    <w:p w14:paraId="2B2AB3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13.</w:t>
      </w:r>
      <w:r>
        <w:rPr>
          <w:rFonts w:hint="eastAsia" w:ascii="宋体" w:hAnsi="宋体" w:eastAsia="宋体" w:cs="宋体"/>
          <w:b/>
          <w:color w:val="auto"/>
          <w:kern w:val="0"/>
          <w:szCs w:val="21"/>
          <w:highlight w:val="none"/>
        </w:rPr>
        <w:t>报价</w:t>
      </w:r>
    </w:p>
    <w:p w14:paraId="6A94C42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13.1 </w:t>
      </w:r>
      <w:r>
        <w:rPr>
          <w:rFonts w:hint="eastAsia" w:ascii="宋体" w:hAnsi="宋体" w:eastAsia="宋体" w:cs="宋体"/>
          <w:color w:val="auto"/>
          <w:kern w:val="0"/>
          <w:szCs w:val="21"/>
          <w:highlight w:val="none"/>
        </w:rPr>
        <w:t>本次磋商项目的报价均以人民币为计算单位。</w:t>
      </w:r>
    </w:p>
    <w:p w14:paraId="29C9108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13.2 </w:t>
      </w:r>
      <w:r>
        <w:rPr>
          <w:rFonts w:hint="eastAsia" w:ascii="宋体" w:hAnsi="宋体" w:eastAsia="宋体" w:cs="宋体"/>
          <w:color w:val="auto"/>
          <w:kern w:val="0"/>
          <w:szCs w:val="21"/>
          <w:highlight w:val="none"/>
        </w:rPr>
        <w:t>供应商应对项目要求的全部内容进行报价，少报漏报将导致其响应为非实质性响应予以拒绝。</w:t>
      </w:r>
    </w:p>
    <w:p w14:paraId="33B62E7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13.3 </w:t>
      </w:r>
      <w:r>
        <w:rPr>
          <w:rFonts w:hint="eastAsia" w:ascii="宋体" w:hAnsi="宋体" w:eastAsia="宋体" w:cs="宋体"/>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633A0D4C">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13.4 </w:t>
      </w:r>
      <w:r>
        <w:rPr>
          <w:rFonts w:hint="eastAsia" w:ascii="宋体" w:hAnsi="宋体" w:eastAsia="宋体" w:cs="宋体"/>
          <w:color w:val="auto"/>
          <w:kern w:val="0"/>
          <w:szCs w:val="21"/>
          <w:highlight w:val="none"/>
        </w:rPr>
        <w:t>本项目所涉及的运输、施工、安装、集成、调试、验收、备品和工具等费用均包含在响应报价中。</w:t>
      </w:r>
    </w:p>
    <w:p w14:paraId="63A8EC24">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13.5 </w:t>
      </w:r>
      <w:r>
        <w:rPr>
          <w:rFonts w:hint="eastAsia" w:ascii="宋体" w:hAnsi="宋体" w:eastAsia="宋体" w:cs="宋体"/>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534A0C0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13.6 </w:t>
      </w:r>
      <w:r>
        <w:rPr>
          <w:rFonts w:hint="eastAsia" w:ascii="宋体" w:hAnsi="宋体" w:eastAsia="宋体" w:cs="宋体"/>
          <w:color w:val="auto"/>
          <w:kern w:val="0"/>
          <w:szCs w:val="21"/>
          <w:highlight w:val="none"/>
        </w:rPr>
        <w:t>最低报价不能</w:t>
      </w:r>
      <w:r>
        <w:rPr>
          <w:rFonts w:hint="eastAsia" w:ascii="宋体" w:hAnsi="宋体" w:eastAsia="宋体" w:cs="宋体"/>
          <w:color w:val="auto"/>
          <w:kern w:val="0"/>
          <w:szCs w:val="21"/>
          <w:highlight w:val="none"/>
          <w:lang w:eastAsia="zh-CN"/>
        </w:rPr>
        <w:t>作为</w:t>
      </w:r>
      <w:r>
        <w:rPr>
          <w:rFonts w:hint="eastAsia" w:ascii="宋体" w:hAnsi="宋体" w:eastAsia="宋体" w:cs="宋体"/>
          <w:color w:val="auto"/>
          <w:kern w:val="0"/>
          <w:szCs w:val="21"/>
          <w:highlight w:val="none"/>
        </w:rPr>
        <w:t>成交的保证。</w:t>
      </w:r>
    </w:p>
    <w:p w14:paraId="5A64F13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14.</w:t>
      </w:r>
      <w:r>
        <w:rPr>
          <w:rFonts w:hint="eastAsia" w:ascii="宋体" w:hAnsi="宋体" w:eastAsia="宋体" w:cs="宋体"/>
          <w:b/>
          <w:color w:val="auto"/>
          <w:kern w:val="0"/>
          <w:szCs w:val="21"/>
          <w:highlight w:val="none"/>
        </w:rPr>
        <w:t>响应文件有效期</w:t>
      </w:r>
    </w:p>
    <w:p w14:paraId="268F93F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14.1 </w:t>
      </w:r>
      <w:r>
        <w:rPr>
          <w:rFonts w:hint="eastAsia" w:ascii="宋体" w:hAnsi="宋体" w:eastAsia="宋体" w:cs="宋体"/>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响应有效期比磋商文件规定短的属于非实质性响应，将被认定为无效投标。</w:t>
      </w:r>
    </w:p>
    <w:p w14:paraId="76E466F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14.2 </w:t>
      </w:r>
      <w:r>
        <w:rPr>
          <w:rFonts w:hint="eastAsia" w:ascii="宋体" w:hAnsi="宋体" w:eastAsia="宋体" w:cs="宋体"/>
          <w:color w:val="auto"/>
          <w:kern w:val="0"/>
          <w:szCs w:val="21"/>
          <w:highlight w:val="none"/>
        </w:rPr>
        <w:t>响应有效期内供应商撤销响应文件的，供应商将承担违背磋商承诺函的责任追究。</w:t>
      </w:r>
    </w:p>
    <w:p w14:paraId="4C1312D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14.3 </w:t>
      </w:r>
      <w:r>
        <w:rPr>
          <w:rFonts w:hint="eastAsia" w:ascii="宋体" w:hAnsi="宋体" w:eastAsia="宋体" w:cs="宋体"/>
          <w:color w:val="auto"/>
          <w:kern w:val="0"/>
          <w:szCs w:val="21"/>
          <w:highlight w:val="none"/>
        </w:rPr>
        <w:t>采购人</w:t>
      </w:r>
      <w:r>
        <w:rPr>
          <w:rFonts w:hint="eastAsia" w:ascii="宋体" w:hAnsi="宋体" w:eastAsia="宋体" w:cs="宋体"/>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color w:val="auto"/>
          <w:kern w:val="0"/>
          <w:szCs w:val="21"/>
          <w:highlight w:val="none"/>
        </w:rPr>
        <w:t>。</w:t>
      </w:r>
    </w:p>
    <w:p w14:paraId="34AF29F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14.4 </w:t>
      </w:r>
      <w:r>
        <w:rPr>
          <w:rFonts w:hint="eastAsia" w:ascii="宋体" w:hAnsi="宋体" w:eastAsia="宋体" w:cs="宋体"/>
          <w:color w:val="auto"/>
          <w:kern w:val="0"/>
          <w:szCs w:val="21"/>
          <w:highlight w:val="none"/>
        </w:rPr>
        <w:t>成交供应商的响应文件作为项目合同的附件，其有效期至成交供应商全部合同义务履行完毕为止。</w:t>
      </w:r>
    </w:p>
    <w:p w14:paraId="7BB3D1CF">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15.</w:t>
      </w:r>
      <w:r>
        <w:rPr>
          <w:rFonts w:hint="eastAsia" w:ascii="宋体" w:hAnsi="宋体" w:eastAsia="宋体" w:cs="宋体"/>
          <w:b/>
          <w:color w:val="auto"/>
          <w:kern w:val="0"/>
          <w:szCs w:val="21"/>
          <w:highlight w:val="none"/>
        </w:rPr>
        <w:t>响应文件构成</w:t>
      </w:r>
    </w:p>
    <w:p w14:paraId="2CE6273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15.1 </w:t>
      </w:r>
      <w:r>
        <w:rPr>
          <w:rFonts w:hint="eastAsia" w:ascii="宋体" w:hAnsi="宋体" w:eastAsia="宋体" w:cs="宋体"/>
          <w:color w:val="auto"/>
          <w:kern w:val="0"/>
          <w:szCs w:val="21"/>
          <w:highlight w:val="none"/>
        </w:rPr>
        <w:t>响应文件的构成应符合法律法规及磋商文件的要求。</w:t>
      </w:r>
    </w:p>
    <w:p w14:paraId="21DE4A1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15.2 </w:t>
      </w:r>
      <w:r>
        <w:rPr>
          <w:rFonts w:hint="eastAsia" w:ascii="宋体" w:hAnsi="宋体" w:eastAsia="宋体" w:cs="宋体"/>
          <w:color w:val="auto"/>
          <w:kern w:val="0"/>
          <w:szCs w:val="21"/>
          <w:highlight w:val="none"/>
        </w:rPr>
        <w:t>供应商应当按照磋商文件的要求编制响应文件。响应文件应当对磋商文件提出的要求和条件作出明确响应。</w:t>
      </w:r>
    </w:p>
    <w:p w14:paraId="67AD06E0">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15.3 </w:t>
      </w:r>
      <w:r>
        <w:rPr>
          <w:rFonts w:hint="eastAsia" w:ascii="宋体" w:hAnsi="宋体" w:eastAsia="宋体" w:cs="宋体"/>
          <w:color w:val="auto"/>
          <w:kern w:val="0"/>
          <w:szCs w:val="21"/>
          <w:highlight w:val="none"/>
        </w:rPr>
        <w:t>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1EC8C6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15.4 </w:t>
      </w:r>
      <w:r>
        <w:rPr>
          <w:rFonts w:hint="eastAsia" w:ascii="宋体" w:hAnsi="宋体" w:eastAsia="宋体" w:cs="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2F92D85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6428D2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电子响应文件制作技术咨询：0374-2961598。</w:t>
      </w:r>
    </w:p>
    <w:p w14:paraId="40D19C2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16.</w:t>
      </w:r>
      <w:r>
        <w:rPr>
          <w:rFonts w:hint="eastAsia" w:ascii="宋体" w:hAnsi="宋体" w:eastAsia="宋体" w:cs="宋体"/>
          <w:b/>
          <w:color w:val="auto"/>
          <w:kern w:val="0"/>
          <w:szCs w:val="21"/>
          <w:highlight w:val="none"/>
        </w:rPr>
        <w:t>响应文件格式</w:t>
      </w:r>
    </w:p>
    <w:p w14:paraId="24917BF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16.1 </w:t>
      </w:r>
      <w:r>
        <w:rPr>
          <w:rFonts w:hint="eastAsia" w:ascii="宋体" w:hAnsi="宋体" w:eastAsia="宋体" w:cs="宋体"/>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56008FB4">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16.2 </w:t>
      </w:r>
      <w:r>
        <w:rPr>
          <w:rFonts w:hint="eastAsia" w:ascii="宋体" w:hAnsi="宋体" w:eastAsia="宋体" w:cs="宋体"/>
          <w:color w:val="auto"/>
          <w:kern w:val="0"/>
          <w:szCs w:val="21"/>
          <w:highlight w:val="none"/>
        </w:rPr>
        <w:t>磋商文件未提供标准格式的供应商可自行拟定。</w:t>
      </w:r>
    </w:p>
    <w:p w14:paraId="553B08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17.</w:t>
      </w:r>
      <w:r>
        <w:rPr>
          <w:rFonts w:hint="eastAsia" w:ascii="宋体" w:hAnsi="宋体" w:eastAsia="宋体" w:cs="宋体"/>
          <w:b/>
          <w:color w:val="auto"/>
          <w:kern w:val="0"/>
          <w:szCs w:val="21"/>
          <w:highlight w:val="none"/>
        </w:rPr>
        <w:t>磋商保证金</w:t>
      </w:r>
    </w:p>
    <w:p w14:paraId="1E8EDDDB">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17.1 </w:t>
      </w:r>
      <w:r>
        <w:rPr>
          <w:rFonts w:hint="eastAsia" w:ascii="宋体" w:hAnsi="宋体" w:eastAsia="宋体" w:cs="宋体"/>
          <w:color w:val="auto"/>
          <w:kern w:val="0"/>
          <w:szCs w:val="21"/>
          <w:highlight w:val="none"/>
        </w:rPr>
        <w:t>本项目不收取磋商保证金。</w:t>
      </w:r>
    </w:p>
    <w:p w14:paraId="03FB58A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17.2 </w:t>
      </w:r>
      <w:r>
        <w:rPr>
          <w:rFonts w:hint="eastAsia" w:ascii="宋体" w:hAnsi="宋体" w:eastAsia="宋体" w:cs="宋体"/>
          <w:color w:val="auto"/>
          <w:kern w:val="0"/>
          <w:szCs w:val="21"/>
          <w:highlight w:val="none"/>
        </w:rPr>
        <w:t>供应商应提供磋商承诺函。</w:t>
      </w:r>
    </w:p>
    <w:p w14:paraId="600E6B6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18.</w:t>
      </w:r>
      <w:r>
        <w:rPr>
          <w:rFonts w:hint="eastAsia" w:ascii="宋体" w:hAnsi="宋体" w:eastAsia="宋体" w:cs="宋体"/>
          <w:b/>
          <w:color w:val="auto"/>
          <w:kern w:val="0"/>
          <w:szCs w:val="21"/>
          <w:highlight w:val="none"/>
        </w:rPr>
        <w:t>磋商文件的数量和签署盖章</w:t>
      </w:r>
    </w:p>
    <w:p w14:paraId="4BCF8DAA">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18.1 </w:t>
      </w:r>
      <w:r>
        <w:rPr>
          <w:rFonts w:hint="eastAsia" w:ascii="宋体" w:hAnsi="宋体" w:eastAsia="宋体" w:cs="宋体"/>
          <w:color w:val="auto"/>
          <w:kern w:val="0"/>
          <w:szCs w:val="21"/>
          <w:highlight w:val="none"/>
        </w:rPr>
        <w:t>供应商应提交响应文件份数见“供应商须知前附表”。</w:t>
      </w:r>
    </w:p>
    <w:p w14:paraId="3B49509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18.2 </w:t>
      </w:r>
      <w:r>
        <w:rPr>
          <w:rFonts w:hint="eastAsia" w:ascii="宋体" w:hAnsi="宋体" w:eastAsia="宋体" w:cs="宋体"/>
          <w:color w:val="auto"/>
          <w:kern w:val="0"/>
          <w:szCs w:val="21"/>
          <w:highlight w:val="none"/>
        </w:rPr>
        <w:t>在磋商文件中已明示需盖章及签名之处，电子响应文件应按磋商文件要求加盖供应商电子印章和法人电子印章或授权代表电子印章。</w:t>
      </w:r>
    </w:p>
    <w:p w14:paraId="71CE86F1">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四、响应文件的提交</w:t>
      </w:r>
    </w:p>
    <w:p w14:paraId="2B0B79F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19.</w:t>
      </w:r>
      <w:r>
        <w:rPr>
          <w:rFonts w:hint="eastAsia" w:ascii="宋体" w:hAnsi="宋体" w:eastAsia="宋体" w:cs="宋体"/>
          <w:b/>
          <w:color w:val="auto"/>
          <w:kern w:val="0"/>
          <w:szCs w:val="21"/>
          <w:highlight w:val="none"/>
        </w:rPr>
        <w:t>磋商响应截止时间</w:t>
      </w:r>
    </w:p>
    <w:p w14:paraId="670BDE9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XCSTF）通过《全国公共资源交易平台（河南省▪许昌市）》公共资源交易系统成功上传。在提交截止时间以后上传的响应文件，采购人、采购代理机构将予以拒绝。</w:t>
      </w:r>
    </w:p>
    <w:p w14:paraId="4979551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19.2 </w:t>
      </w:r>
      <w:r>
        <w:rPr>
          <w:rFonts w:hint="eastAsia" w:ascii="宋体" w:hAnsi="宋体" w:eastAsia="宋体" w:cs="宋体"/>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9988F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12F764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20.</w:t>
      </w:r>
      <w:r>
        <w:rPr>
          <w:rFonts w:hint="eastAsia" w:ascii="宋体" w:hAnsi="宋体" w:eastAsia="宋体" w:cs="宋体"/>
          <w:b/>
          <w:color w:val="auto"/>
          <w:kern w:val="0"/>
          <w:szCs w:val="21"/>
          <w:highlight w:val="none"/>
        </w:rPr>
        <w:t>迟交的响应文件</w:t>
      </w:r>
    </w:p>
    <w:p w14:paraId="3A4F34F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磋商响应文件截止时间之后上传的响应文件，采购人</w:t>
      </w:r>
      <w:r>
        <w:rPr>
          <w:rFonts w:hint="eastAsia" w:ascii="宋体" w:hAnsi="宋体" w:eastAsia="宋体" w:cs="宋体"/>
          <w:color w:val="auto"/>
          <w:kern w:val="0"/>
          <w:szCs w:val="21"/>
          <w:highlight w:val="none"/>
          <w:lang w:eastAsia="zh-CN"/>
        </w:rPr>
        <w:t>将</w:t>
      </w:r>
      <w:r>
        <w:rPr>
          <w:rFonts w:hint="eastAsia" w:ascii="宋体" w:hAnsi="宋体" w:eastAsia="宋体" w:cs="宋体"/>
          <w:color w:val="auto"/>
          <w:kern w:val="0"/>
          <w:szCs w:val="21"/>
          <w:highlight w:val="none"/>
        </w:rPr>
        <w:t>拒绝接收。</w:t>
      </w:r>
    </w:p>
    <w:p w14:paraId="2C8A5EC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21.</w:t>
      </w:r>
      <w:r>
        <w:rPr>
          <w:rFonts w:hint="eastAsia" w:ascii="宋体" w:hAnsi="宋体" w:eastAsia="宋体" w:cs="宋体"/>
          <w:b/>
          <w:color w:val="auto"/>
          <w:kern w:val="0"/>
          <w:szCs w:val="21"/>
          <w:highlight w:val="none"/>
        </w:rPr>
        <w:t>响应文件的修改和撤回</w:t>
      </w:r>
    </w:p>
    <w:p w14:paraId="66EA2FF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21.1 </w:t>
      </w:r>
      <w:r>
        <w:rPr>
          <w:rFonts w:hint="eastAsia" w:ascii="宋体" w:hAnsi="宋体" w:eastAsia="宋体" w:cs="宋体"/>
          <w:color w:val="auto"/>
          <w:kern w:val="0"/>
          <w:szCs w:val="21"/>
          <w:highlight w:val="none"/>
        </w:rPr>
        <w:t>供应商在磋商响应截止时间前，对所提交的响应文件进行补充、修改或者撤回的，须书面通知采购人。</w:t>
      </w:r>
    </w:p>
    <w:p w14:paraId="2F3E4F1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供应商应当在磋商响应截止时间前完成电子响应文件的提交，可以补充、修改或撤回。磋商响应截止时</w:t>
      </w:r>
      <w:r>
        <w:rPr>
          <w:rFonts w:hint="eastAsia" w:ascii="宋体" w:hAnsi="宋体" w:eastAsia="宋体" w:cs="宋体"/>
          <w:color w:val="auto"/>
          <w:kern w:val="0"/>
          <w:szCs w:val="21"/>
          <w:highlight w:val="none"/>
          <w:lang w:eastAsia="zh-CN"/>
        </w:rPr>
        <w:t>间之</w:t>
      </w:r>
      <w:r>
        <w:rPr>
          <w:rFonts w:hint="eastAsia" w:ascii="宋体" w:hAnsi="宋体" w:eastAsia="宋体" w:cs="宋体"/>
          <w:color w:val="auto"/>
          <w:kern w:val="0"/>
          <w:szCs w:val="21"/>
          <w:highlight w:val="none"/>
        </w:rPr>
        <w:t>前未完成电子响应文件提交的，视为撤回响应文件。</w:t>
      </w:r>
    </w:p>
    <w:p w14:paraId="612AD8A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21.2 </w:t>
      </w:r>
      <w:r>
        <w:rPr>
          <w:rFonts w:hint="eastAsia" w:ascii="宋体" w:hAnsi="宋体" w:eastAsia="宋体" w:cs="宋体"/>
          <w:color w:val="auto"/>
          <w:kern w:val="0"/>
          <w:szCs w:val="21"/>
          <w:highlight w:val="none"/>
        </w:rPr>
        <w:t>供应商补充、修改的内容并作为响应文件的组成部分。补充或修改应当按磋商文件要求签署、盖章、提交，并应注明“修改”或“补充”字样。</w:t>
      </w:r>
    </w:p>
    <w:p w14:paraId="7F9ED5A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21.3 </w:t>
      </w:r>
      <w:r>
        <w:rPr>
          <w:rFonts w:hint="eastAsia" w:ascii="宋体" w:hAnsi="宋体" w:eastAsia="宋体" w:cs="宋体"/>
          <w:color w:val="auto"/>
          <w:kern w:val="0"/>
          <w:szCs w:val="21"/>
          <w:highlight w:val="none"/>
        </w:rPr>
        <w:t>供应商在提交响应文件后，可以撤回其投标，但供应商必须在规定的投标截止时间前以书面形式告知招标人。</w:t>
      </w:r>
    </w:p>
    <w:p w14:paraId="50D28AE6">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21.4 </w:t>
      </w:r>
      <w:r>
        <w:rPr>
          <w:rFonts w:hint="eastAsia" w:ascii="宋体" w:hAnsi="宋体" w:eastAsia="宋体" w:cs="宋体"/>
          <w:color w:val="auto"/>
          <w:kern w:val="0"/>
          <w:szCs w:val="21"/>
          <w:highlight w:val="none"/>
        </w:rPr>
        <w:t>供应商不得在响应有效期内撤销响应文件，否则供应商将承担违背磋商承诺函的责任追</w:t>
      </w:r>
    </w:p>
    <w:p w14:paraId="13001362">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究。</w:t>
      </w:r>
    </w:p>
    <w:p w14:paraId="7B6832BF">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22.</w:t>
      </w:r>
      <w:r>
        <w:rPr>
          <w:rFonts w:hint="eastAsia" w:ascii="宋体" w:hAnsi="宋体" w:eastAsia="宋体" w:cs="宋体"/>
          <w:b/>
          <w:color w:val="auto"/>
          <w:kern w:val="0"/>
          <w:szCs w:val="21"/>
          <w:highlight w:val="none"/>
        </w:rPr>
        <w:t>除供应商须知前附表另有规定外，供应商所提交的电子响应文件不予退还。</w:t>
      </w:r>
    </w:p>
    <w:p w14:paraId="5B7704ED">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五、响应文件开启和磋商</w:t>
      </w:r>
    </w:p>
    <w:p w14:paraId="56ED0FC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23.</w:t>
      </w:r>
      <w:r>
        <w:rPr>
          <w:rFonts w:hint="eastAsia" w:ascii="宋体" w:hAnsi="宋体" w:eastAsia="宋体" w:cs="宋体"/>
          <w:b/>
          <w:color w:val="auto"/>
          <w:kern w:val="0"/>
          <w:szCs w:val="21"/>
          <w:highlight w:val="none"/>
        </w:rPr>
        <w:t>响应文件开启</w:t>
      </w:r>
    </w:p>
    <w:p w14:paraId="1867FE87">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23.1 </w:t>
      </w:r>
      <w:r>
        <w:rPr>
          <w:rFonts w:hint="eastAsia" w:ascii="宋体" w:hAnsi="宋体" w:eastAsia="宋体" w:cs="宋体"/>
          <w:color w:val="auto"/>
          <w:kern w:val="0"/>
          <w:szCs w:val="21"/>
          <w:highlight w:val="none"/>
        </w:rPr>
        <w:t>采购人将按磋商文件规定的</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和地点解密电子响应文件。由代理机构主持，供应商无须到现场。磋商小组成员不得参加开标活动。</w:t>
      </w:r>
    </w:p>
    <w:p w14:paraId="3F2FE5E9">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23.2 </w:t>
      </w:r>
      <w:r>
        <w:rPr>
          <w:rFonts w:hint="eastAsia" w:ascii="宋体" w:hAnsi="宋体" w:eastAsia="宋体" w:cs="宋体"/>
          <w:color w:val="auto"/>
          <w:kern w:val="0"/>
          <w:szCs w:val="21"/>
          <w:highlight w:val="none"/>
        </w:rPr>
        <w:t>招标人应当对开标、评标现场活动进行全程录音录像。录音录像应当清晰可辨，音像资料作为采购文件一并存档。</w:t>
      </w:r>
    </w:p>
    <w:p w14:paraId="16E31E04">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23.3 </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，由代理机构开通远程不见面开标大厅及开启“文字互动”等功能；供应商、代理机构进行电子响应文件的解密。解密后</w:t>
      </w:r>
      <w:r>
        <w:rPr>
          <w:rFonts w:hint="eastAsia" w:ascii="宋体" w:hAnsi="宋体" w:eastAsia="宋体" w:cs="宋体"/>
          <w:color w:val="auto"/>
          <w:szCs w:val="21"/>
          <w:highlight w:val="none"/>
        </w:rPr>
        <w:t>供应商选择功能栏“开标记录”按钮可查看</w:t>
      </w:r>
      <w:r>
        <w:rPr>
          <w:rFonts w:hint="eastAsia" w:ascii="宋体" w:hAnsi="宋体" w:eastAsia="宋体" w:cs="宋体"/>
          <w:color w:val="auto"/>
          <w:kern w:val="0"/>
          <w:szCs w:val="21"/>
          <w:highlight w:val="none"/>
        </w:rPr>
        <w:t>供应商名称、修改和撤回投标的通知（如有的话）和磋商文件规定的需要宣布的其他内容。</w:t>
      </w:r>
    </w:p>
    <w:p w14:paraId="2128FA3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w:t>
      </w:r>
      <w:r>
        <w:rPr>
          <w:rFonts w:hint="eastAsia" w:ascii="宋体" w:hAnsi="宋体" w:eastAsia="宋体" w:cs="宋体"/>
          <w:color w:val="auto"/>
          <w:kern w:val="0"/>
          <w:szCs w:val="21"/>
          <w:highlight w:val="none"/>
        </w:rPr>
        <w:t>电子响应文件的解密：全流程电子化交易项目电子响应文件采用双重加密。解密需分标段进行两次解密。</w:t>
      </w:r>
    </w:p>
    <w:p w14:paraId="7722F7B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23.3.1.1</w:t>
      </w:r>
      <w:r>
        <w:rPr>
          <w:rFonts w:hint="eastAsia" w:ascii="宋体" w:hAnsi="宋体" w:eastAsia="宋体" w:cs="宋体"/>
          <w:color w:val="auto"/>
          <w:kern w:val="0"/>
          <w:szCs w:val="21"/>
          <w:highlight w:val="none"/>
        </w:rPr>
        <w:t>供应商解密：供应商使用本单位CA数字证书进行远程解密。</w:t>
      </w:r>
    </w:p>
    <w:p w14:paraId="630AD82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23.3.1.2</w:t>
      </w:r>
      <w:r>
        <w:rPr>
          <w:rFonts w:hint="eastAsia" w:ascii="宋体" w:hAnsi="宋体" w:eastAsia="宋体" w:cs="宋体"/>
          <w:color w:val="auto"/>
          <w:kern w:val="0"/>
          <w:szCs w:val="21"/>
          <w:highlight w:val="none"/>
        </w:rPr>
        <w:t>代理机构解密：代理机构按电子响应文件到达交易系统的先后顺序，使用本单位CA数字证书进行再次解密。</w:t>
      </w:r>
    </w:p>
    <w:p w14:paraId="364B6CD1">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23.3.1.3</w:t>
      </w:r>
      <w:r>
        <w:rPr>
          <w:rFonts w:hint="eastAsia" w:ascii="宋体" w:hAnsi="宋体" w:eastAsia="宋体" w:cs="宋体"/>
          <w:color w:val="auto"/>
          <w:kern w:val="0"/>
          <w:szCs w:val="21"/>
          <w:highlight w:val="none"/>
        </w:rPr>
        <w:t>因供应商原因电子响应文件解密失败的，其响应文件将被拒绝。</w:t>
      </w:r>
    </w:p>
    <w:p w14:paraId="0155449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23.4 </w:t>
      </w:r>
      <w:r>
        <w:rPr>
          <w:rFonts w:hint="eastAsia" w:ascii="宋体" w:hAnsi="宋体" w:eastAsia="宋体" w:cs="宋体"/>
          <w:color w:val="auto"/>
          <w:kern w:val="0"/>
          <w:szCs w:val="21"/>
          <w:highlight w:val="none"/>
        </w:rPr>
        <w:t>供应商不足3家的，本项目磋商活动终止。</w:t>
      </w:r>
    </w:p>
    <w:p w14:paraId="6F465762">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23.5 </w:t>
      </w:r>
      <w:r>
        <w:rPr>
          <w:rFonts w:hint="eastAsia" w:ascii="宋体" w:hAnsi="宋体" w:eastAsia="宋体" w:cs="宋体"/>
          <w:color w:val="auto"/>
          <w:kern w:val="0"/>
          <w:szCs w:val="21"/>
          <w:highlight w:val="none"/>
        </w:rPr>
        <w:t>开标过程由采购代理机构负责记录，</w:t>
      </w:r>
      <w:r>
        <w:rPr>
          <w:rFonts w:hint="eastAsia" w:ascii="宋体" w:hAnsi="宋体" w:eastAsia="宋体" w:cs="宋体"/>
          <w:color w:val="auto"/>
          <w:szCs w:val="21"/>
          <w:highlight w:val="none"/>
        </w:rPr>
        <w:t>《开标记录表》经供应商进行电子签章、</w:t>
      </w:r>
      <w:r>
        <w:rPr>
          <w:rFonts w:hint="eastAsia" w:ascii="宋体" w:hAnsi="宋体" w:eastAsia="宋体" w:cs="宋体"/>
          <w:color w:val="auto"/>
          <w:kern w:val="0"/>
          <w:szCs w:val="21"/>
          <w:highlight w:val="none"/>
        </w:rPr>
        <w:t>由参加开标相关工作人员签字确认后随采购文件一并存档。</w:t>
      </w:r>
      <w:r>
        <w:rPr>
          <w:rFonts w:hint="eastAsia" w:ascii="宋体" w:hAnsi="宋体" w:eastAsia="宋体" w:cs="宋体"/>
          <w:color w:val="auto"/>
          <w:szCs w:val="21"/>
          <w:highlight w:val="none"/>
        </w:rPr>
        <w:t>供应商未电子签章的，视同认可开标结果。</w:t>
      </w:r>
    </w:p>
    <w:p w14:paraId="1165425C">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23.6 </w:t>
      </w:r>
      <w:r>
        <w:rPr>
          <w:rFonts w:hint="eastAsia" w:ascii="宋体" w:hAnsi="宋体" w:eastAsia="宋体" w:cs="宋体"/>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E1A254F">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23.7 </w:t>
      </w:r>
      <w:r>
        <w:rPr>
          <w:rFonts w:hint="eastAsia" w:ascii="宋体" w:hAnsi="宋体" w:eastAsia="宋体" w:cs="宋体"/>
          <w:color w:val="auto"/>
          <w:szCs w:val="21"/>
          <w:highlight w:val="none"/>
        </w:rPr>
        <w:t>响应文件解密活动结束时，供应商应在《开标记录表》上进行电子签章。供应商未签章的，视同认可开标结果。</w:t>
      </w:r>
    </w:p>
    <w:p w14:paraId="1A526FB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24.</w:t>
      </w:r>
      <w:r>
        <w:rPr>
          <w:rFonts w:hint="eastAsia" w:ascii="宋体" w:hAnsi="宋体" w:eastAsia="宋体" w:cs="宋体"/>
          <w:b/>
          <w:color w:val="auto"/>
          <w:kern w:val="0"/>
          <w:szCs w:val="21"/>
          <w:highlight w:val="none"/>
        </w:rPr>
        <w:t>资格审查</w:t>
      </w:r>
    </w:p>
    <w:p w14:paraId="14E7EE4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开标结束后，磋商小组依法对供应商的资格进行审查。合格供应商不足3家的，不得磋商。</w:t>
      </w:r>
    </w:p>
    <w:p w14:paraId="31C0FFA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25.</w:t>
      </w:r>
      <w:r>
        <w:rPr>
          <w:rFonts w:hint="eastAsia" w:ascii="宋体" w:hAnsi="宋体" w:eastAsia="宋体" w:cs="宋体"/>
          <w:b/>
          <w:color w:val="auto"/>
          <w:kern w:val="0"/>
          <w:szCs w:val="21"/>
          <w:highlight w:val="none"/>
        </w:rPr>
        <w:t>磋商小组组成</w:t>
      </w:r>
    </w:p>
    <w:p w14:paraId="6FB8324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25.1 </w:t>
      </w:r>
      <w:r>
        <w:rPr>
          <w:rFonts w:hint="eastAsia" w:ascii="宋体" w:hAnsi="宋体" w:eastAsia="宋体" w:cs="宋体"/>
          <w:color w:val="auto"/>
          <w:kern w:val="0"/>
          <w:szCs w:val="21"/>
          <w:highlight w:val="none"/>
        </w:rPr>
        <w:t>采购人将依法组建磋商小组，磋商小组</w:t>
      </w:r>
      <w:r>
        <w:rPr>
          <w:rFonts w:hint="eastAsia" w:ascii="宋体" w:hAnsi="宋体" w:eastAsia="宋体" w:cs="宋体"/>
          <w:color w:val="auto"/>
          <w:highlight w:val="none"/>
        </w:rPr>
        <w:t>由采购人代表和评审专家共3人以上单数组成，其中评审专家人数不得少于竞争性磋商小组成员总数</w:t>
      </w:r>
      <w:r>
        <w:rPr>
          <w:rFonts w:hint="eastAsia" w:ascii="宋体" w:hAnsi="宋体" w:eastAsia="宋体" w:cs="宋体"/>
          <w:color w:val="auto"/>
          <w:kern w:val="0"/>
          <w:szCs w:val="21"/>
          <w:highlight w:val="none"/>
        </w:rPr>
        <w:t>的三分之二。评审专家依法从政府采购评审专家库中随机抽取。</w:t>
      </w:r>
    </w:p>
    <w:p w14:paraId="6A40629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25.1.1</w:t>
      </w:r>
      <w:r>
        <w:rPr>
          <w:rFonts w:hint="eastAsia" w:ascii="宋体" w:hAnsi="宋体" w:eastAsia="宋体" w:cs="宋体"/>
          <w:color w:val="auto"/>
          <w:kern w:val="0"/>
          <w:szCs w:val="21"/>
          <w:highlight w:val="none"/>
        </w:rPr>
        <w:t>采购人将依法组建磋商小组，磋商小组由评审专家组成，成员人数应当为</w:t>
      </w:r>
      <w:r>
        <w:rPr>
          <w:rFonts w:hint="eastAsia" w:ascii="宋体" w:hAnsi="宋体" w:eastAsia="宋体" w:cs="宋体"/>
          <w:color w:val="auto"/>
          <w:highlight w:val="none"/>
        </w:rPr>
        <w:t>3人以上单数组成</w:t>
      </w:r>
      <w:r>
        <w:rPr>
          <w:rFonts w:hint="eastAsia" w:ascii="宋体" w:hAnsi="宋体" w:eastAsia="宋体" w:cs="宋体"/>
          <w:color w:val="auto"/>
          <w:kern w:val="0"/>
          <w:szCs w:val="21"/>
          <w:highlight w:val="none"/>
        </w:rPr>
        <w:t>。评审专家依法从政府采购评审专家库中随机抽取。</w:t>
      </w:r>
    </w:p>
    <w:p w14:paraId="4A2B98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25.2 </w:t>
      </w:r>
      <w:r>
        <w:rPr>
          <w:rFonts w:hint="eastAsia" w:ascii="宋体" w:hAnsi="宋体" w:eastAsia="宋体" w:cs="宋体"/>
          <w:color w:val="auto"/>
          <w:kern w:val="0"/>
          <w:szCs w:val="21"/>
          <w:highlight w:val="none"/>
        </w:rPr>
        <w:t>评审专家对本单位的采购项目只能作为采购人代表参与评标。采购代理机构工作人员不得参加由本机构代理的政府采购项目的评标。</w:t>
      </w:r>
    </w:p>
    <w:p w14:paraId="2E9C978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25.3 </w:t>
      </w:r>
      <w:r>
        <w:rPr>
          <w:rFonts w:hint="eastAsia" w:ascii="宋体" w:hAnsi="宋体" w:eastAsia="宋体" w:cs="宋体"/>
          <w:color w:val="auto"/>
          <w:kern w:val="0"/>
          <w:szCs w:val="21"/>
          <w:highlight w:val="none"/>
        </w:rPr>
        <w:t>磋商小组成员与供应商存在下列利害关系之一的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应当回避：</w:t>
      </w:r>
    </w:p>
    <w:p w14:paraId="060D009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25.3.1</w:t>
      </w:r>
      <w:r>
        <w:rPr>
          <w:rFonts w:hint="eastAsia" w:ascii="宋体" w:hAnsi="宋体" w:eastAsia="宋体" w:cs="宋体"/>
          <w:color w:val="auto"/>
          <w:kern w:val="0"/>
          <w:szCs w:val="21"/>
          <w:highlight w:val="none"/>
        </w:rPr>
        <w:t>参加采购活动前三年内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与供应商存在劳动关系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或者担任过供应商的董事、监事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或者是供应商的控股股东或实际控制人；</w:t>
      </w:r>
    </w:p>
    <w:p w14:paraId="438CFB30">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25.3.2</w:t>
      </w:r>
      <w:r>
        <w:rPr>
          <w:rFonts w:hint="eastAsia" w:ascii="宋体" w:hAnsi="宋体" w:eastAsia="宋体" w:cs="宋体"/>
          <w:color w:val="auto"/>
          <w:kern w:val="0"/>
          <w:szCs w:val="21"/>
          <w:highlight w:val="none"/>
        </w:rPr>
        <w:t>与供应商的法定代表人或者负责人有夫妻、直系血亲、三代以内旁系血亲或者近姻</w:t>
      </w:r>
    </w:p>
    <w:p w14:paraId="3968B70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亲关系；</w:t>
      </w:r>
    </w:p>
    <w:p w14:paraId="75FA0DF5">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25.3.3</w:t>
      </w:r>
      <w:r>
        <w:rPr>
          <w:rFonts w:hint="eastAsia" w:ascii="宋体" w:hAnsi="宋体" w:eastAsia="宋体" w:cs="宋体"/>
          <w:color w:val="auto"/>
          <w:kern w:val="0"/>
          <w:szCs w:val="21"/>
          <w:highlight w:val="none"/>
        </w:rPr>
        <w:t>与供应商有其他可能影响政府采购活动公平、公正进行的关系。</w:t>
      </w:r>
    </w:p>
    <w:p w14:paraId="5225F9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25.4 </w:t>
      </w:r>
      <w:r>
        <w:rPr>
          <w:rFonts w:hint="eastAsia" w:ascii="宋体" w:hAnsi="宋体" w:eastAsia="宋体" w:cs="宋体"/>
          <w:color w:val="auto"/>
          <w:kern w:val="0"/>
          <w:szCs w:val="21"/>
          <w:highlight w:val="none"/>
        </w:rPr>
        <w:t>评审专家发现本人与参加采购活动的供应商有利害关系的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应当主动提出回避。采购人或者代理机构发现评审专家与参加采购活动的供应商有利害关系的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应当要求其回避。</w:t>
      </w:r>
    </w:p>
    <w:p w14:paraId="686D163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25.5 </w:t>
      </w:r>
      <w:r>
        <w:rPr>
          <w:rFonts w:hint="eastAsia" w:ascii="宋体" w:hAnsi="宋体" w:eastAsia="宋体" w:cs="宋体"/>
          <w:color w:val="auto"/>
          <w:kern w:val="0"/>
          <w:szCs w:val="21"/>
          <w:highlight w:val="none"/>
        </w:rPr>
        <w:t>采购人不得担任磋商小组组长。</w:t>
      </w:r>
    </w:p>
    <w:p w14:paraId="4B546235">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25.6 </w:t>
      </w:r>
      <w:r>
        <w:rPr>
          <w:rFonts w:hint="eastAsia" w:ascii="宋体" w:hAnsi="宋体" w:eastAsia="宋体" w:cs="宋体"/>
          <w:color w:val="auto"/>
          <w:kern w:val="0"/>
          <w:szCs w:val="21"/>
          <w:highlight w:val="none"/>
        </w:rPr>
        <w:t>磋商小组成员名单在成交结果公告前应当保密。</w:t>
      </w:r>
    </w:p>
    <w:p w14:paraId="209F5DBA">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26.</w:t>
      </w:r>
      <w:r>
        <w:rPr>
          <w:rFonts w:hint="eastAsia" w:ascii="宋体" w:hAnsi="宋体" w:eastAsia="宋体" w:cs="宋体"/>
          <w:b/>
          <w:color w:val="auto"/>
          <w:kern w:val="0"/>
          <w:szCs w:val="21"/>
          <w:highlight w:val="none"/>
        </w:rPr>
        <w:t>符合性审查</w:t>
      </w:r>
    </w:p>
    <w:p w14:paraId="53568C4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26.1 </w:t>
      </w:r>
      <w:r>
        <w:rPr>
          <w:rFonts w:hint="eastAsia" w:ascii="宋体" w:hAnsi="宋体" w:eastAsia="宋体" w:cs="宋体"/>
          <w:color w:val="auto"/>
          <w:kern w:val="0"/>
          <w:szCs w:val="21"/>
          <w:highlight w:val="none"/>
        </w:rPr>
        <w:t>磋商小组依据有关法律法规和磋商文件的规定，对符合资格的供应商的响应文件进行符合性审查，以确定其是否满足磋商文件的实质性要求。</w:t>
      </w:r>
    </w:p>
    <w:p w14:paraId="3BB3C725">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26.2 </w:t>
      </w:r>
      <w:r>
        <w:rPr>
          <w:rFonts w:hint="eastAsia" w:ascii="宋体" w:hAnsi="宋体" w:eastAsia="宋体" w:cs="宋体"/>
          <w:color w:val="auto"/>
          <w:kern w:val="0"/>
          <w:szCs w:val="21"/>
          <w:highlight w:val="none"/>
        </w:rPr>
        <w:t>审查、评价磋商文件是否符合磋商文件的商务、技术等实质性要求。</w:t>
      </w:r>
    </w:p>
    <w:p w14:paraId="46275E01">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26.3 </w:t>
      </w:r>
      <w:r>
        <w:rPr>
          <w:rFonts w:hint="eastAsia" w:ascii="宋体" w:hAnsi="宋体" w:eastAsia="宋体" w:cs="宋体"/>
          <w:color w:val="auto"/>
          <w:kern w:val="0"/>
          <w:szCs w:val="21"/>
          <w:highlight w:val="none"/>
        </w:rPr>
        <w:t>可要求供应商对响应文件有关事项作出澄清或者说明。</w:t>
      </w:r>
    </w:p>
    <w:p w14:paraId="0C42B06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27.</w:t>
      </w:r>
      <w:r>
        <w:rPr>
          <w:rFonts w:hint="eastAsia" w:ascii="宋体" w:hAnsi="宋体" w:eastAsia="宋体" w:cs="宋体"/>
          <w:b/>
          <w:color w:val="auto"/>
          <w:kern w:val="0"/>
          <w:szCs w:val="21"/>
          <w:highlight w:val="none"/>
        </w:rPr>
        <w:t>响应文件的澄清</w:t>
      </w:r>
    </w:p>
    <w:p w14:paraId="02E103B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27.1 </w:t>
      </w:r>
      <w:r>
        <w:rPr>
          <w:rFonts w:hint="eastAsia" w:ascii="宋体" w:hAnsi="宋体" w:eastAsia="宋体" w:cs="宋体"/>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111C69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27.2 </w:t>
      </w:r>
      <w:r>
        <w:rPr>
          <w:rFonts w:hint="eastAsia" w:ascii="宋体" w:hAnsi="宋体" w:eastAsia="宋体" w:cs="宋体"/>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96D2D5E">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27.3 </w:t>
      </w:r>
      <w:r>
        <w:rPr>
          <w:rFonts w:hint="eastAsia" w:ascii="宋体" w:hAnsi="宋体" w:eastAsia="宋体" w:cs="宋体"/>
          <w:color w:val="auto"/>
          <w:kern w:val="0"/>
          <w:szCs w:val="21"/>
          <w:highlight w:val="none"/>
        </w:rPr>
        <w:t>供应商的澄清文件是其响应文件的组成部分。</w:t>
      </w:r>
    </w:p>
    <w:p w14:paraId="4BA1DC5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28.</w:t>
      </w:r>
      <w:r>
        <w:rPr>
          <w:rFonts w:hint="eastAsia" w:ascii="宋体" w:hAnsi="宋体" w:eastAsia="宋体" w:cs="宋体"/>
          <w:b/>
          <w:color w:val="auto"/>
          <w:kern w:val="0"/>
          <w:szCs w:val="21"/>
          <w:highlight w:val="none"/>
        </w:rPr>
        <w:t>响应文件报价出现前后不一致的修正</w:t>
      </w:r>
    </w:p>
    <w:p w14:paraId="0FA1C26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28.1磋商文件中开标一览表（报价表）内容与响应文件中相应内容不一致的，以开标一览表（报价表）为准；</w:t>
      </w:r>
    </w:p>
    <w:p w14:paraId="659C188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28.2大写金额和小写金额不一致的，以大写金额为准；</w:t>
      </w:r>
    </w:p>
    <w:p w14:paraId="0383873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28.3单价金额小数点或者百分比有明显错位的，以开标一览表的总价为准，并修改单价；</w:t>
      </w:r>
    </w:p>
    <w:p w14:paraId="4E625EC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kern w:val="0"/>
          <w:szCs w:val="21"/>
        </w:rPr>
      </w:pPr>
      <w:r>
        <w:rPr>
          <w:rFonts w:hint="eastAsia" w:ascii="宋体" w:hAnsi="宋体" w:eastAsia="宋体" w:cs="宋体"/>
          <w:color w:val="auto"/>
          <w:kern w:val="0"/>
          <w:sz w:val="21"/>
          <w:szCs w:val="21"/>
          <w:highlight w:val="none"/>
          <w:lang w:val="en-US" w:eastAsia="zh-CN" w:bidi="ar-SA"/>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2E54F8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29.</w:t>
      </w:r>
      <w:r>
        <w:rPr>
          <w:rFonts w:hint="eastAsia" w:ascii="宋体" w:hAnsi="宋体" w:eastAsia="宋体" w:cs="宋体"/>
          <w:b/>
          <w:color w:val="auto"/>
          <w:kern w:val="0"/>
          <w:szCs w:val="21"/>
          <w:highlight w:val="none"/>
        </w:rPr>
        <w:t>响应无效情形</w:t>
      </w:r>
    </w:p>
    <w:p w14:paraId="2C805B5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vanish/>
          <w:color w:val="auto"/>
          <w:kern w:val="0"/>
          <w:sz w:val="21"/>
          <w:szCs w:val="21"/>
          <w:highlight w:val="none"/>
          <w:lang w:val="en-US" w:eastAsia="zh-CN" w:bidi="ar-SA"/>
        </w:rPr>
        <w:t xml:space="preserve">29.1 </w:t>
      </w:r>
      <w:r>
        <w:rPr>
          <w:rFonts w:hint="eastAsia" w:ascii="宋体" w:hAnsi="宋体" w:eastAsia="宋体" w:cs="宋体"/>
          <w:color w:val="auto"/>
          <w:kern w:val="0"/>
          <w:szCs w:val="21"/>
          <w:highlight w:val="none"/>
        </w:rPr>
        <w:t>响应文件</w:t>
      </w:r>
      <w:r>
        <w:rPr>
          <w:rFonts w:hint="eastAsia" w:ascii="宋体" w:hAnsi="宋体" w:eastAsia="宋体" w:cs="宋体"/>
          <w:color w:val="auto"/>
          <w:kern w:val="0"/>
          <w:szCs w:val="21"/>
          <w:highlight w:val="none"/>
          <w:lang w:eastAsia="zh-CN"/>
        </w:rPr>
        <w:t>属于</w:t>
      </w:r>
      <w:r>
        <w:rPr>
          <w:rFonts w:hint="eastAsia" w:ascii="宋体" w:hAnsi="宋体" w:eastAsia="宋体" w:cs="宋体"/>
          <w:color w:val="auto"/>
          <w:kern w:val="0"/>
          <w:szCs w:val="21"/>
          <w:highlight w:val="none"/>
        </w:rPr>
        <w:t>下列情况之一的，按照无效响应处理：</w:t>
      </w:r>
    </w:p>
    <w:p w14:paraId="5D9DF48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29.1.1</w:t>
      </w:r>
      <w:r>
        <w:rPr>
          <w:rFonts w:hint="eastAsia" w:ascii="宋体" w:hAnsi="宋体" w:eastAsia="宋体" w:cs="宋体"/>
          <w:color w:val="auto"/>
          <w:kern w:val="0"/>
          <w:szCs w:val="21"/>
          <w:highlight w:val="none"/>
        </w:rPr>
        <w:t>未按照磋商文件的规定提交《禹州市政府采购供应商信用承诺函》的；</w:t>
      </w:r>
    </w:p>
    <w:p w14:paraId="0C9BDE0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29.1.2</w:t>
      </w:r>
      <w:r>
        <w:rPr>
          <w:rFonts w:hint="eastAsia" w:ascii="宋体" w:hAnsi="宋体" w:eastAsia="宋体" w:cs="宋体"/>
          <w:color w:val="auto"/>
          <w:kern w:val="0"/>
          <w:szCs w:val="21"/>
          <w:highlight w:val="none"/>
        </w:rPr>
        <w:t>未按照磋商文件的规定提交磋商承诺函的；</w:t>
      </w:r>
    </w:p>
    <w:p w14:paraId="02C8495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29.1.3</w:t>
      </w:r>
      <w:r>
        <w:rPr>
          <w:rFonts w:hint="eastAsia" w:ascii="宋体" w:hAnsi="宋体" w:eastAsia="宋体" w:cs="宋体"/>
          <w:color w:val="auto"/>
          <w:kern w:val="0"/>
          <w:szCs w:val="21"/>
          <w:highlight w:val="none"/>
        </w:rPr>
        <w:t>响应文件未按磋商文件要求签署、盖章的；</w:t>
      </w:r>
    </w:p>
    <w:p w14:paraId="5645CFF5">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29.1.4</w:t>
      </w:r>
      <w:r>
        <w:rPr>
          <w:rFonts w:hint="eastAsia" w:ascii="宋体" w:hAnsi="宋体" w:eastAsia="宋体" w:cs="宋体"/>
          <w:color w:val="auto"/>
          <w:kern w:val="0"/>
          <w:szCs w:val="21"/>
          <w:highlight w:val="none"/>
        </w:rPr>
        <w:t>报价超过磋商文件中规定的预算金额的；</w:t>
      </w:r>
    </w:p>
    <w:p w14:paraId="235EDC7A">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29.1.5</w:t>
      </w:r>
      <w:r>
        <w:rPr>
          <w:rFonts w:hint="eastAsia" w:ascii="宋体" w:hAnsi="宋体" w:eastAsia="宋体" w:cs="宋体"/>
          <w:color w:val="auto"/>
          <w:kern w:val="0"/>
          <w:szCs w:val="21"/>
          <w:highlight w:val="none"/>
        </w:rPr>
        <w:t>响应文件含有采购人不能接受的附加条件的。</w:t>
      </w:r>
    </w:p>
    <w:p w14:paraId="7439614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29.2 </w:t>
      </w:r>
      <w:r>
        <w:rPr>
          <w:rFonts w:hint="eastAsia" w:ascii="宋体" w:hAnsi="宋体" w:eastAsia="宋体" w:cs="宋体"/>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011955C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29.2.1</w:t>
      </w:r>
      <w:r>
        <w:rPr>
          <w:rFonts w:hint="eastAsia" w:ascii="宋体" w:hAnsi="宋体" w:eastAsia="宋体" w:cs="宋体"/>
          <w:color w:val="auto"/>
          <w:kern w:val="0"/>
          <w:szCs w:val="21"/>
          <w:highlight w:val="none"/>
        </w:rPr>
        <w:t>不同供应商的电子响应文件上传计算机的网卡MAC地址、CPU序列号和硬盘序列号等硬件信息相同的；</w:t>
      </w:r>
    </w:p>
    <w:p w14:paraId="66CC4836">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29.2.2</w:t>
      </w:r>
      <w:r>
        <w:rPr>
          <w:rFonts w:hint="eastAsia" w:ascii="宋体" w:hAnsi="宋体" w:eastAsia="宋体" w:cs="宋体"/>
          <w:color w:val="auto"/>
          <w:kern w:val="0"/>
          <w:szCs w:val="21"/>
          <w:highlight w:val="none"/>
        </w:rPr>
        <w:t>不同供应商的响应文件由同一电子设备编制、打印加密或者上传；</w:t>
      </w:r>
    </w:p>
    <w:p w14:paraId="1C204D2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29.2.3</w:t>
      </w:r>
      <w:r>
        <w:rPr>
          <w:rFonts w:hint="eastAsia" w:ascii="宋体" w:hAnsi="宋体" w:eastAsia="宋体" w:cs="宋体"/>
          <w:color w:val="auto"/>
          <w:kern w:val="0"/>
          <w:szCs w:val="21"/>
          <w:highlight w:val="none"/>
        </w:rPr>
        <w:t>不同供应商的响应文件由同一电子设备打印、复印；</w:t>
      </w:r>
    </w:p>
    <w:p w14:paraId="5B5374D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29.2.4</w:t>
      </w:r>
      <w:r>
        <w:rPr>
          <w:rFonts w:hint="eastAsia" w:ascii="宋体" w:hAnsi="宋体" w:eastAsia="宋体" w:cs="宋体"/>
          <w:color w:val="auto"/>
          <w:kern w:val="0"/>
          <w:szCs w:val="21"/>
          <w:highlight w:val="none"/>
        </w:rPr>
        <w:t>不同供应商的响应文件由同一人送达或者分发，或者不同供应商联系人为同一人或不同联系人的联系电话一致的；</w:t>
      </w:r>
    </w:p>
    <w:p w14:paraId="6BFE9DC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29.2.5</w:t>
      </w:r>
      <w:r>
        <w:rPr>
          <w:rFonts w:hint="eastAsia" w:ascii="宋体" w:hAnsi="宋体" w:eastAsia="宋体" w:cs="宋体"/>
          <w:color w:val="auto"/>
          <w:kern w:val="0"/>
          <w:szCs w:val="21"/>
          <w:highlight w:val="none"/>
        </w:rPr>
        <w:t>不同供应商的响应文件的内容存在两处以上细节错误一致；</w:t>
      </w:r>
    </w:p>
    <w:p w14:paraId="6A3AF82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29.2.6</w:t>
      </w:r>
      <w:r>
        <w:rPr>
          <w:rFonts w:hint="eastAsia" w:ascii="宋体" w:hAnsi="宋体" w:eastAsia="宋体" w:cs="宋体"/>
          <w:color w:val="auto"/>
          <w:kern w:val="0"/>
          <w:szCs w:val="21"/>
          <w:highlight w:val="none"/>
        </w:rPr>
        <w:t>不同供应商的法定代表人、委托代理人、项目经理、项目负责人等由同一个单位缴纳社会保险或者领取报酬的；</w:t>
      </w:r>
    </w:p>
    <w:p w14:paraId="5F1813D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29.2.7</w:t>
      </w:r>
      <w:r>
        <w:rPr>
          <w:rFonts w:hint="eastAsia" w:ascii="宋体" w:hAnsi="宋体" w:eastAsia="宋体" w:cs="宋体"/>
          <w:color w:val="auto"/>
          <w:kern w:val="0"/>
          <w:szCs w:val="21"/>
          <w:highlight w:val="none"/>
        </w:rPr>
        <w:t>不同供应商响应文件中法定代表人或者负责人签字出自同一人之手；</w:t>
      </w:r>
    </w:p>
    <w:p w14:paraId="21A2027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29.2.8</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涉嫌串通的情形。</w:t>
      </w:r>
    </w:p>
    <w:p w14:paraId="1DE8B5A8">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29.3 </w:t>
      </w:r>
      <w:r>
        <w:rPr>
          <w:rFonts w:hint="eastAsia" w:ascii="宋体" w:hAnsi="宋体" w:eastAsia="宋体" w:cs="宋体"/>
          <w:color w:val="auto"/>
          <w:kern w:val="0"/>
          <w:szCs w:val="21"/>
          <w:highlight w:val="none"/>
        </w:rPr>
        <w:t>有下列情形之一的，视为供应商串通磋商，其响应无效：</w:t>
      </w:r>
    </w:p>
    <w:p w14:paraId="4BA9D50B">
      <w:pPr>
        <w:pStyle w:val="34"/>
        <w:numPr>
          <w:ilvl w:val="0"/>
          <w:numId w:val="0"/>
        </w:numPr>
        <w:tabs>
          <w:tab w:val="left" w:pos="1418"/>
        </w:tabs>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29.3.1</w:t>
      </w:r>
      <w:r>
        <w:rPr>
          <w:rFonts w:hint="eastAsia" w:ascii="宋体" w:hAnsi="宋体" w:eastAsia="宋体" w:cs="宋体"/>
          <w:color w:val="auto"/>
          <w:kern w:val="0"/>
          <w:szCs w:val="21"/>
          <w:highlight w:val="none"/>
        </w:rPr>
        <w:t>不同供应商的响应文件由同一单位或者个人编制；</w:t>
      </w:r>
    </w:p>
    <w:p w14:paraId="2296081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29.3.2</w:t>
      </w:r>
      <w:r>
        <w:rPr>
          <w:rFonts w:hint="eastAsia" w:ascii="宋体" w:hAnsi="宋体" w:eastAsia="宋体" w:cs="宋体"/>
          <w:color w:val="auto"/>
          <w:kern w:val="0"/>
          <w:szCs w:val="21"/>
          <w:highlight w:val="none"/>
        </w:rPr>
        <w:t>不同供应商委托同一单位或者个人办理响应事宜；</w:t>
      </w:r>
    </w:p>
    <w:p w14:paraId="7BC6ED0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29.3.3</w:t>
      </w:r>
      <w:r>
        <w:rPr>
          <w:rFonts w:hint="eastAsia" w:ascii="宋体" w:hAnsi="宋体" w:eastAsia="宋体" w:cs="宋体"/>
          <w:color w:val="auto"/>
          <w:kern w:val="0"/>
          <w:szCs w:val="21"/>
          <w:highlight w:val="none"/>
        </w:rPr>
        <w:t>不同供应商的响应文件载明的项目管理成员或者联系人员为同一人；</w:t>
      </w:r>
    </w:p>
    <w:p w14:paraId="2CCEB876">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29.3.4</w:t>
      </w:r>
      <w:r>
        <w:rPr>
          <w:rFonts w:hint="eastAsia" w:ascii="宋体" w:hAnsi="宋体" w:eastAsia="宋体" w:cs="宋体"/>
          <w:color w:val="auto"/>
          <w:kern w:val="0"/>
          <w:szCs w:val="21"/>
          <w:highlight w:val="none"/>
        </w:rPr>
        <w:t>不同供应商的响应文件异常一致或者投标报价呈规律性差异；</w:t>
      </w:r>
    </w:p>
    <w:p w14:paraId="62464DDB">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29.3.5</w:t>
      </w:r>
      <w:r>
        <w:rPr>
          <w:rFonts w:hint="eastAsia" w:ascii="宋体" w:hAnsi="宋体" w:eastAsia="宋体" w:cs="宋体"/>
          <w:color w:val="auto"/>
          <w:kern w:val="0"/>
          <w:szCs w:val="21"/>
          <w:highlight w:val="none"/>
        </w:rPr>
        <w:t>不同供应商的响应文件相互混装。</w:t>
      </w:r>
    </w:p>
    <w:p w14:paraId="640B3C1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29.4 </w:t>
      </w:r>
      <w:r>
        <w:rPr>
          <w:rFonts w:hint="eastAsia" w:ascii="宋体" w:hAnsi="宋体" w:eastAsia="宋体" w:cs="宋体"/>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420D90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29.5 </w:t>
      </w:r>
      <w:r>
        <w:rPr>
          <w:rFonts w:hint="eastAsia" w:ascii="宋体" w:hAnsi="宋体" w:eastAsia="宋体" w:cs="宋体"/>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206C408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29.6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0928B19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29.7 法律法规</w:t>
      </w:r>
      <w:r>
        <w:rPr>
          <w:rFonts w:hint="eastAsia" w:ascii="宋体" w:hAnsi="宋体" w:eastAsia="宋体" w:cs="宋体"/>
          <w:color w:val="auto"/>
          <w:kern w:val="0"/>
          <w:szCs w:val="21"/>
          <w:highlight w:val="none"/>
        </w:rPr>
        <w:t>和响应文件规定的其他无效情形。</w:t>
      </w:r>
    </w:p>
    <w:p w14:paraId="7A2FE6E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30.</w:t>
      </w:r>
      <w:r>
        <w:rPr>
          <w:rFonts w:hint="eastAsia" w:ascii="宋体" w:hAnsi="宋体" w:eastAsia="宋体" w:cs="宋体"/>
          <w:b/>
          <w:color w:val="auto"/>
          <w:kern w:val="0"/>
          <w:szCs w:val="21"/>
          <w:highlight w:val="none"/>
        </w:rPr>
        <w:t>响应文件评审与评价</w:t>
      </w:r>
    </w:p>
    <w:p w14:paraId="3905D63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磋商小组按照磋商文件中规定的评标方法和标准，对符合性审查合格的响应文件进行商务和技术评估，综合比较与评价。</w:t>
      </w:r>
    </w:p>
    <w:p w14:paraId="219D0F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31.</w:t>
      </w:r>
      <w:r>
        <w:rPr>
          <w:rFonts w:hint="eastAsia" w:ascii="宋体" w:hAnsi="宋体" w:eastAsia="宋体" w:cs="宋体"/>
          <w:b/>
          <w:color w:val="auto"/>
          <w:kern w:val="0"/>
          <w:szCs w:val="21"/>
          <w:highlight w:val="none"/>
        </w:rPr>
        <w:t>评标方法、评标标准</w:t>
      </w:r>
    </w:p>
    <w:p w14:paraId="44E3E2AF">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31.1 </w:t>
      </w:r>
      <w:r>
        <w:rPr>
          <w:rFonts w:hint="eastAsia" w:ascii="宋体" w:hAnsi="宋体" w:eastAsia="宋体" w:cs="宋体"/>
          <w:color w:val="auto"/>
          <w:kern w:val="0"/>
          <w:szCs w:val="21"/>
          <w:highlight w:val="none"/>
        </w:rPr>
        <w:t>评标方法分为综合评分法。</w:t>
      </w:r>
    </w:p>
    <w:p w14:paraId="683CA41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31.1.1</w:t>
      </w:r>
      <w:r>
        <w:rPr>
          <w:rFonts w:hint="eastAsia" w:ascii="宋体" w:hAnsi="宋体" w:eastAsia="宋体" w:cs="宋体"/>
          <w:color w:val="auto"/>
          <w:kern w:val="0"/>
          <w:szCs w:val="21"/>
          <w:highlight w:val="none"/>
        </w:rPr>
        <w:t>综合评分法，是指响应文件满足磋商文件全部实质性要求，且按照评审因素的量化指标评审得分最高的供应商为成交候选人的评标方法。</w:t>
      </w:r>
    </w:p>
    <w:p w14:paraId="2CFA6E4C">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31.2 </w:t>
      </w:r>
      <w:r>
        <w:rPr>
          <w:rFonts w:hint="eastAsia" w:ascii="宋体" w:hAnsi="宋体" w:eastAsia="宋体" w:cs="宋体"/>
          <w:color w:val="auto"/>
          <w:kern w:val="0"/>
          <w:szCs w:val="21"/>
          <w:highlight w:val="none"/>
        </w:rPr>
        <w:t>价格分</w:t>
      </w:r>
    </w:p>
    <w:p w14:paraId="33008BD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31.2.1</w:t>
      </w:r>
      <w:r>
        <w:rPr>
          <w:rFonts w:hint="eastAsia" w:ascii="宋体" w:hAnsi="宋体" w:eastAsia="宋体" w:cs="宋体"/>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0D5D692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磋商基准价/最后磋商报价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×100</w:t>
      </w:r>
    </w:p>
    <w:p w14:paraId="6624EE42">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31.2.2</w:t>
      </w:r>
      <w:r>
        <w:rPr>
          <w:rFonts w:hint="eastAsia" w:ascii="宋体" w:hAnsi="宋体" w:eastAsia="宋体" w:cs="宋体"/>
          <w:color w:val="auto"/>
          <w:kern w:val="0"/>
          <w:szCs w:val="21"/>
          <w:highlight w:val="none"/>
        </w:rPr>
        <w:t>评审过程中，不得去掉最后报价中的最高报价和最低报价。</w:t>
      </w:r>
    </w:p>
    <w:p w14:paraId="2FA4486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31.2.3</w:t>
      </w:r>
      <w:r>
        <w:rPr>
          <w:rFonts w:hint="eastAsia" w:ascii="宋体" w:hAnsi="宋体" w:eastAsia="宋体" w:cs="宋体"/>
          <w:color w:val="auto"/>
          <w:kern w:val="0"/>
          <w:szCs w:val="21"/>
          <w:highlight w:val="none"/>
        </w:rPr>
        <w:t>因落实政府采购政策进行价格调整的，以调整后的价格计算磋商基准价和磋商报价。</w:t>
      </w:r>
    </w:p>
    <w:p w14:paraId="6989E532">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31.3 </w:t>
      </w:r>
      <w:r>
        <w:rPr>
          <w:rFonts w:hint="eastAsia" w:ascii="宋体" w:hAnsi="宋体" w:eastAsia="宋体" w:cs="宋体"/>
          <w:color w:val="auto"/>
          <w:kern w:val="0"/>
          <w:szCs w:val="21"/>
          <w:highlight w:val="none"/>
        </w:rPr>
        <w:t>本次磋商具体磋商方法、磋商标准见（第六章 对响应文件审查与评审）。</w:t>
      </w:r>
    </w:p>
    <w:p w14:paraId="69C3E2F9">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31.3异常低价审查。</w:t>
      </w:r>
    </w:p>
    <w:p w14:paraId="17B017F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31.3.1评审中出现下列情形之一的，磋商小组应当启动异常低价投标审查程序：</w:t>
      </w:r>
    </w:p>
    <w:p w14:paraId="11A38AA1">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（1）投标（响应）报价低于全部通过符合性审查供应商投标（响应）报价平均值50%的，即投标（响应）报价〈全部通过符合性审查供应商投标（响应）报价平均值×50%；</w:t>
      </w:r>
    </w:p>
    <w:p w14:paraId="6A972132">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（2）投标（响应）报价低于通过符合性审查的次低报价供应商投标（响应）报价50%的，即投标（响应）报价〈通过符合性审查的次低报价供应商投标（响应）报价×50%；</w:t>
      </w:r>
    </w:p>
    <w:p w14:paraId="6D96C1C9">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（3）投标（响应）报价低于采购项目最高限价45%的，即投标（响应）报价〈采购项目最高限价×45%；</w:t>
      </w:r>
    </w:p>
    <w:p w14:paraId="6FA2722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（4）磋商小组基于专业判断，认为供应商报价过低，有可能影响产品质量或者不能诚信履约的其他情形。</w:t>
      </w:r>
    </w:p>
    <w:p w14:paraId="3E81EDA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3F9D53F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31.3.2磋商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434FA580">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31.3.3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14:paraId="156FB3C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32.</w:t>
      </w:r>
      <w:r>
        <w:rPr>
          <w:rFonts w:hint="eastAsia" w:ascii="宋体" w:hAnsi="宋体" w:eastAsia="宋体" w:cs="宋体"/>
          <w:b/>
          <w:color w:val="auto"/>
          <w:kern w:val="0"/>
          <w:szCs w:val="21"/>
          <w:highlight w:val="none"/>
        </w:rPr>
        <w:t>磋商</w:t>
      </w:r>
    </w:p>
    <w:p w14:paraId="207B4BA9">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32.1 </w:t>
      </w:r>
      <w:r>
        <w:rPr>
          <w:rFonts w:hint="eastAsia" w:ascii="宋体" w:hAnsi="宋体" w:eastAsia="宋体" w:cs="宋体"/>
          <w:color w:val="auto"/>
          <w:kern w:val="0"/>
          <w:szCs w:val="21"/>
          <w:highlight w:val="none"/>
        </w:rPr>
        <w:t>磋商小组与通过符合性审查合格的响应文件，即实质性响应磋商文件的供应商分别进行</w:t>
      </w:r>
    </w:p>
    <w:p w14:paraId="4431275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w:t>
      </w:r>
    </w:p>
    <w:p w14:paraId="7C452D41">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32.2 </w:t>
      </w:r>
      <w:r>
        <w:rPr>
          <w:rFonts w:hint="eastAsia" w:ascii="宋体" w:hAnsi="宋体" w:eastAsia="宋体" w:cs="宋体"/>
          <w:color w:val="auto"/>
          <w:kern w:val="0"/>
          <w:szCs w:val="21"/>
          <w:highlight w:val="none"/>
        </w:rPr>
        <w:t>磋商小组所有成员应当集中与单一供应商分别进行磋商，并给予所有参加磋商的供应商</w:t>
      </w:r>
    </w:p>
    <w:p w14:paraId="22EDCD9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平等的磋商机会。</w:t>
      </w:r>
    </w:p>
    <w:p w14:paraId="60F57DB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32.3 </w:t>
      </w:r>
      <w:r>
        <w:rPr>
          <w:rFonts w:hint="eastAsia" w:ascii="宋体" w:hAnsi="宋体" w:eastAsia="宋体" w:cs="宋体"/>
          <w:color w:val="auto"/>
          <w:kern w:val="0"/>
          <w:szCs w:val="21"/>
          <w:highlight w:val="none"/>
        </w:rPr>
        <w:t>在磋商中，磋商的任何一方不得透露与磋商有关的其他供应商的技术资料、价格和其他</w:t>
      </w:r>
    </w:p>
    <w:p w14:paraId="089892A7">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w:t>
      </w:r>
    </w:p>
    <w:p w14:paraId="4AE6FA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32.4 </w:t>
      </w:r>
      <w:r>
        <w:rPr>
          <w:rFonts w:hint="eastAsia" w:ascii="宋体" w:hAnsi="宋体" w:eastAsia="宋体" w:cs="宋体"/>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15A8B2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32.5 </w:t>
      </w:r>
      <w:r>
        <w:rPr>
          <w:rFonts w:hint="eastAsia" w:ascii="宋体" w:hAnsi="宋体" w:eastAsia="宋体" w:cs="宋体"/>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59DA522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32.6 </w:t>
      </w:r>
      <w:r>
        <w:rPr>
          <w:rFonts w:hint="eastAsia" w:ascii="宋体" w:hAnsi="宋体" w:eastAsia="宋体" w:cs="宋体"/>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BD612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32.7 </w:t>
      </w:r>
      <w:r>
        <w:rPr>
          <w:rFonts w:hint="eastAsia" w:ascii="宋体" w:hAnsi="宋体" w:eastAsia="宋体" w:cs="宋体"/>
          <w:color w:val="auto"/>
          <w:kern w:val="0"/>
          <w:szCs w:val="21"/>
          <w:highlight w:val="none"/>
        </w:rPr>
        <w:t>如磋商中出现符合《财政部关于政府采购竞争性磋商采购方式管理暂行办法有关问题的补充通知》（财库〔2015〕124号）中的情形，则按财政部通知要求执行。</w:t>
      </w:r>
    </w:p>
    <w:p w14:paraId="5F8A432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 xml:space="preserve">32.8 </w:t>
      </w:r>
      <w:r>
        <w:rPr>
          <w:rFonts w:hint="eastAsia" w:ascii="宋体" w:hAnsi="宋体" w:eastAsia="宋体" w:cs="宋体"/>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r>
        <w:rPr>
          <w:rFonts w:hint="eastAsia" w:ascii="宋体" w:hAnsi="宋体" w:eastAsia="宋体" w:cs="宋体"/>
          <w:color w:val="auto"/>
          <w:kern w:val="0"/>
          <w:szCs w:val="21"/>
          <w:highlight w:val="none"/>
          <w:lang w:eastAsia="zh-CN"/>
        </w:rPr>
        <w:t>。</w:t>
      </w:r>
    </w:p>
    <w:p w14:paraId="7D14EAF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32.9 </w:t>
      </w:r>
      <w:r>
        <w:rPr>
          <w:rFonts w:hint="eastAsia" w:ascii="宋体" w:hAnsi="宋体" w:eastAsia="宋体" w:cs="宋体"/>
          <w:color w:val="auto"/>
          <w:kern w:val="0"/>
          <w:szCs w:val="21"/>
          <w:highlight w:val="none"/>
        </w:rPr>
        <w:t>已提交响应文件的供应商，在提交最后报价之前，可以根据磋商情况退出磋商。</w:t>
      </w:r>
    </w:p>
    <w:p w14:paraId="1455D01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32.10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）规定，评审专家应严格按照要求查看“硬件特征码相”关信息并进行评审。</w:t>
      </w:r>
    </w:p>
    <w:p w14:paraId="53D53AC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33.</w:t>
      </w:r>
      <w:r>
        <w:rPr>
          <w:rFonts w:hint="eastAsia" w:ascii="宋体" w:hAnsi="宋体" w:eastAsia="宋体" w:cs="宋体"/>
          <w:b/>
          <w:color w:val="auto"/>
          <w:kern w:val="0"/>
          <w:szCs w:val="21"/>
          <w:highlight w:val="none"/>
        </w:rPr>
        <w:t>推荐成交候选人</w:t>
      </w:r>
    </w:p>
    <w:p w14:paraId="78A50D7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33.1 </w:t>
      </w:r>
      <w:r>
        <w:rPr>
          <w:rFonts w:hint="eastAsia" w:ascii="宋体" w:hAnsi="宋体" w:eastAsia="宋体" w:cs="宋体"/>
          <w:color w:val="auto"/>
          <w:szCs w:val="21"/>
          <w:highlight w:val="none"/>
          <w:shd w:val="clear" w:color="auto" w:fill="FFFFFF"/>
        </w:rPr>
        <w:t>磋商小组应当根据综合评分情况，按照评审得分由高到低顺序推荐3名以上成交候选供应商，并编写评审报告。符合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5C7741D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33.2 </w:t>
      </w: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3F355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34.</w:t>
      </w:r>
      <w:r>
        <w:rPr>
          <w:rFonts w:hint="eastAsia" w:ascii="宋体" w:hAnsi="宋体" w:eastAsia="宋体" w:cs="宋体"/>
          <w:b/>
          <w:color w:val="auto"/>
          <w:kern w:val="0"/>
          <w:szCs w:val="21"/>
          <w:highlight w:val="none"/>
        </w:rPr>
        <w:t>保密</w:t>
      </w:r>
    </w:p>
    <w:p w14:paraId="5508F2B0">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34.1 </w:t>
      </w:r>
      <w:r>
        <w:rPr>
          <w:rFonts w:hint="eastAsia" w:ascii="宋体" w:hAnsi="宋体" w:eastAsia="宋体" w:cs="宋体"/>
          <w:color w:val="auto"/>
          <w:kern w:val="0"/>
          <w:szCs w:val="21"/>
          <w:highlight w:val="none"/>
        </w:rPr>
        <w:t>评审专家应当遵守评审工作纪律，不得泄露评审文件、评审情况和评审中获悉的商业秘</w:t>
      </w:r>
    </w:p>
    <w:p w14:paraId="128A521E">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密。</w:t>
      </w:r>
    </w:p>
    <w:p w14:paraId="1466050D">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34.2 </w:t>
      </w:r>
      <w:r>
        <w:rPr>
          <w:rFonts w:hint="eastAsia" w:ascii="宋体" w:hAnsi="宋体" w:eastAsia="宋体" w:cs="宋体"/>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28B3D238">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六、定标和授予合同</w:t>
      </w:r>
    </w:p>
    <w:p w14:paraId="37527E3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35.</w:t>
      </w:r>
      <w:r>
        <w:rPr>
          <w:rFonts w:hint="eastAsia" w:ascii="宋体" w:hAnsi="宋体" w:eastAsia="宋体" w:cs="宋体"/>
          <w:b/>
          <w:color w:val="auto"/>
          <w:kern w:val="0"/>
          <w:szCs w:val="21"/>
          <w:highlight w:val="none"/>
        </w:rPr>
        <w:t>确定成交人</w:t>
      </w:r>
    </w:p>
    <w:p w14:paraId="1D65394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35.1 </w:t>
      </w:r>
      <w:r>
        <w:rPr>
          <w:rFonts w:hint="eastAsia" w:ascii="宋体" w:hAnsi="宋体" w:eastAsia="宋体" w:cs="宋体"/>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3232DC7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35.2 </w:t>
      </w:r>
      <w:r>
        <w:rPr>
          <w:rFonts w:hint="eastAsia" w:ascii="宋体" w:hAnsi="宋体" w:eastAsia="宋体" w:cs="宋体"/>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339102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36.</w:t>
      </w:r>
      <w:r>
        <w:rPr>
          <w:rFonts w:hint="eastAsia" w:ascii="宋体" w:hAnsi="宋体" w:eastAsia="宋体" w:cs="宋体"/>
          <w:b/>
          <w:color w:val="auto"/>
          <w:kern w:val="0"/>
          <w:szCs w:val="21"/>
          <w:highlight w:val="none"/>
        </w:rPr>
        <w:t>成交公告、发出成交通知书</w:t>
      </w:r>
    </w:p>
    <w:p w14:paraId="49D2ED5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36.1 </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人在</w:t>
      </w:r>
      <w:r>
        <w:rPr>
          <w:rFonts w:hint="eastAsia" w:ascii="宋体" w:hAnsi="宋体" w:eastAsia="宋体" w:cs="宋体"/>
          <w:color w:val="auto"/>
          <w:kern w:val="0"/>
          <w:szCs w:val="21"/>
          <w:highlight w:val="none"/>
        </w:rPr>
        <w:t>确认成交人后公告成交结果的同时，向成交人发出成交通知书。</w:t>
      </w:r>
    </w:p>
    <w:p w14:paraId="33C228D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36.2 </w:t>
      </w:r>
      <w:r>
        <w:rPr>
          <w:rFonts w:hint="eastAsia" w:ascii="宋体" w:hAnsi="宋体" w:eastAsia="宋体" w:cs="宋体"/>
          <w:color w:val="auto"/>
          <w:kern w:val="0"/>
          <w:szCs w:val="21"/>
          <w:highlight w:val="none"/>
        </w:rPr>
        <w:t>成交通知书发出后，采购人不得违法改变成交结果，成交人无正当理由不得放弃成交。</w:t>
      </w:r>
    </w:p>
    <w:p w14:paraId="61ED803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37.</w:t>
      </w:r>
      <w:r>
        <w:rPr>
          <w:rFonts w:hint="eastAsia" w:ascii="宋体" w:hAnsi="宋体" w:eastAsia="宋体" w:cs="宋体"/>
          <w:b/>
          <w:color w:val="auto"/>
          <w:kern w:val="0"/>
          <w:szCs w:val="21"/>
          <w:highlight w:val="none"/>
        </w:rPr>
        <w:t>质疑提出与答复</w:t>
      </w:r>
    </w:p>
    <w:p w14:paraId="25FEFA6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37.1 </w:t>
      </w:r>
      <w:r>
        <w:rPr>
          <w:rFonts w:hint="eastAsia" w:ascii="宋体" w:hAnsi="宋体" w:eastAsia="宋体" w:cs="宋体"/>
          <w:color w:val="auto"/>
          <w:kern w:val="0"/>
          <w:szCs w:val="21"/>
          <w:highlight w:val="none"/>
        </w:rPr>
        <w:t>供应商认为磋商文件、采购过程和成交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如未提出视为全面接受。</w:t>
      </w:r>
    </w:p>
    <w:p w14:paraId="386046C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37.1.1</w:t>
      </w:r>
      <w:r>
        <w:rPr>
          <w:rFonts w:hint="eastAsia" w:ascii="宋体" w:hAnsi="宋体" w:eastAsia="宋体" w:cs="宋体"/>
          <w:color w:val="auto"/>
          <w:kern w:val="0"/>
          <w:szCs w:val="21"/>
          <w:highlight w:val="none"/>
        </w:rPr>
        <w:t>对采购文件提出质疑的，潜在供应商</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rPr>
        <w:t>依法获取采购文件，且应当在获取采购文件或者采购文件公告期限届满之日起7个工作日内使用CA数字证书登录《全国公共资源交易平台（河南省·许昌市）》，通过许</w:t>
      </w:r>
      <w:r>
        <w:rPr>
          <w:rFonts w:hint="eastAsia" w:ascii="宋体" w:hAnsi="宋体" w:eastAsia="宋体" w:cs="宋体"/>
          <w:color w:val="auto"/>
          <w:kern w:val="0"/>
          <w:szCs w:val="21"/>
          <w:highlight w:val="none"/>
          <w:lang w:eastAsia="zh-CN"/>
        </w:rPr>
        <w:t>昌市</w:t>
      </w:r>
      <w:r>
        <w:rPr>
          <w:rFonts w:hint="eastAsia" w:ascii="宋体" w:hAnsi="宋体" w:eastAsia="宋体" w:cs="宋体"/>
          <w:color w:val="auto"/>
          <w:kern w:val="0"/>
          <w:szCs w:val="21"/>
          <w:highlight w:val="none"/>
        </w:rPr>
        <w:t>公共资源交易系统一次性提出，逾期提交或未按照要求提交的质疑函将不予受理。质疑提出后潜在投标人应及时联系招标公告中集采机构联系人查看。</w:t>
      </w:r>
    </w:p>
    <w:p w14:paraId="0F4A5A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37.1.2</w:t>
      </w:r>
      <w:r>
        <w:rPr>
          <w:rFonts w:hint="eastAsia" w:ascii="宋体" w:hAnsi="宋体" w:eastAsia="宋体" w:cs="宋体"/>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24D257E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37.1.3</w:t>
      </w:r>
      <w:r>
        <w:rPr>
          <w:rFonts w:hint="eastAsia" w:ascii="宋体" w:hAnsi="宋体" w:eastAsia="宋体" w:cs="宋体"/>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7DB3E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37.2 </w:t>
      </w:r>
      <w:r>
        <w:rPr>
          <w:rFonts w:hint="eastAsia" w:ascii="宋体" w:hAnsi="宋体" w:eastAsia="宋体" w:cs="宋体"/>
          <w:color w:val="auto"/>
          <w:kern w:val="0"/>
          <w:szCs w:val="21"/>
          <w:highlight w:val="none"/>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267313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37.2.1</w:t>
      </w:r>
      <w:r>
        <w:rPr>
          <w:rFonts w:hint="eastAsia" w:ascii="宋体" w:hAnsi="宋体" w:eastAsia="宋体" w:cs="宋体"/>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7390100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37.2.2</w:t>
      </w:r>
      <w:r>
        <w:rPr>
          <w:rFonts w:hint="eastAsia" w:ascii="宋体" w:hAnsi="宋体" w:eastAsia="宋体" w:cs="宋体"/>
          <w:color w:val="auto"/>
          <w:ker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382ACF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38.</w:t>
      </w:r>
      <w:r>
        <w:rPr>
          <w:rFonts w:hint="eastAsia" w:ascii="宋体" w:hAnsi="宋体" w:eastAsia="宋体" w:cs="宋体"/>
          <w:b/>
          <w:color w:val="auto"/>
          <w:kern w:val="0"/>
          <w:szCs w:val="21"/>
          <w:highlight w:val="none"/>
        </w:rPr>
        <w:t>签订合同与备案</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3124A0D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39.</w:t>
      </w:r>
      <w:r>
        <w:rPr>
          <w:rFonts w:hint="eastAsia" w:ascii="宋体" w:hAnsi="宋体" w:eastAsia="宋体" w:cs="宋体"/>
          <w:b/>
          <w:color w:val="auto"/>
          <w:kern w:val="0"/>
          <w:szCs w:val="21"/>
          <w:highlight w:val="none"/>
        </w:rPr>
        <w:t>履约保证金</w:t>
      </w:r>
    </w:p>
    <w:p w14:paraId="4ED8944D">
      <w:pPr>
        <w:pStyle w:val="34"/>
        <w:numPr>
          <w:ilvl w:val="0"/>
          <w:numId w:val="0"/>
        </w:num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43E80667">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en-US" w:eastAsia="zh-CN"/>
        </w:rPr>
        <w:t>40.</w:t>
      </w:r>
      <w:r>
        <w:rPr>
          <w:rFonts w:hint="eastAsia" w:ascii="宋体" w:hAnsi="宋体" w:eastAsia="宋体" w:cs="宋体"/>
          <w:b/>
          <w:color w:val="auto"/>
          <w:kern w:val="0"/>
          <w:szCs w:val="21"/>
          <w:highlight w:val="none"/>
        </w:rPr>
        <w:t>政府采购合同融资</w:t>
      </w:r>
    </w:p>
    <w:p w14:paraId="0D29D631">
      <w:pPr>
        <w:pStyle w:val="34"/>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.1缓解中小企业融资难题</w:t>
      </w:r>
    </w:p>
    <w:p w14:paraId="078F99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.2合作金融机构（排名不分先后）</w:t>
      </w:r>
    </w:p>
    <w:p w14:paraId="047A6A1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336EA35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3387B30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其他</w:t>
      </w:r>
    </w:p>
    <w:p w14:paraId="44BC918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文件未尽事项，以法律法规规定的为准。</w:t>
      </w:r>
    </w:p>
    <w:p w14:paraId="7727749A">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31E23AF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564FF08C">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7B69434B">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0B85B6E2">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65F5B61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F77532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第五章 政府采购政策功能</w:t>
      </w:r>
    </w:p>
    <w:p w14:paraId="6F5BC40E">
      <w:pPr>
        <w:pStyle w:val="9"/>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ABB0843">
      <w:pPr>
        <w:pStyle w:val="9"/>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2685A212">
      <w:pPr>
        <w:pStyle w:val="9"/>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984B9DC">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二、促进中小企业发展（不含民办非企业）</w:t>
      </w:r>
    </w:p>
    <w:p w14:paraId="2B133F99">
      <w:pPr>
        <w:topLinePunct/>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（一）</w:t>
      </w:r>
      <w:r>
        <w:rPr>
          <w:rFonts w:hint="eastAsia" w:ascii="宋体" w:hAnsi="宋体" w:eastAsia="宋体" w:cs="宋体"/>
          <w:color w:val="auto"/>
          <w:szCs w:val="21"/>
          <w:highlight w:val="none"/>
          <w:lang w:val="en-US" w:eastAsia="zh-CN"/>
        </w:rPr>
        <w:t>本项目专门面向中小企业采购（不再执行价格评审优惠的扶持政策）</w:t>
      </w:r>
    </w:p>
    <w:p w14:paraId="648C8BCF">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（二）非</w:t>
      </w:r>
      <w:r>
        <w:rPr>
          <w:rFonts w:hint="eastAsia" w:ascii="宋体" w:hAnsi="宋体" w:eastAsia="宋体" w:cs="宋体"/>
          <w:color w:val="auto"/>
          <w:szCs w:val="21"/>
          <w:highlight w:val="none"/>
          <w:lang w:val="zh-CN"/>
        </w:rPr>
        <w:t>专门面向中小企业预留采购份额</w:t>
      </w:r>
    </w:p>
    <w:p w14:paraId="19532A00">
      <w:pPr>
        <w:topLinePunct/>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highlight w:val="none"/>
          <w:lang w:eastAsia="zh-CN"/>
        </w:rPr>
        <w:t>1.</w:t>
      </w:r>
      <w:r>
        <w:rPr>
          <w:rFonts w:hint="eastAsia" w:ascii="宋体" w:hAnsi="宋体" w:eastAsia="宋体" w:cs="宋体"/>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%的扣除，用扣除后的价格参与评审。</w:t>
      </w:r>
    </w:p>
    <w:p w14:paraId="1259A6D4">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666C0432">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1E441EDC">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%的扣除，用扣除后的价格参加评审。组成联合体或者接受分包的小微企业与联合体内其他企业、分包企业之间存在直接控股、管理关系的，不享受价格扣除优惠政策。</w:t>
      </w:r>
    </w:p>
    <w:p w14:paraId="4ED10027">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按照本次采购标的所属行业的划型标准，符合条件的中小企业应按照采购文件格式要求提供《中小企业声明函》，否则不得享受相关中小企业扶持政策。</w:t>
      </w:r>
    </w:p>
    <w:p w14:paraId="6D63FD19">
      <w:pPr>
        <w:topLinePunct/>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2906A4D3">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2" w:name="OLE_LINK6"/>
      <w:r>
        <w:rPr>
          <w:rFonts w:hint="eastAsia" w:ascii="宋体" w:hAnsi="宋体" w:eastAsia="宋体" w:cs="宋体"/>
          <w:color w:val="auto"/>
          <w:szCs w:val="21"/>
          <w:highlight w:val="none"/>
          <w:lang w:val="zh-CN"/>
        </w:rPr>
        <w:t>财库〔2014〕68号</w:t>
      </w:r>
      <w:bookmarkEnd w:id="2"/>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478DA58">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562E8C6E">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3A901D0D">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7468505">
      <w:pPr>
        <w:pStyle w:val="9"/>
        <w:spacing w:line="360" w:lineRule="auto"/>
        <w:ind w:firstLine="420" w:firstLineChars="200"/>
        <w:contextualSpacing/>
        <w:rPr>
          <w:rFonts w:hint="eastAsia" w:ascii="宋体" w:hAnsi="宋体" w:eastAsia="宋体" w:cs="宋体"/>
          <w:color w:val="auto"/>
          <w:szCs w:val="24"/>
          <w:highlight w:val="none"/>
          <w:lang w:val="zh-CN"/>
        </w:rPr>
      </w:pPr>
      <w:r>
        <w:rPr>
          <w:rFonts w:hint="eastAsia" w:ascii="宋体" w:hAnsi="宋体" w:eastAsia="宋体" w:cs="宋体"/>
          <w:color w:val="auto"/>
          <w:sz w:val="21"/>
          <w:szCs w:val="21"/>
          <w:highlight w:val="none"/>
          <w:lang w:val="zh-CN"/>
        </w:rPr>
        <w:t>3.中标人为残疾人福利性单位的，招标人应当随中标结果同时公告其《残疾人福利性单位声明函》，接受社会监督。</w:t>
      </w:r>
    </w:p>
    <w:p w14:paraId="478FB73A">
      <w:pPr>
        <w:pStyle w:val="9"/>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6A7721C9">
      <w:pPr>
        <w:pStyle w:val="9"/>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1436FC1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E426FAE">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对响应文件审查与评审</w:t>
      </w:r>
    </w:p>
    <w:p w14:paraId="411D993D">
      <w:pPr>
        <w:pStyle w:val="9"/>
        <w:spacing w:line="360" w:lineRule="auto"/>
        <w:ind w:firstLine="422" w:firstLineChars="200"/>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zh-CN"/>
        </w:rPr>
        <w:t>一、资格审查</w:t>
      </w:r>
    </w:p>
    <w:p w14:paraId="1CF5CCCE">
      <w:pPr>
        <w:pStyle w:val="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（一）磋商小组依法对供应商资格进行审查。确定符合资格的供应商不少于3家，将对响应文件的有效性、完整性和响应程度进行审查并对响应文件进行评审。</w:t>
      </w:r>
    </w:p>
    <w:p w14:paraId="125FEA64">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（二）资格证明材料（本栏所列内容为本项目的资格审查条件，如有一项不符合要求，则不能进入下一步评审）。</w:t>
      </w:r>
    </w:p>
    <w:p w14:paraId="44B3BDC5">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（三）资格审查中所</w:t>
      </w:r>
      <w:r>
        <w:rPr>
          <w:rFonts w:hint="eastAsia" w:ascii="宋体" w:hAnsi="宋体" w:eastAsia="宋体" w:cs="宋体"/>
          <w:bCs/>
          <w:color w:val="auto"/>
          <w:szCs w:val="21"/>
          <w:highlight w:val="none"/>
          <w:lang w:eastAsia="zh-CN"/>
        </w:rPr>
        <w:t>涉及</w:t>
      </w:r>
      <w:r>
        <w:rPr>
          <w:rFonts w:hint="eastAsia" w:ascii="宋体" w:hAnsi="宋体" w:eastAsia="宋体" w:cs="宋体"/>
          <w:bCs/>
          <w:color w:val="auto"/>
          <w:szCs w:val="21"/>
          <w:highlight w:val="none"/>
        </w:rPr>
        <w:t>的证书及材料，均须在电子响应文件中提供原件扫描件（或图片）。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3B0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7D28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6063DA3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FB8EA4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3B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2A73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5E3D32F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2E4F5D0A">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参考磋商文件第八章3.1格式填写</w:t>
            </w:r>
          </w:p>
        </w:tc>
      </w:tr>
      <w:tr w14:paraId="105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34306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2410" w:type="dxa"/>
            <w:vAlign w:val="center"/>
          </w:tcPr>
          <w:p w14:paraId="07D804B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禹州市政府采购</w:t>
            </w:r>
          </w:p>
          <w:p w14:paraId="45357E0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供应商信用承诺函</w:t>
            </w:r>
          </w:p>
        </w:tc>
        <w:tc>
          <w:tcPr>
            <w:tcW w:w="5954" w:type="dxa"/>
            <w:vAlign w:val="center"/>
          </w:tcPr>
          <w:p w14:paraId="6EA15CC3">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按照磋商文件第八章3.5格式填写</w:t>
            </w:r>
          </w:p>
        </w:tc>
      </w:tr>
      <w:tr w14:paraId="1305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054C7E">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p>
        </w:tc>
        <w:tc>
          <w:tcPr>
            <w:tcW w:w="2410" w:type="dxa"/>
            <w:vAlign w:val="center"/>
          </w:tcPr>
          <w:p w14:paraId="7B9ECCF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中小企业声明函</w:t>
            </w:r>
          </w:p>
        </w:tc>
        <w:tc>
          <w:tcPr>
            <w:tcW w:w="5954" w:type="dxa"/>
          </w:tcPr>
          <w:p w14:paraId="36FC4A03">
            <w:pPr>
              <w:spacing w:line="360" w:lineRule="auto"/>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按照磋商文件第八章3.</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格式填写</w:t>
            </w:r>
          </w:p>
        </w:tc>
      </w:tr>
      <w:tr w14:paraId="630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0CDC6E">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p>
        </w:tc>
        <w:tc>
          <w:tcPr>
            <w:tcW w:w="2410" w:type="dxa"/>
            <w:vAlign w:val="center"/>
          </w:tcPr>
          <w:p w14:paraId="4DD3A6D4">
            <w:pPr>
              <w:spacing w:line="36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供应商须具备的特殊</w:t>
            </w:r>
          </w:p>
          <w:p w14:paraId="484F7D04">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color w:val="auto"/>
                <w:sz w:val="22"/>
                <w:highlight w:val="none"/>
              </w:rPr>
              <w:t>资质证书</w:t>
            </w:r>
          </w:p>
        </w:tc>
        <w:tc>
          <w:tcPr>
            <w:tcW w:w="5954" w:type="dxa"/>
          </w:tcPr>
          <w:p w14:paraId="1181F074">
            <w:pPr>
              <w:pStyle w:val="14"/>
              <w:widowControl/>
              <w:wordWrap/>
              <w:adjustRightInd/>
              <w:snapToGrid/>
              <w:spacing w:before="0" w:beforeAutospacing="0" w:after="0" w:afterAutospacing="0" w:line="440" w:lineRule="exact"/>
              <w:ind w:right="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SA"/>
              </w:rPr>
              <w:t>详见磋商邀请</w:t>
            </w:r>
          </w:p>
        </w:tc>
      </w:tr>
      <w:tr w14:paraId="27B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5F4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p>
        </w:tc>
        <w:tc>
          <w:tcPr>
            <w:tcW w:w="2410" w:type="dxa"/>
            <w:vAlign w:val="center"/>
          </w:tcPr>
          <w:p w14:paraId="7DE5A5C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w:t>
            </w:r>
            <w:r>
              <w:rPr>
                <w:rFonts w:hint="eastAsia" w:ascii="宋体" w:hAnsi="宋体" w:eastAsia="宋体" w:cs="宋体"/>
                <w:b/>
                <w:color w:val="auto"/>
                <w:szCs w:val="21"/>
                <w:highlight w:val="none"/>
                <w:lang w:val="zh-CN"/>
              </w:rPr>
              <w:t>报价</w:t>
            </w:r>
          </w:p>
        </w:tc>
        <w:tc>
          <w:tcPr>
            <w:tcW w:w="5954" w:type="dxa"/>
          </w:tcPr>
          <w:p w14:paraId="276E779E">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zh-CN"/>
              </w:rPr>
              <w:t>响应报价是否超出磋商文件中规定的预算金额，超出预算金额的报价无效。</w:t>
            </w:r>
          </w:p>
        </w:tc>
      </w:tr>
      <w:tr w14:paraId="2A7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02015">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p>
        </w:tc>
        <w:tc>
          <w:tcPr>
            <w:tcW w:w="2410" w:type="dxa"/>
            <w:vAlign w:val="center"/>
          </w:tcPr>
          <w:p w14:paraId="583627BA">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磋商承诺函</w:t>
            </w:r>
          </w:p>
        </w:tc>
        <w:tc>
          <w:tcPr>
            <w:tcW w:w="5954" w:type="dxa"/>
            <w:vAlign w:val="center"/>
          </w:tcPr>
          <w:p w14:paraId="0C71DE74">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供应商以磋商承诺函的形式替代响应保证金。</w:t>
            </w:r>
          </w:p>
        </w:tc>
      </w:tr>
      <w:tr w14:paraId="77D2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58D2C9">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w:t>
            </w:r>
          </w:p>
        </w:tc>
        <w:tc>
          <w:tcPr>
            <w:tcW w:w="2410" w:type="dxa"/>
            <w:vAlign w:val="center"/>
          </w:tcPr>
          <w:p w14:paraId="5B909B4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tcPr>
          <w:p w14:paraId="4DAFC2B3">
            <w:pPr>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磋商文件接受联合体响应且供应商为联合体的，供应商应提供本协议；否则无须提供。</w:t>
            </w:r>
          </w:p>
        </w:tc>
      </w:tr>
      <w:tr w14:paraId="698D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D9E88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w:t>
            </w:r>
          </w:p>
        </w:tc>
        <w:tc>
          <w:tcPr>
            <w:tcW w:w="2410" w:type="dxa"/>
            <w:vAlign w:val="center"/>
          </w:tcPr>
          <w:p w14:paraId="382BA43B">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供应商身份证明及授权</w:t>
            </w:r>
          </w:p>
        </w:tc>
        <w:tc>
          <w:tcPr>
            <w:tcW w:w="5954" w:type="dxa"/>
          </w:tcPr>
          <w:p w14:paraId="5B84D9B0">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7253F3D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7D408F45">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p>
          <w:p w14:paraId="7CF76EEF">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①企业（银行、保险、石油石化、电力、电信等行业除外）、事业单位和社会团体以法人身份参加磋商的，法定代表人应与实际提交的“营业执照等证明文件”载明的一致。</w:t>
            </w:r>
          </w:p>
          <w:p w14:paraId="584FEBB8">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B57B619">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4D9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32AB8D">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p>
        </w:tc>
        <w:tc>
          <w:tcPr>
            <w:tcW w:w="2410" w:type="dxa"/>
            <w:vAlign w:val="center"/>
          </w:tcPr>
          <w:p w14:paraId="073A852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vAlign w:val="center"/>
          </w:tcPr>
          <w:p w14:paraId="3326E1F8">
            <w:pPr>
              <w:spacing w:line="360" w:lineRule="auto"/>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5AB96B22">
            <w:pPr>
              <w:spacing w:line="360" w:lineRule="auto"/>
              <w:jc w:val="both"/>
              <w:rPr>
                <w:rFonts w:hint="eastAsia" w:ascii="宋体" w:hAnsi="宋体" w:eastAsia="宋体" w:cs="宋体"/>
                <w:color w:val="auto"/>
                <w:szCs w:val="21"/>
                <w:highlight w:val="none"/>
                <w:lang w:val="zh-CN"/>
              </w:rPr>
            </w:pPr>
          </w:p>
        </w:tc>
      </w:tr>
      <w:tr w14:paraId="3B1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6D6A0">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10</w:t>
            </w:r>
          </w:p>
        </w:tc>
        <w:tc>
          <w:tcPr>
            <w:tcW w:w="2410" w:type="dxa"/>
            <w:vAlign w:val="center"/>
          </w:tcPr>
          <w:p w14:paraId="162343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为本项目提供整体设计、规范编制或者项目管理、监理、检测等服务的供应商不得参加本项目响应</w:t>
            </w:r>
          </w:p>
        </w:tc>
        <w:tc>
          <w:tcPr>
            <w:tcW w:w="5954" w:type="dxa"/>
          </w:tcPr>
          <w:p w14:paraId="4F06604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供应商提供未为本项目提供整体设计、规范编制或者项目管理、监理、检测等服务承诺函（承诺函格式自拟）。</w:t>
            </w:r>
          </w:p>
          <w:p w14:paraId="193982EE">
            <w:pPr>
              <w:spacing w:line="360" w:lineRule="auto"/>
              <w:rPr>
                <w:rFonts w:hint="eastAsia" w:ascii="宋体" w:hAnsi="宋体" w:eastAsia="宋体" w:cs="宋体"/>
                <w:bCs/>
                <w:color w:val="auto"/>
                <w:szCs w:val="21"/>
                <w:highlight w:val="none"/>
              </w:rPr>
            </w:pPr>
          </w:p>
        </w:tc>
      </w:tr>
    </w:tbl>
    <w:p w14:paraId="75E9DC93">
      <w:pPr>
        <w:pStyle w:val="9"/>
        <w:spacing w:line="360" w:lineRule="auto"/>
        <w:ind w:firstLine="632" w:firstLineChars="3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二、评审</w:t>
      </w:r>
    </w:p>
    <w:p w14:paraId="54FB4C63">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（一）评审方法</w:t>
      </w:r>
    </w:p>
    <w:p w14:paraId="2A8730CE">
      <w:pPr>
        <w:pStyle w:val="9"/>
        <w:spacing w:line="360" w:lineRule="auto"/>
        <w:ind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本项目采用综合评分法。总分为100分。</w:t>
      </w:r>
    </w:p>
    <w:p w14:paraId="05326957">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（二）磋商小组负责具体评标事务，并独立履行下列职责</w:t>
      </w:r>
    </w:p>
    <w:p w14:paraId="49FDF27F">
      <w:pPr>
        <w:pStyle w:val="9"/>
        <w:spacing w:line="360" w:lineRule="auto"/>
        <w:ind w:firstLine="422" w:firstLineChars="200"/>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1.审查、评价响应文件是否符合采购文件的商务、技术等实质性要求；</w:t>
      </w:r>
    </w:p>
    <w:p w14:paraId="3E866601">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磋商小组对符合资格的供应商的响应文件进行符合性审查，以确定其是否满足采购文件的商务、技术等实质性要求。</w:t>
      </w:r>
    </w:p>
    <w:p w14:paraId="49DB8212">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w:t>
      </w:r>
      <w:r>
        <w:rPr>
          <w:rFonts w:hint="eastAsia" w:ascii="宋体" w:hAnsi="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的证书及材料，均应在电子响应文件中提供原件扫描件（或图片）。</w:t>
      </w:r>
    </w:p>
    <w:p w14:paraId="4ED9DE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2.要求供应商对磋商文件有关事项作出澄清或者说明；</w:t>
      </w:r>
    </w:p>
    <w:p w14:paraId="2BB4072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对于响应文件中含义不明确、同类问题表述不一致或者有明显文字和计算错误的内容，磋商小组应当以书面形式要求响应供应商作出必要的澄清、说明或者补正。</w:t>
      </w:r>
    </w:p>
    <w:p w14:paraId="70750A0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5A40C987">
      <w:pPr>
        <w:pStyle w:val="9"/>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eastAsia="宋体" w:cs="仿宋_GB2312"/>
          <w:sz w:val="21"/>
          <w:szCs w:val="21"/>
          <w:lang w:val="zh-CN"/>
        </w:rPr>
        <w:t>（2）</w:t>
      </w:r>
      <w:r>
        <w:rPr>
          <w:rFonts w:hint="eastAsia" w:ascii="宋体" w:hAnsi="宋体" w:cs="仿宋_GB2312"/>
          <w:sz w:val="21"/>
          <w:szCs w:val="21"/>
          <w:lang w:val="en-US" w:eastAsia="zh-CN"/>
        </w:rPr>
        <w:t>磋商小组</w:t>
      </w:r>
      <w:r>
        <w:rPr>
          <w:rFonts w:hint="eastAsia" w:ascii="宋体" w:hAnsi="宋体" w:eastAsia="宋体" w:cs="仿宋_GB2312"/>
          <w:sz w:val="21"/>
          <w:szCs w:val="21"/>
          <w:lang w:val="zh-CN"/>
        </w:rPr>
        <w:t>启动异常低价投标审查后，要求相关供应商在评审现场规定时间内（给予供应商的时间不少于 60 分钟）对投标价格作出解释、提供证明材料的，应当以书面形式要求供应商提供项目具体成本测算等与报价合理性相关的书面说明及必要的证明材料，包括但不限于原材料成本、人工成本、制造费用等。</w:t>
      </w:r>
    </w:p>
    <w:p w14:paraId="7664ECB7">
      <w:pPr>
        <w:pStyle w:val="9"/>
        <w:spacing w:line="360" w:lineRule="auto"/>
        <w:ind w:firstLine="420" w:firstLineChars="200"/>
        <w:contextualSpacing/>
        <w:jc w:val="left"/>
        <w:rPr>
          <w:rFonts w:hint="eastAsia" w:ascii="宋体" w:hAnsi="宋体" w:eastAsia="宋体" w:cs="仿宋_GB2312"/>
          <w:sz w:val="21"/>
          <w:szCs w:val="21"/>
          <w:lang w:val="zh-CN"/>
        </w:rPr>
      </w:pPr>
      <w:r>
        <w:rPr>
          <w:rFonts w:hint="eastAsia" w:ascii="宋体" w:hAnsi="宋体" w:cs="仿宋_GB2312"/>
          <w:sz w:val="21"/>
          <w:szCs w:val="21"/>
          <w:lang w:val="en-US" w:eastAsia="zh-CN"/>
        </w:rPr>
        <w:t>磋商</w:t>
      </w:r>
      <w:r>
        <w:rPr>
          <w:rFonts w:hint="eastAsia" w:ascii="宋体" w:hAnsi="宋体" w:eastAsia="宋体" w:cs="仿宋_GB2312"/>
          <w:sz w:val="21"/>
          <w:szCs w:val="21"/>
          <w:lang w:val="zh-CN"/>
        </w:rPr>
        <w:t>小组要求供应商澄清、说明或者更正响应文件应当以书面形式作出。供应商的澄清、说明或者更正应当由法定代表人或其授权代表签字或者加盖公章。由授权代表签字的，应当附法定代表人授权书。供应商为自然人的， 应当由本人签字并附身份证明。</w:t>
      </w:r>
    </w:p>
    <w:p w14:paraId="7C12F067">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cs="仿宋_GB2312"/>
          <w:sz w:val="21"/>
          <w:szCs w:val="21"/>
          <w:lang w:val="zh-CN"/>
        </w:rPr>
        <w:t>（</w:t>
      </w:r>
      <w:r>
        <w:rPr>
          <w:rFonts w:hint="eastAsia" w:ascii="宋体" w:hAnsi="宋体" w:cs="仿宋_GB2312"/>
          <w:sz w:val="21"/>
          <w:szCs w:val="21"/>
          <w:lang w:val="en-US" w:eastAsia="zh-CN"/>
        </w:rPr>
        <w:t>3）磋商</w:t>
      </w:r>
      <w:r>
        <w:rPr>
          <w:rFonts w:hint="eastAsia" w:ascii="宋体" w:hAnsi="宋体" w:eastAsia="宋体" w:cs="仿宋_GB2312"/>
          <w:sz w:val="21"/>
          <w:szCs w:val="21"/>
          <w:lang w:val="zh-CN"/>
        </w:rPr>
        <w:t>小组应严格按照电子化评标系统规定的流程要求投标供应商使用 CA 数字证书或 CA 移动数字证书登录许昌市公共资源电子交易系统进行报价，禁止通过交易系统中的聊天通讯页面要求投标供应商提交报价、工程量清单等相关材料。</w:t>
      </w:r>
    </w:p>
    <w:p w14:paraId="4829C6EB">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3.对响应文件进行比较和评价；</w:t>
      </w:r>
    </w:p>
    <w:p w14:paraId="391F04C7">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37DE8480">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w:t>
      </w:r>
      <w:r>
        <w:rPr>
          <w:rFonts w:hint="eastAsia" w:ascii="宋体" w:hAnsi="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的证书及材料，均应在电子响应文件中提供原件扫描件（或图片）。</w:t>
      </w:r>
    </w:p>
    <w:p w14:paraId="4E9C3D1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（1）价格分计算</w:t>
      </w:r>
    </w:p>
    <w:p w14:paraId="2A013AB2">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本项目专门面向中小企业采购，不再执行价格评审优惠的扶持政策）</w:t>
      </w:r>
    </w:p>
    <w:p w14:paraId="217A4DC9">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（2）强制采购节能产品和优先采购节能产品、优先采购环保产品</w:t>
      </w:r>
    </w:p>
    <w:p w14:paraId="612E1D49">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32A487F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投标人所投产品若属于《节能产品政府采购品目清单》优先采购产品，响应文件中应提供具有国家确定的认证机构出具的、处于有效期之内的节能产品认证证书，磋商小组根据本项目评标标准予以判定并赋分。</w:t>
      </w:r>
    </w:p>
    <w:p w14:paraId="61FA97F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2E6FB456">
      <w:pPr>
        <w:pStyle w:val="9"/>
        <w:spacing w:line="360" w:lineRule="auto"/>
        <w:ind w:firstLine="422"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 xml:space="preserve">（3）网络关键设备、网络安全专用产品要求 </w:t>
      </w:r>
    </w:p>
    <w:p w14:paraId="04C17A19">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1）项目中涉及网络关键设备或网络安全专用产品的，至少符合以下条件之一：一是已由具备 </w:t>
      </w:r>
    </w:p>
    <w:p w14:paraId="0157B9DC">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资格的机构安全认证合格或安全检测符合要求；二是已获得《计算机信息系统安全专用产品销售 许可证》，且在有效期内。 </w:t>
      </w:r>
    </w:p>
    <w:p w14:paraId="210EBAAC">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提供资料（下列资料任意一项） </w:t>
      </w:r>
    </w:p>
    <w:p w14:paraId="3AD5D55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①网络关键设备和网络安全专用产品安全认证证书； </w:t>
      </w:r>
    </w:p>
    <w:p w14:paraId="65F60F99">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②网络关键设备安全检测证书、网络安全专用产品安全检测证书； </w:t>
      </w:r>
    </w:p>
    <w:p w14:paraId="28ED70CB">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③计算机信息系统安全专用产品销售许可证； </w:t>
      </w:r>
    </w:p>
    <w:p w14:paraId="76ABF01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④中国网信网或工业和信息化部网站或公安部网站或国家认证认可监督管理委员会网站公布 </w:t>
      </w:r>
    </w:p>
    <w:p w14:paraId="06BDB231">
      <w:pPr>
        <w:pStyle w:val="9"/>
        <w:spacing w:line="36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的认证、检测结果（提供公布安全认证、安全检测结果页面网址和安全认证、检测结果截图）。</w:t>
      </w:r>
    </w:p>
    <w:p w14:paraId="2F4A031A">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（4）响应无效情形</w:t>
      </w:r>
    </w:p>
    <w:p w14:paraId="005BA8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3ECF02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2）符合性审查资料未按磋商文件要求签署、盖章的；</w:t>
      </w:r>
    </w:p>
    <w:p w14:paraId="762783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3）有下列情形之一的，视为供应商串通投标，其投标无效：</w:t>
      </w:r>
    </w:p>
    <w:p w14:paraId="6D9387F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a.不同供应商的响应文件由同一单位或者个人编制；</w:t>
      </w:r>
    </w:p>
    <w:p w14:paraId="52C926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614EFD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c.不同供应商的响应文件载明的项目管理成员或者联系人员为同一人；</w:t>
      </w:r>
    </w:p>
    <w:p w14:paraId="7293FE6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d.不同供应商的响应文件异常一致或者投标报价呈规律性差异；</w:t>
      </w:r>
    </w:p>
    <w:p w14:paraId="206ED85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e.不同供应商的响应文件相互混装；</w:t>
      </w:r>
    </w:p>
    <w:p w14:paraId="6BE112E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585EA7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启动异常低价投标（响应）审查后，要求相关供应商在评审现场规定时间内（给 予供应商的时间不少于60分钟）对投标（响应）价格作出解释、提供证明材料，投标（响应）供应商未在规定时间内提供书面说明、证明材料，或者提供的书面说明、证明材料不能证明其报价合理性的，</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应当将其作为无效投标（响应）处理。</w:t>
      </w:r>
    </w:p>
    <w:p w14:paraId="36BC2E8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）法律法规和磋商文件规定的其他无效情形。</w:t>
      </w:r>
    </w:p>
    <w:p w14:paraId="6C591A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（5）评标标准</w:t>
      </w:r>
    </w:p>
    <w:tbl>
      <w:tblPr>
        <w:tblStyle w:val="54"/>
        <w:tblW w:w="93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6401"/>
        <w:gridCol w:w="1205"/>
      </w:tblGrid>
      <w:tr w14:paraId="6579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center"/>
          </w:tcPr>
          <w:p w14:paraId="14D9A93C">
            <w:pPr>
              <w:pStyle w:val="53"/>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2"/>
                <w:sz w:val="21"/>
                <w:szCs w:val="21"/>
                <w:highlight w:val="none"/>
              </w:rPr>
              <w:t>分值构成</w:t>
            </w:r>
          </w:p>
        </w:tc>
        <w:tc>
          <w:tcPr>
            <w:tcW w:w="6401" w:type="dxa"/>
            <w:shd w:val="clear" w:color="auto" w:fill="auto"/>
            <w:vAlign w:val="center"/>
          </w:tcPr>
          <w:p w14:paraId="6B5858D3">
            <w:pPr>
              <w:pStyle w:val="53"/>
              <w:spacing w:before="239" w:line="22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价格分值：</w:t>
            </w:r>
            <w:r>
              <w:rPr>
                <w:rFonts w:hint="eastAsia" w:ascii="宋体" w:hAnsi="宋体" w:eastAsia="宋体" w:cs="宋体"/>
                <w:color w:val="auto"/>
                <w:spacing w:val="10"/>
                <w:sz w:val="21"/>
                <w:szCs w:val="21"/>
                <w:highlight w:val="none"/>
                <w:u w:val="single" w:color="auto"/>
              </w:rPr>
              <w:t>30</w:t>
            </w:r>
            <w:r>
              <w:rPr>
                <w:rFonts w:hint="eastAsia" w:ascii="宋体" w:hAnsi="宋体" w:eastAsia="宋体" w:cs="宋体"/>
                <w:color w:val="auto"/>
                <w:spacing w:val="10"/>
                <w:sz w:val="21"/>
                <w:szCs w:val="21"/>
                <w:highlight w:val="none"/>
              </w:rPr>
              <w:t>分</w:t>
            </w:r>
          </w:p>
          <w:p w14:paraId="7E287103">
            <w:pPr>
              <w:pStyle w:val="53"/>
              <w:spacing w:before="234"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商务部分：</w:t>
            </w:r>
            <w:r>
              <w:rPr>
                <w:rFonts w:hint="eastAsia" w:ascii="宋体" w:hAnsi="宋体" w:eastAsia="宋体" w:cs="宋体"/>
                <w:color w:val="auto"/>
                <w:spacing w:val="10"/>
                <w:sz w:val="21"/>
                <w:szCs w:val="21"/>
                <w:highlight w:val="none"/>
                <w:u w:val="single" w:color="auto"/>
              </w:rPr>
              <w:t>20</w:t>
            </w:r>
            <w:r>
              <w:rPr>
                <w:rFonts w:hint="eastAsia" w:ascii="宋体" w:hAnsi="宋体" w:eastAsia="宋体" w:cs="宋体"/>
                <w:color w:val="auto"/>
                <w:spacing w:val="10"/>
                <w:sz w:val="21"/>
                <w:szCs w:val="21"/>
                <w:highlight w:val="none"/>
              </w:rPr>
              <w:t>分</w:t>
            </w:r>
          </w:p>
          <w:p w14:paraId="57EE3170">
            <w:pPr>
              <w:pStyle w:val="53"/>
              <w:spacing w:before="230"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7"/>
                <w:sz w:val="21"/>
                <w:szCs w:val="21"/>
                <w:highlight w:val="none"/>
              </w:rPr>
              <w:t>技术部分：</w:t>
            </w:r>
            <w:r>
              <w:rPr>
                <w:rFonts w:hint="eastAsia" w:ascii="宋体" w:hAnsi="宋体" w:eastAsia="宋体" w:cs="宋体"/>
                <w:color w:val="auto"/>
                <w:spacing w:val="7"/>
                <w:sz w:val="21"/>
                <w:szCs w:val="21"/>
                <w:highlight w:val="none"/>
                <w:u w:val="single" w:color="auto"/>
              </w:rPr>
              <w:t>50</w:t>
            </w:r>
            <w:r>
              <w:rPr>
                <w:rFonts w:hint="eastAsia" w:ascii="宋体" w:hAnsi="宋体" w:eastAsia="宋体" w:cs="宋体"/>
                <w:color w:val="auto"/>
                <w:spacing w:val="7"/>
                <w:sz w:val="21"/>
                <w:szCs w:val="21"/>
                <w:highlight w:val="none"/>
              </w:rPr>
              <w:t>分</w:t>
            </w:r>
          </w:p>
        </w:tc>
        <w:tc>
          <w:tcPr>
            <w:tcW w:w="1205" w:type="dxa"/>
            <w:vAlign w:val="center"/>
          </w:tcPr>
          <w:p w14:paraId="28DE12F9">
            <w:pPr>
              <w:pStyle w:val="53"/>
              <w:spacing w:before="207" w:line="22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14:paraId="150B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375" w:type="dxa"/>
            <w:gridSpan w:val="3"/>
            <w:vAlign w:val="top"/>
          </w:tcPr>
          <w:p w14:paraId="5631124F">
            <w:pPr>
              <w:pStyle w:val="53"/>
              <w:spacing w:before="207" w:line="228" w:lineRule="auto"/>
              <w:ind w:left="352"/>
              <w:jc w:val="center"/>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1"/>
                <w:sz w:val="21"/>
                <w:szCs w:val="21"/>
                <w:highlight w:val="none"/>
              </w:rPr>
              <w:t>价格部分（满分30</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
                <w:sz w:val="21"/>
                <w:szCs w:val="21"/>
                <w:highlight w:val="none"/>
              </w:rPr>
              <w:t>分）</w:t>
            </w:r>
          </w:p>
        </w:tc>
      </w:tr>
      <w:tr w14:paraId="5703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top"/>
          </w:tcPr>
          <w:p w14:paraId="17C98ECF">
            <w:pPr>
              <w:pStyle w:val="53"/>
              <w:spacing w:before="207" w:line="228" w:lineRule="auto"/>
              <w:ind w:left="342"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rPr>
              <w:t>评分因素</w:t>
            </w:r>
          </w:p>
        </w:tc>
        <w:tc>
          <w:tcPr>
            <w:tcW w:w="6401" w:type="dxa"/>
            <w:shd w:val="clear" w:color="auto" w:fill="auto"/>
            <w:vAlign w:val="top"/>
          </w:tcPr>
          <w:p w14:paraId="3BAEAD25">
            <w:pPr>
              <w:pStyle w:val="53"/>
              <w:spacing w:before="208" w:line="228" w:lineRule="auto"/>
              <w:ind w:left="3027"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rPr>
              <w:t>评标标准</w:t>
            </w:r>
          </w:p>
        </w:tc>
        <w:tc>
          <w:tcPr>
            <w:tcW w:w="1205" w:type="dxa"/>
            <w:shd w:val="clear" w:color="auto" w:fill="auto"/>
            <w:vAlign w:val="top"/>
          </w:tcPr>
          <w:p w14:paraId="539FD0D7">
            <w:pPr>
              <w:pStyle w:val="53"/>
              <w:spacing w:before="207" w:line="228" w:lineRule="auto"/>
              <w:ind w:left="352" w:leftChars="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color w:val="auto"/>
                <w:spacing w:val="-3"/>
                <w:sz w:val="21"/>
                <w:szCs w:val="21"/>
                <w:highlight w:val="none"/>
              </w:rPr>
              <w:t>分值</w:t>
            </w:r>
          </w:p>
        </w:tc>
      </w:tr>
      <w:tr w14:paraId="38F1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769" w:type="dxa"/>
            <w:vAlign w:val="top"/>
          </w:tcPr>
          <w:p w14:paraId="002FBE3B">
            <w:pPr>
              <w:spacing w:line="253" w:lineRule="auto"/>
              <w:rPr>
                <w:rFonts w:hint="eastAsia" w:ascii="宋体" w:hAnsi="宋体" w:eastAsia="宋体" w:cs="宋体"/>
                <w:color w:val="auto"/>
                <w:sz w:val="21"/>
                <w:szCs w:val="21"/>
                <w:highlight w:val="none"/>
              </w:rPr>
            </w:pPr>
          </w:p>
          <w:p w14:paraId="6A665993">
            <w:pPr>
              <w:spacing w:line="253" w:lineRule="auto"/>
              <w:rPr>
                <w:rFonts w:hint="eastAsia" w:ascii="宋体" w:hAnsi="宋体" w:eastAsia="宋体" w:cs="宋体"/>
                <w:color w:val="auto"/>
                <w:sz w:val="21"/>
                <w:szCs w:val="21"/>
                <w:highlight w:val="none"/>
              </w:rPr>
            </w:pPr>
          </w:p>
          <w:p w14:paraId="25DFAE3D">
            <w:pPr>
              <w:pStyle w:val="53"/>
              <w:spacing w:before="128" w:line="432" w:lineRule="auto"/>
              <w:ind w:right="1"/>
              <w:jc w:val="both"/>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最终磋商报价</w:t>
            </w:r>
          </w:p>
          <w:p w14:paraId="5535AA85">
            <w:pPr>
              <w:pStyle w:val="53"/>
              <w:spacing w:before="128" w:line="432" w:lineRule="auto"/>
              <w:ind w:right="1"/>
              <w:jc w:val="both"/>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评分标准</w:t>
            </w:r>
          </w:p>
        </w:tc>
        <w:tc>
          <w:tcPr>
            <w:tcW w:w="6401" w:type="dxa"/>
            <w:vAlign w:val="top"/>
          </w:tcPr>
          <w:p w14:paraId="5F730156">
            <w:pPr>
              <w:pStyle w:val="53"/>
              <w:spacing w:before="128" w:line="432" w:lineRule="auto"/>
              <w:ind w:left="9" w:right="1"/>
              <w:jc w:val="both"/>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价格分采用低价优先法计算，即满足磋商文件要求且</w:t>
            </w:r>
            <w:r>
              <w:rPr>
                <w:rFonts w:hint="eastAsia" w:ascii="宋体" w:hAnsi="宋体" w:eastAsia="宋体" w:cs="宋体"/>
                <w:color w:val="auto"/>
                <w:spacing w:val="12"/>
                <w:sz w:val="21"/>
                <w:szCs w:val="21"/>
                <w:highlight w:val="none"/>
              </w:rPr>
              <w:t>最后报价最低的</w:t>
            </w:r>
            <w:r>
              <w:rPr>
                <w:rFonts w:hint="eastAsia" w:ascii="宋体" w:hAnsi="宋体" w:eastAsia="宋体" w:cs="宋体"/>
                <w:color w:val="auto"/>
                <w:spacing w:val="13"/>
                <w:sz w:val="21"/>
                <w:szCs w:val="21"/>
                <w:highlight w:val="none"/>
              </w:rPr>
              <w:t>供应商的价格为磋商基准价，其价格分为满分。其他供</w:t>
            </w:r>
            <w:r>
              <w:rPr>
                <w:rFonts w:hint="eastAsia" w:ascii="宋体" w:hAnsi="宋体" w:eastAsia="宋体" w:cs="宋体"/>
                <w:color w:val="auto"/>
                <w:spacing w:val="12"/>
                <w:sz w:val="21"/>
                <w:szCs w:val="21"/>
                <w:highlight w:val="none"/>
              </w:rPr>
              <w:t>应商的价格分</w:t>
            </w:r>
            <w:r>
              <w:rPr>
                <w:rFonts w:hint="eastAsia" w:ascii="宋体" w:hAnsi="宋体" w:eastAsia="宋体" w:cs="宋体"/>
                <w:color w:val="auto"/>
                <w:spacing w:val="8"/>
                <w:sz w:val="21"/>
                <w:szCs w:val="21"/>
                <w:highlight w:val="none"/>
              </w:rPr>
              <w:t>统一按照下列公式计算：</w:t>
            </w:r>
          </w:p>
          <w:p w14:paraId="18839157">
            <w:pPr>
              <w:pStyle w:val="53"/>
              <w:spacing w:before="1" w:line="369" w:lineRule="auto"/>
              <w:ind w:left="8" w:right="114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磋商报价得分=（磋商基准价/最后磋商报价）</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×30</w:t>
            </w:r>
          </w:p>
          <w:p w14:paraId="29D89D30">
            <w:pPr>
              <w:pStyle w:val="53"/>
              <w:spacing w:before="1" w:line="369" w:lineRule="auto"/>
              <w:ind w:left="8" w:right="114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评标得分保留小数点后两位，四舍五入。</w:t>
            </w:r>
          </w:p>
        </w:tc>
        <w:tc>
          <w:tcPr>
            <w:tcW w:w="1205" w:type="dxa"/>
            <w:vAlign w:val="top"/>
          </w:tcPr>
          <w:p w14:paraId="675EC055">
            <w:pPr>
              <w:spacing w:line="282" w:lineRule="auto"/>
              <w:rPr>
                <w:rFonts w:hint="eastAsia" w:ascii="宋体" w:hAnsi="宋体" w:eastAsia="宋体" w:cs="宋体"/>
                <w:color w:val="auto"/>
                <w:sz w:val="21"/>
                <w:szCs w:val="21"/>
                <w:highlight w:val="none"/>
              </w:rPr>
            </w:pPr>
          </w:p>
          <w:p w14:paraId="41C632C5">
            <w:pPr>
              <w:spacing w:line="283" w:lineRule="auto"/>
              <w:rPr>
                <w:rFonts w:hint="eastAsia" w:ascii="宋体" w:hAnsi="宋体" w:eastAsia="宋体" w:cs="宋体"/>
                <w:color w:val="auto"/>
                <w:sz w:val="21"/>
                <w:szCs w:val="21"/>
                <w:highlight w:val="none"/>
              </w:rPr>
            </w:pPr>
          </w:p>
          <w:p w14:paraId="77589E12">
            <w:pPr>
              <w:spacing w:line="283" w:lineRule="auto"/>
              <w:rPr>
                <w:rFonts w:hint="eastAsia" w:ascii="宋体" w:hAnsi="宋体" w:eastAsia="宋体" w:cs="宋体"/>
                <w:color w:val="auto"/>
                <w:sz w:val="21"/>
                <w:szCs w:val="21"/>
                <w:highlight w:val="none"/>
              </w:rPr>
            </w:pPr>
          </w:p>
          <w:p w14:paraId="48071E6F">
            <w:pPr>
              <w:pStyle w:val="53"/>
              <w:spacing w:before="65" w:line="228" w:lineRule="auto"/>
              <w:ind w:left="3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分</w:t>
            </w:r>
          </w:p>
        </w:tc>
      </w:tr>
      <w:tr w14:paraId="3765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375" w:type="dxa"/>
            <w:gridSpan w:val="3"/>
            <w:vAlign w:val="top"/>
          </w:tcPr>
          <w:p w14:paraId="135AC1DC">
            <w:pPr>
              <w:pStyle w:val="53"/>
              <w:spacing w:before="248" w:line="228" w:lineRule="auto"/>
              <w:ind w:left="3805"/>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商务部分（满分20</w:t>
            </w:r>
            <w:r>
              <w:rPr>
                <w:rFonts w:hint="eastAsia" w:ascii="宋体" w:hAnsi="宋体" w:eastAsia="宋体" w:cs="宋体"/>
                <w:color w:val="auto"/>
                <w:spacing w:val="-42"/>
                <w:sz w:val="21"/>
                <w:szCs w:val="21"/>
                <w:highlight w:val="none"/>
              </w:rPr>
              <w:t xml:space="preserve"> </w:t>
            </w:r>
            <w:r>
              <w:rPr>
                <w:rFonts w:hint="eastAsia" w:ascii="宋体" w:hAnsi="宋体" w:eastAsia="宋体" w:cs="宋体"/>
                <w:b/>
                <w:bCs/>
                <w:color w:val="auto"/>
                <w:spacing w:val="-1"/>
                <w:sz w:val="21"/>
                <w:szCs w:val="21"/>
                <w:highlight w:val="none"/>
              </w:rPr>
              <w:t>分）</w:t>
            </w:r>
          </w:p>
        </w:tc>
      </w:tr>
      <w:tr w14:paraId="5695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69" w:type="dxa"/>
            <w:vAlign w:val="top"/>
          </w:tcPr>
          <w:p w14:paraId="318713EF">
            <w:pPr>
              <w:pStyle w:val="53"/>
              <w:spacing w:before="206" w:line="228" w:lineRule="auto"/>
              <w:ind w:left="34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6401" w:type="dxa"/>
            <w:vAlign w:val="top"/>
          </w:tcPr>
          <w:p w14:paraId="0F45A576">
            <w:pPr>
              <w:pStyle w:val="53"/>
              <w:spacing w:before="207" w:line="228" w:lineRule="auto"/>
              <w:ind w:left="3027"/>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评标标准</w:t>
            </w:r>
          </w:p>
        </w:tc>
        <w:tc>
          <w:tcPr>
            <w:tcW w:w="1205" w:type="dxa"/>
            <w:vAlign w:val="top"/>
          </w:tcPr>
          <w:p w14:paraId="22E0EEDF">
            <w:pPr>
              <w:pStyle w:val="53"/>
              <w:spacing w:before="206" w:line="228"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分值</w:t>
            </w:r>
          </w:p>
        </w:tc>
      </w:tr>
      <w:tr w14:paraId="07CB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69" w:type="dxa"/>
            <w:vAlign w:val="top"/>
          </w:tcPr>
          <w:p w14:paraId="7DE41956">
            <w:pPr>
              <w:spacing w:line="265" w:lineRule="auto"/>
              <w:rPr>
                <w:rFonts w:hint="eastAsia" w:ascii="宋体" w:hAnsi="宋体" w:eastAsia="宋体" w:cs="宋体"/>
                <w:color w:val="auto"/>
                <w:sz w:val="21"/>
                <w:szCs w:val="21"/>
                <w:highlight w:val="none"/>
              </w:rPr>
            </w:pPr>
          </w:p>
          <w:p w14:paraId="1AA5847B">
            <w:pPr>
              <w:spacing w:line="265" w:lineRule="auto"/>
              <w:rPr>
                <w:rFonts w:hint="eastAsia" w:ascii="宋体" w:hAnsi="宋体" w:eastAsia="宋体" w:cs="宋体"/>
                <w:color w:val="auto"/>
                <w:sz w:val="21"/>
                <w:szCs w:val="21"/>
                <w:highlight w:val="none"/>
              </w:rPr>
            </w:pPr>
          </w:p>
          <w:p w14:paraId="053273D6">
            <w:pPr>
              <w:pStyle w:val="53"/>
              <w:spacing w:before="65" w:line="228" w:lineRule="auto"/>
              <w:ind w:left="47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企业业绩</w:t>
            </w:r>
          </w:p>
        </w:tc>
        <w:tc>
          <w:tcPr>
            <w:tcW w:w="6401" w:type="dxa"/>
            <w:vAlign w:val="top"/>
          </w:tcPr>
          <w:p w14:paraId="7603AA27">
            <w:pPr>
              <w:pStyle w:val="53"/>
              <w:spacing w:before="130" w:line="390" w:lineRule="auto"/>
              <w:ind w:left="7" w:right="3" w:firstLine="35"/>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2"/>
                <w:sz w:val="21"/>
                <w:szCs w:val="21"/>
                <w:highlight w:val="none"/>
              </w:rPr>
              <w:t>自</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202</w:t>
            </w:r>
            <w:r>
              <w:rPr>
                <w:rFonts w:hint="eastAsia" w:cs="宋体"/>
                <w:color w:val="auto"/>
                <w:spacing w:val="2"/>
                <w:sz w:val="21"/>
                <w:szCs w:val="21"/>
                <w:highlight w:val="none"/>
                <w:lang w:val="en-US" w:eastAsia="zh-CN"/>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cs="宋体"/>
                <w:color w:val="auto"/>
                <w:spacing w:val="-24"/>
                <w:sz w:val="21"/>
                <w:szCs w:val="21"/>
                <w:highlight w:val="none"/>
                <w:lang w:val="en-US" w:eastAsia="zh-CN"/>
              </w:rPr>
              <w:t>1</w:t>
            </w:r>
            <w:r>
              <w:rPr>
                <w:rFonts w:hint="eastAsia" w:ascii="宋体" w:hAnsi="宋体" w:eastAsia="宋体" w:cs="宋体"/>
                <w:color w:val="auto"/>
                <w:spacing w:val="2"/>
                <w:sz w:val="21"/>
                <w:szCs w:val="21"/>
                <w:highlight w:val="none"/>
              </w:rPr>
              <w:t>月</w:t>
            </w:r>
            <w:r>
              <w:rPr>
                <w:rFonts w:hint="eastAsia" w:cs="宋体"/>
                <w:color w:val="auto"/>
                <w:spacing w:val="-24"/>
                <w:sz w:val="21"/>
                <w:szCs w:val="21"/>
                <w:highlight w:val="none"/>
                <w:lang w:val="en-US" w:eastAsia="zh-CN"/>
              </w:rPr>
              <w:t>1</w:t>
            </w:r>
            <w:r>
              <w:rPr>
                <w:rFonts w:hint="eastAsia" w:ascii="宋体" w:hAnsi="宋体" w:eastAsia="宋体" w:cs="宋体"/>
                <w:color w:val="auto"/>
                <w:spacing w:val="2"/>
                <w:sz w:val="21"/>
                <w:szCs w:val="21"/>
                <w:highlight w:val="none"/>
              </w:rPr>
              <w:t>日以来（以合同签订时间为准</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
                <w:sz w:val="21"/>
                <w:szCs w:val="21"/>
                <w:highlight w:val="none"/>
              </w:rPr>
              <w:t>具有类似项目业绩</w:t>
            </w:r>
            <w:r>
              <w:rPr>
                <w:rFonts w:hint="eastAsia" w:ascii="宋体" w:hAnsi="宋体" w:eastAsia="宋体" w:cs="宋体"/>
                <w:color w:val="auto"/>
                <w:spacing w:val="9"/>
                <w:sz w:val="21"/>
                <w:szCs w:val="21"/>
                <w:highlight w:val="none"/>
              </w:rPr>
              <w:t>的每项得</w:t>
            </w:r>
            <w:r>
              <w:rPr>
                <w:rFonts w:hint="eastAsia"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分，本项最高得</w:t>
            </w:r>
            <w:r>
              <w:rPr>
                <w:rFonts w:hint="eastAsia" w:cs="宋体"/>
                <w:color w:val="auto"/>
                <w:spacing w:val="9"/>
                <w:sz w:val="21"/>
                <w:szCs w:val="21"/>
                <w:highlight w:val="none"/>
                <w:lang w:val="en-US" w:eastAsia="zh-CN"/>
              </w:rPr>
              <w:t>9</w:t>
            </w:r>
            <w:r>
              <w:rPr>
                <w:rFonts w:hint="eastAsia" w:ascii="宋体" w:hAnsi="宋体" w:eastAsia="宋体" w:cs="宋体"/>
                <w:color w:val="auto"/>
                <w:spacing w:val="9"/>
                <w:sz w:val="21"/>
                <w:szCs w:val="21"/>
                <w:highlight w:val="none"/>
              </w:rPr>
              <w:t>分。</w:t>
            </w:r>
          </w:p>
          <w:p w14:paraId="33A900F4">
            <w:pPr>
              <w:pStyle w:val="53"/>
              <w:spacing w:before="130" w:line="390" w:lineRule="auto"/>
              <w:ind w:left="7" w:right="3" w:firstLine="35"/>
              <w:jc w:val="both"/>
              <w:rPr>
                <w:rFonts w:hint="eastAsia" w:ascii="宋体" w:hAnsi="宋体" w:eastAsia="宋体" w:cs="宋体"/>
                <w:color w:val="auto"/>
                <w:sz w:val="21"/>
                <w:szCs w:val="21"/>
                <w:highlight w:val="none"/>
              </w:rPr>
            </w:pPr>
            <w:r>
              <w:rPr>
                <w:rFonts w:hint="eastAsia" w:cs="宋体"/>
                <w:color w:val="auto"/>
                <w:spacing w:val="9"/>
                <w:sz w:val="21"/>
                <w:szCs w:val="21"/>
                <w:highlight w:val="none"/>
                <w:lang w:val="en-US" w:eastAsia="zh-CN"/>
              </w:rPr>
              <w:t>注：响应文件须提供</w:t>
            </w:r>
            <w:r>
              <w:rPr>
                <w:rFonts w:hint="eastAsia" w:ascii="宋体" w:hAnsi="宋体" w:eastAsia="宋体" w:cs="宋体"/>
                <w:color w:val="auto"/>
                <w:spacing w:val="9"/>
                <w:sz w:val="21"/>
                <w:szCs w:val="21"/>
                <w:highlight w:val="none"/>
              </w:rPr>
              <w:t>中标通知书和合同协议书（或合同协议书和竣工验收资料），</w:t>
            </w:r>
            <w:r>
              <w:rPr>
                <w:rFonts w:hint="eastAsia" w:ascii="宋体" w:hAnsi="宋体" w:eastAsia="宋体" w:cs="宋体"/>
                <w:color w:val="auto"/>
                <w:sz w:val="21"/>
                <w:szCs w:val="21"/>
                <w:lang w:val="zh-CN" w:eastAsia="zh-CN"/>
              </w:rPr>
              <w:t>未提供</w:t>
            </w:r>
            <w:r>
              <w:rPr>
                <w:rFonts w:hint="eastAsia" w:cs="宋体"/>
                <w:color w:val="auto"/>
                <w:sz w:val="21"/>
                <w:szCs w:val="21"/>
                <w:lang w:val="en-US" w:eastAsia="zh-CN"/>
              </w:rPr>
              <w:t>或提供</w:t>
            </w:r>
            <w:r>
              <w:rPr>
                <w:rFonts w:hint="eastAsia" w:ascii="宋体" w:hAnsi="宋体" w:eastAsia="宋体" w:cs="宋体"/>
                <w:color w:val="auto"/>
                <w:spacing w:val="9"/>
                <w:sz w:val="21"/>
                <w:szCs w:val="21"/>
                <w:highlight w:val="none"/>
              </w:rPr>
              <w:t>不齐全者</w:t>
            </w:r>
            <w:r>
              <w:rPr>
                <w:rFonts w:hint="eastAsia" w:ascii="宋体" w:hAnsi="宋体" w:eastAsia="宋体" w:cs="宋体"/>
                <w:color w:val="auto"/>
                <w:sz w:val="21"/>
                <w:szCs w:val="21"/>
                <w:lang w:val="zh-CN" w:eastAsia="zh-CN"/>
              </w:rPr>
              <w:t>不得分</w:t>
            </w:r>
            <w:r>
              <w:rPr>
                <w:rFonts w:hint="eastAsia" w:ascii="宋体" w:hAnsi="宋体" w:eastAsia="宋体" w:cs="宋体"/>
                <w:color w:val="auto"/>
                <w:spacing w:val="9"/>
                <w:sz w:val="21"/>
                <w:szCs w:val="21"/>
                <w:highlight w:val="none"/>
              </w:rPr>
              <w:t>。</w:t>
            </w:r>
          </w:p>
        </w:tc>
        <w:tc>
          <w:tcPr>
            <w:tcW w:w="1205" w:type="dxa"/>
            <w:vAlign w:val="top"/>
          </w:tcPr>
          <w:p w14:paraId="274BBB3C">
            <w:pPr>
              <w:spacing w:line="299" w:lineRule="auto"/>
              <w:rPr>
                <w:rFonts w:hint="eastAsia" w:ascii="宋体" w:hAnsi="宋体" w:eastAsia="宋体" w:cs="宋体"/>
                <w:color w:val="auto"/>
                <w:sz w:val="21"/>
                <w:szCs w:val="21"/>
                <w:highlight w:val="none"/>
              </w:rPr>
            </w:pPr>
          </w:p>
          <w:p w14:paraId="2829A064">
            <w:pPr>
              <w:pStyle w:val="53"/>
              <w:spacing w:before="65" w:line="228" w:lineRule="auto"/>
              <w:ind w:left="399"/>
              <w:rPr>
                <w:rFonts w:hint="eastAsia" w:ascii="宋体" w:hAnsi="宋体" w:eastAsia="宋体" w:cs="宋体"/>
                <w:color w:val="auto"/>
                <w:sz w:val="21"/>
                <w:szCs w:val="21"/>
                <w:highlight w:val="none"/>
              </w:rPr>
            </w:pPr>
            <w:r>
              <w:rPr>
                <w:rFonts w:hint="eastAsia"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rPr>
              <w:t>分</w:t>
            </w:r>
          </w:p>
        </w:tc>
      </w:tr>
      <w:tr w14:paraId="6307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769" w:type="dxa"/>
            <w:vAlign w:val="center"/>
          </w:tcPr>
          <w:p w14:paraId="0C7487D5">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项目经理</w:t>
            </w:r>
          </w:p>
          <w:p w14:paraId="76817D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业绩</w:t>
            </w:r>
          </w:p>
        </w:tc>
        <w:tc>
          <w:tcPr>
            <w:tcW w:w="6401" w:type="dxa"/>
            <w:vAlign w:val="center"/>
          </w:tcPr>
          <w:p w14:paraId="4BA53F58">
            <w:pPr>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拟派项目经理</w:t>
            </w:r>
            <w:r>
              <w:rPr>
                <w:rFonts w:hint="eastAsia" w:ascii="宋体" w:hAnsi="宋体" w:eastAsia="宋体" w:cs="宋体"/>
                <w:color w:val="auto"/>
                <w:kern w:val="0"/>
                <w:sz w:val="21"/>
                <w:szCs w:val="21"/>
                <w:highlight w:val="none"/>
              </w:rPr>
              <w:t>自202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月1日以来（以合同签订时间为准），</w:t>
            </w:r>
            <w:r>
              <w:rPr>
                <w:rFonts w:hint="eastAsia" w:ascii="宋体" w:hAnsi="宋体" w:eastAsia="宋体" w:cs="宋体"/>
                <w:color w:val="auto"/>
                <w:kern w:val="0"/>
                <w:sz w:val="21"/>
                <w:szCs w:val="21"/>
                <w:highlight w:val="none"/>
                <w:lang w:val="en-US" w:eastAsia="zh-CN"/>
              </w:rPr>
              <w:t>拟派项目经理承接过类似项目的，</w:t>
            </w:r>
            <w:r>
              <w:rPr>
                <w:rFonts w:hint="eastAsia" w:ascii="宋体" w:hAnsi="宋体" w:eastAsia="宋体" w:cs="宋体"/>
                <w:color w:val="auto"/>
                <w:kern w:val="0"/>
                <w:sz w:val="21"/>
                <w:szCs w:val="21"/>
                <w:highlight w:val="none"/>
              </w:rPr>
              <w:t>每提供一份类似项目业绩得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分，本项目最</w:t>
            </w:r>
            <w:r>
              <w:rPr>
                <w:rFonts w:hint="eastAsia" w:ascii="宋体" w:hAnsi="宋体" w:eastAsia="宋体" w:cs="宋体"/>
                <w:color w:val="auto"/>
                <w:kern w:val="0"/>
                <w:sz w:val="21"/>
                <w:szCs w:val="21"/>
                <w:highlight w:val="none"/>
                <w:lang w:val="en-US" w:eastAsia="zh-CN"/>
              </w:rPr>
              <w:t>高得3分，不提供不得分。</w:t>
            </w:r>
          </w:p>
          <w:p w14:paraId="23B2F351">
            <w:pPr>
              <w:spacing w:line="360" w:lineRule="auto"/>
              <w:jc w:val="left"/>
              <w:rPr>
                <w:rFonts w:hint="default"/>
                <w:color w:val="auto"/>
                <w:highlight w:val="none"/>
                <w:lang w:val="en-US"/>
              </w:rPr>
            </w:pPr>
            <w:r>
              <w:rPr>
                <w:rFonts w:hint="default" w:ascii="宋体" w:hAnsi="宋体" w:eastAsia="宋体" w:cs="宋体"/>
                <w:color w:val="auto"/>
                <w:kern w:val="0"/>
                <w:sz w:val="21"/>
                <w:szCs w:val="21"/>
                <w:highlight w:val="none"/>
                <w:lang w:val="en-US" w:eastAsia="zh-CN"/>
              </w:rPr>
              <w:t>注：响应文件须提供中标通知书和合同协议书（或合同协议书和竣工验收资料），未提供或提供不齐全者不得分。</w:t>
            </w:r>
          </w:p>
        </w:tc>
        <w:tc>
          <w:tcPr>
            <w:tcW w:w="1205" w:type="dxa"/>
            <w:vAlign w:val="top"/>
          </w:tcPr>
          <w:p w14:paraId="4E66C9D8">
            <w:pPr>
              <w:spacing w:line="299" w:lineRule="auto"/>
              <w:rPr>
                <w:rFonts w:hint="eastAsia" w:ascii="宋体" w:hAnsi="宋体" w:eastAsia="宋体" w:cs="宋体"/>
                <w:color w:val="auto"/>
                <w:sz w:val="21"/>
                <w:szCs w:val="21"/>
                <w:highlight w:val="none"/>
              </w:rPr>
            </w:pPr>
          </w:p>
          <w:p w14:paraId="6951D3B9">
            <w:pPr>
              <w:pStyle w:val="53"/>
              <w:spacing w:before="65" w:line="228" w:lineRule="auto"/>
              <w:ind w:left="428"/>
              <w:rPr>
                <w:rFonts w:hint="eastAsia" w:ascii="宋体" w:hAnsi="宋体" w:eastAsia="宋体" w:cs="宋体"/>
                <w:color w:val="auto"/>
                <w:spacing w:val="-4"/>
                <w:sz w:val="21"/>
                <w:szCs w:val="21"/>
                <w:highlight w:val="none"/>
                <w:lang w:val="en-US" w:eastAsia="zh-CN"/>
              </w:rPr>
            </w:pPr>
          </w:p>
          <w:p w14:paraId="33DCC91F">
            <w:pPr>
              <w:pStyle w:val="53"/>
              <w:spacing w:before="65" w:line="228" w:lineRule="auto"/>
              <w:ind w:left="428"/>
              <w:rPr>
                <w:rFonts w:hint="eastAsia" w:ascii="宋体" w:hAnsi="宋体" w:eastAsia="宋体" w:cs="宋体"/>
                <w:color w:val="auto"/>
                <w:sz w:val="21"/>
                <w:szCs w:val="21"/>
                <w:highlight w:val="none"/>
              </w:rPr>
            </w:pPr>
            <w:r>
              <w:rPr>
                <w:rFonts w:hint="eastAsia"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分</w:t>
            </w:r>
          </w:p>
        </w:tc>
      </w:tr>
      <w:tr w14:paraId="01C6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1769" w:type="dxa"/>
            <w:vAlign w:val="center"/>
          </w:tcPr>
          <w:p w14:paraId="60B24B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项目人员配备</w:t>
            </w:r>
          </w:p>
        </w:tc>
        <w:tc>
          <w:tcPr>
            <w:tcW w:w="6401" w:type="dxa"/>
            <w:vAlign w:val="center"/>
          </w:tcPr>
          <w:p w14:paraId="30FCF97F">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项目人员配备有施工员、质量员、安全员、材料员、资料员的（</w:t>
            </w:r>
            <w:r>
              <w:rPr>
                <w:rFonts w:hint="eastAsia" w:cs="仿宋_GB2312" w:asciiTheme="minorEastAsia" w:hAnsiTheme="minorEastAsia"/>
                <w:color w:val="auto"/>
                <w:szCs w:val="21"/>
                <w:lang w:val="en-US" w:eastAsia="zh-CN"/>
              </w:rPr>
              <w:t>相同岗位不重复计分）</w:t>
            </w:r>
            <w:r>
              <w:rPr>
                <w:rFonts w:hint="eastAsia" w:ascii="宋体" w:hAnsi="宋体" w:eastAsia="宋体" w:cs="宋体"/>
                <w:color w:val="auto"/>
                <w:kern w:val="0"/>
                <w:sz w:val="21"/>
                <w:szCs w:val="21"/>
                <w:highlight w:val="none"/>
                <w:lang w:val="en-US" w:eastAsia="zh-CN" w:bidi="ar-SA"/>
              </w:rPr>
              <w:t>，每个证书得1.6分，同一人员不重复得分。本项最高得8分。</w:t>
            </w:r>
          </w:p>
          <w:p w14:paraId="4F6C5DF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注：</w:t>
            </w:r>
            <w:r>
              <w:rPr>
                <w:rFonts w:hint="default" w:ascii="宋体" w:hAnsi="宋体" w:eastAsia="宋体" w:cs="宋体"/>
                <w:color w:val="auto"/>
                <w:kern w:val="0"/>
                <w:sz w:val="21"/>
                <w:szCs w:val="21"/>
                <w:highlight w:val="none"/>
                <w:lang w:val="en-US" w:eastAsia="zh-CN"/>
              </w:rPr>
              <w:t>响应文件须</w:t>
            </w:r>
            <w:r>
              <w:rPr>
                <w:rFonts w:hint="eastAsia" w:ascii="宋体" w:hAnsi="宋体" w:eastAsia="宋体" w:cs="宋体"/>
                <w:color w:val="auto"/>
                <w:kern w:val="0"/>
                <w:sz w:val="21"/>
                <w:szCs w:val="21"/>
                <w:highlight w:val="none"/>
                <w:lang w:val="en-US" w:eastAsia="zh-CN" w:bidi="ar-SA"/>
              </w:rPr>
              <w:t>提供相关证书、社保缴纳凭证（或劳务合同），</w:t>
            </w:r>
            <w:r>
              <w:rPr>
                <w:rFonts w:hint="default" w:ascii="宋体" w:hAnsi="宋体" w:eastAsia="宋体" w:cs="宋体"/>
                <w:color w:val="auto"/>
                <w:kern w:val="0"/>
                <w:sz w:val="21"/>
                <w:szCs w:val="21"/>
                <w:highlight w:val="none"/>
                <w:lang w:val="en-US" w:eastAsia="zh-CN"/>
              </w:rPr>
              <w:t>未提供或提供不齐全者不得分。</w:t>
            </w:r>
          </w:p>
        </w:tc>
        <w:tc>
          <w:tcPr>
            <w:tcW w:w="1205" w:type="dxa"/>
            <w:vAlign w:val="top"/>
          </w:tcPr>
          <w:p w14:paraId="374FD4E8">
            <w:pPr>
              <w:spacing w:line="246" w:lineRule="auto"/>
              <w:rPr>
                <w:rFonts w:hint="eastAsia" w:ascii="宋体" w:hAnsi="宋体" w:eastAsia="宋体" w:cs="宋体"/>
                <w:color w:val="auto"/>
                <w:sz w:val="21"/>
                <w:szCs w:val="21"/>
                <w:highlight w:val="none"/>
              </w:rPr>
            </w:pPr>
          </w:p>
          <w:p w14:paraId="33D44FA5">
            <w:pPr>
              <w:spacing w:line="246" w:lineRule="auto"/>
              <w:rPr>
                <w:rFonts w:hint="eastAsia" w:ascii="宋体" w:hAnsi="宋体" w:eastAsia="宋体" w:cs="宋体"/>
                <w:color w:val="auto"/>
                <w:sz w:val="21"/>
                <w:szCs w:val="21"/>
                <w:highlight w:val="none"/>
              </w:rPr>
            </w:pPr>
          </w:p>
          <w:p w14:paraId="547FE7E3">
            <w:pPr>
              <w:pStyle w:val="53"/>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分</w:t>
            </w:r>
          </w:p>
        </w:tc>
      </w:tr>
      <w:tr w14:paraId="796B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375" w:type="dxa"/>
            <w:gridSpan w:val="3"/>
            <w:vAlign w:val="top"/>
          </w:tcPr>
          <w:p w14:paraId="193CE88A">
            <w:pPr>
              <w:pStyle w:val="53"/>
              <w:spacing w:before="258" w:line="228" w:lineRule="auto"/>
              <w:ind w:left="379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技术部分（满分50分）</w:t>
            </w:r>
          </w:p>
        </w:tc>
      </w:tr>
      <w:tr w14:paraId="6FFE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9" w:type="dxa"/>
            <w:vAlign w:val="top"/>
          </w:tcPr>
          <w:p w14:paraId="4D04A729">
            <w:pPr>
              <w:pStyle w:val="53"/>
              <w:spacing w:before="245" w:line="228" w:lineRule="auto"/>
              <w:ind w:left="34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6401" w:type="dxa"/>
            <w:vAlign w:val="top"/>
          </w:tcPr>
          <w:p w14:paraId="007FEF2D">
            <w:pPr>
              <w:pStyle w:val="53"/>
              <w:spacing w:before="248" w:line="228" w:lineRule="auto"/>
              <w:ind w:left="3027"/>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评标标准</w:t>
            </w:r>
          </w:p>
        </w:tc>
        <w:tc>
          <w:tcPr>
            <w:tcW w:w="1205" w:type="dxa"/>
            <w:vAlign w:val="top"/>
          </w:tcPr>
          <w:p w14:paraId="7942FDBC">
            <w:pPr>
              <w:pStyle w:val="53"/>
              <w:spacing w:before="245" w:line="228"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分值</w:t>
            </w:r>
          </w:p>
        </w:tc>
      </w:tr>
      <w:tr w14:paraId="66B76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769" w:type="dxa"/>
            <w:vAlign w:val="top"/>
          </w:tcPr>
          <w:p w14:paraId="060C2DC6">
            <w:pPr>
              <w:spacing w:line="292" w:lineRule="auto"/>
              <w:rPr>
                <w:rFonts w:hint="eastAsia" w:ascii="宋体" w:hAnsi="宋体" w:eastAsia="宋体" w:cs="宋体"/>
                <w:color w:val="auto"/>
                <w:sz w:val="21"/>
                <w:szCs w:val="21"/>
                <w:highlight w:val="none"/>
              </w:rPr>
            </w:pPr>
          </w:p>
          <w:p w14:paraId="39BFC853">
            <w:pPr>
              <w:spacing w:line="293" w:lineRule="auto"/>
              <w:rPr>
                <w:rFonts w:hint="eastAsia" w:ascii="宋体" w:hAnsi="宋体" w:eastAsia="宋体" w:cs="宋体"/>
                <w:color w:val="auto"/>
                <w:sz w:val="21"/>
                <w:szCs w:val="21"/>
                <w:highlight w:val="none"/>
              </w:rPr>
            </w:pPr>
          </w:p>
          <w:p w14:paraId="27EB4055">
            <w:pPr>
              <w:spacing w:line="293" w:lineRule="auto"/>
              <w:rPr>
                <w:rFonts w:hint="eastAsia" w:ascii="宋体" w:hAnsi="宋体" w:eastAsia="宋体" w:cs="宋体"/>
                <w:color w:val="auto"/>
                <w:sz w:val="21"/>
                <w:szCs w:val="21"/>
                <w:highlight w:val="none"/>
              </w:rPr>
            </w:pPr>
          </w:p>
          <w:p w14:paraId="529BA42E">
            <w:pPr>
              <w:pStyle w:val="53"/>
              <w:spacing w:before="65" w:line="378" w:lineRule="auto"/>
              <w:ind w:left="648" w:right="154" w:hanging="474"/>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主要施工方案</w:t>
            </w:r>
          </w:p>
          <w:p w14:paraId="456DC7BE">
            <w:pPr>
              <w:pStyle w:val="53"/>
              <w:spacing w:before="65" w:line="378" w:lineRule="auto"/>
              <w:ind w:left="648" w:right="154" w:hanging="474"/>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与</w:t>
            </w:r>
            <w:r>
              <w:rPr>
                <w:rFonts w:hint="eastAsia" w:ascii="宋体" w:hAnsi="宋体" w:eastAsia="宋体" w:cs="宋体"/>
                <w:color w:val="auto"/>
                <w:spacing w:val="4"/>
                <w:sz w:val="21"/>
                <w:szCs w:val="21"/>
                <w:highlight w:val="none"/>
              </w:rPr>
              <w:t>技术措施</w:t>
            </w:r>
          </w:p>
        </w:tc>
        <w:tc>
          <w:tcPr>
            <w:tcW w:w="6401" w:type="dxa"/>
            <w:vAlign w:val="top"/>
          </w:tcPr>
          <w:p w14:paraId="600A6C61">
            <w:pPr>
              <w:pStyle w:val="53"/>
              <w:spacing w:before="35" w:line="377" w:lineRule="auto"/>
              <w:ind w:left="14" w:hanging="6"/>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①施工方案与技术措施（含工程特点、施工重点与难点及绿色施工）②</w:t>
            </w:r>
            <w:r>
              <w:rPr>
                <w:rFonts w:hint="eastAsia" w:ascii="宋体" w:hAnsi="宋体" w:eastAsia="宋体" w:cs="宋体"/>
                <w:color w:val="auto"/>
                <w:spacing w:val="12"/>
                <w:sz w:val="21"/>
                <w:szCs w:val="21"/>
                <w:highlight w:val="none"/>
              </w:rPr>
              <w:t>总体安排合理，运用先进、合理的施工工艺、施工机械；③对施工难</w:t>
            </w:r>
            <w:r>
              <w:rPr>
                <w:rFonts w:hint="eastAsia" w:ascii="宋体" w:hAnsi="宋体" w:eastAsia="宋体" w:cs="宋体"/>
                <w:color w:val="auto"/>
                <w:spacing w:val="7"/>
                <w:sz w:val="21"/>
                <w:szCs w:val="21"/>
                <w:highlight w:val="none"/>
              </w:rPr>
              <w:t>点有先进和合理的建议。</w:t>
            </w:r>
          </w:p>
          <w:p w14:paraId="7C5A4F7F">
            <w:pPr>
              <w:pStyle w:val="53"/>
              <w:spacing w:before="1" w:line="365" w:lineRule="auto"/>
              <w:ind w:left="9"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4"/>
                <w:sz w:val="21"/>
                <w:szCs w:val="21"/>
                <w:highlight w:val="none"/>
              </w:rPr>
              <w:t>每项内容完整详实的得2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3EEFABD1">
            <w:pPr>
              <w:spacing w:line="255" w:lineRule="auto"/>
              <w:rPr>
                <w:rFonts w:hint="eastAsia" w:ascii="宋体" w:hAnsi="宋体" w:eastAsia="宋体" w:cs="宋体"/>
                <w:color w:val="auto"/>
                <w:sz w:val="21"/>
                <w:szCs w:val="21"/>
                <w:highlight w:val="none"/>
              </w:rPr>
            </w:pPr>
          </w:p>
          <w:p w14:paraId="4A424FDC">
            <w:pPr>
              <w:spacing w:line="255" w:lineRule="auto"/>
              <w:rPr>
                <w:rFonts w:hint="eastAsia" w:ascii="宋体" w:hAnsi="宋体" w:eastAsia="宋体" w:cs="宋体"/>
                <w:color w:val="auto"/>
                <w:sz w:val="21"/>
                <w:szCs w:val="21"/>
                <w:highlight w:val="none"/>
              </w:rPr>
            </w:pPr>
          </w:p>
          <w:p w14:paraId="503CADD3">
            <w:pPr>
              <w:spacing w:line="255" w:lineRule="auto"/>
              <w:rPr>
                <w:rFonts w:hint="eastAsia" w:ascii="宋体" w:hAnsi="宋体" w:eastAsia="宋体" w:cs="宋体"/>
                <w:color w:val="auto"/>
                <w:sz w:val="21"/>
                <w:szCs w:val="21"/>
                <w:highlight w:val="none"/>
              </w:rPr>
            </w:pPr>
          </w:p>
          <w:p w14:paraId="44148DDD">
            <w:pPr>
              <w:spacing w:line="256" w:lineRule="auto"/>
              <w:rPr>
                <w:rFonts w:hint="eastAsia" w:ascii="宋体" w:hAnsi="宋体" w:eastAsia="宋体" w:cs="宋体"/>
                <w:color w:val="auto"/>
                <w:sz w:val="21"/>
                <w:szCs w:val="21"/>
                <w:highlight w:val="none"/>
              </w:rPr>
            </w:pPr>
          </w:p>
          <w:p w14:paraId="04AF607C">
            <w:pPr>
              <w:pStyle w:val="53"/>
              <w:spacing w:before="65" w:line="228" w:lineRule="auto"/>
              <w:ind w:left="43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650C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EAA9400">
            <w:pPr>
              <w:spacing w:line="308" w:lineRule="auto"/>
              <w:rPr>
                <w:rFonts w:hint="eastAsia" w:ascii="宋体" w:hAnsi="宋体" w:eastAsia="宋体" w:cs="宋体"/>
                <w:color w:val="auto"/>
                <w:sz w:val="21"/>
                <w:szCs w:val="21"/>
                <w:highlight w:val="none"/>
              </w:rPr>
            </w:pPr>
          </w:p>
          <w:p w14:paraId="7600EC49">
            <w:pPr>
              <w:spacing w:line="308" w:lineRule="auto"/>
              <w:rPr>
                <w:rFonts w:hint="eastAsia" w:ascii="宋体" w:hAnsi="宋体" w:eastAsia="宋体" w:cs="宋体"/>
                <w:color w:val="auto"/>
                <w:sz w:val="21"/>
                <w:szCs w:val="21"/>
                <w:highlight w:val="none"/>
              </w:rPr>
            </w:pPr>
          </w:p>
          <w:p w14:paraId="60FE88A6">
            <w:pPr>
              <w:pStyle w:val="53"/>
              <w:spacing w:before="65" w:line="228" w:lineRule="auto"/>
              <w:ind w:left="238"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质量保证措施</w:t>
            </w:r>
          </w:p>
        </w:tc>
        <w:tc>
          <w:tcPr>
            <w:tcW w:w="6401" w:type="dxa"/>
            <w:vAlign w:val="top"/>
          </w:tcPr>
          <w:p w14:paraId="45B7E32A">
            <w:pPr>
              <w:pStyle w:val="53"/>
              <w:spacing w:before="37"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①有质量管理目标②质量管理体系和职责③质</w:t>
            </w:r>
            <w:r>
              <w:rPr>
                <w:rFonts w:hint="eastAsia" w:ascii="宋体" w:hAnsi="宋体" w:eastAsia="宋体" w:cs="宋体"/>
                <w:color w:val="auto"/>
                <w:spacing w:val="8"/>
                <w:sz w:val="21"/>
                <w:szCs w:val="21"/>
                <w:highlight w:val="none"/>
              </w:rPr>
              <w:t>量控制体系及措施。</w:t>
            </w:r>
          </w:p>
          <w:p w14:paraId="5F969311">
            <w:pPr>
              <w:pStyle w:val="53"/>
              <w:spacing w:before="165"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4"/>
                <w:sz w:val="21"/>
                <w:szCs w:val="21"/>
                <w:highlight w:val="none"/>
              </w:rPr>
              <w:t>每提供上述一项内容，内容完整详实的得2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7FC40CF3">
            <w:pPr>
              <w:spacing w:line="308" w:lineRule="auto"/>
              <w:rPr>
                <w:rFonts w:hint="eastAsia" w:ascii="宋体" w:hAnsi="宋体" w:eastAsia="宋体" w:cs="宋体"/>
                <w:color w:val="auto"/>
                <w:sz w:val="21"/>
                <w:szCs w:val="21"/>
                <w:highlight w:val="none"/>
              </w:rPr>
            </w:pPr>
          </w:p>
          <w:p w14:paraId="08338DF9">
            <w:pPr>
              <w:spacing w:line="308" w:lineRule="auto"/>
              <w:rPr>
                <w:rFonts w:hint="eastAsia" w:ascii="宋体" w:hAnsi="宋体" w:eastAsia="宋体" w:cs="宋体"/>
                <w:color w:val="auto"/>
                <w:sz w:val="21"/>
                <w:szCs w:val="21"/>
                <w:highlight w:val="none"/>
              </w:rPr>
            </w:pPr>
          </w:p>
          <w:p w14:paraId="4FE07A19">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3A8A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00E5E049">
            <w:pPr>
              <w:spacing w:line="271" w:lineRule="auto"/>
              <w:rPr>
                <w:rFonts w:hint="eastAsia" w:ascii="宋体" w:hAnsi="宋体" w:eastAsia="宋体" w:cs="宋体"/>
                <w:color w:val="auto"/>
                <w:sz w:val="21"/>
                <w:szCs w:val="21"/>
                <w:highlight w:val="none"/>
              </w:rPr>
            </w:pPr>
          </w:p>
          <w:p w14:paraId="0651F724">
            <w:pPr>
              <w:spacing w:line="272" w:lineRule="auto"/>
              <w:rPr>
                <w:rFonts w:hint="eastAsia" w:ascii="宋体" w:hAnsi="宋体" w:eastAsia="宋体" w:cs="宋体"/>
                <w:color w:val="auto"/>
                <w:sz w:val="21"/>
                <w:szCs w:val="21"/>
                <w:highlight w:val="none"/>
              </w:rPr>
            </w:pPr>
          </w:p>
          <w:p w14:paraId="3FE6A750">
            <w:pPr>
              <w:spacing w:line="272" w:lineRule="auto"/>
              <w:rPr>
                <w:rFonts w:hint="eastAsia" w:ascii="宋体" w:hAnsi="宋体" w:eastAsia="宋体" w:cs="宋体"/>
                <w:color w:val="auto"/>
                <w:sz w:val="21"/>
                <w:szCs w:val="21"/>
                <w:highlight w:val="none"/>
              </w:rPr>
            </w:pPr>
          </w:p>
          <w:p w14:paraId="05AAFE27">
            <w:pPr>
              <w:pStyle w:val="53"/>
              <w:spacing w:before="65" w:line="228" w:lineRule="auto"/>
              <w:ind w:left="244"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安全保证措施</w:t>
            </w:r>
          </w:p>
        </w:tc>
        <w:tc>
          <w:tcPr>
            <w:tcW w:w="6401" w:type="dxa"/>
            <w:vAlign w:val="top"/>
          </w:tcPr>
          <w:p w14:paraId="25FE8453">
            <w:pPr>
              <w:pStyle w:val="53"/>
              <w:spacing w:before="32" w:line="377" w:lineRule="auto"/>
              <w:ind w:left="8" w:right="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①有安全生产管理目标②有安全生产管理体系、责任体系；③有</w:t>
            </w:r>
            <w:r>
              <w:rPr>
                <w:rFonts w:hint="eastAsia" w:ascii="宋体" w:hAnsi="宋体" w:eastAsia="宋体" w:cs="宋体"/>
                <w:color w:val="auto"/>
                <w:spacing w:val="5"/>
                <w:sz w:val="21"/>
                <w:szCs w:val="21"/>
                <w:highlight w:val="none"/>
              </w:rPr>
              <w:t>安全生</w:t>
            </w:r>
            <w:r>
              <w:rPr>
                <w:rFonts w:hint="eastAsia" w:ascii="宋体" w:hAnsi="宋体" w:eastAsia="宋体" w:cs="宋体"/>
                <w:color w:val="auto"/>
                <w:spacing w:val="7"/>
                <w:sz w:val="21"/>
                <w:szCs w:val="21"/>
                <w:highlight w:val="none"/>
              </w:rPr>
              <w:t>产管理制度和措施。</w:t>
            </w:r>
          </w:p>
          <w:p w14:paraId="1BA890F0">
            <w:pPr>
              <w:pStyle w:val="53"/>
              <w:spacing w:before="1"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4"/>
                <w:sz w:val="21"/>
                <w:szCs w:val="21"/>
                <w:highlight w:val="none"/>
              </w:rPr>
              <w:t>每提供上述一项内容，内容完整详实的得2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4"/>
                <w:sz w:val="21"/>
                <w:szCs w:val="21"/>
                <w:highlight w:val="none"/>
              </w:rPr>
              <w:t>且不缺项的得1.</w:t>
            </w:r>
            <w:r>
              <w:rPr>
                <w:rFonts w:hint="eastAsia" w:cs="宋体"/>
                <w:color w:val="auto"/>
                <w:spacing w:val="4"/>
                <w:sz w:val="21"/>
                <w:szCs w:val="21"/>
                <w:highlight w:val="none"/>
                <w:lang w:val="en-US" w:eastAsia="zh-CN"/>
              </w:rPr>
              <w:t>5</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分；未提供对应项内容或内容不符合该项要</w:t>
            </w:r>
            <w:r>
              <w:rPr>
                <w:rFonts w:hint="eastAsia" w:ascii="宋体" w:hAnsi="宋体" w:eastAsia="宋体" w:cs="宋体"/>
                <w:color w:val="auto"/>
                <w:spacing w:val="3"/>
                <w:sz w:val="21"/>
                <w:szCs w:val="21"/>
                <w:highlight w:val="none"/>
              </w:rPr>
              <w:t>求的不得</w:t>
            </w:r>
            <w:r>
              <w:rPr>
                <w:rFonts w:hint="eastAsia" w:ascii="宋体" w:hAnsi="宋体" w:eastAsia="宋体" w:cs="宋体"/>
                <w:color w:val="auto"/>
                <w:sz w:val="21"/>
                <w:szCs w:val="21"/>
                <w:highlight w:val="none"/>
              </w:rPr>
              <w:t>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分。</w:t>
            </w:r>
          </w:p>
        </w:tc>
        <w:tc>
          <w:tcPr>
            <w:tcW w:w="1205" w:type="dxa"/>
            <w:vAlign w:val="top"/>
          </w:tcPr>
          <w:p w14:paraId="41F243BE">
            <w:pPr>
              <w:spacing w:line="271" w:lineRule="auto"/>
              <w:rPr>
                <w:rFonts w:hint="eastAsia" w:ascii="宋体" w:hAnsi="宋体" w:eastAsia="宋体" w:cs="宋体"/>
                <w:color w:val="auto"/>
                <w:sz w:val="21"/>
                <w:szCs w:val="21"/>
                <w:highlight w:val="none"/>
              </w:rPr>
            </w:pPr>
          </w:p>
          <w:p w14:paraId="034204FF">
            <w:pPr>
              <w:spacing w:line="272" w:lineRule="auto"/>
              <w:rPr>
                <w:rFonts w:hint="eastAsia" w:ascii="宋体" w:hAnsi="宋体" w:eastAsia="宋体" w:cs="宋体"/>
                <w:color w:val="auto"/>
                <w:sz w:val="21"/>
                <w:szCs w:val="21"/>
                <w:highlight w:val="none"/>
              </w:rPr>
            </w:pPr>
          </w:p>
          <w:p w14:paraId="03222257">
            <w:pPr>
              <w:spacing w:line="272" w:lineRule="auto"/>
              <w:rPr>
                <w:rFonts w:hint="eastAsia" w:ascii="宋体" w:hAnsi="宋体" w:eastAsia="宋体" w:cs="宋体"/>
                <w:color w:val="auto"/>
                <w:sz w:val="21"/>
                <w:szCs w:val="21"/>
                <w:highlight w:val="none"/>
              </w:rPr>
            </w:pPr>
          </w:p>
          <w:p w14:paraId="2B98BE8B">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分</w:t>
            </w:r>
          </w:p>
        </w:tc>
      </w:tr>
      <w:tr w14:paraId="0E42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trPr>
        <w:tc>
          <w:tcPr>
            <w:tcW w:w="1769" w:type="dxa"/>
            <w:vAlign w:val="top"/>
          </w:tcPr>
          <w:p w14:paraId="04F86D9D">
            <w:pPr>
              <w:spacing w:line="410" w:lineRule="auto"/>
              <w:rPr>
                <w:rFonts w:hint="eastAsia" w:ascii="宋体" w:hAnsi="宋体" w:eastAsia="宋体" w:cs="宋体"/>
                <w:color w:val="auto"/>
                <w:sz w:val="21"/>
                <w:szCs w:val="21"/>
                <w:highlight w:val="none"/>
              </w:rPr>
            </w:pPr>
          </w:p>
          <w:p w14:paraId="505C111E">
            <w:pPr>
              <w:pStyle w:val="53"/>
              <w:spacing w:before="65" w:line="378" w:lineRule="auto"/>
              <w:ind w:right="257" w:rightChars="0"/>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环境保护体系</w:t>
            </w:r>
            <w:r>
              <w:rPr>
                <w:rFonts w:hint="eastAsia" w:ascii="宋体" w:hAnsi="宋体" w:eastAsia="宋体" w:cs="宋体"/>
                <w:color w:val="auto"/>
                <w:spacing w:val="4"/>
                <w:sz w:val="21"/>
                <w:szCs w:val="21"/>
                <w:highlight w:val="none"/>
              </w:rPr>
              <w:t>和保证措施</w:t>
            </w:r>
          </w:p>
        </w:tc>
        <w:tc>
          <w:tcPr>
            <w:tcW w:w="6401" w:type="dxa"/>
            <w:vAlign w:val="top"/>
          </w:tcPr>
          <w:p w14:paraId="5D07654F">
            <w:pPr>
              <w:pStyle w:val="53"/>
              <w:spacing w:before="33"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①有防尘措施、防噪措施②危废物品处置、建筑垃圾处理</w:t>
            </w:r>
            <w:r>
              <w:rPr>
                <w:rFonts w:hint="eastAsia" w:ascii="宋体" w:hAnsi="宋体" w:eastAsia="宋体" w:cs="宋体"/>
                <w:color w:val="auto"/>
                <w:spacing w:val="8"/>
                <w:sz w:val="21"/>
                <w:szCs w:val="21"/>
                <w:highlight w:val="none"/>
              </w:rPr>
              <w:t>等措施。</w:t>
            </w:r>
          </w:p>
          <w:p w14:paraId="6CB4FA53">
            <w:pPr>
              <w:pStyle w:val="53"/>
              <w:spacing w:before="165" w:line="365" w:lineRule="auto"/>
              <w:ind w:left="9" w:lef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4"/>
                <w:sz w:val="21"/>
                <w:szCs w:val="21"/>
                <w:highlight w:val="none"/>
              </w:rPr>
              <w:t>每提供上述一项内容，内容完整详实的得</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分；内容</w:t>
            </w:r>
            <w:r>
              <w:rPr>
                <w:rFonts w:hint="eastAsia" w:ascii="宋体" w:hAnsi="宋体" w:eastAsia="宋体" w:cs="宋体"/>
                <w:color w:val="auto"/>
                <w:spacing w:val="3"/>
                <w:sz w:val="21"/>
                <w:szCs w:val="21"/>
                <w:highlight w:val="none"/>
              </w:rPr>
              <w:t>有简单描述</w:t>
            </w:r>
            <w:r>
              <w:rPr>
                <w:rFonts w:hint="eastAsia" w:ascii="宋体" w:hAnsi="宋体" w:eastAsia="宋体" w:cs="宋体"/>
                <w:color w:val="auto"/>
                <w:spacing w:val="5"/>
                <w:sz w:val="21"/>
                <w:szCs w:val="21"/>
                <w:highlight w:val="none"/>
              </w:rPr>
              <w:t>且不缺项的得</w:t>
            </w:r>
            <w:r>
              <w:rPr>
                <w:rFonts w:hint="eastAsia" w:ascii="宋体" w:hAnsi="宋体" w:eastAsia="宋体" w:cs="宋体"/>
                <w:color w:val="auto"/>
                <w:spacing w:val="-35"/>
                <w:sz w:val="21"/>
                <w:szCs w:val="21"/>
                <w:highlight w:val="none"/>
                <w:lang w:val="en-US" w:eastAsia="zh-CN"/>
              </w:rPr>
              <w:t>1.</w:t>
            </w:r>
            <w:r>
              <w:rPr>
                <w:rFonts w:hint="eastAsia" w:cs="宋体"/>
                <w:color w:val="auto"/>
                <w:spacing w:val="-35"/>
                <w:sz w:val="21"/>
                <w:szCs w:val="21"/>
                <w:highlight w:val="none"/>
                <w:lang w:val="en-US" w:eastAsia="zh-CN"/>
              </w:rPr>
              <w:t>5</w:t>
            </w:r>
            <w:r>
              <w:rPr>
                <w:rFonts w:hint="eastAsia" w:ascii="宋体" w:hAnsi="宋体" w:eastAsia="宋体" w:cs="宋体"/>
                <w:color w:val="auto"/>
                <w:spacing w:val="5"/>
                <w:sz w:val="21"/>
                <w:szCs w:val="21"/>
                <w:highlight w:val="none"/>
              </w:rPr>
              <w:t>分；未提供对应项内容或内容不符合该项要求的不得</w:t>
            </w:r>
            <w:r>
              <w:rPr>
                <w:rFonts w:hint="eastAsia" w:ascii="宋体" w:hAnsi="宋体" w:eastAsia="宋体" w:cs="宋体"/>
                <w:color w:val="auto"/>
                <w:sz w:val="21"/>
                <w:szCs w:val="21"/>
                <w:highlight w:val="none"/>
              </w:rPr>
              <w:t>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41"/>
                <w:sz w:val="21"/>
                <w:szCs w:val="21"/>
                <w:highlight w:val="none"/>
                <w:lang w:val="en-US" w:eastAsia="zh-CN"/>
              </w:rPr>
              <w:t>4</w:t>
            </w:r>
            <w:r>
              <w:rPr>
                <w:rFonts w:hint="eastAsia" w:ascii="宋体" w:hAnsi="宋体" w:eastAsia="宋体" w:cs="宋体"/>
                <w:color w:val="auto"/>
                <w:sz w:val="21"/>
                <w:szCs w:val="21"/>
                <w:highlight w:val="none"/>
              </w:rPr>
              <w:t>分。</w:t>
            </w:r>
          </w:p>
        </w:tc>
        <w:tc>
          <w:tcPr>
            <w:tcW w:w="1205" w:type="dxa"/>
            <w:vAlign w:val="top"/>
          </w:tcPr>
          <w:p w14:paraId="034C0FA4">
            <w:pPr>
              <w:spacing w:line="306" w:lineRule="auto"/>
              <w:rPr>
                <w:rFonts w:hint="eastAsia" w:ascii="宋体" w:hAnsi="宋体" w:eastAsia="宋体" w:cs="宋体"/>
                <w:color w:val="auto"/>
                <w:sz w:val="21"/>
                <w:szCs w:val="21"/>
                <w:highlight w:val="none"/>
              </w:rPr>
            </w:pPr>
          </w:p>
          <w:p w14:paraId="16A69CEA">
            <w:pPr>
              <w:spacing w:line="306" w:lineRule="auto"/>
              <w:rPr>
                <w:rFonts w:hint="eastAsia" w:ascii="宋体" w:hAnsi="宋体" w:eastAsia="宋体" w:cs="宋体"/>
                <w:color w:val="auto"/>
                <w:sz w:val="21"/>
                <w:szCs w:val="21"/>
                <w:highlight w:val="none"/>
              </w:rPr>
            </w:pPr>
          </w:p>
          <w:p w14:paraId="0530B6E7">
            <w:pPr>
              <w:pStyle w:val="53"/>
              <w:spacing w:before="65" w:line="228" w:lineRule="auto"/>
              <w:ind w:left="432"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p>
        </w:tc>
      </w:tr>
      <w:tr w14:paraId="0D60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1769" w:type="dxa"/>
            <w:vAlign w:val="top"/>
          </w:tcPr>
          <w:p w14:paraId="20353C44">
            <w:pPr>
              <w:spacing w:line="306" w:lineRule="auto"/>
              <w:rPr>
                <w:rFonts w:hint="eastAsia" w:ascii="宋体" w:hAnsi="宋体" w:eastAsia="宋体" w:cs="宋体"/>
                <w:color w:val="auto"/>
                <w:sz w:val="21"/>
                <w:szCs w:val="21"/>
                <w:highlight w:val="none"/>
              </w:rPr>
            </w:pPr>
          </w:p>
          <w:p w14:paraId="0E66C996">
            <w:pPr>
              <w:spacing w:line="306" w:lineRule="auto"/>
              <w:rPr>
                <w:rFonts w:hint="eastAsia" w:ascii="宋体" w:hAnsi="宋体" w:eastAsia="宋体" w:cs="宋体"/>
                <w:color w:val="auto"/>
                <w:sz w:val="21"/>
                <w:szCs w:val="21"/>
                <w:highlight w:val="none"/>
              </w:rPr>
            </w:pPr>
          </w:p>
          <w:p w14:paraId="0D272B34">
            <w:pPr>
              <w:pStyle w:val="53"/>
              <w:spacing w:before="65" w:line="228" w:lineRule="auto"/>
              <w:ind w:left="242"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工期保证措施</w:t>
            </w:r>
          </w:p>
        </w:tc>
        <w:tc>
          <w:tcPr>
            <w:tcW w:w="6401" w:type="dxa"/>
            <w:vAlign w:val="top"/>
          </w:tcPr>
          <w:p w14:paraId="152BBBD3">
            <w:pPr>
              <w:pStyle w:val="53"/>
              <w:spacing w:before="33"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①有工期目标和工期保证体系②进度控制和管理措施。</w:t>
            </w:r>
          </w:p>
          <w:p w14:paraId="0613582E">
            <w:pPr>
              <w:pStyle w:val="53"/>
              <w:spacing w:before="164" w:line="365"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7"/>
                <w:sz w:val="21"/>
                <w:szCs w:val="21"/>
                <w:highlight w:val="none"/>
              </w:rPr>
              <w:t>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w:t>
            </w:r>
            <w:r>
              <w:rPr>
                <w:rFonts w:hint="eastAsia" w:ascii="宋体" w:hAnsi="宋体" w:eastAsia="宋体" w:cs="宋体"/>
                <w:color w:val="auto"/>
                <w:spacing w:val="-24"/>
                <w:sz w:val="21"/>
                <w:szCs w:val="21"/>
                <w:highlight w:val="none"/>
                <w:lang w:val="en-US" w:eastAsia="zh-CN"/>
              </w:rPr>
              <w:t>1.</w:t>
            </w:r>
            <w:r>
              <w:rPr>
                <w:rFonts w:hint="eastAsia" w:cs="宋体"/>
                <w:color w:val="auto"/>
                <w:spacing w:val="-24"/>
                <w:sz w:val="21"/>
                <w:szCs w:val="21"/>
                <w:highlight w:val="none"/>
                <w:lang w:val="en-US" w:eastAsia="zh-CN"/>
              </w:rPr>
              <w:t>5</w:t>
            </w:r>
            <w:r>
              <w:rPr>
                <w:rFonts w:hint="eastAsia" w:ascii="宋体" w:hAnsi="宋体" w:eastAsia="宋体" w:cs="宋体"/>
                <w:color w:val="auto"/>
                <w:spacing w:val="11"/>
                <w:sz w:val="21"/>
                <w:szCs w:val="21"/>
                <w:highlight w:val="none"/>
              </w:rPr>
              <w:t>分；未提供对应项内容或内容不符合该项要求的</w:t>
            </w:r>
            <w:r>
              <w:rPr>
                <w:rFonts w:hint="eastAsia" w:ascii="宋体" w:hAnsi="宋体" w:eastAsia="宋体" w:cs="宋体"/>
                <w:color w:val="auto"/>
                <w:spacing w:val="4"/>
                <w:sz w:val="21"/>
                <w:szCs w:val="21"/>
                <w:highlight w:val="none"/>
              </w:rPr>
              <w:t>不得分。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分。</w:t>
            </w:r>
          </w:p>
        </w:tc>
        <w:tc>
          <w:tcPr>
            <w:tcW w:w="1205" w:type="dxa"/>
            <w:vAlign w:val="top"/>
          </w:tcPr>
          <w:p w14:paraId="72A07810">
            <w:pPr>
              <w:spacing w:line="306" w:lineRule="auto"/>
              <w:rPr>
                <w:rFonts w:hint="eastAsia" w:ascii="宋体" w:hAnsi="宋体" w:eastAsia="宋体" w:cs="宋体"/>
                <w:color w:val="auto"/>
                <w:sz w:val="21"/>
                <w:szCs w:val="21"/>
                <w:highlight w:val="none"/>
              </w:rPr>
            </w:pPr>
          </w:p>
          <w:p w14:paraId="3BF5CEF2">
            <w:pPr>
              <w:spacing w:line="306" w:lineRule="auto"/>
              <w:rPr>
                <w:rFonts w:hint="eastAsia" w:ascii="宋体" w:hAnsi="宋体" w:eastAsia="宋体" w:cs="宋体"/>
                <w:color w:val="auto"/>
                <w:sz w:val="21"/>
                <w:szCs w:val="21"/>
                <w:highlight w:val="none"/>
              </w:rPr>
            </w:pPr>
          </w:p>
          <w:p w14:paraId="7C7EF21A">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分</w:t>
            </w:r>
          </w:p>
        </w:tc>
      </w:tr>
      <w:tr w14:paraId="776A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1769" w:type="dxa"/>
            <w:vAlign w:val="top"/>
          </w:tcPr>
          <w:p w14:paraId="641D70B6">
            <w:pPr>
              <w:spacing w:line="306" w:lineRule="auto"/>
              <w:rPr>
                <w:rFonts w:hint="eastAsia" w:ascii="宋体" w:hAnsi="宋体" w:eastAsia="宋体" w:cs="宋体"/>
                <w:color w:val="auto"/>
                <w:sz w:val="21"/>
                <w:szCs w:val="21"/>
                <w:highlight w:val="none"/>
              </w:rPr>
            </w:pPr>
          </w:p>
          <w:p w14:paraId="42EDC2B1">
            <w:pPr>
              <w:spacing w:line="307" w:lineRule="auto"/>
              <w:rPr>
                <w:rFonts w:hint="eastAsia" w:ascii="宋体" w:hAnsi="宋体" w:eastAsia="宋体" w:cs="宋体"/>
                <w:color w:val="auto"/>
                <w:sz w:val="21"/>
                <w:szCs w:val="21"/>
                <w:highlight w:val="none"/>
              </w:rPr>
            </w:pPr>
          </w:p>
          <w:p w14:paraId="646D90C8">
            <w:pPr>
              <w:pStyle w:val="53"/>
              <w:spacing w:before="65" w:line="228" w:lineRule="auto"/>
              <w:ind w:left="455"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施工管理</w:t>
            </w:r>
          </w:p>
        </w:tc>
        <w:tc>
          <w:tcPr>
            <w:tcW w:w="6401" w:type="dxa"/>
            <w:vAlign w:val="top"/>
          </w:tcPr>
          <w:p w14:paraId="3DEE4802">
            <w:pPr>
              <w:pStyle w:val="53"/>
              <w:spacing w:before="34" w:line="225"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①组织科学合理②有组织架构图和岗位职责。</w:t>
            </w:r>
          </w:p>
          <w:p w14:paraId="2D91C847">
            <w:pPr>
              <w:pStyle w:val="53"/>
              <w:spacing w:before="163" w:line="365"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7"/>
                <w:sz w:val="21"/>
                <w:szCs w:val="21"/>
                <w:highlight w:val="none"/>
              </w:rPr>
              <w:t>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w:t>
            </w:r>
            <w:r>
              <w:rPr>
                <w:rFonts w:hint="eastAsia" w:ascii="宋体" w:hAnsi="宋体" w:eastAsia="宋体" w:cs="宋体"/>
                <w:color w:val="auto"/>
                <w:spacing w:val="11"/>
                <w:sz w:val="21"/>
                <w:szCs w:val="21"/>
                <w:highlight w:val="none"/>
                <w:lang w:val="en-US" w:eastAsia="zh-CN"/>
              </w:rPr>
              <w:t>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分；未提供对应项内容或内容不符合该项要求的</w:t>
            </w:r>
            <w:r>
              <w:rPr>
                <w:rFonts w:hint="eastAsia" w:ascii="宋体" w:hAnsi="宋体" w:eastAsia="宋体" w:cs="宋体"/>
                <w:color w:val="auto"/>
                <w:spacing w:val="4"/>
                <w:sz w:val="21"/>
                <w:szCs w:val="21"/>
                <w:highlight w:val="none"/>
              </w:rPr>
              <w:t>不得分。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分。</w:t>
            </w:r>
          </w:p>
        </w:tc>
        <w:tc>
          <w:tcPr>
            <w:tcW w:w="1205" w:type="dxa"/>
            <w:vAlign w:val="top"/>
          </w:tcPr>
          <w:p w14:paraId="20BF6E01">
            <w:pPr>
              <w:spacing w:line="306" w:lineRule="auto"/>
              <w:rPr>
                <w:rFonts w:hint="eastAsia" w:ascii="宋体" w:hAnsi="宋体" w:eastAsia="宋体" w:cs="宋体"/>
                <w:color w:val="auto"/>
                <w:sz w:val="21"/>
                <w:szCs w:val="21"/>
                <w:highlight w:val="none"/>
              </w:rPr>
            </w:pPr>
          </w:p>
          <w:p w14:paraId="54DCC133">
            <w:pPr>
              <w:spacing w:line="307" w:lineRule="auto"/>
              <w:rPr>
                <w:rFonts w:hint="eastAsia" w:ascii="宋体" w:hAnsi="宋体" w:eastAsia="宋体" w:cs="宋体"/>
                <w:color w:val="auto"/>
                <w:sz w:val="21"/>
                <w:szCs w:val="21"/>
                <w:highlight w:val="none"/>
              </w:rPr>
            </w:pPr>
          </w:p>
          <w:p w14:paraId="745B79B4">
            <w:pPr>
              <w:pStyle w:val="53"/>
              <w:spacing w:before="65" w:line="228" w:lineRule="auto"/>
              <w:ind w:left="433"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分</w:t>
            </w:r>
          </w:p>
        </w:tc>
      </w:tr>
      <w:tr w14:paraId="2431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124971F">
            <w:pPr>
              <w:spacing w:line="272" w:lineRule="auto"/>
              <w:rPr>
                <w:rFonts w:hint="eastAsia" w:ascii="宋体" w:hAnsi="宋体" w:eastAsia="宋体" w:cs="宋体"/>
                <w:color w:val="auto"/>
                <w:sz w:val="21"/>
                <w:szCs w:val="21"/>
                <w:highlight w:val="none"/>
              </w:rPr>
            </w:pPr>
          </w:p>
          <w:p w14:paraId="21D8B864">
            <w:pPr>
              <w:spacing w:line="272" w:lineRule="auto"/>
              <w:rPr>
                <w:rFonts w:hint="eastAsia" w:ascii="宋体" w:hAnsi="宋体" w:eastAsia="宋体" w:cs="宋体"/>
                <w:color w:val="auto"/>
                <w:sz w:val="21"/>
                <w:szCs w:val="21"/>
                <w:highlight w:val="none"/>
              </w:rPr>
            </w:pPr>
          </w:p>
          <w:p w14:paraId="0DCC3588">
            <w:pPr>
              <w:spacing w:line="273" w:lineRule="auto"/>
              <w:rPr>
                <w:rFonts w:hint="eastAsia" w:ascii="宋体" w:hAnsi="宋体" w:eastAsia="宋体" w:cs="宋体"/>
                <w:color w:val="auto"/>
                <w:sz w:val="21"/>
                <w:szCs w:val="21"/>
                <w:highlight w:val="none"/>
              </w:rPr>
            </w:pPr>
          </w:p>
          <w:p w14:paraId="7B258C93">
            <w:pPr>
              <w:pStyle w:val="53"/>
              <w:spacing w:before="65" w:line="229" w:lineRule="auto"/>
              <w:ind w:left="256"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1"/>
                <w:sz w:val="21"/>
                <w:szCs w:val="21"/>
                <w:highlight w:val="none"/>
              </w:rPr>
              <w:t>资源配备计划</w:t>
            </w:r>
          </w:p>
        </w:tc>
        <w:tc>
          <w:tcPr>
            <w:tcW w:w="6401" w:type="dxa"/>
            <w:vAlign w:val="top"/>
          </w:tcPr>
          <w:p w14:paraId="34D3356D">
            <w:pPr>
              <w:pStyle w:val="53"/>
              <w:spacing w:before="34" w:line="377" w:lineRule="auto"/>
              <w:ind w:left="8" w:right="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①施工管理组织完善，任务明确②职责清晰，有施工机械配备计划③有</w:t>
            </w:r>
            <w:r>
              <w:rPr>
                <w:rFonts w:hint="eastAsia" w:ascii="宋体" w:hAnsi="宋体" w:eastAsia="宋体" w:cs="宋体"/>
                <w:color w:val="auto"/>
                <w:spacing w:val="8"/>
                <w:sz w:val="21"/>
                <w:szCs w:val="21"/>
                <w:highlight w:val="none"/>
              </w:rPr>
              <w:t>物资、人员配备计划和资金使用计划。</w:t>
            </w:r>
          </w:p>
          <w:p w14:paraId="5CD27C65">
            <w:pPr>
              <w:pStyle w:val="53"/>
              <w:spacing w:before="1" w:line="364"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7"/>
                <w:sz w:val="21"/>
                <w:szCs w:val="21"/>
                <w:highlight w:val="none"/>
              </w:rPr>
              <w:t>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w:t>
            </w:r>
            <w:r>
              <w:rPr>
                <w:rFonts w:hint="eastAsia" w:ascii="宋体" w:hAnsi="宋体" w:eastAsia="宋体" w:cs="宋体"/>
                <w:color w:val="auto"/>
                <w:spacing w:val="10"/>
                <w:sz w:val="21"/>
                <w:szCs w:val="21"/>
                <w:highlight w:val="none"/>
              </w:rPr>
              <w:t>该项要求的</w:t>
            </w:r>
            <w:r>
              <w:rPr>
                <w:rFonts w:hint="eastAsia" w:ascii="宋体" w:hAnsi="宋体" w:eastAsia="宋体" w:cs="宋体"/>
                <w:color w:val="auto"/>
                <w:spacing w:val="4"/>
                <w:sz w:val="21"/>
                <w:szCs w:val="21"/>
                <w:highlight w:val="none"/>
              </w:rPr>
              <w:t>不得分。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tc>
        <w:tc>
          <w:tcPr>
            <w:tcW w:w="1205" w:type="dxa"/>
            <w:vAlign w:val="top"/>
          </w:tcPr>
          <w:p w14:paraId="4767B1C8">
            <w:pPr>
              <w:spacing w:line="272" w:lineRule="auto"/>
              <w:rPr>
                <w:rFonts w:hint="eastAsia" w:ascii="宋体" w:hAnsi="宋体" w:eastAsia="宋体" w:cs="宋体"/>
                <w:color w:val="auto"/>
                <w:sz w:val="21"/>
                <w:szCs w:val="21"/>
                <w:highlight w:val="none"/>
              </w:rPr>
            </w:pPr>
          </w:p>
          <w:p w14:paraId="39F2CF1E">
            <w:pPr>
              <w:spacing w:line="272" w:lineRule="auto"/>
              <w:rPr>
                <w:rFonts w:hint="eastAsia" w:ascii="宋体" w:hAnsi="宋体" w:eastAsia="宋体" w:cs="宋体"/>
                <w:color w:val="auto"/>
                <w:sz w:val="21"/>
                <w:szCs w:val="21"/>
                <w:highlight w:val="none"/>
              </w:rPr>
            </w:pPr>
          </w:p>
          <w:p w14:paraId="128281B5">
            <w:pPr>
              <w:spacing w:line="273" w:lineRule="auto"/>
              <w:rPr>
                <w:rFonts w:hint="eastAsia" w:ascii="宋体" w:hAnsi="宋体" w:eastAsia="宋体" w:cs="宋体"/>
                <w:color w:val="auto"/>
                <w:sz w:val="21"/>
                <w:szCs w:val="21"/>
                <w:highlight w:val="none"/>
              </w:rPr>
            </w:pPr>
          </w:p>
          <w:p w14:paraId="36277B2A">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分</w:t>
            </w:r>
          </w:p>
        </w:tc>
      </w:tr>
      <w:tr w14:paraId="351E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A9D6E4D">
            <w:pPr>
              <w:spacing w:line="272" w:lineRule="auto"/>
              <w:rPr>
                <w:rFonts w:hint="eastAsia" w:ascii="宋体" w:hAnsi="宋体" w:eastAsia="宋体" w:cs="宋体"/>
                <w:color w:val="auto"/>
                <w:sz w:val="21"/>
                <w:szCs w:val="21"/>
                <w:highlight w:val="none"/>
              </w:rPr>
            </w:pPr>
          </w:p>
          <w:p w14:paraId="4E2781FA">
            <w:pPr>
              <w:spacing w:line="272" w:lineRule="auto"/>
              <w:rPr>
                <w:rFonts w:hint="eastAsia" w:ascii="宋体" w:hAnsi="宋体" w:eastAsia="宋体" w:cs="宋体"/>
                <w:color w:val="auto"/>
                <w:sz w:val="21"/>
                <w:szCs w:val="21"/>
                <w:highlight w:val="none"/>
              </w:rPr>
            </w:pPr>
          </w:p>
          <w:p w14:paraId="6B92BFA6">
            <w:pPr>
              <w:spacing w:line="273" w:lineRule="auto"/>
              <w:rPr>
                <w:rFonts w:hint="eastAsia" w:ascii="宋体" w:hAnsi="宋体" w:eastAsia="宋体" w:cs="宋体"/>
                <w:color w:val="auto"/>
                <w:sz w:val="21"/>
                <w:szCs w:val="21"/>
                <w:highlight w:val="none"/>
              </w:rPr>
            </w:pPr>
          </w:p>
          <w:p w14:paraId="4970F177">
            <w:pPr>
              <w:pStyle w:val="53"/>
              <w:spacing w:before="65" w:line="228" w:lineRule="auto"/>
              <w:ind w:left="238"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rPr>
              <w:t>风险管理措施</w:t>
            </w:r>
          </w:p>
        </w:tc>
        <w:tc>
          <w:tcPr>
            <w:tcW w:w="6401" w:type="dxa"/>
            <w:vAlign w:val="top"/>
          </w:tcPr>
          <w:p w14:paraId="0A7A88BA">
            <w:pPr>
              <w:pStyle w:val="53"/>
              <w:spacing w:before="35" w:line="377" w:lineRule="auto"/>
              <w:ind w:left="8" w:right="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①风险防控管理措施齐全②风险预控符合规范要求③风险</w:t>
            </w:r>
            <w:r>
              <w:rPr>
                <w:rFonts w:hint="eastAsia" w:ascii="宋体" w:hAnsi="宋体" w:eastAsia="宋体" w:cs="宋体"/>
                <w:color w:val="auto"/>
                <w:spacing w:val="12"/>
                <w:sz w:val="21"/>
                <w:szCs w:val="21"/>
                <w:highlight w:val="none"/>
              </w:rPr>
              <w:t>控制要点定</w:t>
            </w:r>
            <w:r>
              <w:rPr>
                <w:rFonts w:hint="eastAsia" w:ascii="宋体" w:hAnsi="宋体" w:eastAsia="宋体" w:cs="宋体"/>
                <w:color w:val="auto"/>
                <w:spacing w:val="8"/>
                <w:sz w:val="21"/>
                <w:szCs w:val="21"/>
                <w:highlight w:val="none"/>
              </w:rPr>
              <w:t>位准确、各阶段风险控制及应急措施得力。</w:t>
            </w:r>
          </w:p>
          <w:p w14:paraId="46EF1E8A">
            <w:pPr>
              <w:pStyle w:val="53"/>
              <w:spacing w:line="366" w:lineRule="auto"/>
              <w:ind w:left="9" w:leftChars="0" w:right="1" w:rightChars="0" w:firstLine="2" w:firstLineChars="0"/>
              <w:rPr>
                <w:rFonts w:hint="eastAsia" w:ascii="宋体" w:hAnsi="宋体" w:eastAsia="宋体" w:cs="宋体"/>
                <w:color w:val="auto"/>
                <w:spacing w:val="4"/>
                <w:sz w:val="21"/>
                <w:szCs w:val="21"/>
                <w:highlight w:val="none"/>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7"/>
                <w:sz w:val="21"/>
                <w:szCs w:val="21"/>
                <w:highlight w:val="none"/>
              </w:rPr>
              <w:t>每提供上述一项内容，</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内容完整详实的得2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内容有简单描</w:t>
            </w:r>
            <w:r>
              <w:rPr>
                <w:rFonts w:hint="eastAsia" w:ascii="宋体" w:hAnsi="宋体" w:eastAsia="宋体" w:cs="宋体"/>
                <w:color w:val="auto"/>
                <w:spacing w:val="11"/>
                <w:sz w:val="21"/>
                <w:szCs w:val="21"/>
                <w:highlight w:val="none"/>
              </w:rPr>
              <w:t>述且不缺项的得1.</w:t>
            </w:r>
            <w:r>
              <w:rPr>
                <w:rFonts w:hint="eastAsia" w:cs="宋体"/>
                <w:color w:val="auto"/>
                <w:spacing w:val="11"/>
                <w:sz w:val="21"/>
                <w:szCs w:val="21"/>
                <w:highlight w:val="none"/>
                <w:lang w:val="en-US" w:eastAsia="zh-CN"/>
              </w:rPr>
              <w:t>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1"/>
                <w:sz w:val="21"/>
                <w:szCs w:val="21"/>
                <w:highlight w:val="none"/>
              </w:rPr>
              <w:t>分；未提供对应项内容或内容不符合</w:t>
            </w:r>
            <w:r>
              <w:rPr>
                <w:rFonts w:hint="eastAsia" w:ascii="宋体" w:hAnsi="宋体" w:eastAsia="宋体" w:cs="宋体"/>
                <w:color w:val="auto"/>
                <w:spacing w:val="10"/>
                <w:sz w:val="21"/>
                <w:szCs w:val="21"/>
                <w:highlight w:val="none"/>
              </w:rPr>
              <w:t>该项要求的</w:t>
            </w:r>
            <w:r>
              <w:rPr>
                <w:rFonts w:hint="eastAsia" w:ascii="宋体" w:hAnsi="宋体" w:eastAsia="宋体" w:cs="宋体"/>
                <w:color w:val="auto"/>
                <w:spacing w:val="4"/>
                <w:sz w:val="21"/>
                <w:szCs w:val="21"/>
                <w:highlight w:val="none"/>
              </w:rPr>
              <w:t>不得分。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tc>
        <w:tc>
          <w:tcPr>
            <w:tcW w:w="1205" w:type="dxa"/>
            <w:vAlign w:val="top"/>
          </w:tcPr>
          <w:p w14:paraId="5543ED22">
            <w:pPr>
              <w:spacing w:line="272" w:lineRule="auto"/>
              <w:rPr>
                <w:rFonts w:hint="eastAsia" w:ascii="宋体" w:hAnsi="宋体" w:eastAsia="宋体" w:cs="宋体"/>
                <w:color w:val="auto"/>
                <w:sz w:val="21"/>
                <w:szCs w:val="21"/>
                <w:highlight w:val="none"/>
              </w:rPr>
            </w:pPr>
          </w:p>
          <w:p w14:paraId="42D03950">
            <w:pPr>
              <w:spacing w:line="273" w:lineRule="auto"/>
              <w:rPr>
                <w:rFonts w:hint="eastAsia" w:ascii="宋体" w:hAnsi="宋体" w:eastAsia="宋体" w:cs="宋体"/>
                <w:color w:val="auto"/>
                <w:sz w:val="21"/>
                <w:szCs w:val="21"/>
                <w:highlight w:val="none"/>
              </w:rPr>
            </w:pPr>
          </w:p>
          <w:p w14:paraId="6B1E034B">
            <w:pPr>
              <w:spacing w:line="273" w:lineRule="auto"/>
              <w:rPr>
                <w:rFonts w:hint="eastAsia" w:ascii="宋体" w:hAnsi="宋体" w:eastAsia="宋体" w:cs="宋体"/>
                <w:color w:val="auto"/>
                <w:sz w:val="21"/>
                <w:szCs w:val="21"/>
                <w:highlight w:val="none"/>
              </w:rPr>
            </w:pPr>
          </w:p>
          <w:p w14:paraId="5C302377">
            <w:pPr>
              <w:pStyle w:val="53"/>
              <w:spacing w:before="65" w:line="228" w:lineRule="auto"/>
              <w:ind w:left="430" w:lef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分</w:t>
            </w:r>
          </w:p>
        </w:tc>
      </w:tr>
      <w:tr w14:paraId="1790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shd w:val="clear" w:color="auto" w:fill="auto"/>
            <w:vAlign w:val="center"/>
          </w:tcPr>
          <w:p w14:paraId="46F7334A">
            <w:pPr>
              <w:spacing w:line="360" w:lineRule="auto"/>
              <w:jc w:val="center"/>
              <w:rPr>
                <w:rFonts w:hint="eastAsia" w:ascii="宋体" w:hAnsi="宋体" w:eastAsia="宋体" w:cs="宋体"/>
                <w:color w:val="auto"/>
                <w:spacing w:val="4"/>
                <w:kern w:val="2"/>
                <w:sz w:val="21"/>
                <w:szCs w:val="22"/>
                <w:highlight w:val="none"/>
                <w:lang w:val="en-US" w:eastAsia="zh-CN" w:bidi="ar-SA"/>
              </w:rPr>
            </w:pPr>
            <w:r>
              <w:rPr>
                <w:rFonts w:hint="eastAsia" w:ascii="宋体" w:hAnsi="宋体" w:eastAsia="宋体" w:cs="宋体"/>
                <w:color w:val="auto"/>
                <w:kern w:val="0"/>
                <w:sz w:val="21"/>
                <w:szCs w:val="21"/>
                <w:highlight w:val="none"/>
                <w:lang w:val="zh-CN"/>
              </w:rPr>
              <w:t>履职尽责承诺</w:t>
            </w:r>
          </w:p>
        </w:tc>
        <w:tc>
          <w:tcPr>
            <w:tcW w:w="6401" w:type="dxa"/>
            <w:shd w:val="clear" w:color="auto" w:fill="auto"/>
            <w:vAlign w:val="center"/>
          </w:tcPr>
          <w:p w14:paraId="19013E5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保证技术措施落实到位的承诺和落实不到位的处理承诺，其中包括①各关键岗位人员项目负责人、</w:t>
            </w:r>
            <w:r>
              <w:rPr>
                <w:rFonts w:hint="eastAsia" w:ascii="宋体" w:hAnsi="宋体" w:eastAsia="宋体" w:cs="宋体"/>
                <w:color w:val="auto"/>
                <w:kern w:val="0"/>
                <w:sz w:val="21"/>
                <w:szCs w:val="21"/>
                <w:highlight w:val="none"/>
                <w:lang w:val="en-US" w:eastAsia="zh-CN"/>
              </w:rPr>
              <w:t>技术负责人</w:t>
            </w:r>
            <w:r>
              <w:rPr>
                <w:rFonts w:hint="eastAsia" w:ascii="宋体" w:hAnsi="宋体" w:eastAsia="宋体" w:cs="宋体"/>
                <w:color w:val="auto"/>
                <w:kern w:val="0"/>
                <w:sz w:val="21"/>
                <w:szCs w:val="21"/>
                <w:highlight w:val="none"/>
              </w:rPr>
              <w:t>及项目组成员的在岗、更换履职尽责承诺；②针对不拖欠农民工工资承诺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保证工期承诺；③扬尘治理</w:t>
            </w:r>
            <w:r>
              <w:rPr>
                <w:rFonts w:hint="eastAsia" w:ascii="宋体" w:hAnsi="宋体" w:eastAsia="宋体" w:cs="宋体"/>
                <w:color w:val="auto"/>
                <w:kern w:val="0"/>
                <w:sz w:val="21"/>
                <w:szCs w:val="21"/>
                <w:highlight w:val="none"/>
                <w:lang w:val="en-US" w:eastAsia="zh-CN"/>
              </w:rPr>
              <w:t>承诺</w:t>
            </w:r>
            <w:r>
              <w:rPr>
                <w:rFonts w:hint="eastAsia" w:ascii="宋体" w:hAnsi="宋体" w:eastAsia="宋体" w:cs="宋体"/>
                <w:color w:val="auto"/>
                <w:kern w:val="0"/>
                <w:sz w:val="21"/>
                <w:szCs w:val="21"/>
                <w:highlight w:val="none"/>
              </w:rPr>
              <w:t>；④提高工程质量承诺；</w:t>
            </w:r>
          </w:p>
          <w:p w14:paraId="3883FEEC">
            <w:pPr>
              <w:spacing w:line="360" w:lineRule="auto"/>
              <w:jc w:val="left"/>
              <w:rPr>
                <w:rFonts w:hint="eastAsia" w:ascii="宋体" w:hAnsi="宋体" w:eastAsia="宋体" w:cs="宋体"/>
                <w:color w:val="auto"/>
                <w:spacing w:val="7"/>
                <w:kern w:val="2"/>
                <w:sz w:val="21"/>
                <w:szCs w:val="22"/>
                <w:highlight w:val="none"/>
                <w:lang w:val="en-US" w:eastAsia="zh-CN" w:bidi="ar-SA"/>
              </w:rPr>
            </w:pPr>
            <w:r>
              <w:rPr>
                <w:rFonts w:hint="eastAsia" w:ascii="宋体" w:hAnsi="宋体" w:eastAsia="宋体" w:cs="宋体"/>
                <w:color w:val="auto"/>
                <w:spacing w:val="13"/>
                <w:sz w:val="21"/>
                <w:szCs w:val="21"/>
                <w:highlight w:val="none"/>
              </w:rPr>
              <w:t>供应商</w:t>
            </w:r>
            <w:r>
              <w:rPr>
                <w:rFonts w:hint="eastAsia" w:ascii="宋体" w:hAnsi="宋体" w:eastAsia="宋体" w:cs="宋体"/>
                <w:color w:val="auto"/>
                <w:spacing w:val="7"/>
                <w:sz w:val="21"/>
                <w:szCs w:val="21"/>
                <w:highlight w:val="none"/>
              </w:rPr>
              <w:t>每提供上述一项</w:t>
            </w:r>
            <w:r>
              <w:rPr>
                <w:rFonts w:hint="eastAsia" w:ascii="宋体" w:hAnsi="宋体" w:eastAsia="宋体" w:cs="宋体"/>
                <w:color w:val="auto"/>
                <w:kern w:val="0"/>
                <w:sz w:val="21"/>
                <w:szCs w:val="21"/>
                <w:highlight w:val="none"/>
                <w:lang w:val="zh-CN"/>
              </w:rPr>
              <w:t>内容完整、详细、有针对性的得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zh-CN"/>
              </w:rPr>
              <w:t>内容仅有简单描述且不缺项的得</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zh-CN"/>
              </w:rPr>
              <w:t>未提供对应项内容或内容不符合该项要求的不得分，</w:t>
            </w:r>
            <w:r>
              <w:rPr>
                <w:rFonts w:hint="eastAsia" w:cs="宋体"/>
                <w:color w:val="auto"/>
                <w:sz w:val="21"/>
                <w:szCs w:val="21"/>
                <w:highlight w:val="none"/>
                <w:lang w:val="en-US" w:eastAsia="zh-CN"/>
              </w:rPr>
              <w:t>本项</w:t>
            </w:r>
            <w:r>
              <w:rPr>
                <w:rFonts w:hint="eastAsia" w:ascii="宋体" w:hAnsi="宋体" w:eastAsia="宋体" w:cs="宋体"/>
                <w:b w:val="0"/>
                <w:bCs w:val="0"/>
                <w:color w:val="000000"/>
                <w:sz w:val="21"/>
                <w:szCs w:val="21"/>
                <w:lang w:val="en-US" w:eastAsia="zh-CN"/>
              </w:rPr>
              <w:t>最高得</w:t>
            </w:r>
            <w:r>
              <w:rPr>
                <w:rFonts w:hint="eastAsia" w:ascii="宋体" w:hAnsi="宋体" w:eastAsia="宋体" w:cs="宋体"/>
                <w:color w:val="auto"/>
                <w:kern w:val="0"/>
                <w:sz w:val="21"/>
                <w:szCs w:val="21"/>
                <w:highlight w:val="none"/>
                <w:lang w:val="en-US" w:eastAsia="zh-CN"/>
              </w:rPr>
              <w:t>8分。</w:t>
            </w:r>
          </w:p>
        </w:tc>
        <w:tc>
          <w:tcPr>
            <w:tcW w:w="1205" w:type="dxa"/>
            <w:vAlign w:val="center"/>
          </w:tcPr>
          <w:p w14:paraId="03FFF941">
            <w:pPr>
              <w:pStyle w:val="53"/>
              <w:spacing w:before="65" w:line="228" w:lineRule="auto"/>
              <w:ind w:left="430" w:leftChars="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8分</w:t>
            </w:r>
          </w:p>
        </w:tc>
      </w:tr>
    </w:tbl>
    <w:p w14:paraId="2CC6B5DB">
      <w:pPr>
        <w:pStyle w:val="9"/>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（6）评标结果汇总完成后，除下列情形外，任何人不得修改评标结果：</w:t>
      </w:r>
    </w:p>
    <w:p w14:paraId="3C95C79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1）分值汇总计算错误的；</w:t>
      </w:r>
    </w:p>
    <w:p w14:paraId="585BE4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2）分项评分超出评分标准范围的；</w:t>
      </w:r>
    </w:p>
    <w:p w14:paraId="474D76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3）磋商小组成员对客观评审因素评分不一致的；</w:t>
      </w:r>
    </w:p>
    <w:p w14:paraId="4F33DA1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4）经磋商小组认定评分畸高、畸低的。</w:t>
      </w:r>
    </w:p>
    <w:p w14:paraId="35FEE028">
      <w:pPr>
        <w:tabs>
          <w:tab w:val="left" w:pos="1260"/>
        </w:tabs>
        <w:autoSpaceDE w:val="0"/>
        <w:autoSpaceDN w:val="0"/>
        <w:spacing w:line="360" w:lineRule="auto"/>
        <w:ind w:firstLine="422" w:firstLineChars="200"/>
        <w:contextualSpacing/>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bCs/>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22E70CBE">
      <w:pPr>
        <w:pStyle w:val="9"/>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（8）推荐成交候选供应商</w:t>
      </w:r>
    </w:p>
    <w:p w14:paraId="05B3D1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磋商小组应当根据综合评分情况，按照评审得分由高到低顺序推荐3名成交候选供应商，并编写评审报告。符合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6245105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（9）磋商小组争议处理</w:t>
      </w:r>
    </w:p>
    <w:p w14:paraId="5598B0C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005B7">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4.确定成交候选人名单，以及根据采购人委托直接确定成交人。</w:t>
      </w:r>
    </w:p>
    <w:p w14:paraId="27CB1B3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p>
    <w:p w14:paraId="3CE5BC05">
      <w:pPr>
        <w:spacing w:line="360" w:lineRule="auto"/>
        <w:ind w:firstLine="422" w:firstLineChars="200"/>
        <w:contextualSpacing/>
        <w:rPr>
          <w:rFonts w:hint="eastAsia" w:ascii="宋体" w:hAnsi="宋体" w:eastAsia="宋体" w:cs="宋体"/>
          <w:b/>
          <w:color w:val="auto"/>
          <w:szCs w:val="21"/>
          <w:highlight w:val="none"/>
          <w:lang w:val="zh-CN"/>
        </w:rPr>
      </w:pPr>
    </w:p>
    <w:p w14:paraId="6F18B042">
      <w:pPr>
        <w:widowControl/>
        <w:ind w:firstLine="2393" w:firstLineChars="74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第七章 拟签订的合同文本</w:t>
      </w:r>
    </w:p>
    <w:p w14:paraId="7BC2EAB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（此合同仅供参考</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以最终采购人与中标人签订的合同条款为准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p w14:paraId="6C17410E">
      <w:pPr>
        <w:spacing w:line="360" w:lineRule="auto"/>
        <w:jc w:val="center"/>
        <w:rPr>
          <w:rFonts w:hint="eastAsia" w:ascii="宋体" w:hAnsi="宋体" w:eastAsia="宋体" w:cs="宋体"/>
          <w:b/>
          <w:bCs/>
          <w:color w:val="auto"/>
          <w:szCs w:val="21"/>
          <w:highlight w:val="none"/>
        </w:rPr>
      </w:pPr>
    </w:p>
    <w:p w14:paraId="7235B0D6">
      <w:pPr>
        <w:spacing w:line="400" w:lineRule="exact"/>
        <w:ind w:firstLine="560" w:firstLineChars="200"/>
        <w:jc w:val="righ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本合同</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是/</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否中小企业预留合同</w:t>
      </w:r>
    </w:p>
    <w:p w14:paraId="751EF389">
      <w:pPr>
        <w:ind w:firstLine="480" w:firstLineChars="200"/>
        <w:jc w:val="center"/>
        <w:rPr>
          <w:rFonts w:hint="eastAsia" w:ascii="宋体" w:hAnsi="宋体" w:eastAsia="宋体" w:cs="宋体"/>
          <w:color w:val="auto"/>
          <w:sz w:val="24"/>
          <w:szCs w:val="24"/>
          <w:highlight w:val="none"/>
          <w:lang w:val="zh-CN"/>
        </w:rPr>
      </w:pPr>
    </w:p>
    <w:p w14:paraId="036E001F">
      <w:pPr>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政府采购工程合同（范本）</w:t>
      </w:r>
    </w:p>
    <w:p w14:paraId="7D13FBA4">
      <w:pPr>
        <w:spacing w:line="400" w:lineRule="exact"/>
        <w:ind w:firstLine="480" w:firstLineChars="200"/>
        <w:rPr>
          <w:rFonts w:hint="eastAsia" w:ascii="宋体" w:hAnsi="宋体" w:eastAsia="宋体" w:cs="宋体"/>
          <w:color w:val="auto"/>
          <w:sz w:val="24"/>
          <w:szCs w:val="24"/>
          <w:highlight w:val="none"/>
          <w:lang w:val="zh-CN"/>
        </w:rPr>
      </w:pPr>
    </w:p>
    <w:p w14:paraId="41E5E028">
      <w:pPr>
        <w:spacing w:line="400" w:lineRule="exact"/>
        <w:rPr>
          <w:rFonts w:hint="eastAsia" w:ascii="宋体" w:hAnsi="宋体" w:eastAsia="宋体" w:cs="宋体"/>
          <w:color w:val="auto"/>
          <w:sz w:val="24"/>
          <w:szCs w:val="24"/>
          <w:highlight w:val="none"/>
          <w:lang w:val="zh-CN"/>
        </w:rPr>
      </w:pPr>
    </w:p>
    <w:p w14:paraId="0179CFD8">
      <w:pPr>
        <w:spacing w:line="400" w:lineRule="exact"/>
        <w:rPr>
          <w:rFonts w:hint="eastAsia" w:ascii="宋体" w:hAnsi="宋体" w:eastAsia="宋体" w:cs="宋体"/>
          <w:color w:val="auto"/>
          <w:sz w:val="24"/>
          <w:szCs w:val="24"/>
          <w:highlight w:val="none"/>
          <w:lang w:val="zh-CN"/>
        </w:rPr>
      </w:pPr>
    </w:p>
    <w:p w14:paraId="229865C7">
      <w:pPr>
        <w:spacing w:line="400" w:lineRule="exact"/>
        <w:rPr>
          <w:rFonts w:hint="eastAsia" w:ascii="宋体" w:hAnsi="宋体" w:eastAsia="宋体" w:cs="宋体"/>
          <w:color w:val="auto"/>
          <w:sz w:val="24"/>
          <w:szCs w:val="24"/>
          <w:highlight w:val="none"/>
          <w:lang w:val="zh-CN"/>
        </w:rPr>
      </w:pPr>
    </w:p>
    <w:p w14:paraId="0AF6E44A">
      <w:pPr>
        <w:spacing w:line="400" w:lineRule="exact"/>
        <w:rPr>
          <w:rFonts w:hint="eastAsia" w:ascii="宋体" w:hAnsi="宋体" w:eastAsia="宋体" w:cs="宋体"/>
          <w:color w:val="auto"/>
          <w:sz w:val="24"/>
          <w:szCs w:val="24"/>
          <w:highlight w:val="none"/>
          <w:lang w:val="zh-CN"/>
        </w:rPr>
      </w:pPr>
    </w:p>
    <w:p w14:paraId="0196DA35">
      <w:pPr>
        <w:spacing w:line="400" w:lineRule="exact"/>
        <w:rPr>
          <w:rFonts w:hint="eastAsia" w:ascii="宋体" w:hAnsi="宋体" w:eastAsia="宋体" w:cs="宋体"/>
          <w:color w:val="auto"/>
          <w:sz w:val="28"/>
          <w:szCs w:val="28"/>
          <w:highlight w:val="none"/>
          <w:lang w:val="zh-CN"/>
        </w:rPr>
      </w:pPr>
    </w:p>
    <w:p w14:paraId="3F713528">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FFA038D">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5183D999">
      <w:pPr>
        <w:spacing w:line="500" w:lineRule="exact"/>
        <w:ind w:firstLine="480" w:firstLineChars="200"/>
        <w:rPr>
          <w:rFonts w:hint="eastAsia" w:ascii="宋体" w:hAnsi="宋体" w:eastAsia="宋体" w:cs="宋体"/>
          <w:color w:val="auto"/>
          <w:sz w:val="24"/>
          <w:szCs w:val="24"/>
          <w:highlight w:val="none"/>
          <w:lang w:val="zh-CN"/>
        </w:rPr>
      </w:pPr>
    </w:p>
    <w:p w14:paraId="5EB01672">
      <w:pPr>
        <w:spacing w:line="400" w:lineRule="exact"/>
        <w:ind w:firstLine="480" w:firstLineChars="200"/>
        <w:rPr>
          <w:rFonts w:hint="eastAsia" w:ascii="宋体" w:hAnsi="宋体" w:eastAsia="宋体" w:cs="宋体"/>
          <w:color w:val="auto"/>
          <w:sz w:val="24"/>
          <w:szCs w:val="24"/>
          <w:highlight w:val="none"/>
          <w:lang w:val="zh-CN"/>
        </w:rPr>
      </w:pPr>
    </w:p>
    <w:p w14:paraId="27D8DEEF">
      <w:pPr>
        <w:spacing w:line="400" w:lineRule="exact"/>
        <w:ind w:firstLine="480" w:firstLineChars="200"/>
        <w:rPr>
          <w:rFonts w:hint="eastAsia" w:ascii="宋体" w:hAnsi="宋体" w:eastAsia="宋体" w:cs="宋体"/>
          <w:color w:val="auto"/>
          <w:sz w:val="24"/>
          <w:szCs w:val="24"/>
          <w:highlight w:val="none"/>
          <w:lang w:val="zh-CN"/>
        </w:rPr>
      </w:pPr>
    </w:p>
    <w:p w14:paraId="46986BC6">
      <w:pPr>
        <w:spacing w:line="400" w:lineRule="exact"/>
        <w:ind w:firstLine="480" w:firstLineChars="200"/>
        <w:rPr>
          <w:rFonts w:hint="eastAsia" w:ascii="宋体" w:hAnsi="宋体" w:eastAsia="宋体" w:cs="宋体"/>
          <w:color w:val="auto"/>
          <w:sz w:val="24"/>
          <w:szCs w:val="24"/>
          <w:highlight w:val="none"/>
          <w:lang w:val="zh-CN"/>
        </w:rPr>
      </w:pPr>
    </w:p>
    <w:p w14:paraId="6CF987A3">
      <w:pPr>
        <w:spacing w:line="400" w:lineRule="exact"/>
        <w:ind w:firstLine="480" w:firstLineChars="200"/>
        <w:rPr>
          <w:rFonts w:hint="eastAsia" w:ascii="宋体" w:hAnsi="宋体" w:eastAsia="宋体" w:cs="宋体"/>
          <w:color w:val="auto"/>
          <w:sz w:val="24"/>
          <w:szCs w:val="24"/>
          <w:highlight w:val="none"/>
          <w:lang w:val="zh-CN"/>
        </w:rPr>
      </w:pPr>
    </w:p>
    <w:p w14:paraId="2A4272EB">
      <w:pPr>
        <w:spacing w:line="400" w:lineRule="exact"/>
        <w:ind w:firstLine="480" w:firstLineChars="200"/>
        <w:rPr>
          <w:rFonts w:hint="eastAsia" w:ascii="宋体" w:hAnsi="宋体" w:eastAsia="宋体" w:cs="宋体"/>
          <w:color w:val="auto"/>
          <w:sz w:val="24"/>
          <w:szCs w:val="24"/>
          <w:highlight w:val="none"/>
          <w:lang w:val="zh-CN"/>
        </w:rPr>
      </w:pPr>
    </w:p>
    <w:p w14:paraId="22E3190E">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358F8C65">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3A222D17">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p>
    <w:p w14:paraId="450ABF8F">
      <w:pPr>
        <w:spacing w:line="500" w:lineRule="exact"/>
        <w:ind w:firstLine="1200" w:firstLineChars="500"/>
        <w:rPr>
          <w:rFonts w:hint="eastAsia" w:ascii="宋体" w:hAnsi="宋体" w:eastAsia="宋体" w:cs="宋体"/>
          <w:color w:val="auto"/>
          <w:sz w:val="24"/>
          <w:szCs w:val="24"/>
          <w:highlight w:val="none"/>
          <w:u w:val="single"/>
          <w:lang w:val="zh-CN"/>
        </w:rPr>
      </w:pPr>
    </w:p>
    <w:p w14:paraId="19F36340">
      <w:pPr>
        <w:spacing w:line="400" w:lineRule="exact"/>
        <w:jc w:val="center"/>
        <w:rPr>
          <w:rFonts w:hint="eastAsia" w:ascii="宋体" w:hAnsi="宋体" w:eastAsia="宋体" w:cs="宋体"/>
          <w:color w:val="auto"/>
          <w:sz w:val="24"/>
          <w:szCs w:val="24"/>
          <w:highlight w:val="none"/>
          <w:lang w:val="zh-CN"/>
        </w:rPr>
      </w:pPr>
    </w:p>
    <w:p w14:paraId="377D6B27">
      <w:pPr>
        <w:spacing w:line="400" w:lineRule="exact"/>
        <w:jc w:val="center"/>
        <w:rPr>
          <w:rFonts w:hint="eastAsia" w:ascii="宋体" w:hAnsi="宋体" w:eastAsia="宋体" w:cs="宋体"/>
          <w:color w:val="auto"/>
          <w:sz w:val="24"/>
          <w:szCs w:val="24"/>
          <w:highlight w:val="none"/>
          <w:lang w:val="zh-CN"/>
        </w:rPr>
      </w:pPr>
    </w:p>
    <w:p w14:paraId="4978DEFD">
      <w:pPr>
        <w:spacing w:line="400" w:lineRule="exact"/>
        <w:jc w:val="center"/>
        <w:rPr>
          <w:rFonts w:hint="eastAsia" w:ascii="宋体" w:hAnsi="宋体" w:eastAsia="宋体" w:cs="宋体"/>
          <w:color w:val="auto"/>
          <w:sz w:val="24"/>
          <w:szCs w:val="24"/>
          <w:highlight w:val="none"/>
          <w:lang w:val="zh-CN"/>
        </w:rPr>
      </w:pPr>
    </w:p>
    <w:p w14:paraId="247A65B9">
      <w:pPr>
        <w:spacing w:line="400" w:lineRule="exact"/>
        <w:jc w:val="center"/>
        <w:rPr>
          <w:rFonts w:hint="eastAsia" w:ascii="宋体" w:hAnsi="宋体" w:eastAsia="宋体" w:cs="宋体"/>
          <w:color w:val="auto"/>
          <w:sz w:val="24"/>
          <w:szCs w:val="24"/>
          <w:highlight w:val="none"/>
          <w:lang w:val="zh-CN"/>
        </w:rPr>
      </w:pPr>
    </w:p>
    <w:p w14:paraId="66DEC8DA">
      <w:pPr>
        <w:spacing w:line="400" w:lineRule="exact"/>
        <w:jc w:val="center"/>
        <w:rPr>
          <w:rFonts w:hint="eastAsia" w:ascii="宋体" w:hAnsi="宋体" w:eastAsia="宋体" w:cs="宋体"/>
          <w:color w:val="auto"/>
          <w:sz w:val="24"/>
          <w:szCs w:val="24"/>
          <w:highlight w:val="none"/>
          <w:lang w:val="zh-CN"/>
        </w:rPr>
      </w:pPr>
    </w:p>
    <w:p w14:paraId="5CC8E82B">
      <w:pPr>
        <w:pStyle w:val="15"/>
        <w:rPr>
          <w:rFonts w:hint="eastAsia"/>
          <w:color w:val="auto"/>
          <w:highlight w:val="none"/>
          <w:lang w:val="zh-CN"/>
        </w:rPr>
      </w:pPr>
    </w:p>
    <w:p w14:paraId="1467D65A">
      <w:pPr>
        <w:spacing w:line="400" w:lineRule="exact"/>
        <w:rPr>
          <w:rFonts w:hint="eastAsia" w:ascii="宋体" w:hAnsi="宋体" w:eastAsia="宋体" w:cs="宋体"/>
          <w:color w:val="auto"/>
          <w:sz w:val="24"/>
          <w:szCs w:val="24"/>
          <w:highlight w:val="none"/>
          <w:lang w:val="zh-CN"/>
        </w:rPr>
      </w:pPr>
    </w:p>
    <w:p w14:paraId="148E979A">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第一部分合同协议书</w:t>
      </w:r>
    </w:p>
    <w:p w14:paraId="50B33CFF">
      <w:pPr>
        <w:spacing w:line="400" w:lineRule="exact"/>
        <w:jc w:val="center"/>
        <w:rPr>
          <w:rFonts w:hint="eastAsia" w:ascii="宋体" w:hAnsi="宋体" w:eastAsia="宋体" w:cs="宋体"/>
          <w:color w:val="auto"/>
          <w:sz w:val="21"/>
          <w:szCs w:val="21"/>
          <w:highlight w:val="none"/>
          <w:lang w:val="zh-CN"/>
        </w:rPr>
      </w:pPr>
    </w:p>
    <w:p w14:paraId="6719CC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（发包人）所需</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经以</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采购文件以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方式进行采购，确定</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为成交供应商。发包人、承包人双方根据《中华人民共和国民法典》《中华人民共和国政府采购法》等相关法律以及本项目采购文件的规定，经平等协商达成合同如下：</w:t>
      </w:r>
    </w:p>
    <w:p w14:paraId="6FCBAD8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一、合同文件</w:t>
      </w:r>
    </w:p>
    <w:p w14:paraId="54B39D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472BC3D3">
      <w:pPr>
        <w:numPr>
          <w:ilvl w:val="0"/>
          <w:numId w:val="7"/>
        </w:num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政府采购文件（含采购文件的澄清、修改等）；</w:t>
      </w:r>
    </w:p>
    <w:p w14:paraId="26AFA3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（二）成交供应商响应文件；</w:t>
      </w:r>
    </w:p>
    <w:p w14:paraId="27273F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（三）合同格式、合同条款；</w:t>
      </w:r>
    </w:p>
    <w:p w14:paraId="0D70DD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（四）成交供应商在评标过程中作出的有关澄清、说明或者补正文件；</w:t>
      </w:r>
    </w:p>
    <w:p w14:paraId="2D99AD9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（五）中标（成交）通知书；</w:t>
      </w:r>
    </w:p>
    <w:p w14:paraId="343FE3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（六）技术标准和要求；</w:t>
      </w:r>
    </w:p>
    <w:p w14:paraId="142339A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（七）图纸；</w:t>
      </w:r>
    </w:p>
    <w:p w14:paraId="18B44E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（八）已标价工程量清单或预算书；</w:t>
      </w:r>
    </w:p>
    <w:p w14:paraId="3F3D57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（九）其他合同文件。</w:t>
      </w:r>
    </w:p>
    <w:p w14:paraId="5F56838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二、合同的范围和条件</w:t>
      </w:r>
    </w:p>
    <w:p w14:paraId="3C0E13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7EC393F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三、工程概况</w:t>
      </w:r>
    </w:p>
    <w:p w14:paraId="037047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p>
    <w:p w14:paraId="6198D991">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工程地点：</w:t>
      </w:r>
      <w:r>
        <w:rPr>
          <w:rFonts w:hint="eastAsia" w:ascii="宋体" w:hAnsi="宋体" w:eastAsia="宋体" w:cs="宋体"/>
          <w:color w:val="auto"/>
          <w:sz w:val="21"/>
          <w:szCs w:val="21"/>
          <w:highlight w:val="none"/>
          <w:u w:val="single"/>
        </w:rPr>
        <w:t xml:space="preserve">                       </w:t>
      </w:r>
    </w:p>
    <w:p w14:paraId="61FD8E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u w:val="single"/>
        </w:rPr>
        <w:t xml:space="preserve">                       </w:t>
      </w:r>
    </w:p>
    <w:p w14:paraId="4CB83E8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工程立项批准文号：</w:t>
      </w:r>
      <w:r>
        <w:rPr>
          <w:rFonts w:hint="eastAsia" w:ascii="宋体" w:hAnsi="宋体" w:eastAsia="宋体" w:cs="宋体"/>
          <w:color w:val="auto"/>
          <w:sz w:val="21"/>
          <w:szCs w:val="21"/>
          <w:highlight w:val="none"/>
          <w:u w:val="single"/>
        </w:rPr>
        <w:t xml:space="preserve">               </w:t>
      </w:r>
    </w:p>
    <w:p w14:paraId="6A643F17">
      <w:pPr>
        <w:spacing w:line="40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四、工程质量标准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工程质量符合合格及以上标准</w:t>
      </w:r>
    </w:p>
    <w:p w14:paraId="6F3332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五、合同金额</w:t>
      </w:r>
    </w:p>
    <w:p w14:paraId="4B9F1F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签约合同价与合同价格形式</w:t>
      </w:r>
    </w:p>
    <w:p w14:paraId="3238D1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286757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w:t>
      </w:r>
      <w:r>
        <w:rPr>
          <w:rFonts w:hint="eastAsia" w:ascii="宋体" w:hAnsi="宋体" w:eastAsia="宋体" w:cs="宋体"/>
          <w:color w:val="auto"/>
          <w:sz w:val="21"/>
          <w:szCs w:val="21"/>
          <w:highlight w:val="none"/>
          <w:u w:val="single"/>
        </w:rPr>
        <w:t>大写：（¥元）。</w:t>
      </w:r>
    </w:p>
    <w:p w14:paraId="5762BE0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人民币（大写</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p>
    <w:p w14:paraId="1E3FDF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8915A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r>
        <w:rPr>
          <w:rFonts w:hint="eastAsia" w:ascii="宋体" w:hAnsi="宋体" w:eastAsia="宋体" w:cs="宋体"/>
          <w:color w:val="auto"/>
          <w:sz w:val="21"/>
          <w:szCs w:val="21"/>
          <w:highlight w:val="none"/>
          <w:u w:val="single"/>
        </w:rPr>
        <w:t>人民币（大写）（¥元）；</w:t>
      </w:r>
    </w:p>
    <w:p w14:paraId="10A40896">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（2）材料和工程设备暂估价金额：</w:t>
      </w:r>
      <w:r>
        <w:rPr>
          <w:rFonts w:hint="eastAsia" w:ascii="宋体" w:hAnsi="宋体" w:eastAsia="宋体" w:cs="宋体"/>
          <w:color w:val="auto"/>
          <w:sz w:val="21"/>
          <w:szCs w:val="21"/>
          <w:highlight w:val="none"/>
          <w:u w:val="single"/>
        </w:rPr>
        <w:t>人民币（大写）（¥元）；</w:t>
      </w:r>
    </w:p>
    <w:p w14:paraId="1EB78EB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（3）专业工程暂估价金额：</w:t>
      </w:r>
      <w:r>
        <w:rPr>
          <w:rFonts w:hint="eastAsia" w:ascii="宋体" w:hAnsi="宋体" w:eastAsia="宋体" w:cs="宋体"/>
          <w:color w:val="auto"/>
          <w:sz w:val="21"/>
          <w:szCs w:val="21"/>
          <w:highlight w:val="none"/>
          <w:u w:val="single"/>
        </w:rPr>
        <w:t>人民币（大写）（¥元）；</w:t>
      </w:r>
    </w:p>
    <w:p w14:paraId="4831BF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r>
        <w:rPr>
          <w:rFonts w:hint="eastAsia" w:ascii="宋体" w:hAnsi="宋体" w:eastAsia="宋体" w:cs="宋体"/>
          <w:color w:val="auto"/>
          <w:sz w:val="21"/>
          <w:szCs w:val="21"/>
          <w:highlight w:val="none"/>
          <w:u w:val="single"/>
        </w:rPr>
        <w:t>人民币（大写）（¥元）；</w:t>
      </w:r>
    </w:p>
    <w:p w14:paraId="5C4A648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65E56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六、付款方式</w:t>
      </w:r>
    </w:p>
    <w:p w14:paraId="52ED93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E16C21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七、缺陷责任期</w:t>
      </w:r>
    </w:p>
    <w:p w14:paraId="448F27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360D05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2CE411A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八、施工日期、地点</w:t>
      </w:r>
    </w:p>
    <w:p w14:paraId="1FCF8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7C55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F24E8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3.合同工期日历日。</w:t>
      </w:r>
    </w:p>
    <w:p w14:paraId="6D6A810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九、合同生效</w:t>
      </w:r>
    </w:p>
    <w:p w14:paraId="2619AB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本合同自经双方法定代表人或其授权代表签字并加盖双方合同章后生效。</w:t>
      </w:r>
    </w:p>
    <w:p w14:paraId="69E7087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十、合同保存</w:t>
      </w:r>
    </w:p>
    <w:p w14:paraId="669A83E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8C4410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十一、关于政府采购合同融资</w:t>
      </w:r>
    </w:p>
    <w:p w14:paraId="6C9FE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57C3E4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w:t>
      </w:r>
      <w:r>
        <w:rPr>
          <w:rFonts w:hint="eastAsia" w:ascii="宋体" w:hAnsi="宋体" w:eastAsia="宋体" w:cs="宋体"/>
          <w:color w:val="auto"/>
          <w:sz w:val="21"/>
          <w:szCs w:val="21"/>
          <w:highlight w:val="none"/>
          <w:lang w:eastAsia="zh-CN"/>
        </w:rPr>
        <w:t>融资</w:t>
      </w:r>
      <w:r>
        <w:rPr>
          <w:rFonts w:hint="eastAsia" w:ascii="宋体" w:hAnsi="宋体" w:eastAsia="宋体" w:cs="宋体"/>
          <w:color w:val="auto"/>
          <w:sz w:val="21"/>
          <w:szCs w:val="21"/>
          <w:highlight w:val="none"/>
        </w:rPr>
        <w:t>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F4A93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37AF84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十二、权利瑕疵担保</w:t>
      </w:r>
    </w:p>
    <w:p w14:paraId="11E084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622F41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11E972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3.乙方应保证其所出售的标的物没有侵犯任何第三人的知识产权和商业秘密等权利；</w:t>
      </w:r>
    </w:p>
    <w:p w14:paraId="53C5E9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01A735A8">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   （公章）             发包人：   （公章）</w:t>
      </w:r>
    </w:p>
    <w:p w14:paraId="0B726D37">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法定代表人或其委托代理人：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法定代表人或其委托代理人：                 </w:t>
      </w:r>
    </w:p>
    <w:p w14:paraId="70DEE34A">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（签字）</w:t>
      </w:r>
    </w:p>
    <w:p w14:paraId="709761E5">
      <w:pPr>
        <w:autoSpaceDE w:val="0"/>
        <w:autoSpaceDN w:val="0"/>
        <w:adjustRightIn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154CD0C">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9446571">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4985B02">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575DF4C7">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796DEB9">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BDE7004">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76702B5">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106133FF">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p>
    <w:p w14:paraId="5D0E1FA2">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p>
    <w:p w14:paraId="5BB15E7A">
      <w:pPr>
        <w:autoSpaceDE w:val="0"/>
        <w:autoSpaceDN w:val="0"/>
        <w:adjustRightInd w:val="0"/>
        <w:spacing w:line="400" w:lineRule="exact"/>
        <w:rPr>
          <w:rFonts w:hint="eastAsia" w:ascii="宋体" w:hAnsi="宋体" w:eastAsia="宋体" w:cs="宋体"/>
          <w:color w:val="auto"/>
          <w:sz w:val="21"/>
          <w:szCs w:val="21"/>
          <w:highlight w:val="none"/>
          <w:u w:val="single"/>
        </w:rPr>
      </w:pPr>
    </w:p>
    <w:p w14:paraId="6A90AC90">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第二部分</w:t>
      </w:r>
      <w:r>
        <w:rPr>
          <w:rFonts w:hint="eastAsia" w:ascii="宋体" w:hAnsi="宋体" w:eastAsia="宋体" w:cs="宋体"/>
          <w:color w:val="auto"/>
          <w:sz w:val="21"/>
          <w:szCs w:val="21"/>
          <w:highlight w:val="none"/>
        </w:rPr>
        <w:t xml:space="preserve"> 通用条款</w:t>
      </w:r>
    </w:p>
    <w:p w14:paraId="4926BF3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参照住房和城乡建设部、国家工商行政管理总局制订的《建设工程施工合同》示范文本（</w:t>
      </w:r>
      <w:r>
        <w:rPr>
          <w:rFonts w:hint="eastAsia" w:ascii="宋体" w:hAnsi="宋体" w:eastAsia="宋体" w:cs="宋体"/>
          <w:color w:val="auto"/>
          <w:sz w:val="21"/>
          <w:szCs w:val="21"/>
          <w:highlight w:val="none"/>
        </w:rPr>
        <w:t>GF-2017-0201</w:t>
      </w:r>
      <w:r>
        <w:rPr>
          <w:rFonts w:hint="eastAsia" w:ascii="宋体" w:hAnsi="宋体" w:eastAsia="宋体" w:cs="宋体"/>
          <w:color w:val="auto"/>
          <w:sz w:val="21"/>
          <w:szCs w:val="21"/>
          <w:highlight w:val="none"/>
          <w:lang w:val="zh-CN"/>
        </w:rPr>
        <w:t>）。</w:t>
      </w:r>
    </w:p>
    <w:p w14:paraId="35140CCF">
      <w:pPr>
        <w:spacing w:line="400" w:lineRule="exact"/>
        <w:jc w:val="center"/>
        <w:rPr>
          <w:rFonts w:hint="eastAsia" w:ascii="宋体" w:hAnsi="宋体" w:eastAsia="宋体" w:cs="宋体"/>
          <w:color w:val="auto"/>
          <w:sz w:val="21"/>
          <w:szCs w:val="21"/>
          <w:highlight w:val="none"/>
        </w:rPr>
      </w:pPr>
    </w:p>
    <w:p w14:paraId="5F07BC0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专用条款</w:t>
      </w:r>
    </w:p>
    <w:p w14:paraId="1733569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一般约定</w:t>
      </w:r>
    </w:p>
    <w:p w14:paraId="70F62E0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 词语定义</w:t>
      </w:r>
    </w:p>
    <w:p w14:paraId="1CAAB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合同</w:t>
      </w:r>
    </w:p>
    <w:p w14:paraId="0CCD4C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其他合同文件包括：合同履行过程中经发包人、承包人共同书面确认的，与工程有关的补充协议、设计变更、工程签证等资料。</w:t>
      </w:r>
    </w:p>
    <w:p w14:paraId="5D90555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 合同当事人及其他相关方</w:t>
      </w:r>
    </w:p>
    <w:p w14:paraId="6A015C5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 xml:space="preserve"> 监理人：</w:t>
      </w:r>
    </w:p>
    <w:p w14:paraId="0EBF55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40A2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25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B238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041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2B7A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zh-CN"/>
        </w:rPr>
        <w:t>设计人：</w:t>
      </w:r>
    </w:p>
    <w:p w14:paraId="0D0386E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504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232D1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4806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B73E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6104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1.1.3 工程和设备</w:t>
      </w:r>
    </w:p>
    <w:p w14:paraId="66615D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97CB2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8531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0A66FD">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1.3 法律</w:t>
      </w:r>
    </w:p>
    <w:p w14:paraId="225C21D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适用于合同的其他规范性文件：</w:t>
      </w:r>
      <w:r>
        <w:rPr>
          <w:rFonts w:hint="eastAsia" w:ascii="宋体" w:hAnsi="宋体" w:eastAsia="宋体" w:cs="宋体"/>
          <w:color w:val="auto"/>
          <w:sz w:val="21"/>
          <w:szCs w:val="21"/>
          <w:highlight w:val="none"/>
        </w:rPr>
        <w:t xml:space="preserve"> 。       </w:t>
      </w:r>
    </w:p>
    <w:p w14:paraId="41B7AD51">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1.4 标准和规范</w:t>
      </w:r>
    </w:p>
    <w:p w14:paraId="7B0C629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1.4.1适用于工程的标准规范包括：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2CE9515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4.2 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119EAFC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发包人提供国外标准、规范的份数：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5E8A4E3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8A474D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1.4.3 发包人对工程的技术标准和功能要求的特殊要求：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B894AC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1.5 合同文件的优先顺序</w:t>
      </w:r>
    </w:p>
    <w:p w14:paraId="7C2C12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合同文件组成及优先顺序为：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9C0837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1.6 图纸和承包人文件</w:t>
      </w:r>
    </w:p>
    <w:p w14:paraId="7C740C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1.6.1 图纸的提供</w:t>
      </w:r>
    </w:p>
    <w:p w14:paraId="5A1048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AEEF6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56824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A1D77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1.6.4 承包人文件</w:t>
      </w:r>
    </w:p>
    <w:p w14:paraId="2D3E029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需要由承包人提供的文件，包括：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588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E09D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承包人提供的文件的数量为：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72E8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D053C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FDAF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.5 现场图纸准备</w:t>
      </w:r>
    </w:p>
    <w:p w14:paraId="6145B2E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关于现场图纸准备的约定：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8A4BE4">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联络</w:t>
      </w:r>
    </w:p>
    <w:p w14:paraId="1BEBC3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1.7.1 发包人和承包人应当在7天内将与合同有关的通知、批准、证明、证书、指示、指令、要求、请求、同意、意见、确定和决定等书面函件送达对方当事人。</w:t>
      </w:r>
    </w:p>
    <w:p w14:paraId="698A84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A33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B6DEC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149C1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F2087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18AB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F652C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zh-CN"/>
        </w:rPr>
        <w:t xml:space="preserve"> 交通运输</w:t>
      </w:r>
    </w:p>
    <w:p w14:paraId="6A7B9E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出入现场的权利</w:t>
      </w:r>
    </w:p>
    <w:p w14:paraId="32FBE8F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关于出入现场的权利的约定：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78F5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场内交通</w:t>
      </w:r>
    </w:p>
    <w:p w14:paraId="0F0371B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关于场外交通和场内交通的边界的约定：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6E8F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97BF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超大件和超重件的运输</w:t>
      </w:r>
    </w:p>
    <w:p w14:paraId="3A44C1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00C39ED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zh-CN"/>
        </w:rPr>
        <w:t xml:space="preserve"> 知识产权</w:t>
      </w:r>
    </w:p>
    <w:p w14:paraId="4997073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1F0068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506A46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.2 关于承包人为实施工程所编制文件的著作权的归属：</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3840223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50D3E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承包人在施工过程中所采用的专利、专有技术、技术</w:t>
      </w:r>
    </w:p>
    <w:p w14:paraId="0996F93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秘密使用费的承担方式：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4D8D6ED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zh-CN"/>
        </w:rPr>
        <w:t xml:space="preserve"> 工程量清单错误的修正</w:t>
      </w:r>
    </w:p>
    <w:p w14:paraId="128CC5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222A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允许调整合同价格的工程量偏差范围：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CE74B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2.发包人</w:t>
      </w:r>
    </w:p>
    <w:p w14:paraId="053E375E">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 xml:space="preserve"> 发包人代表</w:t>
      </w:r>
    </w:p>
    <w:p w14:paraId="579E4B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F24E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2A7F6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7DED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FD327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58EE2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A709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0354E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47BF2">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zh-CN"/>
        </w:rPr>
        <w:t xml:space="preserve"> 施工现场、施工条件和基础资料的提供</w:t>
      </w:r>
    </w:p>
    <w:p w14:paraId="45A6338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.1 提供施工现场</w:t>
      </w:r>
    </w:p>
    <w:p w14:paraId="703FE04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5F04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.2 提供施工条件</w:t>
      </w:r>
    </w:p>
    <w:p w14:paraId="255E20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关于发包人应负责提供施工所需要的条件，包括：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A19AA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 xml:space="preserve"> 资金来源证明及支付担保</w:t>
      </w:r>
    </w:p>
    <w:p w14:paraId="3BE9F27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发包人提供资金来源证明的期限要求：</w:t>
      </w:r>
    </w:p>
    <w:p w14:paraId="3F847D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发包人是否提供支付担保：</w:t>
      </w:r>
    </w:p>
    <w:p w14:paraId="0DA6E9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发包人提供支付担保的形式：</w:t>
      </w:r>
    </w:p>
    <w:p w14:paraId="55E791D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 承包人</w:t>
      </w:r>
    </w:p>
    <w:p w14:paraId="08F1D0B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3.1 承包人的一般义务</w:t>
      </w:r>
    </w:p>
    <w:p w14:paraId="2F9A67D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C1DD8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FDAA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A44B2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1E07A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9894A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32216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3.2项目经理</w:t>
      </w:r>
    </w:p>
    <w:p w14:paraId="41FDCC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3.2.1项目经理：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C3D4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1E12B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4E2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1EF1E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D1FAC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6280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2DB8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51F0F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F204E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78571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656FD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承包人擅自更换项目经理的违约责任：</w:t>
      </w:r>
    </w:p>
    <w:p w14:paraId="487F7155">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发生一次扣减其合同价款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元，发生两次及以上，发包人有权单方面终止合同，因此造成的损失由承包人承担。</w:t>
      </w:r>
    </w:p>
    <w:p w14:paraId="7606C4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承包人无正当理由拒绝更换项目经理的违约责任：</w:t>
      </w:r>
    </w:p>
    <w:p w14:paraId="64BAF37A">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single"/>
          <w:lang w:val="zh-CN"/>
        </w:rPr>
        <w:t>发生一次性扣减其合同价款    元，发生两次及以上，发包人有权单方面终止合同，因此造成的损失由承包人承担</w:t>
      </w:r>
      <w:r>
        <w:rPr>
          <w:rFonts w:hint="eastAsia" w:ascii="宋体" w:hAnsi="宋体" w:eastAsia="宋体" w:cs="宋体"/>
          <w:color w:val="auto"/>
          <w:sz w:val="21"/>
          <w:szCs w:val="21"/>
          <w:highlight w:val="none"/>
          <w:lang w:val="zh-CN"/>
        </w:rPr>
        <w:t>。</w:t>
      </w:r>
    </w:p>
    <w:p w14:paraId="61B9797C">
      <w:pPr>
        <w:autoSpaceDE w:val="0"/>
        <w:autoSpaceDN w:val="0"/>
        <w:adjustRightInd w:val="0"/>
        <w:spacing w:line="400" w:lineRule="exact"/>
        <w:ind w:firstLine="48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3.3承包人人员</w:t>
      </w:r>
    </w:p>
    <w:p w14:paraId="06A99016">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3.3.1承包人提交项目管理机构及施工现场管理人员安排报告的期限：</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   </w:t>
      </w:r>
    </w:p>
    <w:p w14:paraId="7C1303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3.3.2承包人无正当理由拒绝撤换主要施工管理人员的违约责任：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w:t>
      </w:r>
    </w:p>
    <w:p w14:paraId="43C117EC">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3.3.3承包人主要施工管理人员离开施工现场的批准要求：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9B8AF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3.3.4承包人擅自更换主要施工管理人员的违约责任：</w:t>
      </w:r>
    </w:p>
    <w:p w14:paraId="4531F139">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发生一人次扣减其合同价款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元，承包人应立即提供符合发包人要求的管理人员。发生两次及以上，发包人有权单方面解除合同，因此造成的损失由承包人承担。</w:t>
      </w:r>
    </w:p>
    <w:p w14:paraId="0433796D">
      <w:pPr>
        <w:autoSpaceDE w:val="0"/>
        <w:autoSpaceDN w:val="0"/>
        <w:adjustRightInd w:val="0"/>
        <w:spacing w:line="400" w:lineRule="exact"/>
        <w:ind w:firstLine="482"/>
        <w:rPr>
          <w:rFonts w:hint="eastAsia" w:ascii="宋体" w:hAnsi="宋体" w:eastAsia="宋体" w:cs="宋体"/>
          <w:b/>
          <w:color w:val="auto"/>
          <w:sz w:val="21"/>
          <w:szCs w:val="21"/>
          <w:highlight w:val="none"/>
          <w:u w:val="single"/>
          <w:lang w:val="zh-CN"/>
        </w:rPr>
      </w:pPr>
      <w:r>
        <w:rPr>
          <w:rFonts w:hint="eastAsia" w:ascii="宋体" w:hAnsi="宋体" w:eastAsia="宋体" w:cs="宋体"/>
          <w:b/>
          <w:color w:val="auto"/>
          <w:sz w:val="21"/>
          <w:szCs w:val="21"/>
          <w:highlight w:val="none"/>
          <w:lang w:val="zh-CN"/>
        </w:rPr>
        <w:t>3.4分包</w:t>
      </w:r>
    </w:p>
    <w:p w14:paraId="240905BA">
      <w:pPr>
        <w:autoSpaceDE w:val="0"/>
        <w:autoSpaceDN w:val="0"/>
        <w:adjustRightInd w:val="0"/>
        <w:spacing w:line="400" w:lineRule="exact"/>
        <w:ind w:firstLine="482"/>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3.4.1分包的一般约定</w:t>
      </w:r>
    </w:p>
    <w:p w14:paraId="2B2535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FF28CE">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9AA2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3.4.2分包的确定</w:t>
      </w:r>
    </w:p>
    <w:p w14:paraId="3181A6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2A72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9AD23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3.4.3分包合同价款</w:t>
      </w:r>
    </w:p>
    <w:p w14:paraId="704C72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3E14F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3.5工程照管与成品、半成品保护</w:t>
      </w:r>
    </w:p>
    <w:p w14:paraId="44CC07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D2891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4监理人</w:t>
      </w:r>
    </w:p>
    <w:p w14:paraId="6CAB2CE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4.1监理人的一般规定</w:t>
      </w:r>
    </w:p>
    <w:p w14:paraId="3FDF78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A458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9F4C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649673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4.2商定或确定</w:t>
      </w:r>
    </w:p>
    <w:p w14:paraId="08468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580025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6726A9E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13F3C4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D6EAFF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5.工程质量</w:t>
      </w:r>
    </w:p>
    <w:p w14:paraId="761A224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5.1质量要求</w:t>
      </w:r>
    </w:p>
    <w:p w14:paraId="705E81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AF45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关于工程奖励的约定：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EA025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5.2隐蔽工程检查</w:t>
      </w:r>
    </w:p>
    <w:p w14:paraId="2245057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5.2.1承包人提前通知监理人隐蔽工程检查的期限约定：</w:t>
      </w:r>
    </w:p>
    <w:p w14:paraId="3EA67F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ACBF2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68E1DF6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6安全文明施工与环境保护：</w:t>
      </w:r>
    </w:p>
    <w:p w14:paraId="3C7683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6.1安全文明施工</w:t>
      </w:r>
    </w:p>
    <w:p w14:paraId="4A33D78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31B8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8AFD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F707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6.1.4文明施工</w:t>
      </w:r>
    </w:p>
    <w:p w14:paraId="2801EBC8">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p>
    <w:p w14:paraId="19F8E70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1A42B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7.工期和进度</w:t>
      </w:r>
    </w:p>
    <w:p w14:paraId="0EAA7D9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7.1施工组织设计</w:t>
      </w:r>
    </w:p>
    <w:p w14:paraId="605B60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7.1.1合同当事人约定的施工组织设计应包括的其他内容：</w:t>
      </w:r>
    </w:p>
    <w:p w14:paraId="10E9D2B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w:t>
      </w:r>
      <w:r>
        <w:rPr>
          <w:rFonts w:hint="eastAsia" w:ascii="宋体" w:hAnsi="宋体" w:eastAsia="宋体" w:cs="宋体"/>
          <w:color w:val="auto"/>
          <w:sz w:val="21"/>
          <w:szCs w:val="21"/>
          <w:highlight w:val="none"/>
          <w:lang w:eastAsia="zh-CN"/>
        </w:rPr>
        <w:t>劳动力资源</w:t>
      </w:r>
      <w:r>
        <w:rPr>
          <w:rFonts w:hint="eastAsia" w:ascii="宋体" w:hAnsi="宋体" w:eastAsia="宋体" w:cs="宋体"/>
          <w:color w:val="auto"/>
          <w:sz w:val="21"/>
          <w:szCs w:val="21"/>
          <w:highlight w:val="none"/>
        </w:rPr>
        <w:t>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w:t>
      </w:r>
      <w:r>
        <w:rPr>
          <w:rFonts w:hint="eastAsia" w:ascii="宋体" w:hAnsi="宋体" w:eastAsia="宋体" w:cs="宋体"/>
          <w:color w:val="auto"/>
          <w:sz w:val="21"/>
          <w:szCs w:val="21"/>
          <w:highlight w:val="none"/>
          <w:lang w:eastAsia="zh-CN"/>
        </w:rPr>
        <w:t>容由</w:t>
      </w:r>
      <w:r>
        <w:rPr>
          <w:rFonts w:hint="eastAsia" w:ascii="宋体" w:hAnsi="宋体" w:eastAsia="宋体" w:cs="宋体"/>
          <w:color w:val="auto"/>
          <w:sz w:val="21"/>
          <w:szCs w:val="21"/>
          <w:highlight w:val="none"/>
        </w:rPr>
        <w:t>承包人结合项目概况自行编制。</w:t>
      </w:r>
    </w:p>
    <w:p w14:paraId="2238F56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7.1.2施工组织设计的提交和修改</w:t>
      </w:r>
    </w:p>
    <w:p w14:paraId="61E9DD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458B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p>
    <w:p w14:paraId="653083F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7.2施工进度计划</w:t>
      </w:r>
    </w:p>
    <w:p w14:paraId="60BCF4C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7.2.1施工进度计划的修订</w:t>
      </w:r>
    </w:p>
    <w:p w14:paraId="15C298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p>
    <w:p w14:paraId="4092F2F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7.3开工</w:t>
      </w:r>
    </w:p>
    <w:p w14:paraId="5A7AD21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7.3.1开工准备</w:t>
      </w:r>
    </w:p>
    <w:p w14:paraId="3A4376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B1AE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0BDD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F6A49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7.3.2开工通知</w:t>
      </w:r>
    </w:p>
    <w:p w14:paraId="749DD72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天内发出开工通知的，承包人有权提出价格调整协商要求，协商不成的，双方均有权解除合同，双方互不追究违约责任。</w:t>
      </w:r>
    </w:p>
    <w:p w14:paraId="5B8DA15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7.4测量放线</w:t>
      </w:r>
    </w:p>
    <w:p w14:paraId="7D5A4ED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7.4.1发包人通知监理人向承包人提供测量基准点、基准线和水准线及其书面资料的期限：</w:t>
      </w:r>
    </w:p>
    <w:p w14:paraId="50A66C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7.5工期延误</w:t>
      </w:r>
    </w:p>
    <w:p w14:paraId="3C60540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7.5.1因发包人原因导致工期延误</w:t>
      </w:r>
    </w:p>
    <w:p w14:paraId="288047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6445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7.5.2因承包人原因导致工期延期，逾期竣工违约金的</w:t>
      </w:r>
      <w:r>
        <w:rPr>
          <w:rFonts w:hint="eastAsia" w:ascii="宋体" w:hAnsi="宋体" w:eastAsia="宋体" w:cs="宋体"/>
          <w:color w:val="auto"/>
          <w:sz w:val="21"/>
          <w:szCs w:val="21"/>
          <w:highlight w:val="none"/>
          <w:lang w:eastAsia="zh-CN"/>
        </w:rPr>
        <w:t>计算</w:t>
      </w:r>
      <w:r>
        <w:rPr>
          <w:rFonts w:hint="eastAsia" w:ascii="宋体" w:hAnsi="宋体" w:eastAsia="宋体" w:cs="宋体"/>
          <w:color w:val="auto"/>
          <w:sz w:val="21"/>
          <w:szCs w:val="21"/>
          <w:highlight w:val="none"/>
        </w:rPr>
        <w:t>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0DFB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E226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7.6不利物质条件</w:t>
      </w:r>
    </w:p>
    <w:p w14:paraId="6F00F30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6486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14:paraId="0BACE7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1C7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2D24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8.材料与设备</w:t>
      </w:r>
    </w:p>
    <w:p w14:paraId="043187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8.1材料与设备的保管与使用</w:t>
      </w:r>
    </w:p>
    <w:p w14:paraId="728FC3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8706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8.2样品</w:t>
      </w:r>
    </w:p>
    <w:p w14:paraId="330E2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39241A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363B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8.6.2施工设备和临时设备</w:t>
      </w:r>
    </w:p>
    <w:p w14:paraId="7581E4F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承包人提供的施工设备和临时设备，关于修建临时设备费用承担的约定：</w:t>
      </w:r>
    </w:p>
    <w:p w14:paraId="734A06C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9.试验与检验</w:t>
      </w:r>
    </w:p>
    <w:p w14:paraId="040791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9.1试验设备与试验人员</w:t>
      </w:r>
    </w:p>
    <w:p w14:paraId="7478D9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试验设备</w:t>
      </w:r>
    </w:p>
    <w:p w14:paraId="728F1A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C429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71F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BD9A0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9.2现场工艺试验</w:t>
      </w:r>
    </w:p>
    <w:p w14:paraId="2040E42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E70D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10.变更</w:t>
      </w:r>
    </w:p>
    <w:p w14:paraId="53B5BC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4640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10.2变更估价</w:t>
      </w:r>
    </w:p>
    <w:p w14:paraId="4EEECC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1FEE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10.3承包人的合理化建议</w:t>
      </w:r>
    </w:p>
    <w:p w14:paraId="11B09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556E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4B931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07CD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10.4暂估价</w:t>
      </w:r>
    </w:p>
    <w:p w14:paraId="3C74DEB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暂估价材料和工程设备的明细详见附件《暂估价一览表》</w:t>
      </w:r>
    </w:p>
    <w:p w14:paraId="68B346B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w:t>
      </w:r>
    </w:p>
    <w:p w14:paraId="76A90EB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CA4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10.5暂列金额</w:t>
      </w:r>
    </w:p>
    <w:p w14:paraId="4DA543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5036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11.价格调整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8401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12.合同价格形式</w:t>
      </w:r>
    </w:p>
    <w:p w14:paraId="1C2C0AA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1.单价合同：</w:t>
      </w:r>
    </w:p>
    <w:p w14:paraId="4B162E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0813A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626971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5F86A68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14:paraId="306076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6261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DF1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D02B7D">
      <w:pPr>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3.其他价格方式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4DEB241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12.2预付款</w:t>
      </w:r>
    </w:p>
    <w:p w14:paraId="488A6AB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12.2.1预付款的支付</w:t>
      </w:r>
    </w:p>
    <w:p w14:paraId="26C9D04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0B14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35CF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1F2C3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12.2计量</w:t>
      </w:r>
    </w:p>
    <w:p w14:paraId="1A958AE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计量原则</w:t>
      </w:r>
    </w:p>
    <w:p w14:paraId="2B8DD6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AE3A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计量周期</w:t>
      </w:r>
    </w:p>
    <w:p w14:paraId="0948F7E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B2EE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单价合同的计量</w:t>
      </w:r>
    </w:p>
    <w:p w14:paraId="758CEF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48F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总价合同的计量</w:t>
      </w:r>
    </w:p>
    <w:p w14:paraId="727ADE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014F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总价合同采用支付分解表计量支付的，是否</w:t>
      </w:r>
      <w:r>
        <w:rPr>
          <w:rFonts w:hint="eastAsia" w:ascii="宋体" w:hAnsi="宋体" w:eastAsia="宋体" w:cs="宋体"/>
          <w:color w:val="auto"/>
          <w:sz w:val="21"/>
          <w:szCs w:val="21"/>
          <w:highlight w:val="none"/>
          <w:lang w:eastAsia="zh-CN"/>
        </w:rPr>
        <w:t>适用</w:t>
      </w:r>
      <w:r>
        <w:rPr>
          <w:rFonts w:hint="eastAsia" w:ascii="宋体" w:hAnsi="宋体" w:eastAsia="宋体" w:cs="宋体"/>
          <w:color w:val="auto"/>
          <w:sz w:val="21"/>
          <w:szCs w:val="21"/>
          <w:highlight w:val="none"/>
        </w:rPr>
        <w:t>《总价合同的计量》约定：</w:t>
      </w:r>
    </w:p>
    <w:p w14:paraId="7C265D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其他价格形式合同的计量</w:t>
      </w:r>
    </w:p>
    <w:p w14:paraId="3C21A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F568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12.3工程进度款支付</w:t>
      </w:r>
    </w:p>
    <w:p w14:paraId="6225B6F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付款周期</w:t>
      </w:r>
    </w:p>
    <w:p w14:paraId="2BECA1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1D1D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12.3.2进度付款申请单的编制</w:t>
      </w:r>
    </w:p>
    <w:p w14:paraId="6B75F90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关于付款进度申请单编制的约定：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D5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12.3.3进度付款申请的提交</w:t>
      </w:r>
    </w:p>
    <w:p w14:paraId="7F606DF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6C500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351A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其他价格形式合同进度付款单提交的约定：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5271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12.4进度款审核和支付</w:t>
      </w:r>
    </w:p>
    <w:p w14:paraId="13EF5F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4D97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发包人完成审批并签发进度款支付证书的期限：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9B9F3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78F4D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12.4.1支付分解表的编制</w:t>
      </w:r>
    </w:p>
    <w:p w14:paraId="302A3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20E0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DB6DC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13.验收和工程试车</w:t>
      </w:r>
    </w:p>
    <w:p w14:paraId="291928C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13.1分部分项工程验收</w:t>
      </w:r>
    </w:p>
    <w:p w14:paraId="01D6FE24">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0B4120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1F4974F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13.2竣工验收</w:t>
      </w:r>
    </w:p>
    <w:p w14:paraId="64F34F8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13.2.1竣工验收程序</w:t>
      </w:r>
    </w:p>
    <w:p w14:paraId="7A9BED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679D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20DC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13.2.2移交、接收全部与部分工程</w:t>
      </w:r>
    </w:p>
    <w:p w14:paraId="3F858CE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承包人向发包人移交工期的期限：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844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发包人未按本合同约定接收全部或部分工程的，违约金计算方式：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5E08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18356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13.3工程试车</w:t>
      </w:r>
    </w:p>
    <w:p w14:paraId="16FBA15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13.1.1试车程序</w:t>
      </w:r>
    </w:p>
    <w:p w14:paraId="53F734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9EE3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1单机无负荷试车费用由承担</w:t>
      </w:r>
    </w:p>
    <w:p w14:paraId="1634A9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2无负荷联动试车费用由承担</w:t>
      </w:r>
    </w:p>
    <w:p w14:paraId="502F39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13.3.2投料试车</w:t>
      </w:r>
    </w:p>
    <w:p w14:paraId="2D795F9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28A8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13.4竣工退场</w:t>
      </w:r>
    </w:p>
    <w:p w14:paraId="17C6E43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承包人完成竣工退场的期限：发包人在接收过程中所发生的建筑垃圾清运费、搬迁费等实际损失由承包人按照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1CA509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14.竣工结算</w:t>
      </w:r>
    </w:p>
    <w:p w14:paraId="7E462A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14.1竣工结算申请</w:t>
      </w:r>
    </w:p>
    <w:p w14:paraId="763949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E079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3C127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14.2竣工结算审核</w:t>
      </w:r>
    </w:p>
    <w:p w14:paraId="35945A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CDFE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85B94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p>
    <w:p w14:paraId="4507AB5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14.3最终结清</w:t>
      </w:r>
    </w:p>
    <w:p w14:paraId="360EA5E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14.3.1最终结清申请单</w:t>
      </w:r>
    </w:p>
    <w:p w14:paraId="4371E9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230A9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承包人提交最终结束申请单的期限：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C43D2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14.3.2最终结清证书和支付</w:t>
      </w:r>
    </w:p>
    <w:p w14:paraId="6C54D8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发包人完成最终结清申请单的审批并颁发最终结清申请书的期限：</w:t>
      </w:r>
    </w:p>
    <w:p w14:paraId="75EF64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57F7A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15.缺陷责任期限与保修</w:t>
      </w:r>
    </w:p>
    <w:p w14:paraId="00BD93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15.1缺陷责任期的具体日期：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B9D6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15.2根据许</w:t>
      </w:r>
      <w:r>
        <w:rPr>
          <w:rFonts w:hint="eastAsia" w:ascii="宋体" w:hAnsi="宋体" w:eastAsia="宋体" w:cs="宋体"/>
          <w:b/>
          <w:color w:val="auto"/>
          <w:sz w:val="21"/>
          <w:szCs w:val="21"/>
          <w:highlight w:val="none"/>
          <w:lang w:eastAsia="zh-CN"/>
        </w:rPr>
        <w:t>昌市</w:t>
      </w:r>
      <w:r>
        <w:rPr>
          <w:rFonts w:hint="eastAsia" w:ascii="宋体" w:hAnsi="宋体" w:eastAsia="宋体" w:cs="宋体"/>
          <w:b/>
          <w:color w:val="auto"/>
          <w:sz w:val="21"/>
          <w:szCs w:val="21"/>
          <w:highlight w:val="none"/>
        </w:rPr>
        <w:t>优化政府采购营商环境要求，不收取工程质量保证金。</w:t>
      </w:r>
    </w:p>
    <w:p w14:paraId="14C2860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15.3保修</w:t>
      </w:r>
    </w:p>
    <w:p w14:paraId="7EA04C9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15.3.1保修责任</w:t>
      </w:r>
    </w:p>
    <w:p w14:paraId="592C7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E67B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15.3.2修复通知</w:t>
      </w:r>
    </w:p>
    <w:p w14:paraId="4204EC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C52D4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16.违约</w:t>
      </w:r>
    </w:p>
    <w:p w14:paraId="6E3C78C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16.1发包人违约</w:t>
      </w:r>
    </w:p>
    <w:p w14:paraId="0360FE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945F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26BCB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16.1.2发包人违约的责任</w:t>
      </w:r>
    </w:p>
    <w:p w14:paraId="7AEB6D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177785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w:t>
      </w:r>
    </w:p>
    <w:p w14:paraId="1B0A3BA4">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因发包人原因未能按合同约定支付合同价款的违约责任：</w:t>
      </w:r>
    </w:p>
    <w:p w14:paraId="626376A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发包人违法变更范围，自行实施被取消的工作或转由他人实施的违约责任：</w:t>
      </w:r>
    </w:p>
    <w:p w14:paraId="130972FC">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发包人提供的材料、工程设备的规格、数量或质量不符合合同约定，或因发包人原因导致交货日期延误或交货地点变更等情况的违约责任：</w:t>
      </w:r>
    </w:p>
    <w:p w14:paraId="693364D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因发包人违反合同约定造成暂停施工的违约责任：</w:t>
      </w:r>
    </w:p>
    <w:p w14:paraId="1AC7A15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发包人无正当理由没有在约定期限内发出复工指示，导致承包人无法复工的违约责任。</w:t>
      </w:r>
    </w:p>
    <w:p w14:paraId="22B3BE63">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16.2承包人违约</w:t>
      </w:r>
    </w:p>
    <w:p w14:paraId="6C2E9A37">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16.2.1承包人违约的情形</w:t>
      </w:r>
    </w:p>
    <w:p w14:paraId="241F686B">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F9389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16.2.2 承包人违约的责任</w:t>
      </w:r>
    </w:p>
    <w:p w14:paraId="6E74D0E0">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承包人违约责任的承担方式和计算方法：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7A9FCD">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16.2.3 因承包人违约解除合同</w:t>
      </w:r>
    </w:p>
    <w:p w14:paraId="6AC9BF6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关于承包人违约解除合同的特别约定：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DE20B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62D236">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不可抗力</w:t>
      </w:r>
    </w:p>
    <w:p w14:paraId="03CAD8BE">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17.1 不可抗力的确认</w:t>
      </w:r>
    </w:p>
    <w:p w14:paraId="305DDC3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除通用合同条款约定的不可抗力事件之外，视为不可抗力的</w:t>
      </w:r>
    </w:p>
    <w:p w14:paraId="0C0087B8">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C6AC0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17.2 因不可抗力解除合同</w:t>
      </w:r>
    </w:p>
    <w:p w14:paraId="3A3701E6">
      <w:pPr>
        <w:spacing w:line="400" w:lineRule="exact"/>
        <w:ind w:left="319" w:leftChars="152" w:firstLine="3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pacing w:val="50"/>
          <w:kern w:val="0"/>
          <w:sz w:val="21"/>
          <w:szCs w:val="21"/>
          <w:highlight w:val="none"/>
          <w:fitText w:val="7680" w:id="24142021"/>
          <w:lang w:val="zh-CN"/>
        </w:rPr>
        <w:t>合同解除后，发包人应在商定或确定发包人应支付款项</w:t>
      </w:r>
      <w:r>
        <w:rPr>
          <w:rFonts w:hint="eastAsia" w:ascii="宋体" w:hAnsi="宋体" w:eastAsia="宋体" w:cs="宋体"/>
          <w:color w:val="auto"/>
          <w:spacing w:val="15"/>
          <w:kern w:val="0"/>
          <w:sz w:val="21"/>
          <w:szCs w:val="21"/>
          <w:highlight w:val="none"/>
          <w:fitText w:val="7680" w:id="24142021"/>
          <w:lang w:val="zh-CN"/>
        </w:rPr>
        <w:t>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zh-CN"/>
        </w:rPr>
        <w:t>天内完成款项的支付。</w:t>
      </w:r>
    </w:p>
    <w:p w14:paraId="08D11409">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18. 保险</w:t>
      </w:r>
    </w:p>
    <w:p w14:paraId="3573BD2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18.1 工程保险</w:t>
      </w:r>
    </w:p>
    <w:p w14:paraId="4139311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关于工程保险的特别约定：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B9363C">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18.2 其他保险</w:t>
      </w:r>
    </w:p>
    <w:p w14:paraId="0C405E7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关于其他保险的约定：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0717F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5E052">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18.3 通知义务</w:t>
      </w:r>
    </w:p>
    <w:p w14:paraId="28BF83C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CDFB44">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 争议解决</w:t>
      </w:r>
    </w:p>
    <w:p w14:paraId="1682E4E2">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19.1 争议评审</w:t>
      </w:r>
    </w:p>
    <w:p w14:paraId="75F15915">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合同当事人是否同意将工程争议提交争议评审小组决定：</w:t>
      </w:r>
    </w:p>
    <w:p w14:paraId="10A8E4C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19.1.1 争议评审小组的确定</w:t>
      </w:r>
    </w:p>
    <w:p w14:paraId="74A3A80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争议评审小组成员确定：</w:t>
      </w:r>
    </w:p>
    <w:p w14:paraId="57B4B5E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选定争议评审员的期限：</w:t>
      </w:r>
    </w:p>
    <w:p w14:paraId="700E380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争议评审小组成员的报酬承担方式：</w:t>
      </w:r>
    </w:p>
    <w:p w14:paraId="253C7939">
      <w:pPr>
        <w:spacing w:line="400" w:lineRule="exact"/>
        <w:ind w:left="638" w:leftChars="3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其他事项的约定：</w:t>
      </w:r>
    </w:p>
    <w:p w14:paraId="49152B21">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19.1.2 争议评审小组的决定</w:t>
      </w:r>
    </w:p>
    <w:p w14:paraId="52E00744">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合同当事人关于本项的约定：</w:t>
      </w:r>
    </w:p>
    <w:p w14:paraId="7262D7B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19.2 仲裁或诉讼</w:t>
      </w:r>
    </w:p>
    <w:p w14:paraId="7D32E90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19.2.1 争议的解决程序</w:t>
      </w:r>
    </w:p>
    <w:p w14:paraId="426015B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在争议提交调解之日起30日内，双方仍存在争议时，或合同任何一方不同意调解的，在以下方式中选择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作</w:t>
      </w:r>
      <w:r>
        <w:rPr>
          <w:rFonts w:hint="eastAsia" w:ascii="宋体" w:hAnsi="宋体" w:eastAsia="宋体" w:cs="宋体"/>
          <w:color w:val="auto"/>
          <w:sz w:val="21"/>
          <w:szCs w:val="21"/>
          <w:highlight w:val="none"/>
          <w:lang w:val="zh-CN"/>
        </w:rPr>
        <w:t>为双方解决争议事项的约定。</w:t>
      </w:r>
    </w:p>
    <w:p w14:paraId="55C3E3F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）提交许昌市仲裁委员会，按照申请仲裁时该会有效的仲裁规则进行仲裁。仲裁裁决是终局的，对双方均有约束力。</w:t>
      </w:r>
    </w:p>
    <w:p w14:paraId="0CFF31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）向项目所在地具有管辖权所在地人民法院提起诉讼。</w:t>
      </w:r>
    </w:p>
    <w:p w14:paraId="77A04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合同争议的最终解决方式，向项目所在地人民法院提起诉讼，作为双方解决争议事项的约定。</w:t>
      </w:r>
    </w:p>
    <w:p w14:paraId="69CAAF9A">
      <w:pPr>
        <w:pStyle w:val="9"/>
        <w:spacing w:line="360" w:lineRule="auto"/>
        <w:contextualSpacing/>
        <w:jc w:val="center"/>
        <w:rPr>
          <w:rFonts w:hint="eastAsia" w:ascii="宋体" w:hAnsi="宋体" w:eastAsia="宋体" w:cs="宋体"/>
          <w:b/>
          <w:color w:val="auto"/>
          <w:kern w:val="0"/>
          <w:sz w:val="21"/>
          <w:szCs w:val="21"/>
          <w:highlight w:val="none"/>
        </w:rPr>
      </w:pPr>
    </w:p>
    <w:p w14:paraId="0D081218">
      <w:pPr>
        <w:pStyle w:val="9"/>
        <w:spacing w:line="360" w:lineRule="auto"/>
        <w:contextualSpacing/>
        <w:jc w:val="center"/>
        <w:rPr>
          <w:rFonts w:hint="eastAsia" w:ascii="宋体" w:hAnsi="宋体" w:eastAsia="宋体" w:cs="宋体"/>
          <w:b/>
          <w:color w:val="auto"/>
          <w:kern w:val="0"/>
          <w:sz w:val="36"/>
          <w:szCs w:val="36"/>
          <w:highlight w:val="none"/>
        </w:rPr>
      </w:pPr>
    </w:p>
    <w:p w14:paraId="239AA2BA">
      <w:pPr>
        <w:pStyle w:val="9"/>
        <w:spacing w:line="360" w:lineRule="auto"/>
        <w:contextualSpacing/>
        <w:jc w:val="center"/>
        <w:rPr>
          <w:rFonts w:hint="eastAsia" w:ascii="宋体" w:hAnsi="宋体" w:eastAsia="宋体" w:cs="宋体"/>
          <w:b/>
          <w:color w:val="auto"/>
          <w:kern w:val="0"/>
          <w:sz w:val="36"/>
          <w:szCs w:val="36"/>
          <w:highlight w:val="none"/>
        </w:rPr>
      </w:pPr>
    </w:p>
    <w:p w14:paraId="68827202">
      <w:pPr>
        <w:pStyle w:val="9"/>
        <w:spacing w:line="360" w:lineRule="auto"/>
        <w:contextualSpacing/>
        <w:jc w:val="center"/>
        <w:rPr>
          <w:rFonts w:hint="eastAsia" w:ascii="宋体" w:hAnsi="宋体" w:eastAsia="宋体" w:cs="宋体"/>
          <w:b/>
          <w:color w:val="auto"/>
          <w:kern w:val="0"/>
          <w:sz w:val="36"/>
          <w:szCs w:val="36"/>
          <w:highlight w:val="none"/>
        </w:rPr>
      </w:pPr>
    </w:p>
    <w:p w14:paraId="3DFACF3F">
      <w:pPr>
        <w:jc w:val="both"/>
        <w:rPr>
          <w:rFonts w:hint="eastAsia" w:ascii="宋体" w:hAnsi="宋体" w:eastAsia="宋体" w:cs="宋体"/>
          <w:color w:val="auto"/>
          <w:sz w:val="44"/>
          <w:szCs w:val="44"/>
          <w:highlight w:val="none"/>
          <w:lang w:val="zh-CN"/>
        </w:rPr>
      </w:pPr>
    </w:p>
    <w:p w14:paraId="14027066">
      <w:pPr>
        <w:numPr>
          <w:ilvl w:val="0"/>
          <w:numId w:val="9"/>
        </w:numPr>
        <w:autoSpaceDE w:val="0"/>
        <w:autoSpaceDN w:val="0"/>
        <w:adjustRightInd w:val="0"/>
        <w:spacing w:line="700" w:lineRule="exact"/>
        <w:ind w:firstLine="551"/>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响应文件有关格式</w:t>
      </w:r>
    </w:p>
    <w:p w14:paraId="7AE02F6E">
      <w:pPr>
        <w:numPr>
          <w:ilvl w:val="0"/>
          <w:numId w:val="0"/>
        </w:numPr>
        <w:autoSpaceDE w:val="0"/>
        <w:autoSpaceDN w:val="0"/>
        <w:adjustRightInd w:val="0"/>
        <w:spacing w:line="7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（如涉及本项目的提供）</w:t>
      </w:r>
    </w:p>
    <w:p w14:paraId="6B728813">
      <w:pPr>
        <w:spacing w:line="480" w:lineRule="exact"/>
        <w:ind w:firstLine="540" w:firstLineChars="19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p>
    <w:p w14:paraId="3E7A010F">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1.以下的响应文件格式为通用的格式，</w:t>
      </w:r>
      <w:r>
        <w:rPr>
          <w:rFonts w:hint="eastAsia" w:ascii="宋体" w:hAnsi="宋体" w:eastAsia="宋体"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在制作响应文件时应以</w:t>
      </w:r>
      <w:r>
        <w:rPr>
          <w:rFonts w:hint="eastAsia" w:ascii="宋体" w:hAnsi="宋体" w:eastAsia="宋体" w:cs="宋体"/>
          <w:b/>
          <w:color w:val="auto"/>
          <w:kern w:val="0"/>
          <w:sz w:val="24"/>
          <w:szCs w:val="24"/>
          <w:highlight w:val="none"/>
          <w:lang w:val="en-US" w:eastAsia="zh-CN"/>
        </w:rPr>
        <w:t>磋商</w:t>
      </w:r>
      <w:r>
        <w:rPr>
          <w:rFonts w:hint="eastAsia" w:ascii="宋体" w:hAnsi="宋体" w:eastAsia="宋体" w:cs="宋体"/>
          <w:b/>
          <w:color w:val="auto"/>
          <w:kern w:val="0"/>
          <w:sz w:val="24"/>
          <w:szCs w:val="24"/>
          <w:highlight w:val="none"/>
        </w:rPr>
        <w:t>文件内容要求为准，选择相应的响应文件格式。</w:t>
      </w:r>
    </w:p>
    <w:p w14:paraId="06B72B7D">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4B2EE2FA">
      <w:pPr>
        <w:pStyle w:val="15"/>
        <w:rPr>
          <w:rFonts w:hint="eastAsia" w:ascii="宋体" w:hAnsi="宋体" w:eastAsia="宋体" w:cs="宋体"/>
          <w:b/>
          <w:color w:val="auto"/>
          <w:kern w:val="0"/>
          <w:sz w:val="24"/>
          <w:szCs w:val="24"/>
          <w:highlight w:val="none"/>
        </w:rPr>
      </w:pPr>
    </w:p>
    <w:p w14:paraId="08EE8311">
      <w:pPr>
        <w:pStyle w:val="16"/>
        <w:rPr>
          <w:rFonts w:hint="eastAsia" w:ascii="宋体" w:hAnsi="宋体" w:eastAsia="宋体" w:cs="宋体"/>
          <w:b/>
          <w:color w:val="auto"/>
          <w:kern w:val="0"/>
          <w:sz w:val="24"/>
          <w:szCs w:val="24"/>
          <w:highlight w:val="none"/>
        </w:rPr>
      </w:pPr>
    </w:p>
    <w:p w14:paraId="5305C65C">
      <w:pPr>
        <w:rPr>
          <w:rFonts w:hint="eastAsia" w:ascii="宋体" w:hAnsi="宋体" w:eastAsia="宋体" w:cs="宋体"/>
          <w:b/>
          <w:color w:val="auto"/>
          <w:kern w:val="0"/>
          <w:sz w:val="24"/>
          <w:szCs w:val="24"/>
          <w:highlight w:val="none"/>
        </w:rPr>
      </w:pPr>
    </w:p>
    <w:p w14:paraId="432D788A">
      <w:pPr>
        <w:pStyle w:val="15"/>
        <w:rPr>
          <w:rFonts w:hint="eastAsia" w:ascii="宋体" w:hAnsi="宋体" w:eastAsia="宋体" w:cs="宋体"/>
          <w:b/>
          <w:color w:val="auto"/>
          <w:kern w:val="0"/>
          <w:sz w:val="24"/>
          <w:szCs w:val="24"/>
          <w:highlight w:val="none"/>
        </w:rPr>
      </w:pPr>
    </w:p>
    <w:p w14:paraId="50347BB7">
      <w:pPr>
        <w:pStyle w:val="16"/>
        <w:rPr>
          <w:rFonts w:hint="eastAsia" w:ascii="宋体" w:hAnsi="宋体" w:eastAsia="宋体" w:cs="宋体"/>
          <w:b/>
          <w:color w:val="auto"/>
          <w:kern w:val="0"/>
          <w:sz w:val="24"/>
          <w:szCs w:val="24"/>
          <w:highlight w:val="none"/>
        </w:rPr>
      </w:pPr>
    </w:p>
    <w:p w14:paraId="2F199146">
      <w:pPr>
        <w:rPr>
          <w:rFonts w:hint="eastAsia" w:ascii="宋体" w:hAnsi="宋体" w:eastAsia="宋体" w:cs="宋体"/>
          <w:b/>
          <w:color w:val="auto"/>
          <w:kern w:val="0"/>
          <w:sz w:val="24"/>
          <w:szCs w:val="24"/>
          <w:highlight w:val="none"/>
        </w:rPr>
      </w:pPr>
    </w:p>
    <w:p w14:paraId="6AFE0CA5">
      <w:pPr>
        <w:pStyle w:val="15"/>
        <w:rPr>
          <w:rFonts w:hint="eastAsia" w:ascii="宋体" w:hAnsi="宋体" w:eastAsia="宋体" w:cs="宋体"/>
          <w:b/>
          <w:color w:val="auto"/>
          <w:kern w:val="0"/>
          <w:sz w:val="24"/>
          <w:szCs w:val="24"/>
          <w:highlight w:val="none"/>
        </w:rPr>
      </w:pPr>
    </w:p>
    <w:p w14:paraId="1A5DD50F">
      <w:pPr>
        <w:pStyle w:val="16"/>
        <w:rPr>
          <w:rFonts w:hint="eastAsia" w:ascii="宋体" w:hAnsi="宋体" w:eastAsia="宋体" w:cs="宋体"/>
          <w:b/>
          <w:color w:val="auto"/>
          <w:kern w:val="0"/>
          <w:sz w:val="24"/>
          <w:szCs w:val="24"/>
          <w:highlight w:val="none"/>
        </w:rPr>
      </w:pPr>
    </w:p>
    <w:p w14:paraId="5DACA503">
      <w:pPr>
        <w:rPr>
          <w:rFonts w:hint="eastAsia" w:ascii="宋体" w:hAnsi="宋体" w:eastAsia="宋体" w:cs="宋体"/>
          <w:b/>
          <w:color w:val="auto"/>
          <w:kern w:val="0"/>
          <w:sz w:val="24"/>
          <w:szCs w:val="24"/>
          <w:highlight w:val="none"/>
        </w:rPr>
      </w:pPr>
    </w:p>
    <w:p w14:paraId="2DFA9F9F">
      <w:pPr>
        <w:pStyle w:val="15"/>
        <w:rPr>
          <w:rFonts w:hint="eastAsia" w:ascii="宋体" w:hAnsi="宋体" w:eastAsia="宋体" w:cs="宋体"/>
          <w:b/>
          <w:color w:val="auto"/>
          <w:kern w:val="0"/>
          <w:sz w:val="24"/>
          <w:szCs w:val="24"/>
          <w:highlight w:val="none"/>
        </w:rPr>
      </w:pPr>
    </w:p>
    <w:p w14:paraId="303012C0">
      <w:pPr>
        <w:pStyle w:val="16"/>
        <w:rPr>
          <w:rFonts w:hint="eastAsia" w:ascii="宋体" w:hAnsi="宋体" w:eastAsia="宋体" w:cs="宋体"/>
          <w:b/>
          <w:color w:val="auto"/>
          <w:kern w:val="0"/>
          <w:sz w:val="24"/>
          <w:szCs w:val="24"/>
          <w:highlight w:val="none"/>
        </w:rPr>
      </w:pPr>
    </w:p>
    <w:p w14:paraId="63D06C7F">
      <w:pPr>
        <w:rPr>
          <w:rFonts w:hint="eastAsia" w:ascii="宋体" w:hAnsi="宋体" w:eastAsia="宋体" w:cs="宋体"/>
          <w:b/>
          <w:color w:val="auto"/>
          <w:kern w:val="0"/>
          <w:sz w:val="24"/>
          <w:szCs w:val="24"/>
          <w:highlight w:val="none"/>
        </w:rPr>
      </w:pPr>
    </w:p>
    <w:p w14:paraId="6926364D">
      <w:pPr>
        <w:pStyle w:val="15"/>
        <w:rPr>
          <w:rFonts w:hint="eastAsia" w:ascii="宋体" w:hAnsi="宋体" w:eastAsia="宋体" w:cs="宋体"/>
          <w:b/>
          <w:color w:val="auto"/>
          <w:kern w:val="0"/>
          <w:sz w:val="24"/>
          <w:szCs w:val="24"/>
          <w:highlight w:val="none"/>
        </w:rPr>
      </w:pPr>
    </w:p>
    <w:p w14:paraId="7AC7830E">
      <w:pPr>
        <w:pStyle w:val="16"/>
        <w:rPr>
          <w:rFonts w:hint="eastAsia" w:ascii="宋体" w:hAnsi="宋体" w:eastAsia="宋体" w:cs="宋体"/>
          <w:b/>
          <w:color w:val="auto"/>
          <w:kern w:val="0"/>
          <w:sz w:val="24"/>
          <w:szCs w:val="24"/>
          <w:highlight w:val="none"/>
        </w:rPr>
      </w:pPr>
    </w:p>
    <w:p w14:paraId="271CD4D9">
      <w:pPr>
        <w:rPr>
          <w:rFonts w:hint="eastAsia" w:ascii="宋体" w:hAnsi="宋体" w:eastAsia="宋体" w:cs="宋体"/>
          <w:b/>
          <w:color w:val="auto"/>
          <w:kern w:val="0"/>
          <w:sz w:val="24"/>
          <w:szCs w:val="24"/>
          <w:highlight w:val="none"/>
        </w:rPr>
      </w:pPr>
    </w:p>
    <w:p w14:paraId="6DCCB913">
      <w:pPr>
        <w:pStyle w:val="15"/>
        <w:rPr>
          <w:rFonts w:hint="eastAsia" w:ascii="宋体" w:hAnsi="宋体" w:eastAsia="宋体" w:cs="宋体"/>
          <w:b/>
          <w:color w:val="auto"/>
          <w:kern w:val="0"/>
          <w:sz w:val="24"/>
          <w:szCs w:val="24"/>
          <w:highlight w:val="none"/>
        </w:rPr>
      </w:pPr>
    </w:p>
    <w:p w14:paraId="53699987">
      <w:pPr>
        <w:pStyle w:val="16"/>
        <w:rPr>
          <w:rFonts w:hint="eastAsia" w:ascii="宋体" w:hAnsi="宋体" w:eastAsia="宋体" w:cs="宋体"/>
          <w:b/>
          <w:color w:val="auto"/>
          <w:kern w:val="0"/>
          <w:sz w:val="24"/>
          <w:szCs w:val="24"/>
          <w:highlight w:val="none"/>
        </w:rPr>
      </w:pPr>
    </w:p>
    <w:p w14:paraId="415C1CFD">
      <w:pPr>
        <w:rPr>
          <w:rFonts w:hint="eastAsia" w:ascii="宋体" w:hAnsi="宋体" w:eastAsia="宋体" w:cs="宋体"/>
          <w:b/>
          <w:color w:val="auto"/>
          <w:kern w:val="0"/>
          <w:sz w:val="24"/>
          <w:szCs w:val="24"/>
          <w:highlight w:val="none"/>
        </w:rPr>
      </w:pPr>
    </w:p>
    <w:p w14:paraId="026E577A">
      <w:pPr>
        <w:pStyle w:val="15"/>
        <w:rPr>
          <w:rFonts w:hint="eastAsia"/>
          <w:color w:val="auto"/>
          <w:highlight w:val="none"/>
        </w:rPr>
      </w:pPr>
    </w:p>
    <w:p w14:paraId="43B223EA">
      <w:pPr>
        <w:ind w:firstLine="1260" w:firstLineChars="350"/>
        <w:rPr>
          <w:rFonts w:hint="eastAsia" w:ascii="宋体" w:hAnsi="宋体" w:eastAsia="宋体" w:cs="宋体"/>
          <w:b/>
          <w:bCs/>
          <w:color w:val="auto"/>
          <w:sz w:val="44"/>
          <w:szCs w:val="44"/>
          <w:highlight w:val="none"/>
        </w:rPr>
      </w:pPr>
      <w:r>
        <w:rPr>
          <w:rFonts w:hint="eastAsia" w:ascii="宋体" w:hAnsi="宋体" w:eastAsia="宋体" w:cs="宋体"/>
          <w:color w:val="auto"/>
          <w:sz w:val="36"/>
          <w:szCs w:val="36"/>
          <w:highlight w:val="none"/>
          <w:u w:val="single"/>
        </w:rPr>
        <w:t xml:space="preserve">                        （项目名称）</w:t>
      </w:r>
    </w:p>
    <w:p w14:paraId="1CC00AFB">
      <w:pPr>
        <w:spacing w:line="380" w:lineRule="exact"/>
        <w:rPr>
          <w:rFonts w:hint="eastAsia" w:ascii="宋体" w:hAnsi="宋体" w:eastAsia="宋体" w:cs="宋体"/>
          <w:color w:val="auto"/>
          <w:sz w:val="24"/>
          <w:highlight w:val="none"/>
        </w:rPr>
      </w:pPr>
    </w:p>
    <w:p w14:paraId="5A20C22A">
      <w:pPr>
        <w:spacing w:line="380" w:lineRule="exact"/>
        <w:rPr>
          <w:rFonts w:hint="eastAsia" w:ascii="宋体" w:hAnsi="宋体" w:eastAsia="宋体" w:cs="宋体"/>
          <w:color w:val="auto"/>
          <w:sz w:val="24"/>
          <w:highlight w:val="none"/>
        </w:rPr>
      </w:pPr>
    </w:p>
    <w:p w14:paraId="7DD98CC4">
      <w:pPr>
        <w:pStyle w:val="16"/>
        <w:ind w:left="0" w:leftChars="0" w:firstLine="0" w:firstLineChars="0"/>
        <w:rPr>
          <w:rFonts w:hint="eastAsia" w:ascii="宋体" w:hAnsi="宋体" w:eastAsia="宋体" w:cs="宋体"/>
          <w:color w:val="auto"/>
          <w:highlight w:val="none"/>
          <w:lang w:eastAsia="zh-CN"/>
        </w:rPr>
      </w:pPr>
    </w:p>
    <w:p w14:paraId="6B6BE73D">
      <w:pPr>
        <w:rPr>
          <w:rFonts w:hint="eastAsia" w:ascii="宋体" w:hAnsi="宋体" w:eastAsia="宋体" w:cs="宋体"/>
          <w:color w:val="auto"/>
          <w:highlight w:val="none"/>
          <w:lang w:eastAsia="zh-CN"/>
        </w:rPr>
      </w:pPr>
    </w:p>
    <w:p w14:paraId="10F3317F">
      <w:pPr>
        <w:pStyle w:val="15"/>
        <w:rPr>
          <w:rFonts w:hint="eastAsia" w:ascii="宋体" w:hAnsi="宋体" w:eastAsia="宋体" w:cs="宋体"/>
          <w:color w:val="auto"/>
          <w:highlight w:val="none"/>
          <w:lang w:eastAsia="zh-CN"/>
        </w:rPr>
      </w:pPr>
    </w:p>
    <w:p w14:paraId="7B307C20">
      <w:pPr>
        <w:pStyle w:val="16"/>
        <w:rPr>
          <w:rFonts w:hint="eastAsia"/>
          <w:color w:val="auto"/>
          <w:highlight w:val="none"/>
          <w:lang w:eastAsia="zh-CN"/>
        </w:rPr>
      </w:pPr>
    </w:p>
    <w:p w14:paraId="77F70EB9">
      <w:pPr>
        <w:spacing w:line="380" w:lineRule="exact"/>
        <w:jc w:val="center"/>
        <w:rPr>
          <w:rFonts w:hint="eastAsia" w:ascii="宋体" w:hAnsi="宋体" w:eastAsia="宋体" w:cs="宋体"/>
          <w:b/>
          <w:bCs/>
          <w:color w:val="auto"/>
          <w:sz w:val="48"/>
          <w:szCs w:val="48"/>
          <w:highlight w:val="none"/>
        </w:rPr>
      </w:pPr>
    </w:p>
    <w:p w14:paraId="298B21F6">
      <w:pPr>
        <w:spacing w:line="380" w:lineRule="exact"/>
        <w:jc w:val="center"/>
        <w:rPr>
          <w:rFonts w:hint="eastAsia" w:ascii="宋体" w:hAnsi="宋体" w:eastAsia="宋体" w:cs="宋体"/>
          <w:b/>
          <w:bCs/>
          <w:color w:val="auto"/>
          <w:sz w:val="48"/>
          <w:szCs w:val="48"/>
          <w:highlight w:val="none"/>
        </w:rPr>
      </w:pPr>
    </w:p>
    <w:p w14:paraId="10089696">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137E64F9">
      <w:pPr>
        <w:spacing w:line="380" w:lineRule="exact"/>
        <w:rPr>
          <w:rFonts w:hint="eastAsia" w:ascii="宋体" w:hAnsi="宋体" w:eastAsia="宋体" w:cs="宋体"/>
          <w:color w:val="auto"/>
          <w:sz w:val="24"/>
          <w:highlight w:val="none"/>
        </w:rPr>
      </w:pPr>
    </w:p>
    <w:p w14:paraId="38E1665D">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7A1A9B72">
      <w:pPr>
        <w:spacing w:after="120"/>
        <w:ind w:right="63"/>
        <w:rPr>
          <w:rFonts w:hint="eastAsia" w:ascii="宋体" w:hAnsi="宋体" w:eastAsia="宋体" w:cs="宋体"/>
          <w:color w:val="auto"/>
          <w:kern w:val="0"/>
          <w:sz w:val="34"/>
          <w:szCs w:val="20"/>
          <w:highlight w:val="none"/>
        </w:rPr>
      </w:pPr>
    </w:p>
    <w:p w14:paraId="637B3235">
      <w:pPr>
        <w:pStyle w:val="15"/>
        <w:ind w:firstLine="340"/>
        <w:rPr>
          <w:rFonts w:hint="eastAsia" w:ascii="宋体" w:hAnsi="宋体" w:eastAsia="宋体" w:cs="宋体"/>
          <w:color w:val="auto"/>
          <w:highlight w:val="none"/>
        </w:rPr>
      </w:pPr>
    </w:p>
    <w:p w14:paraId="2A334186">
      <w:pPr>
        <w:spacing w:line="380" w:lineRule="exact"/>
        <w:rPr>
          <w:rFonts w:hint="eastAsia" w:ascii="宋体" w:hAnsi="宋体" w:eastAsia="宋体" w:cs="宋体"/>
          <w:color w:val="auto"/>
          <w:sz w:val="24"/>
          <w:highlight w:val="none"/>
        </w:rPr>
      </w:pPr>
    </w:p>
    <w:p w14:paraId="08EAD144">
      <w:pPr>
        <w:pStyle w:val="15"/>
        <w:rPr>
          <w:rFonts w:hint="eastAsia" w:ascii="宋体" w:hAnsi="宋体" w:eastAsia="宋体" w:cs="宋体"/>
          <w:color w:val="auto"/>
          <w:sz w:val="24"/>
          <w:highlight w:val="none"/>
        </w:rPr>
      </w:pPr>
    </w:p>
    <w:p w14:paraId="600D3BD1">
      <w:pPr>
        <w:pStyle w:val="16"/>
        <w:rPr>
          <w:rFonts w:hint="eastAsia"/>
          <w:color w:val="auto"/>
          <w:highlight w:val="none"/>
        </w:rPr>
      </w:pPr>
    </w:p>
    <w:p w14:paraId="1444E831">
      <w:pPr>
        <w:rPr>
          <w:rFonts w:hint="eastAsia"/>
          <w:color w:val="auto"/>
          <w:highlight w:val="none"/>
        </w:rPr>
      </w:pPr>
    </w:p>
    <w:p w14:paraId="580A81CD">
      <w:pPr>
        <w:spacing w:line="380" w:lineRule="exact"/>
        <w:rPr>
          <w:rFonts w:hint="eastAsia" w:ascii="宋体" w:hAnsi="宋体" w:eastAsia="宋体" w:cs="宋体"/>
          <w:color w:val="auto"/>
          <w:sz w:val="24"/>
          <w:highlight w:val="none"/>
        </w:rPr>
      </w:pPr>
    </w:p>
    <w:p w14:paraId="42491446">
      <w:pPr>
        <w:spacing w:line="380" w:lineRule="exact"/>
        <w:rPr>
          <w:rFonts w:hint="eastAsia" w:ascii="宋体" w:hAnsi="宋体" w:eastAsia="宋体" w:cs="宋体"/>
          <w:color w:val="auto"/>
          <w:sz w:val="24"/>
          <w:highlight w:val="none"/>
        </w:rPr>
      </w:pPr>
    </w:p>
    <w:p w14:paraId="51388A24">
      <w:pPr>
        <w:spacing w:line="380" w:lineRule="exact"/>
        <w:rPr>
          <w:rFonts w:hint="eastAsia" w:ascii="宋体" w:hAnsi="宋体" w:eastAsia="宋体" w:cs="宋体"/>
          <w:color w:val="auto"/>
          <w:sz w:val="24"/>
          <w:highlight w:val="none"/>
        </w:rPr>
      </w:pPr>
    </w:p>
    <w:p w14:paraId="2E20482B">
      <w:pPr>
        <w:spacing w:line="480" w:lineRule="auto"/>
        <w:ind w:firstLine="2100" w:firstLineChars="750"/>
        <w:rPr>
          <w:rFonts w:hint="eastAsia" w:ascii="宋体" w:hAnsi="宋体" w:eastAsia="宋体" w:cs="宋体"/>
          <w:color w:val="auto"/>
          <w:sz w:val="24"/>
          <w:highlight w:val="none"/>
        </w:rPr>
      </w:pPr>
      <w:bookmarkStart w:id="3" w:name="_Toc7428_WPSOffice_Level1"/>
      <w:bookmarkStart w:id="4" w:name="_Toc27760_WPSOffice_Level1"/>
      <w:r>
        <w:rPr>
          <w:rFonts w:hint="eastAsia" w:ascii="宋体" w:hAnsi="宋体" w:eastAsia="宋体" w:cs="宋体"/>
          <w:color w:val="auto"/>
          <w:sz w:val="28"/>
          <w:szCs w:val="28"/>
          <w:highlight w:val="none"/>
          <w:lang w:val="en-US" w:eastAsia="zh-CN"/>
        </w:rPr>
        <w:t>供 应 商</w:t>
      </w:r>
      <w:r>
        <w:rPr>
          <w:rFonts w:hint="eastAsia" w:ascii="宋体" w:hAnsi="宋体" w:eastAsia="宋体" w:cs="宋体"/>
          <w:color w:val="auto"/>
          <w:sz w:val="28"/>
          <w:szCs w:val="28"/>
          <w:highlight w:val="none"/>
        </w:rPr>
        <w:t>：（全称并加盖公章）</w:t>
      </w:r>
      <w:bookmarkEnd w:id="3"/>
      <w:bookmarkEnd w:id="4"/>
    </w:p>
    <w:p w14:paraId="166A7D4B">
      <w:pPr>
        <w:spacing w:line="480" w:lineRule="auto"/>
        <w:ind w:firstLine="1820" w:firstLineChars="650"/>
        <w:rPr>
          <w:rFonts w:hint="eastAsia" w:ascii="宋体" w:hAnsi="宋体" w:eastAsia="宋体" w:cs="宋体"/>
          <w:b/>
          <w:bCs/>
          <w:color w:val="auto"/>
          <w:sz w:val="28"/>
          <w:szCs w:val="28"/>
          <w:highlight w:val="none"/>
        </w:rPr>
      </w:pPr>
      <w:bookmarkStart w:id="5" w:name="_Toc28157_WPSOffice_Level1"/>
      <w:bookmarkStart w:id="6" w:name="_Toc4840_WPSOffice_Level1"/>
      <w:r>
        <w:rPr>
          <w:rFonts w:hint="eastAsia" w:ascii="宋体" w:hAnsi="宋体" w:eastAsia="宋体" w:cs="宋体"/>
          <w:color w:val="auto"/>
          <w:sz w:val="28"/>
          <w:szCs w:val="28"/>
          <w:highlight w:val="none"/>
        </w:rPr>
        <w:t>法定代表人或委托代理人（签字）：</w:t>
      </w:r>
      <w:bookmarkEnd w:id="5"/>
      <w:bookmarkEnd w:id="6"/>
    </w:p>
    <w:p w14:paraId="651234A4">
      <w:pPr>
        <w:spacing w:line="480" w:lineRule="auto"/>
        <w:ind w:firstLine="2100" w:firstLineChars="750"/>
        <w:rPr>
          <w:rFonts w:hint="eastAsia" w:ascii="宋体" w:hAnsi="宋体" w:eastAsia="宋体" w:cs="宋体"/>
          <w:color w:val="auto"/>
          <w:sz w:val="28"/>
          <w:szCs w:val="28"/>
          <w:highlight w:val="none"/>
        </w:rPr>
      </w:pPr>
      <w:bookmarkStart w:id="7" w:name="_Toc15640_WPSOffice_Level1"/>
      <w:bookmarkStart w:id="8" w:name="_Toc2311_WPSOffice_Level1"/>
      <w:r>
        <w:rPr>
          <w:rFonts w:hint="eastAsia" w:ascii="宋体" w:hAnsi="宋体" w:eastAsia="宋体" w:cs="宋体"/>
          <w:color w:val="auto"/>
          <w:sz w:val="28"/>
          <w:szCs w:val="28"/>
          <w:highlight w:val="none"/>
        </w:rPr>
        <w:t>日    期：年 月 日</w:t>
      </w:r>
      <w:bookmarkEnd w:id="7"/>
      <w:bookmarkEnd w:id="8"/>
    </w:p>
    <w:p w14:paraId="13D28EB4">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E6223A2">
      <w:pPr>
        <w:pStyle w:val="3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1B2B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468" w:type="dxa"/>
            <w:vAlign w:val="center"/>
          </w:tcPr>
          <w:p w14:paraId="003B60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171" w:type="dxa"/>
            <w:vAlign w:val="center"/>
          </w:tcPr>
          <w:p w14:paraId="51871CFF">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12" w:type="dxa"/>
            <w:vAlign w:val="center"/>
          </w:tcPr>
          <w:p w14:paraId="7E03799B">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51B90F41">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476" w:type="dxa"/>
            <w:vAlign w:val="center"/>
          </w:tcPr>
          <w:p w14:paraId="2EE8F800">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1729" w:type="dxa"/>
            <w:vAlign w:val="center"/>
          </w:tcPr>
          <w:p w14:paraId="3CEDA2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6F7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97EB0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171" w:type="dxa"/>
            <w:vAlign w:val="center"/>
          </w:tcPr>
          <w:p w14:paraId="1EAFC0A2">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12" w:type="dxa"/>
            <w:vAlign w:val="center"/>
          </w:tcPr>
          <w:p w14:paraId="6D732D0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EA11411">
            <w:pPr>
              <w:snapToGrid w:val="0"/>
              <w:spacing w:line="400" w:lineRule="exact"/>
              <w:rPr>
                <w:rFonts w:hint="eastAsia" w:ascii="宋体" w:hAnsi="宋体" w:eastAsia="宋体" w:cs="宋体"/>
                <w:color w:val="auto"/>
                <w:szCs w:val="21"/>
                <w:highlight w:val="none"/>
              </w:rPr>
            </w:pPr>
          </w:p>
        </w:tc>
        <w:tc>
          <w:tcPr>
            <w:tcW w:w="1729" w:type="dxa"/>
            <w:vAlign w:val="center"/>
          </w:tcPr>
          <w:p w14:paraId="1CEF2D09">
            <w:pPr>
              <w:snapToGrid w:val="0"/>
              <w:spacing w:line="400" w:lineRule="exact"/>
              <w:rPr>
                <w:rFonts w:hint="eastAsia" w:ascii="宋体" w:hAnsi="宋体" w:eastAsia="宋体" w:cs="宋体"/>
                <w:color w:val="auto"/>
                <w:szCs w:val="21"/>
                <w:highlight w:val="none"/>
              </w:rPr>
            </w:pPr>
          </w:p>
        </w:tc>
      </w:tr>
      <w:tr w14:paraId="678F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DF60B6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171" w:type="dxa"/>
            <w:vAlign w:val="center"/>
          </w:tcPr>
          <w:p w14:paraId="3FC412C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12" w:type="dxa"/>
            <w:vAlign w:val="center"/>
          </w:tcPr>
          <w:p w14:paraId="07E645D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09C75E8E">
            <w:pPr>
              <w:snapToGrid w:val="0"/>
              <w:spacing w:line="400" w:lineRule="exact"/>
              <w:rPr>
                <w:rFonts w:hint="eastAsia" w:ascii="宋体" w:hAnsi="宋体" w:eastAsia="宋体" w:cs="宋体"/>
                <w:color w:val="auto"/>
                <w:szCs w:val="21"/>
                <w:highlight w:val="none"/>
              </w:rPr>
            </w:pPr>
          </w:p>
        </w:tc>
        <w:tc>
          <w:tcPr>
            <w:tcW w:w="1729" w:type="dxa"/>
            <w:vAlign w:val="center"/>
          </w:tcPr>
          <w:p w14:paraId="31B28955">
            <w:pPr>
              <w:snapToGrid w:val="0"/>
              <w:spacing w:line="400" w:lineRule="exact"/>
              <w:rPr>
                <w:rFonts w:hint="eastAsia" w:ascii="宋体" w:hAnsi="宋体" w:eastAsia="宋体" w:cs="宋体"/>
                <w:color w:val="auto"/>
                <w:szCs w:val="21"/>
                <w:highlight w:val="none"/>
              </w:rPr>
            </w:pPr>
          </w:p>
        </w:tc>
      </w:tr>
      <w:tr w14:paraId="6F5F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859AC0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171" w:type="dxa"/>
            <w:vAlign w:val="center"/>
          </w:tcPr>
          <w:p w14:paraId="72410ED8">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12" w:type="dxa"/>
            <w:vAlign w:val="center"/>
          </w:tcPr>
          <w:p w14:paraId="33E10FC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4746E30">
            <w:pPr>
              <w:snapToGrid w:val="0"/>
              <w:spacing w:line="400" w:lineRule="exact"/>
              <w:rPr>
                <w:rFonts w:hint="eastAsia" w:ascii="宋体" w:hAnsi="宋体" w:eastAsia="宋体" w:cs="宋体"/>
                <w:color w:val="auto"/>
                <w:szCs w:val="21"/>
                <w:highlight w:val="none"/>
              </w:rPr>
            </w:pPr>
          </w:p>
        </w:tc>
        <w:tc>
          <w:tcPr>
            <w:tcW w:w="1729" w:type="dxa"/>
            <w:vAlign w:val="center"/>
          </w:tcPr>
          <w:p w14:paraId="74298302">
            <w:pPr>
              <w:snapToGrid w:val="0"/>
              <w:spacing w:line="400" w:lineRule="exact"/>
              <w:rPr>
                <w:rFonts w:hint="eastAsia" w:ascii="宋体" w:hAnsi="宋体" w:eastAsia="宋体" w:cs="宋体"/>
                <w:color w:val="auto"/>
                <w:szCs w:val="21"/>
                <w:highlight w:val="none"/>
              </w:rPr>
            </w:pPr>
          </w:p>
        </w:tc>
      </w:tr>
      <w:tr w14:paraId="7515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06D4D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171" w:type="dxa"/>
            <w:vAlign w:val="center"/>
          </w:tcPr>
          <w:p w14:paraId="152C63BB">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512" w:type="dxa"/>
            <w:vAlign w:val="center"/>
          </w:tcPr>
          <w:p w14:paraId="132CBD79">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7780851">
            <w:pPr>
              <w:snapToGrid w:val="0"/>
              <w:spacing w:line="400" w:lineRule="exact"/>
              <w:rPr>
                <w:rFonts w:hint="eastAsia" w:ascii="宋体" w:hAnsi="宋体" w:eastAsia="宋体" w:cs="宋体"/>
                <w:color w:val="auto"/>
                <w:szCs w:val="21"/>
                <w:highlight w:val="none"/>
              </w:rPr>
            </w:pPr>
          </w:p>
        </w:tc>
        <w:tc>
          <w:tcPr>
            <w:tcW w:w="1729" w:type="dxa"/>
            <w:vAlign w:val="center"/>
          </w:tcPr>
          <w:p w14:paraId="5E98DDA1">
            <w:pPr>
              <w:snapToGrid w:val="0"/>
              <w:spacing w:line="400" w:lineRule="exact"/>
              <w:rPr>
                <w:rFonts w:hint="eastAsia" w:ascii="宋体" w:hAnsi="宋体" w:eastAsia="宋体" w:cs="宋体"/>
                <w:color w:val="auto"/>
                <w:szCs w:val="21"/>
                <w:highlight w:val="none"/>
              </w:rPr>
            </w:pPr>
          </w:p>
        </w:tc>
      </w:tr>
      <w:tr w14:paraId="5147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7C90C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171" w:type="dxa"/>
            <w:vAlign w:val="center"/>
          </w:tcPr>
          <w:p w14:paraId="6B4DCC1E">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12" w:type="dxa"/>
            <w:vAlign w:val="center"/>
          </w:tcPr>
          <w:p w14:paraId="12E253F5">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55D6815">
            <w:pPr>
              <w:snapToGrid w:val="0"/>
              <w:spacing w:line="400" w:lineRule="exact"/>
              <w:rPr>
                <w:rFonts w:hint="eastAsia" w:ascii="宋体" w:hAnsi="宋体" w:eastAsia="宋体" w:cs="宋体"/>
                <w:color w:val="auto"/>
                <w:szCs w:val="21"/>
                <w:highlight w:val="none"/>
              </w:rPr>
            </w:pPr>
          </w:p>
        </w:tc>
        <w:tc>
          <w:tcPr>
            <w:tcW w:w="1729" w:type="dxa"/>
            <w:vAlign w:val="center"/>
          </w:tcPr>
          <w:p w14:paraId="7992E9A2">
            <w:pPr>
              <w:snapToGrid w:val="0"/>
              <w:spacing w:line="400" w:lineRule="exact"/>
              <w:rPr>
                <w:rFonts w:hint="eastAsia" w:ascii="宋体" w:hAnsi="宋体" w:eastAsia="宋体" w:cs="宋体"/>
                <w:color w:val="auto"/>
                <w:szCs w:val="21"/>
                <w:highlight w:val="none"/>
              </w:rPr>
            </w:pPr>
          </w:p>
        </w:tc>
      </w:tr>
      <w:tr w14:paraId="42D2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ACB47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171" w:type="dxa"/>
            <w:vAlign w:val="center"/>
          </w:tcPr>
          <w:p w14:paraId="490E24FE">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中小企业声明函</w:t>
            </w:r>
          </w:p>
        </w:tc>
        <w:tc>
          <w:tcPr>
            <w:tcW w:w="1512" w:type="dxa"/>
            <w:vAlign w:val="center"/>
          </w:tcPr>
          <w:p w14:paraId="3D49103B">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87BC35E">
            <w:pPr>
              <w:snapToGrid w:val="0"/>
              <w:spacing w:line="400" w:lineRule="exact"/>
              <w:rPr>
                <w:rFonts w:hint="eastAsia" w:ascii="宋体" w:hAnsi="宋体" w:eastAsia="宋体" w:cs="宋体"/>
                <w:color w:val="auto"/>
                <w:szCs w:val="21"/>
                <w:highlight w:val="none"/>
              </w:rPr>
            </w:pPr>
          </w:p>
        </w:tc>
        <w:tc>
          <w:tcPr>
            <w:tcW w:w="1729" w:type="dxa"/>
            <w:vAlign w:val="center"/>
          </w:tcPr>
          <w:p w14:paraId="652E6DE4">
            <w:pPr>
              <w:snapToGrid w:val="0"/>
              <w:spacing w:line="400" w:lineRule="exact"/>
              <w:rPr>
                <w:rFonts w:hint="eastAsia" w:ascii="宋体" w:hAnsi="宋体" w:eastAsia="宋体" w:cs="宋体"/>
                <w:color w:val="auto"/>
                <w:szCs w:val="21"/>
                <w:highlight w:val="none"/>
              </w:rPr>
            </w:pPr>
          </w:p>
        </w:tc>
      </w:tr>
      <w:tr w14:paraId="5006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78AF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171" w:type="dxa"/>
            <w:vAlign w:val="center"/>
          </w:tcPr>
          <w:p w14:paraId="0369F62A">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残疾人福利企业声明函</w:t>
            </w:r>
          </w:p>
        </w:tc>
        <w:tc>
          <w:tcPr>
            <w:tcW w:w="1512" w:type="dxa"/>
            <w:vAlign w:val="center"/>
          </w:tcPr>
          <w:p w14:paraId="105E19D3">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C318CA3">
            <w:pPr>
              <w:snapToGrid w:val="0"/>
              <w:spacing w:line="400" w:lineRule="exact"/>
              <w:rPr>
                <w:rFonts w:hint="eastAsia" w:ascii="宋体" w:hAnsi="宋体" w:eastAsia="宋体" w:cs="宋体"/>
                <w:color w:val="auto"/>
                <w:szCs w:val="21"/>
                <w:highlight w:val="none"/>
              </w:rPr>
            </w:pPr>
          </w:p>
        </w:tc>
        <w:tc>
          <w:tcPr>
            <w:tcW w:w="1729" w:type="dxa"/>
            <w:vAlign w:val="center"/>
          </w:tcPr>
          <w:p w14:paraId="47BE59D6">
            <w:pPr>
              <w:snapToGrid w:val="0"/>
              <w:spacing w:line="400" w:lineRule="exact"/>
              <w:rPr>
                <w:rFonts w:hint="eastAsia" w:ascii="宋体" w:hAnsi="宋体" w:eastAsia="宋体" w:cs="宋体"/>
                <w:color w:val="auto"/>
                <w:szCs w:val="21"/>
                <w:highlight w:val="none"/>
              </w:rPr>
            </w:pPr>
          </w:p>
        </w:tc>
      </w:tr>
      <w:tr w14:paraId="76D3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55143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71" w:type="dxa"/>
            <w:vAlign w:val="center"/>
          </w:tcPr>
          <w:p w14:paraId="71F1FA5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磋商承诺函</w:t>
            </w:r>
          </w:p>
        </w:tc>
        <w:tc>
          <w:tcPr>
            <w:tcW w:w="1512" w:type="dxa"/>
            <w:vAlign w:val="center"/>
          </w:tcPr>
          <w:p w14:paraId="5DDC6F16">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B07BF4E">
            <w:pPr>
              <w:snapToGrid w:val="0"/>
              <w:spacing w:line="400" w:lineRule="exact"/>
              <w:rPr>
                <w:rFonts w:hint="eastAsia" w:ascii="宋体" w:hAnsi="宋体" w:eastAsia="宋体" w:cs="宋体"/>
                <w:color w:val="auto"/>
                <w:szCs w:val="21"/>
                <w:highlight w:val="none"/>
              </w:rPr>
            </w:pPr>
          </w:p>
        </w:tc>
        <w:tc>
          <w:tcPr>
            <w:tcW w:w="1729" w:type="dxa"/>
            <w:vAlign w:val="center"/>
          </w:tcPr>
          <w:p w14:paraId="601488C3">
            <w:pPr>
              <w:snapToGrid w:val="0"/>
              <w:spacing w:line="400" w:lineRule="exact"/>
              <w:rPr>
                <w:rFonts w:hint="eastAsia" w:ascii="宋体" w:hAnsi="宋体" w:eastAsia="宋体" w:cs="宋体"/>
                <w:color w:val="auto"/>
                <w:szCs w:val="21"/>
                <w:highlight w:val="none"/>
              </w:rPr>
            </w:pPr>
          </w:p>
        </w:tc>
      </w:tr>
      <w:tr w14:paraId="070C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F067C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171" w:type="dxa"/>
            <w:vAlign w:val="center"/>
          </w:tcPr>
          <w:p w14:paraId="75F80DEF">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禹州市政府采购供应商信用承诺函</w:t>
            </w:r>
          </w:p>
        </w:tc>
        <w:tc>
          <w:tcPr>
            <w:tcW w:w="1512" w:type="dxa"/>
            <w:vAlign w:val="center"/>
          </w:tcPr>
          <w:p w14:paraId="72F0DA5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15DE055">
            <w:pPr>
              <w:snapToGrid w:val="0"/>
              <w:spacing w:line="400" w:lineRule="exact"/>
              <w:rPr>
                <w:rFonts w:hint="eastAsia" w:ascii="宋体" w:hAnsi="宋体" w:eastAsia="宋体" w:cs="宋体"/>
                <w:color w:val="auto"/>
                <w:szCs w:val="21"/>
                <w:highlight w:val="none"/>
              </w:rPr>
            </w:pPr>
          </w:p>
        </w:tc>
        <w:tc>
          <w:tcPr>
            <w:tcW w:w="1729" w:type="dxa"/>
            <w:vAlign w:val="center"/>
          </w:tcPr>
          <w:p w14:paraId="41317703">
            <w:pPr>
              <w:snapToGrid w:val="0"/>
              <w:spacing w:line="400" w:lineRule="exact"/>
              <w:rPr>
                <w:rFonts w:hint="eastAsia" w:ascii="宋体" w:hAnsi="宋体" w:eastAsia="宋体" w:cs="宋体"/>
                <w:color w:val="auto"/>
                <w:szCs w:val="21"/>
                <w:highlight w:val="none"/>
              </w:rPr>
            </w:pPr>
          </w:p>
        </w:tc>
      </w:tr>
      <w:tr w14:paraId="2E75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3D2B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171" w:type="dxa"/>
            <w:vAlign w:val="center"/>
          </w:tcPr>
          <w:p w14:paraId="08A8981F">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12" w:type="dxa"/>
            <w:vAlign w:val="center"/>
          </w:tcPr>
          <w:p w14:paraId="2F455E1F">
            <w:pPr>
              <w:jc w:val="center"/>
              <w:rPr>
                <w:rFonts w:hint="eastAsia" w:ascii="宋体" w:hAnsi="宋体" w:eastAsia="宋体" w:cs="宋体"/>
                <w:color w:val="auto"/>
                <w:szCs w:val="21"/>
                <w:highlight w:val="none"/>
              </w:rPr>
            </w:pPr>
          </w:p>
        </w:tc>
        <w:tc>
          <w:tcPr>
            <w:tcW w:w="1476" w:type="dxa"/>
            <w:vAlign w:val="center"/>
          </w:tcPr>
          <w:p w14:paraId="1FBD0BDE">
            <w:pPr>
              <w:snapToGrid w:val="0"/>
              <w:spacing w:line="400" w:lineRule="exact"/>
              <w:rPr>
                <w:rFonts w:hint="eastAsia" w:ascii="宋体" w:hAnsi="宋体" w:eastAsia="宋体" w:cs="宋体"/>
                <w:color w:val="auto"/>
                <w:szCs w:val="21"/>
                <w:highlight w:val="none"/>
              </w:rPr>
            </w:pPr>
          </w:p>
        </w:tc>
        <w:tc>
          <w:tcPr>
            <w:tcW w:w="1729" w:type="dxa"/>
            <w:vAlign w:val="center"/>
          </w:tcPr>
          <w:p w14:paraId="3895F9C6">
            <w:pPr>
              <w:snapToGrid w:val="0"/>
              <w:spacing w:line="400" w:lineRule="exact"/>
              <w:rPr>
                <w:rFonts w:hint="eastAsia" w:ascii="宋体" w:hAnsi="宋体" w:eastAsia="宋体" w:cs="宋体"/>
                <w:color w:val="auto"/>
                <w:szCs w:val="21"/>
                <w:highlight w:val="none"/>
              </w:rPr>
            </w:pPr>
          </w:p>
        </w:tc>
      </w:tr>
      <w:tr w14:paraId="7606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F6E3E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171" w:type="dxa"/>
            <w:vAlign w:val="center"/>
          </w:tcPr>
          <w:p w14:paraId="37EE121F">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34122C5">
            <w:pPr>
              <w:jc w:val="center"/>
              <w:rPr>
                <w:rFonts w:hint="eastAsia" w:ascii="宋体" w:hAnsi="宋体" w:eastAsia="宋体" w:cs="宋体"/>
                <w:color w:val="auto"/>
                <w:szCs w:val="21"/>
                <w:highlight w:val="none"/>
              </w:rPr>
            </w:pPr>
          </w:p>
        </w:tc>
        <w:tc>
          <w:tcPr>
            <w:tcW w:w="1476" w:type="dxa"/>
            <w:vAlign w:val="center"/>
          </w:tcPr>
          <w:p w14:paraId="2D5981F8">
            <w:pPr>
              <w:snapToGrid w:val="0"/>
              <w:spacing w:line="400" w:lineRule="exact"/>
              <w:rPr>
                <w:rFonts w:hint="eastAsia" w:ascii="宋体" w:hAnsi="宋体" w:eastAsia="宋体" w:cs="宋体"/>
                <w:color w:val="auto"/>
                <w:szCs w:val="21"/>
                <w:highlight w:val="none"/>
              </w:rPr>
            </w:pPr>
          </w:p>
        </w:tc>
        <w:tc>
          <w:tcPr>
            <w:tcW w:w="1729" w:type="dxa"/>
            <w:vAlign w:val="center"/>
          </w:tcPr>
          <w:p w14:paraId="6E6C8FCC">
            <w:pPr>
              <w:snapToGrid w:val="0"/>
              <w:spacing w:line="400" w:lineRule="exact"/>
              <w:rPr>
                <w:rFonts w:hint="eastAsia" w:ascii="宋体" w:hAnsi="宋体" w:eastAsia="宋体" w:cs="宋体"/>
                <w:color w:val="auto"/>
                <w:szCs w:val="21"/>
                <w:highlight w:val="none"/>
              </w:rPr>
            </w:pPr>
          </w:p>
        </w:tc>
      </w:tr>
      <w:tr w14:paraId="406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D805E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171" w:type="dxa"/>
            <w:vAlign w:val="center"/>
          </w:tcPr>
          <w:p w14:paraId="4651EE1B">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供应商未为本项目提供整体设计、规范编制或者项目管理、监理、检测等服务承诺函</w:t>
            </w:r>
          </w:p>
        </w:tc>
        <w:tc>
          <w:tcPr>
            <w:tcW w:w="1512" w:type="dxa"/>
            <w:vAlign w:val="center"/>
          </w:tcPr>
          <w:p w14:paraId="09DB266F">
            <w:pPr>
              <w:jc w:val="center"/>
              <w:rPr>
                <w:rFonts w:hint="eastAsia" w:ascii="宋体" w:hAnsi="宋体" w:eastAsia="宋体" w:cs="宋体"/>
                <w:color w:val="auto"/>
                <w:szCs w:val="21"/>
                <w:highlight w:val="none"/>
              </w:rPr>
            </w:pPr>
          </w:p>
        </w:tc>
        <w:tc>
          <w:tcPr>
            <w:tcW w:w="1476" w:type="dxa"/>
            <w:vAlign w:val="center"/>
          </w:tcPr>
          <w:p w14:paraId="639DC6E3">
            <w:pPr>
              <w:snapToGrid w:val="0"/>
              <w:spacing w:line="400" w:lineRule="exact"/>
              <w:rPr>
                <w:rFonts w:hint="eastAsia" w:ascii="宋体" w:hAnsi="宋体" w:eastAsia="宋体" w:cs="宋体"/>
                <w:color w:val="auto"/>
                <w:szCs w:val="21"/>
                <w:highlight w:val="none"/>
              </w:rPr>
            </w:pPr>
          </w:p>
        </w:tc>
        <w:tc>
          <w:tcPr>
            <w:tcW w:w="1729" w:type="dxa"/>
            <w:vAlign w:val="center"/>
          </w:tcPr>
          <w:p w14:paraId="052CE6F8">
            <w:pPr>
              <w:snapToGrid w:val="0"/>
              <w:spacing w:line="400" w:lineRule="exact"/>
              <w:rPr>
                <w:rFonts w:hint="eastAsia" w:ascii="宋体" w:hAnsi="宋体" w:eastAsia="宋体" w:cs="宋体"/>
                <w:color w:val="auto"/>
                <w:szCs w:val="21"/>
                <w:highlight w:val="none"/>
              </w:rPr>
            </w:pPr>
          </w:p>
        </w:tc>
      </w:tr>
      <w:tr w14:paraId="6ECF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3D29C68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171" w:type="dxa"/>
            <w:tcBorders>
              <w:top w:val="double" w:color="auto" w:sz="4" w:space="0"/>
            </w:tcBorders>
            <w:vAlign w:val="center"/>
          </w:tcPr>
          <w:p w14:paraId="54DB4363">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分项报价表</w:t>
            </w:r>
            <w:r>
              <w:rPr>
                <w:rFonts w:hint="eastAsia" w:hAnsi="宋体" w:cs="微软雅黑"/>
                <w:bCs/>
                <w:color w:val="auto"/>
                <w:kern w:val="0"/>
                <w:sz w:val="21"/>
                <w:szCs w:val="21"/>
                <w:highlight w:val="none"/>
                <w:lang w:eastAsia="zh-CN"/>
              </w:rPr>
              <w:t>（已标价工程量清单）</w:t>
            </w:r>
          </w:p>
        </w:tc>
        <w:tc>
          <w:tcPr>
            <w:tcW w:w="1512" w:type="dxa"/>
            <w:tcBorders>
              <w:top w:val="double" w:color="auto" w:sz="4" w:space="0"/>
            </w:tcBorders>
            <w:vAlign w:val="center"/>
          </w:tcPr>
          <w:p w14:paraId="0BE9E620">
            <w:pPr>
              <w:jc w:val="center"/>
              <w:rPr>
                <w:rFonts w:hint="eastAsia" w:ascii="宋体" w:hAnsi="宋体" w:eastAsia="宋体" w:cs="宋体"/>
                <w:color w:val="auto"/>
                <w:szCs w:val="21"/>
                <w:highlight w:val="none"/>
              </w:rPr>
            </w:pPr>
          </w:p>
        </w:tc>
        <w:tc>
          <w:tcPr>
            <w:tcW w:w="1476" w:type="dxa"/>
            <w:tcBorders>
              <w:top w:val="double" w:color="auto" w:sz="4" w:space="0"/>
            </w:tcBorders>
            <w:vAlign w:val="center"/>
          </w:tcPr>
          <w:p w14:paraId="00217052">
            <w:pPr>
              <w:snapToGrid w:val="0"/>
              <w:spacing w:line="400" w:lineRule="exact"/>
              <w:rPr>
                <w:rFonts w:hint="eastAsia" w:ascii="宋体" w:hAnsi="宋体" w:eastAsia="宋体" w:cs="宋体"/>
                <w:color w:val="auto"/>
                <w:szCs w:val="21"/>
                <w:highlight w:val="none"/>
              </w:rPr>
            </w:pPr>
          </w:p>
        </w:tc>
        <w:tc>
          <w:tcPr>
            <w:tcW w:w="1729" w:type="dxa"/>
            <w:tcBorders>
              <w:top w:val="double" w:color="auto" w:sz="4" w:space="0"/>
            </w:tcBorders>
            <w:vAlign w:val="center"/>
          </w:tcPr>
          <w:p w14:paraId="51048505">
            <w:pPr>
              <w:snapToGrid w:val="0"/>
              <w:spacing w:line="400" w:lineRule="exact"/>
              <w:rPr>
                <w:rFonts w:hint="eastAsia" w:ascii="宋体" w:hAnsi="宋体" w:eastAsia="宋体" w:cs="宋体"/>
                <w:color w:val="auto"/>
                <w:szCs w:val="21"/>
                <w:highlight w:val="none"/>
              </w:rPr>
            </w:pPr>
          </w:p>
        </w:tc>
      </w:tr>
      <w:tr w14:paraId="415F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2C884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171" w:type="dxa"/>
            <w:shd w:val="clear" w:color="auto" w:fill="auto"/>
            <w:vAlign w:val="center"/>
          </w:tcPr>
          <w:p w14:paraId="225F37F7">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技术方案（实施方案）</w:t>
            </w:r>
          </w:p>
        </w:tc>
        <w:tc>
          <w:tcPr>
            <w:tcW w:w="1512" w:type="dxa"/>
            <w:vAlign w:val="center"/>
          </w:tcPr>
          <w:p w14:paraId="32C72E8D">
            <w:pPr>
              <w:jc w:val="center"/>
              <w:rPr>
                <w:rFonts w:hint="eastAsia" w:ascii="宋体" w:hAnsi="宋体" w:eastAsia="宋体" w:cs="宋体"/>
                <w:color w:val="auto"/>
                <w:szCs w:val="21"/>
                <w:highlight w:val="none"/>
              </w:rPr>
            </w:pPr>
          </w:p>
        </w:tc>
        <w:tc>
          <w:tcPr>
            <w:tcW w:w="1476" w:type="dxa"/>
            <w:vAlign w:val="center"/>
          </w:tcPr>
          <w:p w14:paraId="7CE0704B">
            <w:pPr>
              <w:snapToGrid w:val="0"/>
              <w:spacing w:line="400" w:lineRule="exact"/>
              <w:rPr>
                <w:rFonts w:hint="eastAsia" w:ascii="宋体" w:hAnsi="宋体" w:eastAsia="宋体" w:cs="宋体"/>
                <w:color w:val="auto"/>
                <w:szCs w:val="21"/>
                <w:highlight w:val="none"/>
              </w:rPr>
            </w:pPr>
          </w:p>
        </w:tc>
        <w:tc>
          <w:tcPr>
            <w:tcW w:w="1729" w:type="dxa"/>
            <w:vAlign w:val="center"/>
          </w:tcPr>
          <w:p w14:paraId="082316D4">
            <w:pPr>
              <w:snapToGrid w:val="0"/>
              <w:spacing w:line="400" w:lineRule="exact"/>
              <w:rPr>
                <w:rFonts w:hint="eastAsia" w:ascii="宋体" w:hAnsi="宋体" w:eastAsia="宋体" w:cs="宋体"/>
                <w:color w:val="auto"/>
                <w:szCs w:val="21"/>
                <w:highlight w:val="none"/>
              </w:rPr>
            </w:pPr>
          </w:p>
        </w:tc>
      </w:tr>
      <w:tr w14:paraId="60A0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9144E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171" w:type="dxa"/>
            <w:shd w:val="clear" w:color="auto" w:fill="auto"/>
            <w:vAlign w:val="center"/>
          </w:tcPr>
          <w:p w14:paraId="2ED4D442">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售后</w:t>
            </w:r>
            <w:r>
              <w:rPr>
                <w:rFonts w:hint="eastAsia" w:ascii="宋体" w:hAnsi="宋体" w:eastAsia="宋体" w:cs="宋体"/>
                <w:bCs/>
                <w:color w:val="auto"/>
                <w:kern w:val="0"/>
                <w:sz w:val="21"/>
                <w:szCs w:val="21"/>
                <w:highlight w:val="none"/>
              </w:rPr>
              <w:t>服务方案</w:t>
            </w:r>
          </w:p>
        </w:tc>
        <w:tc>
          <w:tcPr>
            <w:tcW w:w="1512" w:type="dxa"/>
            <w:vAlign w:val="center"/>
          </w:tcPr>
          <w:p w14:paraId="1BEE8568">
            <w:pPr>
              <w:jc w:val="center"/>
              <w:rPr>
                <w:rFonts w:hint="eastAsia" w:ascii="宋体" w:hAnsi="宋体" w:eastAsia="宋体" w:cs="宋体"/>
                <w:color w:val="auto"/>
                <w:szCs w:val="21"/>
                <w:highlight w:val="none"/>
              </w:rPr>
            </w:pPr>
          </w:p>
        </w:tc>
        <w:tc>
          <w:tcPr>
            <w:tcW w:w="1476" w:type="dxa"/>
            <w:vAlign w:val="center"/>
          </w:tcPr>
          <w:p w14:paraId="4AD81E5B">
            <w:pPr>
              <w:snapToGrid w:val="0"/>
              <w:spacing w:line="400" w:lineRule="exact"/>
              <w:rPr>
                <w:rFonts w:hint="eastAsia" w:ascii="宋体" w:hAnsi="宋体" w:eastAsia="宋体" w:cs="宋体"/>
                <w:color w:val="auto"/>
                <w:szCs w:val="21"/>
                <w:highlight w:val="none"/>
              </w:rPr>
            </w:pPr>
          </w:p>
        </w:tc>
        <w:tc>
          <w:tcPr>
            <w:tcW w:w="1729" w:type="dxa"/>
            <w:vAlign w:val="center"/>
          </w:tcPr>
          <w:p w14:paraId="4AFD7325">
            <w:pPr>
              <w:snapToGrid w:val="0"/>
              <w:spacing w:line="400" w:lineRule="exact"/>
              <w:rPr>
                <w:rFonts w:hint="eastAsia" w:ascii="宋体" w:hAnsi="宋体" w:eastAsia="宋体" w:cs="宋体"/>
                <w:color w:val="auto"/>
                <w:szCs w:val="21"/>
                <w:highlight w:val="none"/>
              </w:rPr>
            </w:pPr>
          </w:p>
        </w:tc>
      </w:tr>
      <w:tr w14:paraId="5D81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BF365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171" w:type="dxa"/>
            <w:shd w:val="clear" w:color="auto" w:fill="auto"/>
            <w:vAlign w:val="center"/>
          </w:tcPr>
          <w:p w14:paraId="6CC59171">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业绩情况表</w:t>
            </w:r>
          </w:p>
        </w:tc>
        <w:tc>
          <w:tcPr>
            <w:tcW w:w="1512" w:type="dxa"/>
            <w:vAlign w:val="center"/>
          </w:tcPr>
          <w:p w14:paraId="2D9CD2A5">
            <w:pPr>
              <w:jc w:val="center"/>
              <w:rPr>
                <w:rFonts w:hint="eastAsia" w:ascii="宋体" w:hAnsi="宋体" w:eastAsia="宋体" w:cs="宋体"/>
                <w:color w:val="auto"/>
                <w:szCs w:val="21"/>
                <w:highlight w:val="none"/>
              </w:rPr>
            </w:pPr>
          </w:p>
        </w:tc>
        <w:tc>
          <w:tcPr>
            <w:tcW w:w="1476" w:type="dxa"/>
            <w:tcBorders>
              <w:top w:val="single" w:color="auto" w:sz="4" w:space="0"/>
            </w:tcBorders>
            <w:vAlign w:val="center"/>
          </w:tcPr>
          <w:p w14:paraId="23AEFB8D">
            <w:pPr>
              <w:snapToGrid w:val="0"/>
              <w:spacing w:line="400" w:lineRule="exact"/>
              <w:rPr>
                <w:rFonts w:hint="eastAsia" w:ascii="宋体" w:hAnsi="宋体" w:eastAsia="宋体" w:cs="宋体"/>
                <w:color w:val="auto"/>
                <w:szCs w:val="21"/>
                <w:highlight w:val="none"/>
              </w:rPr>
            </w:pPr>
          </w:p>
        </w:tc>
        <w:tc>
          <w:tcPr>
            <w:tcW w:w="1729" w:type="dxa"/>
            <w:tcBorders>
              <w:top w:val="single" w:color="auto" w:sz="4" w:space="0"/>
            </w:tcBorders>
            <w:vAlign w:val="center"/>
          </w:tcPr>
          <w:p w14:paraId="0216A9EB">
            <w:pPr>
              <w:snapToGrid w:val="0"/>
              <w:spacing w:line="400" w:lineRule="exact"/>
              <w:rPr>
                <w:rFonts w:hint="eastAsia" w:ascii="宋体" w:hAnsi="宋体" w:eastAsia="宋体" w:cs="宋体"/>
                <w:color w:val="auto"/>
                <w:szCs w:val="21"/>
                <w:highlight w:val="none"/>
              </w:rPr>
            </w:pPr>
          </w:p>
        </w:tc>
      </w:tr>
      <w:tr w14:paraId="6E84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A524C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171" w:type="dxa"/>
            <w:shd w:val="clear" w:color="auto" w:fill="auto"/>
            <w:vAlign w:val="center"/>
          </w:tcPr>
          <w:p w14:paraId="0CB598F5">
            <w:pPr>
              <w:pStyle w:val="9"/>
              <w:kinsoku w:val="0"/>
              <w:overflowPunct w:val="0"/>
              <w:autoSpaceDE w:val="0"/>
              <w:autoSpaceDN w:val="0"/>
              <w:spacing w:line="320" w:lineRule="exac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项目班子配备</w:t>
            </w:r>
          </w:p>
        </w:tc>
        <w:tc>
          <w:tcPr>
            <w:tcW w:w="1512" w:type="dxa"/>
            <w:vAlign w:val="center"/>
          </w:tcPr>
          <w:p w14:paraId="1705EEA4">
            <w:pPr>
              <w:jc w:val="center"/>
              <w:rPr>
                <w:rFonts w:hint="eastAsia" w:ascii="宋体" w:hAnsi="宋体" w:eastAsia="宋体" w:cs="宋体"/>
                <w:color w:val="auto"/>
                <w:szCs w:val="21"/>
                <w:highlight w:val="none"/>
              </w:rPr>
            </w:pPr>
          </w:p>
        </w:tc>
        <w:tc>
          <w:tcPr>
            <w:tcW w:w="1476" w:type="dxa"/>
            <w:vAlign w:val="center"/>
          </w:tcPr>
          <w:p w14:paraId="5A4B8810">
            <w:pPr>
              <w:snapToGrid w:val="0"/>
              <w:spacing w:line="400" w:lineRule="exact"/>
              <w:rPr>
                <w:rFonts w:hint="eastAsia" w:ascii="宋体" w:hAnsi="宋体" w:eastAsia="宋体" w:cs="宋体"/>
                <w:color w:val="auto"/>
                <w:szCs w:val="21"/>
                <w:highlight w:val="none"/>
              </w:rPr>
            </w:pPr>
          </w:p>
        </w:tc>
        <w:tc>
          <w:tcPr>
            <w:tcW w:w="1729" w:type="dxa"/>
            <w:vAlign w:val="center"/>
          </w:tcPr>
          <w:p w14:paraId="44401720">
            <w:pPr>
              <w:snapToGrid w:val="0"/>
              <w:spacing w:line="400" w:lineRule="exact"/>
              <w:rPr>
                <w:rFonts w:hint="eastAsia" w:ascii="宋体" w:hAnsi="宋体" w:eastAsia="宋体" w:cs="宋体"/>
                <w:color w:val="auto"/>
                <w:szCs w:val="21"/>
                <w:highlight w:val="none"/>
              </w:rPr>
            </w:pPr>
          </w:p>
        </w:tc>
      </w:tr>
      <w:tr w14:paraId="7DF4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14CF7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4171" w:type="dxa"/>
            <w:shd w:val="clear" w:color="auto" w:fill="auto"/>
            <w:vAlign w:val="center"/>
          </w:tcPr>
          <w:p w14:paraId="04127639">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监狱企业证明文件</w:t>
            </w:r>
          </w:p>
        </w:tc>
        <w:tc>
          <w:tcPr>
            <w:tcW w:w="1512" w:type="dxa"/>
            <w:vAlign w:val="center"/>
          </w:tcPr>
          <w:p w14:paraId="28887268">
            <w:pPr>
              <w:jc w:val="center"/>
              <w:rPr>
                <w:rFonts w:hint="eastAsia" w:ascii="宋体" w:hAnsi="宋体" w:eastAsia="宋体" w:cs="宋体"/>
                <w:color w:val="auto"/>
                <w:szCs w:val="21"/>
                <w:highlight w:val="none"/>
              </w:rPr>
            </w:pPr>
          </w:p>
        </w:tc>
        <w:tc>
          <w:tcPr>
            <w:tcW w:w="1476" w:type="dxa"/>
            <w:vAlign w:val="center"/>
          </w:tcPr>
          <w:p w14:paraId="297F6B91">
            <w:pPr>
              <w:snapToGrid w:val="0"/>
              <w:spacing w:line="400" w:lineRule="exact"/>
              <w:rPr>
                <w:rFonts w:hint="eastAsia" w:ascii="宋体" w:hAnsi="宋体" w:eastAsia="宋体" w:cs="宋体"/>
                <w:color w:val="auto"/>
                <w:szCs w:val="21"/>
                <w:highlight w:val="none"/>
              </w:rPr>
            </w:pPr>
          </w:p>
        </w:tc>
        <w:tc>
          <w:tcPr>
            <w:tcW w:w="1729" w:type="dxa"/>
            <w:vAlign w:val="center"/>
          </w:tcPr>
          <w:p w14:paraId="4D08BB8B">
            <w:pPr>
              <w:snapToGrid w:val="0"/>
              <w:spacing w:line="400" w:lineRule="exact"/>
              <w:rPr>
                <w:rFonts w:hint="eastAsia" w:ascii="宋体" w:hAnsi="宋体" w:eastAsia="宋体" w:cs="宋体"/>
                <w:color w:val="auto"/>
                <w:szCs w:val="21"/>
                <w:highlight w:val="none"/>
              </w:rPr>
            </w:pPr>
          </w:p>
        </w:tc>
      </w:tr>
      <w:tr w14:paraId="11FF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ABCD3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171" w:type="dxa"/>
            <w:shd w:val="clear" w:color="auto" w:fill="auto"/>
            <w:vAlign w:val="center"/>
          </w:tcPr>
          <w:p w14:paraId="4F6078B8">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12" w:type="dxa"/>
            <w:vAlign w:val="center"/>
          </w:tcPr>
          <w:p w14:paraId="0D571244">
            <w:pPr>
              <w:jc w:val="center"/>
              <w:rPr>
                <w:rFonts w:hint="eastAsia" w:ascii="宋体" w:hAnsi="宋体" w:eastAsia="宋体" w:cs="宋体"/>
                <w:color w:val="auto"/>
                <w:szCs w:val="21"/>
                <w:highlight w:val="none"/>
              </w:rPr>
            </w:pPr>
          </w:p>
        </w:tc>
        <w:tc>
          <w:tcPr>
            <w:tcW w:w="1476" w:type="dxa"/>
            <w:vAlign w:val="center"/>
          </w:tcPr>
          <w:p w14:paraId="317A61B0">
            <w:pPr>
              <w:snapToGrid w:val="0"/>
              <w:spacing w:line="400" w:lineRule="exact"/>
              <w:rPr>
                <w:rFonts w:hint="eastAsia" w:ascii="宋体" w:hAnsi="宋体" w:eastAsia="宋体" w:cs="宋体"/>
                <w:color w:val="auto"/>
                <w:szCs w:val="21"/>
                <w:highlight w:val="none"/>
              </w:rPr>
            </w:pPr>
          </w:p>
        </w:tc>
        <w:tc>
          <w:tcPr>
            <w:tcW w:w="1729" w:type="dxa"/>
            <w:vAlign w:val="center"/>
          </w:tcPr>
          <w:p w14:paraId="66905954">
            <w:pPr>
              <w:snapToGrid w:val="0"/>
              <w:spacing w:line="400" w:lineRule="exact"/>
              <w:rPr>
                <w:rFonts w:hint="eastAsia" w:ascii="宋体" w:hAnsi="宋体" w:eastAsia="宋体" w:cs="宋体"/>
                <w:color w:val="auto"/>
                <w:szCs w:val="21"/>
                <w:highlight w:val="none"/>
              </w:rPr>
            </w:pPr>
          </w:p>
        </w:tc>
      </w:tr>
    </w:tbl>
    <w:p w14:paraId="6E530B36">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6591C872">
      <w:pPr>
        <w:pStyle w:val="9"/>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二、报价一览表</w:t>
      </w:r>
    </w:p>
    <w:p w14:paraId="5566958E">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6C11A41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                                                      单位：元（人民币）</w:t>
      </w:r>
    </w:p>
    <w:tbl>
      <w:tblPr>
        <w:tblStyle w:val="1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11F7799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6BC970">
            <w:pPr>
              <w:autoSpaceDE w:val="0"/>
              <w:autoSpaceDN w:val="0"/>
              <w:adjustRightInd w:val="0"/>
              <w:spacing w:line="480" w:lineRule="exact"/>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E290F5">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03D4A">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CE67DD">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5D2CE1">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70AC511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BFAE83">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352A4AB4">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0D3E529">
            <w:pPr>
              <w:autoSpaceDE w:val="0"/>
              <w:autoSpaceDN w:val="0"/>
              <w:adjustRightInd w:val="0"/>
              <w:spacing w:line="48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E973B11">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78D185D">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r>
    </w:tbl>
    <w:p w14:paraId="6706443D">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157FEDE6">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36B1408">
      <w:pPr>
        <w:autoSpaceDE w:val="0"/>
        <w:autoSpaceDN w:val="0"/>
        <w:adjustRightInd w:val="0"/>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注：</w:t>
      </w:r>
    </w:p>
    <w:p w14:paraId="53374C89">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1.合同履约期限指完成该项目的最终时间（日历天）。</w:t>
      </w:r>
    </w:p>
    <w:p w14:paraId="29A70760">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2.如磋商公告明确项目合同履约期限以年为单位，本表应填写完成该项目的年限。</w:t>
      </w:r>
    </w:p>
    <w:p w14:paraId="05D2C6D6">
      <w:pPr>
        <w:autoSpaceDE w:val="0"/>
        <w:autoSpaceDN w:val="0"/>
        <w:adjustRightInd w:val="0"/>
        <w:spacing w:line="360" w:lineRule="auto"/>
        <w:rPr>
          <w:rFonts w:hint="eastAsia" w:ascii="宋体" w:hAnsi="宋体" w:eastAsia="宋体" w:cs="宋体"/>
          <w:color w:val="auto"/>
          <w:sz w:val="24"/>
          <w:highlight w:val="none"/>
          <w:lang w:val="zh-CN"/>
        </w:rPr>
      </w:pPr>
    </w:p>
    <w:p w14:paraId="74C5FDFB">
      <w:pPr>
        <w:autoSpaceDE w:val="0"/>
        <w:autoSpaceDN w:val="0"/>
        <w:adjustRightInd w:val="0"/>
        <w:spacing w:line="360" w:lineRule="auto"/>
        <w:rPr>
          <w:rFonts w:hint="eastAsia" w:ascii="宋体" w:hAnsi="宋体" w:eastAsia="宋体" w:cs="宋体"/>
          <w:color w:val="auto"/>
          <w:sz w:val="24"/>
          <w:highlight w:val="none"/>
          <w:lang w:val="zh-CN"/>
        </w:rPr>
      </w:pPr>
    </w:p>
    <w:p w14:paraId="6B3CB359">
      <w:pPr>
        <w:autoSpaceDE w:val="0"/>
        <w:autoSpaceDN w:val="0"/>
        <w:adjustRightInd w:val="0"/>
        <w:spacing w:line="360" w:lineRule="auto"/>
        <w:rPr>
          <w:rFonts w:hint="eastAsia" w:ascii="宋体" w:hAnsi="宋体" w:eastAsia="宋体" w:cs="宋体"/>
          <w:color w:val="auto"/>
          <w:sz w:val="24"/>
          <w:highlight w:val="none"/>
          <w:lang w:val="zh-CN"/>
        </w:rPr>
      </w:pPr>
    </w:p>
    <w:p w14:paraId="450FB5E5">
      <w:pPr>
        <w:autoSpaceDE w:val="0"/>
        <w:autoSpaceDN w:val="0"/>
        <w:adjustRightInd w:val="0"/>
        <w:spacing w:line="360" w:lineRule="auto"/>
        <w:rPr>
          <w:rFonts w:hint="eastAsia" w:ascii="宋体" w:hAnsi="宋体" w:eastAsia="宋体" w:cs="宋体"/>
          <w:color w:val="auto"/>
          <w:sz w:val="24"/>
          <w:highlight w:val="none"/>
          <w:lang w:val="zh-CN"/>
        </w:rPr>
      </w:pPr>
    </w:p>
    <w:p w14:paraId="4E677957">
      <w:pPr>
        <w:autoSpaceDE w:val="0"/>
        <w:autoSpaceDN w:val="0"/>
        <w:adjustRightInd w:val="0"/>
        <w:spacing w:line="360" w:lineRule="auto"/>
        <w:rPr>
          <w:rFonts w:hint="eastAsia" w:ascii="宋体" w:hAnsi="宋体" w:eastAsia="宋体" w:cs="宋体"/>
          <w:color w:val="auto"/>
          <w:sz w:val="24"/>
          <w:highlight w:val="none"/>
          <w:lang w:val="zh-CN"/>
        </w:rPr>
      </w:pPr>
    </w:p>
    <w:p w14:paraId="3434E6A3">
      <w:pPr>
        <w:autoSpaceDE w:val="0"/>
        <w:autoSpaceDN w:val="0"/>
        <w:adjustRightInd w:val="0"/>
        <w:spacing w:line="360" w:lineRule="auto"/>
        <w:rPr>
          <w:rFonts w:hint="eastAsia" w:ascii="宋体" w:hAnsi="宋体" w:eastAsia="宋体" w:cs="宋体"/>
          <w:color w:val="auto"/>
          <w:sz w:val="24"/>
          <w:highlight w:val="none"/>
          <w:lang w:val="zh-CN"/>
        </w:rPr>
      </w:pPr>
    </w:p>
    <w:p w14:paraId="3892A941">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6CFC94BB">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328F59C">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EA1A3DF">
      <w:pPr>
        <w:pStyle w:val="30"/>
        <w:rPr>
          <w:rFonts w:hint="eastAsia" w:ascii="宋体" w:hAnsi="宋体" w:eastAsia="宋体" w:cs="宋体"/>
          <w:color w:val="auto"/>
          <w:highlight w:val="none"/>
          <w:lang w:val="zh-CN"/>
        </w:rPr>
      </w:pPr>
    </w:p>
    <w:p w14:paraId="21FC47D0">
      <w:pPr>
        <w:pStyle w:val="30"/>
        <w:ind w:left="0" w:leftChars="0" w:firstLine="0" w:firstLineChars="0"/>
        <w:rPr>
          <w:rFonts w:hint="eastAsia" w:ascii="宋体" w:hAnsi="宋体" w:eastAsia="宋体" w:cs="宋体"/>
          <w:color w:val="auto"/>
          <w:highlight w:val="none"/>
          <w:lang w:val="zh-CN"/>
        </w:rPr>
      </w:pPr>
    </w:p>
    <w:p w14:paraId="12A047F4">
      <w:pPr>
        <w:pStyle w:val="30"/>
        <w:ind w:left="0" w:leftChars="0" w:firstLine="0" w:firstLineChars="0"/>
        <w:rPr>
          <w:rFonts w:hint="eastAsia" w:ascii="宋体" w:hAnsi="宋体" w:eastAsia="宋体" w:cs="宋体"/>
          <w:color w:val="auto"/>
          <w:highlight w:val="none"/>
          <w:lang w:val="zh-CN"/>
        </w:rPr>
      </w:pPr>
    </w:p>
    <w:p w14:paraId="221587B9">
      <w:pPr>
        <w:pStyle w:val="30"/>
        <w:ind w:left="0" w:leftChars="0" w:firstLine="0" w:firstLineChars="0"/>
        <w:rPr>
          <w:rFonts w:hint="eastAsia" w:ascii="宋体" w:hAnsi="宋体" w:eastAsia="宋体" w:cs="宋体"/>
          <w:color w:val="auto"/>
          <w:highlight w:val="none"/>
          <w:lang w:val="zh-CN"/>
        </w:rPr>
      </w:pPr>
    </w:p>
    <w:p w14:paraId="20EC6BD8">
      <w:pPr>
        <w:pStyle w:val="30"/>
        <w:ind w:left="0" w:leftChars="0" w:firstLine="0" w:firstLineChars="0"/>
        <w:rPr>
          <w:rFonts w:hint="eastAsia" w:ascii="宋体" w:hAnsi="宋体" w:eastAsia="宋体" w:cs="宋体"/>
          <w:color w:val="auto"/>
          <w:highlight w:val="none"/>
          <w:lang w:val="zh-CN"/>
        </w:rPr>
      </w:pPr>
    </w:p>
    <w:p w14:paraId="27CCA2D5">
      <w:pPr>
        <w:pStyle w:val="30"/>
        <w:ind w:left="0" w:leftChars="0" w:firstLine="0" w:firstLineChars="0"/>
        <w:rPr>
          <w:rFonts w:hint="eastAsia" w:ascii="宋体" w:hAnsi="宋体" w:eastAsia="宋体" w:cs="宋体"/>
          <w:color w:val="auto"/>
          <w:highlight w:val="none"/>
          <w:lang w:val="zh-CN"/>
        </w:rPr>
      </w:pPr>
    </w:p>
    <w:p w14:paraId="546CE309">
      <w:pPr>
        <w:pStyle w:val="30"/>
        <w:ind w:left="0" w:leftChars="0" w:firstLine="0" w:firstLineChars="0"/>
        <w:rPr>
          <w:rFonts w:hint="eastAsia" w:ascii="宋体" w:hAnsi="宋体" w:eastAsia="宋体" w:cs="宋体"/>
          <w:color w:val="auto"/>
          <w:highlight w:val="none"/>
          <w:lang w:val="zh-CN"/>
        </w:rPr>
      </w:pPr>
    </w:p>
    <w:p w14:paraId="2B3C659C">
      <w:pPr>
        <w:pStyle w:val="30"/>
        <w:ind w:left="0" w:leftChars="0" w:firstLine="0" w:firstLineChars="0"/>
        <w:rPr>
          <w:rFonts w:hint="eastAsia" w:ascii="宋体" w:hAnsi="宋体" w:eastAsia="宋体" w:cs="宋体"/>
          <w:color w:val="auto"/>
          <w:highlight w:val="none"/>
          <w:lang w:val="zh-CN"/>
        </w:rPr>
      </w:pPr>
    </w:p>
    <w:p w14:paraId="38B07FA5">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三、资格审查相关材料</w:t>
      </w:r>
    </w:p>
    <w:p w14:paraId="2198F6CB">
      <w:pPr>
        <w:pStyle w:val="9"/>
        <w:spacing w:line="360" w:lineRule="auto"/>
        <w:jc w:val="center"/>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3.1 报 价 函</w:t>
      </w:r>
    </w:p>
    <w:p w14:paraId="3D315743">
      <w:pPr>
        <w:pStyle w:val="9"/>
        <w:spacing w:line="360" w:lineRule="auto"/>
        <w:jc w:val="center"/>
        <w:rPr>
          <w:rFonts w:hint="eastAsia" w:ascii="宋体" w:hAnsi="宋体" w:eastAsia="宋体" w:cs="宋体"/>
          <w:b/>
          <w:snapToGrid w:val="0"/>
          <w:color w:val="auto"/>
          <w:kern w:val="0"/>
          <w:sz w:val="28"/>
          <w:szCs w:val="28"/>
          <w:highlight w:val="none"/>
        </w:rPr>
      </w:pPr>
    </w:p>
    <w:p w14:paraId="1C32B3CC">
      <w:pPr>
        <w:adjustRightInd w:val="0"/>
        <w:spacing w:line="360" w:lineRule="auto"/>
        <w:contextualSpacing/>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lang w:val="en-US" w:eastAsia="zh-CN"/>
        </w:rPr>
        <w:t xml:space="preserve">       （采购人）</w:t>
      </w:r>
    </w:p>
    <w:p w14:paraId="74F1FC5D">
      <w:pPr>
        <w:adjustRightInd w:val="0"/>
        <w:spacing w:line="360" w:lineRule="auto"/>
        <w:ind w:firstLine="420" w:firstLineChars="200"/>
        <w:contextualSpacing/>
        <w:outlineLvl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根据贵方________（项目名称、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Cs w:val="21"/>
          <w:highlight w:val="none"/>
        </w:rPr>
        <w:t>编号）采购的竞争性磋商公告及磋商邀请，_______（姓名和职务）被正式授权并代表供应商</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（供应商名称、地址）</w:t>
      </w:r>
      <w:r>
        <w:rPr>
          <w:rFonts w:hint="eastAsia" w:ascii="宋体" w:hAnsi="宋体" w:eastAsia="宋体" w:cs="宋体"/>
          <w:snapToGrid w:val="0"/>
          <w:color w:val="auto"/>
          <w:kern w:val="0"/>
          <w:szCs w:val="21"/>
          <w:highlight w:val="none"/>
        </w:rPr>
        <w:t>提交。</w:t>
      </w:r>
    </w:p>
    <w:p w14:paraId="7C0D7FB6">
      <w:pPr>
        <w:pStyle w:val="9"/>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 w:val="21"/>
          <w:szCs w:val="21"/>
          <w:highlight w:val="none"/>
        </w:rPr>
        <w:t>编号）磋商文件的全部内容。</w:t>
      </w:r>
    </w:p>
    <w:p w14:paraId="73B6DDFD">
      <w:pPr>
        <w:pStyle w:val="9"/>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eastAsia="宋体" w:cs="宋体"/>
          <w:color w:val="auto"/>
          <w:sz w:val="21"/>
          <w:szCs w:val="21"/>
          <w:highlight w:val="none"/>
        </w:rPr>
        <w:t>已完全理解并接受磋商文件的各项规定和要求及资金支付规定，对磋商文件的合理性、合法性不再有异议。</w:t>
      </w:r>
    </w:p>
    <w:p w14:paraId="6A93B63B">
      <w:pPr>
        <w:adjustRightInd w:val="0"/>
        <w:spacing w:line="360" w:lineRule="auto"/>
        <w:ind w:firstLine="525" w:firstLineChars="2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我方已完全明白磋商文件的所有条款要求，并申明如下：</w:t>
      </w:r>
    </w:p>
    <w:p w14:paraId="2EAA934C">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一、按磋商文件提供的全部货物与相关服务的响应总价详见《报价一览表》。</w:t>
      </w:r>
    </w:p>
    <w:p w14:paraId="3A7E059B">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二、我方同意在本项目磋商文件中规定的开标日起</w:t>
      </w:r>
      <w:r>
        <w:rPr>
          <w:rFonts w:hint="eastAsia" w:ascii="宋体" w:hAnsi="宋体" w:eastAsia="宋体" w:cs="宋体"/>
          <w:color w:val="auto"/>
          <w:szCs w:val="21"/>
          <w:highlight w:val="none"/>
          <w:u w:val="none"/>
          <w:lang w:val="en-US" w:eastAsia="zh-CN"/>
        </w:rPr>
        <w:t>90</w:t>
      </w:r>
      <w:r>
        <w:rPr>
          <w:rFonts w:hint="eastAsia" w:ascii="宋体" w:hAnsi="宋体" w:eastAsia="宋体" w:cs="宋体"/>
          <w:color w:val="auto"/>
          <w:szCs w:val="21"/>
          <w:highlight w:val="none"/>
        </w:rPr>
        <w:t>天内遵守本磋商文件中的承诺且在此期限期满之前均具有约束力。我方同意并遵守本磋商文件“供应商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F440C2F">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三、我方明白并同意，在规定的磋商响应时间截止之后</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响应有效期之内撤销磋商响应的，则我方承担违背响应承诺的责任追究。</w:t>
      </w:r>
    </w:p>
    <w:p w14:paraId="73729A8C">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四、我方同意按照贵方可能提出的要求而提供与磋商响应有关的任何</w:t>
      </w:r>
      <w:r>
        <w:rPr>
          <w:rFonts w:hint="eastAsia" w:ascii="宋体" w:hAnsi="宋体" w:eastAsia="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99D2577">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716DBEE">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六、我方如果成交，将保证履行磋商文件及其澄清、修改文件（如果有）中的全部责任和义务，按质、按量、按期完成《采购需求》及《合同书》中的全部任务。</w:t>
      </w:r>
    </w:p>
    <w:p w14:paraId="3C0FF9A8">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37EF283">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7B01D55D">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01147DB3">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13FC368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我方已依法缴纳了各项税费及社会保险费用，如有需要，可随时向采购人提供近六个月内的相关缴费证明，以便核查。</w:t>
      </w:r>
    </w:p>
    <w:p w14:paraId="26C298FC">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我方已依法建立健全的财务会计制度，如有需要，可随时向采购人提供相关证明材料，以便核查。</w:t>
      </w:r>
    </w:p>
    <w:p w14:paraId="075B3722">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参加政府采购活动前三年内，在经营活动中没有重大违法记录。</w:t>
      </w:r>
    </w:p>
    <w:p w14:paraId="205593EA">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符合法律、行政法规规定的其他条件。</w:t>
      </w:r>
    </w:p>
    <w:p w14:paraId="3BE7C03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以上内容如有虚假或与事实不符的，磋商小组可将我方</w:t>
      </w:r>
      <w:r>
        <w:rPr>
          <w:rFonts w:hint="eastAsia" w:ascii="宋体" w:hAnsi="宋体" w:eastAsia="宋体" w:cs="宋体"/>
          <w:color w:val="auto"/>
          <w:szCs w:val="21"/>
          <w:highlight w:val="none"/>
          <w:lang w:eastAsia="zh-CN"/>
        </w:rPr>
        <w:t>作</w:t>
      </w:r>
      <w:r>
        <w:rPr>
          <w:rFonts w:hint="eastAsia" w:ascii="宋体" w:hAnsi="宋体" w:eastAsia="宋体" w:cs="宋体"/>
          <w:color w:val="auto"/>
          <w:szCs w:val="21"/>
          <w:highlight w:val="none"/>
        </w:rPr>
        <w:t>无效投标处理，我方愿意承担相应的法律责任。</w:t>
      </w:r>
    </w:p>
    <w:p w14:paraId="530FC721">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3CFEA052">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6168A16D">
      <w:pPr>
        <w:pStyle w:val="9"/>
        <w:adjustRightInd w:val="0"/>
        <w:snapToGrid w:val="0"/>
        <w:spacing w:line="360" w:lineRule="auto"/>
        <w:rPr>
          <w:rFonts w:hint="eastAsia" w:ascii="宋体" w:hAnsi="宋体" w:eastAsia="宋体" w:cs="宋体"/>
          <w:color w:val="auto"/>
          <w:sz w:val="21"/>
          <w:szCs w:val="21"/>
          <w:highlight w:val="none"/>
        </w:rPr>
      </w:pPr>
    </w:p>
    <w:p w14:paraId="58A16C3B">
      <w:pPr>
        <w:pStyle w:val="9"/>
        <w:adjustRightInd w:val="0"/>
        <w:snapToGrid w:val="0"/>
        <w:spacing w:line="360" w:lineRule="auto"/>
        <w:rPr>
          <w:rFonts w:hint="eastAsia" w:ascii="宋体" w:hAnsi="宋体" w:eastAsia="宋体" w:cs="宋体"/>
          <w:color w:val="auto"/>
          <w:sz w:val="21"/>
          <w:szCs w:val="21"/>
          <w:highlight w:val="none"/>
        </w:rPr>
      </w:pPr>
    </w:p>
    <w:p w14:paraId="7B1FBC37">
      <w:pPr>
        <w:pStyle w:val="9"/>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所有与本项目磋商有关的一切正式往来请寄：</w:t>
      </w:r>
    </w:p>
    <w:p w14:paraId="6295F292">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lang w:eastAsia="zh-CN"/>
        </w:rPr>
        <w:t>：</w:t>
      </w:r>
    </w:p>
    <w:p w14:paraId="497A8ED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lang w:eastAsia="zh-CN"/>
        </w:rPr>
        <w:t>：</w:t>
      </w:r>
    </w:p>
    <w:p w14:paraId="42C43ABC">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            职    务</w:t>
      </w:r>
      <w:r>
        <w:rPr>
          <w:rFonts w:hint="eastAsia" w:ascii="宋体" w:hAnsi="宋体" w:eastAsia="宋体" w:cs="宋体"/>
          <w:color w:val="auto"/>
          <w:szCs w:val="21"/>
          <w:highlight w:val="none"/>
          <w:lang w:eastAsia="zh-CN"/>
        </w:rPr>
        <w:t>：</w:t>
      </w:r>
    </w:p>
    <w:p w14:paraId="3BC61BBD">
      <w:pPr>
        <w:adjustRightInd w:val="0"/>
        <w:snapToGrid w:val="0"/>
        <w:spacing w:line="360" w:lineRule="auto"/>
        <w:rPr>
          <w:rFonts w:hint="eastAsia" w:ascii="宋体" w:hAnsi="宋体" w:eastAsia="宋体" w:cs="宋体"/>
          <w:color w:val="auto"/>
          <w:szCs w:val="21"/>
          <w:highlight w:val="none"/>
          <w:u w:val="single"/>
        </w:rPr>
      </w:pPr>
    </w:p>
    <w:p w14:paraId="271EA72A">
      <w:pPr>
        <w:adjustRightInd w:val="0"/>
        <w:snapToGrid w:val="0"/>
        <w:spacing w:line="360" w:lineRule="auto"/>
        <w:rPr>
          <w:rFonts w:hint="eastAsia" w:ascii="宋体" w:hAnsi="宋体" w:eastAsia="宋体" w:cs="宋体"/>
          <w:color w:val="auto"/>
          <w:szCs w:val="21"/>
          <w:highlight w:val="none"/>
          <w:u w:val="single"/>
        </w:rPr>
      </w:pPr>
    </w:p>
    <w:p w14:paraId="30B0B628">
      <w:pPr>
        <w:adjustRightInd w:val="0"/>
        <w:snapToGrid w:val="0"/>
        <w:spacing w:line="360" w:lineRule="auto"/>
        <w:rPr>
          <w:rFonts w:hint="eastAsia" w:ascii="宋体" w:hAnsi="宋体" w:eastAsia="宋体" w:cs="宋体"/>
          <w:color w:val="auto"/>
          <w:szCs w:val="21"/>
          <w:highlight w:val="none"/>
          <w:u w:val="single"/>
        </w:rPr>
      </w:pPr>
    </w:p>
    <w:p w14:paraId="01BF1F5F">
      <w:pPr>
        <w:adjustRightInd w:val="0"/>
        <w:snapToGrid w:val="0"/>
        <w:spacing w:line="360" w:lineRule="auto"/>
        <w:rPr>
          <w:rFonts w:hint="eastAsia" w:ascii="宋体" w:hAnsi="宋体" w:eastAsia="宋体" w:cs="宋体"/>
          <w:color w:val="auto"/>
          <w:szCs w:val="21"/>
          <w:highlight w:val="none"/>
          <w:u w:val="single"/>
        </w:rPr>
      </w:pPr>
    </w:p>
    <w:p w14:paraId="20128A7D">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03B1A0BC">
      <w:pPr>
        <w:adjustRightInd w:val="0"/>
        <w:snapToGrid w:val="0"/>
        <w:spacing w:line="360" w:lineRule="auto"/>
        <w:ind w:firstLine="4305" w:firstLineChars="2050"/>
        <w:rPr>
          <w:rFonts w:hint="eastAsia" w:ascii="宋体" w:hAnsi="宋体" w:eastAsia="宋体" w:cs="宋体"/>
          <w:color w:val="auto"/>
          <w:szCs w:val="21"/>
          <w:highlight w:val="none"/>
        </w:rPr>
      </w:pPr>
    </w:p>
    <w:p w14:paraId="204E15F1">
      <w:pPr>
        <w:adjustRightInd w:val="0"/>
        <w:snapToGrid w:val="0"/>
        <w:spacing w:line="360" w:lineRule="auto"/>
        <w:ind w:firstLine="4305" w:firstLineChars="20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321603E">
      <w:pPr>
        <w:adjustRightInd w:val="0"/>
        <w:snapToGrid w:val="0"/>
        <w:spacing w:line="360" w:lineRule="auto"/>
        <w:ind w:firstLine="4305" w:firstLineChars="2050"/>
        <w:rPr>
          <w:rFonts w:hint="eastAsia" w:ascii="宋体" w:hAnsi="宋体" w:eastAsia="宋体" w:cs="宋体"/>
          <w:color w:val="auto"/>
          <w:szCs w:val="21"/>
          <w:highlight w:val="none"/>
        </w:rPr>
      </w:pPr>
    </w:p>
    <w:p w14:paraId="3203D22F">
      <w:pPr>
        <w:adjustRightInd w:val="0"/>
        <w:snapToGrid w:val="0"/>
        <w:spacing w:line="360" w:lineRule="auto"/>
        <w:rPr>
          <w:rFonts w:hint="eastAsia" w:ascii="宋体" w:hAnsi="宋体" w:eastAsia="宋体" w:cs="宋体"/>
          <w:color w:val="auto"/>
          <w:szCs w:val="21"/>
          <w:highlight w:val="none"/>
        </w:rPr>
      </w:pPr>
    </w:p>
    <w:p w14:paraId="12AAEE54">
      <w:pPr>
        <w:adjustRightInd w:val="0"/>
        <w:snapToGrid w:val="0"/>
        <w:spacing w:line="360" w:lineRule="auto"/>
        <w:rPr>
          <w:rFonts w:hint="eastAsia" w:ascii="宋体" w:hAnsi="宋体" w:eastAsia="宋体" w:cs="宋体"/>
          <w:color w:val="auto"/>
          <w:szCs w:val="21"/>
          <w:highlight w:val="none"/>
        </w:rPr>
      </w:pPr>
    </w:p>
    <w:p w14:paraId="022DA19A">
      <w:pPr>
        <w:adjustRightInd w:val="0"/>
        <w:snapToGrid w:val="0"/>
        <w:spacing w:line="360" w:lineRule="auto"/>
        <w:rPr>
          <w:rFonts w:hint="eastAsia" w:ascii="宋体" w:hAnsi="宋体" w:eastAsia="宋体" w:cs="宋体"/>
          <w:color w:val="auto"/>
          <w:szCs w:val="21"/>
          <w:highlight w:val="none"/>
        </w:rPr>
      </w:pPr>
    </w:p>
    <w:p w14:paraId="69BD3062">
      <w:pPr>
        <w:adjustRightInd w:val="0"/>
        <w:snapToGrid w:val="0"/>
        <w:spacing w:line="360" w:lineRule="auto"/>
        <w:rPr>
          <w:rFonts w:hint="eastAsia" w:ascii="宋体" w:hAnsi="宋体" w:eastAsia="宋体" w:cs="宋体"/>
          <w:color w:val="auto"/>
          <w:szCs w:val="21"/>
          <w:highlight w:val="none"/>
        </w:rPr>
      </w:pPr>
    </w:p>
    <w:p w14:paraId="592B65E1">
      <w:pPr>
        <w:adjustRightInd w:val="0"/>
        <w:snapToGrid w:val="0"/>
        <w:spacing w:line="360" w:lineRule="auto"/>
        <w:rPr>
          <w:rFonts w:hint="eastAsia" w:ascii="宋体" w:hAnsi="宋体" w:eastAsia="宋体" w:cs="宋体"/>
          <w:color w:val="auto"/>
          <w:szCs w:val="21"/>
          <w:highlight w:val="none"/>
        </w:rPr>
      </w:pPr>
    </w:p>
    <w:p w14:paraId="0A762D95">
      <w:pPr>
        <w:adjustRightInd w:val="0"/>
        <w:snapToGrid w:val="0"/>
        <w:spacing w:line="360" w:lineRule="auto"/>
        <w:rPr>
          <w:rFonts w:hint="eastAsia" w:ascii="宋体" w:hAnsi="宋体" w:eastAsia="宋体" w:cs="宋体"/>
          <w:color w:val="auto"/>
          <w:szCs w:val="21"/>
          <w:highlight w:val="none"/>
        </w:rPr>
      </w:pPr>
    </w:p>
    <w:p w14:paraId="64D49642">
      <w:pPr>
        <w:adjustRightInd w:val="0"/>
        <w:snapToGrid w:val="0"/>
        <w:spacing w:line="360" w:lineRule="auto"/>
        <w:rPr>
          <w:rFonts w:hint="eastAsia" w:ascii="宋体" w:hAnsi="宋体" w:eastAsia="宋体" w:cs="宋体"/>
          <w:color w:val="auto"/>
          <w:szCs w:val="21"/>
          <w:highlight w:val="none"/>
        </w:rPr>
      </w:pPr>
    </w:p>
    <w:p w14:paraId="07D0431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法定代表人（单位负责人）资格证明书</w:t>
      </w:r>
    </w:p>
    <w:p w14:paraId="0330645C">
      <w:pPr>
        <w:pStyle w:val="36"/>
        <w:spacing w:line="480" w:lineRule="auto"/>
        <w:ind w:firstLine="0" w:firstLineChars="0"/>
        <w:jc w:val="left"/>
        <w:rPr>
          <w:rFonts w:hint="eastAsia" w:ascii="宋体" w:hAnsi="宋体" w:eastAsia="宋体" w:cs="宋体"/>
          <w:color w:val="auto"/>
          <w:sz w:val="21"/>
          <w:szCs w:val="21"/>
          <w:highlight w:val="none"/>
        </w:rPr>
      </w:pPr>
    </w:p>
    <w:p w14:paraId="347E7FBC">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1DB58305">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3559D9F">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3ABA2C0B">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竞争性磋商项目的响应报价，签署上述项目的响应文件及合同的执行、完成、服务和保修，签署合同和处理与之有关的一切事务。</w:t>
      </w:r>
    </w:p>
    <w:p w14:paraId="0FB78F06">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C49A8CD">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2E0FBFFD">
      <w:pPr>
        <w:pStyle w:val="36"/>
        <w:spacing w:line="480" w:lineRule="auto"/>
        <w:ind w:firstLine="472" w:firstLineChars="225"/>
        <w:jc w:val="left"/>
        <w:rPr>
          <w:rFonts w:hint="eastAsia" w:ascii="宋体" w:hAnsi="宋体" w:eastAsia="宋体" w:cs="宋体"/>
          <w:color w:val="auto"/>
          <w:sz w:val="21"/>
          <w:szCs w:val="21"/>
          <w:highlight w:val="none"/>
        </w:rPr>
      </w:pPr>
    </w:p>
    <w:p w14:paraId="54894E12">
      <w:pPr>
        <w:pStyle w:val="36"/>
        <w:spacing w:line="480" w:lineRule="auto"/>
        <w:ind w:firstLine="472" w:firstLineChars="225"/>
        <w:jc w:val="left"/>
        <w:rPr>
          <w:rFonts w:hint="eastAsia" w:ascii="宋体" w:hAnsi="宋体" w:eastAsia="宋体" w:cs="宋体"/>
          <w:color w:val="auto"/>
          <w:sz w:val="21"/>
          <w:szCs w:val="21"/>
          <w:highlight w:val="none"/>
        </w:rPr>
      </w:pPr>
    </w:p>
    <w:p w14:paraId="719A9ADF">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14:paraId="1D9E0E42">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p>
    <w:p w14:paraId="13507436">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41F8C1CF">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2A37041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748EB7CA">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62C8E268">
      <w:pPr>
        <w:pStyle w:val="37"/>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582A9A3C">
      <w:pPr>
        <w:pStyle w:val="38"/>
        <w:spacing w:line="480" w:lineRule="auto"/>
        <w:rPr>
          <w:rFonts w:hint="eastAsia" w:ascii="宋体" w:hAnsi="宋体" w:eastAsia="宋体" w:cs="宋体"/>
          <w:color w:val="auto"/>
          <w:sz w:val="21"/>
          <w:szCs w:val="21"/>
          <w:highlight w:val="none"/>
        </w:rPr>
      </w:pPr>
    </w:p>
    <w:p w14:paraId="27D571E6">
      <w:pPr>
        <w:rPr>
          <w:rFonts w:hint="eastAsia" w:ascii="宋体" w:hAnsi="宋体" w:eastAsia="宋体" w:cs="宋体"/>
          <w:color w:val="auto"/>
          <w:szCs w:val="21"/>
          <w:highlight w:val="none"/>
        </w:rPr>
      </w:pPr>
    </w:p>
    <w:p w14:paraId="0B05E903">
      <w:pPr>
        <w:spacing w:line="320" w:lineRule="exact"/>
        <w:ind w:firstLine="420" w:firstLineChars="200"/>
        <w:rPr>
          <w:rFonts w:hint="eastAsia"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说明：法定代表人（单位负责人）参加本竞争性磋商项目响应的，仅</w:t>
      </w:r>
      <w:r>
        <w:rPr>
          <w:rFonts w:hint="eastAsia" w:ascii="宋体" w:hAnsi="宋体" w:eastAsia="宋体" w:cs="宋体"/>
          <w:bCs/>
          <w:color w:val="auto"/>
          <w:kern w:val="12"/>
          <w:szCs w:val="21"/>
          <w:highlight w:val="none"/>
          <w:lang w:eastAsia="zh-CN"/>
        </w:rPr>
        <w:t>需</w:t>
      </w:r>
      <w:r>
        <w:rPr>
          <w:rFonts w:hint="eastAsia" w:ascii="宋体" w:hAnsi="宋体" w:eastAsia="宋体" w:cs="宋体"/>
          <w:bCs/>
          <w:color w:val="auto"/>
          <w:kern w:val="12"/>
          <w:szCs w:val="21"/>
          <w:highlight w:val="none"/>
        </w:rPr>
        <w:t>出具此证明书。</w:t>
      </w:r>
    </w:p>
    <w:p w14:paraId="5CDC324E">
      <w:pPr>
        <w:spacing w:line="480" w:lineRule="exact"/>
        <w:jc w:val="center"/>
        <w:rPr>
          <w:rFonts w:hint="eastAsia" w:ascii="宋体" w:hAnsi="宋体" w:eastAsia="宋体" w:cs="宋体"/>
          <w:b/>
          <w:bCs/>
          <w:color w:val="auto"/>
          <w:sz w:val="24"/>
          <w:szCs w:val="24"/>
          <w:highlight w:val="none"/>
        </w:rPr>
      </w:pPr>
    </w:p>
    <w:p w14:paraId="5AA12D8D">
      <w:pPr>
        <w:spacing w:line="480" w:lineRule="exact"/>
        <w:jc w:val="center"/>
        <w:rPr>
          <w:rFonts w:hint="eastAsia" w:ascii="宋体" w:hAnsi="宋体" w:eastAsia="宋体" w:cs="宋体"/>
          <w:b/>
          <w:bCs/>
          <w:color w:val="auto"/>
          <w:sz w:val="24"/>
          <w:szCs w:val="24"/>
          <w:highlight w:val="none"/>
        </w:rPr>
      </w:pPr>
    </w:p>
    <w:p w14:paraId="602160F0">
      <w:pPr>
        <w:spacing w:line="480" w:lineRule="exact"/>
        <w:jc w:val="center"/>
        <w:rPr>
          <w:rFonts w:hint="eastAsia" w:ascii="宋体" w:hAnsi="宋体" w:eastAsia="宋体" w:cs="宋体"/>
          <w:b/>
          <w:bCs/>
          <w:color w:val="auto"/>
          <w:sz w:val="24"/>
          <w:szCs w:val="24"/>
          <w:highlight w:val="none"/>
        </w:rPr>
      </w:pPr>
    </w:p>
    <w:p w14:paraId="0C924EE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法定代表人（单位负责人）授权书</w:t>
      </w:r>
    </w:p>
    <w:p w14:paraId="64F98A4D">
      <w:pPr>
        <w:spacing w:line="480" w:lineRule="exact"/>
        <w:jc w:val="center"/>
        <w:rPr>
          <w:rFonts w:hint="eastAsia" w:ascii="宋体" w:hAnsi="宋体" w:eastAsia="宋体" w:cs="宋体"/>
          <w:b/>
          <w:bCs/>
          <w:color w:val="auto"/>
          <w:sz w:val="36"/>
          <w:szCs w:val="36"/>
          <w:highlight w:val="none"/>
        </w:rPr>
      </w:pPr>
    </w:p>
    <w:p w14:paraId="179DA21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供应商名称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以我方的名义参加贵方______________________项目的磋商响应活动，并代表我方全权办理针对上述项目的磋商、响应文件澄清、签约等一切具体事务和签署相关文件。</w:t>
      </w:r>
    </w:p>
    <w:p w14:paraId="05409DA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4B297E4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4E8B6A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247BEB9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（并加盖单位公章）</w:t>
      </w:r>
    </w:p>
    <w:p w14:paraId="7D05FE3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法定代表人（单位负责人）：（签字或加盖名章）</w:t>
      </w:r>
    </w:p>
    <w:p w14:paraId="055552A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法定代表人（单位负责人）授权代表：（签字或加盖名章）</w:t>
      </w:r>
    </w:p>
    <w:p w14:paraId="5805E38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A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05674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c>
          <w:tcPr>
            <w:tcW w:w="4485" w:type="dxa"/>
            <w:gridSpan w:val="2"/>
            <w:vAlign w:val="center"/>
          </w:tcPr>
          <w:p w14:paraId="7D9E6B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r>
      <w:tr w14:paraId="0CD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3B791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533DB1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2" w:type="dxa"/>
            <w:gridSpan w:val="2"/>
            <w:vAlign w:val="center"/>
          </w:tcPr>
          <w:p w14:paraId="0198FB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4FB068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53E922CF">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0488ED8E">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磋商承诺函</w:t>
      </w:r>
    </w:p>
    <w:p w14:paraId="2D8CF3CD">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5E2CE4E6">
      <w:pPr>
        <w:spacing w:beforeLines="50" w:afterLines="50"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hint="eastAsia" w:ascii="宋体" w:hAnsi="宋体" w:eastAsia="宋体" w:cs="宋体"/>
          <w:color w:val="auto"/>
          <w:szCs w:val="21"/>
          <w:highlight w:val="none"/>
          <w:lang w:val="zh-CN"/>
        </w:rPr>
        <w:t>：</w:t>
      </w:r>
    </w:p>
    <w:p w14:paraId="52F2EDAD">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2A13449A">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一、在响应有效期内撤销响应文件；</w:t>
      </w:r>
    </w:p>
    <w:p w14:paraId="6DC3ECF5">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二、在响应文件中提供虚假材料；</w:t>
      </w:r>
    </w:p>
    <w:p w14:paraId="32B6A317">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三、除因不可抗力或磋商文件认可的情形以外，成交后不与采购人签订合同；</w:t>
      </w:r>
    </w:p>
    <w:p w14:paraId="4894D029">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四、与采购人、其他供应商或者采购代理机构恶意串通；</w:t>
      </w:r>
    </w:p>
    <w:p w14:paraId="71D5209B">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五、法律法规及本磋商文件规定的其他严重违法行为。</w:t>
      </w:r>
    </w:p>
    <w:p w14:paraId="2D6A177A">
      <w:pPr>
        <w:rPr>
          <w:rFonts w:hint="eastAsia" w:ascii="宋体" w:hAnsi="宋体" w:eastAsia="宋体" w:cs="宋体"/>
          <w:color w:val="auto"/>
          <w:sz w:val="28"/>
          <w:szCs w:val="28"/>
          <w:highlight w:val="none"/>
          <w:u w:val="single"/>
        </w:rPr>
      </w:pPr>
    </w:p>
    <w:p w14:paraId="545FC852">
      <w:pPr>
        <w:rPr>
          <w:rFonts w:hint="eastAsia" w:ascii="宋体" w:hAnsi="宋体" w:eastAsia="宋体" w:cs="宋体"/>
          <w:color w:val="auto"/>
          <w:sz w:val="28"/>
          <w:szCs w:val="28"/>
          <w:highlight w:val="none"/>
          <w:u w:val="single"/>
        </w:rPr>
      </w:pPr>
    </w:p>
    <w:p w14:paraId="6767B1BC">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4836E9FD">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234CCDB3">
      <w:pPr>
        <w:autoSpaceDE w:val="0"/>
        <w:autoSpaceDN w:val="0"/>
        <w:adjustRightInd w:val="0"/>
        <w:spacing w:line="360" w:lineRule="auto"/>
        <w:jc w:val="center"/>
        <w:rPr>
          <w:rFonts w:hint="eastAsia" w:ascii="宋体" w:hAnsi="宋体" w:eastAsia="宋体" w:cs="宋体"/>
          <w:color w:val="auto"/>
          <w:szCs w:val="21"/>
          <w:highlight w:val="none"/>
          <w:lang w:val="zh-CN"/>
        </w:rPr>
      </w:pPr>
    </w:p>
    <w:p w14:paraId="438CDFE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6EAE4C0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67DFA4B">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B22D25A">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C010D46">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04F1E6D7">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264062F">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99D8ED3">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1801179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54FAF24">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B018810">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27AE134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禹州市政府采购供应商信用承诺函</w:t>
      </w:r>
    </w:p>
    <w:p w14:paraId="79C0EC11">
      <w:pPr>
        <w:rPr>
          <w:rFonts w:hint="eastAsia" w:ascii="宋体" w:hAnsi="宋体" w:eastAsia="宋体" w:cs="宋体"/>
          <w:color w:val="auto"/>
          <w:szCs w:val="21"/>
          <w:highlight w:val="none"/>
          <w:lang w:val="zh-CN"/>
        </w:rPr>
      </w:pPr>
    </w:p>
    <w:p w14:paraId="45715C44">
      <w:pPr>
        <w:spacing w:line="6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致（采购人或采购代理机构）：</w:t>
      </w:r>
    </w:p>
    <w:p w14:paraId="72DD258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单位名称（自然人姓名）：</w:t>
      </w:r>
    </w:p>
    <w:p w14:paraId="0ED72FC6">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统一社会信用代码（身份证号码）：</w:t>
      </w:r>
    </w:p>
    <w:p w14:paraId="33D8BF6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w:t>
      </w:r>
    </w:p>
    <w:p w14:paraId="4102577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联系地址和电话：</w:t>
      </w:r>
    </w:p>
    <w:p w14:paraId="54214BD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为维护公平、公正、公开的政府采购市场秩序，树立诚实守信的政府采购供应商形象，我单位（本人）自愿作出以下承诺：</w:t>
      </w:r>
    </w:p>
    <w:p w14:paraId="46D7B7D3">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D9DBC2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（一）具有独立承担民事责任的能力；</w:t>
      </w:r>
    </w:p>
    <w:p w14:paraId="1BCD9597">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（二）具有良好的商业信誉和健全的财务会计制度；</w:t>
      </w:r>
    </w:p>
    <w:p w14:paraId="4A28B2B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（三）具有履行合同所必需的设备和专业技术能力；</w:t>
      </w:r>
    </w:p>
    <w:p w14:paraId="40407104">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（四）有依法缴纳税收和社会保障资金的良好记录；</w:t>
      </w:r>
    </w:p>
    <w:p w14:paraId="3DE3EFBA">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（五）参加政府采购活动前三年内，在经营活动中没有重大违法记录；</w:t>
      </w:r>
    </w:p>
    <w:p w14:paraId="111AB9D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（六）未被列入经营异常名录或者严重违法失信名单、失信被执行人，重大税收违法案件当事人名单、政府采购严重违法失信行为记录名单；</w:t>
      </w:r>
    </w:p>
    <w:p w14:paraId="53652EC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（七）未被相关监管部门作出行政处罚且尚在处罚有效期的；</w:t>
      </w:r>
    </w:p>
    <w:p w14:paraId="7FA384E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（八）未曾作出虚假采购承诺；</w:t>
      </w:r>
    </w:p>
    <w:p w14:paraId="4F914B8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（九）符合法律、行政法规规定的其他条件。</w:t>
      </w:r>
    </w:p>
    <w:p w14:paraId="08D8381E">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2F7B25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供应商（电子章）：</w:t>
      </w:r>
    </w:p>
    <w:p w14:paraId="6626485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29020B2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日期：年月日</w:t>
      </w:r>
    </w:p>
    <w:p w14:paraId="409D0102">
      <w:pPr>
        <w:rPr>
          <w:rFonts w:hint="eastAsia" w:ascii="宋体" w:hAnsi="宋体" w:eastAsia="宋体" w:cs="宋体"/>
          <w:color w:val="auto"/>
          <w:szCs w:val="21"/>
          <w:highlight w:val="none"/>
          <w:lang w:val="zh-CN"/>
        </w:rPr>
      </w:pPr>
    </w:p>
    <w:p w14:paraId="3EA7B6DA">
      <w:pPr>
        <w:rPr>
          <w:rFonts w:hint="eastAsia" w:ascii="宋体" w:hAnsi="宋体" w:eastAsia="宋体" w:cs="宋体"/>
          <w:color w:val="auto"/>
          <w:szCs w:val="21"/>
          <w:highlight w:val="none"/>
        </w:rPr>
      </w:pPr>
    </w:p>
    <w:p w14:paraId="5BD92A85">
      <w:pPr>
        <w:rPr>
          <w:rFonts w:hint="eastAsia" w:ascii="宋体" w:hAnsi="宋体" w:eastAsia="宋体" w:cs="宋体"/>
          <w:color w:val="auto"/>
          <w:highlight w:val="none"/>
        </w:rPr>
      </w:pPr>
      <w:r>
        <w:rPr>
          <w:rFonts w:hint="eastAsia" w:ascii="宋体" w:hAnsi="宋体" w:eastAsia="宋体" w:cs="宋体"/>
          <w:color w:val="auto"/>
          <w:szCs w:val="21"/>
          <w:highlight w:val="none"/>
        </w:rPr>
        <w:t>注：1.供应商须在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文件中按此模板提供承诺函，未提供视为未实质性响应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文件要求，按无效投标处理。</w:t>
      </w:r>
    </w:p>
    <w:p w14:paraId="71C65391">
      <w:pPr>
        <w:rPr>
          <w:rFonts w:hint="eastAsia" w:ascii="宋体" w:hAnsi="宋体" w:eastAsia="宋体" w:cs="宋体"/>
          <w:color w:val="auto"/>
          <w:highlight w:val="none"/>
        </w:rPr>
      </w:pPr>
      <w:r>
        <w:rPr>
          <w:rFonts w:hint="eastAsia" w:ascii="宋体" w:hAnsi="宋体" w:eastAsia="宋体" w:cs="宋体"/>
          <w:color w:val="auto"/>
          <w:szCs w:val="21"/>
          <w:highlight w:val="none"/>
        </w:rPr>
        <w:t>2.供应商的法定代表人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授权代表的签字或盖章应真实、有效，如由授权代表签字或盖章的，应提供“法定代表人授权书”。</w:t>
      </w:r>
    </w:p>
    <w:p w14:paraId="6E14C8B3">
      <w:pPr>
        <w:rPr>
          <w:rFonts w:hint="eastAsia" w:ascii="宋体" w:hAnsi="宋体" w:eastAsia="宋体" w:cs="宋体"/>
          <w:color w:val="auto"/>
          <w:sz w:val="32"/>
          <w:szCs w:val="32"/>
          <w:highlight w:val="none"/>
        </w:rPr>
      </w:pPr>
    </w:p>
    <w:p w14:paraId="105AB67E">
      <w:pPr>
        <w:rPr>
          <w:rFonts w:hint="eastAsia" w:ascii="宋体" w:hAnsi="宋体" w:eastAsia="宋体" w:cs="宋体"/>
          <w:b/>
          <w:bCs/>
          <w:color w:val="auto"/>
          <w:kern w:val="0"/>
          <w:sz w:val="29"/>
          <w:highlight w:val="none"/>
          <w:lang w:val="en-US" w:eastAsia="zh-CN"/>
        </w:rPr>
      </w:pPr>
      <w:r>
        <w:rPr>
          <w:rFonts w:hint="eastAsia" w:ascii="宋体" w:hAnsi="宋体" w:eastAsia="宋体" w:cs="宋体"/>
          <w:b/>
          <w:bCs/>
          <w:color w:val="auto"/>
          <w:kern w:val="0"/>
          <w:sz w:val="29"/>
          <w:highlight w:val="none"/>
          <w:lang w:val="en-US" w:eastAsia="zh-CN"/>
        </w:rPr>
        <w:br w:type="page"/>
      </w:r>
    </w:p>
    <w:p w14:paraId="113FA215">
      <w:pPr>
        <w:shd w:val="clear" w:color="auto" w:fill="FFFFFF"/>
        <w:spacing w:before="100" w:beforeAutospacing="1" w:after="100" w:afterAutospacing="1" w:line="435" w:lineRule="atLeast"/>
        <w:jc w:val="center"/>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lang w:val="en-US" w:eastAsia="zh-CN"/>
        </w:rPr>
        <w:t xml:space="preserve">3.6 </w:t>
      </w:r>
      <w:r>
        <w:rPr>
          <w:rFonts w:hint="eastAsia" w:ascii="宋体" w:hAnsi="宋体" w:eastAsia="宋体" w:cs="宋体"/>
          <w:b/>
          <w:bCs/>
          <w:color w:val="auto"/>
          <w:kern w:val="0"/>
          <w:sz w:val="24"/>
          <w:szCs w:val="20"/>
          <w:highlight w:val="none"/>
        </w:rPr>
        <w:t>中小企业声明函（</w:t>
      </w:r>
      <w:r>
        <w:rPr>
          <w:rFonts w:hint="eastAsia" w:ascii="宋体" w:hAnsi="宋体" w:eastAsia="宋体" w:cs="宋体"/>
          <w:b/>
          <w:bCs/>
          <w:color w:val="auto"/>
          <w:kern w:val="0"/>
          <w:sz w:val="24"/>
          <w:szCs w:val="20"/>
          <w:highlight w:val="none"/>
          <w:lang w:val="en-US" w:eastAsia="zh-CN"/>
        </w:rPr>
        <w:t>工程</w:t>
      </w:r>
      <w:r>
        <w:rPr>
          <w:rFonts w:hint="eastAsia" w:ascii="宋体" w:hAnsi="宋体" w:eastAsia="宋体" w:cs="宋体"/>
          <w:b/>
          <w:bCs/>
          <w:color w:val="auto"/>
          <w:kern w:val="0"/>
          <w:sz w:val="24"/>
          <w:szCs w:val="20"/>
          <w:highlight w:val="none"/>
        </w:rPr>
        <w:t>）</w:t>
      </w:r>
    </w:p>
    <w:p w14:paraId="2BB5D673">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0"/>
          <w:szCs w:val="21"/>
          <w:highlight w:val="none"/>
          <w:u w:val="single"/>
        </w:rPr>
        <w:t>    （单位名称）</w:t>
      </w:r>
      <w:r>
        <w:rPr>
          <w:rFonts w:hint="eastAsia" w:ascii="宋体" w:hAnsi="宋体" w:eastAsia="宋体" w:cs="宋体"/>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79E2D8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48086CAF">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行业；制造商为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0E895FE2">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5473B2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14:paraId="27F03D27">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6884376A">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14:paraId="07D9FD5E">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p w14:paraId="39C74890">
      <w:pPr>
        <w:autoSpaceDE w:val="0"/>
        <w:autoSpaceDN w:val="0"/>
        <w:adjustRightInd w:val="0"/>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7EDEAF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0FB6B96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66C75761">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p>
    <w:p w14:paraId="6C41CAC6">
      <w:pPr>
        <w:widowControl/>
        <w:jc w:val="left"/>
        <w:rPr>
          <w:rFonts w:hint="eastAsia" w:ascii="宋体" w:hAnsi="宋体" w:eastAsia="宋体" w:cs="宋体"/>
          <w:b/>
          <w:bCs/>
          <w:color w:val="auto"/>
          <w:sz w:val="24"/>
          <w:szCs w:val="24"/>
          <w:highlight w:val="none"/>
        </w:rPr>
      </w:pPr>
    </w:p>
    <w:p w14:paraId="5A6E7817">
      <w:pPr>
        <w:rPr>
          <w:rFonts w:hint="eastAsia" w:ascii="宋体" w:hAnsi="宋体" w:eastAsia="宋体" w:cs="宋体"/>
          <w:b/>
          <w:bCs/>
          <w:color w:val="auto"/>
          <w:sz w:val="24"/>
          <w:szCs w:val="24"/>
          <w:highlight w:val="none"/>
          <w:lang w:val="en-US" w:eastAsia="zh-CN"/>
        </w:rPr>
      </w:pPr>
      <w:bookmarkStart w:id="9" w:name="OLE_LINK14"/>
      <w:bookmarkStart w:id="10" w:name="OLE_LINK13"/>
      <w:r>
        <w:rPr>
          <w:rFonts w:hint="eastAsia" w:ascii="宋体" w:hAnsi="宋体" w:eastAsia="宋体" w:cs="宋体"/>
          <w:b/>
          <w:bCs/>
          <w:color w:val="auto"/>
          <w:sz w:val="24"/>
          <w:szCs w:val="24"/>
          <w:highlight w:val="none"/>
          <w:lang w:val="en-US" w:eastAsia="zh-CN"/>
        </w:rPr>
        <w:br w:type="page"/>
      </w:r>
    </w:p>
    <w:p w14:paraId="65BAF51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3.7 </w:t>
      </w:r>
      <w:r>
        <w:rPr>
          <w:rFonts w:hint="eastAsia" w:ascii="宋体" w:hAnsi="宋体" w:eastAsia="宋体" w:cs="宋体"/>
          <w:b/>
          <w:bCs/>
          <w:color w:val="auto"/>
          <w:sz w:val="24"/>
          <w:szCs w:val="24"/>
          <w:highlight w:val="none"/>
        </w:rPr>
        <w:t xml:space="preserve"> 残疾人福利性单位声明函</w:t>
      </w:r>
    </w:p>
    <w:bookmarkEnd w:id="9"/>
    <w:bookmarkEnd w:id="10"/>
    <w:p w14:paraId="4D6D6CFA">
      <w:pPr>
        <w:spacing w:line="360" w:lineRule="auto"/>
        <w:rPr>
          <w:rFonts w:hint="eastAsia" w:ascii="宋体" w:hAnsi="宋体" w:eastAsia="宋体" w:cs="宋体"/>
          <w:color w:val="auto"/>
          <w:szCs w:val="21"/>
          <w:highlight w:val="none"/>
        </w:rPr>
      </w:pPr>
    </w:p>
    <w:p w14:paraId="3736E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/不为）</w:t>
      </w:r>
      <w:r>
        <w:rPr>
          <w:rFonts w:hint="eastAsia" w:ascii="宋体" w:hAnsi="宋体" w:eastAsia="宋体" w:cs="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F367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E6F57F2">
      <w:pPr>
        <w:spacing w:line="360" w:lineRule="auto"/>
        <w:rPr>
          <w:rFonts w:hint="eastAsia" w:ascii="宋体" w:hAnsi="宋体" w:eastAsia="宋体" w:cs="宋体"/>
          <w:color w:val="auto"/>
          <w:szCs w:val="21"/>
          <w:highlight w:val="none"/>
        </w:rPr>
      </w:pPr>
    </w:p>
    <w:p w14:paraId="711C7113">
      <w:pPr>
        <w:spacing w:line="360" w:lineRule="auto"/>
        <w:rPr>
          <w:rFonts w:hint="eastAsia" w:ascii="宋体" w:hAnsi="宋体" w:eastAsia="宋体" w:cs="宋体"/>
          <w:color w:val="auto"/>
          <w:szCs w:val="21"/>
          <w:highlight w:val="none"/>
        </w:rPr>
      </w:pPr>
    </w:p>
    <w:p w14:paraId="7FD96BF2">
      <w:pPr>
        <w:spacing w:line="360" w:lineRule="auto"/>
        <w:rPr>
          <w:rFonts w:hint="eastAsia" w:ascii="宋体" w:hAnsi="宋体" w:eastAsia="宋体" w:cs="宋体"/>
          <w:color w:val="auto"/>
          <w:szCs w:val="21"/>
          <w:highlight w:val="none"/>
        </w:rPr>
      </w:pPr>
    </w:p>
    <w:p w14:paraId="167EC7C6">
      <w:pPr>
        <w:adjustRightInd w:val="0"/>
        <w:snapToGrid w:val="0"/>
        <w:spacing w:line="360" w:lineRule="auto"/>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4A9B4F06">
      <w:pPr>
        <w:spacing w:line="480" w:lineRule="auto"/>
        <w:ind w:left="4358" w:left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年    月    日</w:t>
      </w:r>
    </w:p>
    <w:p w14:paraId="7795F413">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6D5FFF00">
      <w:pPr>
        <w:pStyle w:val="15"/>
        <w:rPr>
          <w:rFonts w:hint="eastAsia" w:ascii="宋体" w:hAnsi="宋体" w:eastAsia="宋体" w:cs="宋体"/>
          <w:b/>
          <w:bCs/>
          <w:color w:val="auto"/>
          <w:sz w:val="24"/>
          <w:szCs w:val="24"/>
          <w:highlight w:val="none"/>
        </w:rPr>
      </w:pPr>
    </w:p>
    <w:p w14:paraId="016CDB16">
      <w:pPr>
        <w:pStyle w:val="16"/>
        <w:rPr>
          <w:rFonts w:hint="eastAsia" w:ascii="宋体" w:hAnsi="宋体" w:eastAsia="宋体" w:cs="宋体"/>
          <w:b/>
          <w:bCs/>
          <w:color w:val="auto"/>
          <w:sz w:val="24"/>
          <w:szCs w:val="24"/>
          <w:highlight w:val="none"/>
        </w:rPr>
      </w:pPr>
    </w:p>
    <w:p w14:paraId="0618E9B8">
      <w:pPr>
        <w:rPr>
          <w:rFonts w:hint="eastAsia" w:ascii="宋体" w:hAnsi="宋体" w:eastAsia="宋体" w:cs="宋体"/>
          <w:b/>
          <w:bCs/>
          <w:color w:val="auto"/>
          <w:sz w:val="24"/>
          <w:szCs w:val="24"/>
          <w:highlight w:val="none"/>
        </w:rPr>
      </w:pPr>
    </w:p>
    <w:p w14:paraId="59651CA6">
      <w:pPr>
        <w:rPr>
          <w:rFonts w:hint="eastAsia" w:ascii="宋体" w:hAnsi="宋体" w:eastAsia="宋体" w:cs="宋体"/>
          <w:b/>
          <w:bCs/>
          <w:color w:val="auto"/>
          <w:sz w:val="24"/>
          <w:szCs w:val="24"/>
          <w:highlight w:val="none"/>
        </w:rPr>
      </w:pPr>
    </w:p>
    <w:p w14:paraId="3A474279">
      <w:pPr>
        <w:rPr>
          <w:rFonts w:hint="eastAsia" w:ascii="宋体" w:hAnsi="宋体" w:eastAsia="宋体" w:cs="宋体"/>
          <w:b/>
          <w:bCs/>
          <w:color w:val="auto"/>
          <w:sz w:val="24"/>
          <w:szCs w:val="24"/>
          <w:highlight w:val="none"/>
        </w:rPr>
      </w:pPr>
    </w:p>
    <w:p w14:paraId="7B3B01AC">
      <w:pPr>
        <w:rPr>
          <w:rFonts w:hint="eastAsia" w:ascii="宋体" w:hAnsi="宋体" w:eastAsia="宋体" w:cs="宋体"/>
          <w:b/>
          <w:bCs/>
          <w:color w:val="auto"/>
          <w:sz w:val="24"/>
          <w:szCs w:val="24"/>
          <w:highlight w:val="none"/>
        </w:rPr>
      </w:pPr>
    </w:p>
    <w:p w14:paraId="2B409949">
      <w:pPr>
        <w:rPr>
          <w:rFonts w:hint="eastAsia" w:ascii="宋体" w:hAnsi="宋体" w:eastAsia="宋体" w:cs="宋体"/>
          <w:b/>
          <w:bCs/>
          <w:color w:val="auto"/>
          <w:sz w:val="24"/>
          <w:szCs w:val="24"/>
          <w:highlight w:val="none"/>
        </w:rPr>
      </w:pPr>
    </w:p>
    <w:p w14:paraId="37442AEF">
      <w:pPr>
        <w:rPr>
          <w:rFonts w:hint="eastAsia" w:ascii="宋体" w:hAnsi="宋体" w:eastAsia="宋体" w:cs="宋体"/>
          <w:b/>
          <w:bCs/>
          <w:color w:val="auto"/>
          <w:sz w:val="24"/>
          <w:szCs w:val="24"/>
          <w:highlight w:val="none"/>
        </w:rPr>
      </w:pPr>
    </w:p>
    <w:p w14:paraId="58E4EEAD">
      <w:pPr>
        <w:rPr>
          <w:rFonts w:hint="eastAsia" w:ascii="宋体" w:hAnsi="宋体" w:eastAsia="宋体" w:cs="宋体"/>
          <w:b/>
          <w:bCs/>
          <w:color w:val="auto"/>
          <w:sz w:val="24"/>
          <w:szCs w:val="24"/>
          <w:highlight w:val="none"/>
        </w:rPr>
      </w:pPr>
    </w:p>
    <w:p w14:paraId="752D0FCB">
      <w:pPr>
        <w:rPr>
          <w:rFonts w:hint="eastAsia" w:ascii="宋体" w:hAnsi="宋体" w:eastAsia="宋体" w:cs="宋体"/>
          <w:b/>
          <w:bCs/>
          <w:color w:val="auto"/>
          <w:sz w:val="24"/>
          <w:szCs w:val="24"/>
          <w:highlight w:val="none"/>
        </w:rPr>
      </w:pPr>
    </w:p>
    <w:p w14:paraId="57E26460">
      <w:pPr>
        <w:rPr>
          <w:rFonts w:hint="eastAsia" w:ascii="宋体" w:hAnsi="宋体" w:eastAsia="宋体" w:cs="宋体"/>
          <w:b/>
          <w:bCs/>
          <w:color w:val="auto"/>
          <w:sz w:val="24"/>
          <w:szCs w:val="24"/>
          <w:highlight w:val="none"/>
        </w:rPr>
      </w:pPr>
    </w:p>
    <w:p w14:paraId="21CBFA17">
      <w:pPr>
        <w:rPr>
          <w:rFonts w:hint="eastAsia" w:ascii="宋体" w:hAnsi="宋体" w:eastAsia="宋体" w:cs="宋体"/>
          <w:b/>
          <w:bCs/>
          <w:color w:val="auto"/>
          <w:sz w:val="24"/>
          <w:szCs w:val="24"/>
          <w:highlight w:val="none"/>
        </w:rPr>
      </w:pPr>
    </w:p>
    <w:p w14:paraId="379C45FD">
      <w:pPr>
        <w:rPr>
          <w:rFonts w:hint="eastAsia" w:ascii="宋体" w:hAnsi="宋体" w:eastAsia="宋体" w:cs="宋体"/>
          <w:b/>
          <w:bCs/>
          <w:color w:val="auto"/>
          <w:sz w:val="24"/>
          <w:szCs w:val="24"/>
          <w:highlight w:val="none"/>
        </w:rPr>
      </w:pPr>
    </w:p>
    <w:p w14:paraId="622A173A">
      <w:pPr>
        <w:rPr>
          <w:rFonts w:hint="eastAsia" w:ascii="宋体" w:hAnsi="宋体" w:eastAsia="宋体" w:cs="宋体"/>
          <w:b/>
          <w:bCs/>
          <w:color w:val="auto"/>
          <w:sz w:val="24"/>
          <w:szCs w:val="24"/>
          <w:highlight w:val="none"/>
        </w:rPr>
      </w:pPr>
    </w:p>
    <w:p w14:paraId="474EBC9B">
      <w:pPr>
        <w:rPr>
          <w:rFonts w:hint="eastAsia" w:ascii="宋体" w:hAnsi="宋体" w:eastAsia="宋体" w:cs="宋体"/>
          <w:b/>
          <w:bCs/>
          <w:color w:val="auto"/>
          <w:sz w:val="24"/>
          <w:szCs w:val="24"/>
          <w:highlight w:val="none"/>
        </w:rPr>
      </w:pPr>
    </w:p>
    <w:p w14:paraId="368D310B">
      <w:pPr>
        <w:rPr>
          <w:rFonts w:hint="eastAsia" w:ascii="宋体" w:hAnsi="宋体" w:eastAsia="宋体" w:cs="宋体"/>
          <w:b/>
          <w:bCs/>
          <w:color w:val="auto"/>
          <w:sz w:val="24"/>
          <w:szCs w:val="24"/>
          <w:highlight w:val="none"/>
        </w:rPr>
      </w:pPr>
    </w:p>
    <w:p w14:paraId="1C0CBF1E">
      <w:pPr>
        <w:rPr>
          <w:rFonts w:hint="eastAsia" w:ascii="宋体" w:hAnsi="宋体" w:eastAsia="宋体" w:cs="宋体"/>
          <w:b/>
          <w:bCs/>
          <w:color w:val="auto"/>
          <w:sz w:val="24"/>
          <w:szCs w:val="24"/>
          <w:highlight w:val="none"/>
        </w:rPr>
      </w:pPr>
    </w:p>
    <w:p w14:paraId="53AD0D55">
      <w:pPr>
        <w:rPr>
          <w:rFonts w:hint="eastAsia" w:ascii="宋体" w:hAnsi="宋体" w:eastAsia="宋体" w:cs="宋体"/>
          <w:b/>
          <w:bCs/>
          <w:color w:val="auto"/>
          <w:sz w:val="24"/>
          <w:szCs w:val="24"/>
          <w:highlight w:val="none"/>
        </w:rPr>
      </w:pPr>
    </w:p>
    <w:p w14:paraId="566CBF9F">
      <w:pPr>
        <w:pStyle w:val="15"/>
        <w:rPr>
          <w:rFonts w:hint="eastAsia"/>
          <w:color w:val="auto"/>
          <w:highlight w:val="none"/>
        </w:rPr>
      </w:pPr>
    </w:p>
    <w:p w14:paraId="13914948">
      <w:pPr>
        <w:widowControl/>
        <w:jc w:val="left"/>
        <w:rPr>
          <w:rFonts w:hint="eastAsia" w:ascii="宋体" w:hAnsi="宋体" w:eastAsia="宋体" w:cs="宋体"/>
          <w:b/>
          <w:bCs/>
          <w:color w:val="auto"/>
          <w:sz w:val="24"/>
          <w:szCs w:val="24"/>
          <w:highlight w:val="none"/>
        </w:rPr>
      </w:pPr>
    </w:p>
    <w:p w14:paraId="24FB3A0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767D751F">
      <w:pPr>
        <w:spacing w:line="360" w:lineRule="auto"/>
        <w:jc w:val="center"/>
        <w:rPr>
          <w:rFonts w:ascii="宋体" w:hAnsi="宋体"/>
          <w:bCs/>
          <w:sz w:val="24"/>
          <w:szCs w:val="24"/>
        </w:rPr>
      </w:pPr>
      <w:r>
        <w:rPr>
          <w:rFonts w:hint="eastAsia" w:ascii="宋体" w:hAnsi="宋体"/>
          <w:bCs/>
          <w:sz w:val="24"/>
          <w:szCs w:val="24"/>
        </w:rPr>
        <w:t>（承诺函格式自拟）</w:t>
      </w:r>
    </w:p>
    <w:p w14:paraId="6C457CA2">
      <w:pPr>
        <w:autoSpaceDE w:val="0"/>
        <w:autoSpaceDN w:val="0"/>
        <w:adjustRightInd w:val="0"/>
        <w:spacing w:line="360" w:lineRule="auto"/>
        <w:jc w:val="center"/>
        <w:outlineLvl w:val="0"/>
        <w:rPr>
          <w:rFonts w:ascii="宋体" w:hAnsi="宋体"/>
          <w:b/>
          <w:bCs/>
          <w:sz w:val="24"/>
          <w:szCs w:val="24"/>
        </w:rPr>
      </w:pPr>
    </w:p>
    <w:p w14:paraId="0DD23734">
      <w:pPr>
        <w:autoSpaceDE w:val="0"/>
        <w:autoSpaceDN w:val="0"/>
        <w:adjustRightInd w:val="0"/>
        <w:spacing w:line="360" w:lineRule="auto"/>
        <w:jc w:val="center"/>
        <w:outlineLvl w:val="0"/>
        <w:rPr>
          <w:rFonts w:ascii="宋体" w:hAnsi="宋体"/>
          <w:b/>
          <w:bCs/>
          <w:sz w:val="24"/>
          <w:szCs w:val="24"/>
        </w:rPr>
      </w:pPr>
    </w:p>
    <w:p w14:paraId="53452DF9">
      <w:pPr>
        <w:autoSpaceDE w:val="0"/>
        <w:autoSpaceDN w:val="0"/>
        <w:adjustRightInd w:val="0"/>
        <w:spacing w:line="360" w:lineRule="auto"/>
        <w:jc w:val="center"/>
        <w:outlineLvl w:val="0"/>
        <w:rPr>
          <w:rFonts w:ascii="宋体" w:hAnsi="宋体"/>
          <w:b/>
          <w:bCs/>
          <w:sz w:val="24"/>
          <w:szCs w:val="24"/>
        </w:rPr>
      </w:pPr>
    </w:p>
    <w:p w14:paraId="074A2E65">
      <w:pPr>
        <w:autoSpaceDE w:val="0"/>
        <w:autoSpaceDN w:val="0"/>
        <w:adjustRightInd w:val="0"/>
        <w:spacing w:line="360" w:lineRule="auto"/>
        <w:jc w:val="center"/>
        <w:outlineLvl w:val="0"/>
        <w:rPr>
          <w:rFonts w:ascii="宋体" w:hAnsi="宋体"/>
          <w:b/>
          <w:bCs/>
          <w:sz w:val="24"/>
          <w:szCs w:val="24"/>
        </w:rPr>
      </w:pPr>
    </w:p>
    <w:p w14:paraId="02279FE3">
      <w:pPr>
        <w:autoSpaceDE w:val="0"/>
        <w:autoSpaceDN w:val="0"/>
        <w:adjustRightInd w:val="0"/>
        <w:spacing w:line="360" w:lineRule="auto"/>
        <w:jc w:val="center"/>
        <w:outlineLvl w:val="0"/>
        <w:rPr>
          <w:rFonts w:ascii="宋体" w:hAnsi="宋体"/>
          <w:b/>
          <w:bCs/>
          <w:sz w:val="24"/>
          <w:szCs w:val="24"/>
        </w:rPr>
      </w:pPr>
    </w:p>
    <w:p w14:paraId="132106F7">
      <w:pPr>
        <w:autoSpaceDE w:val="0"/>
        <w:autoSpaceDN w:val="0"/>
        <w:adjustRightInd w:val="0"/>
        <w:spacing w:line="360" w:lineRule="auto"/>
        <w:jc w:val="center"/>
        <w:outlineLvl w:val="0"/>
        <w:rPr>
          <w:rFonts w:ascii="宋体" w:hAnsi="宋体"/>
          <w:b/>
          <w:bCs/>
          <w:sz w:val="24"/>
          <w:szCs w:val="24"/>
        </w:rPr>
      </w:pPr>
    </w:p>
    <w:p w14:paraId="1BA7F302">
      <w:pPr>
        <w:widowControl/>
        <w:jc w:val="left"/>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22ECFB6">
      <w:pPr>
        <w:spacing w:line="360" w:lineRule="auto"/>
        <w:jc w:val="center"/>
        <w:rPr>
          <w:rFonts w:ascii="宋体" w:hAnsi="宋体"/>
          <w:bCs/>
          <w:sz w:val="24"/>
          <w:szCs w:val="24"/>
        </w:rPr>
      </w:pPr>
      <w:r>
        <w:rPr>
          <w:rFonts w:hint="eastAsia" w:ascii="宋体" w:hAnsi="宋体"/>
          <w:bCs/>
          <w:sz w:val="24"/>
          <w:szCs w:val="24"/>
        </w:rPr>
        <w:t>（承诺函格式自拟）</w:t>
      </w:r>
    </w:p>
    <w:p w14:paraId="07AAFF49">
      <w:pPr>
        <w:autoSpaceDE w:val="0"/>
        <w:autoSpaceDN w:val="0"/>
        <w:adjustRightInd w:val="0"/>
        <w:spacing w:line="360" w:lineRule="auto"/>
        <w:jc w:val="center"/>
        <w:outlineLvl w:val="0"/>
        <w:rPr>
          <w:rFonts w:ascii="宋体" w:hAnsi="宋体"/>
          <w:b/>
          <w:bCs/>
          <w:sz w:val="24"/>
          <w:szCs w:val="24"/>
        </w:rPr>
      </w:pPr>
    </w:p>
    <w:p w14:paraId="3A53F802">
      <w:pPr>
        <w:autoSpaceDE w:val="0"/>
        <w:autoSpaceDN w:val="0"/>
        <w:adjustRightInd w:val="0"/>
        <w:spacing w:line="360" w:lineRule="auto"/>
        <w:jc w:val="center"/>
        <w:outlineLvl w:val="0"/>
        <w:rPr>
          <w:rFonts w:ascii="宋体" w:hAnsi="宋体"/>
          <w:b/>
          <w:bCs/>
          <w:sz w:val="24"/>
          <w:szCs w:val="24"/>
        </w:rPr>
      </w:pPr>
    </w:p>
    <w:p w14:paraId="43565F6D">
      <w:pPr>
        <w:autoSpaceDE w:val="0"/>
        <w:autoSpaceDN w:val="0"/>
        <w:adjustRightInd w:val="0"/>
        <w:spacing w:line="360" w:lineRule="auto"/>
        <w:jc w:val="center"/>
        <w:outlineLvl w:val="0"/>
        <w:rPr>
          <w:rFonts w:ascii="宋体" w:hAnsi="宋体"/>
          <w:b/>
          <w:bCs/>
          <w:sz w:val="24"/>
          <w:szCs w:val="24"/>
        </w:rPr>
      </w:pPr>
    </w:p>
    <w:p w14:paraId="6A55889A">
      <w:pPr>
        <w:autoSpaceDE w:val="0"/>
        <w:autoSpaceDN w:val="0"/>
        <w:adjustRightInd w:val="0"/>
        <w:spacing w:line="360" w:lineRule="auto"/>
        <w:jc w:val="center"/>
        <w:outlineLvl w:val="0"/>
        <w:rPr>
          <w:rFonts w:ascii="宋体" w:hAnsi="宋体"/>
          <w:b/>
          <w:bCs/>
          <w:sz w:val="24"/>
          <w:szCs w:val="24"/>
        </w:rPr>
      </w:pPr>
    </w:p>
    <w:p w14:paraId="5E2D2DF3">
      <w:pPr>
        <w:autoSpaceDE w:val="0"/>
        <w:autoSpaceDN w:val="0"/>
        <w:adjustRightInd w:val="0"/>
        <w:spacing w:line="360" w:lineRule="auto"/>
        <w:jc w:val="center"/>
        <w:outlineLvl w:val="0"/>
        <w:rPr>
          <w:rFonts w:ascii="宋体" w:hAnsi="宋体"/>
          <w:b/>
          <w:bCs/>
          <w:sz w:val="24"/>
          <w:szCs w:val="24"/>
        </w:rPr>
      </w:pPr>
    </w:p>
    <w:p w14:paraId="0F97099A">
      <w:pPr>
        <w:autoSpaceDE w:val="0"/>
        <w:autoSpaceDN w:val="0"/>
        <w:adjustRightInd w:val="0"/>
        <w:spacing w:line="360" w:lineRule="auto"/>
        <w:jc w:val="center"/>
        <w:outlineLvl w:val="0"/>
        <w:rPr>
          <w:rFonts w:ascii="宋体" w:hAnsi="宋体"/>
          <w:b/>
          <w:bCs/>
          <w:sz w:val="24"/>
          <w:szCs w:val="24"/>
        </w:rPr>
      </w:pPr>
    </w:p>
    <w:p w14:paraId="16E12E15">
      <w:pPr>
        <w:autoSpaceDE w:val="0"/>
        <w:autoSpaceDN w:val="0"/>
        <w:adjustRightInd w:val="0"/>
        <w:spacing w:line="360" w:lineRule="auto"/>
        <w:jc w:val="center"/>
        <w:outlineLvl w:val="0"/>
        <w:rPr>
          <w:rFonts w:ascii="宋体" w:hAnsi="宋体"/>
          <w:b/>
          <w:bCs/>
          <w:sz w:val="24"/>
          <w:szCs w:val="24"/>
        </w:rPr>
      </w:pPr>
    </w:p>
    <w:p w14:paraId="3BEFDE6F">
      <w:pPr>
        <w:autoSpaceDE w:val="0"/>
        <w:autoSpaceDN w:val="0"/>
        <w:adjustRightInd w:val="0"/>
        <w:spacing w:line="360" w:lineRule="auto"/>
        <w:jc w:val="center"/>
        <w:outlineLvl w:val="0"/>
        <w:rPr>
          <w:rFonts w:ascii="宋体" w:hAnsi="宋体"/>
          <w:b/>
          <w:bCs/>
          <w:sz w:val="24"/>
          <w:szCs w:val="24"/>
        </w:rPr>
      </w:pPr>
    </w:p>
    <w:p w14:paraId="1C8E7928">
      <w:pPr>
        <w:autoSpaceDE w:val="0"/>
        <w:autoSpaceDN w:val="0"/>
        <w:adjustRightInd w:val="0"/>
        <w:spacing w:line="360" w:lineRule="auto"/>
        <w:jc w:val="center"/>
        <w:outlineLvl w:val="0"/>
        <w:rPr>
          <w:rFonts w:ascii="宋体" w:hAnsi="宋体"/>
          <w:b/>
          <w:bCs/>
          <w:sz w:val="24"/>
          <w:szCs w:val="24"/>
        </w:rPr>
      </w:pPr>
    </w:p>
    <w:p w14:paraId="7DBEDEAB">
      <w:pPr>
        <w:widowControl/>
        <w:jc w:val="left"/>
        <w:rPr>
          <w:rFonts w:ascii="宋体" w:hAnsi="宋体"/>
          <w:b/>
          <w:bCs/>
          <w:sz w:val="24"/>
          <w:szCs w:val="24"/>
        </w:rPr>
      </w:pPr>
    </w:p>
    <w:p w14:paraId="5C20A08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528E1FDB">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0C8267F">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EDCE23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1D22FA9">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24357C28">
      <w:pPr>
        <w:autoSpaceDE w:val="0"/>
        <w:autoSpaceDN w:val="0"/>
        <w:adjustRightInd w:val="0"/>
        <w:spacing w:line="360" w:lineRule="auto"/>
        <w:jc w:val="both"/>
        <w:outlineLvl w:val="0"/>
        <w:rPr>
          <w:rFonts w:hint="eastAsia" w:ascii="宋体" w:hAnsi="宋体" w:eastAsia="宋体" w:cs="宋体"/>
          <w:b/>
          <w:snapToGrid w:val="0"/>
          <w:color w:val="auto"/>
          <w:kern w:val="0"/>
          <w:sz w:val="36"/>
          <w:szCs w:val="36"/>
          <w:highlight w:val="none"/>
        </w:rPr>
      </w:pPr>
    </w:p>
    <w:p w14:paraId="7C21A041">
      <w:pPr>
        <w:autoSpaceDE w:val="0"/>
        <w:autoSpaceDN w:val="0"/>
        <w:adjustRightInd w:val="0"/>
        <w:spacing w:line="360" w:lineRule="auto"/>
        <w:jc w:val="both"/>
        <w:outlineLvl w:val="0"/>
        <w:rPr>
          <w:rFonts w:hint="eastAsia" w:ascii="宋体" w:hAnsi="宋体" w:eastAsia="宋体" w:cs="宋体"/>
          <w:b/>
          <w:snapToGrid w:val="0"/>
          <w:color w:val="auto"/>
          <w:kern w:val="0"/>
          <w:sz w:val="36"/>
          <w:szCs w:val="36"/>
          <w:highlight w:val="none"/>
        </w:rPr>
      </w:pPr>
    </w:p>
    <w:p w14:paraId="4A69B797">
      <w:pPr>
        <w:widowControl/>
        <w:ind w:firstLine="2389" w:firstLineChars="85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四、响应文件审查相关材料</w:t>
      </w:r>
    </w:p>
    <w:p w14:paraId="454EDA1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2EC3EC7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17EE18F8">
      <w:pPr>
        <w:autoSpaceDE w:val="0"/>
        <w:autoSpaceDN w:val="0"/>
        <w:adjustRightInd w:val="0"/>
        <w:spacing w:line="360" w:lineRule="auto"/>
        <w:ind w:firstLine="2951" w:firstLineChars="1225"/>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已标价</w:t>
      </w:r>
      <w:r>
        <w:rPr>
          <w:rFonts w:hint="eastAsia" w:ascii="宋体" w:hAnsi="宋体" w:eastAsia="宋体" w:cs="宋体"/>
          <w:b/>
          <w:bCs/>
          <w:color w:val="auto"/>
          <w:sz w:val="24"/>
          <w:szCs w:val="24"/>
          <w:highlight w:val="none"/>
        </w:rPr>
        <w:t>工程量清单</w:t>
      </w:r>
    </w:p>
    <w:p w14:paraId="30185BA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C482649">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646ADC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ACDD04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2C2ED770">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48F9F7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253CB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技术方案（实施方案）</w:t>
      </w:r>
    </w:p>
    <w:p w14:paraId="60D0C70A">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措施</w:t>
      </w:r>
      <w:r>
        <w:rPr>
          <w:rFonts w:hint="eastAsia" w:ascii="宋体" w:hAnsi="宋体" w:eastAsia="宋体" w:cs="宋体"/>
          <w:color w:val="auto"/>
          <w:szCs w:val="21"/>
          <w:highlight w:val="none"/>
          <w:lang w:val="zh-CN"/>
        </w:rPr>
        <w:t>文件要求自行编制）</w:t>
      </w:r>
    </w:p>
    <w:p w14:paraId="232CAC13">
      <w:pPr>
        <w:snapToGrid w:val="0"/>
        <w:spacing w:line="360" w:lineRule="auto"/>
        <w:jc w:val="center"/>
        <w:rPr>
          <w:rFonts w:hint="eastAsia" w:ascii="宋体" w:hAnsi="宋体" w:eastAsia="宋体" w:cs="宋体"/>
          <w:b/>
          <w:snapToGrid w:val="0"/>
          <w:color w:val="auto"/>
          <w:kern w:val="0"/>
          <w:sz w:val="36"/>
          <w:szCs w:val="36"/>
          <w:highlight w:val="none"/>
        </w:rPr>
      </w:pPr>
    </w:p>
    <w:p w14:paraId="35E2C3F8">
      <w:pPr>
        <w:snapToGrid w:val="0"/>
        <w:spacing w:line="360" w:lineRule="auto"/>
        <w:jc w:val="center"/>
        <w:rPr>
          <w:rFonts w:hint="eastAsia" w:ascii="宋体" w:hAnsi="宋体" w:eastAsia="宋体" w:cs="宋体"/>
          <w:b/>
          <w:snapToGrid w:val="0"/>
          <w:color w:val="auto"/>
          <w:kern w:val="0"/>
          <w:sz w:val="36"/>
          <w:szCs w:val="36"/>
          <w:highlight w:val="none"/>
        </w:rPr>
      </w:pPr>
    </w:p>
    <w:p w14:paraId="51537549">
      <w:pPr>
        <w:snapToGrid w:val="0"/>
        <w:spacing w:line="360" w:lineRule="auto"/>
        <w:jc w:val="center"/>
        <w:rPr>
          <w:rFonts w:hint="eastAsia" w:ascii="宋体" w:hAnsi="宋体" w:eastAsia="宋体" w:cs="宋体"/>
          <w:b/>
          <w:snapToGrid w:val="0"/>
          <w:color w:val="auto"/>
          <w:kern w:val="0"/>
          <w:sz w:val="36"/>
          <w:szCs w:val="36"/>
          <w:highlight w:val="none"/>
        </w:rPr>
      </w:pPr>
    </w:p>
    <w:p w14:paraId="1415AD45">
      <w:pPr>
        <w:snapToGrid w:val="0"/>
        <w:spacing w:line="360" w:lineRule="auto"/>
        <w:jc w:val="center"/>
        <w:rPr>
          <w:rFonts w:hint="eastAsia" w:ascii="宋体" w:hAnsi="宋体" w:eastAsia="宋体" w:cs="宋体"/>
          <w:b/>
          <w:snapToGrid w:val="0"/>
          <w:color w:val="auto"/>
          <w:kern w:val="0"/>
          <w:sz w:val="36"/>
          <w:szCs w:val="36"/>
          <w:highlight w:val="none"/>
        </w:rPr>
      </w:pPr>
    </w:p>
    <w:p w14:paraId="216CE04E">
      <w:pPr>
        <w:snapToGrid w:val="0"/>
        <w:spacing w:line="360" w:lineRule="auto"/>
        <w:jc w:val="center"/>
        <w:rPr>
          <w:rFonts w:hint="eastAsia" w:ascii="宋体" w:hAnsi="宋体" w:eastAsia="宋体" w:cs="宋体"/>
          <w:b/>
          <w:snapToGrid w:val="0"/>
          <w:color w:val="auto"/>
          <w:kern w:val="0"/>
          <w:sz w:val="36"/>
          <w:szCs w:val="36"/>
          <w:highlight w:val="none"/>
        </w:rPr>
      </w:pPr>
    </w:p>
    <w:p w14:paraId="35056D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拟派项目班子配备</w:t>
      </w:r>
    </w:p>
    <w:p w14:paraId="06D61352">
      <w:pPr>
        <w:autoSpaceDE w:val="0"/>
        <w:autoSpaceDN w:val="0"/>
        <w:adjustRightInd w:val="0"/>
        <w:spacing w:line="360" w:lineRule="auto"/>
        <w:ind w:firstLine="2263" w:firstLineChars="1078"/>
        <w:rPr>
          <w:rFonts w:hint="eastAsia" w:ascii="宋体" w:hAnsi="宋体" w:eastAsia="宋体" w:cs="宋体"/>
          <w:b/>
          <w:snapToGrid w:val="0"/>
          <w:color w:val="auto"/>
          <w:kern w:val="0"/>
          <w:sz w:val="36"/>
          <w:szCs w:val="36"/>
          <w:highlight w:val="none"/>
        </w:rPr>
      </w:pPr>
      <w:r>
        <w:rPr>
          <w:rFonts w:hint="eastAsia" w:ascii="宋体" w:hAnsi="宋体" w:eastAsia="宋体" w:cs="宋体"/>
          <w:color w:val="auto"/>
          <w:szCs w:val="21"/>
          <w:highlight w:val="none"/>
          <w:lang w:val="zh-CN"/>
        </w:rPr>
        <w:t>（根据磋商文件规定及供应商自身条件编制）</w:t>
      </w:r>
    </w:p>
    <w:p w14:paraId="14DC72A1">
      <w:pPr>
        <w:snapToGrid w:val="0"/>
        <w:spacing w:line="360" w:lineRule="auto"/>
        <w:jc w:val="center"/>
        <w:rPr>
          <w:rFonts w:hint="eastAsia" w:ascii="宋体" w:hAnsi="宋体" w:eastAsia="宋体" w:cs="宋体"/>
          <w:b/>
          <w:snapToGrid w:val="0"/>
          <w:color w:val="auto"/>
          <w:kern w:val="0"/>
          <w:sz w:val="36"/>
          <w:szCs w:val="36"/>
          <w:highlight w:val="none"/>
        </w:rPr>
      </w:pPr>
    </w:p>
    <w:p w14:paraId="3606B834">
      <w:pPr>
        <w:snapToGrid w:val="0"/>
        <w:spacing w:line="360" w:lineRule="auto"/>
        <w:jc w:val="center"/>
        <w:rPr>
          <w:rFonts w:hint="eastAsia" w:ascii="宋体" w:hAnsi="宋体" w:eastAsia="宋体" w:cs="宋体"/>
          <w:b/>
          <w:snapToGrid w:val="0"/>
          <w:color w:val="auto"/>
          <w:kern w:val="0"/>
          <w:sz w:val="36"/>
          <w:szCs w:val="36"/>
          <w:highlight w:val="none"/>
        </w:rPr>
      </w:pPr>
    </w:p>
    <w:p w14:paraId="3B7B8822">
      <w:pPr>
        <w:snapToGrid w:val="0"/>
        <w:spacing w:line="360" w:lineRule="auto"/>
        <w:jc w:val="center"/>
        <w:rPr>
          <w:rFonts w:hint="eastAsia" w:ascii="宋体" w:hAnsi="宋体" w:eastAsia="宋体" w:cs="宋体"/>
          <w:b/>
          <w:snapToGrid w:val="0"/>
          <w:color w:val="auto"/>
          <w:kern w:val="0"/>
          <w:sz w:val="36"/>
          <w:szCs w:val="36"/>
          <w:highlight w:val="none"/>
        </w:rPr>
      </w:pPr>
    </w:p>
    <w:p w14:paraId="67F3FF4F">
      <w:pPr>
        <w:snapToGrid w:val="0"/>
        <w:spacing w:line="360" w:lineRule="auto"/>
        <w:jc w:val="center"/>
        <w:rPr>
          <w:rFonts w:hint="eastAsia" w:ascii="宋体" w:hAnsi="宋体" w:eastAsia="宋体" w:cs="宋体"/>
          <w:b/>
          <w:snapToGrid w:val="0"/>
          <w:color w:val="auto"/>
          <w:kern w:val="0"/>
          <w:sz w:val="36"/>
          <w:szCs w:val="36"/>
          <w:highlight w:val="none"/>
        </w:rPr>
      </w:pPr>
    </w:p>
    <w:p w14:paraId="6ABC02E4">
      <w:pPr>
        <w:snapToGrid w:val="0"/>
        <w:spacing w:line="360" w:lineRule="auto"/>
        <w:jc w:val="center"/>
        <w:rPr>
          <w:rFonts w:hint="eastAsia" w:ascii="宋体" w:hAnsi="宋体" w:eastAsia="宋体" w:cs="宋体"/>
          <w:b/>
          <w:snapToGrid w:val="0"/>
          <w:color w:val="auto"/>
          <w:kern w:val="0"/>
          <w:sz w:val="36"/>
          <w:szCs w:val="36"/>
          <w:highlight w:val="none"/>
        </w:rPr>
      </w:pPr>
    </w:p>
    <w:p w14:paraId="4FDEC387">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业绩情况表</w:t>
      </w:r>
    </w:p>
    <w:p w14:paraId="42512CA1">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0648D9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A28ACA7">
      <w:pPr>
        <w:snapToGrid w:val="0"/>
        <w:spacing w:line="360" w:lineRule="auto"/>
        <w:rPr>
          <w:rFonts w:hint="eastAsia" w:ascii="宋体" w:hAnsi="宋体" w:eastAsia="宋体" w:cs="宋体"/>
          <w:b/>
          <w:snapToGrid w:val="0"/>
          <w:color w:val="auto"/>
          <w:kern w:val="0"/>
          <w:szCs w:val="21"/>
          <w:highlight w:val="none"/>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96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FC4A7A7">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6600F96">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EB1CD55">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6AC892B">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6EB1D04D">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78437397">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CB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C5CE7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635D0A1A">
            <w:pPr>
              <w:pStyle w:val="5"/>
              <w:spacing w:line="360" w:lineRule="auto"/>
              <w:rPr>
                <w:rFonts w:hint="eastAsia" w:ascii="宋体" w:hAnsi="宋体" w:eastAsia="宋体" w:cs="宋体"/>
                <w:color w:val="auto"/>
                <w:sz w:val="21"/>
                <w:szCs w:val="21"/>
                <w:highlight w:val="none"/>
              </w:rPr>
            </w:pPr>
          </w:p>
        </w:tc>
        <w:tc>
          <w:tcPr>
            <w:tcW w:w="3579" w:type="dxa"/>
            <w:vAlign w:val="center"/>
          </w:tcPr>
          <w:p w14:paraId="19F6AA78">
            <w:pPr>
              <w:pStyle w:val="5"/>
              <w:spacing w:line="360" w:lineRule="auto"/>
              <w:rPr>
                <w:rFonts w:hint="eastAsia" w:ascii="宋体" w:hAnsi="宋体" w:eastAsia="宋体" w:cs="宋体"/>
                <w:color w:val="auto"/>
                <w:sz w:val="21"/>
                <w:szCs w:val="21"/>
                <w:highlight w:val="none"/>
              </w:rPr>
            </w:pPr>
          </w:p>
        </w:tc>
        <w:tc>
          <w:tcPr>
            <w:tcW w:w="1440" w:type="dxa"/>
            <w:vAlign w:val="center"/>
          </w:tcPr>
          <w:p w14:paraId="0F72945F">
            <w:pPr>
              <w:pStyle w:val="5"/>
              <w:spacing w:line="360" w:lineRule="auto"/>
              <w:rPr>
                <w:rFonts w:hint="eastAsia" w:ascii="宋体" w:hAnsi="宋体" w:eastAsia="宋体" w:cs="宋体"/>
                <w:color w:val="auto"/>
                <w:sz w:val="21"/>
                <w:szCs w:val="21"/>
                <w:highlight w:val="none"/>
              </w:rPr>
            </w:pPr>
          </w:p>
        </w:tc>
        <w:tc>
          <w:tcPr>
            <w:tcW w:w="1706" w:type="dxa"/>
            <w:vAlign w:val="center"/>
          </w:tcPr>
          <w:p w14:paraId="5E8EDA09">
            <w:pPr>
              <w:pStyle w:val="5"/>
              <w:spacing w:line="360" w:lineRule="auto"/>
              <w:rPr>
                <w:rFonts w:hint="eastAsia" w:ascii="宋体" w:hAnsi="宋体" w:eastAsia="宋体" w:cs="宋体"/>
                <w:color w:val="auto"/>
                <w:sz w:val="21"/>
                <w:szCs w:val="21"/>
                <w:highlight w:val="none"/>
              </w:rPr>
            </w:pPr>
          </w:p>
        </w:tc>
      </w:tr>
      <w:tr w14:paraId="37D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85C744">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7757091E">
            <w:pPr>
              <w:pStyle w:val="5"/>
              <w:spacing w:line="360" w:lineRule="auto"/>
              <w:rPr>
                <w:rFonts w:hint="eastAsia" w:ascii="宋体" w:hAnsi="宋体" w:eastAsia="宋体" w:cs="宋体"/>
                <w:color w:val="auto"/>
                <w:sz w:val="21"/>
                <w:szCs w:val="21"/>
                <w:highlight w:val="none"/>
              </w:rPr>
            </w:pPr>
          </w:p>
        </w:tc>
        <w:tc>
          <w:tcPr>
            <w:tcW w:w="3579" w:type="dxa"/>
            <w:vAlign w:val="center"/>
          </w:tcPr>
          <w:p w14:paraId="6A20F46E">
            <w:pPr>
              <w:pStyle w:val="5"/>
              <w:spacing w:line="360" w:lineRule="auto"/>
              <w:rPr>
                <w:rFonts w:hint="eastAsia" w:ascii="宋体" w:hAnsi="宋体" w:eastAsia="宋体" w:cs="宋体"/>
                <w:color w:val="auto"/>
                <w:sz w:val="21"/>
                <w:szCs w:val="21"/>
                <w:highlight w:val="none"/>
              </w:rPr>
            </w:pPr>
          </w:p>
        </w:tc>
        <w:tc>
          <w:tcPr>
            <w:tcW w:w="1440" w:type="dxa"/>
            <w:vAlign w:val="center"/>
          </w:tcPr>
          <w:p w14:paraId="25006394">
            <w:pPr>
              <w:pStyle w:val="5"/>
              <w:spacing w:line="360" w:lineRule="auto"/>
              <w:rPr>
                <w:rFonts w:hint="eastAsia" w:ascii="宋体" w:hAnsi="宋体" w:eastAsia="宋体" w:cs="宋体"/>
                <w:color w:val="auto"/>
                <w:sz w:val="21"/>
                <w:szCs w:val="21"/>
                <w:highlight w:val="none"/>
              </w:rPr>
            </w:pPr>
          </w:p>
        </w:tc>
        <w:tc>
          <w:tcPr>
            <w:tcW w:w="1706" w:type="dxa"/>
            <w:vAlign w:val="center"/>
          </w:tcPr>
          <w:p w14:paraId="29CF16F7">
            <w:pPr>
              <w:pStyle w:val="5"/>
              <w:spacing w:line="360" w:lineRule="auto"/>
              <w:rPr>
                <w:rFonts w:hint="eastAsia" w:ascii="宋体" w:hAnsi="宋体" w:eastAsia="宋体" w:cs="宋体"/>
                <w:color w:val="auto"/>
                <w:sz w:val="21"/>
                <w:szCs w:val="21"/>
                <w:highlight w:val="none"/>
              </w:rPr>
            </w:pPr>
          </w:p>
        </w:tc>
      </w:tr>
      <w:tr w14:paraId="308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9B4602">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57C75CF3">
            <w:pPr>
              <w:pStyle w:val="5"/>
              <w:spacing w:line="360" w:lineRule="auto"/>
              <w:rPr>
                <w:rFonts w:hint="eastAsia" w:ascii="宋体" w:hAnsi="宋体" w:eastAsia="宋体" w:cs="宋体"/>
                <w:color w:val="auto"/>
                <w:sz w:val="21"/>
                <w:szCs w:val="21"/>
                <w:highlight w:val="none"/>
              </w:rPr>
            </w:pPr>
          </w:p>
        </w:tc>
        <w:tc>
          <w:tcPr>
            <w:tcW w:w="3579" w:type="dxa"/>
            <w:vAlign w:val="center"/>
          </w:tcPr>
          <w:p w14:paraId="48F4DCFA">
            <w:pPr>
              <w:pStyle w:val="5"/>
              <w:spacing w:line="360" w:lineRule="auto"/>
              <w:rPr>
                <w:rFonts w:hint="eastAsia" w:ascii="宋体" w:hAnsi="宋体" w:eastAsia="宋体" w:cs="宋体"/>
                <w:color w:val="auto"/>
                <w:sz w:val="21"/>
                <w:szCs w:val="21"/>
                <w:highlight w:val="none"/>
              </w:rPr>
            </w:pPr>
          </w:p>
        </w:tc>
        <w:tc>
          <w:tcPr>
            <w:tcW w:w="1440" w:type="dxa"/>
            <w:vAlign w:val="center"/>
          </w:tcPr>
          <w:p w14:paraId="3F9FE9BD">
            <w:pPr>
              <w:pStyle w:val="5"/>
              <w:spacing w:line="360" w:lineRule="auto"/>
              <w:rPr>
                <w:rFonts w:hint="eastAsia" w:ascii="宋体" w:hAnsi="宋体" w:eastAsia="宋体" w:cs="宋体"/>
                <w:color w:val="auto"/>
                <w:sz w:val="21"/>
                <w:szCs w:val="21"/>
                <w:highlight w:val="none"/>
              </w:rPr>
            </w:pPr>
          </w:p>
        </w:tc>
        <w:tc>
          <w:tcPr>
            <w:tcW w:w="1706" w:type="dxa"/>
            <w:vAlign w:val="center"/>
          </w:tcPr>
          <w:p w14:paraId="54A8EFBF">
            <w:pPr>
              <w:pStyle w:val="5"/>
              <w:spacing w:line="360" w:lineRule="auto"/>
              <w:rPr>
                <w:rFonts w:hint="eastAsia" w:ascii="宋体" w:hAnsi="宋体" w:eastAsia="宋体" w:cs="宋体"/>
                <w:color w:val="auto"/>
                <w:sz w:val="21"/>
                <w:szCs w:val="21"/>
                <w:highlight w:val="none"/>
              </w:rPr>
            </w:pPr>
          </w:p>
        </w:tc>
      </w:tr>
      <w:tr w14:paraId="3F6B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A32842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74BD4775">
            <w:pPr>
              <w:rPr>
                <w:rFonts w:hint="eastAsia" w:ascii="宋体" w:hAnsi="宋体" w:eastAsia="宋体" w:cs="宋体"/>
                <w:color w:val="auto"/>
                <w:szCs w:val="21"/>
                <w:highlight w:val="none"/>
              </w:rPr>
            </w:pPr>
          </w:p>
        </w:tc>
        <w:tc>
          <w:tcPr>
            <w:tcW w:w="3579" w:type="dxa"/>
            <w:vAlign w:val="center"/>
          </w:tcPr>
          <w:p w14:paraId="4C041F29">
            <w:pPr>
              <w:rPr>
                <w:rFonts w:hint="eastAsia" w:ascii="宋体" w:hAnsi="宋体" w:eastAsia="宋体" w:cs="宋体"/>
                <w:color w:val="auto"/>
                <w:szCs w:val="21"/>
                <w:highlight w:val="none"/>
              </w:rPr>
            </w:pPr>
          </w:p>
        </w:tc>
        <w:tc>
          <w:tcPr>
            <w:tcW w:w="1440" w:type="dxa"/>
            <w:vAlign w:val="center"/>
          </w:tcPr>
          <w:p w14:paraId="7414A766">
            <w:pPr>
              <w:rPr>
                <w:rFonts w:hint="eastAsia" w:ascii="宋体" w:hAnsi="宋体" w:eastAsia="宋体" w:cs="宋体"/>
                <w:color w:val="auto"/>
                <w:szCs w:val="21"/>
                <w:highlight w:val="none"/>
              </w:rPr>
            </w:pPr>
          </w:p>
        </w:tc>
        <w:tc>
          <w:tcPr>
            <w:tcW w:w="1706" w:type="dxa"/>
            <w:vAlign w:val="center"/>
          </w:tcPr>
          <w:p w14:paraId="63452F59">
            <w:pPr>
              <w:rPr>
                <w:rFonts w:hint="eastAsia" w:ascii="宋体" w:hAnsi="宋体" w:eastAsia="宋体" w:cs="宋体"/>
                <w:color w:val="auto"/>
                <w:szCs w:val="21"/>
                <w:highlight w:val="none"/>
              </w:rPr>
            </w:pPr>
          </w:p>
        </w:tc>
      </w:tr>
      <w:tr w14:paraId="4001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50A1C8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7C7F7329">
            <w:pPr>
              <w:rPr>
                <w:rFonts w:hint="eastAsia" w:ascii="宋体" w:hAnsi="宋体" w:eastAsia="宋体" w:cs="宋体"/>
                <w:color w:val="auto"/>
                <w:szCs w:val="21"/>
                <w:highlight w:val="none"/>
              </w:rPr>
            </w:pPr>
          </w:p>
        </w:tc>
        <w:tc>
          <w:tcPr>
            <w:tcW w:w="3579" w:type="dxa"/>
            <w:vAlign w:val="center"/>
          </w:tcPr>
          <w:p w14:paraId="09A0E382">
            <w:pPr>
              <w:rPr>
                <w:rFonts w:hint="eastAsia" w:ascii="宋体" w:hAnsi="宋体" w:eastAsia="宋体" w:cs="宋体"/>
                <w:color w:val="auto"/>
                <w:szCs w:val="21"/>
                <w:highlight w:val="none"/>
              </w:rPr>
            </w:pPr>
          </w:p>
        </w:tc>
        <w:tc>
          <w:tcPr>
            <w:tcW w:w="1440" w:type="dxa"/>
            <w:vAlign w:val="center"/>
          </w:tcPr>
          <w:p w14:paraId="6A35EE72">
            <w:pPr>
              <w:rPr>
                <w:rFonts w:hint="eastAsia" w:ascii="宋体" w:hAnsi="宋体" w:eastAsia="宋体" w:cs="宋体"/>
                <w:color w:val="auto"/>
                <w:szCs w:val="21"/>
                <w:highlight w:val="none"/>
              </w:rPr>
            </w:pPr>
          </w:p>
        </w:tc>
        <w:tc>
          <w:tcPr>
            <w:tcW w:w="1706" w:type="dxa"/>
            <w:vAlign w:val="center"/>
          </w:tcPr>
          <w:p w14:paraId="46401132">
            <w:pPr>
              <w:rPr>
                <w:rFonts w:hint="eastAsia" w:ascii="宋体" w:hAnsi="宋体" w:eastAsia="宋体" w:cs="宋体"/>
                <w:color w:val="auto"/>
                <w:szCs w:val="21"/>
                <w:highlight w:val="none"/>
              </w:rPr>
            </w:pPr>
          </w:p>
        </w:tc>
      </w:tr>
    </w:tbl>
    <w:p w14:paraId="59DF9929">
      <w:pPr>
        <w:autoSpaceDE w:val="0"/>
        <w:autoSpaceDN w:val="0"/>
        <w:adjustRightInd w:val="0"/>
        <w:spacing w:line="480" w:lineRule="auto"/>
        <w:rPr>
          <w:rFonts w:hint="eastAsia" w:ascii="宋体" w:hAnsi="宋体" w:eastAsia="宋体" w:cs="宋体"/>
          <w:color w:val="auto"/>
          <w:szCs w:val="21"/>
          <w:highlight w:val="none"/>
          <w:lang w:val="zh-CN"/>
        </w:rPr>
      </w:pPr>
    </w:p>
    <w:p w14:paraId="6745FE4F">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（并加盖公章）：</w:t>
      </w:r>
    </w:p>
    <w:p w14:paraId="2BC00C55">
      <w:pPr>
        <w:autoSpaceDE w:val="0"/>
        <w:autoSpaceDN w:val="0"/>
        <w:adjustRightInd w:val="0"/>
        <w:spacing w:line="480" w:lineRule="auto"/>
        <w:rPr>
          <w:rFonts w:hint="eastAsia" w:ascii="宋体" w:hAnsi="宋体" w:eastAsia="宋体" w:cs="宋体"/>
          <w:color w:val="auto"/>
          <w:szCs w:val="21"/>
          <w:highlight w:val="none"/>
          <w:lang w:val="zh-CN"/>
        </w:rPr>
      </w:pPr>
    </w:p>
    <w:p w14:paraId="706D4D79">
      <w:pPr>
        <w:autoSpaceDE w:val="0"/>
        <w:autoSpaceDN w:val="0"/>
        <w:adjustRightInd w:val="0"/>
        <w:spacing w:line="480" w:lineRule="auto"/>
        <w:rPr>
          <w:rFonts w:hint="eastAsia" w:ascii="宋体" w:hAnsi="宋体" w:eastAsia="宋体" w:cs="宋体"/>
          <w:color w:val="auto"/>
          <w:sz w:val="24"/>
          <w:szCs w:val="24"/>
          <w:highlight w:val="none"/>
          <w:lang w:val="zh-CN"/>
        </w:rPr>
      </w:pPr>
    </w:p>
    <w:p w14:paraId="565317C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2E20CA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4F769EA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CACBB0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83D0E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 售后</w:t>
      </w:r>
      <w:r>
        <w:rPr>
          <w:rFonts w:hint="eastAsia" w:ascii="宋体" w:hAnsi="宋体" w:eastAsia="宋体" w:cs="宋体"/>
          <w:b/>
          <w:bCs/>
          <w:color w:val="auto"/>
          <w:sz w:val="24"/>
          <w:szCs w:val="24"/>
          <w:highlight w:val="none"/>
        </w:rPr>
        <w:t>服务方案</w:t>
      </w:r>
    </w:p>
    <w:p w14:paraId="378FC177">
      <w:pPr>
        <w:autoSpaceDE w:val="0"/>
        <w:autoSpaceDN w:val="0"/>
        <w:adjustRightInd w:val="0"/>
        <w:spacing w:line="360" w:lineRule="auto"/>
        <w:jc w:val="both"/>
        <w:outlineLvl w:val="0"/>
        <w:rPr>
          <w:rFonts w:hint="eastAsia" w:ascii="宋体" w:hAnsi="宋体" w:eastAsia="宋体" w:cs="宋体"/>
          <w:b/>
          <w:bCs/>
          <w:color w:val="auto"/>
          <w:sz w:val="36"/>
          <w:szCs w:val="36"/>
          <w:highlight w:val="none"/>
        </w:rPr>
      </w:pPr>
    </w:p>
    <w:p w14:paraId="316F9094">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lang w:val="zh-CN"/>
        </w:rPr>
        <w:t>文件要求自行编制）</w:t>
      </w:r>
    </w:p>
    <w:p w14:paraId="425191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rPr>
      </w:pPr>
    </w:p>
    <w:p w14:paraId="4296B6A7">
      <w:pPr>
        <w:spacing w:line="360" w:lineRule="auto"/>
        <w:jc w:val="both"/>
        <w:rPr>
          <w:rFonts w:hint="eastAsia" w:ascii="宋体" w:hAnsi="宋体" w:eastAsia="宋体" w:cs="宋体"/>
          <w:color w:val="auto"/>
          <w:szCs w:val="21"/>
          <w:highlight w:val="none"/>
          <w:lang w:val="zh-CN"/>
        </w:rPr>
      </w:pPr>
    </w:p>
    <w:p w14:paraId="1563702C">
      <w:pPr>
        <w:spacing w:line="360" w:lineRule="auto"/>
        <w:jc w:val="both"/>
        <w:rPr>
          <w:rFonts w:hint="eastAsia" w:ascii="宋体" w:hAnsi="宋体" w:eastAsia="宋体" w:cs="宋体"/>
          <w:color w:val="auto"/>
          <w:szCs w:val="21"/>
          <w:highlight w:val="none"/>
          <w:lang w:val="zh-CN"/>
        </w:rPr>
      </w:pPr>
    </w:p>
    <w:p w14:paraId="0147737D">
      <w:pPr>
        <w:spacing w:line="360" w:lineRule="auto"/>
        <w:jc w:val="center"/>
        <w:rPr>
          <w:rFonts w:hint="eastAsia" w:ascii="宋体" w:hAnsi="宋体" w:eastAsia="宋体" w:cs="宋体"/>
          <w:color w:val="auto"/>
          <w:szCs w:val="21"/>
          <w:highlight w:val="none"/>
          <w:lang w:val="zh-CN"/>
        </w:rPr>
      </w:pPr>
    </w:p>
    <w:p w14:paraId="7277632C">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48F617ED">
      <w:pPr>
        <w:rPr>
          <w:rFonts w:hint="eastAsia" w:ascii="宋体" w:hAnsi="宋体" w:eastAsia="宋体" w:cs="宋体"/>
          <w:color w:val="auto"/>
          <w:highlight w:val="none"/>
        </w:rPr>
      </w:pPr>
    </w:p>
    <w:p w14:paraId="05D55BC7">
      <w:pPr>
        <w:rPr>
          <w:rFonts w:hint="eastAsia" w:ascii="宋体" w:hAnsi="宋体" w:eastAsia="宋体" w:cs="宋体"/>
          <w:color w:val="auto"/>
          <w:highlight w:val="none"/>
        </w:rPr>
      </w:pPr>
    </w:p>
    <w:p w14:paraId="07F519D1">
      <w:pPr>
        <w:rPr>
          <w:rFonts w:hint="eastAsia" w:ascii="宋体" w:hAnsi="宋体" w:eastAsia="宋体" w:cs="宋体"/>
          <w:color w:val="auto"/>
          <w:highlight w:val="none"/>
        </w:rPr>
      </w:pPr>
    </w:p>
    <w:p w14:paraId="7152CF8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除</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文件另有规定外，</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认为需要提交的其他证明材料或资料加盖投标人单位公章后应在此项下提交。</w:t>
      </w:r>
    </w:p>
    <w:p w14:paraId="489CD0B7">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4599BF5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83D083C">
      <w:pPr>
        <w:snapToGrid w:val="0"/>
        <w:spacing w:line="360" w:lineRule="auto"/>
        <w:jc w:val="center"/>
        <w:rPr>
          <w:rFonts w:hint="eastAsia" w:ascii="宋体" w:hAnsi="宋体" w:eastAsia="宋体" w:cs="宋体"/>
          <w:b/>
          <w:snapToGrid w:val="0"/>
          <w:color w:val="auto"/>
          <w:kern w:val="0"/>
          <w:sz w:val="36"/>
          <w:szCs w:val="36"/>
          <w:highlight w:val="none"/>
        </w:rPr>
      </w:pPr>
    </w:p>
    <w:p w14:paraId="370C8FB2">
      <w:pPr>
        <w:snapToGrid w:val="0"/>
        <w:spacing w:line="360" w:lineRule="auto"/>
        <w:jc w:val="center"/>
        <w:rPr>
          <w:rFonts w:hint="eastAsia" w:ascii="宋体" w:hAnsi="宋体" w:eastAsia="宋体" w:cs="宋体"/>
          <w:b/>
          <w:snapToGrid w:val="0"/>
          <w:color w:val="auto"/>
          <w:kern w:val="0"/>
          <w:sz w:val="36"/>
          <w:szCs w:val="36"/>
          <w:highlight w:val="none"/>
        </w:rPr>
      </w:pPr>
    </w:p>
    <w:p w14:paraId="39D20D13">
      <w:pPr>
        <w:snapToGrid w:val="0"/>
        <w:spacing w:line="360" w:lineRule="auto"/>
        <w:jc w:val="center"/>
        <w:rPr>
          <w:rFonts w:hint="eastAsia" w:ascii="宋体" w:hAnsi="宋体" w:eastAsia="宋体" w:cs="宋体"/>
          <w:b/>
          <w:snapToGrid w:val="0"/>
          <w:color w:val="auto"/>
          <w:kern w:val="0"/>
          <w:sz w:val="36"/>
          <w:szCs w:val="36"/>
          <w:highlight w:val="none"/>
        </w:rPr>
      </w:pPr>
    </w:p>
    <w:p w14:paraId="36CFE8CF">
      <w:pPr>
        <w:snapToGrid w:val="0"/>
        <w:spacing w:line="360" w:lineRule="auto"/>
        <w:rPr>
          <w:rFonts w:hint="eastAsia" w:ascii="宋体" w:hAnsi="宋体" w:eastAsia="宋体" w:cs="宋体"/>
          <w:b/>
          <w:snapToGrid w:val="0"/>
          <w:color w:val="auto"/>
          <w:kern w:val="0"/>
          <w:sz w:val="36"/>
          <w:szCs w:val="36"/>
          <w:highlight w:val="none"/>
        </w:rPr>
      </w:pPr>
    </w:p>
    <w:p w14:paraId="5D746D46">
      <w:pPr>
        <w:snapToGrid w:val="0"/>
        <w:spacing w:line="360" w:lineRule="auto"/>
        <w:jc w:val="center"/>
        <w:rPr>
          <w:rFonts w:hint="eastAsia" w:ascii="宋体" w:hAnsi="宋体" w:eastAsia="宋体" w:cs="宋体"/>
          <w:b/>
          <w:snapToGrid w:val="0"/>
          <w:color w:val="auto"/>
          <w:kern w:val="0"/>
          <w:sz w:val="36"/>
          <w:szCs w:val="36"/>
          <w:highlight w:val="none"/>
        </w:rPr>
      </w:pPr>
    </w:p>
    <w:p w14:paraId="59054CF2">
      <w:pPr>
        <w:autoSpaceDE w:val="0"/>
        <w:autoSpaceDN w:val="0"/>
        <w:adjustRightInd w:val="0"/>
        <w:spacing w:line="360" w:lineRule="auto"/>
        <w:rPr>
          <w:rFonts w:hint="eastAsia" w:ascii="宋体" w:hAnsi="宋体" w:eastAsia="宋体" w:cs="宋体"/>
          <w:color w:val="auto"/>
          <w:sz w:val="24"/>
          <w:highlight w:val="none"/>
          <w:lang w:val="zh-CN"/>
        </w:rPr>
      </w:pPr>
    </w:p>
    <w:p w14:paraId="2F3C6B0C">
      <w:pPr>
        <w:autoSpaceDE w:val="0"/>
        <w:autoSpaceDN w:val="0"/>
        <w:adjustRightInd w:val="0"/>
        <w:spacing w:line="360" w:lineRule="auto"/>
        <w:rPr>
          <w:rFonts w:hint="eastAsia" w:ascii="宋体" w:hAnsi="宋体" w:eastAsia="宋体" w:cs="宋体"/>
          <w:color w:val="auto"/>
          <w:sz w:val="24"/>
          <w:highlight w:val="none"/>
          <w:lang w:val="zh-CN"/>
        </w:rPr>
      </w:pPr>
    </w:p>
    <w:p w14:paraId="73095320">
      <w:pPr>
        <w:autoSpaceDE w:val="0"/>
        <w:autoSpaceDN w:val="0"/>
        <w:adjustRightInd w:val="0"/>
        <w:spacing w:line="360" w:lineRule="auto"/>
        <w:rPr>
          <w:rFonts w:hint="eastAsia" w:ascii="宋体" w:hAnsi="宋体" w:eastAsia="宋体" w:cs="宋体"/>
          <w:color w:val="auto"/>
          <w:sz w:val="24"/>
          <w:highlight w:val="none"/>
          <w:lang w:val="zh-CN"/>
        </w:rPr>
      </w:pPr>
    </w:p>
    <w:p w14:paraId="35463C97">
      <w:pPr>
        <w:autoSpaceDE w:val="0"/>
        <w:autoSpaceDN w:val="0"/>
        <w:adjustRightInd w:val="0"/>
        <w:spacing w:line="360" w:lineRule="auto"/>
        <w:rPr>
          <w:rFonts w:hint="eastAsia" w:ascii="宋体" w:hAnsi="宋体" w:eastAsia="宋体" w:cs="宋体"/>
          <w:color w:val="auto"/>
          <w:sz w:val="24"/>
          <w:highlight w:val="none"/>
          <w:lang w:val="zh-CN"/>
        </w:rPr>
      </w:pPr>
    </w:p>
    <w:p w14:paraId="37B43E7E">
      <w:pPr>
        <w:autoSpaceDE w:val="0"/>
        <w:autoSpaceDN w:val="0"/>
        <w:adjustRightInd w:val="0"/>
        <w:spacing w:line="360" w:lineRule="auto"/>
        <w:rPr>
          <w:rFonts w:hint="eastAsia" w:ascii="宋体" w:hAnsi="宋体" w:eastAsia="宋体" w:cs="宋体"/>
          <w:color w:val="auto"/>
          <w:sz w:val="24"/>
          <w:highlight w:val="none"/>
          <w:lang w:val="zh-CN"/>
        </w:rPr>
      </w:pPr>
    </w:p>
    <w:p w14:paraId="1946E523">
      <w:pPr>
        <w:autoSpaceDE w:val="0"/>
        <w:autoSpaceDN w:val="0"/>
        <w:adjustRightInd w:val="0"/>
        <w:spacing w:line="360" w:lineRule="auto"/>
        <w:rPr>
          <w:rFonts w:hint="eastAsia" w:ascii="宋体" w:hAnsi="宋体" w:eastAsia="宋体" w:cs="宋体"/>
          <w:color w:val="auto"/>
          <w:sz w:val="24"/>
          <w:highlight w:val="none"/>
          <w:lang w:val="zh-CN"/>
        </w:rPr>
      </w:pPr>
    </w:p>
    <w:p w14:paraId="1EFF7EA5">
      <w:pPr>
        <w:autoSpaceDE w:val="0"/>
        <w:autoSpaceDN w:val="0"/>
        <w:adjustRightInd w:val="0"/>
        <w:spacing w:line="360" w:lineRule="auto"/>
        <w:rPr>
          <w:rFonts w:hint="eastAsia" w:ascii="宋体" w:hAnsi="宋体" w:eastAsia="宋体" w:cs="宋体"/>
          <w:color w:val="auto"/>
          <w:sz w:val="24"/>
          <w:highlight w:val="none"/>
          <w:lang w:val="zh-CN"/>
        </w:rPr>
      </w:pPr>
    </w:p>
    <w:p w14:paraId="5ACA827A">
      <w:pPr>
        <w:autoSpaceDE w:val="0"/>
        <w:autoSpaceDN w:val="0"/>
        <w:adjustRightInd w:val="0"/>
        <w:spacing w:line="360" w:lineRule="auto"/>
        <w:rPr>
          <w:rFonts w:hint="eastAsia" w:ascii="宋体" w:hAnsi="宋体" w:eastAsia="宋体" w:cs="宋体"/>
          <w:color w:val="auto"/>
          <w:sz w:val="24"/>
          <w:highlight w:val="none"/>
          <w:lang w:val="zh-CN"/>
        </w:rPr>
      </w:pPr>
    </w:p>
    <w:p w14:paraId="6B4B8AA1">
      <w:pPr>
        <w:autoSpaceDE w:val="0"/>
        <w:autoSpaceDN w:val="0"/>
        <w:adjustRightInd w:val="0"/>
        <w:spacing w:line="360" w:lineRule="auto"/>
        <w:rPr>
          <w:rFonts w:hint="eastAsia" w:ascii="宋体" w:hAnsi="宋体" w:eastAsia="宋体" w:cs="宋体"/>
          <w:color w:val="auto"/>
          <w:sz w:val="24"/>
          <w:highlight w:val="none"/>
          <w:lang w:val="en-US" w:eastAsia="zh-CN"/>
        </w:rPr>
      </w:pPr>
    </w:p>
    <w:sectPr>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DF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1C4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641C4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0E02F"/>
    <w:multiLevelType w:val="singleLevel"/>
    <w:tmpl w:val="8490E02F"/>
    <w:lvl w:ilvl="0" w:tentative="0">
      <w:start w:val="1"/>
      <w:numFmt w:val="chineseCounting"/>
      <w:suff w:val="nothing"/>
      <w:lvlText w:val="%1、"/>
      <w:lvlJc w:val="left"/>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10DB13"/>
    <w:multiLevelType w:val="singleLevel"/>
    <w:tmpl w:val="5310DB13"/>
    <w:lvl w:ilvl="0" w:tentative="0">
      <w:start w:val="8"/>
      <w:numFmt w:val="chineseCounting"/>
      <w:suff w:val="space"/>
      <w:lvlText w:val="第%1章"/>
      <w:lvlJc w:val="left"/>
      <w:rPr>
        <w:rFonts w:hint="eastAsia"/>
      </w:r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C2"/>
    <w:multiLevelType w:val="singleLevel"/>
    <w:tmpl w:val="59F817C2"/>
    <w:lvl w:ilvl="0" w:tentative="0">
      <w:start w:val="2"/>
      <w:numFmt w:val="chineseCounting"/>
      <w:suff w:val="space"/>
      <w:lvlText w:val="第%1章"/>
      <w:lvlJc w:val="left"/>
    </w:lvl>
  </w:abstractNum>
  <w:abstractNum w:abstractNumId="8">
    <w:nsid w:val="59F817E8"/>
    <w:multiLevelType w:val="singleLevel"/>
    <w:tmpl w:val="59F817E8"/>
    <w:lvl w:ilvl="0" w:tentative="0">
      <w:start w:val="1"/>
      <w:numFmt w:val="chineseCounting"/>
      <w:pStyle w:val="35"/>
      <w:suff w:val="nothing"/>
      <w:lvlText w:val="%1、"/>
      <w:lvlJc w:val="left"/>
    </w:lvl>
  </w:abstractNum>
  <w:num w:numId="1">
    <w:abstractNumId w:val="3"/>
  </w:num>
  <w:num w:numId="2">
    <w:abstractNumId w:val="8"/>
  </w:num>
  <w:num w:numId="3">
    <w:abstractNumId w:val="1"/>
  </w:num>
  <w:num w:numId="4">
    <w:abstractNumId w:val="7"/>
  </w:num>
  <w:num w:numId="5">
    <w:abstractNumId w:val="0"/>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3562"/>
    <w:rsid w:val="000D73CC"/>
    <w:rsid w:val="000E447B"/>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6D2A98"/>
    <w:rsid w:val="00731151"/>
    <w:rsid w:val="00756DF7"/>
    <w:rsid w:val="007C0F2D"/>
    <w:rsid w:val="00845314"/>
    <w:rsid w:val="00853F2F"/>
    <w:rsid w:val="00863E37"/>
    <w:rsid w:val="00864B37"/>
    <w:rsid w:val="00892F2D"/>
    <w:rsid w:val="008953F8"/>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D49E3"/>
    <w:rsid w:val="012D7A8C"/>
    <w:rsid w:val="01613ABA"/>
    <w:rsid w:val="01626374"/>
    <w:rsid w:val="017062CC"/>
    <w:rsid w:val="017D6BBC"/>
    <w:rsid w:val="019468D5"/>
    <w:rsid w:val="019B3634"/>
    <w:rsid w:val="01AB47D5"/>
    <w:rsid w:val="01B6636C"/>
    <w:rsid w:val="01D47411"/>
    <w:rsid w:val="0212598F"/>
    <w:rsid w:val="022A6766"/>
    <w:rsid w:val="024F4E41"/>
    <w:rsid w:val="02691984"/>
    <w:rsid w:val="027D2680"/>
    <w:rsid w:val="028505E2"/>
    <w:rsid w:val="0286634E"/>
    <w:rsid w:val="031E4962"/>
    <w:rsid w:val="033775C3"/>
    <w:rsid w:val="033C2BF5"/>
    <w:rsid w:val="03724C7F"/>
    <w:rsid w:val="03791753"/>
    <w:rsid w:val="03995B4A"/>
    <w:rsid w:val="039E11BA"/>
    <w:rsid w:val="03C926DB"/>
    <w:rsid w:val="03EB08A3"/>
    <w:rsid w:val="03EB72C0"/>
    <w:rsid w:val="03F1118F"/>
    <w:rsid w:val="03FB03BA"/>
    <w:rsid w:val="04285764"/>
    <w:rsid w:val="0495080F"/>
    <w:rsid w:val="04A647CA"/>
    <w:rsid w:val="04B35764"/>
    <w:rsid w:val="04B635B2"/>
    <w:rsid w:val="054B35C3"/>
    <w:rsid w:val="05AC4062"/>
    <w:rsid w:val="05BC77FC"/>
    <w:rsid w:val="05D435B9"/>
    <w:rsid w:val="064E5119"/>
    <w:rsid w:val="065B5B0B"/>
    <w:rsid w:val="06AE76EE"/>
    <w:rsid w:val="06B83EA4"/>
    <w:rsid w:val="06FA0DFD"/>
    <w:rsid w:val="07013F3A"/>
    <w:rsid w:val="07083BAF"/>
    <w:rsid w:val="074777BA"/>
    <w:rsid w:val="076E4888"/>
    <w:rsid w:val="07C271DC"/>
    <w:rsid w:val="07D24D0F"/>
    <w:rsid w:val="07EA2C20"/>
    <w:rsid w:val="0802143B"/>
    <w:rsid w:val="080261BB"/>
    <w:rsid w:val="08031F33"/>
    <w:rsid w:val="08364A1F"/>
    <w:rsid w:val="085406EF"/>
    <w:rsid w:val="08591B53"/>
    <w:rsid w:val="085F6B82"/>
    <w:rsid w:val="087A4BC2"/>
    <w:rsid w:val="08AB6853"/>
    <w:rsid w:val="08EE6740"/>
    <w:rsid w:val="090441B5"/>
    <w:rsid w:val="09594501"/>
    <w:rsid w:val="097633EB"/>
    <w:rsid w:val="097D1872"/>
    <w:rsid w:val="09A137B2"/>
    <w:rsid w:val="09C83435"/>
    <w:rsid w:val="09CB6DEC"/>
    <w:rsid w:val="09DF42DA"/>
    <w:rsid w:val="0A110938"/>
    <w:rsid w:val="0A122F22"/>
    <w:rsid w:val="0A375EC4"/>
    <w:rsid w:val="0A394F6F"/>
    <w:rsid w:val="0A466107"/>
    <w:rsid w:val="0AB67731"/>
    <w:rsid w:val="0AC871A0"/>
    <w:rsid w:val="0AD55E09"/>
    <w:rsid w:val="0AD64D7F"/>
    <w:rsid w:val="0B444D3D"/>
    <w:rsid w:val="0B473F7A"/>
    <w:rsid w:val="0B81243B"/>
    <w:rsid w:val="0BFA364D"/>
    <w:rsid w:val="0BFE4671"/>
    <w:rsid w:val="0C010A28"/>
    <w:rsid w:val="0C566AD6"/>
    <w:rsid w:val="0C796C68"/>
    <w:rsid w:val="0C935A2F"/>
    <w:rsid w:val="0CC047BE"/>
    <w:rsid w:val="0CDE49B7"/>
    <w:rsid w:val="0D093090"/>
    <w:rsid w:val="0D605732"/>
    <w:rsid w:val="0D8C53E4"/>
    <w:rsid w:val="0DA03BB0"/>
    <w:rsid w:val="0DA41F3F"/>
    <w:rsid w:val="0DF95AA1"/>
    <w:rsid w:val="0DFD4D97"/>
    <w:rsid w:val="0E6D6359"/>
    <w:rsid w:val="0E7250C9"/>
    <w:rsid w:val="0E7616B1"/>
    <w:rsid w:val="0E8846BF"/>
    <w:rsid w:val="0E9E794E"/>
    <w:rsid w:val="0EBC4DBA"/>
    <w:rsid w:val="0ECF2B6F"/>
    <w:rsid w:val="0F1D6E95"/>
    <w:rsid w:val="0F331350"/>
    <w:rsid w:val="0F36F647"/>
    <w:rsid w:val="0F4E1CE6"/>
    <w:rsid w:val="0F607C6B"/>
    <w:rsid w:val="0F780EBB"/>
    <w:rsid w:val="0F7C2CF7"/>
    <w:rsid w:val="0F827BE2"/>
    <w:rsid w:val="0F944B88"/>
    <w:rsid w:val="0FA834AB"/>
    <w:rsid w:val="0FCE1048"/>
    <w:rsid w:val="10172E9E"/>
    <w:rsid w:val="10572219"/>
    <w:rsid w:val="10771710"/>
    <w:rsid w:val="10AE7F47"/>
    <w:rsid w:val="110F36F7"/>
    <w:rsid w:val="112371A2"/>
    <w:rsid w:val="1164145B"/>
    <w:rsid w:val="11967EB9"/>
    <w:rsid w:val="11E00E51"/>
    <w:rsid w:val="123A0C48"/>
    <w:rsid w:val="12876025"/>
    <w:rsid w:val="12BE3627"/>
    <w:rsid w:val="12FE1C75"/>
    <w:rsid w:val="13140A84"/>
    <w:rsid w:val="1388077F"/>
    <w:rsid w:val="138E37D4"/>
    <w:rsid w:val="13D455A0"/>
    <w:rsid w:val="13D824C6"/>
    <w:rsid w:val="13F05B34"/>
    <w:rsid w:val="14BC1DE8"/>
    <w:rsid w:val="150463EA"/>
    <w:rsid w:val="154222ED"/>
    <w:rsid w:val="154A488A"/>
    <w:rsid w:val="15712BD2"/>
    <w:rsid w:val="158C299F"/>
    <w:rsid w:val="161377E5"/>
    <w:rsid w:val="16161933"/>
    <w:rsid w:val="1674297A"/>
    <w:rsid w:val="16922E00"/>
    <w:rsid w:val="16976668"/>
    <w:rsid w:val="16A865A3"/>
    <w:rsid w:val="16E42F30"/>
    <w:rsid w:val="17214B3C"/>
    <w:rsid w:val="175D087C"/>
    <w:rsid w:val="17762E4D"/>
    <w:rsid w:val="178D5376"/>
    <w:rsid w:val="1791619B"/>
    <w:rsid w:val="179937EA"/>
    <w:rsid w:val="179D1845"/>
    <w:rsid w:val="17B330C9"/>
    <w:rsid w:val="18137F71"/>
    <w:rsid w:val="18363C5F"/>
    <w:rsid w:val="18381785"/>
    <w:rsid w:val="184F23F7"/>
    <w:rsid w:val="18661F90"/>
    <w:rsid w:val="18910ECB"/>
    <w:rsid w:val="18A14941"/>
    <w:rsid w:val="18BC5F12"/>
    <w:rsid w:val="18F2402A"/>
    <w:rsid w:val="18F4074B"/>
    <w:rsid w:val="190D2C12"/>
    <w:rsid w:val="191F46F3"/>
    <w:rsid w:val="19232435"/>
    <w:rsid w:val="19AF54EA"/>
    <w:rsid w:val="19BC2BD7"/>
    <w:rsid w:val="19D454DE"/>
    <w:rsid w:val="19E962F6"/>
    <w:rsid w:val="19EE17C2"/>
    <w:rsid w:val="1A1D6E85"/>
    <w:rsid w:val="1A4B6150"/>
    <w:rsid w:val="1A5F749D"/>
    <w:rsid w:val="1A634911"/>
    <w:rsid w:val="1AD03EF7"/>
    <w:rsid w:val="1B361346"/>
    <w:rsid w:val="1B373F76"/>
    <w:rsid w:val="1B9E2247"/>
    <w:rsid w:val="1BB6133F"/>
    <w:rsid w:val="1BD17F22"/>
    <w:rsid w:val="1BDD4B1E"/>
    <w:rsid w:val="1C515B8A"/>
    <w:rsid w:val="1C7170CF"/>
    <w:rsid w:val="1C9571A6"/>
    <w:rsid w:val="1CA53161"/>
    <w:rsid w:val="1CB33AD0"/>
    <w:rsid w:val="1D1E2032"/>
    <w:rsid w:val="1D647400"/>
    <w:rsid w:val="1D934FDE"/>
    <w:rsid w:val="1DE32BCD"/>
    <w:rsid w:val="1DFE6FCD"/>
    <w:rsid w:val="1E0343C5"/>
    <w:rsid w:val="1E31278D"/>
    <w:rsid w:val="1E357DB2"/>
    <w:rsid w:val="1E871A30"/>
    <w:rsid w:val="1EA01E32"/>
    <w:rsid w:val="1EAF02C7"/>
    <w:rsid w:val="1ECE322F"/>
    <w:rsid w:val="1EE75CB3"/>
    <w:rsid w:val="1EE95587"/>
    <w:rsid w:val="1EF0174A"/>
    <w:rsid w:val="1F1D33C1"/>
    <w:rsid w:val="1F253903"/>
    <w:rsid w:val="1F262635"/>
    <w:rsid w:val="1F2E5690"/>
    <w:rsid w:val="1F8E5A9C"/>
    <w:rsid w:val="1FC47C9B"/>
    <w:rsid w:val="1FF2006D"/>
    <w:rsid w:val="1FF468DA"/>
    <w:rsid w:val="20036B1D"/>
    <w:rsid w:val="200939CC"/>
    <w:rsid w:val="20330CED"/>
    <w:rsid w:val="203F5E7C"/>
    <w:rsid w:val="204F3443"/>
    <w:rsid w:val="208F215E"/>
    <w:rsid w:val="20C305B3"/>
    <w:rsid w:val="20C4005A"/>
    <w:rsid w:val="20D254D7"/>
    <w:rsid w:val="20E775D8"/>
    <w:rsid w:val="20EC135F"/>
    <w:rsid w:val="21247AE2"/>
    <w:rsid w:val="21817483"/>
    <w:rsid w:val="21BE2CFB"/>
    <w:rsid w:val="21CF4F08"/>
    <w:rsid w:val="21F50295"/>
    <w:rsid w:val="21F66939"/>
    <w:rsid w:val="223631D9"/>
    <w:rsid w:val="226D793A"/>
    <w:rsid w:val="228C128A"/>
    <w:rsid w:val="22A97407"/>
    <w:rsid w:val="22AD3550"/>
    <w:rsid w:val="22CF0F38"/>
    <w:rsid w:val="22E03145"/>
    <w:rsid w:val="22EA05C1"/>
    <w:rsid w:val="2338088B"/>
    <w:rsid w:val="234E0DFC"/>
    <w:rsid w:val="23EE3640"/>
    <w:rsid w:val="240864B0"/>
    <w:rsid w:val="241A61E3"/>
    <w:rsid w:val="242A756D"/>
    <w:rsid w:val="242B03F0"/>
    <w:rsid w:val="24372D12"/>
    <w:rsid w:val="245931AF"/>
    <w:rsid w:val="24E72569"/>
    <w:rsid w:val="24FC1B91"/>
    <w:rsid w:val="253B5CAB"/>
    <w:rsid w:val="25494FD2"/>
    <w:rsid w:val="255231DD"/>
    <w:rsid w:val="257B4ED5"/>
    <w:rsid w:val="258C3110"/>
    <w:rsid w:val="26151358"/>
    <w:rsid w:val="268A3AF4"/>
    <w:rsid w:val="27824E7A"/>
    <w:rsid w:val="27DD7D71"/>
    <w:rsid w:val="280B42F7"/>
    <w:rsid w:val="285C14C0"/>
    <w:rsid w:val="286B1703"/>
    <w:rsid w:val="288A7DDB"/>
    <w:rsid w:val="28A6273B"/>
    <w:rsid w:val="291465A8"/>
    <w:rsid w:val="29283150"/>
    <w:rsid w:val="293B43FD"/>
    <w:rsid w:val="294601F2"/>
    <w:rsid w:val="295C2DFA"/>
    <w:rsid w:val="29822B46"/>
    <w:rsid w:val="298C1931"/>
    <w:rsid w:val="29C0782D"/>
    <w:rsid w:val="29D54FEB"/>
    <w:rsid w:val="2A3F69A3"/>
    <w:rsid w:val="2A5C0B48"/>
    <w:rsid w:val="2A6552B4"/>
    <w:rsid w:val="2A773C1D"/>
    <w:rsid w:val="2A832D34"/>
    <w:rsid w:val="2A8A1456"/>
    <w:rsid w:val="2ABC1728"/>
    <w:rsid w:val="2AD510B6"/>
    <w:rsid w:val="2AFF1C79"/>
    <w:rsid w:val="2B31540B"/>
    <w:rsid w:val="2B342280"/>
    <w:rsid w:val="2B4635A9"/>
    <w:rsid w:val="2B537E56"/>
    <w:rsid w:val="2B6130DC"/>
    <w:rsid w:val="2B697BDD"/>
    <w:rsid w:val="2BC248D6"/>
    <w:rsid w:val="2C091017"/>
    <w:rsid w:val="2C210A56"/>
    <w:rsid w:val="2C3C1D4C"/>
    <w:rsid w:val="2C534988"/>
    <w:rsid w:val="2C610E7B"/>
    <w:rsid w:val="2C76438E"/>
    <w:rsid w:val="2C8A5492"/>
    <w:rsid w:val="2C932503"/>
    <w:rsid w:val="2CF41CC7"/>
    <w:rsid w:val="2D1E4F96"/>
    <w:rsid w:val="2D597D7C"/>
    <w:rsid w:val="2D7352E2"/>
    <w:rsid w:val="2D7506B6"/>
    <w:rsid w:val="2D915768"/>
    <w:rsid w:val="2D955EB4"/>
    <w:rsid w:val="2DAF26D7"/>
    <w:rsid w:val="2E026666"/>
    <w:rsid w:val="2E552C39"/>
    <w:rsid w:val="2E7F3812"/>
    <w:rsid w:val="2E976DAE"/>
    <w:rsid w:val="2ECC76B5"/>
    <w:rsid w:val="2EE6563F"/>
    <w:rsid w:val="2EF04710"/>
    <w:rsid w:val="2F102DB2"/>
    <w:rsid w:val="2F416D1A"/>
    <w:rsid w:val="2F6F7D2B"/>
    <w:rsid w:val="2FA34225"/>
    <w:rsid w:val="2FD2696D"/>
    <w:rsid w:val="300B1A7E"/>
    <w:rsid w:val="30116FD4"/>
    <w:rsid w:val="301937F3"/>
    <w:rsid w:val="304970DC"/>
    <w:rsid w:val="304B42F4"/>
    <w:rsid w:val="30506713"/>
    <w:rsid w:val="308E2433"/>
    <w:rsid w:val="308E655F"/>
    <w:rsid w:val="30954C40"/>
    <w:rsid w:val="30CE06A3"/>
    <w:rsid w:val="30D44173"/>
    <w:rsid w:val="30DC448B"/>
    <w:rsid w:val="30FA7AC8"/>
    <w:rsid w:val="30FF5980"/>
    <w:rsid w:val="31167642"/>
    <w:rsid w:val="31197C45"/>
    <w:rsid w:val="311B0223"/>
    <w:rsid w:val="312406A1"/>
    <w:rsid w:val="31244B45"/>
    <w:rsid w:val="31264CAE"/>
    <w:rsid w:val="31280191"/>
    <w:rsid w:val="316B4522"/>
    <w:rsid w:val="318555E4"/>
    <w:rsid w:val="3195334D"/>
    <w:rsid w:val="31A33CBC"/>
    <w:rsid w:val="31BC6B2B"/>
    <w:rsid w:val="32043477"/>
    <w:rsid w:val="32196176"/>
    <w:rsid w:val="323906AC"/>
    <w:rsid w:val="32446066"/>
    <w:rsid w:val="32957AA8"/>
    <w:rsid w:val="32C043F9"/>
    <w:rsid w:val="32E47AED"/>
    <w:rsid w:val="32FC5B89"/>
    <w:rsid w:val="332112FE"/>
    <w:rsid w:val="33233306"/>
    <w:rsid w:val="332C2234"/>
    <w:rsid w:val="335A2D4A"/>
    <w:rsid w:val="33EF143A"/>
    <w:rsid w:val="33EF5573"/>
    <w:rsid w:val="340842AA"/>
    <w:rsid w:val="34242F97"/>
    <w:rsid w:val="343F2879"/>
    <w:rsid w:val="348A3678"/>
    <w:rsid w:val="34D50630"/>
    <w:rsid w:val="34D657D8"/>
    <w:rsid w:val="34E4369E"/>
    <w:rsid w:val="34F96D7F"/>
    <w:rsid w:val="35026F4B"/>
    <w:rsid w:val="35550544"/>
    <w:rsid w:val="3566287D"/>
    <w:rsid w:val="36003843"/>
    <w:rsid w:val="3629542E"/>
    <w:rsid w:val="3653763E"/>
    <w:rsid w:val="368C2A58"/>
    <w:rsid w:val="36B204FD"/>
    <w:rsid w:val="36B424C7"/>
    <w:rsid w:val="36B50719"/>
    <w:rsid w:val="36CA3A99"/>
    <w:rsid w:val="36DF7544"/>
    <w:rsid w:val="36E36908"/>
    <w:rsid w:val="37076A9B"/>
    <w:rsid w:val="371525D8"/>
    <w:rsid w:val="375168B8"/>
    <w:rsid w:val="375A7F6A"/>
    <w:rsid w:val="377F4883"/>
    <w:rsid w:val="379F0A81"/>
    <w:rsid w:val="37A03884"/>
    <w:rsid w:val="37B26816"/>
    <w:rsid w:val="37DB1893"/>
    <w:rsid w:val="38037262"/>
    <w:rsid w:val="383276A8"/>
    <w:rsid w:val="383A0B46"/>
    <w:rsid w:val="38706B58"/>
    <w:rsid w:val="38BB131C"/>
    <w:rsid w:val="38C033A5"/>
    <w:rsid w:val="390A2872"/>
    <w:rsid w:val="391536F1"/>
    <w:rsid w:val="392A2B57"/>
    <w:rsid w:val="395444FA"/>
    <w:rsid w:val="395C1320"/>
    <w:rsid w:val="396B17C1"/>
    <w:rsid w:val="397402C9"/>
    <w:rsid w:val="398C3287"/>
    <w:rsid w:val="3992139A"/>
    <w:rsid w:val="39C80763"/>
    <w:rsid w:val="39CD2122"/>
    <w:rsid w:val="3A0C650E"/>
    <w:rsid w:val="3A2D5366"/>
    <w:rsid w:val="3A5515C3"/>
    <w:rsid w:val="3A5F18F6"/>
    <w:rsid w:val="3A7D56BC"/>
    <w:rsid w:val="3AC34131"/>
    <w:rsid w:val="3AD97CC9"/>
    <w:rsid w:val="3B014F9B"/>
    <w:rsid w:val="3B1F0857"/>
    <w:rsid w:val="3B2146DC"/>
    <w:rsid w:val="3B2714BA"/>
    <w:rsid w:val="3B4200A1"/>
    <w:rsid w:val="3B505A43"/>
    <w:rsid w:val="3B533FF5"/>
    <w:rsid w:val="3B7B1FE2"/>
    <w:rsid w:val="3BCE6BE6"/>
    <w:rsid w:val="3BDA477E"/>
    <w:rsid w:val="3BDB2B47"/>
    <w:rsid w:val="3BDB4052"/>
    <w:rsid w:val="3C035F1A"/>
    <w:rsid w:val="3C0417FB"/>
    <w:rsid w:val="3C181DDF"/>
    <w:rsid w:val="3C1F6635"/>
    <w:rsid w:val="3C4D7203"/>
    <w:rsid w:val="3C750E27"/>
    <w:rsid w:val="3CD32E37"/>
    <w:rsid w:val="3CE17490"/>
    <w:rsid w:val="3D1D2B74"/>
    <w:rsid w:val="3D1E49C5"/>
    <w:rsid w:val="3D2A34E3"/>
    <w:rsid w:val="3D2C4A02"/>
    <w:rsid w:val="3D5E05E5"/>
    <w:rsid w:val="3D6A2BB3"/>
    <w:rsid w:val="3D86647B"/>
    <w:rsid w:val="3DB35CA9"/>
    <w:rsid w:val="3DCB0822"/>
    <w:rsid w:val="3DE73182"/>
    <w:rsid w:val="3E46434D"/>
    <w:rsid w:val="3E5D2FF1"/>
    <w:rsid w:val="3E95067F"/>
    <w:rsid w:val="3EAF3CA0"/>
    <w:rsid w:val="3EB56143"/>
    <w:rsid w:val="3EBF0F87"/>
    <w:rsid w:val="3ECD6E4D"/>
    <w:rsid w:val="3F0C10F2"/>
    <w:rsid w:val="3F1660F0"/>
    <w:rsid w:val="3F1E2D7C"/>
    <w:rsid w:val="3F3B7691"/>
    <w:rsid w:val="3FD61700"/>
    <w:rsid w:val="3FEE1126"/>
    <w:rsid w:val="3FF42167"/>
    <w:rsid w:val="400B3158"/>
    <w:rsid w:val="40243841"/>
    <w:rsid w:val="40392451"/>
    <w:rsid w:val="40463AB2"/>
    <w:rsid w:val="406E1939"/>
    <w:rsid w:val="40747399"/>
    <w:rsid w:val="407C22A8"/>
    <w:rsid w:val="408530DC"/>
    <w:rsid w:val="41235D86"/>
    <w:rsid w:val="41780CC1"/>
    <w:rsid w:val="41904802"/>
    <w:rsid w:val="41B617E9"/>
    <w:rsid w:val="41B64AD1"/>
    <w:rsid w:val="41E719A3"/>
    <w:rsid w:val="41EC6FB9"/>
    <w:rsid w:val="423229B8"/>
    <w:rsid w:val="425E1D08"/>
    <w:rsid w:val="42843695"/>
    <w:rsid w:val="42BD657E"/>
    <w:rsid w:val="42D8306B"/>
    <w:rsid w:val="43086074"/>
    <w:rsid w:val="432664FB"/>
    <w:rsid w:val="43617533"/>
    <w:rsid w:val="43743616"/>
    <w:rsid w:val="439671DC"/>
    <w:rsid w:val="439D4A0F"/>
    <w:rsid w:val="43D31B76"/>
    <w:rsid w:val="440F0F41"/>
    <w:rsid w:val="441251BD"/>
    <w:rsid w:val="44125F38"/>
    <w:rsid w:val="443D37DF"/>
    <w:rsid w:val="444E7AB7"/>
    <w:rsid w:val="44702030"/>
    <w:rsid w:val="449E3634"/>
    <w:rsid w:val="44B738AE"/>
    <w:rsid w:val="44B85878"/>
    <w:rsid w:val="44BD176A"/>
    <w:rsid w:val="44D6099C"/>
    <w:rsid w:val="44E03886"/>
    <w:rsid w:val="45035699"/>
    <w:rsid w:val="4508389C"/>
    <w:rsid w:val="450862B9"/>
    <w:rsid w:val="4509248C"/>
    <w:rsid w:val="451900C5"/>
    <w:rsid w:val="452F78E8"/>
    <w:rsid w:val="45561319"/>
    <w:rsid w:val="459B5DCC"/>
    <w:rsid w:val="45C85F51"/>
    <w:rsid w:val="45CC5137"/>
    <w:rsid w:val="45E14471"/>
    <w:rsid w:val="45F7593E"/>
    <w:rsid w:val="46052FFA"/>
    <w:rsid w:val="462F1B6A"/>
    <w:rsid w:val="46744A27"/>
    <w:rsid w:val="469F2BD0"/>
    <w:rsid w:val="46B53E1D"/>
    <w:rsid w:val="46B67B95"/>
    <w:rsid w:val="46BD7176"/>
    <w:rsid w:val="46D75774"/>
    <w:rsid w:val="46FA774D"/>
    <w:rsid w:val="471351A0"/>
    <w:rsid w:val="47775577"/>
    <w:rsid w:val="47867568"/>
    <w:rsid w:val="479354BC"/>
    <w:rsid w:val="47C507BE"/>
    <w:rsid w:val="47EB1BDC"/>
    <w:rsid w:val="47FA684C"/>
    <w:rsid w:val="48021C3E"/>
    <w:rsid w:val="483C1B05"/>
    <w:rsid w:val="48435459"/>
    <w:rsid w:val="484B5204"/>
    <w:rsid w:val="484D6779"/>
    <w:rsid w:val="48650722"/>
    <w:rsid w:val="48711FC6"/>
    <w:rsid w:val="48934632"/>
    <w:rsid w:val="489E1C29"/>
    <w:rsid w:val="48B73831"/>
    <w:rsid w:val="48BA396D"/>
    <w:rsid w:val="492A1DB5"/>
    <w:rsid w:val="49D9424A"/>
    <w:rsid w:val="4A0600C1"/>
    <w:rsid w:val="4A4831FA"/>
    <w:rsid w:val="4A600544"/>
    <w:rsid w:val="4AD45146"/>
    <w:rsid w:val="4AD934F1"/>
    <w:rsid w:val="4B0C5FD6"/>
    <w:rsid w:val="4B1D01E3"/>
    <w:rsid w:val="4B35552D"/>
    <w:rsid w:val="4B3D6AD7"/>
    <w:rsid w:val="4BB74194"/>
    <w:rsid w:val="4BDA206F"/>
    <w:rsid w:val="4C1C66ED"/>
    <w:rsid w:val="4C3F62C6"/>
    <w:rsid w:val="4C433C79"/>
    <w:rsid w:val="4C63256E"/>
    <w:rsid w:val="4C80554E"/>
    <w:rsid w:val="4CC530DC"/>
    <w:rsid w:val="4CCC5320"/>
    <w:rsid w:val="4CD9638C"/>
    <w:rsid w:val="4CDA3DB2"/>
    <w:rsid w:val="4D055724"/>
    <w:rsid w:val="4D0B1261"/>
    <w:rsid w:val="4D494383"/>
    <w:rsid w:val="4D510618"/>
    <w:rsid w:val="4D5F2EA5"/>
    <w:rsid w:val="4D7507CE"/>
    <w:rsid w:val="4D8409ED"/>
    <w:rsid w:val="4DCB3F26"/>
    <w:rsid w:val="4DD54445"/>
    <w:rsid w:val="4DE80F7C"/>
    <w:rsid w:val="4E0B59DB"/>
    <w:rsid w:val="4E113E2F"/>
    <w:rsid w:val="4E2F670D"/>
    <w:rsid w:val="4E564138"/>
    <w:rsid w:val="4E6B1A41"/>
    <w:rsid w:val="4E7370E0"/>
    <w:rsid w:val="4EA330F5"/>
    <w:rsid w:val="4F253B0A"/>
    <w:rsid w:val="4F38383D"/>
    <w:rsid w:val="4F490422"/>
    <w:rsid w:val="4F583EE0"/>
    <w:rsid w:val="4F764366"/>
    <w:rsid w:val="4F790A9F"/>
    <w:rsid w:val="4F8C0C60"/>
    <w:rsid w:val="4F9C3DCC"/>
    <w:rsid w:val="4FAB04B3"/>
    <w:rsid w:val="4FAF18DD"/>
    <w:rsid w:val="4FE65048"/>
    <w:rsid w:val="4FEB0DB6"/>
    <w:rsid w:val="5040703F"/>
    <w:rsid w:val="5043693E"/>
    <w:rsid w:val="50856264"/>
    <w:rsid w:val="50A13664"/>
    <w:rsid w:val="50A56CB1"/>
    <w:rsid w:val="50AF3513"/>
    <w:rsid w:val="50B43398"/>
    <w:rsid w:val="50F804CD"/>
    <w:rsid w:val="51002139"/>
    <w:rsid w:val="51565E69"/>
    <w:rsid w:val="516F72BF"/>
    <w:rsid w:val="517B53A5"/>
    <w:rsid w:val="51844B18"/>
    <w:rsid w:val="51851D47"/>
    <w:rsid w:val="51C969CF"/>
    <w:rsid w:val="51E46B39"/>
    <w:rsid w:val="5208639B"/>
    <w:rsid w:val="520A4D37"/>
    <w:rsid w:val="5216050B"/>
    <w:rsid w:val="52224331"/>
    <w:rsid w:val="523A14B0"/>
    <w:rsid w:val="52416EAD"/>
    <w:rsid w:val="5244074B"/>
    <w:rsid w:val="5250634A"/>
    <w:rsid w:val="529E1AAF"/>
    <w:rsid w:val="52A75737"/>
    <w:rsid w:val="52E75AB2"/>
    <w:rsid w:val="5322283B"/>
    <w:rsid w:val="533802F4"/>
    <w:rsid w:val="536746F1"/>
    <w:rsid w:val="537E2096"/>
    <w:rsid w:val="537F7C8D"/>
    <w:rsid w:val="53894668"/>
    <w:rsid w:val="53B42B45"/>
    <w:rsid w:val="53DA3854"/>
    <w:rsid w:val="53DA43C7"/>
    <w:rsid w:val="53FF0872"/>
    <w:rsid w:val="543C792C"/>
    <w:rsid w:val="545936D6"/>
    <w:rsid w:val="546821EA"/>
    <w:rsid w:val="54891A20"/>
    <w:rsid w:val="553777B3"/>
    <w:rsid w:val="554747DA"/>
    <w:rsid w:val="55730445"/>
    <w:rsid w:val="55976C69"/>
    <w:rsid w:val="55BF4CF2"/>
    <w:rsid w:val="55D700A5"/>
    <w:rsid w:val="55D93366"/>
    <w:rsid w:val="55F1262A"/>
    <w:rsid w:val="56174265"/>
    <w:rsid w:val="562E7748"/>
    <w:rsid w:val="56705FB3"/>
    <w:rsid w:val="5688510F"/>
    <w:rsid w:val="568C17D3"/>
    <w:rsid w:val="56951C22"/>
    <w:rsid w:val="56BA5480"/>
    <w:rsid w:val="56E36785"/>
    <w:rsid w:val="56FB72B2"/>
    <w:rsid w:val="56FE5EA0"/>
    <w:rsid w:val="573B1B9F"/>
    <w:rsid w:val="576A0F74"/>
    <w:rsid w:val="577218B7"/>
    <w:rsid w:val="57A51C8C"/>
    <w:rsid w:val="57D83E10"/>
    <w:rsid w:val="57EA3B34"/>
    <w:rsid w:val="58032243"/>
    <w:rsid w:val="584371A5"/>
    <w:rsid w:val="584A1A3B"/>
    <w:rsid w:val="58647D30"/>
    <w:rsid w:val="58A550E1"/>
    <w:rsid w:val="58A71A42"/>
    <w:rsid w:val="58EF4F12"/>
    <w:rsid w:val="58F22A32"/>
    <w:rsid w:val="58F9403E"/>
    <w:rsid w:val="590A1602"/>
    <w:rsid w:val="590A4959"/>
    <w:rsid w:val="59201619"/>
    <w:rsid w:val="59271254"/>
    <w:rsid w:val="593C03CE"/>
    <w:rsid w:val="594D6137"/>
    <w:rsid w:val="59611F3F"/>
    <w:rsid w:val="59621016"/>
    <w:rsid w:val="597F77E2"/>
    <w:rsid w:val="59837DAB"/>
    <w:rsid w:val="59B63CDD"/>
    <w:rsid w:val="59FB283E"/>
    <w:rsid w:val="5A234D3B"/>
    <w:rsid w:val="5A9E49E8"/>
    <w:rsid w:val="5AAB75B9"/>
    <w:rsid w:val="5AAC3332"/>
    <w:rsid w:val="5AE64A95"/>
    <w:rsid w:val="5B0311A3"/>
    <w:rsid w:val="5B101B12"/>
    <w:rsid w:val="5B204F53"/>
    <w:rsid w:val="5B8A0A45"/>
    <w:rsid w:val="5B955B74"/>
    <w:rsid w:val="5B9A708F"/>
    <w:rsid w:val="5BDE576D"/>
    <w:rsid w:val="5BEE14A4"/>
    <w:rsid w:val="5C2D331C"/>
    <w:rsid w:val="5C8F696A"/>
    <w:rsid w:val="5CAF369E"/>
    <w:rsid w:val="5CAF3AF1"/>
    <w:rsid w:val="5CBC2CD4"/>
    <w:rsid w:val="5CBD7121"/>
    <w:rsid w:val="5D047455"/>
    <w:rsid w:val="5D096819"/>
    <w:rsid w:val="5D1458EA"/>
    <w:rsid w:val="5D213B63"/>
    <w:rsid w:val="5D4F6922"/>
    <w:rsid w:val="5D5264DD"/>
    <w:rsid w:val="5D883BE2"/>
    <w:rsid w:val="5DA86C9F"/>
    <w:rsid w:val="5E2A0546"/>
    <w:rsid w:val="5E2A4C99"/>
    <w:rsid w:val="5E421FE3"/>
    <w:rsid w:val="5E457475"/>
    <w:rsid w:val="5E6C4FDF"/>
    <w:rsid w:val="5EFF7C1D"/>
    <w:rsid w:val="5F0357D4"/>
    <w:rsid w:val="5F076D88"/>
    <w:rsid w:val="5F851915"/>
    <w:rsid w:val="5F8529FE"/>
    <w:rsid w:val="5F97635E"/>
    <w:rsid w:val="5FBE3A34"/>
    <w:rsid w:val="5FCD5B8D"/>
    <w:rsid w:val="5FD924D3"/>
    <w:rsid w:val="60275934"/>
    <w:rsid w:val="6028345A"/>
    <w:rsid w:val="6029789A"/>
    <w:rsid w:val="605A41EA"/>
    <w:rsid w:val="605C7343"/>
    <w:rsid w:val="60870523"/>
    <w:rsid w:val="608B79B6"/>
    <w:rsid w:val="60941816"/>
    <w:rsid w:val="60C26AA1"/>
    <w:rsid w:val="60D24A13"/>
    <w:rsid w:val="60E83CC0"/>
    <w:rsid w:val="60FF6129"/>
    <w:rsid w:val="610E2650"/>
    <w:rsid w:val="6110461A"/>
    <w:rsid w:val="61695AD8"/>
    <w:rsid w:val="616D69D4"/>
    <w:rsid w:val="616E7593"/>
    <w:rsid w:val="61995A39"/>
    <w:rsid w:val="619D5782"/>
    <w:rsid w:val="61A15C96"/>
    <w:rsid w:val="61E228BD"/>
    <w:rsid w:val="61F730E4"/>
    <w:rsid w:val="62037CDB"/>
    <w:rsid w:val="622D4D58"/>
    <w:rsid w:val="628F77C1"/>
    <w:rsid w:val="62B27141"/>
    <w:rsid w:val="63131CC5"/>
    <w:rsid w:val="633B5253"/>
    <w:rsid w:val="635037FE"/>
    <w:rsid w:val="636B3D8A"/>
    <w:rsid w:val="63770981"/>
    <w:rsid w:val="639C5D44"/>
    <w:rsid w:val="63F77A34"/>
    <w:rsid w:val="63FA5FBC"/>
    <w:rsid w:val="64201EC1"/>
    <w:rsid w:val="645A7A6B"/>
    <w:rsid w:val="64DE2339"/>
    <w:rsid w:val="64ED07CF"/>
    <w:rsid w:val="650224CC"/>
    <w:rsid w:val="65045E61"/>
    <w:rsid w:val="651B358E"/>
    <w:rsid w:val="65476131"/>
    <w:rsid w:val="655962D4"/>
    <w:rsid w:val="657A6506"/>
    <w:rsid w:val="658904F7"/>
    <w:rsid w:val="65984BDE"/>
    <w:rsid w:val="65F00576"/>
    <w:rsid w:val="65FE7137"/>
    <w:rsid w:val="6665759F"/>
    <w:rsid w:val="66C22463"/>
    <w:rsid w:val="66DE4C33"/>
    <w:rsid w:val="67803B7C"/>
    <w:rsid w:val="67BB6DD6"/>
    <w:rsid w:val="67BD26DA"/>
    <w:rsid w:val="67BF4C48"/>
    <w:rsid w:val="67CF52F1"/>
    <w:rsid w:val="67DD0FCE"/>
    <w:rsid w:val="68182006"/>
    <w:rsid w:val="685B6444"/>
    <w:rsid w:val="686F7E78"/>
    <w:rsid w:val="68967C0D"/>
    <w:rsid w:val="68BC69A9"/>
    <w:rsid w:val="68CA77A4"/>
    <w:rsid w:val="68ED3493"/>
    <w:rsid w:val="69306407"/>
    <w:rsid w:val="696A285A"/>
    <w:rsid w:val="6991057D"/>
    <w:rsid w:val="699456BD"/>
    <w:rsid w:val="699A63F4"/>
    <w:rsid w:val="69AA3132"/>
    <w:rsid w:val="69CE5072"/>
    <w:rsid w:val="69E20B1E"/>
    <w:rsid w:val="6A1615CD"/>
    <w:rsid w:val="6A31115D"/>
    <w:rsid w:val="6A69484A"/>
    <w:rsid w:val="6A814492"/>
    <w:rsid w:val="6A987763"/>
    <w:rsid w:val="6AA973C3"/>
    <w:rsid w:val="6AE37117"/>
    <w:rsid w:val="6B040620"/>
    <w:rsid w:val="6B144D07"/>
    <w:rsid w:val="6B4A5DA3"/>
    <w:rsid w:val="6B5643C1"/>
    <w:rsid w:val="6B947BF6"/>
    <w:rsid w:val="6B95269F"/>
    <w:rsid w:val="6BB813C6"/>
    <w:rsid w:val="6BBC0931"/>
    <w:rsid w:val="6BC32289"/>
    <w:rsid w:val="6BC73D09"/>
    <w:rsid w:val="6BDB5825"/>
    <w:rsid w:val="6C266360"/>
    <w:rsid w:val="6C2947E2"/>
    <w:rsid w:val="6C3C758F"/>
    <w:rsid w:val="6C480CC0"/>
    <w:rsid w:val="6C81017A"/>
    <w:rsid w:val="6C9C070F"/>
    <w:rsid w:val="6CC557C5"/>
    <w:rsid w:val="6CFC3B1A"/>
    <w:rsid w:val="6D0F3C1B"/>
    <w:rsid w:val="6D245923"/>
    <w:rsid w:val="6D732541"/>
    <w:rsid w:val="6D7E504C"/>
    <w:rsid w:val="6D9674D0"/>
    <w:rsid w:val="6DAF5006"/>
    <w:rsid w:val="6DE309C1"/>
    <w:rsid w:val="6DEC505A"/>
    <w:rsid w:val="6E2747C7"/>
    <w:rsid w:val="6E4F194C"/>
    <w:rsid w:val="6E5223CE"/>
    <w:rsid w:val="6E531FEA"/>
    <w:rsid w:val="6E5F44EB"/>
    <w:rsid w:val="6E712470"/>
    <w:rsid w:val="6E9C129B"/>
    <w:rsid w:val="6EA224B9"/>
    <w:rsid w:val="6F141CC9"/>
    <w:rsid w:val="6F4A6F49"/>
    <w:rsid w:val="6F5914CB"/>
    <w:rsid w:val="6FA069AA"/>
    <w:rsid w:val="6FB005D6"/>
    <w:rsid w:val="6FB95E7D"/>
    <w:rsid w:val="6FEA6BE9"/>
    <w:rsid w:val="6FEC1DAE"/>
    <w:rsid w:val="7017085E"/>
    <w:rsid w:val="7019691C"/>
    <w:rsid w:val="701D6C26"/>
    <w:rsid w:val="702A2886"/>
    <w:rsid w:val="70611DCC"/>
    <w:rsid w:val="708F2BE0"/>
    <w:rsid w:val="70C40F7D"/>
    <w:rsid w:val="70D2369A"/>
    <w:rsid w:val="70E71ECF"/>
    <w:rsid w:val="71133E83"/>
    <w:rsid w:val="711374C5"/>
    <w:rsid w:val="711D41EA"/>
    <w:rsid w:val="713D5A5C"/>
    <w:rsid w:val="71402523"/>
    <w:rsid w:val="714B38A8"/>
    <w:rsid w:val="716D4593"/>
    <w:rsid w:val="71810315"/>
    <w:rsid w:val="718A3D98"/>
    <w:rsid w:val="71A52E08"/>
    <w:rsid w:val="71CF0956"/>
    <w:rsid w:val="71FE04BF"/>
    <w:rsid w:val="724C122A"/>
    <w:rsid w:val="72B96067"/>
    <w:rsid w:val="72F247EE"/>
    <w:rsid w:val="733F2189"/>
    <w:rsid w:val="73816CB2"/>
    <w:rsid w:val="73893625"/>
    <w:rsid w:val="73B01345"/>
    <w:rsid w:val="73B01B6C"/>
    <w:rsid w:val="74116287"/>
    <w:rsid w:val="74237D69"/>
    <w:rsid w:val="744132FF"/>
    <w:rsid w:val="74420E31"/>
    <w:rsid w:val="748206C7"/>
    <w:rsid w:val="748C639C"/>
    <w:rsid w:val="74940C67"/>
    <w:rsid w:val="74BB4445"/>
    <w:rsid w:val="74CC6652"/>
    <w:rsid w:val="74D2645A"/>
    <w:rsid w:val="74E76EB0"/>
    <w:rsid w:val="74F4021A"/>
    <w:rsid w:val="74F5722D"/>
    <w:rsid w:val="74FA31C0"/>
    <w:rsid w:val="750162FC"/>
    <w:rsid w:val="75173E41"/>
    <w:rsid w:val="756D3991"/>
    <w:rsid w:val="757765BE"/>
    <w:rsid w:val="75831DFC"/>
    <w:rsid w:val="759A04C0"/>
    <w:rsid w:val="75B75108"/>
    <w:rsid w:val="75DA132A"/>
    <w:rsid w:val="75DE20C7"/>
    <w:rsid w:val="761A74FF"/>
    <w:rsid w:val="76286F0E"/>
    <w:rsid w:val="768014A2"/>
    <w:rsid w:val="7682134D"/>
    <w:rsid w:val="76962A74"/>
    <w:rsid w:val="76BF021D"/>
    <w:rsid w:val="76D87530"/>
    <w:rsid w:val="76F15303"/>
    <w:rsid w:val="77050673"/>
    <w:rsid w:val="77265814"/>
    <w:rsid w:val="77302EC9"/>
    <w:rsid w:val="77334767"/>
    <w:rsid w:val="773A3D47"/>
    <w:rsid w:val="775947BB"/>
    <w:rsid w:val="77957B2F"/>
    <w:rsid w:val="77A345CB"/>
    <w:rsid w:val="77B91110"/>
    <w:rsid w:val="77CC1D2B"/>
    <w:rsid w:val="78003B51"/>
    <w:rsid w:val="781F6A99"/>
    <w:rsid w:val="783267CC"/>
    <w:rsid w:val="78357AF5"/>
    <w:rsid w:val="78420919"/>
    <w:rsid w:val="786B6B93"/>
    <w:rsid w:val="7875400A"/>
    <w:rsid w:val="78767454"/>
    <w:rsid w:val="7877401B"/>
    <w:rsid w:val="787A3D0F"/>
    <w:rsid w:val="78B167C1"/>
    <w:rsid w:val="78CA15A4"/>
    <w:rsid w:val="78CC09CF"/>
    <w:rsid w:val="78D179BA"/>
    <w:rsid w:val="79679FFF"/>
    <w:rsid w:val="79870D9A"/>
    <w:rsid w:val="79951709"/>
    <w:rsid w:val="799C2A97"/>
    <w:rsid w:val="79D53106"/>
    <w:rsid w:val="79D81B69"/>
    <w:rsid w:val="79DC3E13"/>
    <w:rsid w:val="7A12324A"/>
    <w:rsid w:val="7A4D0A59"/>
    <w:rsid w:val="7A625B0D"/>
    <w:rsid w:val="7A7D3D06"/>
    <w:rsid w:val="7A831561"/>
    <w:rsid w:val="7A8B6F6A"/>
    <w:rsid w:val="7AA87D54"/>
    <w:rsid w:val="7AE364A4"/>
    <w:rsid w:val="7AF44D2F"/>
    <w:rsid w:val="7B5B420B"/>
    <w:rsid w:val="7B7273FA"/>
    <w:rsid w:val="7B784E3E"/>
    <w:rsid w:val="7BE81FC4"/>
    <w:rsid w:val="7BF24BF0"/>
    <w:rsid w:val="7C0533D7"/>
    <w:rsid w:val="7C1D1542"/>
    <w:rsid w:val="7C2A25DC"/>
    <w:rsid w:val="7C3A20F4"/>
    <w:rsid w:val="7C5F1B5A"/>
    <w:rsid w:val="7CA659DB"/>
    <w:rsid w:val="7CAF130B"/>
    <w:rsid w:val="7CB400F8"/>
    <w:rsid w:val="7CB57EBA"/>
    <w:rsid w:val="7CBB76D8"/>
    <w:rsid w:val="7CBC51FE"/>
    <w:rsid w:val="7D1666BD"/>
    <w:rsid w:val="7D250FF6"/>
    <w:rsid w:val="7D441E80"/>
    <w:rsid w:val="7D861F78"/>
    <w:rsid w:val="7DBB012F"/>
    <w:rsid w:val="7DDB16B4"/>
    <w:rsid w:val="7DFF35F5"/>
    <w:rsid w:val="7E060918"/>
    <w:rsid w:val="7E286F6A"/>
    <w:rsid w:val="7E2C2746"/>
    <w:rsid w:val="7ED91F60"/>
    <w:rsid w:val="7EED2764"/>
    <w:rsid w:val="7F1C3D32"/>
    <w:rsid w:val="7F376C47"/>
    <w:rsid w:val="7F5E55C0"/>
    <w:rsid w:val="7F72273D"/>
    <w:rsid w:val="7F871AF4"/>
    <w:rsid w:val="7F9641F1"/>
    <w:rsid w:val="7FABC262"/>
    <w:rsid w:val="A5DE773A"/>
    <w:rsid w:val="B5FBAFB6"/>
    <w:rsid w:val="DFDFDD3F"/>
    <w:rsid w:val="E3AE2590"/>
    <w:rsid w:val="F78FEC82"/>
    <w:rsid w:val="F7FFBA5A"/>
    <w:rsid w:val="FEFF87C7"/>
    <w:rsid w:val="FF7C731F"/>
    <w:rsid w:val="FF7E19D8"/>
    <w:rsid w:val="FFF42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4">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index 5"/>
    <w:basedOn w:val="1"/>
    <w:next w:val="1"/>
    <w:qFormat/>
    <w:uiPriority w:val="0"/>
    <w:pPr>
      <w:ind w:left="1680"/>
    </w:pPr>
    <w:rPr>
      <w:rFonts w:ascii="Calibri" w:hAnsi="Calibri" w:eastAsia="宋体" w:cs="Times New Roman"/>
    </w:rPr>
  </w:style>
  <w:style w:type="paragraph" w:styleId="7">
    <w:name w:val="Body Text"/>
    <w:basedOn w:val="1"/>
    <w:link w:val="41"/>
    <w:unhideWhenUsed/>
    <w:qFormat/>
    <w:uiPriority w:val="99"/>
    <w:pPr>
      <w:spacing w:after="120"/>
    </w:pPr>
  </w:style>
  <w:style w:type="paragraph" w:styleId="8">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link w:val="40"/>
    <w:qFormat/>
    <w:uiPriority w:val="0"/>
    <w:rPr>
      <w:rFonts w:eastAsia="宋体"/>
      <w:sz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widowControl/>
      <w:spacing w:before="100" w:beforeAutospacing="1" w:after="100" w:afterAutospacing="1"/>
      <w:jc w:val="left"/>
    </w:pPr>
    <w:rPr>
      <w:rFonts w:ascii="宋体" w:hAnsi="宋体"/>
      <w:kern w:val="0"/>
      <w:sz w:val="24"/>
    </w:r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7"/>
    <w:next w:val="16"/>
    <w:qFormat/>
    <w:uiPriority w:val="0"/>
    <w:pPr>
      <w:spacing w:after="120"/>
      <w:ind w:firstLine="420" w:firstLineChars="100"/>
    </w:pPr>
    <w:rPr>
      <w:rFonts w:ascii="Times New Roman" w:eastAsia="宋体"/>
      <w:szCs w:val="24"/>
    </w:rPr>
  </w:style>
  <w:style w:type="paragraph" w:styleId="16">
    <w:name w:val="Body Text First Indent 2"/>
    <w:basedOn w:val="8"/>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8">
    <w:name w:val="Table Grid"/>
    <w:basedOn w:val="17"/>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unhideWhenUsed/>
    <w:qFormat/>
    <w:uiPriority w:val="0"/>
    <w:rPr>
      <w:color w:val="0000FF"/>
      <w:u w:val="singl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列出段落1"/>
    <w:basedOn w:val="1"/>
    <w:qFormat/>
    <w:uiPriority w:val="99"/>
    <w:pPr>
      <w:ind w:firstLine="420" w:firstLineChars="200"/>
    </w:pPr>
  </w:style>
  <w:style w:type="paragraph" w:customStyle="1" w:styleId="31">
    <w:name w:val="表格文字"/>
    <w:basedOn w:val="1"/>
    <w:next w:val="7"/>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2">
    <w:name w:val="*正文"/>
    <w:basedOn w:val="1"/>
    <w:qFormat/>
    <w:uiPriority w:val="0"/>
    <w:pPr>
      <w:keepNext/>
      <w:keepLines/>
      <w:spacing w:line="360" w:lineRule="auto"/>
      <w:ind w:firstLine="200" w:firstLineChars="200"/>
    </w:pPr>
    <w:rPr>
      <w:rFonts w:ascii="宋体" w:hAnsi="宋体"/>
    </w:rPr>
  </w:style>
  <w:style w:type="paragraph" w:customStyle="1" w:styleId="33">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6">
    <w:name w:val="正文文本缩进1"/>
    <w:basedOn w:val="1"/>
    <w:link w:val="45"/>
    <w:qFormat/>
    <w:uiPriority w:val="0"/>
    <w:pPr>
      <w:spacing w:line="360" w:lineRule="auto"/>
      <w:ind w:firstLine="480" w:firstLineChars="200"/>
    </w:pPr>
    <w:rPr>
      <w:rFonts w:ascii="宋体"/>
      <w:sz w:val="24"/>
    </w:rPr>
  </w:style>
  <w:style w:type="paragraph" w:customStyle="1" w:styleId="3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8">
    <w:name w:val="日期1"/>
    <w:basedOn w:val="1"/>
    <w:next w:val="1"/>
    <w:link w:val="46"/>
    <w:qFormat/>
    <w:uiPriority w:val="0"/>
    <w:rPr>
      <w:sz w:val="24"/>
    </w:rPr>
  </w:style>
  <w:style w:type="character" w:customStyle="1" w:styleId="39">
    <w:name w:val="页眉 Char"/>
    <w:basedOn w:val="19"/>
    <w:link w:val="12"/>
    <w:qFormat/>
    <w:uiPriority w:val="0"/>
    <w:rPr>
      <w:kern w:val="2"/>
      <w:sz w:val="18"/>
      <w:szCs w:val="18"/>
    </w:rPr>
  </w:style>
  <w:style w:type="character" w:customStyle="1" w:styleId="40">
    <w:name w:val="纯文本 Char"/>
    <w:basedOn w:val="19"/>
    <w:link w:val="9"/>
    <w:qFormat/>
    <w:uiPriority w:val="0"/>
    <w:rPr>
      <w:rFonts w:eastAsia="宋体"/>
      <w:kern w:val="2"/>
      <w:sz w:val="24"/>
      <w:szCs w:val="22"/>
    </w:rPr>
  </w:style>
  <w:style w:type="character" w:customStyle="1" w:styleId="41">
    <w:name w:val="正文文本 Char"/>
    <w:basedOn w:val="19"/>
    <w:link w:val="7"/>
    <w:qFormat/>
    <w:uiPriority w:val="99"/>
    <w:rPr>
      <w:kern w:val="2"/>
      <w:sz w:val="21"/>
      <w:szCs w:val="22"/>
    </w:rPr>
  </w:style>
  <w:style w:type="character" w:customStyle="1" w:styleId="42">
    <w:name w:val="NormalCharacter"/>
    <w:qFormat/>
    <w:uiPriority w:val="0"/>
  </w:style>
  <w:style w:type="paragraph" w:customStyle="1" w:styleId="43">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4">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5">
    <w:name w:val="正文文本缩进 Char Char"/>
    <w:link w:val="36"/>
    <w:qFormat/>
    <w:uiPriority w:val="0"/>
    <w:rPr>
      <w:rFonts w:ascii="宋体"/>
      <w:kern w:val="2"/>
      <w:sz w:val="24"/>
      <w:szCs w:val="22"/>
    </w:rPr>
  </w:style>
  <w:style w:type="character" w:customStyle="1" w:styleId="46">
    <w:name w:val="日期 Char Char"/>
    <w:link w:val="38"/>
    <w:qFormat/>
    <w:uiPriority w:val="0"/>
    <w:rPr>
      <w:kern w:val="2"/>
      <w:sz w:val="24"/>
      <w:szCs w:val="22"/>
    </w:rPr>
  </w:style>
  <w:style w:type="paragraph" w:customStyle="1" w:styleId="47">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Table Paragraph"/>
    <w:basedOn w:val="1"/>
    <w:qFormat/>
    <w:uiPriority w:val="1"/>
    <w:rPr>
      <w:rFonts w:ascii="宋体" w:hAnsi="宋体" w:eastAsia="宋体" w:cs="宋体"/>
      <w:lang w:val="en-US" w:eastAsia="zh-CN" w:bidi="ar-SA"/>
    </w:rPr>
  </w:style>
  <w:style w:type="character" w:customStyle="1" w:styleId="49">
    <w:name w:val="layui-this"/>
    <w:basedOn w:val="19"/>
    <w:qFormat/>
    <w:uiPriority w:val="0"/>
    <w:rPr>
      <w:bdr w:val="single" w:color="EEEEEE" w:sz="4" w:space="0"/>
      <w:shd w:val="clear" w:fill="FFFFFF"/>
    </w:rPr>
  </w:style>
  <w:style w:type="character" w:customStyle="1" w:styleId="50">
    <w:name w:val="first-child"/>
    <w:basedOn w:val="19"/>
    <w:qFormat/>
    <w:uiPriority w:val="0"/>
  </w:style>
  <w:style w:type="character" w:customStyle="1" w:styleId="51">
    <w:name w:val="hover5"/>
    <w:basedOn w:val="19"/>
    <w:qFormat/>
    <w:uiPriority w:val="0"/>
    <w:rPr>
      <w:color w:val="0282FF"/>
    </w:rPr>
  </w:style>
  <w:style w:type="character" w:customStyle="1" w:styleId="52">
    <w:name w:val="nth-child(n+2)"/>
    <w:basedOn w:val="19"/>
    <w:qFormat/>
    <w:uiPriority w:val="0"/>
  </w:style>
  <w:style w:type="paragraph" w:customStyle="1" w:styleId="53">
    <w:name w:val="Table Text"/>
    <w:basedOn w:val="1"/>
    <w:semiHidden/>
    <w:qFormat/>
    <w:uiPriority w:val="0"/>
    <w:rPr>
      <w:rFonts w:ascii="宋体" w:hAnsi="宋体" w:eastAsia="宋体" w:cs="宋体"/>
      <w:sz w:val="20"/>
      <w:szCs w:val="20"/>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c42fa151-785e-40c4-a0f9-b2149371f7c0</errorID>
      <errorWord>日至2026年</errorWord>
      <group>L1_Word</group>
      <groupName>字词问题</groupName>
      <ability>L2_Typo</ability>
      <abilityName>字词错误</abilityName>
      <candidateList>
        <item>日起至2026年</item>
      </candidateList>
      <explain/>
      <paraID>6A242304</paraID>
      <start>14</start>
      <end>21</end>
      <status>unmodified</status>
      <modifiedWord/>
      <trackRevisions>false</trackRevisions>
    </reviewItem>
    <reviewItem>
      <errorID>73793e6b-cacb-4aac-be10-0fcdb42ffdb4</errorID>
      <errorWord>上午00:00</errorWord>
      <group>L1_Knowledge</group>
      <groupName>知识性问题</groupName>
      <ability>L2_Time</ability>
      <abilityName>日期时间</abilityName>
      <candidateList/>
      <explain>时间与前缀不匹配，可能的时间前缀有“下午、晚上、凌晨、午夜”。</explain>
      <paraID>6A242304</paraID>
      <start>29</start>
      <end>36</end>
      <status>unmodified</status>
      <modifiedWord/>
      <trackRevisions>false</trackRevisions>
    </reviewItem>
    <reviewItem>
      <errorID>a0b78a38-1074-44bb-8378-d4173b603e81</errorID>
      <errorWord>.</errorWord>
      <group>L1_Format</group>
      <groupName>格式问题</groupName>
      <ability>L2_HalfPunc_CN</ability>
      <abilityName>全半角问题</abilityName>
      <candidateList>
        <item>。</item>
      </candidateList>
      <explain>文本全半角错误。</explain>
      <paraID>4CE7E3EF</paraID>
      <start>81</start>
      <end>82</end>
      <status>unmodified</status>
      <modifiedWord/>
      <trackRevisions>false</trackRevisions>
    </reviewItem>
    <reviewItem>
      <errorID>8322ca4f-902d-4d99-bca1-ee9854467b7d</errorID>
      <errorWord>.</errorWord>
      <group>L1_Format</group>
      <groupName>格式问题</groupName>
      <ability>L2_HalfPunc_CN</ability>
      <abilityName>全半角问题</abilityName>
      <candidateList>
        <item>。</item>
      </candidateList>
      <explain>文本全半角错误。</explain>
      <paraID>62152F4E</paraID>
      <start>68</start>
      <end>69</end>
      <status>unmodified</status>
      <modifiedWord/>
      <trackRevisions>false</trackRevisions>
    </reviewItem>
    <reviewItem>
      <errorID>cd5300e4-8241-4e6b-99b4-4a05e3924368</errorID>
      <errorWord>.</errorWord>
      <group>L1_Format</group>
      <groupName>格式问题</groupName>
      <ability>L2_HalfPunc_CN</ability>
      <abilityName>全半角问题</abilityName>
      <candidateList>
        <item>。</item>
      </candidateList>
      <explain>文本全半角错误。</explain>
      <paraID>62152F4E</paraID>
      <start>75</start>
      <end>76</end>
      <status>unmodified</status>
      <modifiedWord/>
      <trackRevisions>false</trackRevisions>
    </reviewItem>
    <reviewItem>
      <errorID>46c0fe61-1551-4012-bca9-6f4c43fe1e98</errorID>
      <errorWord>“.</errorWord>
      <group>L1_Punc</group>
      <groupName>标点问题</groupName>
      <ability>L2_Punc_CN</ability>
      <abilityName>标点符号问题</abilityName>
      <candidateList>
        <item>“</item>
      </candidateList>
      <explain/>
      <paraID>62152F4E</paraID>
      <start>91</start>
      <end>93</end>
      <status>unmodified</status>
      <modifiedWord/>
      <trackRevisions>false</trackRevisions>
    </reviewItem>
    <reviewItem>
      <errorID>342d683d-f8e9-4fbb-aadc-c9f6b66d9bd0</errorID>
      <errorWord>.</errorWord>
      <group>L1_Format</group>
      <groupName>格式问题</groupName>
      <ability>L2_HalfPunc_CN</ability>
      <abilityName>全半角问题</abilityName>
      <candidateList>
        <item>。</item>
      </candidateList>
      <explain>文本全半角错误。</explain>
      <paraID>70FD8290</paraID>
      <start>72</start>
      <end>73</end>
      <status>unmodified</status>
      <modifiedWord/>
      <trackRevisions>false</trackRevisions>
    </reviewItem>
    <reviewItem>
      <errorID>86ff1dec-d910-4d6d-8c25-6ec0b756e620</errorID>
      <errorWord>.</errorWord>
      <group>L1_Format</group>
      <groupName>格式问题</groupName>
      <ability>L2_HalfPunc_CN</ability>
      <abilityName>全半角问题</abilityName>
      <candidateList>
        <item>。</item>
      </candidateList>
      <explain>文本全半角错误。</explain>
      <paraID>5886C549</paraID>
      <start>65</start>
      <end>66</end>
      <status>unmodified</status>
      <modifiedWord/>
      <trackRevisions>false</trackRevisions>
    </reviewItem>
    <reviewItem>
      <errorID>077b5e67-cda1-4bb1-8a86-92f238938fd3</errorID>
      <errorWord>.</errorWord>
      <group>L1_Format</group>
      <groupName>格式问题</groupName>
      <ability>L2_HalfPunc_CN</ability>
      <abilityName>全半角问题</abilityName>
      <candidateList>
        <item>。</item>
      </candidateList>
      <explain>文本全半角错误。</explain>
      <paraID>5886C549</paraID>
      <start>72</start>
      <end>73</end>
      <status>unmodified</status>
      <modifiedWord/>
      <trackRevisions>false</trackRevisions>
    </reviewItem>
    <reviewItem>
      <errorID>67a83edc-aaec-416e-87e3-2a3545e49f91</errorID>
      <errorWord>“.</errorWord>
      <group>L1_Punc</group>
      <groupName>标点问题</groupName>
      <ability>L2_Punc_CN</ability>
      <abilityName>标点符号问题</abilityName>
      <candidateList>
        <item>“</item>
      </candidateList>
      <explain/>
      <paraID>5886C549</paraID>
      <start>88</start>
      <end>90</end>
      <status>unmodified</status>
      <modifiedWord/>
      <trackRevisions>false</trackRevisions>
    </reviewItem>
    <reviewItem>
      <errorID>8c913238-01a2-4716-8e1b-619c407b0421</errorID>
      <errorWord>.</errorWord>
      <group>L1_Format</group>
      <groupName>格式问题</groupName>
      <ability>L2_HalfPunc_CN</ability>
      <abilityName>全半角问题</abilityName>
      <candidateList>
        <item>。</item>
      </candidateList>
      <explain>文本全半角错误。</explain>
      <paraID>20D630E7</paraID>
      <start>33</start>
      <end>34</end>
      <status>unmodified</status>
      <modifiedWord/>
      <trackRevisions>false</trackRevisions>
    </reviewItem>
    <reviewItem>
      <errorID>42e5336c-0450-4ad2-b986-6c7c19e79c9a</errorID>
      <errorWord>“.</errorWord>
      <group>L1_Punc</group>
      <groupName>标点问题</groupName>
      <ability>L2_Punc_CN</ability>
      <abilityName>标点符号问题</abilityName>
      <candidateList>
        <item>“</item>
      </candidateList>
      <explain/>
      <paraID>6A359436</paraID>
      <start>49</start>
      <end>51</end>
      <status>unmodified</status>
      <modifiedWord/>
      <trackRevisions>false</trackRevisions>
    </reviewItem>
    <reviewItem>
      <errorID>07325cf4-d9bd-4be9-8d7f-0448a290b551</errorID>
      <errorWord>[2023]002号</errorWord>
      <group>L1_Knowledge</group>
      <groupName>知识性问题</groupName>
      <ability>L2_Knowledge</ability>
      <abilityName>其他知识</abilityName>
      <candidateList>
        <item>〔2023〕2号</item>
      </candidateList>
      <explain>发文字号格式错误。</explain>
      <paraID>7A89610F</paraID>
      <start>40</start>
      <end>50</end>
      <status>unmodified</status>
      <modifiedWord/>
      <trackRevisions>false</trackRevisions>
    </reviewItem>
    <reviewItem>
      <errorID>0e7ff24b-d393-4fe8-be20-9d64d8dfc311</errorID>
      <errorWord>.</errorWord>
      <group>L1_Format</group>
      <groupName>格式问题</groupName>
      <ability>L2_HalfPunc_CN</ability>
      <abilityName>全半角问题</abilityName>
      <candidateList>
        <item>。</item>
      </candidateList>
      <explain>文本全半角错误。</explain>
      <paraID>2F92D85D</paraID>
      <start>101</start>
      <end>102</end>
      <status>unmodified</status>
      <modifiedWord/>
      <trackRevisions>false</trackRevisions>
    </reviewItem>
    <reviewItem>
      <errorID>3013ece9-e800-4b01-81ba-971867641d7a</errorID>
      <errorWord>.</errorWord>
      <group>L1_Format</group>
      <groupName>格式问题</groupName>
      <ability>L2_HalfPunc_CN</ability>
      <abilityName>全半角问题</abilityName>
      <candidateList>
        <item>。</item>
      </candidateList>
      <explain>文本全半角错误。</explain>
      <paraID>2F92D85D</paraID>
      <start>108</start>
      <end>109</end>
      <status>unmodified</status>
      <modifiedWord/>
      <trackRevisions>false</trackRevisions>
    </reviewItem>
    <reviewItem>
      <errorID>6cf8268f-f8df-4e5e-8356-af145242c29d</errorID>
      <errorWord>“.</errorWord>
      <group>L1_Punc</group>
      <groupName>标点问题</groupName>
      <ability>L2_Punc_CN</ability>
      <abilityName>标点符号问题</abilityName>
      <candidateList>
        <item>“</item>
      </candidateList>
      <explain/>
      <paraID>2F92D85D</paraID>
      <start>124</start>
      <end>126</end>
      <status>unmodified</status>
      <modifiedWord/>
      <trackRevisions>false</trackRevisions>
    </reviewItem>
    <reviewItem>
      <errorID>66167645-c5e1-4a9a-9104-45afd9786b14</errorID>
      <errorWord>.</errorWord>
      <group>L1_Format</group>
      <groupName>格式问题</groupName>
      <ability>L2_HalfPunc_CN</ability>
      <abilityName>全半角问题</abilityName>
      <candidateList>
        <item>。</item>
      </candidateList>
      <explain>文本全半角错误。</explain>
      <paraID>670BDE9A</paraID>
      <start>55</start>
      <end>56</end>
      <status>unmodified</status>
      <modifiedWord/>
      <trackRevisions>false</trackRevisions>
    </reviewItem>
    <reviewItem>
      <errorID>220d4e14-d45e-473f-b06a-1a9ecc00f091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11A38AA1</paraID>
      <start>50</start>
      <end>51</end>
      <status>unmodified</status>
      <modifiedWord/>
      <trackRevisions>false</trackRevisions>
    </reviewItem>
    <reviewItem>
      <errorID>c1e95aa6-2b25-4f7d-a4c1-8ff8504471cc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6A972132</paraID>
      <start>50</start>
      <end>51</end>
      <status>unmodified</status>
      <modifiedWord/>
      <trackRevisions>false</trackRevisions>
    </reviewItem>
    <reviewItem>
      <errorID>60e100ad-f84f-46e3-a346-480c7173d64a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6D96C1C9</paraID>
      <start>35</start>
      <end>36</end>
      <status>unmodified</status>
      <modifiedWord/>
      <trackRevisions>false</trackRevisions>
    </reviewItem>
    <reviewItem>
      <errorID>c05a9843-3186-44a2-8a26-b579ee57ebda</errorID>
      <errorWord>详实</errorWord>
      <group>L1_Word</group>
      <groupName>字词问题</groupName>
      <ability>L2_Typo</ability>
      <abilityName>字词错误</abilityName>
      <candidateList>
        <item>翔实</item>
      </candidateList>
      <explain>存在发音相同字词的误用。</explain>
      <paraID>7C5A4F7F</paraID>
      <start>9</start>
      <end>11</end>
      <status>unmodified</status>
      <modifiedWord/>
      <trackRevisions>false</trackRevisions>
    </reviewItem>
    <reviewItem>
      <errorID>5be90acd-d8ef-4567-9ba2-9d656df93b88</errorID>
      <errorWord>详实</errorWord>
      <group>L1_Word</group>
      <groupName>字词问题</groupName>
      <ability>L2_Typo</ability>
      <abilityName>字词错误</abilityName>
      <candidateList>
        <item>翔实</item>
      </candidateList>
      <explain>存在发音相同字词的误用。</explain>
      <paraID>5F969311</paraID>
      <start>17</start>
      <end>19</end>
      <status>unmodified</status>
      <modifiedWord/>
      <trackRevisions>false</trackRevisions>
    </reviewItem>
    <reviewItem>
      <errorID>6545c25d-ebad-462c-abfe-9b13610b0f2a</errorID>
      <errorWord>详实</errorWord>
      <group>L1_Word</group>
      <groupName>字词问题</groupName>
      <ability>L2_Typo</ability>
      <abilityName>字词错误</abilityName>
      <candidateList>
        <item>翔实</item>
      </candidateList>
      <explain>存在发音相同字词的误用。</explain>
      <paraID>1BA890F0</paraID>
      <start>17</start>
      <end>19</end>
      <status>unmodified</status>
      <modifiedWord/>
      <trackRevisions>false</trackRevisions>
    </reviewItem>
    <reviewItem>
      <errorID>7073812e-8e76-41e8-a471-f639ae92db3a</errorID>
      <errorWord>详实</errorWord>
      <group>L1_Word</group>
      <groupName>字词问题</groupName>
      <ability>L2_Typo</ability>
      <abilityName>字词错误</abilityName>
      <candidateList>
        <item>翔实</item>
      </candidateList>
      <explain>存在发音相同字词的误用。</explain>
      <paraID>6CB4FA53</paraID>
      <start>17</start>
      <end>19</end>
      <status>unmodified</status>
      <modifiedWord/>
      <trackRevisions>false</trackRevisions>
    </reviewItem>
    <reviewItem>
      <errorID>b65d7355-6767-4982-9d78-1bd0a03edb81</errorID>
      <errorWord>详实</errorWord>
      <group>L1_Word</group>
      <groupName>字词问题</groupName>
      <ability>L2_Typo</ability>
      <abilityName>字词错误</abilityName>
      <candidateList>
        <item>翔实</item>
      </candidateList>
      <explain>存在发音相同字词的误用。</explain>
      <paraID> 613582E</paraID>
      <start>18</start>
      <end>20</end>
      <status>unmodified</status>
      <modifiedWord/>
      <trackRevisions>false</trackRevisions>
    </reviewItem>
    <reviewItem>
      <errorID>53303211-1c20-4ed2-a832-37be5d045506</errorID>
      <errorWord>详实</errorWord>
      <group>L1_Word</group>
      <groupName>字词问题</groupName>
      <ability>L2_Typo</ability>
      <abilityName>字词错误</abilityName>
      <candidateList>
        <item>翔实</item>
      </candidateList>
      <explain>存在发音相同字词的误用。</explain>
      <paraID>2D91C847</paraID>
      <start>18</start>
      <end>20</end>
      <status>unmodified</status>
      <modifiedWord/>
      <trackRevisions>false</trackRevisions>
    </reviewItem>
    <reviewItem>
      <errorID>3dbcbc24-34f2-43a2-8dcf-e5243c71241b</errorID>
      <errorWord>详实</errorWord>
      <group>L1_Word</group>
      <groupName>字词问题</groupName>
      <ability>L2_Typo</ability>
      <abilityName>字词错误</abilityName>
      <candidateList>
        <item>翔实</item>
      </candidateList>
      <explain>存在发音相同字词的误用。</explain>
      <paraID>5CD27C65</paraID>
      <start>18</start>
      <end>20</end>
      <status>unmodified</status>
      <modifiedWord/>
      <trackRevisions>false</trackRevisions>
    </reviewItem>
    <reviewItem>
      <errorID>5630fd6b-6ee8-4d27-9113-1deaba0329bf</errorID>
      <errorWord>详实</errorWord>
      <group>L1_Word</group>
      <groupName>字词问题</groupName>
      <ability>L2_Typo</ability>
      <abilityName>字词错误</abilityName>
      <candidateList>
        <item>翔实</item>
      </candidateList>
      <explain>存在发音相同字词的误用。</explain>
      <paraID>46EF1E8A</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47bbd-aa22-4991-8d30-a157fe6612f0}">
  <ds:schemaRefs/>
</ds:datastoreItem>
</file>

<file path=docProps/app.xml><?xml version="1.0" encoding="utf-8"?>
<Properties xmlns="http://schemas.openxmlformats.org/officeDocument/2006/extended-properties" xmlns:vt="http://schemas.openxmlformats.org/officeDocument/2006/docPropsVTypes">
  <Template>Normal</Template>
  <Pages>76</Pages>
  <Words>5826</Words>
  <Characters>6259</Characters>
  <Lines>313</Lines>
  <Paragraphs>88</Paragraphs>
  <TotalTime>22</TotalTime>
  <ScaleCrop>false</ScaleCrop>
  <LinksUpToDate>false</LinksUpToDate>
  <CharactersWithSpaces>6299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2022-12-05T16:39:00Z</dcterms:created>
  <dc:creator>Administrator</dc:creator>
  <cp:lastModifiedBy>陕西方得项目管理有限公司:杨春明</cp:lastModifiedBy>
  <cp:lastPrinted>2026-06-25T08:39:00Z</cp:lastPrinted>
  <dcterms:modified xsi:type="dcterms:W3CDTF">2026-07-17T01:23:48Z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6CFA49EB0508429DAA231D38BA228D67_13</vt:lpwstr>
  </property>
  <property fmtid="{D5CDD505-2E9C-101B-9397-08002B2CF9AE}" pid="4" name="KSOTemplateDocerSaveRecord">
    <vt:lpwstr>eyJoZGlkIjoiNzgwOGVkNTVhMTFjODVjZGYxOWYyYjY3ODM3ZjFkZmQiLCJ1c2VySWQiOiIxNTUwNTcwODY2In0=</vt:lpwstr>
  </property>
</Properties>
</file>