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8A154">
      <w:pPr>
        <w:keepNext w:val="0"/>
        <w:keepLines w:val="0"/>
        <w:pageBreakBefore w:val="0"/>
        <w:widowControl w:val="0"/>
        <w:kinsoku/>
        <w:overflowPunct/>
        <w:topLinePunct w:val="0"/>
        <w:autoSpaceDE/>
        <w:autoSpaceDN/>
        <w:bidi w:val="0"/>
        <w:adjustRightInd/>
        <w:snapToGrid/>
        <w:spacing w:line="520" w:lineRule="exact"/>
        <w:ind w:firstLine="602" w:firstLineChars="200"/>
        <w:jc w:val="center"/>
        <w:textAlignment w:val="auto"/>
        <w:rPr>
          <w:rFonts w:hint="eastAsia" w:asciiTheme="minorEastAsia" w:hAnsiTheme="minorEastAsia" w:eastAsiaTheme="minorEastAsia" w:cstheme="minorEastAsia"/>
          <w:b/>
          <w:bCs/>
          <w:color w:val="auto"/>
          <w:sz w:val="30"/>
          <w:szCs w:val="30"/>
          <w:highlight w:val="none"/>
          <w:lang w:val="en-US" w:eastAsia="zh-CN"/>
        </w:rPr>
      </w:pPr>
      <w:r>
        <w:rPr>
          <w:rFonts w:hint="eastAsia" w:asciiTheme="minorEastAsia" w:hAnsiTheme="minorEastAsia" w:eastAsiaTheme="minorEastAsia" w:cstheme="minorEastAsia"/>
          <w:b/>
          <w:bCs/>
          <w:color w:val="auto"/>
          <w:sz w:val="30"/>
          <w:szCs w:val="30"/>
          <w:highlight w:val="none"/>
          <w:lang w:val="en-US" w:eastAsia="zh-CN"/>
        </w:rPr>
        <w:t>YZCG-DLC2026045 禹州市园林绿化中心濯缨亭广场维修</w:t>
      </w:r>
    </w:p>
    <w:p w14:paraId="63B94682">
      <w:pPr>
        <w:keepNext w:val="0"/>
        <w:keepLines w:val="0"/>
        <w:pageBreakBefore w:val="0"/>
        <w:widowControl w:val="0"/>
        <w:kinsoku/>
        <w:overflowPunct/>
        <w:topLinePunct w:val="0"/>
        <w:autoSpaceDE/>
        <w:autoSpaceDN/>
        <w:bidi w:val="0"/>
        <w:adjustRightInd/>
        <w:snapToGrid/>
        <w:spacing w:line="520" w:lineRule="exact"/>
        <w:ind w:firstLine="602" w:firstLineChars="200"/>
        <w:jc w:val="center"/>
        <w:textAlignment w:val="auto"/>
        <w:rPr>
          <w:rFonts w:hint="eastAsia" w:asciiTheme="minorEastAsia" w:hAnsiTheme="minorEastAsia" w:eastAsiaTheme="minorEastAsia" w:cstheme="minorEastAsia"/>
          <w:b/>
          <w:sz w:val="30"/>
          <w:szCs w:val="30"/>
          <w:lang w:val="en-US" w:eastAsia="zh-CN"/>
        </w:rPr>
      </w:pPr>
      <w:r>
        <w:rPr>
          <w:rFonts w:hint="eastAsia" w:asciiTheme="minorEastAsia" w:hAnsiTheme="minorEastAsia" w:eastAsiaTheme="minorEastAsia" w:cstheme="minorEastAsia"/>
          <w:b/>
          <w:bCs/>
          <w:color w:val="auto"/>
          <w:sz w:val="30"/>
          <w:szCs w:val="30"/>
          <w:highlight w:val="none"/>
          <w:lang w:val="en-US" w:eastAsia="zh-CN"/>
        </w:rPr>
        <w:t>改造项目</w:t>
      </w:r>
      <w:r>
        <w:rPr>
          <w:rFonts w:hint="eastAsia" w:asciiTheme="minorEastAsia" w:hAnsiTheme="minorEastAsia" w:eastAsiaTheme="minorEastAsia" w:cstheme="minorEastAsia"/>
          <w:b/>
          <w:sz w:val="30"/>
          <w:szCs w:val="30"/>
        </w:rPr>
        <w:t>评标</w:t>
      </w:r>
      <w:r>
        <w:rPr>
          <w:rFonts w:hint="eastAsia" w:asciiTheme="minorEastAsia" w:hAnsiTheme="minorEastAsia" w:eastAsiaTheme="minorEastAsia" w:cstheme="minorEastAsia"/>
          <w:b/>
          <w:sz w:val="30"/>
          <w:szCs w:val="30"/>
          <w:lang w:val="en-US" w:eastAsia="zh-CN"/>
        </w:rPr>
        <w:t>结果公示</w:t>
      </w:r>
    </w:p>
    <w:p w14:paraId="30993E3F">
      <w:pPr>
        <w:keepNext w:val="0"/>
        <w:keepLines w:val="0"/>
        <w:pageBreakBefore w:val="0"/>
        <w:kinsoku/>
        <w:wordWrap/>
        <w:overflowPunct/>
        <w:topLinePunct w:val="0"/>
        <w:autoSpaceDE/>
        <w:autoSpaceDN/>
        <w:bidi w:val="0"/>
        <w:adjustRightInd/>
        <w:snapToGrid/>
        <w:spacing w:beforeAutospacing="0" w:afterAutospacing="0" w:line="520" w:lineRule="exact"/>
        <w:rPr>
          <w:rFonts w:hint="eastAsia" w:ascii="宋体" w:hAnsi="宋体" w:eastAsia="宋体" w:cs="宋体"/>
          <w:b/>
          <w:bCs w:val="0"/>
          <w:color w:val="auto"/>
          <w:sz w:val="28"/>
          <w:szCs w:val="28"/>
        </w:rPr>
      </w:pPr>
      <w:r>
        <w:rPr>
          <w:rFonts w:hint="eastAsia" w:ascii="宋体" w:hAnsi="宋体" w:eastAsia="宋体" w:cs="宋体"/>
          <w:b/>
          <w:bCs w:val="0"/>
          <w:color w:val="auto"/>
          <w:sz w:val="28"/>
          <w:szCs w:val="28"/>
        </w:rPr>
        <w:t>一、项目概况</w:t>
      </w:r>
    </w:p>
    <w:p w14:paraId="0318180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（1）项目名称：</w:t>
      </w:r>
      <w:r>
        <w:rPr>
          <w:rFonts w:hint="eastAsia" w:ascii="宋体" w:hAnsi="宋体" w:eastAsia="宋体" w:cs="宋体"/>
          <w:bCs/>
          <w:color w:val="auto"/>
          <w:sz w:val="24"/>
          <w:szCs w:val="24"/>
          <w:lang w:val="en-US" w:eastAsia="zh-CN"/>
        </w:rPr>
        <w:t>禹州市园林绿化中心濯缨亭广场维修改造项目</w:t>
      </w:r>
    </w:p>
    <w:p w14:paraId="1C59FCA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（2）采购编号：</w:t>
      </w:r>
      <w:r>
        <w:rPr>
          <w:rFonts w:hint="eastAsia" w:ascii="宋体" w:hAnsi="宋体" w:eastAsia="宋体" w:cs="宋体"/>
          <w:bCs/>
          <w:color w:val="auto"/>
          <w:sz w:val="24"/>
          <w:szCs w:val="24"/>
          <w:lang w:eastAsia="zh-CN"/>
        </w:rPr>
        <w:t>YZCG-DLC2026</w:t>
      </w:r>
      <w:r>
        <w:rPr>
          <w:rFonts w:hint="eastAsia" w:ascii="宋体" w:hAnsi="宋体" w:eastAsia="宋体" w:cs="宋体"/>
          <w:bCs/>
          <w:color w:val="auto"/>
          <w:sz w:val="24"/>
          <w:szCs w:val="24"/>
          <w:lang w:val="en-US" w:eastAsia="zh-CN"/>
        </w:rPr>
        <w:t xml:space="preserve">045 </w:t>
      </w:r>
    </w:p>
    <w:p w14:paraId="4DB50F2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（3）招标公告发布日期：202</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年</w:t>
      </w:r>
      <w:r>
        <w:rPr>
          <w:rFonts w:hint="eastAsia" w:ascii="宋体" w:hAnsi="宋体" w:cs="宋体"/>
          <w:bCs/>
          <w:color w:val="auto"/>
          <w:sz w:val="24"/>
          <w:szCs w:val="24"/>
          <w:lang w:val="en-US" w:eastAsia="zh-CN"/>
        </w:rPr>
        <w:t>7</w:t>
      </w:r>
      <w:r>
        <w:rPr>
          <w:rFonts w:hint="eastAsia" w:ascii="宋体" w:hAnsi="宋体" w:eastAsia="宋体" w:cs="宋体"/>
          <w:bCs/>
          <w:color w:val="auto"/>
          <w:sz w:val="24"/>
          <w:szCs w:val="24"/>
        </w:rPr>
        <w:t>月</w:t>
      </w:r>
      <w:r>
        <w:rPr>
          <w:rFonts w:hint="eastAsia" w:ascii="宋体" w:hAnsi="宋体" w:cs="宋体"/>
          <w:bCs/>
          <w:color w:val="auto"/>
          <w:sz w:val="24"/>
          <w:szCs w:val="24"/>
          <w:lang w:val="en-US" w:eastAsia="zh-CN"/>
        </w:rPr>
        <w:t>8</w:t>
      </w:r>
      <w:r>
        <w:rPr>
          <w:rFonts w:hint="eastAsia" w:ascii="宋体" w:hAnsi="宋体" w:eastAsia="宋体" w:cs="宋体"/>
          <w:bCs/>
          <w:color w:val="auto"/>
          <w:sz w:val="24"/>
          <w:szCs w:val="24"/>
        </w:rPr>
        <w:t>日</w:t>
      </w:r>
    </w:p>
    <w:p w14:paraId="272BC15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（4）变更公告发布日期：无</w:t>
      </w:r>
    </w:p>
    <w:p w14:paraId="2106A90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5</w:t>
      </w:r>
      <w:r>
        <w:rPr>
          <w:rFonts w:hint="eastAsia" w:ascii="宋体" w:hAnsi="宋体" w:eastAsia="宋体" w:cs="宋体"/>
          <w:bCs/>
          <w:color w:val="auto"/>
          <w:sz w:val="24"/>
          <w:szCs w:val="24"/>
        </w:rPr>
        <w:t>）开标时间：202</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20</w:t>
      </w:r>
      <w:r>
        <w:rPr>
          <w:rFonts w:hint="eastAsia" w:ascii="宋体" w:hAnsi="宋体" w:eastAsia="宋体" w:cs="宋体"/>
          <w:bCs/>
          <w:color w:val="auto"/>
          <w:sz w:val="24"/>
          <w:szCs w:val="24"/>
        </w:rPr>
        <w:t>日8</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30</w:t>
      </w:r>
      <w:r>
        <w:rPr>
          <w:rFonts w:hint="eastAsia" w:ascii="宋体" w:hAnsi="宋体" w:cs="宋体"/>
          <w:bCs/>
          <w:color w:val="auto"/>
          <w:sz w:val="24"/>
          <w:szCs w:val="24"/>
          <w:lang w:val="en-US" w:eastAsia="zh-CN"/>
        </w:rPr>
        <w:t>分</w:t>
      </w:r>
    </w:p>
    <w:p w14:paraId="29FD6C9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6</w:t>
      </w:r>
      <w:r>
        <w:rPr>
          <w:rFonts w:hint="eastAsia" w:ascii="宋体" w:hAnsi="宋体" w:eastAsia="宋体" w:cs="宋体"/>
          <w:bCs/>
          <w:color w:val="auto"/>
          <w:sz w:val="24"/>
          <w:szCs w:val="24"/>
        </w:rPr>
        <w:t>）招标方式：</w:t>
      </w:r>
      <w:r>
        <w:rPr>
          <w:rFonts w:hint="eastAsia" w:ascii="宋体" w:hAnsi="宋体" w:eastAsia="宋体" w:cs="宋体"/>
          <w:bCs/>
          <w:color w:val="auto"/>
          <w:sz w:val="24"/>
          <w:szCs w:val="24"/>
          <w:lang w:val="en-US" w:eastAsia="zh-CN"/>
        </w:rPr>
        <w:t>竞争性磋商</w:t>
      </w:r>
    </w:p>
    <w:p w14:paraId="2C5259F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）采购限价</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912792.53元</w:t>
      </w:r>
    </w:p>
    <w:p w14:paraId="31E970F4">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8</w:t>
      </w:r>
      <w:r>
        <w:rPr>
          <w:rFonts w:hint="eastAsia" w:ascii="宋体" w:hAnsi="宋体" w:eastAsia="宋体" w:cs="宋体"/>
          <w:bCs/>
          <w:color w:val="auto"/>
          <w:sz w:val="24"/>
          <w:szCs w:val="24"/>
        </w:rPr>
        <w:t>）评标办法：综合评分法</w:t>
      </w:r>
    </w:p>
    <w:p w14:paraId="5CDDBC03">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9</w:t>
      </w:r>
      <w:r>
        <w:rPr>
          <w:rFonts w:hint="eastAsia" w:ascii="宋体" w:hAnsi="宋体" w:eastAsia="宋体" w:cs="宋体"/>
          <w:bCs/>
          <w:color w:val="auto"/>
          <w:sz w:val="24"/>
          <w:szCs w:val="24"/>
        </w:rPr>
        <w:t xml:space="preserve">）资格审查方式：资格后审 </w:t>
      </w:r>
    </w:p>
    <w:p w14:paraId="4F5DB93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）招标公告刊登的媒体：《河南省政府采购网》</w:t>
      </w:r>
      <w:r>
        <w:rPr>
          <w:rFonts w:hint="eastAsia" w:ascii="宋体" w:hAnsi="宋体" w:eastAsia="宋体" w:cs="宋体"/>
          <w:color w:val="auto"/>
          <w:sz w:val="24"/>
          <w:szCs w:val="24"/>
          <w:highlight w:val="none"/>
        </w:rPr>
        <w:t>《许昌市政府采购网》《全国公共资源交易平台（河南省·许昌市）》</w:t>
      </w:r>
    </w:p>
    <w:p w14:paraId="774B3760">
      <w:pPr>
        <w:keepNext w:val="0"/>
        <w:keepLines w:val="0"/>
        <w:pageBreakBefore w:val="0"/>
        <w:kinsoku/>
        <w:wordWrap/>
        <w:overflowPunct/>
        <w:topLinePunct w:val="0"/>
        <w:autoSpaceDE/>
        <w:autoSpaceDN/>
        <w:bidi w:val="0"/>
        <w:adjustRightInd/>
        <w:snapToGrid/>
        <w:spacing w:beforeAutospacing="0" w:afterAutospacing="0" w:line="520" w:lineRule="exact"/>
        <w:rPr>
          <w:rFonts w:hint="eastAsia" w:ascii="宋体" w:hAnsi="宋体" w:eastAsia="宋体" w:cs="宋体"/>
          <w:b/>
          <w:bCs/>
          <w:color w:val="auto"/>
          <w:sz w:val="28"/>
          <w:szCs w:val="28"/>
        </w:rPr>
      </w:pPr>
      <w:r>
        <w:rPr>
          <w:rFonts w:hint="eastAsia" w:ascii="宋体" w:hAnsi="宋体" w:eastAsia="宋体" w:cs="宋体"/>
          <w:b/>
          <w:bCs/>
          <w:color w:val="auto"/>
          <w:sz w:val="28"/>
          <w:szCs w:val="28"/>
        </w:rPr>
        <w:t>二、开标记录</w:t>
      </w:r>
    </w:p>
    <w:tbl>
      <w:tblPr>
        <w:tblStyle w:val="10"/>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694"/>
        <w:gridCol w:w="1807"/>
        <w:gridCol w:w="3162"/>
      </w:tblGrid>
      <w:tr w14:paraId="1F1D0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675" w:type="dxa"/>
            <w:noWrap w:val="0"/>
            <w:vAlign w:val="top"/>
          </w:tcPr>
          <w:p w14:paraId="4180351A">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3694" w:type="dxa"/>
            <w:noWrap w:val="0"/>
            <w:vAlign w:val="center"/>
          </w:tcPr>
          <w:p w14:paraId="5E09057F">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供应商</w:t>
            </w:r>
            <w:r>
              <w:rPr>
                <w:rFonts w:hint="eastAsia" w:asciiTheme="minorEastAsia" w:hAnsiTheme="minorEastAsia" w:eastAsiaTheme="minorEastAsia" w:cstheme="minorEastAsia"/>
                <w:color w:val="auto"/>
                <w:sz w:val="24"/>
                <w:szCs w:val="24"/>
                <w:lang w:val="en-US" w:eastAsia="zh-CN"/>
              </w:rPr>
              <w:t>名称</w:t>
            </w:r>
          </w:p>
        </w:tc>
        <w:tc>
          <w:tcPr>
            <w:tcW w:w="1807" w:type="dxa"/>
            <w:noWrap w:val="0"/>
            <w:vAlign w:val="center"/>
          </w:tcPr>
          <w:p w14:paraId="79DB5455">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 xml:space="preserve"> 项目负责人</w:t>
            </w:r>
          </w:p>
        </w:tc>
        <w:tc>
          <w:tcPr>
            <w:tcW w:w="3162" w:type="dxa"/>
            <w:noWrap w:val="0"/>
            <w:vAlign w:val="center"/>
          </w:tcPr>
          <w:p w14:paraId="706C6689">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合同履约期限</w:t>
            </w:r>
          </w:p>
        </w:tc>
      </w:tr>
      <w:tr w14:paraId="7299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75" w:type="dxa"/>
            <w:noWrap w:val="0"/>
            <w:vAlign w:val="center"/>
          </w:tcPr>
          <w:p w14:paraId="630E0A48">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3694" w:type="dxa"/>
            <w:noWrap w:val="0"/>
            <w:vAlign w:val="center"/>
          </w:tcPr>
          <w:p w14:paraId="083FF19D">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河南煌坤建设工程有限公司</w:t>
            </w:r>
          </w:p>
        </w:tc>
        <w:tc>
          <w:tcPr>
            <w:tcW w:w="1807" w:type="dxa"/>
            <w:noWrap w:val="0"/>
            <w:vAlign w:val="center"/>
          </w:tcPr>
          <w:p w14:paraId="04FDA80D">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曹超亮</w:t>
            </w:r>
          </w:p>
        </w:tc>
        <w:tc>
          <w:tcPr>
            <w:tcW w:w="3162" w:type="dxa"/>
            <w:noWrap w:val="0"/>
            <w:vAlign w:val="center"/>
          </w:tcPr>
          <w:p w14:paraId="49278A4B">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lang w:val="zh-CN"/>
              </w:rPr>
              <w:t>合同签订后</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val="zh-CN"/>
              </w:rPr>
              <w:t>日历天内</w:t>
            </w:r>
            <w:r>
              <w:rPr>
                <w:rFonts w:hint="eastAsia" w:asciiTheme="minorEastAsia" w:hAnsiTheme="minorEastAsia" w:eastAsiaTheme="minorEastAsia" w:cstheme="minorEastAsia"/>
                <w:color w:val="auto"/>
                <w:sz w:val="24"/>
                <w:szCs w:val="24"/>
                <w:highlight w:val="none"/>
              </w:rPr>
              <w:t>完成</w:t>
            </w:r>
          </w:p>
        </w:tc>
      </w:tr>
      <w:tr w14:paraId="2AD48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75" w:type="dxa"/>
            <w:noWrap w:val="0"/>
            <w:vAlign w:val="center"/>
          </w:tcPr>
          <w:p w14:paraId="287C70B6">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3694" w:type="dxa"/>
            <w:noWrap w:val="0"/>
            <w:vAlign w:val="center"/>
          </w:tcPr>
          <w:p w14:paraId="1A6EC412">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泓瀚缘(河南)建设集团有限公司</w:t>
            </w:r>
          </w:p>
        </w:tc>
        <w:tc>
          <w:tcPr>
            <w:tcW w:w="1807" w:type="dxa"/>
            <w:noWrap w:val="0"/>
            <w:vAlign w:val="center"/>
          </w:tcPr>
          <w:p w14:paraId="6F91D63C">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仝瑞姣</w:t>
            </w:r>
          </w:p>
        </w:tc>
        <w:tc>
          <w:tcPr>
            <w:tcW w:w="3162" w:type="dxa"/>
            <w:noWrap w:val="0"/>
            <w:vAlign w:val="center"/>
          </w:tcPr>
          <w:p w14:paraId="16C82B5B">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lang w:val="zh-CN"/>
              </w:rPr>
              <w:t>合同签订后</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val="zh-CN"/>
              </w:rPr>
              <w:t>日历天内</w:t>
            </w:r>
            <w:r>
              <w:rPr>
                <w:rFonts w:hint="eastAsia" w:asciiTheme="minorEastAsia" w:hAnsiTheme="minorEastAsia" w:eastAsiaTheme="minorEastAsia" w:cstheme="minorEastAsia"/>
                <w:color w:val="auto"/>
                <w:sz w:val="24"/>
                <w:szCs w:val="24"/>
                <w:highlight w:val="none"/>
              </w:rPr>
              <w:t>完成</w:t>
            </w:r>
          </w:p>
        </w:tc>
      </w:tr>
      <w:tr w14:paraId="1029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75" w:type="dxa"/>
            <w:noWrap w:val="0"/>
            <w:vAlign w:val="center"/>
          </w:tcPr>
          <w:p w14:paraId="0FC19EA3">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3694" w:type="dxa"/>
            <w:noWrap w:val="0"/>
            <w:vAlign w:val="center"/>
          </w:tcPr>
          <w:p w14:paraId="2ADFBDEE">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河南伍勤建设有限公司</w:t>
            </w:r>
          </w:p>
        </w:tc>
        <w:tc>
          <w:tcPr>
            <w:tcW w:w="1807" w:type="dxa"/>
            <w:noWrap w:val="0"/>
            <w:vAlign w:val="center"/>
          </w:tcPr>
          <w:p w14:paraId="2C800AA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魏文龙</w:t>
            </w:r>
          </w:p>
        </w:tc>
        <w:tc>
          <w:tcPr>
            <w:tcW w:w="3162" w:type="dxa"/>
            <w:noWrap w:val="0"/>
            <w:vAlign w:val="center"/>
          </w:tcPr>
          <w:p w14:paraId="42B63ACE">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lang w:val="zh-CN"/>
              </w:rPr>
              <w:t>合同签订后</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val="zh-CN"/>
              </w:rPr>
              <w:t>日历天内</w:t>
            </w:r>
            <w:r>
              <w:rPr>
                <w:rFonts w:hint="eastAsia" w:asciiTheme="minorEastAsia" w:hAnsiTheme="minorEastAsia" w:eastAsiaTheme="minorEastAsia" w:cstheme="minorEastAsia"/>
                <w:color w:val="auto"/>
                <w:sz w:val="24"/>
                <w:szCs w:val="24"/>
                <w:highlight w:val="none"/>
              </w:rPr>
              <w:t>完成</w:t>
            </w:r>
          </w:p>
        </w:tc>
      </w:tr>
      <w:tr w14:paraId="107B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75" w:type="dxa"/>
            <w:noWrap w:val="0"/>
            <w:vAlign w:val="center"/>
          </w:tcPr>
          <w:p w14:paraId="49B382AB">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3694" w:type="dxa"/>
            <w:noWrap w:val="0"/>
            <w:vAlign w:val="center"/>
          </w:tcPr>
          <w:p w14:paraId="22089FA0">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河南亚伟建设工程集团有限公司</w:t>
            </w:r>
          </w:p>
        </w:tc>
        <w:tc>
          <w:tcPr>
            <w:tcW w:w="1807" w:type="dxa"/>
            <w:noWrap w:val="0"/>
            <w:vAlign w:val="center"/>
          </w:tcPr>
          <w:p w14:paraId="6A86D7EB">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关志飞</w:t>
            </w:r>
          </w:p>
        </w:tc>
        <w:tc>
          <w:tcPr>
            <w:tcW w:w="3162" w:type="dxa"/>
            <w:noWrap w:val="0"/>
            <w:vAlign w:val="center"/>
          </w:tcPr>
          <w:p w14:paraId="68388204">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highlight w:val="none"/>
                <w:lang w:val="zh-CN"/>
              </w:rPr>
              <w:t>合同签订后</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val="zh-CN"/>
              </w:rPr>
              <w:t>日历天内</w:t>
            </w:r>
            <w:r>
              <w:rPr>
                <w:rFonts w:hint="eastAsia" w:asciiTheme="minorEastAsia" w:hAnsiTheme="minorEastAsia" w:eastAsiaTheme="minorEastAsia" w:cstheme="minorEastAsia"/>
                <w:color w:val="auto"/>
                <w:sz w:val="24"/>
                <w:szCs w:val="24"/>
                <w:highlight w:val="none"/>
              </w:rPr>
              <w:t>完成</w:t>
            </w:r>
          </w:p>
        </w:tc>
      </w:tr>
      <w:tr w14:paraId="6C32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675" w:type="dxa"/>
            <w:noWrap w:val="0"/>
            <w:vAlign w:val="center"/>
          </w:tcPr>
          <w:p w14:paraId="32E28E4C">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c>
          <w:tcPr>
            <w:tcW w:w="3694" w:type="dxa"/>
            <w:noWrap w:val="0"/>
            <w:vAlign w:val="center"/>
          </w:tcPr>
          <w:p w14:paraId="50891E29">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山东鹏祥建设工程有限公司</w:t>
            </w:r>
          </w:p>
        </w:tc>
        <w:tc>
          <w:tcPr>
            <w:tcW w:w="1807" w:type="dxa"/>
            <w:noWrap w:val="0"/>
            <w:vAlign w:val="center"/>
          </w:tcPr>
          <w:p w14:paraId="0B5CFEB0">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山超</w:t>
            </w:r>
          </w:p>
        </w:tc>
        <w:tc>
          <w:tcPr>
            <w:tcW w:w="3162" w:type="dxa"/>
            <w:noWrap w:val="0"/>
            <w:vAlign w:val="center"/>
          </w:tcPr>
          <w:p w14:paraId="391FBD40">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合同签订后</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val="zh-CN"/>
              </w:rPr>
              <w:t>日历天内</w:t>
            </w:r>
            <w:r>
              <w:rPr>
                <w:rFonts w:hint="eastAsia" w:asciiTheme="minorEastAsia" w:hAnsiTheme="minorEastAsia" w:eastAsiaTheme="minorEastAsia" w:cstheme="minorEastAsia"/>
                <w:color w:val="auto"/>
                <w:sz w:val="24"/>
                <w:szCs w:val="24"/>
                <w:highlight w:val="none"/>
              </w:rPr>
              <w:t>完成</w:t>
            </w:r>
          </w:p>
        </w:tc>
      </w:tr>
      <w:tr w14:paraId="5692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675" w:type="dxa"/>
            <w:noWrap w:val="0"/>
            <w:vAlign w:val="center"/>
          </w:tcPr>
          <w:p w14:paraId="7795C9CF">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w:t>
            </w:r>
          </w:p>
        </w:tc>
        <w:tc>
          <w:tcPr>
            <w:tcW w:w="3694" w:type="dxa"/>
            <w:noWrap w:val="0"/>
            <w:vAlign w:val="center"/>
          </w:tcPr>
          <w:p w14:paraId="3D498025">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河南匠人建设工程有限公司</w:t>
            </w:r>
          </w:p>
        </w:tc>
        <w:tc>
          <w:tcPr>
            <w:tcW w:w="1807" w:type="dxa"/>
            <w:noWrap w:val="0"/>
            <w:vAlign w:val="center"/>
          </w:tcPr>
          <w:p w14:paraId="626D79A6">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张传成</w:t>
            </w:r>
          </w:p>
        </w:tc>
        <w:tc>
          <w:tcPr>
            <w:tcW w:w="3162" w:type="dxa"/>
            <w:shd w:val="clear" w:color="auto" w:fill="auto"/>
            <w:noWrap w:val="0"/>
            <w:vAlign w:val="center"/>
          </w:tcPr>
          <w:p w14:paraId="4DDB3FB8">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lang w:val="zh-CN" w:eastAsia="zh-CN" w:bidi="ar-SA"/>
              </w:rPr>
            </w:pPr>
            <w:r>
              <w:rPr>
                <w:rFonts w:hint="eastAsia" w:asciiTheme="minorEastAsia" w:hAnsiTheme="minorEastAsia" w:eastAsiaTheme="minorEastAsia" w:cstheme="minorEastAsia"/>
                <w:color w:val="auto"/>
                <w:sz w:val="24"/>
                <w:szCs w:val="24"/>
                <w:highlight w:val="none"/>
                <w:lang w:val="zh-CN"/>
              </w:rPr>
              <w:t>合同签订后</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val="zh-CN"/>
              </w:rPr>
              <w:t>日历天内</w:t>
            </w:r>
            <w:r>
              <w:rPr>
                <w:rFonts w:hint="eastAsia" w:asciiTheme="minorEastAsia" w:hAnsiTheme="minorEastAsia" w:eastAsiaTheme="minorEastAsia" w:cstheme="minorEastAsia"/>
                <w:color w:val="auto"/>
                <w:sz w:val="24"/>
                <w:szCs w:val="24"/>
                <w:highlight w:val="none"/>
              </w:rPr>
              <w:t>完成</w:t>
            </w:r>
          </w:p>
        </w:tc>
      </w:tr>
      <w:tr w14:paraId="4BCA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75" w:type="dxa"/>
            <w:noWrap w:val="0"/>
            <w:vAlign w:val="center"/>
          </w:tcPr>
          <w:p w14:paraId="6BFD9890">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w:t>
            </w:r>
          </w:p>
        </w:tc>
        <w:tc>
          <w:tcPr>
            <w:tcW w:w="3694" w:type="dxa"/>
            <w:noWrap w:val="0"/>
            <w:vAlign w:val="center"/>
          </w:tcPr>
          <w:p w14:paraId="1F31B41A">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河南云雷建筑工程有限公司</w:t>
            </w:r>
          </w:p>
        </w:tc>
        <w:tc>
          <w:tcPr>
            <w:tcW w:w="1807" w:type="dxa"/>
            <w:noWrap w:val="0"/>
            <w:vAlign w:val="center"/>
          </w:tcPr>
          <w:p w14:paraId="28514F63">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何棒卫</w:t>
            </w:r>
          </w:p>
        </w:tc>
        <w:tc>
          <w:tcPr>
            <w:tcW w:w="3162" w:type="dxa"/>
            <w:noWrap w:val="0"/>
            <w:vAlign w:val="center"/>
          </w:tcPr>
          <w:p w14:paraId="65B407F6">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合同签订后</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val="zh-CN"/>
              </w:rPr>
              <w:t>日历天内</w:t>
            </w:r>
            <w:r>
              <w:rPr>
                <w:rFonts w:hint="eastAsia" w:asciiTheme="minorEastAsia" w:hAnsiTheme="minorEastAsia" w:eastAsiaTheme="minorEastAsia" w:cstheme="minorEastAsia"/>
                <w:color w:val="auto"/>
                <w:sz w:val="24"/>
                <w:szCs w:val="24"/>
                <w:highlight w:val="none"/>
              </w:rPr>
              <w:t>完成</w:t>
            </w:r>
          </w:p>
        </w:tc>
      </w:tr>
      <w:tr w14:paraId="60B0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75" w:type="dxa"/>
            <w:noWrap w:val="0"/>
            <w:vAlign w:val="center"/>
          </w:tcPr>
          <w:p w14:paraId="4C05D0E2">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w:t>
            </w:r>
          </w:p>
        </w:tc>
        <w:tc>
          <w:tcPr>
            <w:tcW w:w="3694" w:type="dxa"/>
            <w:noWrap w:val="0"/>
            <w:vAlign w:val="center"/>
          </w:tcPr>
          <w:p w14:paraId="0FF4044B">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中恒国泰建设发展有限公司</w:t>
            </w:r>
          </w:p>
        </w:tc>
        <w:tc>
          <w:tcPr>
            <w:tcW w:w="1807" w:type="dxa"/>
            <w:noWrap w:val="0"/>
            <w:vAlign w:val="center"/>
          </w:tcPr>
          <w:p w14:paraId="3C728D57">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南利燕</w:t>
            </w:r>
          </w:p>
        </w:tc>
        <w:tc>
          <w:tcPr>
            <w:tcW w:w="3162" w:type="dxa"/>
            <w:noWrap w:val="0"/>
            <w:vAlign w:val="center"/>
          </w:tcPr>
          <w:p w14:paraId="0D4AB3A4">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lang w:val="zh-CN"/>
              </w:rPr>
              <w:t>合同签订后</w:t>
            </w:r>
            <w:r>
              <w:rPr>
                <w:rFonts w:hint="eastAsia" w:asciiTheme="minorEastAsia" w:hAnsiTheme="minorEastAsia" w:eastAsiaTheme="minorEastAsia" w:cstheme="minorEastAsia"/>
                <w:color w:val="auto"/>
                <w:sz w:val="24"/>
                <w:szCs w:val="24"/>
                <w:highlight w:val="none"/>
                <w:lang w:val="en-US" w:eastAsia="zh-CN"/>
              </w:rPr>
              <w:t>45</w:t>
            </w:r>
            <w:r>
              <w:rPr>
                <w:rFonts w:hint="eastAsia" w:asciiTheme="minorEastAsia" w:hAnsiTheme="minorEastAsia" w:eastAsiaTheme="minorEastAsia" w:cstheme="minorEastAsia"/>
                <w:color w:val="auto"/>
                <w:sz w:val="24"/>
                <w:szCs w:val="24"/>
                <w:highlight w:val="none"/>
                <w:lang w:val="zh-CN"/>
              </w:rPr>
              <w:t>日历天内</w:t>
            </w:r>
            <w:r>
              <w:rPr>
                <w:rFonts w:hint="eastAsia" w:asciiTheme="minorEastAsia" w:hAnsiTheme="minorEastAsia" w:eastAsiaTheme="minorEastAsia" w:cstheme="minorEastAsia"/>
                <w:color w:val="auto"/>
                <w:sz w:val="24"/>
                <w:szCs w:val="24"/>
                <w:highlight w:val="none"/>
              </w:rPr>
              <w:t>完成</w:t>
            </w:r>
          </w:p>
        </w:tc>
      </w:tr>
      <w:tr w14:paraId="0F17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75" w:type="dxa"/>
            <w:noWrap w:val="0"/>
            <w:vAlign w:val="center"/>
          </w:tcPr>
          <w:p w14:paraId="18DEF9D7">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9</w:t>
            </w:r>
          </w:p>
        </w:tc>
        <w:tc>
          <w:tcPr>
            <w:tcW w:w="3694" w:type="dxa"/>
            <w:noWrap w:val="0"/>
            <w:vAlign w:val="center"/>
          </w:tcPr>
          <w:p w14:paraId="73AC0718">
            <w:pPr>
              <w:keepNext w:val="0"/>
              <w:keepLines w:val="0"/>
              <w:widowControl/>
              <w:suppressLineNumbers w:val="0"/>
              <w:jc w:val="center"/>
              <w:textAlignment w:val="bottom"/>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i w:val="0"/>
                <w:iCs w:val="0"/>
                <w:color w:val="000000"/>
                <w:kern w:val="0"/>
                <w:sz w:val="24"/>
                <w:szCs w:val="24"/>
                <w:u w:val="none"/>
                <w:lang w:val="en-US" w:eastAsia="zh-CN" w:bidi="ar"/>
              </w:rPr>
              <w:t>宝泰建设集团有限公司</w:t>
            </w:r>
          </w:p>
        </w:tc>
        <w:tc>
          <w:tcPr>
            <w:tcW w:w="1807" w:type="dxa"/>
            <w:noWrap w:val="0"/>
            <w:vAlign w:val="center"/>
          </w:tcPr>
          <w:p w14:paraId="3D8F3E75">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宗囡</w:t>
            </w:r>
          </w:p>
        </w:tc>
        <w:tc>
          <w:tcPr>
            <w:tcW w:w="3162" w:type="dxa"/>
            <w:noWrap w:val="0"/>
            <w:vAlign w:val="center"/>
          </w:tcPr>
          <w:p w14:paraId="36529A78">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Autospacing="0" w:afterAutospacing="0" w:line="520" w:lineRule="exact"/>
              <w:jc w:val="center"/>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合同签订后</w:t>
            </w:r>
            <w:r>
              <w:rPr>
                <w:rFonts w:hint="eastAsia" w:ascii="宋体" w:hAnsi="宋体" w:cs="宋体"/>
                <w:color w:val="auto"/>
                <w:sz w:val="24"/>
                <w:szCs w:val="24"/>
                <w:highlight w:val="none"/>
                <w:lang w:val="en-US" w:eastAsia="zh-CN"/>
              </w:rPr>
              <w:t>45</w:t>
            </w:r>
            <w:r>
              <w:rPr>
                <w:rFonts w:hint="eastAsia" w:ascii="宋体" w:hAnsi="宋体" w:eastAsia="宋体" w:cs="宋体"/>
                <w:color w:val="auto"/>
                <w:sz w:val="24"/>
                <w:szCs w:val="24"/>
                <w:highlight w:val="none"/>
                <w:lang w:val="zh-CN"/>
              </w:rPr>
              <w:t>日历天内</w:t>
            </w:r>
            <w:r>
              <w:rPr>
                <w:rFonts w:hint="eastAsia" w:ascii="宋体" w:hAnsi="宋体" w:eastAsia="宋体" w:cs="宋体"/>
                <w:color w:val="auto"/>
                <w:sz w:val="24"/>
                <w:szCs w:val="24"/>
                <w:highlight w:val="none"/>
              </w:rPr>
              <w:t>完成</w:t>
            </w:r>
          </w:p>
        </w:tc>
      </w:tr>
    </w:tbl>
    <w:p w14:paraId="1C47020D">
      <w:pPr>
        <w:keepNext w:val="0"/>
        <w:keepLines w:val="0"/>
        <w:pageBreakBefore w:val="0"/>
        <w:numPr>
          <w:ilvl w:val="0"/>
          <w:numId w:val="0"/>
        </w:numPr>
        <w:kinsoku/>
        <w:wordWrap/>
        <w:overflowPunct/>
        <w:topLinePunct w:val="0"/>
        <w:autoSpaceDE/>
        <w:autoSpaceDN/>
        <w:bidi w:val="0"/>
        <w:adjustRightInd/>
        <w:snapToGrid/>
        <w:spacing w:beforeAutospacing="0" w:afterAutospacing="0" w:line="520" w:lineRule="exact"/>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三、</w:t>
      </w:r>
      <w:r>
        <w:rPr>
          <w:rFonts w:hint="eastAsia" w:ascii="宋体" w:hAnsi="宋体" w:eastAsia="宋体" w:cs="宋体"/>
          <w:b/>
          <w:bCs/>
          <w:color w:val="auto"/>
          <w:sz w:val="28"/>
          <w:szCs w:val="28"/>
        </w:rPr>
        <w:t>资格审查情况</w:t>
      </w:r>
    </w:p>
    <w:tbl>
      <w:tblPr>
        <w:tblStyle w:val="10"/>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3"/>
        <w:gridCol w:w="7466"/>
      </w:tblGrid>
      <w:tr w14:paraId="522EC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7CD96D74">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466" w:type="dxa"/>
            <w:noWrap w:val="0"/>
            <w:vAlign w:val="center"/>
          </w:tcPr>
          <w:p w14:paraId="43F54BCE">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通过资格审查的供应商</w:t>
            </w:r>
          </w:p>
        </w:tc>
      </w:tr>
      <w:tr w14:paraId="1DBA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69E5F06D">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466" w:type="dxa"/>
            <w:shd w:val="clear" w:color="auto" w:fill="auto"/>
            <w:noWrap w:val="0"/>
            <w:vAlign w:val="bottom"/>
          </w:tcPr>
          <w:p w14:paraId="20AED912">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河南煌坤建设工程有限公司</w:t>
            </w:r>
          </w:p>
        </w:tc>
      </w:tr>
      <w:tr w14:paraId="4ADF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3F2C5BE2">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7466" w:type="dxa"/>
            <w:shd w:val="clear" w:color="auto" w:fill="auto"/>
            <w:noWrap w:val="0"/>
            <w:vAlign w:val="bottom"/>
          </w:tcPr>
          <w:p w14:paraId="22B62549">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泓瀚缘(河南)建设集团有限公司</w:t>
            </w:r>
          </w:p>
        </w:tc>
      </w:tr>
      <w:tr w14:paraId="1DF1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6A34AE39">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7466" w:type="dxa"/>
            <w:shd w:val="clear" w:color="auto" w:fill="auto"/>
            <w:noWrap w:val="0"/>
            <w:vAlign w:val="bottom"/>
          </w:tcPr>
          <w:p w14:paraId="2E5D545D">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河南伍勤建设有限公司</w:t>
            </w:r>
          </w:p>
        </w:tc>
      </w:tr>
      <w:tr w14:paraId="4892B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3FC63548">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7466" w:type="dxa"/>
            <w:shd w:val="clear" w:color="auto" w:fill="auto"/>
            <w:noWrap w:val="0"/>
            <w:vAlign w:val="bottom"/>
          </w:tcPr>
          <w:p w14:paraId="39557B02">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河南亚伟建设工程集团有限公司</w:t>
            </w:r>
          </w:p>
        </w:tc>
      </w:tr>
      <w:tr w14:paraId="10C9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67A0E4A8">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7466" w:type="dxa"/>
            <w:shd w:val="clear" w:color="auto" w:fill="auto"/>
            <w:noWrap w:val="0"/>
            <w:vAlign w:val="bottom"/>
          </w:tcPr>
          <w:p w14:paraId="2E02C916">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山东鹏祥建设工程有限公司</w:t>
            </w:r>
          </w:p>
        </w:tc>
      </w:tr>
      <w:tr w14:paraId="55AA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252DDA12">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w:t>
            </w:r>
          </w:p>
        </w:tc>
        <w:tc>
          <w:tcPr>
            <w:tcW w:w="7466" w:type="dxa"/>
            <w:shd w:val="clear" w:color="auto" w:fill="auto"/>
            <w:noWrap w:val="0"/>
            <w:vAlign w:val="bottom"/>
          </w:tcPr>
          <w:p w14:paraId="0FF02D6B">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河南匠人建设工程有限公司</w:t>
            </w:r>
          </w:p>
        </w:tc>
      </w:tr>
      <w:tr w14:paraId="1B05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0FAE44AE">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7</w:t>
            </w:r>
          </w:p>
        </w:tc>
        <w:tc>
          <w:tcPr>
            <w:tcW w:w="7466" w:type="dxa"/>
            <w:shd w:val="clear" w:color="auto" w:fill="auto"/>
            <w:noWrap w:val="0"/>
            <w:vAlign w:val="bottom"/>
          </w:tcPr>
          <w:p w14:paraId="6148CAD5">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河南云雷建筑工程有限公司</w:t>
            </w:r>
          </w:p>
        </w:tc>
      </w:tr>
      <w:tr w14:paraId="5813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040FFE44">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8</w:t>
            </w:r>
          </w:p>
        </w:tc>
        <w:tc>
          <w:tcPr>
            <w:tcW w:w="7466" w:type="dxa"/>
            <w:shd w:val="clear" w:color="auto" w:fill="auto"/>
            <w:noWrap w:val="0"/>
            <w:vAlign w:val="bottom"/>
          </w:tcPr>
          <w:p w14:paraId="7D913D5E">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中恒国泰建设发展有限公司</w:t>
            </w:r>
          </w:p>
        </w:tc>
      </w:tr>
      <w:tr w14:paraId="20B7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0968FE9B">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w:t>
            </w:r>
          </w:p>
        </w:tc>
        <w:tc>
          <w:tcPr>
            <w:tcW w:w="7466" w:type="dxa"/>
            <w:shd w:val="clear" w:color="auto" w:fill="auto"/>
            <w:noWrap w:val="0"/>
            <w:vAlign w:val="bottom"/>
          </w:tcPr>
          <w:p w14:paraId="193FA8AE">
            <w:pPr>
              <w:keepNext w:val="0"/>
              <w:keepLines w:val="0"/>
              <w:widowControl/>
              <w:suppressLineNumbers w:val="0"/>
              <w:jc w:val="center"/>
              <w:textAlignment w:val="bottom"/>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宝泰建设集团有限公司</w:t>
            </w:r>
          </w:p>
        </w:tc>
      </w:tr>
      <w:tr w14:paraId="0644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53" w:type="dxa"/>
            <w:noWrap w:val="0"/>
            <w:vAlign w:val="center"/>
          </w:tcPr>
          <w:p w14:paraId="09225336">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466" w:type="dxa"/>
            <w:noWrap w:val="0"/>
            <w:vAlign w:val="center"/>
          </w:tcPr>
          <w:p w14:paraId="289785A0">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未通过资格审查的供应商及原因</w:t>
            </w:r>
          </w:p>
        </w:tc>
      </w:tr>
      <w:tr w14:paraId="3E61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53" w:type="dxa"/>
            <w:noWrap w:val="0"/>
            <w:vAlign w:val="center"/>
          </w:tcPr>
          <w:p w14:paraId="4BCCABF0">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466" w:type="dxa"/>
            <w:noWrap w:val="0"/>
            <w:vAlign w:val="center"/>
          </w:tcPr>
          <w:p w14:paraId="1C686F63">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无</w:t>
            </w:r>
          </w:p>
        </w:tc>
      </w:tr>
    </w:tbl>
    <w:p w14:paraId="2149C410">
      <w:pPr>
        <w:pStyle w:val="6"/>
        <w:keepNext w:val="0"/>
        <w:keepLines w:val="0"/>
        <w:pageBreakBefore w:val="0"/>
        <w:numPr>
          <w:ilvl w:val="0"/>
          <w:numId w:val="0"/>
        </w:numPr>
        <w:kinsoku/>
        <w:wordWrap/>
        <w:overflowPunct/>
        <w:topLinePunct w:val="0"/>
        <w:autoSpaceDE/>
        <w:autoSpaceDN/>
        <w:bidi w:val="0"/>
        <w:adjustRightInd/>
        <w:snapToGrid/>
        <w:spacing w:beforeAutospacing="0" w:afterAutospacing="0" w:line="520" w:lineRule="exact"/>
        <w:rPr>
          <w:rFonts w:hint="eastAsia" w:asciiTheme="minorEastAsia" w:hAnsiTheme="minorEastAsia" w:eastAsiaTheme="minorEastAsia" w:cstheme="minorEastAsia"/>
          <w:b/>
          <w:bCs/>
          <w:color w:val="auto"/>
          <w:kern w:val="0"/>
          <w:sz w:val="28"/>
          <w:szCs w:val="28"/>
        </w:rPr>
      </w:pPr>
      <w:r>
        <w:rPr>
          <w:rFonts w:hint="eastAsia" w:asciiTheme="minorEastAsia" w:hAnsiTheme="minorEastAsia" w:eastAsiaTheme="minorEastAsia" w:cstheme="minorEastAsia"/>
          <w:b/>
          <w:bCs/>
          <w:color w:val="auto"/>
          <w:kern w:val="0"/>
          <w:sz w:val="28"/>
          <w:szCs w:val="28"/>
          <w:lang w:val="en-US" w:eastAsia="zh-CN"/>
        </w:rPr>
        <w:t>四、</w:t>
      </w:r>
      <w:r>
        <w:rPr>
          <w:rFonts w:hint="eastAsia" w:asciiTheme="minorEastAsia" w:hAnsiTheme="minorEastAsia" w:eastAsiaTheme="minorEastAsia" w:cstheme="minorEastAsia"/>
          <w:b/>
          <w:bCs/>
          <w:color w:val="auto"/>
          <w:kern w:val="0"/>
          <w:sz w:val="28"/>
          <w:szCs w:val="28"/>
        </w:rPr>
        <w:t>符合性审查</w:t>
      </w:r>
    </w:p>
    <w:p w14:paraId="3A315652">
      <w:pPr>
        <w:keepNext w:val="0"/>
        <w:keepLines w:val="0"/>
        <w:pageBreakBefore w:val="0"/>
        <w:widowControl/>
        <w:suppressLineNumbers w:val="0"/>
        <w:kinsoku/>
        <w:wordWrap/>
        <w:overflowPunct/>
        <w:topLinePunct w:val="0"/>
        <w:autoSpaceDE/>
        <w:autoSpaceDN/>
        <w:bidi w:val="0"/>
        <w:adjustRightInd/>
        <w:snapToGrid/>
        <w:spacing w:line="520" w:lineRule="atLeast"/>
        <w:ind w:firstLine="480" w:firstLineChars="200"/>
        <w:jc w:val="both"/>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val="0"/>
          <w:sz w:val="24"/>
          <w:szCs w:val="24"/>
        </w:rPr>
        <w:t>硬件特征码分析及判定结果：</w:t>
      </w:r>
      <w:r>
        <w:rPr>
          <w:rFonts w:hint="eastAsia" w:asciiTheme="minorEastAsia" w:hAnsiTheme="minorEastAsia" w:eastAsiaTheme="minorEastAsia" w:cstheme="minorEastAsia"/>
          <w:i w:val="0"/>
          <w:iCs w:val="0"/>
          <w:color w:val="000000"/>
          <w:kern w:val="0"/>
          <w:sz w:val="24"/>
          <w:szCs w:val="24"/>
          <w:u w:val="none"/>
          <w:lang w:val="en-US" w:eastAsia="zh-CN" w:bidi="ar"/>
        </w:rPr>
        <w:t>河南煌坤建设工程有限公司、河南伍勤建设有限公司两家投标</w:t>
      </w:r>
      <w:r>
        <w:rPr>
          <w:rFonts w:hint="eastAsia" w:asciiTheme="minorEastAsia" w:hAnsiTheme="minorEastAsia" w:eastAsiaTheme="minorEastAsia" w:cstheme="minorEastAsia"/>
          <w:b w:val="0"/>
          <w:bCs w:val="0"/>
          <w:color w:val="auto"/>
          <w:kern w:val="0"/>
          <w:sz w:val="24"/>
          <w:szCs w:val="24"/>
          <w:u w:val="none"/>
          <w:shd w:val="clear" w:color="auto" w:fill="FFFFFF"/>
          <w:lang w:val="en-US" w:eastAsia="zh-CN" w:bidi="ar"/>
        </w:rPr>
        <w:t>单位CPU序号相同；</w:t>
      </w:r>
      <w:r>
        <w:rPr>
          <w:rFonts w:hint="eastAsia" w:asciiTheme="minorEastAsia" w:hAnsiTheme="minorEastAsia" w:eastAsiaTheme="minorEastAsia" w:cstheme="minorEastAsia"/>
          <w:i w:val="0"/>
          <w:iCs w:val="0"/>
          <w:color w:val="000000"/>
          <w:kern w:val="0"/>
          <w:sz w:val="24"/>
          <w:szCs w:val="24"/>
          <w:u w:val="none"/>
          <w:lang w:val="en-US" w:eastAsia="zh-CN" w:bidi="ar"/>
        </w:rPr>
        <w:t xml:space="preserve"> 泓瀚缘(河南)建设集团有限公司、河南亚伟建设工程集团有限公司、河南匠人建设工程有限公司三家投标</w:t>
      </w:r>
      <w:r>
        <w:rPr>
          <w:rFonts w:hint="eastAsia" w:asciiTheme="minorEastAsia" w:hAnsiTheme="minorEastAsia" w:eastAsiaTheme="minorEastAsia" w:cstheme="minorEastAsia"/>
          <w:b w:val="0"/>
          <w:bCs w:val="0"/>
          <w:color w:val="auto"/>
          <w:kern w:val="0"/>
          <w:sz w:val="24"/>
          <w:szCs w:val="24"/>
          <w:u w:val="none"/>
          <w:shd w:val="clear" w:color="auto" w:fill="FFFFFF"/>
          <w:lang w:val="en-US" w:eastAsia="zh-CN" w:bidi="ar"/>
        </w:rPr>
        <w:t>单位CPU序号相同，其余投标单位网卡MAC地址、CPU序号、硬盘序列号等硬件特征码均无雷同，可进行下一步评审。</w:t>
      </w:r>
    </w:p>
    <w:tbl>
      <w:tblPr>
        <w:tblStyle w:val="10"/>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7315"/>
      </w:tblGrid>
      <w:tr w14:paraId="100A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1E78AE9C">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315" w:type="dxa"/>
            <w:noWrap w:val="0"/>
            <w:vAlign w:val="center"/>
          </w:tcPr>
          <w:p w14:paraId="20E76FDA">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通过符合性审查的供应商</w:t>
            </w:r>
          </w:p>
        </w:tc>
      </w:tr>
      <w:tr w14:paraId="6C64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328721D5">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315" w:type="dxa"/>
            <w:shd w:val="clear" w:color="auto" w:fill="auto"/>
            <w:noWrap w:val="0"/>
            <w:vAlign w:val="bottom"/>
          </w:tcPr>
          <w:p w14:paraId="36175118">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河南煌坤建设工程有限公司</w:t>
            </w:r>
          </w:p>
        </w:tc>
      </w:tr>
      <w:tr w14:paraId="2C22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229566EF">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7315" w:type="dxa"/>
            <w:shd w:val="clear" w:color="auto" w:fill="auto"/>
            <w:noWrap w:val="0"/>
            <w:vAlign w:val="bottom"/>
          </w:tcPr>
          <w:p w14:paraId="5369C70B">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泓瀚缘(河南)建设集团有限公司</w:t>
            </w:r>
          </w:p>
        </w:tc>
      </w:tr>
      <w:tr w14:paraId="4FBF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6100F95F">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7315" w:type="dxa"/>
            <w:shd w:val="clear" w:color="auto" w:fill="auto"/>
            <w:noWrap w:val="0"/>
            <w:vAlign w:val="bottom"/>
          </w:tcPr>
          <w:p w14:paraId="033BF700">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河南伍勤建设有限公司</w:t>
            </w:r>
          </w:p>
        </w:tc>
      </w:tr>
      <w:tr w14:paraId="6113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65E98D28">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7315" w:type="dxa"/>
            <w:shd w:val="clear" w:color="auto" w:fill="auto"/>
            <w:noWrap w:val="0"/>
            <w:vAlign w:val="bottom"/>
          </w:tcPr>
          <w:p w14:paraId="573134EE">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河南亚伟建设工程集团有限公司</w:t>
            </w:r>
          </w:p>
        </w:tc>
      </w:tr>
      <w:tr w14:paraId="3D7B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57A4CC63">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5</w:t>
            </w:r>
          </w:p>
        </w:tc>
        <w:tc>
          <w:tcPr>
            <w:tcW w:w="7315" w:type="dxa"/>
            <w:shd w:val="clear" w:color="auto" w:fill="auto"/>
            <w:noWrap w:val="0"/>
            <w:vAlign w:val="bottom"/>
          </w:tcPr>
          <w:p w14:paraId="394FA4CD">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山东鹏祥建设工程有限公司</w:t>
            </w:r>
          </w:p>
        </w:tc>
      </w:tr>
      <w:tr w14:paraId="64D8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6D2AB8D3">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w:t>
            </w:r>
          </w:p>
        </w:tc>
        <w:tc>
          <w:tcPr>
            <w:tcW w:w="7315" w:type="dxa"/>
            <w:shd w:val="clear" w:color="auto" w:fill="auto"/>
            <w:noWrap w:val="0"/>
            <w:vAlign w:val="bottom"/>
          </w:tcPr>
          <w:p w14:paraId="08776D07">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河南匠人建设工程有限公司</w:t>
            </w:r>
          </w:p>
        </w:tc>
      </w:tr>
      <w:tr w14:paraId="309D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1EC8ECC3">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7</w:t>
            </w:r>
          </w:p>
        </w:tc>
        <w:tc>
          <w:tcPr>
            <w:tcW w:w="7315" w:type="dxa"/>
            <w:shd w:val="clear" w:color="auto" w:fill="auto"/>
            <w:noWrap w:val="0"/>
            <w:vAlign w:val="bottom"/>
          </w:tcPr>
          <w:p w14:paraId="69612ED7">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河南云雷建筑工程有限公司</w:t>
            </w:r>
          </w:p>
        </w:tc>
      </w:tr>
      <w:tr w14:paraId="72AA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320AE657">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8</w:t>
            </w:r>
          </w:p>
        </w:tc>
        <w:tc>
          <w:tcPr>
            <w:tcW w:w="7315" w:type="dxa"/>
            <w:shd w:val="clear" w:color="auto" w:fill="auto"/>
            <w:noWrap w:val="0"/>
            <w:vAlign w:val="bottom"/>
          </w:tcPr>
          <w:p w14:paraId="7930AA00">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中恒国泰建设发展有限公司</w:t>
            </w:r>
          </w:p>
        </w:tc>
      </w:tr>
      <w:tr w14:paraId="094C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1F990279">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9</w:t>
            </w:r>
          </w:p>
        </w:tc>
        <w:tc>
          <w:tcPr>
            <w:tcW w:w="7315" w:type="dxa"/>
            <w:shd w:val="clear" w:color="auto" w:fill="auto"/>
            <w:noWrap w:val="0"/>
            <w:vAlign w:val="bottom"/>
          </w:tcPr>
          <w:p w14:paraId="71BB3D79">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宝泰建设集团有限公司</w:t>
            </w:r>
          </w:p>
        </w:tc>
      </w:tr>
      <w:tr w14:paraId="19AB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964" w:type="dxa"/>
            <w:noWrap w:val="0"/>
            <w:vAlign w:val="center"/>
          </w:tcPr>
          <w:p w14:paraId="0EF72F4A">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315" w:type="dxa"/>
            <w:noWrap w:val="0"/>
            <w:vAlign w:val="center"/>
          </w:tcPr>
          <w:p w14:paraId="604DF4AC">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未通过符合性审查的供应商及原因</w:t>
            </w:r>
          </w:p>
        </w:tc>
      </w:tr>
      <w:tr w14:paraId="4995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964" w:type="dxa"/>
            <w:noWrap w:val="0"/>
            <w:vAlign w:val="center"/>
          </w:tcPr>
          <w:p w14:paraId="36985348">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315" w:type="dxa"/>
            <w:noWrap w:val="0"/>
            <w:vAlign w:val="center"/>
          </w:tcPr>
          <w:p w14:paraId="34B767B1">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无</w:t>
            </w:r>
          </w:p>
        </w:tc>
      </w:tr>
    </w:tbl>
    <w:p w14:paraId="2F06949C">
      <w:pPr>
        <w:pStyle w:val="6"/>
        <w:keepNext w:val="0"/>
        <w:keepLines w:val="0"/>
        <w:pageBreakBefore w:val="0"/>
        <w:numPr>
          <w:ilvl w:val="0"/>
          <w:numId w:val="0"/>
        </w:numPr>
        <w:kinsoku/>
        <w:wordWrap/>
        <w:overflowPunct/>
        <w:topLinePunct w:val="0"/>
        <w:autoSpaceDE/>
        <w:autoSpaceDN/>
        <w:bidi w:val="0"/>
        <w:adjustRightInd/>
        <w:snapToGrid/>
        <w:spacing w:beforeAutospacing="0" w:afterAutospacing="0" w:line="520" w:lineRule="exact"/>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五、详细</w:t>
      </w:r>
      <w:r>
        <w:rPr>
          <w:rFonts w:hint="eastAsia" w:ascii="宋体" w:hAnsi="宋体" w:eastAsia="宋体" w:cs="宋体"/>
          <w:b/>
          <w:bCs/>
          <w:color w:val="auto"/>
          <w:kern w:val="0"/>
          <w:sz w:val="28"/>
          <w:szCs w:val="28"/>
          <w:lang w:val="en-US" w:eastAsia="zh-CN"/>
        </w:rPr>
        <w:t>评审情况</w:t>
      </w:r>
    </w:p>
    <w:p w14:paraId="0E0C3A33">
      <w:pPr>
        <w:keepNext w:val="0"/>
        <w:keepLines w:val="0"/>
        <w:pageBreakBefore w:val="0"/>
        <w:numPr>
          <w:ilvl w:val="0"/>
          <w:numId w:val="0"/>
        </w:numPr>
        <w:kinsoku/>
        <w:wordWrap/>
        <w:overflowPunct/>
        <w:topLinePunct w:val="0"/>
        <w:autoSpaceDE/>
        <w:autoSpaceDN/>
        <w:bidi w:val="0"/>
        <w:adjustRightInd/>
        <w:snapToGrid/>
        <w:spacing w:beforeAutospacing="0" w:afterAutospacing="0" w:line="520" w:lineRule="exac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w:t>
      </w:r>
      <w:r>
        <w:rPr>
          <w:rFonts w:hint="eastAsia" w:ascii="宋体" w:hAnsi="宋体" w:cs="宋体"/>
          <w:b/>
          <w:bCs/>
          <w:color w:val="auto"/>
          <w:sz w:val="24"/>
          <w:szCs w:val="24"/>
          <w:lang w:val="en-US" w:eastAsia="zh-CN"/>
        </w:rPr>
        <w:t>一</w:t>
      </w:r>
      <w:r>
        <w:rPr>
          <w:rFonts w:hint="eastAsia" w:ascii="宋体" w:hAnsi="宋体" w:eastAsia="宋体" w:cs="宋体"/>
          <w:b/>
          <w:bCs/>
          <w:color w:val="auto"/>
          <w:sz w:val="24"/>
          <w:szCs w:val="24"/>
          <w:lang w:val="en-US" w:eastAsia="zh-CN"/>
        </w:rPr>
        <w:t>）</w:t>
      </w:r>
      <w:r>
        <w:rPr>
          <w:rFonts w:hint="eastAsia" w:ascii="宋体" w:hAnsi="宋体" w:cs="宋体"/>
          <w:b/>
          <w:bCs/>
          <w:color w:val="auto"/>
          <w:sz w:val="24"/>
          <w:szCs w:val="24"/>
          <w:lang w:val="en-US" w:eastAsia="zh-CN"/>
        </w:rPr>
        <w:t>供应商</w:t>
      </w:r>
      <w:r>
        <w:rPr>
          <w:rFonts w:hint="eastAsia" w:ascii="宋体" w:hAnsi="宋体" w:eastAsia="宋体" w:cs="宋体"/>
          <w:b/>
          <w:bCs/>
          <w:color w:val="auto"/>
          <w:sz w:val="24"/>
          <w:szCs w:val="24"/>
          <w:lang w:val="en-US" w:eastAsia="zh-CN"/>
        </w:rPr>
        <w:t>最终报价</w:t>
      </w:r>
    </w:p>
    <w:tbl>
      <w:tblPr>
        <w:tblStyle w:val="10"/>
        <w:tblpPr w:vertAnchor="text" w:tblpXSpec="center"/>
        <w:tblW w:w="914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61"/>
        <w:gridCol w:w="3650"/>
        <w:gridCol w:w="2196"/>
        <w:gridCol w:w="2433"/>
      </w:tblGrid>
      <w:tr w14:paraId="0DBA4E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4" w:hRule="atLeast"/>
          <w:jc w:val="center"/>
        </w:trPr>
        <w:tc>
          <w:tcPr>
            <w:tcW w:w="86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B494BD0">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365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74127F3">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供应</w:t>
            </w:r>
            <w:r>
              <w:rPr>
                <w:rFonts w:hint="eastAsia" w:asciiTheme="minorEastAsia" w:hAnsiTheme="minorEastAsia" w:eastAsiaTheme="minorEastAsia" w:cstheme="minorEastAsia"/>
                <w:color w:val="auto"/>
                <w:sz w:val="24"/>
                <w:szCs w:val="24"/>
              </w:rPr>
              <w:t>商名称</w:t>
            </w:r>
          </w:p>
        </w:tc>
        <w:tc>
          <w:tcPr>
            <w:tcW w:w="219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E437BC7">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首次报价（元）</w:t>
            </w:r>
          </w:p>
        </w:tc>
        <w:tc>
          <w:tcPr>
            <w:tcW w:w="2433"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30AC285">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最终</w:t>
            </w:r>
            <w:r>
              <w:rPr>
                <w:rFonts w:hint="eastAsia" w:asciiTheme="minorEastAsia" w:hAnsiTheme="minorEastAsia" w:eastAsiaTheme="minorEastAsia" w:cstheme="minorEastAsia"/>
                <w:color w:val="auto"/>
                <w:sz w:val="24"/>
                <w:szCs w:val="24"/>
                <w:lang w:val="en-US" w:eastAsia="zh-CN"/>
              </w:rPr>
              <w:t>报价（元）</w:t>
            </w:r>
          </w:p>
        </w:tc>
      </w:tr>
      <w:tr w14:paraId="5FB6EC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4" w:hRule="atLeast"/>
          <w:jc w:val="center"/>
        </w:trPr>
        <w:tc>
          <w:tcPr>
            <w:tcW w:w="8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ADBBD5D">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3650" w:type="dxa"/>
            <w:tcBorders>
              <w:top w:val="nil"/>
              <w:left w:val="nil"/>
              <w:bottom w:val="single" w:color="auto" w:sz="8" w:space="0"/>
              <w:right w:val="single" w:color="auto" w:sz="8" w:space="0"/>
            </w:tcBorders>
            <w:shd w:val="clear" w:color="auto" w:fill="auto"/>
            <w:noWrap w:val="0"/>
            <w:tcMar>
              <w:left w:w="108" w:type="dxa"/>
              <w:right w:w="108" w:type="dxa"/>
            </w:tcMar>
            <w:vAlign w:val="bottom"/>
          </w:tcPr>
          <w:p w14:paraId="4E4591C0">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河南煌坤建设工程有限公司</w:t>
            </w:r>
          </w:p>
        </w:tc>
        <w:tc>
          <w:tcPr>
            <w:tcW w:w="2196" w:type="dxa"/>
            <w:tcBorders>
              <w:top w:val="nil"/>
              <w:left w:val="nil"/>
              <w:bottom w:val="single" w:color="auto" w:sz="8" w:space="0"/>
              <w:right w:val="single" w:color="auto" w:sz="8" w:space="0"/>
            </w:tcBorders>
            <w:noWrap w:val="0"/>
            <w:tcMar>
              <w:left w:w="108" w:type="dxa"/>
              <w:right w:w="108" w:type="dxa"/>
            </w:tcMar>
            <w:vAlign w:val="center"/>
          </w:tcPr>
          <w:p w14:paraId="774FE21F">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906402.13</w:t>
            </w:r>
          </w:p>
        </w:tc>
        <w:tc>
          <w:tcPr>
            <w:tcW w:w="2433" w:type="dxa"/>
            <w:tcBorders>
              <w:top w:val="nil"/>
              <w:left w:val="nil"/>
              <w:bottom w:val="single" w:color="auto" w:sz="8" w:space="0"/>
              <w:right w:val="single" w:color="auto" w:sz="8" w:space="0"/>
            </w:tcBorders>
            <w:noWrap w:val="0"/>
            <w:tcMar>
              <w:left w:w="108" w:type="dxa"/>
              <w:right w:w="108" w:type="dxa"/>
            </w:tcMar>
            <w:vAlign w:val="center"/>
          </w:tcPr>
          <w:p w14:paraId="5388654C">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904577.67</w:t>
            </w:r>
          </w:p>
        </w:tc>
      </w:tr>
      <w:tr w14:paraId="36E611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4" w:hRule="atLeast"/>
          <w:jc w:val="center"/>
        </w:trPr>
        <w:tc>
          <w:tcPr>
            <w:tcW w:w="861" w:type="dxa"/>
            <w:tcBorders>
              <w:top w:val="nil"/>
              <w:left w:val="single" w:color="auto" w:sz="8" w:space="0"/>
              <w:bottom w:val="single" w:color="auto" w:sz="4" w:space="0"/>
              <w:right w:val="single" w:color="auto" w:sz="8" w:space="0"/>
            </w:tcBorders>
            <w:noWrap w:val="0"/>
            <w:tcMar>
              <w:left w:w="108" w:type="dxa"/>
              <w:right w:w="108" w:type="dxa"/>
            </w:tcMar>
            <w:vAlign w:val="center"/>
          </w:tcPr>
          <w:p w14:paraId="354F5898">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3650" w:type="dxa"/>
            <w:tcBorders>
              <w:top w:val="nil"/>
              <w:left w:val="nil"/>
              <w:bottom w:val="single" w:color="auto" w:sz="4" w:space="0"/>
              <w:right w:val="single" w:color="auto" w:sz="8" w:space="0"/>
            </w:tcBorders>
            <w:shd w:val="clear" w:color="auto" w:fill="auto"/>
            <w:noWrap w:val="0"/>
            <w:tcMar>
              <w:left w:w="108" w:type="dxa"/>
              <w:right w:w="108" w:type="dxa"/>
            </w:tcMar>
            <w:vAlign w:val="bottom"/>
          </w:tcPr>
          <w:p w14:paraId="154E7AE7">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泓瀚缘(河南)建设集团有限公司</w:t>
            </w:r>
          </w:p>
        </w:tc>
        <w:tc>
          <w:tcPr>
            <w:tcW w:w="2196" w:type="dxa"/>
            <w:tcBorders>
              <w:top w:val="nil"/>
              <w:left w:val="nil"/>
              <w:bottom w:val="single" w:color="auto" w:sz="4" w:space="0"/>
              <w:right w:val="single" w:color="auto" w:sz="8" w:space="0"/>
            </w:tcBorders>
            <w:noWrap w:val="0"/>
            <w:tcMar>
              <w:left w:w="108" w:type="dxa"/>
              <w:right w:w="108" w:type="dxa"/>
            </w:tcMar>
            <w:vAlign w:val="center"/>
          </w:tcPr>
          <w:p w14:paraId="5C4E3477">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911683.29</w:t>
            </w:r>
          </w:p>
        </w:tc>
        <w:tc>
          <w:tcPr>
            <w:tcW w:w="2433" w:type="dxa"/>
            <w:tcBorders>
              <w:top w:val="nil"/>
              <w:left w:val="nil"/>
              <w:bottom w:val="single" w:color="auto" w:sz="4" w:space="0"/>
              <w:right w:val="single" w:color="auto" w:sz="8" w:space="0"/>
            </w:tcBorders>
            <w:noWrap w:val="0"/>
            <w:tcMar>
              <w:left w:w="108" w:type="dxa"/>
              <w:right w:w="108" w:type="dxa"/>
            </w:tcMar>
            <w:vAlign w:val="center"/>
          </w:tcPr>
          <w:p w14:paraId="3141C7C2">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838218.57</w:t>
            </w:r>
          </w:p>
        </w:tc>
      </w:tr>
      <w:tr w14:paraId="2C705E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86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2DBD8EF">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3650"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bottom"/>
          </w:tcPr>
          <w:p w14:paraId="12198CEA">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河南伍勤建设有限公司</w:t>
            </w:r>
          </w:p>
        </w:tc>
        <w:tc>
          <w:tcPr>
            <w:tcW w:w="21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0E5456E">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904573.24</w:t>
            </w: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84EA61">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902992.61</w:t>
            </w:r>
          </w:p>
        </w:tc>
      </w:tr>
      <w:tr w14:paraId="6279FD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86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46E8B53">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3650"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bottom"/>
          </w:tcPr>
          <w:p w14:paraId="3AAF4AD2">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河南亚伟建设工程集团有限公司</w:t>
            </w:r>
          </w:p>
        </w:tc>
        <w:tc>
          <w:tcPr>
            <w:tcW w:w="21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D6EA5D">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910273.14</w:t>
            </w: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1BA2976">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859000.14</w:t>
            </w:r>
          </w:p>
        </w:tc>
      </w:tr>
      <w:tr w14:paraId="4C5DF9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86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01A0739">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c>
          <w:tcPr>
            <w:tcW w:w="3650"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bottom"/>
          </w:tcPr>
          <w:p w14:paraId="60157358">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山东鹏祥建设工程有限公司</w:t>
            </w:r>
          </w:p>
        </w:tc>
        <w:tc>
          <w:tcPr>
            <w:tcW w:w="21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935E7D">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910617.56</w:t>
            </w: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38D2955">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898387.76</w:t>
            </w:r>
          </w:p>
        </w:tc>
      </w:tr>
      <w:tr w14:paraId="0B42B5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86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ABE292D">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w:t>
            </w:r>
          </w:p>
        </w:tc>
        <w:tc>
          <w:tcPr>
            <w:tcW w:w="3650"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bottom"/>
          </w:tcPr>
          <w:p w14:paraId="2DA02731">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河南匠人建设工程有限公司</w:t>
            </w:r>
          </w:p>
        </w:tc>
        <w:tc>
          <w:tcPr>
            <w:tcW w:w="21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0F51988">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908120.32</w:t>
            </w: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CE4BA11">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903647.54</w:t>
            </w:r>
          </w:p>
        </w:tc>
      </w:tr>
      <w:tr w14:paraId="66CF70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86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EBD04C7">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w:t>
            </w:r>
          </w:p>
        </w:tc>
        <w:tc>
          <w:tcPr>
            <w:tcW w:w="3650"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bottom"/>
          </w:tcPr>
          <w:p w14:paraId="4F3A1FF2">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河南云雷建筑工程有限公司</w:t>
            </w:r>
          </w:p>
        </w:tc>
        <w:tc>
          <w:tcPr>
            <w:tcW w:w="21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1307659">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907211.66</w:t>
            </w: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17F93E1">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886421.00</w:t>
            </w:r>
          </w:p>
        </w:tc>
      </w:tr>
      <w:tr w14:paraId="30DF9BA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86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A693A8">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w:t>
            </w:r>
          </w:p>
        </w:tc>
        <w:tc>
          <w:tcPr>
            <w:tcW w:w="3650"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bottom"/>
          </w:tcPr>
          <w:p w14:paraId="5A3307A1">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中恒国泰建设发展有限公司</w:t>
            </w:r>
          </w:p>
        </w:tc>
        <w:tc>
          <w:tcPr>
            <w:tcW w:w="21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BB0695B">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912356.01</w:t>
            </w: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36D9EED">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908836.15</w:t>
            </w:r>
          </w:p>
        </w:tc>
      </w:tr>
      <w:tr w14:paraId="048899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86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C00B712">
            <w:pPr>
              <w:keepNext w:val="0"/>
              <w:keepLines w:val="0"/>
              <w:pageBreakBefore w:val="0"/>
              <w:kinsoku/>
              <w:wordWrap/>
              <w:overflowPunct/>
              <w:topLinePunct w:val="0"/>
              <w:autoSpaceDE/>
              <w:autoSpaceDN/>
              <w:bidi w:val="0"/>
              <w:adjustRightInd/>
              <w:snapToGrid/>
              <w:spacing w:beforeAutospacing="0" w:afterAutospacing="0" w:line="520"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w:t>
            </w:r>
          </w:p>
        </w:tc>
        <w:tc>
          <w:tcPr>
            <w:tcW w:w="3650" w:type="dxa"/>
            <w:tcBorders>
              <w:top w:val="single" w:color="auto" w:sz="4" w:space="0"/>
              <w:left w:val="single" w:color="auto" w:sz="4" w:space="0"/>
              <w:bottom w:val="single" w:color="auto" w:sz="4" w:space="0"/>
              <w:right w:val="single" w:color="auto" w:sz="4" w:space="0"/>
            </w:tcBorders>
            <w:shd w:val="clear" w:color="auto" w:fill="auto"/>
            <w:noWrap w:val="0"/>
            <w:tcMar>
              <w:left w:w="108" w:type="dxa"/>
              <w:right w:w="108" w:type="dxa"/>
            </w:tcMar>
            <w:vAlign w:val="bottom"/>
          </w:tcPr>
          <w:p w14:paraId="69C203B3">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宝泰建设集团有限公司</w:t>
            </w:r>
          </w:p>
        </w:tc>
        <w:tc>
          <w:tcPr>
            <w:tcW w:w="219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62764C">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910870.00</w:t>
            </w:r>
          </w:p>
        </w:tc>
        <w:tc>
          <w:tcPr>
            <w:tcW w:w="243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8997CA8">
            <w:pPr>
              <w:keepNext w:val="0"/>
              <w:keepLines w:val="0"/>
              <w:pageBreakBefore w:val="0"/>
              <w:widowControl/>
              <w:kinsoku/>
              <w:wordWrap/>
              <w:overflowPunct/>
              <w:topLinePunct w:val="0"/>
              <w:autoSpaceDE/>
              <w:autoSpaceDN/>
              <w:bidi w:val="0"/>
              <w:adjustRightInd/>
              <w:snapToGrid/>
              <w:spacing w:beforeAutospacing="0" w:afterAutospacing="0" w:line="520" w:lineRule="exact"/>
              <w:jc w:val="center"/>
              <w:textAlignment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910332.17</w:t>
            </w:r>
          </w:p>
        </w:tc>
      </w:tr>
    </w:tbl>
    <w:p w14:paraId="3DF4634A">
      <w:pPr>
        <w:widowControl/>
        <w:snapToGrid w:val="0"/>
        <w:spacing w:line="360" w:lineRule="auto"/>
        <w:jc w:val="left"/>
        <w:rPr>
          <w:rFonts w:hint="eastAsia" w:ascii="宋体" w:hAnsi="宋体"/>
          <w:bCs/>
          <w:sz w:val="24"/>
        </w:rPr>
      </w:pPr>
      <w:r>
        <w:rPr>
          <w:rFonts w:hint="eastAsia" w:ascii="宋体" w:hAnsi="宋体" w:eastAsia="宋体" w:cs="宋体"/>
          <w:b/>
          <w:bCs/>
          <w:color w:val="auto"/>
          <w:sz w:val="24"/>
          <w:szCs w:val="24"/>
          <w:lang w:eastAsia="zh-CN"/>
        </w:rPr>
        <w:t>（</w:t>
      </w:r>
      <w:r>
        <w:rPr>
          <w:rFonts w:hint="eastAsia" w:ascii="宋体" w:hAnsi="宋体" w:cs="宋体"/>
          <w:b/>
          <w:bCs/>
          <w:color w:val="auto"/>
          <w:sz w:val="24"/>
          <w:szCs w:val="24"/>
          <w:lang w:val="en-US" w:eastAsia="zh-CN"/>
        </w:rPr>
        <w:t>二</w:t>
      </w:r>
      <w:r>
        <w:rPr>
          <w:rFonts w:hint="eastAsia" w:ascii="宋体" w:hAnsi="宋体" w:eastAsia="宋体" w:cs="宋体"/>
          <w:b/>
          <w:bCs/>
          <w:color w:val="auto"/>
          <w:sz w:val="24"/>
          <w:szCs w:val="24"/>
          <w:lang w:val="en-US" w:eastAsia="zh-CN"/>
        </w:rPr>
        <w:t>）</w:t>
      </w:r>
      <w:r>
        <w:rPr>
          <w:rFonts w:hint="eastAsia" w:ascii="宋体" w:hAnsi="宋体" w:cs="宋体"/>
          <w:b/>
          <w:bCs/>
          <w:color w:val="auto"/>
          <w:sz w:val="24"/>
          <w:szCs w:val="24"/>
          <w:lang w:val="en-US" w:eastAsia="zh-CN"/>
        </w:rPr>
        <w:t>详细评审得分</w:t>
      </w:r>
    </w:p>
    <w:tbl>
      <w:tblPr>
        <w:tblStyle w:val="10"/>
        <w:tblW w:w="5164" w:type="pct"/>
        <w:tblInd w:w="-2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16"/>
        <w:gridCol w:w="696"/>
        <w:gridCol w:w="696"/>
        <w:gridCol w:w="696"/>
        <w:gridCol w:w="696"/>
        <w:gridCol w:w="696"/>
        <w:gridCol w:w="696"/>
        <w:gridCol w:w="696"/>
        <w:gridCol w:w="696"/>
        <w:gridCol w:w="696"/>
        <w:gridCol w:w="696"/>
        <w:gridCol w:w="696"/>
        <w:gridCol w:w="696"/>
        <w:gridCol w:w="936"/>
      </w:tblGrid>
      <w:tr w14:paraId="3ED8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15"/>
            <w:vAlign w:val="center"/>
          </w:tcPr>
          <w:p w14:paraId="6E6B4FC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河南煌坤建设工程有限公司</w:t>
            </w:r>
          </w:p>
        </w:tc>
      </w:tr>
      <w:tr w14:paraId="1671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vMerge w:val="restart"/>
            <w:vAlign w:val="center"/>
          </w:tcPr>
          <w:p w14:paraId="6466178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68" w:type="pct"/>
            <w:vMerge w:val="restart"/>
            <w:vAlign w:val="center"/>
          </w:tcPr>
          <w:p w14:paraId="6458AA4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957" w:type="pct"/>
            <w:gridSpan w:val="3"/>
            <w:vAlign w:val="center"/>
          </w:tcPr>
          <w:p w14:paraId="5A33D33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2874" w:type="pct"/>
            <w:gridSpan w:val="9"/>
            <w:vAlign w:val="center"/>
          </w:tcPr>
          <w:p w14:paraId="02CAB3E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418" w:type="pct"/>
            <w:vMerge w:val="restart"/>
            <w:vAlign w:val="center"/>
          </w:tcPr>
          <w:p w14:paraId="2FA680D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5F06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vMerge w:val="continue"/>
            <w:vAlign w:val="center"/>
          </w:tcPr>
          <w:p w14:paraId="1CD1E1A0">
            <w:pPr>
              <w:widowControl/>
              <w:snapToGrid w:val="0"/>
              <w:spacing w:line="360" w:lineRule="auto"/>
              <w:jc w:val="center"/>
              <w:rPr>
                <w:rFonts w:hint="eastAsia" w:asciiTheme="minorEastAsia" w:hAnsiTheme="minorEastAsia" w:eastAsiaTheme="minorEastAsia" w:cstheme="minorEastAsia"/>
                <w:sz w:val="24"/>
                <w:szCs w:val="24"/>
              </w:rPr>
            </w:pPr>
          </w:p>
        </w:tc>
        <w:tc>
          <w:tcPr>
            <w:tcW w:w="368" w:type="pct"/>
            <w:vMerge w:val="continue"/>
            <w:vAlign w:val="center"/>
          </w:tcPr>
          <w:p w14:paraId="476E11D8">
            <w:pPr>
              <w:widowControl/>
              <w:snapToGrid w:val="0"/>
              <w:spacing w:line="360" w:lineRule="auto"/>
              <w:jc w:val="center"/>
              <w:rPr>
                <w:rFonts w:hint="eastAsia" w:asciiTheme="minorEastAsia" w:hAnsiTheme="minorEastAsia" w:eastAsiaTheme="minorEastAsia" w:cstheme="minorEastAsia"/>
                <w:sz w:val="24"/>
                <w:szCs w:val="24"/>
              </w:rPr>
            </w:pPr>
          </w:p>
        </w:tc>
        <w:tc>
          <w:tcPr>
            <w:tcW w:w="319" w:type="pct"/>
            <w:vAlign w:val="center"/>
          </w:tcPr>
          <w:p w14:paraId="3C23601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19" w:type="pct"/>
            <w:vAlign w:val="center"/>
          </w:tcPr>
          <w:p w14:paraId="162E6EE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19" w:type="pct"/>
            <w:vAlign w:val="center"/>
          </w:tcPr>
          <w:p w14:paraId="456C165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19" w:type="pct"/>
            <w:vAlign w:val="center"/>
          </w:tcPr>
          <w:p w14:paraId="4A7F4B5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19" w:type="pct"/>
            <w:vAlign w:val="center"/>
          </w:tcPr>
          <w:p w14:paraId="7D7192D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19" w:type="pct"/>
            <w:vAlign w:val="center"/>
          </w:tcPr>
          <w:p w14:paraId="685BE1D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19" w:type="pct"/>
            <w:vAlign w:val="center"/>
          </w:tcPr>
          <w:p w14:paraId="613E8CE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19" w:type="pct"/>
            <w:vAlign w:val="center"/>
          </w:tcPr>
          <w:p w14:paraId="44D01FC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19" w:type="pct"/>
            <w:vAlign w:val="center"/>
          </w:tcPr>
          <w:p w14:paraId="4979A60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19" w:type="pct"/>
            <w:vAlign w:val="center"/>
          </w:tcPr>
          <w:p w14:paraId="1320B33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19" w:type="pct"/>
            <w:vAlign w:val="center"/>
          </w:tcPr>
          <w:p w14:paraId="362558F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19" w:type="pct"/>
            <w:vAlign w:val="center"/>
          </w:tcPr>
          <w:p w14:paraId="44364C2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418" w:type="pct"/>
            <w:vMerge w:val="continue"/>
            <w:vAlign w:val="center"/>
          </w:tcPr>
          <w:p w14:paraId="1313E95D">
            <w:pPr>
              <w:widowControl/>
              <w:snapToGrid w:val="0"/>
              <w:spacing w:line="360" w:lineRule="auto"/>
              <w:jc w:val="center"/>
              <w:rPr>
                <w:rFonts w:hint="eastAsia" w:asciiTheme="minorEastAsia" w:hAnsiTheme="minorEastAsia" w:eastAsiaTheme="minorEastAsia" w:cstheme="minorEastAsia"/>
                <w:sz w:val="24"/>
                <w:szCs w:val="24"/>
              </w:rPr>
            </w:pPr>
          </w:p>
        </w:tc>
      </w:tr>
      <w:tr w14:paraId="2BE1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vAlign w:val="center"/>
          </w:tcPr>
          <w:p w14:paraId="5E3DFD8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68" w:type="pct"/>
            <w:vAlign w:val="center"/>
          </w:tcPr>
          <w:p w14:paraId="7F20105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w:t>
            </w:r>
          </w:p>
        </w:tc>
        <w:tc>
          <w:tcPr>
            <w:tcW w:w="319" w:type="pct"/>
            <w:vAlign w:val="center"/>
          </w:tcPr>
          <w:p w14:paraId="5353E69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9" w:type="pct"/>
            <w:vAlign w:val="center"/>
          </w:tcPr>
          <w:p w14:paraId="46C61D0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319" w:type="pct"/>
            <w:vAlign w:val="center"/>
          </w:tcPr>
          <w:p w14:paraId="5588C86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19" w:type="pct"/>
            <w:vAlign w:val="center"/>
          </w:tcPr>
          <w:p w14:paraId="67797D1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1425ED6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7DAC889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6C07F89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9" w:type="pct"/>
            <w:vAlign w:val="center"/>
          </w:tcPr>
          <w:p w14:paraId="2A68E89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9" w:type="pct"/>
            <w:vAlign w:val="center"/>
          </w:tcPr>
          <w:p w14:paraId="0372713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9" w:type="pct"/>
            <w:vAlign w:val="center"/>
          </w:tcPr>
          <w:p w14:paraId="2EAEC37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4CFDC89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113A699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418" w:type="pct"/>
            <w:vAlign w:val="center"/>
          </w:tcPr>
          <w:p w14:paraId="42A0CC5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78.8</w:t>
            </w:r>
          </w:p>
        </w:tc>
      </w:tr>
      <w:tr w14:paraId="2F6F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vAlign w:val="center"/>
          </w:tcPr>
          <w:p w14:paraId="0344F70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68" w:type="pct"/>
            <w:vAlign w:val="center"/>
          </w:tcPr>
          <w:p w14:paraId="1C39D07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w:t>
            </w:r>
          </w:p>
        </w:tc>
        <w:tc>
          <w:tcPr>
            <w:tcW w:w="319" w:type="pct"/>
            <w:vAlign w:val="center"/>
          </w:tcPr>
          <w:p w14:paraId="0025CFF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9" w:type="pct"/>
            <w:vAlign w:val="center"/>
          </w:tcPr>
          <w:p w14:paraId="61EF037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319" w:type="pct"/>
            <w:vAlign w:val="center"/>
          </w:tcPr>
          <w:p w14:paraId="06B6168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19" w:type="pct"/>
            <w:vAlign w:val="center"/>
          </w:tcPr>
          <w:p w14:paraId="6175836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3790A03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4C25B08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19" w:type="pct"/>
            <w:vAlign w:val="center"/>
          </w:tcPr>
          <w:p w14:paraId="21CBEBE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19" w:type="pct"/>
            <w:vAlign w:val="center"/>
          </w:tcPr>
          <w:p w14:paraId="3D54FD2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9" w:type="pct"/>
            <w:vAlign w:val="center"/>
          </w:tcPr>
          <w:p w14:paraId="6E5CD23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9" w:type="pct"/>
            <w:vAlign w:val="center"/>
          </w:tcPr>
          <w:p w14:paraId="4BCBC8D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4B75D81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73F5679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418" w:type="pct"/>
            <w:vAlign w:val="center"/>
          </w:tcPr>
          <w:p w14:paraId="21B422C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80.6</w:t>
            </w:r>
          </w:p>
        </w:tc>
      </w:tr>
      <w:tr w14:paraId="749F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 w:type="pct"/>
            <w:vAlign w:val="center"/>
          </w:tcPr>
          <w:p w14:paraId="24B88DE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68" w:type="pct"/>
            <w:vAlign w:val="center"/>
          </w:tcPr>
          <w:p w14:paraId="28AA2B6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w:t>
            </w:r>
          </w:p>
        </w:tc>
        <w:tc>
          <w:tcPr>
            <w:tcW w:w="319" w:type="pct"/>
            <w:vAlign w:val="center"/>
          </w:tcPr>
          <w:p w14:paraId="50F20F7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9" w:type="pct"/>
            <w:vAlign w:val="center"/>
          </w:tcPr>
          <w:p w14:paraId="67B2D43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319" w:type="pct"/>
            <w:vAlign w:val="center"/>
          </w:tcPr>
          <w:p w14:paraId="4EFD15C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19" w:type="pct"/>
            <w:vAlign w:val="center"/>
          </w:tcPr>
          <w:p w14:paraId="7F9D5E9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57E21DD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22D3A9E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19" w:type="pct"/>
            <w:vAlign w:val="center"/>
          </w:tcPr>
          <w:p w14:paraId="337ED5D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9" w:type="pct"/>
            <w:vAlign w:val="center"/>
          </w:tcPr>
          <w:p w14:paraId="18A1F7B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9" w:type="pct"/>
            <w:vAlign w:val="center"/>
          </w:tcPr>
          <w:p w14:paraId="7B72070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9" w:type="pct"/>
            <w:vAlign w:val="center"/>
          </w:tcPr>
          <w:p w14:paraId="01BDB35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9" w:type="pct"/>
            <w:vAlign w:val="center"/>
          </w:tcPr>
          <w:p w14:paraId="30541E8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19" w:type="pct"/>
            <w:vAlign w:val="center"/>
          </w:tcPr>
          <w:p w14:paraId="3550127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418" w:type="pct"/>
            <w:vAlign w:val="center"/>
          </w:tcPr>
          <w:p w14:paraId="5B044F8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80.6</w:t>
            </w:r>
          </w:p>
        </w:tc>
      </w:tr>
      <w:tr w14:paraId="5BC1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pct"/>
            <w:gridSpan w:val="13"/>
            <w:vAlign w:val="center"/>
          </w:tcPr>
          <w:p w14:paraId="15C7166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评审得分：80.0</w:t>
            </w:r>
          </w:p>
        </w:tc>
        <w:tc>
          <w:tcPr>
            <w:tcW w:w="738" w:type="pct"/>
            <w:gridSpan w:val="2"/>
            <w:vAlign w:val="center"/>
          </w:tcPr>
          <w:p w14:paraId="28B4533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排序：4</w:t>
            </w:r>
          </w:p>
        </w:tc>
      </w:tr>
    </w:tbl>
    <w:p w14:paraId="3E5F3C0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rPr>
        <w:t>备注：</w:t>
      </w:r>
      <w:r>
        <w:rPr>
          <w:rFonts w:hint="eastAsia" w:ascii="宋体" w:hAnsi="宋体" w:eastAsia="宋体" w:cs="宋体"/>
          <w:color w:val="auto"/>
          <w:sz w:val="24"/>
          <w:szCs w:val="24"/>
          <w:shd w:val="clear" w:color="auto" w:fill="FFFFFF"/>
          <w:lang w:val="en-US" w:eastAsia="zh-CN"/>
        </w:rPr>
        <w:t>1.磋商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133A0AF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5787443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磋商小组审查通过的企业类似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w:t>
      </w:r>
      <w:r>
        <w:rPr>
          <w:rFonts w:hint="eastAsia" w:ascii="宋体" w:hAnsi="宋体" w:cs="宋体"/>
          <w:color w:val="auto"/>
          <w:sz w:val="24"/>
          <w:szCs w:val="24"/>
          <w:shd w:val="clear" w:color="auto" w:fill="FFFFFF"/>
          <w:lang w:val="en-US" w:eastAsia="zh-CN"/>
        </w:rPr>
        <w:t>1、</w:t>
      </w:r>
      <w:r>
        <w:rPr>
          <w:rFonts w:hint="eastAsia" w:ascii="宋体" w:hAnsi="宋体" w:eastAsia="宋体" w:cs="宋体"/>
          <w:color w:val="auto"/>
          <w:sz w:val="24"/>
          <w:szCs w:val="24"/>
          <w:shd w:val="clear" w:color="auto" w:fill="FFFFFF"/>
          <w:lang w:val="en-US" w:eastAsia="zh-CN"/>
        </w:rPr>
        <w:t>郑州市二七区乐知百花幼儿园附属设施改造项目</w:t>
      </w:r>
      <w:r>
        <w:rPr>
          <w:rFonts w:hint="eastAsia" w:ascii="宋体" w:hAnsi="宋体" w:cs="宋体"/>
          <w:color w:val="auto"/>
          <w:sz w:val="24"/>
          <w:szCs w:val="24"/>
          <w:shd w:val="clear" w:color="auto" w:fill="FFFFFF"/>
          <w:lang w:val="en-US" w:eastAsia="zh-CN"/>
        </w:rPr>
        <w:t>；</w:t>
      </w:r>
      <w:r>
        <w:rPr>
          <w:rFonts w:hint="eastAsia" w:ascii="宋体" w:hAnsi="宋体" w:eastAsia="宋体" w:cs="宋体"/>
          <w:color w:val="auto"/>
          <w:sz w:val="24"/>
          <w:szCs w:val="24"/>
          <w:shd w:val="clear" w:color="auto" w:fill="FFFFFF"/>
          <w:lang w:val="en-US" w:eastAsia="zh-CN"/>
        </w:rPr>
        <w:t>2、郑州市实验幼儿园校园美化亮化工程项目</w:t>
      </w:r>
    </w:p>
    <w:p w14:paraId="6ECA38B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磋商小组审查未通过的企业类似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w:t>
      </w:r>
      <w:r>
        <w:rPr>
          <w:rFonts w:hint="eastAsia" w:ascii="宋体" w:hAnsi="宋体" w:cs="宋体"/>
          <w:color w:val="auto"/>
          <w:sz w:val="24"/>
          <w:szCs w:val="24"/>
          <w:shd w:val="clear" w:color="auto" w:fill="FFFFFF"/>
          <w:lang w:val="zh-CN" w:eastAsia="zh-CN"/>
        </w:rPr>
        <w:t>无</w:t>
      </w:r>
      <w:r>
        <w:rPr>
          <w:rFonts w:hint="eastAsia" w:ascii="宋体" w:hAnsi="宋体" w:eastAsia="宋体" w:cs="宋体"/>
          <w:color w:val="auto"/>
          <w:sz w:val="24"/>
          <w:szCs w:val="24"/>
          <w:shd w:val="clear" w:color="auto" w:fill="FFFFFF"/>
          <w:lang w:val="en-US" w:eastAsia="zh-CN"/>
        </w:rPr>
        <w:t xml:space="preserve"> </w:t>
      </w:r>
    </w:p>
    <w:p w14:paraId="6384771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1、杞县城市管理局陶庄后街海河增设污水管网项目</w:t>
      </w:r>
    </w:p>
    <w:p w14:paraId="4580F993">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cs="宋体"/>
          <w:color w:val="auto"/>
          <w:sz w:val="24"/>
          <w:szCs w:val="24"/>
          <w:shd w:val="clear" w:color="auto" w:fill="FFFFFF"/>
          <w:lang w:val="zh-CN" w:eastAsia="zh-CN"/>
        </w:rPr>
        <w:t>无</w:t>
      </w:r>
    </w:p>
    <w:p w14:paraId="0B1E35B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3.响应文件中填报的拟投入本项目团队人员</w:t>
      </w:r>
    </w:p>
    <w:p w14:paraId="4D95AF9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磋商小组审查通过的：施工员:侯传奇、质量员：郎宗营、安全员：卢柳旭、材料员：王瑞、资料员：赵丹</w:t>
      </w:r>
    </w:p>
    <w:p w14:paraId="358B0F4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bCs/>
          <w:sz w:val="24"/>
        </w:rPr>
      </w:pPr>
      <w:r>
        <w:rPr>
          <w:rFonts w:hint="eastAsia" w:ascii="宋体" w:hAnsi="宋体" w:eastAsia="宋体" w:cs="宋体"/>
          <w:color w:val="auto"/>
          <w:sz w:val="24"/>
          <w:szCs w:val="24"/>
          <w:shd w:val="clear" w:color="auto" w:fill="FFFFFF"/>
          <w:lang w:val="en-US" w:eastAsia="zh-CN"/>
        </w:rPr>
        <w:t>磋商小组审查未通过的：</w:t>
      </w:r>
      <w:r>
        <w:rPr>
          <w:rFonts w:hint="eastAsia" w:ascii="宋体" w:hAnsi="宋体" w:cs="宋体"/>
          <w:color w:val="auto"/>
          <w:sz w:val="24"/>
          <w:szCs w:val="24"/>
          <w:shd w:val="clear" w:color="auto" w:fill="FFFFFF"/>
          <w:lang w:val="zh-CN" w:eastAsia="zh-CN"/>
        </w:rPr>
        <w:t>无</w:t>
      </w:r>
    </w:p>
    <w:tbl>
      <w:tblPr>
        <w:tblStyle w:val="10"/>
        <w:tblW w:w="5213" w:type="pct"/>
        <w:tblInd w:w="-3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816"/>
        <w:gridCol w:w="696"/>
        <w:gridCol w:w="696"/>
        <w:gridCol w:w="696"/>
        <w:gridCol w:w="696"/>
        <w:gridCol w:w="696"/>
        <w:gridCol w:w="696"/>
        <w:gridCol w:w="696"/>
        <w:gridCol w:w="696"/>
        <w:gridCol w:w="696"/>
        <w:gridCol w:w="696"/>
        <w:gridCol w:w="696"/>
        <w:gridCol w:w="696"/>
        <w:gridCol w:w="936"/>
      </w:tblGrid>
      <w:tr w14:paraId="439C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5"/>
            <w:vAlign w:val="center"/>
          </w:tcPr>
          <w:p w14:paraId="043C66D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泓瀚缘(河南)建设集团有限公司</w:t>
            </w:r>
          </w:p>
        </w:tc>
      </w:tr>
      <w:tr w14:paraId="0659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Merge w:val="restart"/>
            <w:vAlign w:val="center"/>
          </w:tcPr>
          <w:p w14:paraId="5AAB9D5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65" w:type="pct"/>
            <w:vMerge w:val="restart"/>
            <w:vAlign w:val="center"/>
          </w:tcPr>
          <w:p w14:paraId="3EFD79B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948" w:type="pct"/>
            <w:gridSpan w:val="3"/>
            <w:vAlign w:val="center"/>
          </w:tcPr>
          <w:p w14:paraId="02B326B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2847" w:type="pct"/>
            <w:gridSpan w:val="9"/>
            <w:vAlign w:val="center"/>
          </w:tcPr>
          <w:p w14:paraId="130F0AC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414" w:type="pct"/>
            <w:vMerge w:val="restart"/>
            <w:vAlign w:val="center"/>
          </w:tcPr>
          <w:p w14:paraId="02B5403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4732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Merge w:val="continue"/>
            <w:vAlign w:val="center"/>
          </w:tcPr>
          <w:p w14:paraId="74640250">
            <w:pPr>
              <w:widowControl/>
              <w:snapToGrid w:val="0"/>
              <w:spacing w:line="360" w:lineRule="auto"/>
              <w:jc w:val="center"/>
              <w:rPr>
                <w:rFonts w:hint="eastAsia" w:asciiTheme="minorEastAsia" w:hAnsiTheme="minorEastAsia" w:eastAsiaTheme="minorEastAsia" w:cstheme="minorEastAsia"/>
                <w:sz w:val="24"/>
                <w:szCs w:val="24"/>
              </w:rPr>
            </w:pPr>
          </w:p>
        </w:tc>
        <w:tc>
          <w:tcPr>
            <w:tcW w:w="365" w:type="pct"/>
            <w:vMerge w:val="continue"/>
            <w:vAlign w:val="center"/>
          </w:tcPr>
          <w:p w14:paraId="6827F50A">
            <w:pPr>
              <w:widowControl/>
              <w:snapToGrid w:val="0"/>
              <w:spacing w:line="360" w:lineRule="auto"/>
              <w:jc w:val="center"/>
              <w:rPr>
                <w:rFonts w:hint="eastAsia" w:asciiTheme="minorEastAsia" w:hAnsiTheme="minorEastAsia" w:eastAsiaTheme="minorEastAsia" w:cstheme="minorEastAsia"/>
                <w:sz w:val="24"/>
                <w:szCs w:val="24"/>
              </w:rPr>
            </w:pPr>
          </w:p>
        </w:tc>
        <w:tc>
          <w:tcPr>
            <w:tcW w:w="316" w:type="pct"/>
            <w:vAlign w:val="center"/>
          </w:tcPr>
          <w:p w14:paraId="1E0312D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16" w:type="pct"/>
            <w:vAlign w:val="center"/>
          </w:tcPr>
          <w:p w14:paraId="36C364E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16" w:type="pct"/>
            <w:vAlign w:val="center"/>
          </w:tcPr>
          <w:p w14:paraId="76D78A1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16" w:type="pct"/>
            <w:vAlign w:val="center"/>
          </w:tcPr>
          <w:p w14:paraId="733DE79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16" w:type="pct"/>
            <w:vAlign w:val="center"/>
          </w:tcPr>
          <w:p w14:paraId="7F837AA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16" w:type="pct"/>
            <w:vAlign w:val="center"/>
          </w:tcPr>
          <w:p w14:paraId="3C6778A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16" w:type="pct"/>
            <w:vAlign w:val="center"/>
          </w:tcPr>
          <w:p w14:paraId="1E712B4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16" w:type="pct"/>
            <w:vAlign w:val="center"/>
          </w:tcPr>
          <w:p w14:paraId="3D0989C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16" w:type="pct"/>
            <w:vAlign w:val="center"/>
          </w:tcPr>
          <w:p w14:paraId="7136577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16" w:type="pct"/>
            <w:vAlign w:val="center"/>
          </w:tcPr>
          <w:p w14:paraId="3681374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16" w:type="pct"/>
            <w:vAlign w:val="center"/>
          </w:tcPr>
          <w:p w14:paraId="43A14A3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16" w:type="pct"/>
            <w:vAlign w:val="center"/>
          </w:tcPr>
          <w:p w14:paraId="428CAFC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414" w:type="pct"/>
            <w:vMerge w:val="continue"/>
            <w:vAlign w:val="center"/>
          </w:tcPr>
          <w:p w14:paraId="49969AA3">
            <w:pPr>
              <w:widowControl/>
              <w:snapToGrid w:val="0"/>
              <w:spacing w:line="360" w:lineRule="auto"/>
              <w:jc w:val="center"/>
              <w:rPr>
                <w:rFonts w:hint="eastAsia" w:asciiTheme="minorEastAsia" w:hAnsiTheme="minorEastAsia" w:eastAsiaTheme="minorEastAsia" w:cstheme="minorEastAsia"/>
                <w:sz w:val="24"/>
                <w:szCs w:val="24"/>
              </w:rPr>
            </w:pPr>
          </w:p>
        </w:tc>
      </w:tr>
      <w:tr w14:paraId="2BBC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536406B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65" w:type="pct"/>
            <w:vAlign w:val="center"/>
          </w:tcPr>
          <w:p w14:paraId="3D5F13F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w:t>
            </w:r>
          </w:p>
        </w:tc>
        <w:tc>
          <w:tcPr>
            <w:tcW w:w="316" w:type="pct"/>
            <w:vAlign w:val="center"/>
          </w:tcPr>
          <w:p w14:paraId="6177F85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6" w:type="pct"/>
            <w:vAlign w:val="center"/>
          </w:tcPr>
          <w:p w14:paraId="1E2E729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6" w:type="pct"/>
            <w:vAlign w:val="center"/>
          </w:tcPr>
          <w:p w14:paraId="0CA668A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16" w:type="pct"/>
            <w:vAlign w:val="center"/>
          </w:tcPr>
          <w:p w14:paraId="7D2B2F4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16" w:type="pct"/>
            <w:vAlign w:val="center"/>
          </w:tcPr>
          <w:p w14:paraId="04AEA43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4033863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16" w:type="pct"/>
            <w:vAlign w:val="center"/>
          </w:tcPr>
          <w:p w14:paraId="7AE6713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6" w:type="pct"/>
            <w:vAlign w:val="center"/>
          </w:tcPr>
          <w:p w14:paraId="71B9A92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6" w:type="pct"/>
            <w:vAlign w:val="center"/>
          </w:tcPr>
          <w:p w14:paraId="1369A2F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6" w:type="pct"/>
            <w:vAlign w:val="center"/>
          </w:tcPr>
          <w:p w14:paraId="5B99444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47A2D34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2F4637C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414" w:type="pct"/>
            <w:vAlign w:val="center"/>
          </w:tcPr>
          <w:p w14:paraId="6E7D00A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88.6</w:t>
            </w:r>
          </w:p>
        </w:tc>
      </w:tr>
      <w:tr w14:paraId="2C5B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0C748A9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65" w:type="pct"/>
            <w:vAlign w:val="center"/>
          </w:tcPr>
          <w:p w14:paraId="3141D96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w:t>
            </w:r>
          </w:p>
        </w:tc>
        <w:tc>
          <w:tcPr>
            <w:tcW w:w="316" w:type="pct"/>
            <w:vAlign w:val="center"/>
          </w:tcPr>
          <w:p w14:paraId="6397AAC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6" w:type="pct"/>
            <w:vAlign w:val="center"/>
          </w:tcPr>
          <w:p w14:paraId="21A13AB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6" w:type="pct"/>
            <w:vAlign w:val="center"/>
          </w:tcPr>
          <w:p w14:paraId="4EEB915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16" w:type="pct"/>
            <w:vAlign w:val="center"/>
          </w:tcPr>
          <w:p w14:paraId="3770715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16" w:type="pct"/>
            <w:vAlign w:val="center"/>
          </w:tcPr>
          <w:p w14:paraId="51AABF9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16" w:type="pct"/>
            <w:vAlign w:val="center"/>
          </w:tcPr>
          <w:p w14:paraId="31D9CDD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16" w:type="pct"/>
            <w:vAlign w:val="center"/>
          </w:tcPr>
          <w:p w14:paraId="51E25E3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16" w:type="pct"/>
            <w:vAlign w:val="center"/>
          </w:tcPr>
          <w:p w14:paraId="340F273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16" w:type="pct"/>
            <w:vAlign w:val="center"/>
          </w:tcPr>
          <w:p w14:paraId="4F77994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6" w:type="pct"/>
            <w:vAlign w:val="center"/>
          </w:tcPr>
          <w:p w14:paraId="5A34F40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30AD6CA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7237A7F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414" w:type="pct"/>
            <w:vAlign w:val="center"/>
          </w:tcPr>
          <w:p w14:paraId="530E4F5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88.6</w:t>
            </w:r>
          </w:p>
        </w:tc>
      </w:tr>
      <w:tr w14:paraId="342A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458AD95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65" w:type="pct"/>
            <w:vAlign w:val="center"/>
          </w:tcPr>
          <w:p w14:paraId="4130E5A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30.0</w:t>
            </w:r>
          </w:p>
        </w:tc>
        <w:tc>
          <w:tcPr>
            <w:tcW w:w="316" w:type="pct"/>
            <w:vAlign w:val="center"/>
          </w:tcPr>
          <w:p w14:paraId="684446B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6" w:type="pct"/>
            <w:vAlign w:val="center"/>
          </w:tcPr>
          <w:p w14:paraId="4857D16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16" w:type="pct"/>
            <w:vAlign w:val="center"/>
          </w:tcPr>
          <w:p w14:paraId="0A32851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16" w:type="pct"/>
            <w:vAlign w:val="center"/>
          </w:tcPr>
          <w:p w14:paraId="6D6FB4F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3D47892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0C671C9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7384FA7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6" w:type="pct"/>
            <w:vAlign w:val="center"/>
          </w:tcPr>
          <w:p w14:paraId="46774C8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6" w:type="pct"/>
            <w:vAlign w:val="center"/>
          </w:tcPr>
          <w:p w14:paraId="685E67D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16" w:type="pct"/>
            <w:vAlign w:val="center"/>
          </w:tcPr>
          <w:p w14:paraId="7E416A4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2DAA5E5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16" w:type="pct"/>
            <w:vAlign w:val="center"/>
          </w:tcPr>
          <w:p w14:paraId="6E22212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414" w:type="pct"/>
            <w:vAlign w:val="center"/>
          </w:tcPr>
          <w:p w14:paraId="5F9C3EA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85.6</w:t>
            </w:r>
          </w:p>
        </w:tc>
      </w:tr>
      <w:tr w14:paraId="0EE5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8" w:type="pct"/>
            <w:gridSpan w:val="13"/>
            <w:vAlign w:val="center"/>
          </w:tcPr>
          <w:p w14:paraId="702F550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评审得分：87.6</w:t>
            </w:r>
          </w:p>
        </w:tc>
        <w:tc>
          <w:tcPr>
            <w:tcW w:w="731" w:type="pct"/>
            <w:gridSpan w:val="2"/>
            <w:vAlign w:val="center"/>
          </w:tcPr>
          <w:p w14:paraId="3D52BE6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排序：2</w:t>
            </w:r>
          </w:p>
        </w:tc>
      </w:tr>
    </w:tbl>
    <w:p w14:paraId="036BD9D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rPr>
        <w:t>备注：</w:t>
      </w:r>
    </w:p>
    <w:p w14:paraId="257A5E7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1.磋商</w:t>
      </w:r>
      <w:r>
        <w:rPr>
          <w:rFonts w:hint="eastAsia" w:ascii="宋体" w:hAnsi="宋体" w:eastAsia="宋体" w:cs="宋体"/>
          <w:color w:val="auto"/>
          <w:sz w:val="24"/>
          <w:szCs w:val="24"/>
          <w:shd w:val="clear" w:color="auto" w:fill="FFFFFF"/>
        </w:rPr>
        <w:t>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2AA82C7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48F391B5">
      <w:pPr>
        <w:keepNext w:val="0"/>
        <w:keepLines w:val="0"/>
        <w:pageBreakBefore w:val="0"/>
        <w:kinsoku/>
        <w:wordWrap/>
        <w:overflowPunct/>
        <w:topLinePunct w:val="0"/>
        <w:autoSpaceDE/>
        <w:autoSpaceDN/>
        <w:bidi w:val="0"/>
        <w:adjustRightInd/>
        <w:snapToGrid/>
        <w:spacing w:beforeAutospacing="0" w:afterAutospacing="0" w:line="520" w:lineRule="exact"/>
        <w:ind w:left="555" w:leftChars="150" w:hanging="240" w:hangingChars="1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：1、郑州高新区市政基础设施工程项目绿化提升分包；2、高途智成港项目公园绿化景观提升工程</w:t>
      </w:r>
    </w:p>
    <w:p w14:paraId="69041FD3">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磋商小组审查未通过的企业类似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cs="宋体"/>
          <w:color w:val="auto"/>
          <w:sz w:val="24"/>
          <w:szCs w:val="24"/>
          <w:shd w:val="clear" w:color="auto" w:fill="FFFFFF"/>
          <w:lang w:val="zh-CN" w:eastAsia="zh-CN"/>
        </w:rPr>
        <w:t>无</w:t>
      </w:r>
    </w:p>
    <w:p w14:paraId="79EF191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1、碧桂园西流湖颂庭项目街坊路市政道路工程</w:t>
      </w:r>
      <w:r>
        <w:rPr>
          <w:rFonts w:hint="eastAsia" w:ascii="宋体" w:hAnsi="宋体" w:cs="宋体"/>
          <w:color w:val="auto"/>
          <w:sz w:val="24"/>
          <w:szCs w:val="24"/>
          <w:shd w:val="clear" w:color="auto" w:fill="FFFFFF"/>
          <w:lang w:val="en-US" w:eastAsia="zh-CN"/>
        </w:rPr>
        <w:t>；</w:t>
      </w:r>
      <w:r>
        <w:rPr>
          <w:rFonts w:hint="eastAsia" w:ascii="宋体" w:hAnsi="宋体" w:eastAsia="宋体" w:cs="宋体"/>
          <w:color w:val="auto"/>
          <w:sz w:val="24"/>
          <w:szCs w:val="24"/>
          <w:shd w:val="clear" w:color="auto" w:fill="FFFFFF"/>
          <w:lang w:val="en-US" w:eastAsia="zh-CN"/>
        </w:rPr>
        <w:t>2、高途智成港项目(一期)园林景观工程</w:t>
      </w:r>
      <w:r>
        <w:rPr>
          <w:rFonts w:hint="eastAsia" w:ascii="宋体" w:hAnsi="宋体" w:cs="宋体"/>
          <w:color w:val="auto"/>
          <w:sz w:val="24"/>
          <w:szCs w:val="24"/>
          <w:shd w:val="clear" w:color="auto" w:fill="FFFFFF"/>
          <w:lang w:val="en-US" w:eastAsia="zh-CN"/>
        </w:rPr>
        <w:t>；</w:t>
      </w:r>
      <w:r>
        <w:rPr>
          <w:rFonts w:hint="eastAsia" w:ascii="宋体" w:hAnsi="宋体" w:eastAsia="宋体" w:cs="宋体"/>
          <w:color w:val="auto"/>
          <w:sz w:val="24"/>
          <w:szCs w:val="24"/>
          <w:shd w:val="clear" w:color="auto" w:fill="FFFFFF"/>
          <w:lang w:val="en-US" w:eastAsia="zh-CN"/>
        </w:rPr>
        <w:t>3、郑州中原区建设路街道碧桂园项目11号地块及12号地块临时道路工程</w:t>
      </w:r>
    </w:p>
    <w:p w14:paraId="04FDA1E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zh-CN"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cs="宋体"/>
          <w:color w:val="auto"/>
          <w:sz w:val="24"/>
          <w:szCs w:val="24"/>
          <w:shd w:val="clear" w:color="auto" w:fill="FFFFFF"/>
          <w:lang w:val="zh-CN" w:eastAsia="zh-CN"/>
        </w:rPr>
        <w:t>无</w:t>
      </w:r>
    </w:p>
    <w:p w14:paraId="05670974">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cs="宋体"/>
          <w:color w:val="auto"/>
          <w:sz w:val="24"/>
          <w:szCs w:val="24"/>
          <w:shd w:val="clear" w:color="auto" w:fill="FFFFFF"/>
          <w:lang w:val="en-US" w:eastAsia="zh-CN"/>
        </w:rPr>
        <w:t>3、</w:t>
      </w:r>
      <w:r>
        <w:rPr>
          <w:rFonts w:hint="eastAsia" w:ascii="宋体" w:hAnsi="宋体" w:eastAsia="宋体" w:cs="宋体"/>
          <w:color w:val="auto"/>
          <w:sz w:val="24"/>
          <w:szCs w:val="24"/>
          <w:shd w:val="clear" w:color="auto" w:fill="FFFFFF"/>
          <w:lang w:val="en-US" w:eastAsia="zh-CN"/>
        </w:rPr>
        <w:t>响应文件中填报的拟投入本项目团队人员</w:t>
      </w:r>
    </w:p>
    <w:p w14:paraId="765896A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磋商小组审查通过的：施工员：邓亚军、质量员：郑丽亚、安全员：张春光、材料员：闫子林、资料员：任志礼</w:t>
      </w:r>
    </w:p>
    <w:p w14:paraId="5211CD64">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bCs/>
          <w:sz w:val="24"/>
        </w:rPr>
      </w:pPr>
      <w:r>
        <w:rPr>
          <w:rFonts w:hint="eastAsia" w:ascii="宋体" w:hAnsi="宋体" w:eastAsia="宋体" w:cs="宋体"/>
          <w:color w:val="auto"/>
          <w:sz w:val="24"/>
          <w:szCs w:val="24"/>
          <w:shd w:val="clear" w:color="auto" w:fill="FFFFFF"/>
          <w:lang w:val="en-US" w:eastAsia="zh-CN"/>
        </w:rPr>
        <w:t>磋商小组审查未通过的：</w:t>
      </w:r>
      <w:r>
        <w:rPr>
          <w:rFonts w:hint="eastAsia" w:ascii="宋体" w:hAnsi="宋体" w:cs="宋体"/>
          <w:color w:val="auto"/>
          <w:sz w:val="24"/>
          <w:szCs w:val="24"/>
          <w:shd w:val="clear" w:color="auto" w:fill="FFFFFF"/>
          <w:lang w:val="zh-CN" w:eastAsia="zh-CN"/>
        </w:rPr>
        <w:t>无</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766"/>
        <w:gridCol w:w="657"/>
        <w:gridCol w:w="657"/>
        <w:gridCol w:w="657"/>
        <w:gridCol w:w="657"/>
        <w:gridCol w:w="657"/>
        <w:gridCol w:w="657"/>
        <w:gridCol w:w="657"/>
        <w:gridCol w:w="657"/>
        <w:gridCol w:w="657"/>
        <w:gridCol w:w="657"/>
        <w:gridCol w:w="657"/>
        <w:gridCol w:w="657"/>
        <w:gridCol w:w="877"/>
      </w:tblGrid>
      <w:tr w14:paraId="62ECF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0" w:type="pct"/>
            <w:gridSpan w:val="15"/>
            <w:vAlign w:val="center"/>
          </w:tcPr>
          <w:p w14:paraId="66292F2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河南伍勤建设有限公司</w:t>
            </w:r>
          </w:p>
        </w:tc>
      </w:tr>
      <w:tr w14:paraId="59C8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restart"/>
            <w:vAlign w:val="center"/>
          </w:tcPr>
          <w:p w14:paraId="02F14E6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50" w:type="pct"/>
            <w:vMerge w:val="restart"/>
            <w:vAlign w:val="center"/>
          </w:tcPr>
          <w:p w14:paraId="2350665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350" w:type="pct"/>
            <w:gridSpan w:val="3"/>
            <w:vAlign w:val="center"/>
          </w:tcPr>
          <w:p w14:paraId="0DB04CA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350" w:type="pct"/>
            <w:gridSpan w:val="9"/>
            <w:vAlign w:val="center"/>
          </w:tcPr>
          <w:p w14:paraId="75CE1CA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350" w:type="pct"/>
            <w:vMerge w:val="restart"/>
            <w:vAlign w:val="center"/>
          </w:tcPr>
          <w:p w14:paraId="3521499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3B5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continue"/>
            <w:vAlign w:val="center"/>
          </w:tcPr>
          <w:p w14:paraId="740B71AC">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Merge w:val="continue"/>
            <w:vAlign w:val="center"/>
          </w:tcPr>
          <w:p w14:paraId="2154C1D7">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Align w:val="center"/>
          </w:tcPr>
          <w:p w14:paraId="523465B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50" w:type="pct"/>
            <w:vAlign w:val="center"/>
          </w:tcPr>
          <w:p w14:paraId="08D0B8D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50" w:type="pct"/>
            <w:vAlign w:val="center"/>
          </w:tcPr>
          <w:p w14:paraId="1B7D7DF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50" w:type="pct"/>
            <w:vAlign w:val="center"/>
          </w:tcPr>
          <w:p w14:paraId="2023693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50" w:type="pct"/>
            <w:vAlign w:val="center"/>
          </w:tcPr>
          <w:p w14:paraId="44D9162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50" w:type="pct"/>
            <w:vAlign w:val="center"/>
          </w:tcPr>
          <w:p w14:paraId="4FB1B03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50" w:type="pct"/>
            <w:vAlign w:val="center"/>
          </w:tcPr>
          <w:p w14:paraId="44354E5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50" w:type="pct"/>
            <w:vAlign w:val="center"/>
          </w:tcPr>
          <w:p w14:paraId="5C8E61E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50" w:type="pct"/>
            <w:vAlign w:val="center"/>
          </w:tcPr>
          <w:p w14:paraId="17168CB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50" w:type="pct"/>
            <w:vAlign w:val="center"/>
          </w:tcPr>
          <w:p w14:paraId="01C9713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50" w:type="pct"/>
            <w:vAlign w:val="center"/>
          </w:tcPr>
          <w:p w14:paraId="59CE305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50" w:type="pct"/>
            <w:vAlign w:val="center"/>
          </w:tcPr>
          <w:p w14:paraId="1BF4713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350" w:type="pct"/>
            <w:vMerge w:val="continue"/>
            <w:vAlign w:val="center"/>
          </w:tcPr>
          <w:p w14:paraId="01901E8A">
            <w:pPr>
              <w:widowControl/>
              <w:snapToGrid w:val="0"/>
              <w:spacing w:line="360" w:lineRule="auto"/>
              <w:jc w:val="center"/>
              <w:rPr>
                <w:rFonts w:hint="eastAsia" w:asciiTheme="minorEastAsia" w:hAnsiTheme="minorEastAsia" w:eastAsiaTheme="minorEastAsia" w:cstheme="minorEastAsia"/>
                <w:sz w:val="24"/>
                <w:szCs w:val="24"/>
              </w:rPr>
            </w:pPr>
          </w:p>
        </w:tc>
      </w:tr>
      <w:tr w14:paraId="1205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6706A97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50" w:type="pct"/>
            <w:vAlign w:val="center"/>
          </w:tcPr>
          <w:p w14:paraId="3E2A145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27.85</w:t>
            </w:r>
          </w:p>
        </w:tc>
        <w:tc>
          <w:tcPr>
            <w:tcW w:w="350" w:type="pct"/>
            <w:vAlign w:val="center"/>
          </w:tcPr>
          <w:p w14:paraId="5821612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7F29C06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4703911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45FB8C9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8AD5C6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61F3484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0A20178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54C71F6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1E00148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7E4D6F7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0F85D89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1117F9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350" w:type="pct"/>
            <w:vAlign w:val="center"/>
          </w:tcPr>
          <w:p w14:paraId="2CFAE32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78.05</w:t>
            </w:r>
          </w:p>
        </w:tc>
      </w:tr>
      <w:tr w14:paraId="2150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50A1838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50" w:type="pct"/>
            <w:vAlign w:val="center"/>
          </w:tcPr>
          <w:p w14:paraId="3CCC142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27.85</w:t>
            </w:r>
          </w:p>
        </w:tc>
        <w:tc>
          <w:tcPr>
            <w:tcW w:w="350" w:type="pct"/>
            <w:vAlign w:val="center"/>
          </w:tcPr>
          <w:p w14:paraId="0481A8B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3297915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12FDD78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47F32D5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7E1104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2A3E4AB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2A9A9AF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504358D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353E2CC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60D92CD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2529EE3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85CB82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350" w:type="pct"/>
            <w:vAlign w:val="center"/>
          </w:tcPr>
          <w:p w14:paraId="0CE9449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78.05</w:t>
            </w:r>
          </w:p>
        </w:tc>
      </w:tr>
      <w:tr w14:paraId="7C29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1EE9E4B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50" w:type="pct"/>
            <w:vAlign w:val="center"/>
          </w:tcPr>
          <w:p w14:paraId="0634C01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27.85</w:t>
            </w:r>
          </w:p>
        </w:tc>
        <w:tc>
          <w:tcPr>
            <w:tcW w:w="350" w:type="pct"/>
            <w:vAlign w:val="center"/>
          </w:tcPr>
          <w:p w14:paraId="33AF25E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4AF6E51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5691C4A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2B65627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7B6AEF0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5314E25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42E56A2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654B50A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3D4DF16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0EFF0D9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074537E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04557F6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350" w:type="pct"/>
            <w:vAlign w:val="center"/>
          </w:tcPr>
          <w:p w14:paraId="2004A0A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82.25</w:t>
            </w:r>
          </w:p>
        </w:tc>
      </w:tr>
      <w:tr w14:paraId="6528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3"/>
            <w:vAlign w:val="center"/>
          </w:tcPr>
          <w:p w14:paraId="7D5B934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评审得分：79.45</w:t>
            </w:r>
          </w:p>
        </w:tc>
        <w:tc>
          <w:tcPr>
            <w:tcW w:w="350" w:type="pct"/>
            <w:gridSpan w:val="2"/>
            <w:vAlign w:val="center"/>
          </w:tcPr>
          <w:p w14:paraId="7B4E99F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排序：6</w:t>
            </w:r>
          </w:p>
        </w:tc>
      </w:tr>
    </w:tbl>
    <w:p w14:paraId="5A34C75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rPr>
        <w:t>备注：</w:t>
      </w:r>
    </w:p>
    <w:p w14:paraId="4F2AB65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1.磋商</w:t>
      </w:r>
      <w:r>
        <w:rPr>
          <w:rFonts w:hint="eastAsia" w:ascii="宋体" w:hAnsi="宋体" w:eastAsia="宋体" w:cs="宋体"/>
          <w:color w:val="auto"/>
          <w:sz w:val="24"/>
          <w:szCs w:val="24"/>
          <w:shd w:val="clear" w:color="auto" w:fill="FFFFFF"/>
        </w:rPr>
        <w:t>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435007A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3624C914">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w:t>
      </w:r>
      <w:r>
        <w:rPr>
          <w:rFonts w:hint="eastAsia" w:ascii="宋体" w:hAnsi="宋体" w:cs="宋体"/>
          <w:color w:val="auto"/>
          <w:sz w:val="24"/>
          <w:szCs w:val="24"/>
          <w:shd w:val="clear" w:color="auto" w:fill="FFFFFF"/>
          <w:lang w:val="en-US" w:eastAsia="zh-CN"/>
        </w:rPr>
        <w:t>1、</w:t>
      </w:r>
      <w:r>
        <w:rPr>
          <w:rFonts w:hint="eastAsia" w:ascii="宋体" w:hAnsi="宋体" w:eastAsia="宋体" w:cs="宋体"/>
          <w:color w:val="auto"/>
          <w:sz w:val="24"/>
          <w:szCs w:val="24"/>
          <w:shd w:val="clear" w:color="auto" w:fill="FFFFFF"/>
          <w:lang w:val="en-US" w:eastAsia="zh-CN"/>
        </w:rPr>
        <w:t>大同亿鑫公共自行车分公司办公及库房场所房屋修缮改造工程2、郑州大学体育学院校本部学生宿舍升级改造修缮项目；3、郑州大学体育学院2024年暑期零星维修项目；4、中国邮政集团有限公司河南省新蔡县分公司黄楼支局改造项目</w:t>
      </w:r>
    </w:p>
    <w:p w14:paraId="0793B58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w:t>
      </w:r>
      <w:r>
        <w:rPr>
          <w:rFonts w:hint="eastAsia" w:ascii="宋体" w:hAnsi="宋体" w:eastAsia="宋体" w:cs="宋体"/>
          <w:color w:val="000000"/>
          <w:sz w:val="24"/>
          <w:szCs w:val="24"/>
          <w:lang w:val="en-US" w:eastAsia="zh-CN"/>
        </w:rPr>
        <w:t>企业类似</w:t>
      </w:r>
      <w:r>
        <w:rPr>
          <w:rFonts w:hint="eastAsia" w:ascii="宋体" w:hAnsi="宋体" w:eastAsia="宋体" w:cs="宋体"/>
          <w:color w:val="000000"/>
          <w:sz w:val="24"/>
          <w:szCs w:val="24"/>
          <w:lang w:val="zh-CN"/>
        </w:rPr>
        <w:t>业绩</w:t>
      </w:r>
      <w:r>
        <w:rPr>
          <w:rFonts w:hint="eastAsia" w:ascii="宋体" w:hAnsi="宋体" w:eastAsia="宋体" w:cs="宋体"/>
          <w:color w:val="auto"/>
          <w:sz w:val="24"/>
          <w:szCs w:val="24"/>
          <w:shd w:val="clear" w:color="auto" w:fill="FFFFFF"/>
          <w:lang w:val="en-US" w:eastAsia="zh-CN"/>
        </w:rPr>
        <w:t>：</w:t>
      </w:r>
      <w:r>
        <w:rPr>
          <w:rFonts w:hint="eastAsia" w:ascii="宋体" w:hAnsi="宋体" w:cs="宋体"/>
          <w:color w:val="auto"/>
          <w:sz w:val="24"/>
          <w:szCs w:val="24"/>
          <w:shd w:val="clear" w:color="auto" w:fill="FFFFFF"/>
          <w:lang w:val="en-US" w:eastAsia="zh-CN"/>
        </w:rPr>
        <w:t>无</w:t>
      </w:r>
      <w:r>
        <w:rPr>
          <w:rFonts w:hint="eastAsia" w:ascii="宋体" w:hAnsi="宋体" w:eastAsia="宋体" w:cs="宋体"/>
          <w:color w:val="auto"/>
          <w:sz w:val="24"/>
          <w:szCs w:val="24"/>
          <w:shd w:val="clear" w:color="auto" w:fill="FFFFFF"/>
          <w:lang w:val="en-US" w:eastAsia="zh-CN"/>
        </w:rPr>
        <w:t xml:space="preserve"> </w:t>
      </w:r>
    </w:p>
    <w:p w14:paraId="10E3D1D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业绩：无</w:t>
      </w:r>
    </w:p>
    <w:p w14:paraId="432EA11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业绩：无</w:t>
      </w:r>
    </w:p>
    <w:p w14:paraId="5389393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3.响应文件中填报的拟投入本项目团队人员</w:t>
      </w:r>
    </w:p>
    <w:p w14:paraId="2A757E5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磋商小组审查通过的：施工员：栗现朝、质量员：李玲玲、安全员：方宇波、材料员：王晓丽、资料员：冯帅涛</w:t>
      </w:r>
    </w:p>
    <w:p w14:paraId="4CE136B3">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bCs/>
          <w:sz w:val="24"/>
        </w:rPr>
      </w:pPr>
      <w:r>
        <w:rPr>
          <w:rFonts w:hint="eastAsia" w:ascii="宋体" w:hAnsi="宋体" w:eastAsia="宋体" w:cs="宋体"/>
          <w:color w:val="auto"/>
          <w:sz w:val="24"/>
          <w:szCs w:val="24"/>
          <w:shd w:val="clear" w:color="auto" w:fill="FFFFFF"/>
          <w:lang w:val="en-US" w:eastAsia="zh-CN"/>
        </w:rPr>
        <w:t>磋商小组审查未通过的：</w:t>
      </w:r>
      <w:r>
        <w:rPr>
          <w:rFonts w:hint="eastAsia" w:ascii="宋体" w:hAnsi="宋体" w:cs="宋体"/>
          <w:color w:val="auto"/>
          <w:sz w:val="24"/>
          <w:szCs w:val="24"/>
          <w:shd w:val="clear" w:color="auto" w:fill="FFFFFF"/>
          <w:lang w:val="en-US" w:eastAsia="zh-CN"/>
        </w:rPr>
        <w:t>无</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766"/>
        <w:gridCol w:w="657"/>
        <w:gridCol w:w="657"/>
        <w:gridCol w:w="657"/>
        <w:gridCol w:w="657"/>
        <w:gridCol w:w="657"/>
        <w:gridCol w:w="657"/>
        <w:gridCol w:w="657"/>
        <w:gridCol w:w="657"/>
        <w:gridCol w:w="657"/>
        <w:gridCol w:w="657"/>
        <w:gridCol w:w="657"/>
        <w:gridCol w:w="657"/>
        <w:gridCol w:w="877"/>
      </w:tblGrid>
      <w:tr w14:paraId="29B7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0" w:type="pct"/>
            <w:gridSpan w:val="15"/>
            <w:vAlign w:val="center"/>
          </w:tcPr>
          <w:p w14:paraId="64222D9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河南亚伟建设工程集团有限公司</w:t>
            </w:r>
          </w:p>
        </w:tc>
      </w:tr>
      <w:tr w14:paraId="3AC3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restart"/>
            <w:vAlign w:val="center"/>
          </w:tcPr>
          <w:p w14:paraId="25E7B3B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50" w:type="pct"/>
            <w:vMerge w:val="restart"/>
            <w:vAlign w:val="center"/>
          </w:tcPr>
          <w:p w14:paraId="21DE315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350" w:type="pct"/>
            <w:gridSpan w:val="3"/>
            <w:vAlign w:val="center"/>
          </w:tcPr>
          <w:p w14:paraId="23FA0E3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350" w:type="pct"/>
            <w:gridSpan w:val="9"/>
            <w:vAlign w:val="center"/>
          </w:tcPr>
          <w:p w14:paraId="77774E5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350" w:type="pct"/>
            <w:vMerge w:val="restart"/>
            <w:vAlign w:val="center"/>
          </w:tcPr>
          <w:p w14:paraId="664ED50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76E1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continue"/>
            <w:vAlign w:val="center"/>
          </w:tcPr>
          <w:p w14:paraId="4F41268C">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Merge w:val="continue"/>
            <w:vAlign w:val="center"/>
          </w:tcPr>
          <w:p w14:paraId="49A7EF0A">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Align w:val="center"/>
          </w:tcPr>
          <w:p w14:paraId="6AC71EE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50" w:type="pct"/>
            <w:vAlign w:val="center"/>
          </w:tcPr>
          <w:p w14:paraId="475DE8B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50" w:type="pct"/>
            <w:vAlign w:val="center"/>
          </w:tcPr>
          <w:p w14:paraId="556103D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50" w:type="pct"/>
            <w:vAlign w:val="center"/>
          </w:tcPr>
          <w:p w14:paraId="22E1823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50" w:type="pct"/>
            <w:vAlign w:val="center"/>
          </w:tcPr>
          <w:p w14:paraId="2A8A456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50" w:type="pct"/>
            <w:vAlign w:val="center"/>
          </w:tcPr>
          <w:p w14:paraId="7F2410E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50" w:type="pct"/>
            <w:vAlign w:val="center"/>
          </w:tcPr>
          <w:p w14:paraId="1BF0314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50" w:type="pct"/>
            <w:vAlign w:val="center"/>
          </w:tcPr>
          <w:p w14:paraId="788FA3C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50" w:type="pct"/>
            <w:vAlign w:val="center"/>
          </w:tcPr>
          <w:p w14:paraId="4F2A55D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50" w:type="pct"/>
            <w:vAlign w:val="center"/>
          </w:tcPr>
          <w:p w14:paraId="4DDC112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50" w:type="pct"/>
            <w:vAlign w:val="center"/>
          </w:tcPr>
          <w:p w14:paraId="0BF68D7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50" w:type="pct"/>
            <w:vAlign w:val="center"/>
          </w:tcPr>
          <w:p w14:paraId="79A516F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350" w:type="pct"/>
            <w:vMerge w:val="continue"/>
            <w:vAlign w:val="center"/>
          </w:tcPr>
          <w:p w14:paraId="67141502">
            <w:pPr>
              <w:widowControl/>
              <w:snapToGrid w:val="0"/>
              <w:spacing w:line="360" w:lineRule="auto"/>
              <w:jc w:val="center"/>
              <w:rPr>
                <w:rFonts w:hint="eastAsia" w:asciiTheme="minorEastAsia" w:hAnsiTheme="minorEastAsia" w:eastAsiaTheme="minorEastAsia" w:cstheme="minorEastAsia"/>
                <w:sz w:val="24"/>
                <w:szCs w:val="24"/>
              </w:rPr>
            </w:pPr>
          </w:p>
        </w:tc>
      </w:tr>
      <w:tr w14:paraId="07D7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5AFD764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50" w:type="pct"/>
            <w:vAlign w:val="center"/>
          </w:tcPr>
          <w:p w14:paraId="03E0634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29.27</w:t>
            </w:r>
          </w:p>
        </w:tc>
        <w:tc>
          <w:tcPr>
            <w:tcW w:w="350" w:type="pct"/>
            <w:vAlign w:val="center"/>
          </w:tcPr>
          <w:p w14:paraId="7D22B05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265C0D2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350" w:type="pct"/>
            <w:vAlign w:val="center"/>
          </w:tcPr>
          <w:p w14:paraId="4B467D9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0460445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6E17465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866E80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6C88F11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0EECC7E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78CBB68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0BCBC8E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334EF7E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75982BA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350" w:type="pct"/>
            <w:vAlign w:val="center"/>
          </w:tcPr>
          <w:p w14:paraId="78E4FBF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83.47</w:t>
            </w:r>
          </w:p>
        </w:tc>
      </w:tr>
      <w:tr w14:paraId="3E19F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1047ADB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50" w:type="pct"/>
            <w:vAlign w:val="center"/>
          </w:tcPr>
          <w:p w14:paraId="3D9FC88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29.27</w:t>
            </w:r>
          </w:p>
        </w:tc>
        <w:tc>
          <w:tcPr>
            <w:tcW w:w="350" w:type="pct"/>
            <w:vAlign w:val="center"/>
          </w:tcPr>
          <w:p w14:paraId="4010E1F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5D0B987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350" w:type="pct"/>
            <w:vAlign w:val="center"/>
          </w:tcPr>
          <w:p w14:paraId="33A43E6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038D0D9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6DC63EF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74CC5FA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5F2AC04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5E66147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46833F3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7CE0003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7917B7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31757DF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350" w:type="pct"/>
            <w:vAlign w:val="center"/>
          </w:tcPr>
          <w:p w14:paraId="08327E2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85.27</w:t>
            </w:r>
          </w:p>
        </w:tc>
      </w:tr>
      <w:tr w14:paraId="69AD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142995A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50" w:type="pct"/>
            <w:vAlign w:val="center"/>
          </w:tcPr>
          <w:p w14:paraId="1B541AB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29.27</w:t>
            </w:r>
          </w:p>
        </w:tc>
        <w:tc>
          <w:tcPr>
            <w:tcW w:w="350" w:type="pct"/>
            <w:vAlign w:val="center"/>
          </w:tcPr>
          <w:p w14:paraId="54E7446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3757918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350" w:type="pct"/>
            <w:vAlign w:val="center"/>
          </w:tcPr>
          <w:p w14:paraId="6A0330B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14AA1B9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148E6C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21F60E8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5C5913A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6460AF3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0C0E088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2C0EA62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65986B2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4B41207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350" w:type="pct"/>
            <w:vAlign w:val="center"/>
          </w:tcPr>
          <w:p w14:paraId="6FA3B10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84.07</w:t>
            </w:r>
          </w:p>
        </w:tc>
      </w:tr>
      <w:tr w14:paraId="4822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3"/>
            <w:vAlign w:val="center"/>
          </w:tcPr>
          <w:p w14:paraId="680B1B1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评审得分：84.27</w:t>
            </w:r>
          </w:p>
        </w:tc>
        <w:tc>
          <w:tcPr>
            <w:tcW w:w="350" w:type="pct"/>
            <w:gridSpan w:val="2"/>
            <w:vAlign w:val="center"/>
          </w:tcPr>
          <w:p w14:paraId="3E7ED47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排序：3</w:t>
            </w:r>
          </w:p>
        </w:tc>
      </w:tr>
    </w:tbl>
    <w:p w14:paraId="7286FD6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rPr>
        <w:t>备注：</w:t>
      </w:r>
    </w:p>
    <w:p w14:paraId="35681CC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1.磋商</w:t>
      </w:r>
      <w:r>
        <w:rPr>
          <w:rFonts w:hint="eastAsia" w:ascii="宋体" w:hAnsi="宋体" w:eastAsia="宋体" w:cs="宋体"/>
          <w:color w:val="auto"/>
          <w:sz w:val="24"/>
          <w:szCs w:val="24"/>
          <w:shd w:val="clear" w:color="auto" w:fill="FFFFFF"/>
        </w:rPr>
        <w:t>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3CB505D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1DA8C6C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：1、新乡市东区体育公园项目设计施工总承包；2、垂柳路(冬青街一海棠路)交叉口工程</w:t>
      </w:r>
    </w:p>
    <w:p w14:paraId="2CBC2B1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cs="宋体"/>
          <w:color w:val="auto"/>
          <w:sz w:val="24"/>
          <w:szCs w:val="24"/>
          <w:shd w:val="clear" w:color="auto" w:fill="FFFFFF"/>
          <w:lang w:val="en-US" w:eastAsia="zh-CN"/>
        </w:rPr>
        <w:t>无</w:t>
      </w:r>
    </w:p>
    <w:p w14:paraId="41A5F6A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 xml:space="preserve"> 1、郑州高新区垂柳路（冬青街-玉兰街）等三条道路建设工程施工；2、郑州高新区彩虹广场升级改造工程</w:t>
      </w:r>
    </w:p>
    <w:p w14:paraId="7CB34B1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无</w:t>
      </w:r>
    </w:p>
    <w:p w14:paraId="54C5ACA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3.响应文件中填报的拟投入本项目团队人员</w:t>
      </w:r>
    </w:p>
    <w:p w14:paraId="03AB07F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磋商小组审查通过的：施工员：崔忠朝、质量员：王凤霞、安全员：李</w:t>
      </w:r>
      <w:r>
        <w:rPr>
          <w:rFonts w:hint="eastAsia" w:ascii="宋体" w:hAnsi="宋体" w:cs="宋体"/>
          <w:color w:val="auto"/>
          <w:sz w:val="24"/>
          <w:szCs w:val="24"/>
          <w:shd w:val="clear" w:color="auto" w:fill="FFFFFF"/>
          <w:lang w:val="en-US" w:eastAsia="zh-CN"/>
        </w:rPr>
        <w:t>沙沙</w:t>
      </w:r>
      <w:r>
        <w:rPr>
          <w:rFonts w:hint="eastAsia" w:ascii="宋体" w:hAnsi="宋体" w:eastAsia="宋体" w:cs="宋体"/>
          <w:color w:val="auto"/>
          <w:sz w:val="24"/>
          <w:szCs w:val="24"/>
          <w:shd w:val="clear" w:color="auto" w:fill="FFFFFF"/>
          <w:lang w:val="en-US" w:eastAsia="zh-CN"/>
        </w:rPr>
        <w:t>、材料员：杨辉、资料员：吴文萍</w:t>
      </w:r>
    </w:p>
    <w:p w14:paraId="04ECA97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bCs/>
          <w:sz w:val="24"/>
        </w:rPr>
      </w:pPr>
      <w:r>
        <w:rPr>
          <w:rFonts w:hint="eastAsia" w:ascii="宋体" w:hAnsi="宋体" w:eastAsia="宋体" w:cs="宋体"/>
          <w:color w:val="auto"/>
          <w:sz w:val="24"/>
          <w:szCs w:val="24"/>
          <w:shd w:val="clear" w:color="auto" w:fill="FFFFFF"/>
          <w:lang w:val="en-US" w:eastAsia="zh-CN"/>
        </w:rPr>
        <w:t>磋商小组审查未通过的：</w:t>
      </w:r>
      <w:r>
        <w:rPr>
          <w:rFonts w:hint="eastAsia" w:ascii="宋体" w:hAnsi="宋体" w:eastAsia="宋体" w:cs="宋体"/>
          <w:color w:val="auto"/>
          <w:sz w:val="24"/>
          <w:szCs w:val="24"/>
          <w:shd w:val="clear" w:color="auto" w:fill="FFFFFF"/>
          <w:lang w:val="zh-CN" w:eastAsia="zh-CN"/>
        </w:rPr>
        <w:t>无</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766"/>
        <w:gridCol w:w="657"/>
        <w:gridCol w:w="657"/>
        <w:gridCol w:w="657"/>
        <w:gridCol w:w="657"/>
        <w:gridCol w:w="657"/>
        <w:gridCol w:w="657"/>
        <w:gridCol w:w="657"/>
        <w:gridCol w:w="657"/>
        <w:gridCol w:w="657"/>
        <w:gridCol w:w="657"/>
        <w:gridCol w:w="657"/>
        <w:gridCol w:w="657"/>
        <w:gridCol w:w="877"/>
      </w:tblGrid>
      <w:tr w14:paraId="52FF5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0" w:type="pct"/>
            <w:gridSpan w:val="15"/>
            <w:vAlign w:val="center"/>
          </w:tcPr>
          <w:p w14:paraId="63DFFFB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山东鹏祥建设工程有限公司</w:t>
            </w:r>
          </w:p>
        </w:tc>
      </w:tr>
      <w:tr w14:paraId="54C4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restart"/>
            <w:vAlign w:val="center"/>
          </w:tcPr>
          <w:p w14:paraId="0D97D46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50" w:type="pct"/>
            <w:vMerge w:val="restart"/>
            <w:vAlign w:val="center"/>
          </w:tcPr>
          <w:p w14:paraId="4FFFA70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350" w:type="pct"/>
            <w:gridSpan w:val="3"/>
            <w:vAlign w:val="center"/>
          </w:tcPr>
          <w:p w14:paraId="66109E2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350" w:type="pct"/>
            <w:gridSpan w:val="9"/>
            <w:vAlign w:val="center"/>
          </w:tcPr>
          <w:p w14:paraId="54213AB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350" w:type="pct"/>
            <w:vMerge w:val="restart"/>
            <w:vAlign w:val="center"/>
          </w:tcPr>
          <w:p w14:paraId="5A0D2FD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1401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continue"/>
            <w:vAlign w:val="center"/>
          </w:tcPr>
          <w:p w14:paraId="637C7A30">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Merge w:val="continue"/>
            <w:vAlign w:val="center"/>
          </w:tcPr>
          <w:p w14:paraId="01F0ED60">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Align w:val="center"/>
          </w:tcPr>
          <w:p w14:paraId="249C561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50" w:type="pct"/>
            <w:vAlign w:val="center"/>
          </w:tcPr>
          <w:p w14:paraId="1C7459F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50" w:type="pct"/>
            <w:vAlign w:val="center"/>
          </w:tcPr>
          <w:p w14:paraId="625DAF0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50" w:type="pct"/>
            <w:vAlign w:val="center"/>
          </w:tcPr>
          <w:p w14:paraId="0BA83E5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50" w:type="pct"/>
            <w:vAlign w:val="center"/>
          </w:tcPr>
          <w:p w14:paraId="51E2957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50" w:type="pct"/>
            <w:vAlign w:val="center"/>
          </w:tcPr>
          <w:p w14:paraId="2CE5EC6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50" w:type="pct"/>
            <w:vAlign w:val="center"/>
          </w:tcPr>
          <w:p w14:paraId="7EC6222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50" w:type="pct"/>
            <w:vAlign w:val="center"/>
          </w:tcPr>
          <w:p w14:paraId="0828FE9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50" w:type="pct"/>
            <w:vAlign w:val="center"/>
          </w:tcPr>
          <w:p w14:paraId="5E96D7A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50" w:type="pct"/>
            <w:vAlign w:val="center"/>
          </w:tcPr>
          <w:p w14:paraId="0E49190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50" w:type="pct"/>
            <w:vAlign w:val="center"/>
          </w:tcPr>
          <w:p w14:paraId="1D7C6A9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50" w:type="pct"/>
            <w:vAlign w:val="center"/>
          </w:tcPr>
          <w:p w14:paraId="4DA27ED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350" w:type="pct"/>
            <w:vMerge w:val="continue"/>
            <w:vAlign w:val="center"/>
          </w:tcPr>
          <w:p w14:paraId="34DE0C4E">
            <w:pPr>
              <w:widowControl/>
              <w:snapToGrid w:val="0"/>
              <w:spacing w:line="360" w:lineRule="auto"/>
              <w:jc w:val="center"/>
              <w:rPr>
                <w:rFonts w:hint="eastAsia" w:asciiTheme="minorEastAsia" w:hAnsiTheme="minorEastAsia" w:eastAsiaTheme="minorEastAsia" w:cstheme="minorEastAsia"/>
                <w:sz w:val="24"/>
                <w:szCs w:val="24"/>
              </w:rPr>
            </w:pPr>
          </w:p>
        </w:tc>
      </w:tr>
      <w:tr w14:paraId="5887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6EAF82B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50" w:type="pct"/>
            <w:vAlign w:val="center"/>
          </w:tcPr>
          <w:p w14:paraId="1378638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27.99</w:t>
            </w:r>
          </w:p>
        </w:tc>
        <w:tc>
          <w:tcPr>
            <w:tcW w:w="350" w:type="pct"/>
            <w:vAlign w:val="center"/>
          </w:tcPr>
          <w:p w14:paraId="08AA975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633909F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31D07D9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1AF108E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78C1439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A9828B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563E90F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0A33A10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58F05EA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59B1219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3BDA8E3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521B366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350" w:type="pct"/>
            <w:vAlign w:val="center"/>
          </w:tcPr>
          <w:p w14:paraId="14AD97F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73.99</w:t>
            </w:r>
          </w:p>
        </w:tc>
      </w:tr>
      <w:tr w14:paraId="01E58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532397D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50" w:type="pct"/>
            <w:vAlign w:val="center"/>
          </w:tcPr>
          <w:p w14:paraId="74B3D7B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27.99</w:t>
            </w:r>
          </w:p>
        </w:tc>
        <w:tc>
          <w:tcPr>
            <w:tcW w:w="350" w:type="pct"/>
            <w:vAlign w:val="center"/>
          </w:tcPr>
          <w:p w14:paraId="0316748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7D60EA9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5806BD2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1D287DE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2FB30CE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39BD506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60A1302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3D74849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089FB68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13E0CCB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2D4AD80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539DE42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350" w:type="pct"/>
            <w:vAlign w:val="center"/>
          </w:tcPr>
          <w:p w14:paraId="19EA0DA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73.99</w:t>
            </w:r>
          </w:p>
        </w:tc>
      </w:tr>
      <w:tr w14:paraId="6AB2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62EADAE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50" w:type="pct"/>
            <w:vAlign w:val="center"/>
          </w:tcPr>
          <w:p w14:paraId="32114C3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27.99</w:t>
            </w:r>
          </w:p>
        </w:tc>
        <w:tc>
          <w:tcPr>
            <w:tcW w:w="350" w:type="pct"/>
            <w:vAlign w:val="center"/>
          </w:tcPr>
          <w:p w14:paraId="58674EB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78F9B6F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27BBEF1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0CFEBFD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3B790C6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412627F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5B39C5D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0A00F83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63CADD4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418CBED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70E1B40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019DEE5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350" w:type="pct"/>
            <w:vAlign w:val="center"/>
          </w:tcPr>
          <w:p w14:paraId="4AB294D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75.19</w:t>
            </w:r>
          </w:p>
        </w:tc>
      </w:tr>
      <w:tr w14:paraId="01C9C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3"/>
            <w:vAlign w:val="center"/>
          </w:tcPr>
          <w:p w14:paraId="1756DC3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评审得分：74.39</w:t>
            </w:r>
          </w:p>
        </w:tc>
        <w:tc>
          <w:tcPr>
            <w:tcW w:w="350" w:type="pct"/>
            <w:gridSpan w:val="2"/>
            <w:vAlign w:val="center"/>
          </w:tcPr>
          <w:p w14:paraId="568A392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排序：9</w:t>
            </w:r>
          </w:p>
        </w:tc>
      </w:tr>
    </w:tbl>
    <w:p w14:paraId="0A3965F3">
      <w:pPr>
        <w:widowControl/>
        <w:snapToGrid w:val="0"/>
        <w:spacing w:line="360" w:lineRule="auto"/>
        <w:jc w:val="left"/>
        <w:rPr>
          <w:rFonts w:hint="eastAsia" w:ascii="宋体" w:hAnsi="宋体"/>
          <w:bCs/>
          <w:sz w:val="24"/>
        </w:rPr>
      </w:pPr>
      <w:r>
        <w:rPr>
          <w:rFonts w:hint="eastAsia" w:ascii="宋体" w:hAnsi="宋体"/>
          <w:bCs/>
          <w:sz w:val="24"/>
        </w:rPr>
        <w:t>备注：</w:t>
      </w:r>
    </w:p>
    <w:p w14:paraId="21D1A61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1.磋商</w:t>
      </w:r>
      <w:r>
        <w:rPr>
          <w:rFonts w:hint="eastAsia" w:ascii="宋体" w:hAnsi="宋体" w:eastAsia="宋体" w:cs="宋体"/>
          <w:color w:val="auto"/>
          <w:sz w:val="24"/>
          <w:szCs w:val="24"/>
          <w:shd w:val="clear" w:color="auto" w:fill="FFFFFF"/>
        </w:rPr>
        <w:t>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4A22AA2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28991C2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w:t>
      </w:r>
      <w:r>
        <w:rPr>
          <w:rFonts w:hint="eastAsia" w:ascii="宋体" w:hAnsi="宋体" w:eastAsia="宋体" w:cs="宋体"/>
          <w:color w:val="000000"/>
          <w:sz w:val="24"/>
          <w:szCs w:val="24"/>
          <w:lang w:val="en-US" w:eastAsia="zh-CN"/>
        </w:rPr>
        <w:t>企业类似</w:t>
      </w:r>
      <w:r>
        <w:rPr>
          <w:rFonts w:hint="eastAsia" w:ascii="宋体" w:hAnsi="宋体" w:eastAsia="宋体" w:cs="宋体"/>
          <w:color w:val="000000"/>
          <w:sz w:val="24"/>
          <w:szCs w:val="24"/>
          <w:lang w:val="zh-CN"/>
        </w:rPr>
        <w:t>业绩</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cs="宋体"/>
          <w:color w:val="auto"/>
          <w:sz w:val="24"/>
          <w:szCs w:val="24"/>
          <w:shd w:val="clear" w:color="auto" w:fill="FFFFFF"/>
          <w:lang w:val="en-US" w:eastAsia="zh-CN"/>
        </w:rPr>
        <w:t>无</w:t>
      </w:r>
    </w:p>
    <w:p w14:paraId="6246A67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w:t>
      </w:r>
      <w:r>
        <w:rPr>
          <w:rFonts w:hint="eastAsia" w:ascii="宋体" w:hAnsi="宋体" w:eastAsia="宋体" w:cs="宋体"/>
          <w:color w:val="000000"/>
          <w:sz w:val="24"/>
          <w:szCs w:val="24"/>
          <w:lang w:val="en-US" w:eastAsia="zh-CN"/>
        </w:rPr>
        <w:t>企业类似</w:t>
      </w:r>
      <w:r>
        <w:rPr>
          <w:rFonts w:hint="eastAsia" w:ascii="宋体" w:hAnsi="宋体" w:eastAsia="宋体" w:cs="宋体"/>
          <w:color w:val="000000"/>
          <w:sz w:val="24"/>
          <w:szCs w:val="24"/>
          <w:lang w:val="zh-CN"/>
        </w:rPr>
        <w:t>业绩</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cs="宋体"/>
          <w:color w:val="auto"/>
          <w:sz w:val="24"/>
          <w:szCs w:val="24"/>
          <w:shd w:val="clear" w:color="auto" w:fill="FFFFFF"/>
          <w:lang w:val="en-US" w:eastAsia="zh-CN"/>
        </w:rPr>
        <w:t>无</w:t>
      </w:r>
    </w:p>
    <w:p w14:paraId="5B47805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 xml:space="preserve"> </w:t>
      </w:r>
      <w:r>
        <w:rPr>
          <w:rFonts w:hint="eastAsia" w:ascii="宋体" w:hAnsi="宋体" w:cs="宋体"/>
          <w:color w:val="auto"/>
          <w:sz w:val="24"/>
          <w:szCs w:val="24"/>
          <w:shd w:val="clear" w:color="auto" w:fill="FFFFFF"/>
          <w:lang w:val="en-US" w:eastAsia="zh-CN"/>
        </w:rPr>
        <w:t>无</w:t>
      </w:r>
    </w:p>
    <w:p w14:paraId="2BF8D94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 xml:space="preserve"> 无</w:t>
      </w:r>
    </w:p>
    <w:p w14:paraId="668FB325">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3.响应文件中填报的拟投入本项目团队人员</w:t>
      </w:r>
    </w:p>
    <w:p w14:paraId="23FAEB9D">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施工员：徐二国、质量员：徐飞、安全员：侯艳栋、材料员：宋丹丹、资料员：王宝莉</w:t>
      </w:r>
    </w:p>
    <w:p w14:paraId="487EFBF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bCs/>
          <w:sz w:val="24"/>
        </w:rPr>
      </w:pPr>
      <w:r>
        <w:rPr>
          <w:rFonts w:hint="eastAsia" w:ascii="宋体" w:hAnsi="宋体" w:eastAsia="宋体" w:cs="宋体"/>
          <w:color w:val="auto"/>
          <w:sz w:val="24"/>
          <w:szCs w:val="24"/>
          <w:shd w:val="clear" w:color="auto" w:fill="FFFFFF"/>
          <w:lang w:val="en-US" w:eastAsia="zh-CN"/>
        </w:rPr>
        <w:t>磋商小组审查未通过的：</w:t>
      </w:r>
      <w:r>
        <w:rPr>
          <w:rFonts w:hint="eastAsia" w:ascii="宋体" w:hAnsi="宋体" w:cs="宋体"/>
          <w:color w:val="auto"/>
          <w:sz w:val="24"/>
          <w:szCs w:val="24"/>
          <w:shd w:val="clear" w:color="auto" w:fill="FFFFFF"/>
          <w:lang w:val="en-US" w:eastAsia="zh-CN"/>
        </w:rPr>
        <w:t>无</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766"/>
        <w:gridCol w:w="657"/>
        <w:gridCol w:w="657"/>
        <w:gridCol w:w="657"/>
        <w:gridCol w:w="657"/>
        <w:gridCol w:w="657"/>
        <w:gridCol w:w="657"/>
        <w:gridCol w:w="657"/>
        <w:gridCol w:w="657"/>
        <w:gridCol w:w="657"/>
        <w:gridCol w:w="657"/>
        <w:gridCol w:w="657"/>
        <w:gridCol w:w="657"/>
        <w:gridCol w:w="877"/>
      </w:tblGrid>
      <w:tr w14:paraId="60C1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0" w:type="pct"/>
            <w:gridSpan w:val="15"/>
            <w:vAlign w:val="center"/>
          </w:tcPr>
          <w:p w14:paraId="28FA7AC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河南匠人建设工程有限公司</w:t>
            </w:r>
          </w:p>
        </w:tc>
      </w:tr>
      <w:tr w14:paraId="23E2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restart"/>
            <w:vAlign w:val="center"/>
          </w:tcPr>
          <w:p w14:paraId="0E5CC58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50" w:type="pct"/>
            <w:vMerge w:val="restart"/>
            <w:vAlign w:val="center"/>
          </w:tcPr>
          <w:p w14:paraId="622AE83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350" w:type="pct"/>
            <w:gridSpan w:val="3"/>
            <w:vAlign w:val="center"/>
          </w:tcPr>
          <w:p w14:paraId="598E259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350" w:type="pct"/>
            <w:gridSpan w:val="9"/>
            <w:vAlign w:val="center"/>
          </w:tcPr>
          <w:p w14:paraId="30D16E4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350" w:type="pct"/>
            <w:vMerge w:val="restart"/>
            <w:vAlign w:val="center"/>
          </w:tcPr>
          <w:p w14:paraId="0FB0162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39AB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continue"/>
            <w:vAlign w:val="center"/>
          </w:tcPr>
          <w:p w14:paraId="7B589533">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Merge w:val="continue"/>
            <w:vAlign w:val="center"/>
          </w:tcPr>
          <w:p w14:paraId="609F8C39">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Align w:val="center"/>
          </w:tcPr>
          <w:p w14:paraId="1D7E3B0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50" w:type="pct"/>
            <w:vAlign w:val="center"/>
          </w:tcPr>
          <w:p w14:paraId="606A911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50" w:type="pct"/>
            <w:vAlign w:val="center"/>
          </w:tcPr>
          <w:p w14:paraId="1414015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50" w:type="pct"/>
            <w:vAlign w:val="center"/>
          </w:tcPr>
          <w:p w14:paraId="4E6A130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50" w:type="pct"/>
            <w:vAlign w:val="center"/>
          </w:tcPr>
          <w:p w14:paraId="53155B6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50" w:type="pct"/>
            <w:vAlign w:val="center"/>
          </w:tcPr>
          <w:p w14:paraId="4AAABF5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50" w:type="pct"/>
            <w:vAlign w:val="center"/>
          </w:tcPr>
          <w:p w14:paraId="372603E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50" w:type="pct"/>
            <w:vAlign w:val="center"/>
          </w:tcPr>
          <w:p w14:paraId="20A952E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50" w:type="pct"/>
            <w:vAlign w:val="center"/>
          </w:tcPr>
          <w:p w14:paraId="1D5F53C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50" w:type="pct"/>
            <w:vAlign w:val="center"/>
          </w:tcPr>
          <w:p w14:paraId="4F357DC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50" w:type="pct"/>
            <w:vAlign w:val="center"/>
          </w:tcPr>
          <w:p w14:paraId="3AA1A05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50" w:type="pct"/>
            <w:vAlign w:val="center"/>
          </w:tcPr>
          <w:p w14:paraId="5DF2484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350" w:type="pct"/>
            <w:vMerge w:val="continue"/>
            <w:vAlign w:val="center"/>
          </w:tcPr>
          <w:p w14:paraId="67CA398F">
            <w:pPr>
              <w:widowControl/>
              <w:snapToGrid w:val="0"/>
              <w:spacing w:line="360" w:lineRule="auto"/>
              <w:jc w:val="center"/>
              <w:rPr>
                <w:rFonts w:hint="eastAsia" w:asciiTheme="minorEastAsia" w:hAnsiTheme="minorEastAsia" w:eastAsiaTheme="minorEastAsia" w:cstheme="minorEastAsia"/>
                <w:sz w:val="24"/>
                <w:szCs w:val="24"/>
              </w:rPr>
            </w:pPr>
          </w:p>
        </w:tc>
      </w:tr>
      <w:tr w14:paraId="2F88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35D18B4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50" w:type="pct"/>
            <w:vAlign w:val="center"/>
          </w:tcPr>
          <w:p w14:paraId="7070D85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27.83</w:t>
            </w:r>
          </w:p>
        </w:tc>
        <w:tc>
          <w:tcPr>
            <w:tcW w:w="350" w:type="pct"/>
            <w:vAlign w:val="center"/>
          </w:tcPr>
          <w:p w14:paraId="7C2B240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189BD22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0ED8102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5ACD120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3ED050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16FBF71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FEAC08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65AC212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1C5535F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28A2938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4E091A5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56EE7C1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350" w:type="pct"/>
            <w:vAlign w:val="center"/>
          </w:tcPr>
          <w:p w14:paraId="1B94F48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73.83</w:t>
            </w:r>
          </w:p>
        </w:tc>
      </w:tr>
      <w:tr w14:paraId="4355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3B2F601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50" w:type="pct"/>
            <w:vAlign w:val="center"/>
          </w:tcPr>
          <w:p w14:paraId="517F42E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27.83</w:t>
            </w:r>
          </w:p>
        </w:tc>
        <w:tc>
          <w:tcPr>
            <w:tcW w:w="350" w:type="pct"/>
            <w:vAlign w:val="center"/>
          </w:tcPr>
          <w:p w14:paraId="55D2326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46CC251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03E0BF1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3F62C63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381E945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005488E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3CABA02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11F6A2D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4593E44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68816A8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051F083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2EC9F60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350" w:type="pct"/>
            <w:vAlign w:val="center"/>
          </w:tcPr>
          <w:p w14:paraId="4AE08C0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72.63</w:t>
            </w:r>
          </w:p>
        </w:tc>
      </w:tr>
      <w:tr w14:paraId="0C85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4FC41FD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50" w:type="pct"/>
            <w:vAlign w:val="center"/>
          </w:tcPr>
          <w:p w14:paraId="39AA3F5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27.83</w:t>
            </w:r>
          </w:p>
        </w:tc>
        <w:tc>
          <w:tcPr>
            <w:tcW w:w="350" w:type="pct"/>
            <w:vAlign w:val="center"/>
          </w:tcPr>
          <w:p w14:paraId="04E137E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719C492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294C305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73487A8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746DE18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54B3F10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6FB37B4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0853063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4D774A7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4AF9636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7DAC85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77DA789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350" w:type="pct"/>
            <w:vAlign w:val="center"/>
          </w:tcPr>
          <w:p w14:paraId="7BBF6D5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76.83</w:t>
            </w:r>
          </w:p>
        </w:tc>
      </w:tr>
      <w:tr w14:paraId="76E5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3"/>
            <w:vAlign w:val="center"/>
          </w:tcPr>
          <w:p w14:paraId="381AA8C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评审得分：74.43</w:t>
            </w:r>
          </w:p>
        </w:tc>
        <w:tc>
          <w:tcPr>
            <w:tcW w:w="350" w:type="pct"/>
            <w:gridSpan w:val="2"/>
            <w:vAlign w:val="center"/>
          </w:tcPr>
          <w:p w14:paraId="7F44C57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排序：8</w:t>
            </w:r>
          </w:p>
        </w:tc>
      </w:tr>
    </w:tbl>
    <w:p w14:paraId="306AFBD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bCs/>
          <w:sz w:val="24"/>
        </w:rPr>
        <w:t>备注：</w:t>
      </w:r>
    </w:p>
    <w:p w14:paraId="1ABBB81C">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1.磋商</w:t>
      </w:r>
      <w:r>
        <w:rPr>
          <w:rFonts w:hint="eastAsia" w:ascii="宋体" w:hAnsi="宋体" w:eastAsia="宋体" w:cs="宋体"/>
          <w:color w:val="auto"/>
          <w:sz w:val="24"/>
          <w:szCs w:val="24"/>
          <w:shd w:val="clear" w:color="auto" w:fill="FFFFFF"/>
        </w:rPr>
        <w:t>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4105DED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24BBF0D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磋商小组审查通过的企业类似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 无</w:t>
      </w:r>
    </w:p>
    <w:p w14:paraId="4A50641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磋商小组审查未通过的企业类似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 xml:space="preserve">：常州璐薇尼文化传媒有限公司装修改 </w:t>
      </w:r>
    </w:p>
    <w:p w14:paraId="62C3B61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造项目（建筑工程施工类）</w:t>
      </w:r>
    </w:p>
    <w:p w14:paraId="5EB526B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cs="宋体"/>
          <w:color w:val="auto"/>
          <w:sz w:val="24"/>
          <w:szCs w:val="24"/>
          <w:shd w:val="clear" w:color="auto" w:fill="FFFFFF"/>
          <w:lang w:val="zh-CN" w:eastAsia="zh-CN"/>
        </w:rPr>
        <w:t>无</w:t>
      </w:r>
    </w:p>
    <w:p w14:paraId="4A42EB3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业绩：无</w:t>
      </w:r>
    </w:p>
    <w:p w14:paraId="211B47A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3.响应文件中填报的拟投入本项目团队人员</w:t>
      </w:r>
    </w:p>
    <w:p w14:paraId="0138D91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磋商小组审查通过的：施工员：勾瑞林、质量员：李治青、安全员：聂利庆、材料员：曹森森、资料员：张二钢</w:t>
      </w:r>
    </w:p>
    <w:p w14:paraId="2F7CA876">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仿宋" w:hAnsi="仿宋" w:eastAsia="仿宋" w:cs="仿宋"/>
          <w:color w:val="000000"/>
          <w:sz w:val="32"/>
          <w:szCs w:val="32"/>
        </w:rPr>
      </w:pPr>
      <w:r>
        <w:rPr>
          <w:rFonts w:hint="eastAsia" w:ascii="宋体" w:hAnsi="宋体" w:eastAsia="宋体" w:cs="宋体"/>
          <w:color w:val="auto"/>
          <w:sz w:val="24"/>
          <w:szCs w:val="24"/>
          <w:shd w:val="clear" w:color="auto" w:fill="FFFFFF"/>
          <w:lang w:val="en-US" w:eastAsia="zh-CN"/>
        </w:rPr>
        <w:t>磋商小组审查未通过的：无</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766"/>
        <w:gridCol w:w="657"/>
        <w:gridCol w:w="657"/>
        <w:gridCol w:w="657"/>
        <w:gridCol w:w="657"/>
        <w:gridCol w:w="657"/>
        <w:gridCol w:w="657"/>
        <w:gridCol w:w="657"/>
        <w:gridCol w:w="657"/>
        <w:gridCol w:w="657"/>
        <w:gridCol w:w="657"/>
        <w:gridCol w:w="657"/>
        <w:gridCol w:w="657"/>
        <w:gridCol w:w="877"/>
      </w:tblGrid>
      <w:tr w14:paraId="2465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5"/>
            <w:vAlign w:val="center"/>
          </w:tcPr>
          <w:p w14:paraId="62FBE1B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河南云雷建筑工程有限公司</w:t>
            </w:r>
          </w:p>
        </w:tc>
      </w:tr>
      <w:tr w14:paraId="68D7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restart"/>
            <w:vAlign w:val="center"/>
          </w:tcPr>
          <w:p w14:paraId="3C80600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50" w:type="pct"/>
            <w:vMerge w:val="restart"/>
            <w:vAlign w:val="center"/>
          </w:tcPr>
          <w:p w14:paraId="667DA23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350" w:type="pct"/>
            <w:gridSpan w:val="3"/>
            <w:vAlign w:val="center"/>
          </w:tcPr>
          <w:p w14:paraId="2402B6E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350" w:type="pct"/>
            <w:gridSpan w:val="9"/>
            <w:vAlign w:val="center"/>
          </w:tcPr>
          <w:p w14:paraId="11B85CF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350" w:type="pct"/>
            <w:vMerge w:val="restart"/>
            <w:vAlign w:val="center"/>
          </w:tcPr>
          <w:p w14:paraId="5632166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314F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continue"/>
            <w:vAlign w:val="center"/>
          </w:tcPr>
          <w:p w14:paraId="65D1B1D0">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Merge w:val="continue"/>
            <w:vAlign w:val="center"/>
          </w:tcPr>
          <w:p w14:paraId="7E243982">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Align w:val="center"/>
          </w:tcPr>
          <w:p w14:paraId="09A6E78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50" w:type="pct"/>
            <w:vAlign w:val="center"/>
          </w:tcPr>
          <w:p w14:paraId="400AE8B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50" w:type="pct"/>
            <w:vAlign w:val="center"/>
          </w:tcPr>
          <w:p w14:paraId="57294CD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50" w:type="pct"/>
            <w:vAlign w:val="center"/>
          </w:tcPr>
          <w:p w14:paraId="075B498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50" w:type="pct"/>
            <w:vAlign w:val="center"/>
          </w:tcPr>
          <w:p w14:paraId="63FE1B1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50" w:type="pct"/>
            <w:vAlign w:val="center"/>
          </w:tcPr>
          <w:p w14:paraId="6564845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50" w:type="pct"/>
            <w:vAlign w:val="center"/>
          </w:tcPr>
          <w:p w14:paraId="78FC83F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50" w:type="pct"/>
            <w:vAlign w:val="center"/>
          </w:tcPr>
          <w:p w14:paraId="31FB386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50" w:type="pct"/>
            <w:vAlign w:val="center"/>
          </w:tcPr>
          <w:p w14:paraId="31DB472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50" w:type="pct"/>
            <w:vAlign w:val="center"/>
          </w:tcPr>
          <w:p w14:paraId="5AF37BE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50" w:type="pct"/>
            <w:vAlign w:val="center"/>
          </w:tcPr>
          <w:p w14:paraId="2EACBEF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50" w:type="pct"/>
            <w:vAlign w:val="center"/>
          </w:tcPr>
          <w:p w14:paraId="1C8C499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350" w:type="pct"/>
            <w:vMerge w:val="continue"/>
            <w:vAlign w:val="center"/>
          </w:tcPr>
          <w:p w14:paraId="59D33FE8">
            <w:pPr>
              <w:widowControl/>
              <w:snapToGrid w:val="0"/>
              <w:spacing w:line="360" w:lineRule="auto"/>
              <w:jc w:val="center"/>
              <w:rPr>
                <w:rFonts w:hint="eastAsia" w:asciiTheme="minorEastAsia" w:hAnsiTheme="minorEastAsia" w:eastAsiaTheme="minorEastAsia" w:cstheme="minorEastAsia"/>
                <w:sz w:val="24"/>
                <w:szCs w:val="24"/>
              </w:rPr>
            </w:pPr>
          </w:p>
        </w:tc>
      </w:tr>
      <w:tr w14:paraId="134A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415A8A8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50" w:type="pct"/>
            <w:vAlign w:val="center"/>
          </w:tcPr>
          <w:p w14:paraId="7C15C55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28.37</w:t>
            </w:r>
          </w:p>
        </w:tc>
        <w:tc>
          <w:tcPr>
            <w:tcW w:w="350" w:type="pct"/>
            <w:vAlign w:val="center"/>
          </w:tcPr>
          <w:p w14:paraId="08AE1B5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37CA110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1F563B3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710D0A7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54A5DFF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342127C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16F80F4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3BA9B0C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4824321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5E0DD86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72EE8FE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299712A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350" w:type="pct"/>
            <w:vAlign w:val="center"/>
          </w:tcPr>
          <w:p w14:paraId="223D517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91.17</w:t>
            </w:r>
          </w:p>
        </w:tc>
      </w:tr>
      <w:tr w14:paraId="6A91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37B0E73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50" w:type="pct"/>
            <w:vAlign w:val="center"/>
          </w:tcPr>
          <w:p w14:paraId="2EF4C02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28.37</w:t>
            </w:r>
          </w:p>
        </w:tc>
        <w:tc>
          <w:tcPr>
            <w:tcW w:w="350" w:type="pct"/>
            <w:vAlign w:val="center"/>
          </w:tcPr>
          <w:p w14:paraId="0281DB9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7E685FE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3E958AF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3C127EC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340C11A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054E7DF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4F0773B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21AF5E6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6A1DDC6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63D2B97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5C5FCA0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61DE565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350" w:type="pct"/>
            <w:vAlign w:val="center"/>
          </w:tcPr>
          <w:p w14:paraId="095923E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91.17</w:t>
            </w:r>
          </w:p>
        </w:tc>
      </w:tr>
      <w:tr w14:paraId="4DD3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6A6745F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50" w:type="pct"/>
            <w:vAlign w:val="center"/>
          </w:tcPr>
          <w:p w14:paraId="78D0AFD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28.37</w:t>
            </w:r>
          </w:p>
        </w:tc>
        <w:tc>
          <w:tcPr>
            <w:tcW w:w="350" w:type="pct"/>
            <w:vAlign w:val="center"/>
          </w:tcPr>
          <w:p w14:paraId="0892028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2BF5DD6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18729B1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6F39B96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73FCE6E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482E82E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2AAB21A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7858AAF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01D8C4A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0075B8F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53E280D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37ED476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350" w:type="pct"/>
            <w:vAlign w:val="center"/>
          </w:tcPr>
          <w:p w14:paraId="6349EC8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92.37</w:t>
            </w:r>
          </w:p>
        </w:tc>
      </w:tr>
      <w:tr w14:paraId="4377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3"/>
            <w:vAlign w:val="center"/>
          </w:tcPr>
          <w:p w14:paraId="43E97A9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评审得分：91.57</w:t>
            </w:r>
          </w:p>
        </w:tc>
        <w:tc>
          <w:tcPr>
            <w:tcW w:w="350" w:type="pct"/>
            <w:gridSpan w:val="2"/>
            <w:vAlign w:val="center"/>
          </w:tcPr>
          <w:p w14:paraId="67D32F7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排序：1</w:t>
            </w:r>
          </w:p>
        </w:tc>
      </w:tr>
    </w:tbl>
    <w:p w14:paraId="5C577954">
      <w:pPr>
        <w:widowControl/>
        <w:snapToGrid w:val="0"/>
        <w:spacing w:line="360" w:lineRule="auto"/>
        <w:jc w:val="left"/>
        <w:rPr>
          <w:rFonts w:hint="eastAsia" w:ascii="宋体" w:hAnsi="宋体"/>
          <w:bCs/>
          <w:sz w:val="24"/>
        </w:rPr>
      </w:pPr>
      <w:r>
        <w:rPr>
          <w:rFonts w:hint="eastAsia" w:ascii="宋体" w:hAnsi="宋体"/>
          <w:bCs/>
          <w:sz w:val="24"/>
        </w:rPr>
        <w:t>备注：</w:t>
      </w:r>
    </w:p>
    <w:p w14:paraId="1D47B634">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1.磋商</w:t>
      </w:r>
      <w:r>
        <w:rPr>
          <w:rFonts w:hint="eastAsia" w:ascii="宋体" w:hAnsi="宋体" w:eastAsia="宋体" w:cs="宋体"/>
          <w:color w:val="auto"/>
          <w:sz w:val="24"/>
          <w:szCs w:val="24"/>
          <w:shd w:val="clear" w:color="auto" w:fill="FFFFFF"/>
        </w:rPr>
        <w:t>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53255CB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57BE6DE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：1、鄢陵县彭店镇人民政府鄢陵县彭店镇县派第一书记项目；2、襄城县库庄镇金刘社区2024年农村公益事业财政奖补重点村建设项目；3、襄城县汾陈镇方庄社区2024年农村公益事业财政奖补重点村建设项目</w:t>
      </w:r>
    </w:p>
    <w:p w14:paraId="5918F9B8">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 无</w:t>
      </w:r>
    </w:p>
    <w:p w14:paraId="410E925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w:t>
      </w:r>
      <w:r>
        <w:rPr>
          <w:rFonts w:hint="eastAsia" w:ascii="宋体" w:hAnsi="宋体" w:eastAsia="宋体" w:cs="宋体"/>
          <w:color w:val="auto"/>
          <w:sz w:val="24"/>
          <w:szCs w:val="24"/>
          <w:shd w:val="clear" w:color="auto" w:fill="FFFFFF"/>
          <w:lang w:val="en-US" w:eastAsia="zh-CN"/>
        </w:rPr>
        <w:t>1、尉氏县2022年度水坡镇杨店村农村基础设施项目；2、驻马店经济开发区排水基础设施建设项目六标段；3、许昌市春秋楼景区内部景观提升项目一标段</w:t>
      </w:r>
    </w:p>
    <w:p w14:paraId="72344C8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业绩：无</w:t>
      </w:r>
    </w:p>
    <w:p w14:paraId="00D70A4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3.响应文件中填报的拟投入本项目团队人员</w:t>
      </w:r>
    </w:p>
    <w:p w14:paraId="2E1D2954">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磋商小组审查通过的：施工员：李博文、质量员：王娜、安全员：杜林清、材料员：田美丽、资料员：杨哲</w:t>
      </w:r>
    </w:p>
    <w:p w14:paraId="4AC0D01D">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bCs/>
          <w:sz w:val="24"/>
        </w:rPr>
      </w:pPr>
      <w:r>
        <w:rPr>
          <w:rFonts w:hint="eastAsia" w:ascii="宋体" w:hAnsi="宋体" w:eastAsia="宋体" w:cs="宋体"/>
          <w:color w:val="auto"/>
          <w:sz w:val="24"/>
          <w:szCs w:val="24"/>
          <w:shd w:val="clear" w:color="auto" w:fill="FFFFFF"/>
          <w:lang w:val="en-US" w:eastAsia="zh-CN"/>
        </w:rPr>
        <w:t>磋商小组审查未通过的：无</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766"/>
        <w:gridCol w:w="657"/>
        <w:gridCol w:w="657"/>
        <w:gridCol w:w="657"/>
        <w:gridCol w:w="657"/>
        <w:gridCol w:w="657"/>
        <w:gridCol w:w="657"/>
        <w:gridCol w:w="657"/>
        <w:gridCol w:w="657"/>
        <w:gridCol w:w="657"/>
        <w:gridCol w:w="657"/>
        <w:gridCol w:w="657"/>
        <w:gridCol w:w="657"/>
        <w:gridCol w:w="877"/>
      </w:tblGrid>
      <w:tr w14:paraId="689FA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5"/>
            <w:vAlign w:val="center"/>
          </w:tcPr>
          <w:p w14:paraId="1B428D0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中恒国泰建设发展有限公司</w:t>
            </w:r>
          </w:p>
        </w:tc>
      </w:tr>
      <w:tr w14:paraId="187C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restart"/>
            <w:vAlign w:val="center"/>
          </w:tcPr>
          <w:p w14:paraId="1996DE1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50" w:type="pct"/>
            <w:vMerge w:val="restart"/>
            <w:vAlign w:val="center"/>
          </w:tcPr>
          <w:p w14:paraId="6721791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350" w:type="pct"/>
            <w:gridSpan w:val="3"/>
            <w:vAlign w:val="center"/>
          </w:tcPr>
          <w:p w14:paraId="63D4194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350" w:type="pct"/>
            <w:gridSpan w:val="9"/>
            <w:vAlign w:val="center"/>
          </w:tcPr>
          <w:p w14:paraId="103C030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350" w:type="pct"/>
            <w:vMerge w:val="restart"/>
            <w:vAlign w:val="center"/>
          </w:tcPr>
          <w:p w14:paraId="0A30922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3943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continue"/>
            <w:vAlign w:val="center"/>
          </w:tcPr>
          <w:p w14:paraId="329322EE">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Merge w:val="continue"/>
            <w:vAlign w:val="center"/>
          </w:tcPr>
          <w:p w14:paraId="043655A5">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Align w:val="center"/>
          </w:tcPr>
          <w:p w14:paraId="7743902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50" w:type="pct"/>
            <w:vAlign w:val="center"/>
          </w:tcPr>
          <w:p w14:paraId="680328F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50" w:type="pct"/>
            <w:vAlign w:val="center"/>
          </w:tcPr>
          <w:p w14:paraId="4C4908D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50" w:type="pct"/>
            <w:vAlign w:val="center"/>
          </w:tcPr>
          <w:p w14:paraId="51B2148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50" w:type="pct"/>
            <w:vAlign w:val="center"/>
          </w:tcPr>
          <w:p w14:paraId="3D81D64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50" w:type="pct"/>
            <w:vAlign w:val="center"/>
          </w:tcPr>
          <w:p w14:paraId="18AC663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50" w:type="pct"/>
            <w:vAlign w:val="center"/>
          </w:tcPr>
          <w:p w14:paraId="54B04F0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50" w:type="pct"/>
            <w:vAlign w:val="center"/>
          </w:tcPr>
          <w:p w14:paraId="7717046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50" w:type="pct"/>
            <w:vAlign w:val="center"/>
          </w:tcPr>
          <w:p w14:paraId="44CE142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50" w:type="pct"/>
            <w:vAlign w:val="center"/>
          </w:tcPr>
          <w:p w14:paraId="44CA16E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50" w:type="pct"/>
            <w:vAlign w:val="center"/>
          </w:tcPr>
          <w:p w14:paraId="2F47C2D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50" w:type="pct"/>
            <w:vAlign w:val="center"/>
          </w:tcPr>
          <w:p w14:paraId="16867BB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350" w:type="pct"/>
            <w:vMerge w:val="continue"/>
            <w:vAlign w:val="center"/>
          </w:tcPr>
          <w:p w14:paraId="0BF679F1">
            <w:pPr>
              <w:widowControl/>
              <w:snapToGrid w:val="0"/>
              <w:spacing w:line="360" w:lineRule="auto"/>
              <w:jc w:val="center"/>
              <w:rPr>
                <w:rFonts w:hint="eastAsia" w:asciiTheme="minorEastAsia" w:hAnsiTheme="minorEastAsia" w:eastAsiaTheme="minorEastAsia" w:cstheme="minorEastAsia"/>
                <w:sz w:val="24"/>
                <w:szCs w:val="24"/>
              </w:rPr>
            </w:pPr>
          </w:p>
        </w:tc>
      </w:tr>
      <w:tr w14:paraId="77D9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5161931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50" w:type="pct"/>
            <w:vAlign w:val="center"/>
          </w:tcPr>
          <w:p w14:paraId="6720619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27.67</w:t>
            </w:r>
          </w:p>
        </w:tc>
        <w:tc>
          <w:tcPr>
            <w:tcW w:w="350" w:type="pct"/>
            <w:vAlign w:val="center"/>
          </w:tcPr>
          <w:p w14:paraId="64125AE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3BA1C51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4F54A1E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4209117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64A1241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50B00A1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08E69BB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64F8A82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0019508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5D3AD10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17AC1DC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3570CFF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350" w:type="pct"/>
            <w:vAlign w:val="center"/>
          </w:tcPr>
          <w:p w14:paraId="59F4A57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79.67</w:t>
            </w:r>
          </w:p>
        </w:tc>
      </w:tr>
      <w:tr w14:paraId="003E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274FC33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50" w:type="pct"/>
            <w:vAlign w:val="center"/>
          </w:tcPr>
          <w:p w14:paraId="791CD4B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27.67</w:t>
            </w:r>
          </w:p>
        </w:tc>
        <w:tc>
          <w:tcPr>
            <w:tcW w:w="350" w:type="pct"/>
            <w:vAlign w:val="center"/>
          </w:tcPr>
          <w:p w14:paraId="1A16D24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415AC7D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03B7161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5B6B8C6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2B984D2">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68E412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CC9926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2B4C6A5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6973489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321699A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2646BA4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60E20AF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350" w:type="pct"/>
            <w:vAlign w:val="center"/>
          </w:tcPr>
          <w:p w14:paraId="0378035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76.67</w:t>
            </w:r>
          </w:p>
        </w:tc>
      </w:tr>
      <w:tr w14:paraId="435D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04912C2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50" w:type="pct"/>
            <w:vAlign w:val="center"/>
          </w:tcPr>
          <w:p w14:paraId="58B2337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27.67</w:t>
            </w:r>
          </w:p>
        </w:tc>
        <w:tc>
          <w:tcPr>
            <w:tcW w:w="350" w:type="pct"/>
            <w:vAlign w:val="center"/>
          </w:tcPr>
          <w:p w14:paraId="23AA422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6232440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064E6B0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3C50E52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3D66876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4CC53A3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7308A9A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571F0C7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22B057B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7CA0E52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3BFFD5F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20DD001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w:t>
            </w:r>
          </w:p>
        </w:tc>
        <w:tc>
          <w:tcPr>
            <w:tcW w:w="350" w:type="pct"/>
            <w:vAlign w:val="center"/>
          </w:tcPr>
          <w:p w14:paraId="76DAF57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82.67</w:t>
            </w:r>
          </w:p>
        </w:tc>
      </w:tr>
      <w:tr w14:paraId="77AE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3"/>
            <w:vAlign w:val="center"/>
          </w:tcPr>
          <w:p w14:paraId="473CC40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评审得分：79.67</w:t>
            </w:r>
          </w:p>
        </w:tc>
        <w:tc>
          <w:tcPr>
            <w:tcW w:w="350" w:type="pct"/>
            <w:gridSpan w:val="2"/>
            <w:vAlign w:val="center"/>
          </w:tcPr>
          <w:p w14:paraId="417B405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排序：5</w:t>
            </w:r>
          </w:p>
        </w:tc>
      </w:tr>
    </w:tbl>
    <w:p w14:paraId="44D83A76">
      <w:pPr>
        <w:keepNext w:val="0"/>
        <w:keepLines w:val="0"/>
        <w:pageBreakBefore w:val="0"/>
        <w:widowControl/>
        <w:numPr>
          <w:ilvl w:val="0"/>
          <w:numId w:val="0"/>
        </w:numPr>
        <w:kinsoku/>
        <w:wordWrap/>
        <w:overflowPunct/>
        <w:topLinePunct w:val="0"/>
        <w:autoSpaceDE/>
        <w:autoSpaceDN/>
        <w:bidi w:val="0"/>
        <w:adjustRightInd/>
        <w:snapToGrid w:val="0"/>
        <w:spacing w:line="520" w:lineRule="exact"/>
        <w:jc w:val="left"/>
        <w:textAlignment w:val="auto"/>
        <w:rPr>
          <w:rFonts w:hint="eastAsia" w:ascii="宋体" w:hAnsi="宋体" w:eastAsia="宋体" w:cs="宋体"/>
          <w:b/>
          <w:bCs/>
          <w:color w:val="000000"/>
          <w:sz w:val="24"/>
          <w:szCs w:val="24"/>
          <w:lang w:val="en-US" w:eastAsia="zh-CN"/>
        </w:rPr>
      </w:pPr>
      <w:r>
        <w:rPr>
          <w:rFonts w:hint="eastAsia" w:ascii="宋体" w:hAnsi="宋体"/>
          <w:bCs/>
          <w:sz w:val="24"/>
        </w:rPr>
        <w:t>备注：</w:t>
      </w:r>
    </w:p>
    <w:p w14:paraId="4EE5FC9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1.磋商</w:t>
      </w:r>
      <w:r>
        <w:rPr>
          <w:rFonts w:hint="eastAsia" w:ascii="宋体" w:hAnsi="宋体" w:eastAsia="宋体" w:cs="宋体"/>
          <w:color w:val="auto"/>
          <w:sz w:val="24"/>
          <w:szCs w:val="24"/>
          <w:shd w:val="clear" w:color="auto" w:fill="FFFFFF"/>
        </w:rPr>
        <w:t>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794716A0">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470C412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：1、赣州市章贡区城乡污水处理设施建设项目—章贡区水西镇和乐新村返迁地块 C、D 区雨污分流工程；2、石城县人民医院住院医技综合楼及老年医疗养护中心二合一项目绿化、路面硬化等配套设施工程；3、_2025年范县杨集乡东桑庄道路建设项目</w:t>
      </w:r>
    </w:p>
    <w:p w14:paraId="40A115CE">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 无</w:t>
      </w:r>
    </w:p>
    <w:p w14:paraId="7CDD73AD">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业绩：无</w:t>
      </w:r>
    </w:p>
    <w:p w14:paraId="4D85F393">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业绩：无</w:t>
      </w:r>
    </w:p>
    <w:p w14:paraId="1600115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3.响应文件中填报的拟投入本项目团队人员</w:t>
      </w:r>
    </w:p>
    <w:p w14:paraId="39C9EAB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磋商小组审查通过的：施工员：肖亚洁、质量员：郑利君、安全员：李翠花、材料员：荣磊、资料员：刘甜</w:t>
      </w:r>
    </w:p>
    <w:p w14:paraId="3A31627A">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0" w:firstLineChars="200"/>
        <w:jc w:val="left"/>
        <w:textAlignment w:val="auto"/>
        <w:rPr>
          <w:rFonts w:hint="eastAsia" w:ascii="宋体" w:hAnsi="宋体"/>
          <w:bCs/>
          <w:sz w:val="24"/>
        </w:rPr>
      </w:pPr>
      <w:r>
        <w:rPr>
          <w:rFonts w:hint="eastAsia" w:ascii="宋体" w:hAnsi="宋体" w:eastAsia="宋体" w:cs="宋体"/>
          <w:color w:val="auto"/>
          <w:sz w:val="24"/>
          <w:szCs w:val="24"/>
          <w:shd w:val="clear" w:color="auto" w:fill="FFFFFF"/>
          <w:lang w:val="en-US" w:eastAsia="zh-CN"/>
        </w:rPr>
        <w:t xml:space="preserve">磋商小组审查未通过的：无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766"/>
        <w:gridCol w:w="657"/>
        <w:gridCol w:w="657"/>
        <w:gridCol w:w="657"/>
        <w:gridCol w:w="657"/>
        <w:gridCol w:w="657"/>
        <w:gridCol w:w="657"/>
        <w:gridCol w:w="657"/>
        <w:gridCol w:w="657"/>
        <w:gridCol w:w="657"/>
        <w:gridCol w:w="657"/>
        <w:gridCol w:w="657"/>
        <w:gridCol w:w="657"/>
        <w:gridCol w:w="877"/>
      </w:tblGrid>
      <w:tr w14:paraId="0DB7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5"/>
            <w:vAlign w:val="center"/>
          </w:tcPr>
          <w:p w14:paraId="7945302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宝泰建设集团有限公司</w:t>
            </w:r>
          </w:p>
        </w:tc>
      </w:tr>
      <w:tr w14:paraId="23D6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restart"/>
            <w:vAlign w:val="center"/>
          </w:tcPr>
          <w:p w14:paraId="2D60B75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评审因素</w:t>
            </w:r>
          </w:p>
        </w:tc>
        <w:tc>
          <w:tcPr>
            <w:tcW w:w="350" w:type="pct"/>
            <w:vMerge w:val="restart"/>
            <w:vAlign w:val="center"/>
          </w:tcPr>
          <w:p w14:paraId="309B620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报价部分(30.0分)</w:t>
            </w:r>
          </w:p>
        </w:tc>
        <w:tc>
          <w:tcPr>
            <w:tcW w:w="350" w:type="pct"/>
            <w:gridSpan w:val="3"/>
            <w:vAlign w:val="center"/>
          </w:tcPr>
          <w:p w14:paraId="7E01320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商务部分(20.0分)</w:t>
            </w:r>
          </w:p>
        </w:tc>
        <w:tc>
          <w:tcPr>
            <w:tcW w:w="350" w:type="pct"/>
            <w:gridSpan w:val="9"/>
            <w:vAlign w:val="center"/>
          </w:tcPr>
          <w:p w14:paraId="317AF97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技术部分(50.0分)</w:t>
            </w:r>
          </w:p>
        </w:tc>
        <w:tc>
          <w:tcPr>
            <w:tcW w:w="350" w:type="pct"/>
            <w:vMerge w:val="restart"/>
            <w:vAlign w:val="center"/>
          </w:tcPr>
          <w:p w14:paraId="2A6016C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  计(100.0分)</w:t>
            </w:r>
          </w:p>
        </w:tc>
      </w:tr>
      <w:tr w14:paraId="7E14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Merge w:val="continue"/>
            <w:vAlign w:val="center"/>
          </w:tcPr>
          <w:p w14:paraId="6198A500">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Merge w:val="continue"/>
            <w:vAlign w:val="center"/>
          </w:tcPr>
          <w:p w14:paraId="6B207DF1">
            <w:pPr>
              <w:widowControl/>
              <w:snapToGrid w:val="0"/>
              <w:spacing w:line="360" w:lineRule="auto"/>
              <w:jc w:val="center"/>
              <w:rPr>
                <w:rFonts w:hint="eastAsia" w:asciiTheme="minorEastAsia" w:hAnsiTheme="minorEastAsia" w:eastAsiaTheme="minorEastAsia" w:cstheme="minorEastAsia"/>
                <w:sz w:val="24"/>
                <w:szCs w:val="24"/>
              </w:rPr>
            </w:pPr>
          </w:p>
        </w:tc>
        <w:tc>
          <w:tcPr>
            <w:tcW w:w="350" w:type="pct"/>
            <w:vAlign w:val="center"/>
          </w:tcPr>
          <w:p w14:paraId="7505C3F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企业业绩(6.0分)</w:t>
            </w:r>
          </w:p>
        </w:tc>
        <w:tc>
          <w:tcPr>
            <w:tcW w:w="350" w:type="pct"/>
            <w:vAlign w:val="center"/>
          </w:tcPr>
          <w:p w14:paraId="0CBE568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项目负责人业绩(6.0分)</w:t>
            </w:r>
          </w:p>
        </w:tc>
        <w:tc>
          <w:tcPr>
            <w:tcW w:w="350" w:type="pct"/>
            <w:vAlign w:val="center"/>
          </w:tcPr>
          <w:p w14:paraId="6C92D43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人员配备(8.0分)</w:t>
            </w:r>
          </w:p>
        </w:tc>
        <w:tc>
          <w:tcPr>
            <w:tcW w:w="350" w:type="pct"/>
            <w:vAlign w:val="center"/>
          </w:tcPr>
          <w:p w14:paraId="5A750C1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主要施工方案与技术措施(6.0分)</w:t>
            </w:r>
          </w:p>
        </w:tc>
        <w:tc>
          <w:tcPr>
            <w:tcW w:w="350" w:type="pct"/>
            <w:vAlign w:val="center"/>
          </w:tcPr>
          <w:p w14:paraId="0E0C65A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质量保证措施(6.0分)</w:t>
            </w:r>
          </w:p>
        </w:tc>
        <w:tc>
          <w:tcPr>
            <w:tcW w:w="350" w:type="pct"/>
            <w:vAlign w:val="center"/>
          </w:tcPr>
          <w:p w14:paraId="71FE86C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安全保证措施(6.0分)</w:t>
            </w:r>
          </w:p>
        </w:tc>
        <w:tc>
          <w:tcPr>
            <w:tcW w:w="350" w:type="pct"/>
            <w:vAlign w:val="center"/>
          </w:tcPr>
          <w:p w14:paraId="7D288B9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环境保护体系和保证措施(4.0分)</w:t>
            </w:r>
          </w:p>
        </w:tc>
        <w:tc>
          <w:tcPr>
            <w:tcW w:w="350" w:type="pct"/>
            <w:vAlign w:val="center"/>
          </w:tcPr>
          <w:p w14:paraId="2B2FB70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工期保证措施(4.0分)</w:t>
            </w:r>
          </w:p>
        </w:tc>
        <w:tc>
          <w:tcPr>
            <w:tcW w:w="350" w:type="pct"/>
            <w:vAlign w:val="center"/>
          </w:tcPr>
          <w:p w14:paraId="0433F72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施工管理(4.0分)</w:t>
            </w:r>
          </w:p>
        </w:tc>
        <w:tc>
          <w:tcPr>
            <w:tcW w:w="350" w:type="pct"/>
            <w:vAlign w:val="center"/>
          </w:tcPr>
          <w:p w14:paraId="1F0292C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资源配备计划(6.0分)</w:t>
            </w:r>
          </w:p>
        </w:tc>
        <w:tc>
          <w:tcPr>
            <w:tcW w:w="350" w:type="pct"/>
            <w:vAlign w:val="center"/>
          </w:tcPr>
          <w:p w14:paraId="5E07FAF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风险管理措施(6.0分)</w:t>
            </w:r>
          </w:p>
        </w:tc>
        <w:tc>
          <w:tcPr>
            <w:tcW w:w="350" w:type="pct"/>
            <w:vAlign w:val="center"/>
          </w:tcPr>
          <w:p w14:paraId="2B7AA1A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履职尽责承诺(8.0分)</w:t>
            </w:r>
          </w:p>
        </w:tc>
        <w:tc>
          <w:tcPr>
            <w:tcW w:w="350" w:type="pct"/>
            <w:vMerge w:val="continue"/>
            <w:vAlign w:val="center"/>
          </w:tcPr>
          <w:p w14:paraId="3E7B9A22">
            <w:pPr>
              <w:widowControl/>
              <w:snapToGrid w:val="0"/>
              <w:spacing w:line="360" w:lineRule="auto"/>
              <w:jc w:val="center"/>
              <w:rPr>
                <w:rFonts w:hint="eastAsia" w:asciiTheme="minorEastAsia" w:hAnsiTheme="minorEastAsia" w:eastAsiaTheme="minorEastAsia" w:cstheme="minorEastAsia"/>
                <w:sz w:val="24"/>
                <w:szCs w:val="24"/>
              </w:rPr>
            </w:pPr>
          </w:p>
        </w:tc>
      </w:tr>
      <w:tr w14:paraId="3AD3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404E8F8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评委1</w:t>
            </w:r>
          </w:p>
        </w:tc>
        <w:tc>
          <w:tcPr>
            <w:tcW w:w="350" w:type="pct"/>
            <w:vAlign w:val="center"/>
          </w:tcPr>
          <w:p w14:paraId="62B24CE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27.62</w:t>
            </w:r>
          </w:p>
        </w:tc>
        <w:tc>
          <w:tcPr>
            <w:tcW w:w="350" w:type="pct"/>
            <w:vAlign w:val="center"/>
          </w:tcPr>
          <w:p w14:paraId="7EA2683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4B5BD6C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3C2FCC0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0430835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3D4A8AA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E2A9C0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30073A4D">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60D868C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22D1DE3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30002413">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0576B89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6F0F9D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350" w:type="pct"/>
            <w:vAlign w:val="center"/>
          </w:tcPr>
          <w:p w14:paraId="22E882CC">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77.82</w:t>
            </w:r>
          </w:p>
        </w:tc>
      </w:tr>
      <w:tr w14:paraId="5C55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0A6809E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评委2</w:t>
            </w:r>
          </w:p>
        </w:tc>
        <w:tc>
          <w:tcPr>
            <w:tcW w:w="350" w:type="pct"/>
            <w:vAlign w:val="center"/>
          </w:tcPr>
          <w:p w14:paraId="427CCFC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27.62</w:t>
            </w:r>
          </w:p>
        </w:tc>
        <w:tc>
          <w:tcPr>
            <w:tcW w:w="350" w:type="pct"/>
            <w:vAlign w:val="center"/>
          </w:tcPr>
          <w:p w14:paraId="4E68F33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7C65C75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0C8CF08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023F97E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5EB647A6">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3CD569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3DB9F48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0EA4EC75">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13A2AD9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6EBA1CE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16564FA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0C2AC93B">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tc>
        <w:tc>
          <w:tcPr>
            <w:tcW w:w="350" w:type="pct"/>
            <w:vAlign w:val="center"/>
          </w:tcPr>
          <w:p w14:paraId="2CF314C1">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76.62</w:t>
            </w:r>
          </w:p>
        </w:tc>
      </w:tr>
      <w:tr w14:paraId="097B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vAlign w:val="center"/>
          </w:tcPr>
          <w:p w14:paraId="1700053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评委3</w:t>
            </w:r>
          </w:p>
        </w:tc>
        <w:tc>
          <w:tcPr>
            <w:tcW w:w="350" w:type="pct"/>
            <w:vAlign w:val="center"/>
          </w:tcPr>
          <w:p w14:paraId="00E1EB0A">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27.62</w:t>
            </w:r>
          </w:p>
        </w:tc>
        <w:tc>
          <w:tcPr>
            <w:tcW w:w="350" w:type="pct"/>
            <w:vAlign w:val="center"/>
          </w:tcPr>
          <w:p w14:paraId="06848A9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350" w:type="pct"/>
            <w:vAlign w:val="center"/>
          </w:tcPr>
          <w:p w14:paraId="02000C2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0.0</w:t>
            </w:r>
          </w:p>
        </w:tc>
        <w:tc>
          <w:tcPr>
            <w:tcW w:w="350" w:type="pct"/>
            <w:vAlign w:val="center"/>
          </w:tcPr>
          <w:p w14:paraId="2C7414CE">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w:t>
            </w:r>
          </w:p>
        </w:tc>
        <w:tc>
          <w:tcPr>
            <w:tcW w:w="350" w:type="pct"/>
            <w:vAlign w:val="center"/>
          </w:tcPr>
          <w:p w14:paraId="0EBC900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w:t>
            </w:r>
          </w:p>
        </w:tc>
        <w:tc>
          <w:tcPr>
            <w:tcW w:w="350" w:type="pct"/>
            <w:vAlign w:val="center"/>
          </w:tcPr>
          <w:p w14:paraId="6FDAD99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01ABC64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95BEE3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536E8D6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tc>
        <w:tc>
          <w:tcPr>
            <w:tcW w:w="350" w:type="pct"/>
            <w:vAlign w:val="center"/>
          </w:tcPr>
          <w:p w14:paraId="21CBAEC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tc>
        <w:tc>
          <w:tcPr>
            <w:tcW w:w="350" w:type="pct"/>
            <w:vAlign w:val="center"/>
          </w:tcPr>
          <w:p w14:paraId="66791444">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tc>
        <w:tc>
          <w:tcPr>
            <w:tcW w:w="350" w:type="pct"/>
            <w:vAlign w:val="center"/>
          </w:tcPr>
          <w:p w14:paraId="50FD4E50">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w:t>
            </w:r>
          </w:p>
        </w:tc>
        <w:tc>
          <w:tcPr>
            <w:tcW w:w="350" w:type="pct"/>
            <w:vAlign w:val="center"/>
          </w:tcPr>
          <w:p w14:paraId="421EF049">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tc>
        <w:tc>
          <w:tcPr>
            <w:tcW w:w="350" w:type="pct"/>
            <w:vAlign w:val="center"/>
          </w:tcPr>
          <w:p w14:paraId="3832E487">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80.82</w:t>
            </w:r>
          </w:p>
        </w:tc>
      </w:tr>
      <w:tr w14:paraId="7797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 w:type="pct"/>
            <w:gridSpan w:val="13"/>
            <w:vAlign w:val="center"/>
          </w:tcPr>
          <w:p w14:paraId="0224D898">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评审得分：78.42</w:t>
            </w:r>
          </w:p>
        </w:tc>
        <w:tc>
          <w:tcPr>
            <w:tcW w:w="350" w:type="pct"/>
            <w:gridSpan w:val="2"/>
            <w:vAlign w:val="center"/>
          </w:tcPr>
          <w:p w14:paraId="517B074F">
            <w:pPr>
              <w:widowControl/>
              <w:snapToGrid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排序：7</w:t>
            </w:r>
          </w:p>
        </w:tc>
      </w:tr>
    </w:tbl>
    <w:p w14:paraId="59D65FB1">
      <w:pPr>
        <w:widowControl/>
        <w:snapToGrid w:val="0"/>
        <w:spacing w:line="360" w:lineRule="auto"/>
        <w:jc w:val="left"/>
        <w:rPr>
          <w:rFonts w:hint="eastAsia" w:ascii="宋体" w:hAnsi="宋体"/>
          <w:bCs/>
          <w:sz w:val="24"/>
        </w:rPr>
      </w:pPr>
      <w:r>
        <w:rPr>
          <w:rFonts w:hint="eastAsia" w:ascii="宋体" w:hAnsi="宋体"/>
          <w:bCs/>
          <w:sz w:val="24"/>
        </w:rPr>
        <w:t>备注：</w:t>
      </w:r>
    </w:p>
    <w:p w14:paraId="5CAA0DD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val="en-US" w:eastAsia="zh-CN"/>
        </w:rPr>
        <w:t>1.磋商</w:t>
      </w:r>
      <w:r>
        <w:rPr>
          <w:rFonts w:hint="eastAsia" w:ascii="宋体" w:hAnsi="宋体" w:eastAsia="宋体" w:cs="宋体"/>
          <w:color w:val="auto"/>
          <w:sz w:val="24"/>
          <w:szCs w:val="24"/>
          <w:shd w:val="clear" w:color="auto" w:fill="FFFFFF"/>
        </w:rPr>
        <w:t>报价政策性加分（政策性加分是指对中小企业、监狱企业、残疾人福利性单位的价格扣除；对节能环保产品的加分等）：本项目面向中小型供应商采购，不再执行价格评审优惠的扶持政策，评审时不再对价格进行扣除。</w:t>
      </w:r>
    </w:p>
    <w:p w14:paraId="6A5929E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2.响应文件填报企业类似业绩</w:t>
      </w:r>
    </w:p>
    <w:p w14:paraId="7FEE5EFA">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：1、2025 年濮阳县子岸镇王梁庄村道路项目；2、淮阳区 2025 年北部乡镇基础设施道路建设项目 6 标段；3、中国农科院棉花所安阳所区基础设施改造项目(标段三)围墙及雨污水管网改造工程</w:t>
      </w:r>
    </w:p>
    <w:p w14:paraId="49B558DF">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磋商小组审查未通过的企业类似</w:t>
      </w:r>
      <w:r>
        <w:rPr>
          <w:rFonts w:hint="eastAsia" w:ascii="宋体" w:hAnsi="宋体" w:eastAsia="宋体" w:cs="宋体"/>
          <w:color w:val="auto"/>
          <w:sz w:val="24"/>
          <w:szCs w:val="24"/>
          <w:shd w:val="clear" w:color="auto" w:fill="FFFFFF"/>
          <w:lang w:val="zh-CN"/>
        </w:rPr>
        <w:t>业绩</w:t>
      </w:r>
      <w:r>
        <w:rPr>
          <w:rFonts w:hint="eastAsia" w:ascii="宋体" w:hAnsi="宋体" w:eastAsia="宋体" w:cs="宋体"/>
          <w:color w:val="auto"/>
          <w:sz w:val="24"/>
          <w:szCs w:val="24"/>
          <w:shd w:val="clear" w:color="auto" w:fill="FFFFFF"/>
          <w:lang w:val="en-US" w:eastAsia="zh-CN"/>
        </w:rPr>
        <w:t>： 无</w:t>
      </w:r>
    </w:p>
    <w:p w14:paraId="4333F641">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业绩：无</w:t>
      </w:r>
    </w:p>
    <w:p w14:paraId="590ABB22">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w:t>
      </w:r>
      <w:r>
        <w:rPr>
          <w:rFonts w:hint="eastAsia" w:ascii="宋体" w:hAnsi="宋体" w:eastAsia="宋体" w:cs="宋体"/>
          <w:color w:val="auto"/>
          <w:sz w:val="24"/>
          <w:szCs w:val="24"/>
          <w:shd w:val="clear" w:color="auto" w:fill="FFFFFF"/>
          <w:lang w:val="zh-CN" w:eastAsia="zh-CN"/>
        </w:rPr>
        <w:t>审查未通过的</w:t>
      </w:r>
      <w:r>
        <w:rPr>
          <w:rFonts w:hint="eastAsia" w:ascii="宋体" w:hAnsi="宋体" w:eastAsia="宋体" w:cs="宋体"/>
          <w:color w:val="auto"/>
          <w:sz w:val="24"/>
          <w:szCs w:val="24"/>
          <w:shd w:val="clear" w:color="auto" w:fill="FFFFFF"/>
          <w:lang w:val="en-US" w:eastAsia="zh-CN"/>
        </w:rPr>
        <w:t>项目负责人类似</w:t>
      </w:r>
      <w:r>
        <w:rPr>
          <w:rFonts w:hint="eastAsia" w:ascii="宋体" w:hAnsi="宋体" w:eastAsia="宋体" w:cs="宋体"/>
          <w:color w:val="auto"/>
          <w:sz w:val="24"/>
          <w:szCs w:val="24"/>
          <w:shd w:val="clear" w:color="auto" w:fill="FFFFFF"/>
          <w:lang w:val="zh-CN" w:eastAsia="zh-CN"/>
        </w:rPr>
        <w:t>业绩：无</w:t>
      </w:r>
    </w:p>
    <w:p w14:paraId="0D64C699">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3.响应文件中填报的拟投入本项目团队人员</w:t>
      </w:r>
    </w:p>
    <w:p w14:paraId="4B7F7DFB">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default"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val="en-US" w:eastAsia="zh-CN"/>
        </w:rPr>
        <w:t>磋商小组审查通过的：施工员：谷飞、质量员：李蓉蓉、安全员：赵茹梦、材料员：张广暖、资料员：张文娟</w:t>
      </w:r>
    </w:p>
    <w:p w14:paraId="075A0477">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rPr>
          <w:rFonts w:hint="eastAsia" w:ascii="宋体" w:hAnsi="宋体" w:eastAsia="宋体" w:cs="宋体"/>
          <w:b/>
          <w:bCs/>
          <w:color w:val="000000"/>
          <w:sz w:val="24"/>
          <w:szCs w:val="24"/>
          <w:lang w:val="en-US" w:eastAsia="zh-CN"/>
        </w:rPr>
      </w:pPr>
      <w:r>
        <w:rPr>
          <w:rFonts w:hint="eastAsia" w:ascii="宋体" w:hAnsi="宋体" w:eastAsia="宋体" w:cs="宋体"/>
          <w:color w:val="auto"/>
          <w:sz w:val="24"/>
          <w:szCs w:val="24"/>
          <w:shd w:val="clear" w:color="auto" w:fill="FFFFFF"/>
          <w:lang w:val="en-US" w:eastAsia="zh-CN"/>
        </w:rPr>
        <w:t>磋商小组审查未通过的：无</w:t>
      </w:r>
    </w:p>
    <w:p w14:paraId="50DEDA5F">
      <w:pPr>
        <w:keepNext w:val="0"/>
        <w:keepLines w:val="0"/>
        <w:pageBreakBefore w:val="0"/>
        <w:widowControl/>
        <w:numPr>
          <w:ilvl w:val="0"/>
          <w:numId w:val="0"/>
        </w:numPr>
        <w:kinsoku/>
        <w:wordWrap/>
        <w:overflowPunct/>
        <w:topLinePunct w:val="0"/>
        <w:autoSpaceDE/>
        <w:autoSpaceDN/>
        <w:bidi w:val="0"/>
        <w:adjustRightInd/>
        <w:snapToGrid w:val="0"/>
        <w:spacing w:line="520" w:lineRule="exact"/>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w:t>
      </w:r>
      <w:r>
        <w:rPr>
          <w:rFonts w:hint="eastAsia" w:ascii="宋体" w:hAnsi="宋体" w:cs="宋体"/>
          <w:b/>
          <w:bCs/>
          <w:color w:val="000000"/>
          <w:sz w:val="24"/>
          <w:szCs w:val="24"/>
          <w:lang w:val="en-US" w:eastAsia="zh-CN"/>
        </w:rPr>
        <w:t>三</w:t>
      </w:r>
      <w:r>
        <w:rPr>
          <w:rFonts w:hint="eastAsia" w:ascii="宋体" w:hAnsi="宋体" w:eastAsia="宋体" w:cs="宋体"/>
          <w:b/>
          <w:bCs/>
          <w:color w:val="000000"/>
          <w:sz w:val="24"/>
          <w:szCs w:val="24"/>
          <w:lang w:val="en-US" w:eastAsia="zh-CN"/>
        </w:rPr>
        <w:t>）详细评审</w:t>
      </w:r>
      <w:r>
        <w:rPr>
          <w:rFonts w:hint="eastAsia" w:ascii="宋体" w:hAnsi="宋体" w:eastAsia="宋体" w:cs="宋体"/>
          <w:b/>
          <w:bCs/>
          <w:color w:val="000000"/>
          <w:sz w:val="24"/>
          <w:szCs w:val="24"/>
          <w:lang w:val="zh-CN"/>
        </w:rPr>
        <w:t>得分及</w:t>
      </w:r>
      <w:r>
        <w:rPr>
          <w:rFonts w:hint="eastAsia" w:ascii="宋体" w:hAnsi="宋体" w:eastAsia="宋体" w:cs="宋体"/>
          <w:b/>
          <w:bCs/>
          <w:color w:val="000000"/>
          <w:sz w:val="24"/>
          <w:szCs w:val="24"/>
          <w:lang w:val="en-US" w:eastAsia="zh-CN"/>
        </w:rPr>
        <w:t>排名</w:t>
      </w:r>
    </w:p>
    <w:tbl>
      <w:tblPr>
        <w:tblStyle w:val="11"/>
        <w:tblW w:w="0" w:type="auto"/>
        <w:tblInd w:w="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3639"/>
        <w:gridCol w:w="1416"/>
        <w:gridCol w:w="1463"/>
        <w:gridCol w:w="852"/>
      </w:tblGrid>
      <w:tr w14:paraId="1BDC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6" w:type="dxa"/>
            <w:noWrap w:val="0"/>
            <w:vAlign w:val="center"/>
          </w:tcPr>
          <w:p w14:paraId="43B238E9">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序号</w:t>
            </w:r>
          </w:p>
        </w:tc>
        <w:tc>
          <w:tcPr>
            <w:tcW w:w="3639" w:type="dxa"/>
            <w:noWrap w:val="0"/>
            <w:vAlign w:val="center"/>
          </w:tcPr>
          <w:p w14:paraId="00EA3213">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供应商名称</w:t>
            </w:r>
          </w:p>
        </w:tc>
        <w:tc>
          <w:tcPr>
            <w:tcW w:w="1416" w:type="dxa"/>
            <w:noWrap w:val="0"/>
            <w:vAlign w:val="center"/>
          </w:tcPr>
          <w:p w14:paraId="6E4D887D">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评审得分</w:t>
            </w:r>
          </w:p>
        </w:tc>
        <w:tc>
          <w:tcPr>
            <w:tcW w:w="1463" w:type="dxa"/>
            <w:noWrap w:val="0"/>
            <w:vAlign w:val="center"/>
          </w:tcPr>
          <w:p w14:paraId="0AF34EA8">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企业类型</w:t>
            </w:r>
          </w:p>
        </w:tc>
        <w:tc>
          <w:tcPr>
            <w:tcW w:w="852" w:type="dxa"/>
            <w:noWrap w:val="0"/>
            <w:vAlign w:val="center"/>
          </w:tcPr>
          <w:p w14:paraId="4F6ADB84">
            <w:pPr>
              <w:keepNext w:val="0"/>
              <w:keepLines w:val="0"/>
              <w:pageBreakBefore w:val="0"/>
              <w:widowControl/>
              <w:kinsoku/>
              <w:wordWrap/>
              <w:overflowPunct/>
              <w:topLinePunct w:val="0"/>
              <w:autoSpaceDE/>
              <w:autoSpaceDN/>
              <w:bidi w:val="0"/>
              <w:adjustRightInd/>
              <w:snapToGrid w:val="0"/>
              <w:spacing w:line="520" w:lineRule="exact"/>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排名</w:t>
            </w:r>
          </w:p>
        </w:tc>
      </w:tr>
      <w:tr w14:paraId="64F0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40C30CBF">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w:t>
            </w:r>
          </w:p>
        </w:tc>
        <w:tc>
          <w:tcPr>
            <w:tcW w:w="3639" w:type="dxa"/>
            <w:shd w:val="clear" w:color="auto" w:fill="auto"/>
            <w:noWrap w:val="0"/>
            <w:vAlign w:val="bottom"/>
          </w:tcPr>
          <w:p w14:paraId="5864BCD9">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河南煌坤建设工程有限公司</w:t>
            </w:r>
          </w:p>
        </w:tc>
        <w:tc>
          <w:tcPr>
            <w:tcW w:w="1416" w:type="dxa"/>
            <w:noWrap w:val="0"/>
            <w:vAlign w:val="center"/>
          </w:tcPr>
          <w:p w14:paraId="32596039">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80.00</w:t>
            </w:r>
          </w:p>
        </w:tc>
        <w:tc>
          <w:tcPr>
            <w:tcW w:w="1463" w:type="dxa"/>
            <w:noWrap w:val="0"/>
            <w:vAlign w:val="center"/>
          </w:tcPr>
          <w:p w14:paraId="634DD942">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小型</w:t>
            </w:r>
          </w:p>
        </w:tc>
        <w:tc>
          <w:tcPr>
            <w:tcW w:w="852" w:type="dxa"/>
            <w:noWrap w:val="0"/>
            <w:vAlign w:val="center"/>
          </w:tcPr>
          <w:p w14:paraId="25FDF7EA">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4</w:t>
            </w:r>
          </w:p>
        </w:tc>
      </w:tr>
      <w:tr w14:paraId="11B6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3169827C">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c>
          <w:tcPr>
            <w:tcW w:w="3639" w:type="dxa"/>
            <w:shd w:val="clear" w:color="auto" w:fill="auto"/>
            <w:noWrap w:val="0"/>
            <w:vAlign w:val="bottom"/>
          </w:tcPr>
          <w:p w14:paraId="0777492B">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泓瀚缘(河南)建设集团有限公司</w:t>
            </w:r>
          </w:p>
        </w:tc>
        <w:tc>
          <w:tcPr>
            <w:tcW w:w="1416" w:type="dxa"/>
            <w:noWrap w:val="0"/>
            <w:vAlign w:val="center"/>
          </w:tcPr>
          <w:p w14:paraId="61844AD7">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87.60</w:t>
            </w:r>
          </w:p>
        </w:tc>
        <w:tc>
          <w:tcPr>
            <w:tcW w:w="1463" w:type="dxa"/>
            <w:noWrap w:val="0"/>
            <w:vAlign w:val="center"/>
          </w:tcPr>
          <w:p w14:paraId="4819CE59">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kern w:val="2"/>
                <w:sz w:val="24"/>
                <w:szCs w:val="24"/>
                <w:lang w:val="en-US" w:eastAsia="zh-CN" w:bidi="ar-SA"/>
              </w:rPr>
              <w:t>小型</w:t>
            </w:r>
          </w:p>
        </w:tc>
        <w:tc>
          <w:tcPr>
            <w:tcW w:w="852" w:type="dxa"/>
            <w:noWrap w:val="0"/>
            <w:vAlign w:val="center"/>
          </w:tcPr>
          <w:p w14:paraId="2450B066">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r>
      <w:tr w14:paraId="646A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469EA826">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w:t>
            </w:r>
          </w:p>
        </w:tc>
        <w:tc>
          <w:tcPr>
            <w:tcW w:w="3639" w:type="dxa"/>
            <w:shd w:val="clear" w:color="auto" w:fill="auto"/>
            <w:noWrap w:val="0"/>
            <w:vAlign w:val="bottom"/>
          </w:tcPr>
          <w:p w14:paraId="24C17D21">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河南伍勤建设有限公司</w:t>
            </w:r>
          </w:p>
        </w:tc>
        <w:tc>
          <w:tcPr>
            <w:tcW w:w="1416" w:type="dxa"/>
            <w:noWrap w:val="0"/>
            <w:vAlign w:val="center"/>
          </w:tcPr>
          <w:p w14:paraId="78E9DEC3">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79.45</w:t>
            </w:r>
          </w:p>
        </w:tc>
        <w:tc>
          <w:tcPr>
            <w:tcW w:w="1463" w:type="dxa"/>
            <w:noWrap w:val="0"/>
            <w:vAlign w:val="center"/>
          </w:tcPr>
          <w:p w14:paraId="796D3FAA">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小型</w:t>
            </w:r>
          </w:p>
        </w:tc>
        <w:tc>
          <w:tcPr>
            <w:tcW w:w="852" w:type="dxa"/>
            <w:noWrap w:val="0"/>
            <w:vAlign w:val="center"/>
          </w:tcPr>
          <w:p w14:paraId="1BCC9BCB">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6</w:t>
            </w:r>
          </w:p>
        </w:tc>
      </w:tr>
      <w:tr w14:paraId="7288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6CA1DA05">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w:t>
            </w:r>
          </w:p>
        </w:tc>
        <w:tc>
          <w:tcPr>
            <w:tcW w:w="3639" w:type="dxa"/>
            <w:shd w:val="clear" w:color="auto" w:fill="auto"/>
            <w:noWrap w:val="0"/>
            <w:vAlign w:val="bottom"/>
          </w:tcPr>
          <w:p w14:paraId="5A40ECD5">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河南亚伟建设工程集团有限公司</w:t>
            </w:r>
          </w:p>
        </w:tc>
        <w:tc>
          <w:tcPr>
            <w:tcW w:w="1416" w:type="dxa"/>
            <w:noWrap w:val="0"/>
            <w:vAlign w:val="center"/>
          </w:tcPr>
          <w:p w14:paraId="78D33CEB">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84.27</w:t>
            </w:r>
          </w:p>
        </w:tc>
        <w:tc>
          <w:tcPr>
            <w:tcW w:w="1463" w:type="dxa"/>
            <w:noWrap w:val="0"/>
            <w:vAlign w:val="center"/>
          </w:tcPr>
          <w:p w14:paraId="409CAF58">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中型</w:t>
            </w:r>
          </w:p>
        </w:tc>
        <w:tc>
          <w:tcPr>
            <w:tcW w:w="852" w:type="dxa"/>
            <w:noWrap w:val="0"/>
            <w:vAlign w:val="center"/>
          </w:tcPr>
          <w:p w14:paraId="017A818E">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3</w:t>
            </w:r>
          </w:p>
        </w:tc>
      </w:tr>
      <w:tr w14:paraId="3D95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74EB3FCA">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3639" w:type="dxa"/>
            <w:shd w:val="clear" w:color="auto" w:fill="auto"/>
            <w:noWrap w:val="0"/>
            <w:vAlign w:val="bottom"/>
          </w:tcPr>
          <w:p w14:paraId="1E396B1D">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山东鹏祥建设工程有限公司</w:t>
            </w:r>
          </w:p>
        </w:tc>
        <w:tc>
          <w:tcPr>
            <w:tcW w:w="1416" w:type="dxa"/>
            <w:noWrap w:val="0"/>
            <w:vAlign w:val="center"/>
          </w:tcPr>
          <w:p w14:paraId="5C2E0353">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74.39</w:t>
            </w:r>
          </w:p>
        </w:tc>
        <w:tc>
          <w:tcPr>
            <w:tcW w:w="1463" w:type="dxa"/>
            <w:noWrap w:val="0"/>
            <w:vAlign w:val="center"/>
          </w:tcPr>
          <w:p w14:paraId="2BE1B2E1">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小型</w:t>
            </w:r>
          </w:p>
        </w:tc>
        <w:tc>
          <w:tcPr>
            <w:tcW w:w="852" w:type="dxa"/>
            <w:noWrap w:val="0"/>
            <w:vAlign w:val="center"/>
          </w:tcPr>
          <w:p w14:paraId="4548E238">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9</w:t>
            </w:r>
          </w:p>
        </w:tc>
      </w:tr>
      <w:tr w14:paraId="683BC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11C40556">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6</w:t>
            </w:r>
          </w:p>
        </w:tc>
        <w:tc>
          <w:tcPr>
            <w:tcW w:w="3639" w:type="dxa"/>
            <w:shd w:val="clear" w:color="auto" w:fill="auto"/>
            <w:noWrap w:val="0"/>
            <w:vAlign w:val="bottom"/>
          </w:tcPr>
          <w:p w14:paraId="75EDC4E7">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河南匠人建设工程有限公司</w:t>
            </w:r>
          </w:p>
        </w:tc>
        <w:tc>
          <w:tcPr>
            <w:tcW w:w="1416" w:type="dxa"/>
            <w:noWrap w:val="0"/>
            <w:vAlign w:val="center"/>
          </w:tcPr>
          <w:p w14:paraId="792FD42A">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74.43</w:t>
            </w:r>
          </w:p>
        </w:tc>
        <w:tc>
          <w:tcPr>
            <w:tcW w:w="1463" w:type="dxa"/>
            <w:noWrap w:val="0"/>
            <w:vAlign w:val="center"/>
          </w:tcPr>
          <w:p w14:paraId="48989A57">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小型</w:t>
            </w:r>
          </w:p>
        </w:tc>
        <w:tc>
          <w:tcPr>
            <w:tcW w:w="852" w:type="dxa"/>
            <w:noWrap w:val="0"/>
            <w:vAlign w:val="center"/>
          </w:tcPr>
          <w:p w14:paraId="25C8F59A">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8</w:t>
            </w:r>
          </w:p>
        </w:tc>
      </w:tr>
      <w:tr w14:paraId="2E5D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4F3A8AD3">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w:t>
            </w:r>
          </w:p>
        </w:tc>
        <w:tc>
          <w:tcPr>
            <w:tcW w:w="3639" w:type="dxa"/>
            <w:shd w:val="clear" w:color="auto" w:fill="auto"/>
            <w:noWrap w:val="0"/>
            <w:vAlign w:val="bottom"/>
          </w:tcPr>
          <w:p w14:paraId="7FA58ECE">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河南云雷建筑工程有限公司</w:t>
            </w:r>
          </w:p>
        </w:tc>
        <w:tc>
          <w:tcPr>
            <w:tcW w:w="1416" w:type="dxa"/>
            <w:noWrap w:val="0"/>
            <w:vAlign w:val="center"/>
          </w:tcPr>
          <w:p w14:paraId="1BB2BEA1">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91.57</w:t>
            </w:r>
          </w:p>
        </w:tc>
        <w:tc>
          <w:tcPr>
            <w:tcW w:w="1463" w:type="dxa"/>
            <w:noWrap w:val="0"/>
            <w:vAlign w:val="center"/>
          </w:tcPr>
          <w:p w14:paraId="7BDFFB75">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小型</w:t>
            </w:r>
          </w:p>
        </w:tc>
        <w:tc>
          <w:tcPr>
            <w:tcW w:w="852" w:type="dxa"/>
            <w:noWrap w:val="0"/>
            <w:vAlign w:val="center"/>
          </w:tcPr>
          <w:p w14:paraId="5071DF33">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1</w:t>
            </w:r>
          </w:p>
        </w:tc>
      </w:tr>
      <w:tr w14:paraId="3634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49108642">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8</w:t>
            </w:r>
          </w:p>
        </w:tc>
        <w:tc>
          <w:tcPr>
            <w:tcW w:w="3639" w:type="dxa"/>
            <w:shd w:val="clear" w:color="auto" w:fill="auto"/>
            <w:noWrap w:val="0"/>
            <w:vAlign w:val="bottom"/>
          </w:tcPr>
          <w:p w14:paraId="3EAB5C95">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中恒国泰建设发展有限公司</w:t>
            </w:r>
          </w:p>
        </w:tc>
        <w:tc>
          <w:tcPr>
            <w:tcW w:w="1416" w:type="dxa"/>
            <w:noWrap w:val="0"/>
            <w:vAlign w:val="center"/>
          </w:tcPr>
          <w:p w14:paraId="35911F12">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79.67</w:t>
            </w:r>
          </w:p>
        </w:tc>
        <w:tc>
          <w:tcPr>
            <w:tcW w:w="1463" w:type="dxa"/>
            <w:noWrap w:val="0"/>
            <w:vAlign w:val="center"/>
          </w:tcPr>
          <w:p w14:paraId="6CC568AB">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中型</w:t>
            </w:r>
          </w:p>
        </w:tc>
        <w:tc>
          <w:tcPr>
            <w:tcW w:w="852" w:type="dxa"/>
            <w:noWrap w:val="0"/>
            <w:vAlign w:val="center"/>
          </w:tcPr>
          <w:p w14:paraId="238E7017">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5</w:t>
            </w:r>
          </w:p>
        </w:tc>
      </w:tr>
      <w:tr w14:paraId="6516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val="0"/>
            <w:vAlign w:val="center"/>
          </w:tcPr>
          <w:p w14:paraId="1B4D1657">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w:t>
            </w:r>
          </w:p>
        </w:tc>
        <w:tc>
          <w:tcPr>
            <w:tcW w:w="3639" w:type="dxa"/>
            <w:shd w:val="clear" w:color="auto" w:fill="auto"/>
            <w:noWrap w:val="0"/>
            <w:vAlign w:val="bottom"/>
          </w:tcPr>
          <w:p w14:paraId="54C37E49">
            <w:pPr>
              <w:keepNext w:val="0"/>
              <w:keepLines w:val="0"/>
              <w:widowControl/>
              <w:suppressLineNumbers w:val="0"/>
              <w:jc w:val="center"/>
              <w:textAlignment w:val="bottom"/>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i w:val="0"/>
                <w:iCs w:val="0"/>
                <w:color w:val="000000"/>
                <w:kern w:val="0"/>
                <w:sz w:val="24"/>
                <w:szCs w:val="24"/>
                <w:u w:val="none"/>
                <w:lang w:val="en-US" w:eastAsia="zh-CN" w:bidi="ar"/>
              </w:rPr>
              <w:t>宝泰建设集团有限公司</w:t>
            </w:r>
          </w:p>
        </w:tc>
        <w:tc>
          <w:tcPr>
            <w:tcW w:w="1416" w:type="dxa"/>
            <w:noWrap w:val="0"/>
            <w:vAlign w:val="center"/>
          </w:tcPr>
          <w:p w14:paraId="10E0CB43">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78.42</w:t>
            </w:r>
          </w:p>
        </w:tc>
        <w:tc>
          <w:tcPr>
            <w:tcW w:w="1463" w:type="dxa"/>
            <w:noWrap w:val="0"/>
            <w:vAlign w:val="center"/>
          </w:tcPr>
          <w:p w14:paraId="41BE18F1">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小型</w:t>
            </w:r>
          </w:p>
        </w:tc>
        <w:tc>
          <w:tcPr>
            <w:tcW w:w="852" w:type="dxa"/>
            <w:noWrap w:val="0"/>
            <w:vAlign w:val="center"/>
          </w:tcPr>
          <w:p w14:paraId="6D19385F">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kern w:val="2"/>
                <w:sz w:val="24"/>
                <w:szCs w:val="24"/>
                <w:lang w:val="en-US" w:eastAsia="zh-CN" w:bidi="ar-SA"/>
              </w:rPr>
              <w:t>7</w:t>
            </w:r>
          </w:p>
        </w:tc>
      </w:tr>
    </w:tbl>
    <w:p w14:paraId="0C8C253F">
      <w:pPr>
        <w:pStyle w:val="2"/>
        <w:rPr>
          <w:rFonts w:hint="eastAsia"/>
          <w:lang w:val="en-US" w:eastAsia="zh-CN"/>
        </w:rPr>
      </w:pPr>
    </w:p>
    <w:p w14:paraId="350E7B57">
      <w:pPr>
        <w:keepNext w:val="0"/>
        <w:keepLines w:val="0"/>
        <w:pageBreakBefore w:val="0"/>
        <w:numPr>
          <w:ilvl w:val="0"/>
          <w:numId w:val="0"/>
        </w:numPr>
        <w:kinsoku/>
        <w:wordWrap/>
        <w:overflowPunct/>
        <w:topLinePunct w:val="0"/>
        <w:autoSpaceDE/>
        <w:autoSpaceDN/>
        <w:bidi w:val="0"/>
        <w:adjustRightInd/>
        <w:snapToGrid/>
        <w:spacing w:beforeAutospacing="0" w:afterAutospacing="0" w:line="520" w:lineRule="exact"/>
        <w:rPr>
          <w:rFonts w:hint="eastAsia" w:ascii="宋体" w:hAnsi="宋体" w:eastAsia="宋体" w:cs="宋体"/>
          <w:b/>
          <w:bCs/>
          <w:color w:val="auto"/>
          <w:sz w:val="28"/>
          <w:szCs w:val="28"/>
        </w:rPr>
      </w:pPr>
      <w:r>
        <w:rPr>
          <w:rFonts w:hint="eastAsia" w:ascii="宋体" w:hAnsi="宋体" w:cs="宋体"/>
          <w:b/>
          <w:bCs/>
          <w:color w:val="auto"/>
          <w:sz w:val="28"/>
          <w:szCs w:val="28"/>
          <w:lang w:val="en-US" w:eastAsia="zh-CN"/>
        </w:rPr>
        <w:t>六</w:t>
      </w:r>
      <w:r>
        <w:rPr>
          <w:rFonts w:hint="eastAsia" w:ascii="宋体" w:hAnsi="宋体" w:eastAsia="宋体" w:cs="宋体"/>
          <w:b/>
          <w:bCs/>
          <w:color w:val="auto"/>
          <w:sz w:val="28"/>
          <w:szCs w:val="28"/>
          <w:lang w:val="en-US" w:eastAsia="zh-CN"/>
        </w:rPr>
        <w:t>、</w:t>
      </w:r>
      <w:r>
        <w:rPr>
          <w:rFonts w:hint="eastAsia" w:ascii="宋体" w:hAnsi="宋体" w:eastAsia="宋体" w:cs="宋体"/>
          <w:b/>
          <w:bCs/>
          <w:color w:val="auto"/>
          <w:sz w:val="28"/>
          <w:szCs w:val="28"/>
          <w:lang w:eastAsia="zh-CN"/>
        </w:rPr>
        <w:t>磋商小组</w:t>
      </w:r>
      <w:r>
        <w:rPr>
          <w:rFonts w:hint="eastAsia" w:ascii="宋体" w:hAnsi="宋体" w:eastAsia="宋体" w:cs="宋体"/>
          <w:b/>
          <w:bCs/>
          <w:color w:val="auto"/>
          <w:sz w:val="28"/>
          <w:szCs w:val="28"/>
        </w:rPr>
        <w:t>推荐</w:t>
      </w:r>
      <w:r>
        <w:rPr>
          <w:rFonts w:hint="eastAsia" w:ascii="宋体" w:hAnsi="宋体" w:eastAsia="宋体" w:cs="宋体"/>
          <w:b/>
          <w:bCs/>
          <w:color w:val="auto"/>
          <w:sz w:val="28"/>
          <w:szCs w:val="28"/>
          <w:lang w:val="en-US" w:eastAsia="zh-CN"/>
        </w:rPr>
        <w:t>成交</w:t>
      </w:r>
      <w:r>
        <w:rPr>
          <w:rFonts w:hint="eastAsia" w:ascii="宋体" w:hAnsi="宋体" w:eastAsia="宋体" w:cs="宋体"/>
          <w:b/>
          <w:bCs/>
          <w:color w:val="auto"/>
          <w:sz w:val="28"/>
          <w:szCs w:val="28"/>
        </w:rPr>
        <w:t>候选人情况</w:t>
      </w:r>
    </w:p>
    <w:p w14:paraId="2B78BC1D">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3"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第一</w:t>
      </w:r>
      <w:r>
        <w:rPr>
          <w:rFonts w:hint="eastAsia" w:ascii="宋体" w:hAnsi="宋体" w:eastAsia="宋体" w:cs="宋体"/>
          <w:b/>
          <w:bCs/>
          <w:color w:val="auto"/>
          <w:sz w:val="24"/>
          <w:szCs w:val="24"/>
          <w:lang w:eastAsia="zh-CN"/>
        </w:rPr>
        <w:t>成交</w:t>
      </w:r>
      <w:r>
        <w:rPr>
          <w:rFonts w:hint="eastAsia" w:ascii="宋体" w:hAnsi="宋体" w:eastAsia="宋体" w:cs="宋体"/>
          <w:b/>
          <w:bCs/>
          <w:color w:val="auto"/>
          <w:sz w:val="24"/>
          <w:szCs w:val="24"/>
        </w:rPr>
        <w:t>候选人</w:t>
      </w:r>
      <w:r>
        <w:rPr>
          <w:rFonts w:hint="eastAsia" w:ascii="宋体" w:hAnsi="宋体" w:eastAsia="宋体" w:cs="宋体"/>
          <w:color w:val="auto"/>
          <w:sz w:val="24"/>
          <w:szCs w:val="24"/>
          <w:lang w:val="en-US" w:eastAsia="zh-CN"/>
        </w:rPr>
        <w:t>：</w:t>
      </w:r>
      <w:bookmarkStart w:id="0" w:name="FirstHxrName"/>
      <w:r>
        <w:rPr>
          <w:rFonts w:hint="eastAsia" w:ascii="宋体" w:hAnsi="宋体" w:eastAsia="宋体" w:cs="宋体"/>
          <w:color w:val="auto"/>
          <w:sz w:val="24"/>
          <w:szCs w:val="24"/>
          <w:lang w:val="en-US" w:eastAsia="zh-CN"/>
        </w:rPr>
        <w:t>河南云雷建筑工程有限公司</w:t>
      </w:r>
      <w:bookmarkEnd w:id="0"/>
    </w:p>
    <w:p w14:paraId="68D879A9">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信用代码：</w:t>
      </w:r>
      <w:bookmarkStart w:id="1" w:name="FirstUnitOrgNum"/>
      <w:r>
        <w:rPr>
          <w:rFonts w:hint="eastAsia" w:ascii="宋体" w:hAnsi="宋体" w:eastAsia="宋体" w:cs="宋体"/>
          <w:color w:val="auto"/>
          <w:sz w:val="24"/>
          <w:szCs w:val="24"/>
          <w:lang w:val="en" w:eastAsia="zh-CN"/>
        </w:rPr>
        <w:t>91410225MA9G6Q4904</w:t>
      </w:r>
      <w:bookmarkEnd w:id="1"/>
    </w:p>
    <w:p w14:paraId="0FBB3712">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bookmarkStart w:id="2" w:name="FirstHxrAdress"/>
      <w:r>
        <w:rPr>
          <w:rFonts w:hint="eastAsia" w:ascii="宋体" w:hAnsi="宋体" w:eastAsia="宋体" w:cs="宋体"/>
          <w:color w:val="auto"/>
          <w:sz w:val="24"/>
          <w:szCs w:val="24"/>
          <w:lang w:val="en-US" w:eastAsia="zh-CN"/>
        </w:rPr>
        <w:t>河南省安阳市林州市</w:t>
      </w:r>
      <w:bookmarkEnd w:id="2"/>
      <w:r>
        <w:rPr>
          <w:rFonts w:hint="eastAsia" w:ascii="宋体" w:hAnsi="宋体" w:eastAsia="宋体" w:cs="宋体"/>
          <w:color w:val="auto"/>
          <w:sz w:val="24"/>
          <w:szCs w:val="24"/>
          <w:lang w:val="en-US" w:eastAsia="zh-CN"/>
        </w:rPr>
        <w:t>陵阳镇致远大道铂丰大厦288号</w:t>
      </w:r>
    </w:p>
    <w:p w14:paraId="4278E61D">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企业性质：</w:t>
      </w:r>
      <w:r>
        <w:rPr>
          <w:rFonts w:hint="eastAsia" w:ascii="宋体" w:hAnsi="宋体" w:cs="宋体"/>
          <w:color w:val="auto"/>
          <w:sz w:val="24"/>
          <w:szCs w:val="24"/>
          <w:lang w:val="en-US" w:eastAsia="zh-CN"/>
        </w:rPr>
        <w:t>有限责任公司（自然人投资或控股）</w:t>
      </w:r>
    </w:p>
    <w:p w14:paraId="207D37EB">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磋商报价（最终报价）：  </w:t>
      </w:r>
      <w:bookmarkStart w:id="3" w:name="FirstHxrRoundPrice"/>
      <w:r>
        <w:rPr>
          <w:rFonts w:hint="eastAsia" w:ascii="宋体" w:hAnsi="宋体" w:eastAsia="宋体" w:cs="宋体"/>
          <w:color w:val="auto"/>
          <w:sz w:val="24"/>
          <w:szCs w:val="24"/>
          <w:lang w:val="en-US" w:eastAsia="zh-CN"/>
        </w:rPr>
        <w:t>886421</w:t>
      </w:r>
      <w:bookmarkEnd w:id="3"/>
      <w:r>
        <w:rPr>
          <w:rFonts w:hint="eastAsia" w:ascii="宋体" w:hAnsi="宋体" w:cs="宋体"/>
          <w:color w:val="auto"/>
          <w:sz w:val="24"/>
          <w:szCs w:val="24"/>
          <w:lang w:val="en-US" w:eastAsia="zh-CN"/>
        </w:rPr>
        <w:t>.00</w:t>
      </w:r>
      <w:r>
        <w:rPr>
          <w:rFonts w:hint="eastAsia" w:ascii="宋体" w:hAnsi="宋体" w:eastAsia="宋体" w:cs="宋体"/>
          <w:color w:val="auto"/>
          <w:sz w:val="24"/>
          <w:szCs w:val="24"/>
          <w:lang w:val="en-US" w:eastAsia="zh-CN"/>
        </w:rPr>
        <w:t xml:space="preserve"> 元   大写：</w:t>
      </w:r>
      <w:r>
        <w:rPr>
          <w:rFonts w:hint="eastAsia" w:ascii="宋体" w:hAnsi="宋体" w:cs="宋体"/>
          <w:color w:val="auto"/>
          <w:sz w:val="24"/>
          <w:szCs w:val="24"/>
          <w:lang w:val="en-US" w:eastAsia="zh-CN"/>
        </w:rPr>
        <w:t>捌拾捌万陆仟肆佰贰拾壹元整</w:t>
      </w:r>
      <w:r>
        <w:rPr>
          <w:rFonts w:hint="eastAsia" w:ascii="宋体" w:hAnsi="宋体" w:eastAsia="宋体" w:cs="宋体"/>
          <w:color w:val="auto"/>
          <w:sz w:val="24"/>
          <w:szCs w:val="24"/>
          <w:lang w:val="en-US" w:eastAsia="zh-CN"/>
        </w:rPr>
        <w:t xml:space="preserve">  </w:t>
      </w:r>
    </w:p>
    <w:p w14:paraId="79DA47F2">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r>
        <w:rPr>
          <w:rFonts w:hint="eastAsia" w:ascii="宋体" w:hAnsi="宋体" w:cs="宋体"/>
          <w:color w:val="auto"/>
          <w:sz w:val="24"/>
          <w:szCs w:val="24"/>
          <w:lang w:val="en-US" w:eastAsia="zh-CN"/>
        </w:rPr>
        <w:t>杜艳清</w:t>
      </w:r>
      <w:r>
        <w:rPr>
          <w:rFonts w:hint="eastAsia" w:ascii="宋体" w:hAnsi="宋体" w:eastAsia="宋体" w:cs="宋体"/>
          <w:color w:val="auto"/>
          <w:sz w:val="24"/>
          <w:szCs w:val="24"/>
          <w:lang w:val="en-US" w:eastAsia="zh-CN"/>
        </w:rPr>
        <w:t xml:space="preserve">    联系方式（手机）：</w:t>
      </w:r>
      <w:r>
        <w:rPr>
          <w:rFonts w:hint="eastAsia" w:ascii="宋体" w:hAnsi="宋体" w:cs="宋体"/>
          <w:color w:val="auto"/>
          <w:sz w:val="24"/>
          <w:szCs w:val="24"/>
          <w:lang w:val="en-US" w:eastAsia="zh-CN"/>
        </w:rPr>
        <w:t>18039918666</w:t>
      </w:r>
    </w:p>
    <w:p w14:paraId="591671B6">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3"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第二</w:t>
      </w:r>
      <w:r>
        <w:rPr>
          <w:rFonts w:hint="eastAsia" w:ascii="宋体" w:hAnsi="宋体" w:eastAsia="宋体" w:cs="宋体"/>
          <w:b/>
          <w:bCs/>
          <w:color w:val="auto"/>
          <w:sz w:val="24"/>
          <w:szCs w:val="24"/>
          <w:lang w:eastAsia="zh-CN"/>
        </w:rPr>
        <w:t>成交</w:t>
      </w:r>
      <w:r>
        <w:rPr>
          <w:rFonts w:hint="eastAsia" w:ascii="宋体" w:hAnsi="宋体" w:eastAsia="宋体" w:cs="宋体"/>
          <w:b/>
          <w:bCs/>
          <w:color w:val="auto"/>
          <w:sz w:val="24"/>
          <w:szCs w:val="24"/>
        </w:rPr>
        <w:t>候选人：</w:t>
      </w:r>
      <w:bookmarkStart w:id="4" w:name="SecondHxrName"/>
      <w:r>
        <w:rPr>
          <w:rFonts w:hint="eastAsia" w:ascii="宋体" w:hAnsi="宋体" w:eastAsia="宋体" w:cs="宋体"/>
          <w:color w:val="auto"/>
          <w:sz w:val="24"/>
          <w:szCs w:val="24"/>
          <w:lang w:val="en-US" w:eastAsia="zh-CN"/>
        </w:rPr>
        <w:t>泓瀚缘(河南)建设集团有限公司</w:t>
      </w:r>
      <w:bookmarkEnd w:id="4"/>
    </w:p>
    <w:p w14:paraId="32729715">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信用代码：</w:t>
      </w:r>
      <w:bookmarkStart w:id="5" w:name="SecondUnitOrgNum"/>
      <w:r>
        <w:rPr>
          <w:rFonts w:hint="eastAsia" w:ascii="宋体" w:hAnsi="宋体" w:eastAsia="宋体" w:cs="宋体"/>
          <w:color w:val="auto"/>
          <w:sz w:val="24"/>
          <w:szCs w:val="24"/>
          <w:lang w:val="en" w:eastAsia="zh-CN"/>
        </w:rPr>
        <w:t>91410200MA9FKL716D</w:t>
      </w:r>
      <w:bookmarkEnd w:id="5"/>
    </w:p>
    <w:p w14:paraId="2C6AF46A">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bookmarkStart w:id="6" w:name="SecondHxrAdress"/>
      <w:r>
        <w:rPr>
          <w:rFonts w:hint="eastAsia" w:ascii="宋体" w:hAnsi="宋体" w:eastAsia="宋体" w:cs="宋体"/>
          <w:color w:val="auto"/>
          <w:sz w:val="24"/>
          <w:szCs w:val="24"/>
          <w:lang w:val="en-US" w:eastAsia="zh-CN"/>
        </w:rPr>
        <w:t>郑州市金水区勤工路8号6号楼26层2611</w:t>
      </w:r>
      <w:bookmarkEnd w:id="6"/>
      <w:r>
        <w:rPr>
          <w:rFonts w:hint="eastAsia" w:ascii="宋体" w:hAnsi="宋体" w:cs="宋体"/>
          <w:color w:val="auto"/>
          <w:sz w:val="24"/>
          <w:szCs w:val="24"/>
          <w:lang w:val="en-US" w:eastAsia="zh-CN"/>
        </w:rPr>
        <w:t>号</w:t>
      </w:r>
    </w:p>
    <w:p w14:paraId="6D616372">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企业性质：</w:t>
      </w:r>
      <w:r>
        <w:rPr>
          <w:rFonts w:hint="eastAsia" w:ascii="宋体" w:hAnsi="宋体" w:cs="宋体"/>
          <w:color w:val="auto"/>
          <w:sz w:val="24"/>
          <w:szCs w:val="24"/>
          <w:lang w:val="en-US" w:eastAsia="zh-CN"/>
        </w:rPr>
        <w:t>有限责任公司（自然人投资或控股）</w:t>
      </w:r>
    </w:p>
    <w:p w14:paraId="4878440E">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磋商报价（最终报价）： </w:t>
      </w:r>
      <w:bookmarkStart w:id="7" w:name="SecondHxrRoundPrice"/>
      <w:r>
        <w:rPr>
          <w:rFonts w:hint="eastAsia" w:ascii="宋体" w:hAnsi="宋体" w:eastAsia="宋体" w:cs="宋体"/>
          <w:color w:val="auto"/>
          <w:sz w:val="24"/>
          <w:szCs w:val="24"/>
          <w:lang w:val="en-US" w:eastAsia="zh-CN"/>
        </w:rPr>
        <w:t>838218.57</w:t>
      </w:r>
      <w:bookmarkEnd w:id="7"/>
      <w:r>
        <w:rPr>
          <w:rFonts w:hint="eastAsia" w:ascii="宋体" w:hAnsi="宋体" w:eastAsia="宋体" w:cs="宋体"/>
          <w:color w:val="auto"/>
          <w:sz w:val="24"/>
          <w:szCs w:val="24"/>
          <w:lang w:val="en-US" w:eastAsia="zh-CN"/>
        </w:rPr>
        <w:t xml:space="preserve"> 元 大写：</w:t>
      </w:r>
      <w:r>
        <w:rPr>
          <w:rFonts w:hint="eastAsia" w:ascii="宋体" w:hAnsi="宋体" w:cs="宋体"/>
          <w:color w:val="auto"/>
          <w:sz w:val="24"/>
          <w:szCs w:val="24"/>
          <w:lang w:val="en-US" w:eastAsia="zh-CN"/>
        </w:rPr>
        <w:t>捌拾叁万捌仟贰佰壹拾捌元伍角柒分</w:t>
      </w:r>
      <w:r>
        <w:rPr>
          <w:rFonts w:hint="eastAsia" w:ascii="宋体" w:hAnsi="宋体" w:eastAsia="宋体" w:cs="宋体"/>
          <w:color w:val="auto"/>
          <w:sz w:val="24"/>
          <w:szCs w:val="24"/>
          <w:lang w:val="en-US" w:eastAsia="zh-CN"/>
        </w:rPr>
        <w:t xml:space="preserve">  </w:t>
      </w:r>
    </w:p>
    <w:p w14:paraId="7FD63243">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bookmarkStart w:id="8" w:name="SecondHxrLianXiRen"/>
      <w:r>
        <w:rPr>
          <w:rFonts w:hint="eastAsia" w:ascii="宋体" w:hAnsi="宋体" w:eastAsia="宋体" w:cs="宋体"/>
          <w:color w:val="auto"/>
          <w:sz w:val="24"/>
          <w:szCs w:val="24"/>
          <w:lang w:val="en-US" w:eastAsia="zh-CN"/>
        </w:rPr>
        <w:t>郑丽亚</w:t>
      </w:r>
      <w:bookmarkEnd w:id="8"/>
      <w:r>
        <w:rPr>
          <w:rFonts w:hint="eastAsia" w:ascii="宋体" w:hAnsi="宋体" w:eastAsia="宋体" w:cs="宋体"/>
          <w:color w:val="auto"/>
          <w:sz w:val="24"/>
          <w:szCs w:val="24"/>
          <w:lang w:val="en-US" w:eastAsia="zh-CN"/>
        </w:rPr>
        <w:t xml:space="preserve">     联系方式(手机)：</w:t>
      </w:r>
      <w:bookmarkStart w:id="9" w:name="SecondHxrLiXiMobile"/>
      <w:r>
        <w:rPr>
          <w:rFonts w:hint="eastAsia" w:ascii="宋体" w:hAnsi="宋体" w:eastAsia="宋体" w:cs="宋体"/>
          <w:color w:val="auto"/>
          <w:sz w:val="24"/>
          <w:szCs w:val="24"/>
          <w:lang w:val="en-US" w:eastAsia="zh-CN"/>
        </w:rPr>
        <w:t>13523466676</w:t>
      </w:r>
      <w:bookmarkEnd w:id="9"/>
    </w:p>
    <w:p w14:paraId="70B7D386">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3"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第三</w:t>
      </w:r>
      <w:r>
        <w:rPr>
          <w:rFonts w:hint="eastAsia" w:ascii="宋体" w:hAnsi="宋体" w:eastAsia="宋体" w:cs="宋体"/>
          <w:b/>
          <w:bCs/>
          <w:color w:val="auto"/>
          <w:sz w:val="24"/>
          <w:szCs w:val="24"/>
          <w:lang w:eastAsia="zh-CN"/>
        </w:rPr>
        <w:t>成交</w:t>
      </w:r>
      <w:r>
        <w:rPr>
          <w:rFonts w:hint="eastAsia" w:ascii="宋体" w:hAnsi="宋体" w:eastAsia="宋体" w:cs="宋体"/>
          <w:b/>
          <w:bCs/>
          <w:color w:val="auto"/>
          <w:sz w:val="24"/>
          <w:szCs w:val="24"/>
        </w:rPr>
        <w:t>候选人：</w:t>
      </w:r>
      <w:bookmarkStart w:id="10" w:name="ThirdHxrName"/>
      <w:r>
        <w:rPr>
          <w:rFonts w:hint="eastAsia" w:ascii="宋体" w:hAnsi="宋体" w:eastAsia="宋体" w:cs="宋体"/>
          <w:color w:val="auto"/>
          <w:sz w:val="24"/>
          <w:szCs w:val="24"/>
          <w:lang w:val="en-US" w:eastAsia="zh-CN"/>
        </w:rPr>
        <w:t>河南亚伟建设工程集团有限公司</w:t>
      </w:r>
      <w:bookmarkEnd w:id="10"/>
    </w:p>
    <w:p w14:paraId="453D282A">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信用代码：</w:t>
      </w:r>
      <w:bookmarkStart w:id="11" w:name="ThirdUnitOrgNum"/>
      <w:r>
        <w:rPr>
          <w:rFonts w:hint="eastAsia" w:ascii="宋体" w:hAnsi="宋体" w:eastAsia="宋体" w:cs="宋体"/>
          <w:color w:val="auto"/>
          <w:sz w:val="24"/>
          <w:szCs w:val="24"/>
          <w:lang w:val="en" w:eastAsia="zh-CN"/>
        </w:rPr>
        <w:t>91410100749245659J</w:t>
      </w:r>
      <w:bookmarkEnd w:id="11"/>
    </w:p>
    <w:p w14:paraId="267DB0E8">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bookmarkStart w:id="12" w:name="ThirdHxrAdress"/>
      <w:r>
        <w:rPr>
          <w:rFonts w:hint="eastAsia" w:ascii="宋体" w:hAnsi="宋体" w:eastAsia="宋体" w:cs="宋体"/>
          <w:color w:val="auto"/>
          <w:sz w:val="24"/>
          <w:szCs w:val="24"/>
          <w:lang w:val="en-US" w:eastAsia="zh-CN"/>
        </w:rPr>
        <w:t>郑州高新区瑞达路彩虹花园26号楼1楼</w:t>
      </w:r>
      <w:bookmarkEnd w:id="12"/>
    </w:p>
    <w:p w14:paraId="7005C024">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企业性质：</w:t>
      </w:r>
      <w:r>
        <w:rPr>
          <w:rFonts w:hint="eastAsia" w:ascii="宋体" w:hAnsi="宋体" w:cs="宋体"/>
          <w:color w:val="auto"/>
          <w:sz w:val="24"/>
          <w:szCs w:val="24"/>
          <w:lang w:val="en-US" w:eastAsia="zh-CN"/>
        </w:rPr>
        <w:t>有限责任公司（自然人投资或控股）</w:t>
      </w:r>
    </w:p>
    <w:p w14:paraId="43BBC6D9">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磋商报价（最终报价）：</w:t>
      </w:r>
      <w:bookmarkStart w:id="13" w:name="ThirdHxrRoundPrice"/>
      <w:r>
        <w:rPr>
          <w:rFonts w:hint="eastAsia" w:ascii="宋体" w:hAnsi="宋体" w:eastAsia="宋体" w:cs="宋体"/>
          <w:color w:val="auto"/>
          <w:sz w:val="24"/>
          <w:szCs w:val="24"/>
          <w:lang w:val="en-US" w:eastAsia="zh-CN"/>
        </w:rPr>
        <w:t>859000.14</w:t>
      </w:r>
      <w:bookmarkEnd w:id="13"/>
      <w:r>
        <w:rPr>
          <w:rFonts w:hint="eastAsia" w:ascii="宋体" w:hAnsi="宋体" w:eastAsia="宋体" w:cs="宋体"/>
          <w:color w:val="auto"/>
          <w:sz w:val="24"/>
          <w:szCs w:val="24"/>
          <w:lang w:val="en-US" w:eastAsia="zh-CN"/>
        </w:rPr>
        <w:t>元     大写：</w:t>
      </w:r>
      <w:r>
        <w:rPr>
          <w:rFonts w:hint="eastAsia" w:ascii="宋体" w:hAnsi="宋体" w:cs="宋体"/>
          <w:color w:val="auto"/>
          <w:sz w:val="24"/>
          <w:szCs w:val="24"/>
          <w:lang w:val="en-US" w:eastAsia="zh-CN"/>
        </w:rPr>
        <w:t>捌拾伍万玖仟元壹角肆分</w:t>
      </w:r>
      <w:r>
        <w:rPr>
          <w:rFonts w:hint="eastAsia" w:ascii="宋体" w:hAnsi="宋体" w:eastAsia="宋体" w:cs="宋体"/>
          <w:color w:val="auto"/>
          <w:sz w:val="24"/>
          <w:szCs w:val="24"/>
          <w:lang w:val="en-US" w:eastAsia="zh-CN"/>
        </w:rPr>
        <w:t xml:space="preserve">  </w:t>
      </w:r>
    </w:p>
    <w:p w14:paraId="64194AF0">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bookmarkStart w:id="14" w:name="ThirdHxrLianXiRen"/>
      <w:r>
        <w:rPr>
          <w:rFonts w:hint="eastAsia" w:ascii="宋体" w:hAnsi="宋体" w:eastAsia="宋体" w:cs="宋体"/>
          <w:color w:val="auto"/>
          <w:sz w:val="24"/>
          <w:szCs w:val="24"/>
          <w:lang w:val="en-US" w:eastAsia="zh-CN"/>
        </w:rPr>
        <w:t>：关志飞</w:t>
      </w:r>
      <w:bookmarkEnd w:id="14"/>
      <w:r>
        <w:rPr>
          <w:rFonts w:hint="eastAsia" w:ascii="宋体" w:hAnsi="宋体" w:eastAsia="宋体" w:cs="宋体"/>
          <w:color w:val="auto"/>
          <w:sz w:val="24"/>
          <w:szCs w:val="24"/>
          <w:lang w:val="en-US" w:eastAsia="zh-CN"/>
        </w:rPr>
        <w:t xml:space="preserve">     联系方式(手机)：</w:t>
      </w:r>
      <w:bookmarkStart w:id="15" w:name="ThirdHxrLiXiMobile"/>
      <w:r>
        <w:rPr>
          <w:rFonts w:hint="eastAsia" w:ascii="宋体" w:hAnsi="宋体" w:eastAsia="宋体" w:cs="宋体"/>
          <w:color w:val="auto"/>
          <w:sz w:val="24"/>
          <w:szCs w:val="24"/>
          <w:lang w:val="en-US" w:eastAsia="zh-CN"/>
        </w:rPr>
        <w:t>18595879178</w:t>
      </w:r>
      <w:bookmarkEnd w:id="15"/>
    </w:p>
    <w:p w14:paraId="60CF4689">
      <w:pPr>
        <w:keepNext w:val="0"/>
        <w:keepLines w:val="0"/>
        <w:pageBreakBefore w:val="0"/>
        <w:numPr>
          <w:ilvl w:val="0"/>
          <w:numId w:val="0"/>
        </w:numPr>
        <w:kinsoku/>
        <w:wordWrap/>
        <w:overflowPunct/>
        <w:topLinePunct w:val="0"/>
        <w:autoSpaceDE/>
        <w:autoSpaceDN/>
        <w:bidi w:val="0"/>
        <w:adjustRightInd/>
        <w:snapToGrid/>
        <w:spacing w:beforeAutospacing="0" w:afterAutospacing="0" w:line="520" w:lineRule="exact"/>
        <w:rPr>
          <w:rFonts w:hint="eastAsia" w:ascii="宋体" w:hAnsi="宋体" w:eastAsia="宋体" w:cs="宋体"/>
          <w:b/>
          <w:bCs/>
          <w:color w:val="auto"/>
          <w:sz w:val="28"/>
          <w:szCs w:val="28"/>
          <w:lang w:val="en-US" w:eastAsia="zh-CN"/>
        </w:rPr>
      </w:pPr>
      <w:r>
        <w:rPr>
          <w:rFonts w:hint="eastAsia" w:ascii="宋体" w:hAnsi="宋体" w:cs="宋体"/>
          <w:color w:val="auto"/>
          <w:sz w:val="24"/>
          <w:szCs w:val="24"/>
          <w:lang w:val="en-US" w:eastAsia="zh-CN"/>
        </w:rPr>
        <w:t xml:space="preserve"> </w:t>
      </w:r>
      <w:r>
        <w:rPr>
          <w:rFonts w:hint="eastAsia" w:ascii="宋体" w:hAnsi="宋体" w:cs="宋体"/>
          <w:b/>
          <w:bCs/>
          <w:color w:val="auto"/>
          <w:sz w:val="28"/>
          <w:szCs w:val="28"/>
          <w:lang w:val="en-US" w:eastAsia="zh-CN"/>
        </w:rPr>
        <w:t>七</w:t>
      </w:r>
      <w:r>
        <w:rPr>
          <w:rFonts w:hint="eastAsia" w:ascii="宋体" w:hAnsi="宋体" w:eastAsia="宋体" w:cs="宋体"/>
          <w:b/>
          <w:bCs/>
          <w:color w:val="auto"/>
          <w:sz w:val="28"/>
          <w:szCs w:val="28"/>
          <w:lang w:val="en-US" w:eastAsia="zh-CN"/>
        </w:rPr>
        <w:t>、采购人授权</w:t>
      </w:r>
      <w:r>
        <w:rPr>
          <w:rFonts w:hint="eastAsia" w:ascii="宋体" w:hAnsi="宋体" w:eastAsia="宋体" w:cs="宋体"/>
          <w:b/>
          <w:bCs/>
          <w:color w:val="auto"/>
          <w:sz w:val="28"/>
          <w:szCs w:val="28"/>
          <w:lang w:eastAsia="zh-CN"/>
        </w:rPr>
        <w:t>磋商小组</w:t>
      </w:r>
      <w:r>
        <w:rPr>
          <w:rFonts w:hint="eastAsia" w:ascii="宋体" w:hAnsi="宋体" w:eastAsia="宋体" w:cs="宋体"/>
          <w:b/>
          <w:bCs/>
          <w:color w:val="auto"/>
          <w:sz w:val="28"/>
          <w:szCs w:val="28"/>
          <w:lang w:val="en-US" w:eastAsia="zh-CN"/>
        </w:rPr>
        <w:t>确定成交人情况</w:t>
      </w:r>
    </w:p>
    <w:p w14:paraId="1536493E">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333333"/>
          <w:spacing w:val="0"/>
          <w:sz w:val="24"/>
          <w:szCs w:val="24"/>
          <w:shd w:val="clear" w:fill="FFFFFF"/>
        </w:rPr>
        <w:t>成交人名称：</w:t>
      </w:r>
      <w:r>
        <w:rPr>
          <w:rFonts w:hint="eastAsia" w:ascii="宋体" w:hAnsi="宋体" w:eastAsia="宋体" w:cs="宋体"/>
          <w:color w:val="auto"/>
          <w:sz w:val="24"/>
          <w:szCs w:val="24"/>
          <w:lang w:val="en-US" w:eastAsia="zh-CN"/>
        </w:rPr>
        <w:t>河南云雷建筑工程有限公司</w:t>
      </w:r>
    </w:p>
    <w:p w14:paraId="6966F2DC">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信用代码：</w:t>
      </w:r>
      <w:r>
        <w:rPr>
          <w:rFonts w:hint="eastAsia" w:ascii="宋体" w:hAnsi="宋体" w:eastAsia="宋体" w:cs="宋体"/>
          <w:color w:val="auto"/>
          <w:sz w:val="24"/>
          <w:szCs w:val="24"/>
          <w:lang w:val="en" w:eastAsia="zh-CN"/>
        </w:rPr>
        <w:t>91410225MA9G6Q4904</w:t>
      </w:r>
    </w:p>
    <w:p w14:paraId="70C1D20D">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地址：河南省安阳市林州市陵阳镇致远大道铂丰大厦288号</w:t>
      </w:r>
    </w:p>
    <w:p w14:paraId="43F3150E">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企业性质：</w:t>
      </w:r>
      <w:r>
        <w:rPr>
          <w:rFonts w:hint="eastAsia" w:ascii="宋体" w:hAnsi="宋体" w:cs="宋体"/>
          <w:color w:val="auto"/>
          <w:sz w:val="24"/>
          <w:szCs w:val="24"/>
          <w:lang w:val="en-US" w:eastAsia="zh-CN"/>
        </w:rPr>
        <w:t>有限责任公司（自然人投资或控股）</w:t>
      </w:r>
    </w:p>
    <w:p w14:paraId="61B4A2C2">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磋商报价（最终报价）：  886421</w:t>
      </w:r>
      <w:r>
        <w:rPr>
          <w:rFonts w:hint="eastAsia" w:ascii="宋体" w:hAnsi="宋体" w:cs="宋体"/>
          <w:color w:val="auto"/>
          <w:sz w:val="24"/>
          <w:szCs w:val="24"/>
          <w:lang w:val="en-US" w:eastAsia="zh-CN"/>
        </w:rPr>
        <w:t>.00</w:t>
      </w:r>
      <w:r>
        <w:rPr>
          <w:rFonts w:hint="eastAsia" w:ascii="宋体" w:hAnsi="宋体" w:eastAsia="宋体" w:cs="宋体"/>
          <w:color w:val="auto"/>
          <w:sz w:val="24"/>
          <w:szCs w:val="24"/>
          <w:lang w:val="en-US" w:eastAsia="zh-CN"/>
        </w:rPr>
        <w:t xml:space="preserve"> 元   大写：</w:t>
      </w:r>
      <w:r>
        <w:rPr>
          <w:rFonts w:hint="eastAsia" w:ascii="宋体" w:hAnsi="宋体" w:cs="宋体"/>
          <w:color w:val="auto"/>
          <w:sz w:val="24"/>
          <w:szCs w:val="24"/>
          <w:lang w:val="en-US" w:eastAsia="zh-CN"/>
        </w:rPr>
        <w:t>捌拾捌万陆仟肆佰贰拾壹元整</w:t>
      </w:r>
      <w:r>
        <w:rPr>
          <w:rFonts w:hint="eastAsia" w:ascii="宋体" w:hAnsi="宋体" w:eastAsia="宋体" w:cs="宋体"/>
          <w:color w:val="auto"/>
          <w:sz w:val="24"/>
          <w:szCs w:val="24"/>
          <w:lang w:val="en-US" w:eastAsia="zh-CN"/>
        </w:rPr>
        <w:t xml:space="preserve">  </w:t>
      </w:r>
    </w:p>
    <w:p w14:paraId="4117FD53">
      <w:pPr>
        <w:pStyle w:val="9"/>
        <w:keepNext w:val="0"/>
        <w:keepLines w:val="0"/>
        <w:pageBreakBefore w:val="0"/>
        <w:widowControl/>
        <w:suppressLineNumbers w:val="0"/>
        <w:kinsoku/>
        <w:overflowPunct/>
        <w:topLinePunct w:val="0"/>
        <w:autoSpaceDE/>
        <w:autoSpaceDN/>
        <w:bidi w:val="0"/>
        <w:adjustRightInd/>
        <w:spacing w:beforeAutospacing="0" w:afterAutospacing="0" w:line="360" w:lineRule="auto"/>
        <w:ind w:left="0" w:leftChars="0" w:firstLine="840" w:firstLineChars="350"/>
        <w:jc w:val="left"/>
        <w:textAlignment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r>
        <w:rPr>
          <w:rFonts w:hint="eastAsia" w:ascii="宋体" w:hAnsi="宋体" w:cs="宋体"/>
          <w:color w:val="auto"/>
          <w:sz w:val="24"/>
          <w:szCs w:val="24"/>
          <w:lang w:val="en-US" w:eastAsia="zh-CN"/>
        </w:rPr>
        <w:t>杜艳清</w:t>
      </w:r>
      <w:r>
        <w:rPr>
          <w:rFonts w:hint="eastAsia" w:ascii="宋体" w:hAnsi="宋体" w:eastAsia="宋体" w:cs="宋体"/>
          <w:color w:val="auto"/>
          <w:sz w:val="24"/>
          <w:szCs w:val="24"/>
          <w:lang w:val="en-US" w:eastAsia="zh-CN"/>
        </w:rPr>
        <w:t xml:space="preserve">    联系方式（手机）：</w:t>
      </w:r>
      <w:r>
        <w:rPr>
          <w:rFonts w:hint="eastAsia" w:ascii="宋体" w:hAnsi="宋体" w:cs="宋体"/>
          <w:color w:val="auto"/>
          <w:sz w:val="24"/>
          <w:szCs w:val="24"/>
          <w:lang w:val="en-US" w:eastAsia="zh-CN"/>
        </w:rPr>
        <w:t>18039918666</w:t>
      </w:r>
    </w:p>
    <w:p w14:paraId="2BD7C4AA">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八、供应商</w:t>
      </w:r>
      <w:r>
        <w:rPr>
          <w:rFonts w:hint="eastAsia" w:ascii="宋体" w:hAnsi="宋体" w:eastAsia="宋体" w:cs="宋体"/>
          <w:b/>
          <w:bCs/>
          <w:color w:val="auto"/>
          <w:sz w:val="28"/>
          <w:szCs w:val="28"/>
        </w:rPr>
        <w:t>根据</w:t>
      </w:r>
      <w:r>
        <w:rPr>
          <w:rFonts w:hint="eastAsia" w:ascii="宋体" w:hAnsi="宋体" w:cs="宋体"/>
          <w:b/>
          <w:bCs/>
          <w:color w:val="auto"/>
          <w:sz w:val="28"/>
          <w:szCs w:val="28"/>
          <w:lang w:val="en-US" w:eastAsia="zh-CN"/>
        </w:rPr>
        <w:t>磋商小组</w:t>
      </w:r>
      <w:r>
        <w:rPr>
          <w:rFonts w:hint="eastAsia" w:ascii="宋体" w:hAnsi="宋体" w:eastAsia="宋体" w:cs="宋体"/>
          <w:b/>
          <w:bCs/>
          <w:color w:val="auto"/>
          <w:sz w:val="28"/>
          <w:szCs w:val="28"/>
        </w:rPr>
        <w:t>要求进行的澄清、说明或者补正：</w:t>
      </w:r>
      <w:r>
        <w:rPr>
          <w:rFonts w:hint="eastAsia" w:ascii="宋体" w:hAnsi="宋体" w:eastAsia="宋体" w:cs="宋体"/>
          <w:b/>
          <w:bCs/>
          <w:color w:val="auto"/>
          <w:sz w:val="28"/>
          <w:szCs w:val="28"/>
          <w:lang w:val="en-US" w:eastAsia="zh-CN"/>
        </w:rPr>
        <w:t>无</w:t>
      </w:r>
    </w:p>
    <w:p w14:paraId="2BCBBC86">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bCs/>
          <w:color w:val="auto"/>
          <w:sz w:val="28"/>
          <w:szCs w:val="28"/>
          <w:lang w:val="en-US" w:eastAsia="zh-CN"/>
        </w:rPr>
      </w:pPr>
      <w:r>
        <w:rPr>
          <w:rFonts w:hint="eastAsia" w:ascii="宋体" w:hAnsi="宋体" w:cs="宋体"/>
          <w:b/>
          <w:bCs/>
          <w:color w:val="auto"/>
          <w:sz w:val="28"/>
          <w:szCs w:val="28"/>
          <w:lang w:val="en-US" w:eastAsia="zh-CN"/>
        </w:rPr>
        <w:t>九</w:t>
      </w:r>
      <w:r>
        <w:rPr>
          <w:rFonts w:hint="eastAsia" w:ascii="宋体" w:hAnsi="宋体" w:eastAsia="宋体" w:cs="宋体"/>
          <w:b/>
          <w:bCs/>
          <w:color w:val="auto"/>
          <w:sz w:val="28"/>
          <w:szCs w:val="28"/>
        </w:rPr>
        <w:t>、是否存在</w:t>
      </w:r>
      <w:r>
        <w:rPr>
          <w:rFonts w:hint="eastAsia" w:ascii="宋体" w:hAnsi="宋体" w:cs="宋体"/>
          <w:b/>
          <w:bCs/>
          <w:color w:val="auto"/>
          <w:sz w:val="28"/>
          <w:szCs w:val="28"/>
          <w:lang w:val="en-US" w:eastAsia="zh-CN"/>
        </w:rPr>
        <w:t>磋商小组</w:t>
      </w:r>
      <w:r>
        <w:rPr>
          <w:rFonts w:hint="eastAsia" w:ascii="宋体" w:hAnsi="宋体" w:eastAsia="宋体" w:cs="宋体"/>
          <w:b/>
          <w:bCs/>
          <w:color w:val="auto"/>
          <w:sz w:val="28"/>
          <w:szCs w:val="28"/>
        </w:rPr>
        <w:t>成员更换：</w:t>
      </w:r>
      <w:r>
        <w:rPr>
          <w:rFonts w:hint="eastAsia" w:ascii="宋体" w:hAnsi="宋体" w:cs="宋体"/>
          <w:b/>
          <w:bCs/>
          <w:color w:val="auto"/>
          <w:sz w:val="28"/>
          <w:szCs w:val="28"/>
          <w:lang w:val="en-US" w:eastAsia="zh-CN"/>
        </w:rPr>
        <w:t>无</w:t>
      </w:r>
    </w:p>
    <w:p w14:paraId="29276F49">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eastAsia="宋体"/>
          <w:lang w:val="en-US" w:eastAsia="zh-CN"/>
        </w:rPr>
      </w:pPr>
      <w:r>
        <w:rPr>
          <w:rFonts w:hint="eastAsia" w:ascii="宋体" w:hAnsi="宋体" w:cs="宋体"/>
          <w:b/>
          <w:bCs/>
          <w:color w:val="auto"/>
          <w:sz w:val="28"/>
          <w:szCs w:val="28"/>
          <w:lang w:val="en-US" w:eastAsia="zh-CN"/>
        </w:rPr>
        <w:t>十</w:t>
      </w:r>
      <w:r>
        <w:rPr>
          <w:rFonts w:hint="eastAsia" w:ascii="宋体" w:hAnsi="宋体" w:eastAsia="宋体" w:cs="宋体"/>
          <w:b/>
          <w:bCs/>
          <w:i w:val="0"/>
          <w:iCs w:val="0"/>
          <w:caps w:val="0"/>
          <w:color w:val="333333"/>
          <w:spacing w:val="0"/>
          <w:sz w:val="28"/>
          <w:szCs w:val="28"/>
          <w:shd w:val="clear" w:fill="FFFFFF"/>
        </w:rPr>
        <w:t>、持不同意见的评标委员会成员的不同意见及理由：</w:t>
      </w:r>
      <w:r>
        <w:rPr>
          <w:rFonts w:hint="eastAsia" w:ascii="宋体" w:hAnsi="宋体" w:eastAsia="宋体" w:cs="宋体"/>
          <w:i w:val="0"/>
          <w:iCs w:val="0"/>
          <w:caps w:val="0"/>
          <w:color w:val="333333"/>
          <w:spacing w:val="0"/>
          <w:sz w:val="28"/>
          <w:szCs w:val="28"/>
          <w:shd w:val="clear" w:fill="FFFFFF"/>
          <w:lang w:val="en-US" w:eastAsia="zh-CN"/>
        </w:rPr>
        <w:t>无</w:t>
      </w:r>
    </w:p>
    <w:p w14:paraId="7F9F3F07">
      <w:pPr>
        <w:keepNext w:val="0"/>
        <w:keepLines w:val="0"/>
        <w:pageBreakBefore w:val="0"/>
        <w:widowControl w:val="0"/>
        <w:kinsoku/>
        <w:overflowPunct/>
        <w:topLinePunct w:val="0"/>
        <w:autoSpaceDE/>
        <w:autoSpaceDN/>
        <w:bidi w:val="0"/>
        <w:adjustRightInd/>
        <w:snapToGrid/>
        <w:spacing w:line="520" w:lineRule="exact"/>
        <w:jc w:val="left"/>
        <w:textAlignment w:val="auto"/>
        <w:rPr>
          <w:rFonts w:ascii="Segoe UI" w:hAnsi="Segoe UI" w:eastAsia="Segoe UI" w:cs="Segoe UI"/>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十</w:t>
      </w:r>
      <w:r>
        <w:rPr>
          <w:rFonts w:hint="eastAsia" w:ascii="宋体" w:hAnsi="宋体" w:eastAsia="宋体" w:cs="宋体"/>
          <w:b/>
          <w:bCs/>
          <w:i w:val="0"/>
          <w:iCs w:val="0"/>
          <w:caps w:val="0"/>
          <w:color w:val="333333"/>
          <w:spacing w:val="0"/>
          <w:sz w:val="28"/>
          <w:szCs w:val="28"/>
          <w:shd w:val="clear" w:fill="FFFFFF"/>
          <w:lang w:val="en-US" w:eastAsia="zh-CN"/>
        </w:rPr>
        <w:t>一</w:t>
      </w:r>
      <w:r>
        <w:rPr>
          <w:rFonts w:hint="eastAsia" w:ascii="宋体" w:hAnsi="宋体" w:eastAsia="宋体" w:cs="宋体"/>
          <w:b/>
          <w:bCs/>
          <w:i w:val="0"/>
          <w:iCs w:val="0"/>
          <w:caps w:val="0"/>
          <w:color w:val="333333"/>
          <w:spacing w:val="0"/>
          <w:sz w:val="28"/>
          <w:szCs w:val="28"/>
          <w:shd w:val="clear" w:fill="FFFFFF"/>
        </w:rPr>
        <w:t>、采购人、采购代理机构及监督单位信息</w:t>
      </w:r>
    </w:p>
    <w:p w14:paraId="792C906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1、采购人信息</w:t>
      </w:r>
    </w:p>
    <w:p w14:paraId="67BAA60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名称：</w:t>
      </w:r>
      <w:r>
        <w:rPr>
          <w:rFonts w:hint="default" w:ascii="宋体" w:hAnsi="宋体" w:eastAsia="宋体" w:cs="宋体"/>
          <w:i w:val="0"/>
          <w:iCs w:val="0"/>
          <w:caps w:val="0"/>
          <w:color w:val="333333"/>
          <w:spacing w:val="0"/>
          <w:sz w:val="24"/>
          <w:szCs w:val="24"/>
          <w:shd w:val="clear" w:fill="FFFFFF"/>
          <w:lang w:val="en-US" w:eastAsia="zh-CN"/>
        </w:rPr>
        <w:t>禹州市园林绿化中心</w:t>
      </w:r>
    </w:p>
    <w:p w14:paraId="78EC06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宋体" w:hAnsi="宋体" w:eastAsia="宋体" w:cs="宋体"/>
          <w:i w:val="0"/>
          <w:iCs w:val="0"/>
          <w:caps w:val="0"/>
          <w:color w:val="333333"/>
          <w:spacing w:val="0"/>
          <w:sz w:val="24"/>
          <w:szCs w:val="24"/>
          <w:shd w:val="clear" w:fill="FFFFFF"/>
          <w:lang w:val="en-US" w:eastAsia="zh-CN"/>
        </w:rPr>
      </w:pPr>
      <w:r>
        <w:rPr>
          <w:rFonts w:hint="default" w:ascii="宋体" w:hAnsi="宋体" w:eastAsia="宋体" w:cs="宋体"/>
          <w:i w:val="0"/>
          <w:iCs w:val="0"/>
          <w:caps w:val="0"/>
          <w:color w:val="333333"/>
          <w:spacing w:val="0"/>
          <w:sz w:val="24"/>
          <w:szCs w:val="24"/>
          <w:shd w:val="clear" w:fill="FFFFFF"/>
          <w:lang w:val="en-US" w:eastAsia="zh-CN"/>
        </w:rPr>
        <w:t>地址：禹州市行政南路76号</w:t>
      </w:r>
    </w:p>
    <w:p w14:paraId="5852FB2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宋体" w:hAnsi="宋体" w:eastAsia="宋体" w:cs="宋体"/>
          <w:i w:val="0"/>
          <w:iCs w:val="0"/>
          <w:caps w:val="0"/>
          <w:color w:val="333333"/>
          <w:spacing w:val="0"/>
          <w:sz w:val="24"/>
          <w:szCs w:val="24"/>
          <w:shd w:val="clear" w:fill="FFFFFF"/>
          <w:lang w:val="en-US" w:eastAsia="zh-CN"/>
        </w:rPr>
      </w:pPr>
      <w:r>
        <w:rPr>
          <w:rFonts w:hint="default" w:ascii="宋体" w:hAnsi="宋体" w:eastAsia="宋体" w:cs="宋体"/>
          <w:i w:val="0"/>
          <w:iCs w:val="0"/>
          <w:caps w:val="0"/>
          <w:color w:val="333333"/>
          <w:spacing w:val="0"/>
          <w:sz w:val="24"/>
          <w:szCs w:val="24"/>
          <w:shd w:val="clear" w:fill="FFFFFF"/>
          <w:lang w:val="en-US" w:eastAsia="zh-CN"/>
        </w:rPr>
        <w:t>联系人：康先生</w:t>
      </w:r>
    </w:p>
    <w:p w14:paraId="3B928E8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eastAsia" w:ascii="宋体" w:hAnsi="宋体" w:eastAsia="宋体" w:cs="宋体"/>
          <w:i w:val="0"/>
          <w:iCs w:val="0"/>
          <w:caps w:val="0"/>
          <w:color w:val="333333"/>
          <w:spacing w:val="0"/>
          <w:sz w:val="24"/>
          <w:szCs w:val="24"/>
          <w:shd w:val="clear" w:fill="FFFFFF"/>
          <w:lang w:val="en-US" w:eastAsia="zh-CN"/>
        </w:rPr>
      </w:pPr>
      <w:r>
        <w:rPr>
          <w:rFonts w:hint="default" w:ascii="宋体" w:hAnsi="宋体" w:eastAsia="宋体" w:cs="宋体"/>
          <w:i w:val="0"/>
          <w:iCs w:val="0"/>
          <w:caps w:val="0"/>
          <w:color w:val="333333"/>
          <w:spacing w:val="0"/>
          <w:sz w:val="24"/>
          <w:szCs w:val="24"/>
          <w:shd w:val="clear" w:fill="FFFFFF"/>
          <w:lang w:val="en-US" w:eastAsia="zh-CN"/>
        </w:rPr>
        <w:t>联系方式：13849888299</w:t>
      </w:r>
    </w:p>
    <w:p w14:paraId="28EE1DC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2、采购代理机构信息</w:t>
      </w:r>
    </w:p>
    <w:p w14:paraId="3BA52BE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名称：</w:t>
      </w:r>
      <w:r>
        <w:rPr>
          <w:rFonts w:hint="eastAsia" w:ascii="宋体" w:hAnsi="宋体" w:eastAsia="宋体" w:cs="宋体"/>
          <w:i w:val="0"/>
          <w:iCs w:val="0"/>
          <w:caps w:val="0"/>
          <w:color w:val="333333"/>
          <w:spacing w:val="0"/>
          <w:sz w:val="24"/>
          <w:szCs w:val="24"/>
          <w:shd w:val="clear" w:fill="FFFFFF"/>
          <w:lang w:val="en-US" w:eastAsia="zh-CN"/>
        </w:rPr>
        <w:t>河南舒翔工程管理有限公司</w:t>
      </w:r>
    </w:p>
    <w:p w14:paraId="480EBDCF">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地址：河南省郑州市郑东新区永平路与康平路交叉口（郑东商业中心）C区1号楼9层902号</w:t>
      </w:r>
    </w:p>
    <w:p w14:paraId="3FD4FEBE">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联系人：郭先生</w:t>
      </w:r>
    </w:p>
    <w:p w14:paraId="485056F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联系电话：18103745221</w:t>
      </w:r>
    </w:p>
    <w:p w14:paraId="5F330AF6">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3、监督单位信息</w:t>
      </w:r>
    </w:p>
    <w:p w14:paraId="400A562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名称：禹州市政府采购监督管理办公室</w:t>
      </w:r>
    </w:p>
    <w:p w14:paraId="61088D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地址：禹州市行政北路2号禹州市财政局1305房间</w:t>
      </w:r>
    </w:p>
    <w:p w14:paraId="00563AD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联系人：赵先生</w:t>
      </w:r>
    </w:p>
    <w:p w14:paraId="3B88A07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联系方式：0374-8112523</w:t>
      </w:r>
    </w:p>
    <w:p w14:paraId="4E70B8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0"/>
        <w:jc w:val="both"/>
        <w:rPr>
          <w:rFonts w:hint="default" w:ascii="Segoe UI" w:hAnsi="Segoe UI" w:eastAsia="Segoe UI" w:cs="Segoe UI"/>
          <w:i w:val="0"/>
          <w:iCs w:val="0"/>
          <w:caps w:val="0"/>
          <w:color w:val="333333"/>
          <w:spacing w:val="0"/>
          <w:sz w:val="28"/>
          <w:szCs w:val="28"/>
        </w:rPr>
      </w:pPr>
      <w:r>
        <w:rPr>
          <w:rFonts w:hint="eastAsia" w:ascii="宋体" w:hAnsi="宋体" w:eastAsia="宋体" w:cs="宋体"/>
          <w:b/>
          <w:bCs/>
          <w:i w:val="0"/>
          <w:iCs w:val="0"/>
          <w:caps w:val="0"/>
          <w:color w:val="333333"/>
          <w:spacing w:val="0"/>
          <w:sz w:val="28"/>
          <w:szCs w:val="28"/>
          <w:shd w:val="clear" w:fill="FFFFFF"/>
        </w:rPr>
        <w:t>十</w:t>
      </w:r>
      <w:r>
        <w:rPr>
          <w:rFonts w:hint="eastAsia" w:ascii="宋体" w:hAnsi="宋体" w:eastAsia="宋体" w:cs="宋体"/>
          <w:b/>
          <w:bCs/>
          <w:i w:val="0"/>
          <w:iCs w:val="0"/>
          <w:caps w:val="0"/>
          <w:color w:val="333333"/>
          <w:spacing w:val="0"/>
          <w:sz w:val="28"/>
          <w:szCs w:val="28"/>
          <w:shd w:val="clear" w:fill="FFFFFF"/>
          <w:lang w:val="en-US" w:eastAsia="zh-CN"/>
        </w:rPr>
        <w:t>二</w:t>
      </w:r>
      <w:r>
        <w:rPr>
          <w:rFonts w:hint="eastAsia" w:ascii="宋体" w:hAnsi="宋体" w:eastAsia="宋体" w:cs="宋体"/>
          <w:b/>
          <w:bCs/>
          <w:i w:val="0"/>
          <w:iCs w:val="0"/>
          <w:caps w:val="0"/>
          <w:color w:val="333333"/>
          <w:spacing w:val="0"/>
          <w:sz w:val="28"/>
          <w:szCs w:val="28"/>
          <w:shd w:val="clear" w:fill="FFFFFF"/>
        </w:rPr>
        <w:t>、提出质疑、投诉的渠道和方式</w:t>
      </w:r>
    </w:p>
    <w:p w14:paraId="2EA83F15">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1、供应商对本项目评标公示质疑的，可以在中标（成交）公告期限届满之日起7个工作日内，以书面形式向采购人或采购代理机构质疑（加盖单位公章并由法定代表人签字）。逾期提交或未按照要求提交的质疑函将不予受理。</w:t>
      </w:r>
    </w:p>
    <w:p w14:paraId="5B723B2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2、质疑供应商对采购人、采购代理机构的答复不满意，或者采购人、采购代理机构未在规定时间内作出答复的，可在法定时间以书面形式向监督部门提起投诉。按照《政府采购质疑和投诉办法》的有关规定，由法定代表人或其授权代表携带本人身份证件提交。逾期提交或未按照要求提交的书面投诉将不予受理。</w:t>
      </w:r>
    </w:p>
    <w:p w14:paraId="574A372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投诉受理部门：禹州市政府采购监督管理办公室</w:t>
      </w:r>
    </w:p>
    <w:p w14:paraId="6C354C4D">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受理电话：0374-8112523</w:t>
      </w:r>
    </w:p>
    <w:p w14:paraId="4B4580F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电子邮箱：yzscgb8112523@163.com</w:t>
      </w:r>
    </w:p>
    <w:p w14:paraId="65AADF0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480"/>
        <w:jc w:val="both"/>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通讯地址：禹州市行政北路2号禹州市财政局1305房间</w:t>
      </w:r>
    </w:p>
    <w:p w14:paraId="2F453B1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0"/>
        <w:jc w:val="left"/>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4CF1B20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0" w:firstLine="0"/>
        <w:jc w:val="left"/>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14:paraId="422750B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0" w:lineRule="atLeast"/>
        <w:ind w:left="0" w:right="1120" w:firstLine="4920"/>
        <w:jc w:val="right"/>
        <w:rPr>
          <w:rFonts w:hint="default" w:ascii="Segoe UI" w:hAnsi="Segoe UI" w:eastAsia="Segoe UI" w:cs="Segoe UI"/>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2026年7月</w:t>
      </w:r>
      <w:r>
        <w:rPr>
          <w:rFonts w:hint="eastAsia" w:ascii="宋体" w:hAnsi="宋体" w:eastAsia="宋体" w:cs="宋体"/>
          <w:i w:val="0"/>
          <w:iCs w:val="0"/>
          <w:caps w:val="0"/>
          <w:color w:val="333333"/>
          <w:spacing w:val="0"/>
          <w:sz w:val="24"/>
          <w:szCs w:val="24"/>
          <w:shd w:val="clear" w:fill="FFFFFF"/>
          <w:lang w:val="en-US" w:eastAsia="zh-CN"/>
        </w:rPr>
        <w:t>21</w:t>
      </w:r>
      <w:bookmarkStart w:id="16" w:name="_GoBack"/>
      <w:bookmarkEnd w:id="16"/>
      <w:r>
        <w:rPr>
          <w:rFonts w:hint="eastAsia" w:ascii="宋体" w:hAnsi="宋体" w:eastAsia="宋体" w:cs="宋体"/>
          <w:i w:val="0"/>
          <w:iCs w:val="0"/>
          <w:caps w:val="0"/>
          <w:color w:val="333333"/>
          <w:spacing w:val="0"/>
          <w:sz w:val="24"/>
          <w:szCs w:val="24"/>
          <w:shd w:val="clear" w:fill="FFFFFF"/>
        </w:rPr>
        <w:t>日</w:t>
      </w:r>
    </w:p>
    <w:p w14:paraId="4B207594"/>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8"/>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F65F1"/>
    <w:rsid w:val="08BF5E5A"/>
    <w:rsid w:val="0F3C0B05"/>
    <w:rsid w:val="1268135E"/>
    <w:rsid w:val="16D94631"/>
    <w:rsid w:val="178A7F7B"/>
    <w:rsid w:val="1C9F65F1"/>
    <w:rsid w:val="1DE03884"/>
    <w:rsid w:val="1EAF2E8B"/>
    <w:rsid w:val="44FD58CF"/>
    <w:rsid w:val="49A63177"/>
    <w:rsid w:val="52164189"/>
    <w:rsid w:val="5A447B1B"/>
    <w:rsid w:val="5B70610D"/>
    <w:rsid w:val="5BC86507"/>
    <w:rsid w:val="5F1B5515"/>
    <w:rsid w:val="5FCB74A0"/>
    <w:rsid w:val="6B2C05AD"/>
    <w:rsid w:val="724265FE"/>
    <w:rsid w:val="76072D0F"/>
    <w:rsid w:val="7B8B2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spacing w:after="0"/>
      <w:ind w:firstLine="420" w:firstLineChars="100"/>
    </w:pPr>
  </w:style>
  <w:style w:type="paragraph" w:styleId="3">
    <w:name w:val="Body Text"/>
    <w:basedOn w:val="1"/>
    <w:unhideWhenUsed/>
    <w:qFormat/>
    <w:uiPriority w:val="99"/>
    <w:pPr>
      <w:spacing w:after="120"/>
    </w:pPr>
  </w:style>
  <w:style w:type="paragraph" w:styleId="4">
    <w:name w:val="Body Text First Indent 2"/>
    <w:basedOn w:val="5"/>
    <w:next w:val="1"/>
    <w:qFormat/>
    <w:uiPriority w:val="99"/>
    <w:pPr>
      <w:tabs>
        <w:tab w:val="left" w:pos="945"/>
        <w:tab w:val="left" w:pos="1155"/>
      </w:tabs>
      <w:ind w:firstLine="420" w:firstLineChars="200"/>
    </w:pPr>
  </w:style>
  <w:style w:type="paragraph" w:styleId="5">
    <w:name w:val="Body Text Indent"/>
    <w:basedOn w:val="1"/>
    <w:next w:val="6"/>
    <w:qFormat/>
    <w:uiPriority w:val="0"/>
    <w:pPr>
      <w:adjustRightInd w:val="0"/>
      <w:spacing w:after="120" w:line="360" w:lineRule="atLeast"/>
      <w:ind w:left="420" w:leftChars="200"/>
      <w:jc w:val="left"/>
      <w:textAlignment w:val="baseline"/>
    </w:pPr>
    <w:rPr>
      <w:kern w:val="0"/>
      <w:sz w:val="24"/>
    </w:rPr>
  </w:style>
  <w:style w:type="paragraph" w:styleId="6">
    <w:name w:val="Normal Indent"/>
    <w:basedOn w:val="1"/>
    <w:next w:val="7"/>
    <w:qFormat/>
    <w:uiPriority w:val="99"/>
    <w:pPr>
      <w:ind w:firstLine="425"/>
    </w:p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1732</Words>
  <Characters>2106</Characters>
  <Lines>0</Lines>
  <Paragraphs>0</Paragraphs>
  <TotalTime>199</TotalTime>
  <ScaleCrop>false</ScaleCrop>
  <LinksUpToDate>false</LinksUpToDate>
  <CharactersWithSpaces>2116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2026-07-17T01:59:00Z</dcterms:created>
  <dc:creator>蓝色星空</dc:creator>
  <cp:lastModifiedBy>蓝色星空</cp:lastModifiedBy>
  <cp:lastPrinted>2026-07-21T02:54:43Z</cp:lastPrinted>
  <dcterms:modified xsi:type="dcterms:W3CDTF">2026-07-21T06:48:46Z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C2FFA50369CF4D4A8F3FEEE10FC77EB1_11</vt:lpwstr>
  </property>
  <property fmtid="{D5CDD505-2E9C-101B-9397-08002B2CF9AE}" pid="4" name="KSOTemplateDocerSaveRecord">
    <vt:lpwstr>eyJoZGlkIjoiZDk5YzZhZjJlOWRhNDVkNzg2ODEzYzc1N2U0ZjM1YzMiLCJ1c2VySWQiOiIyNjQ1MzAwNjcifQ==</vt:lpwstr>
  </property>
</Properties>
</file>