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2355F3">
      <w:r>
        <w:drawing>
          <wp:inline distT="0" distB="0" distL="114300" distR="114300">
            <wp:extent cx="5267960" cy="3683635"/>
            <wp:effectExtent l="0" t="0" r="889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6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64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2026-08-11T10:48:41Z</dcterms:created>
  <dc:creator>Administrator</dc:creator>
  <cp:lastModifiedBy>河南双骢企业管理咨询有限公司:王晓燕</cp:lastModifiedBy>
  <dcterms:modified xsi:type="dcterms:W3CDTF">2026-08-11T10:48:45Z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eyJoZGlkIjoiNjdkYzUyMWQ2YWRmOTYxZmZiOTM1OGUwNTJmNTdlNWUiLCJ1c2VySWQiOiI1NjUxNjYxNDQifQ==</vt:lpwstr>
  </property>
  <property fmtid="{D5CDD505-2E9C-101B-9397-08002B2CF9AE}" pid="4" name="ICV">
    <vt:lpwstr>823BDA101104413FBAF2DE5853882EEA_12</vt:lpwstr>
  </property>
</Properties>
</file>