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37A18">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rPr>
          <w:rFonts w:hint="eastAsia" w:ascii="黑体" w:hAnsi="黑体" w:eastAsia="黑体" w:cs="黑体"/>
          <w:b/>
          <w:bCs/>
          <w:kern w:val="0"/>
          <w:sz w:val="48"/>
          <w:szCs w:val="48"/>
        </w:rPr>
      </w:pPr>
      <w:r>
        <w:rPr>
          <w:rFonts w:hint="eastAsia" w:ascii="黑体" w:hAnsi="黑体" w:eastAsia="黑体" w:cs="黑体"/>
          <w:b/>
          <w:bCs/>
          <w:kern w:val="0"/>
          <w:sz w:val="48"/>
          <w:szCs w:val="48"/>
        </w:rPr>
        <w:t>禹州市</w:t>
      </w:r>
      <w:r>
        <w:rPr>
          <w:rFonts w:hint="eastAsia" w:ascii="黑体" w:hAnsi="黑体" w:eastAsia="黑体" w:cs="黑体"/>
          <w:b/>
          <w:bCs/>
          <w:kern w:val="0"/>
          <w:sz w:val="48"/>
          <w:szCs w:val="48"/>
          <w:lang w:eastAsia="zh-CN"/>
        </w:rPr>
        <w:t>机关事务中心党政综合办公楼电梯采购及安装</w:t>
      </w:r>
      <w:r>
        <w:rPr>
          <w:rFonts w:hint="eastAsia" w:ascii="黑体" w:hAnsi="黑体" w:eastAsia="黑体" w:cs="黑体"/>
          <w:b/>
          <w:bCs/>
          <w:kern w:val="0"/>
          <w:sz w:val="48"/>
          <w:szCs w:val="48"/>
        </w:rPr>
        <w:t>项目</w:t>
      </w:r>
    </w:p>
    <w:p w14:paraId="6699FE6C">
      <w:pPr>
        <w:rPr>
          <w:rFonts w:hint="eastAsia" w:ascii="黑体" w:hAnsi="黑体" w:eastAsia="黑体" w:cs="黑体"/>
          <w:b/>
          <w:bCs/>
          <w:color w:val="000000"/>
          <w:sz w:val="48"/>
          <w:szCs w:val="48"/>
          <w:u w:val="single"/>
        </w:rPr>
      </w:pPr>
    </w:p>
    <w:p w14:paraId="4854FCE2">
      <w:pPr>
        <w:rPr>
          <w:rFonts w:ascii="微软简隶书" w:eastAsia="微软简隶书"/>
          <w:color w:val="000000"/>
        </w:rPr>
      </w:pPr>
    </w:p>
    <w:p w14:paraId="4137A405">
      <w:pPr>
        <w:rPr>
          <w:rFonts w:ascii="微软简隶书" w:eastAsia="微软简隶书"/>
          <w:color w:val="000000"/>
        </w:rPr>
      </w:pPr>
    </w:p>
    <w:p w14:paraId="6E17BB6C">
      <w:pPr>
        <w:rPr>
          <w:rFonts w:ascii="微软简隶书" w:eastAsia="微软简隶书"/>
          <w:color w:val="000000"/>
        </w:rPr>
      </w:pPr>
    </w:p>
    <w:p w14:paraId="2E374B9B">
      <w:pPr>
        <w:jc w:val="both"/>
        <w:rPr>
          <w:rFonts w:ascii="宋体" w:hAnsi="宋体" w:cs="宋体"/>
          <w:bCs/>
          <w:color w:val="000000"/>
          <w:w w:val="90"/>
          <w:sz w:val="96"/>
          <w:szCs w:val="96"/>
        </w:rPr>
      </w:pPr>
    </w:p>
    <w:p w14:paraId="00C78897">
      <w:pPr>
        <w:jc w:val="center"/>
        <w:rPr>
          <w:rFonts w:hint="eastAsia" w:ascii="黑体" w:hAnsi="黑体" w:eastAsia="黑体" w:cs="黑体"/>
          <w:bCs/>
          <w:color w:val="000000"/>
          <w:w w:val="90"/>
          <w:sz w:val="96"/>
          <w:szCs w:val="96"/>
        </w:rPr>
      </w:pPr>
      <w:r>
        <w:rPr>
          <w:rFonts w:hint="eastAsia" w:ascii="黑体" w:hAnsi="黑体" w:eastAsia="黑体" w:cs="黑体"/>
          <w:bCs/>
          <w:color w:val="000000"/>
          <w:w w:val="90"/>
          <w:sz w:val="96"/>
          <w:szCs w:val="96"/>
        </w:rPr>
        <w:t>招　标　文　件</w:t>
      </w:r>
    </w:p>
    <w:p w14:paraId="67833786">
      <w:pPr>
        <w:rPr>
          <w:rFonts w:ascii="微软简隶书" w:eastAsia="微软简隶书"/>
          <w:color w:val="000000"/>
        </w:rPr>
      </w:pPr>
    </w:p>
    <w:p w14:paraId="392D9CFF">
      <w:pPr>
        <w:rPr>
          <w:rFonts w:ascii="微软简隶书" w:eastAsia="微软简隶书"/>
          <w:color w:val="000000"/>
        </w:rPr>
      </w:pPr>
    </w:p>
    <w:p w14:paraId="707B63BC">
      <w:pPr>
        <w:rPr>
          <w:rFonts w:ascii="微软简隶书" w:eastAsia="微软简隶书"/>
          <w:color w:val="000000"/>
        </w:rPr>
      </w:pPr>
    </w:p>
    <w:p w14:paraId="7A65FCF5">
      <w:pPr>
        <w:rPr>
          <w:rFonts w:ascii="微软简隶书" w:eastAsia="微软简隶书"/>
          <w:color w:val="000000"/>
        </w:rPr>
      </w:pPr>
    </w:p>
    <w:p w14:paraId="279F3C6C">
      <w:pPr>
        <w:rPr>
          <w:rFonts w:ascii="微软简隶书" w:eastAsia="微软简隶书"/>
          <w:color w:val="000000"/>
        </w:rPr>
      </w:pPr>
    </w:p>
    <w:p w14:paraId="43B27F95">
      <w:pPr>
        <w:rPr>
          <w:rFonts w:ascii="微软简隶书" w:eastAsia="微软简隶书"/>
          <w:color w:val="000000"/>
        </w:rPr>
      </w:pPr>
    </w:p>
    <w:p w14:paraId="052D0D9B">
      <w:pPr>
        <w:rPr>
          <w:rFonts w:ascii="微软简隶书" w:eastAsia="微软简隶书"/>
          <w:color w:val="000000"/>
        </w:rPr>
      </w:pPr>
    </w:p>
    <w:p w14:paraId="15D10FA6">
      <w:pPr>
        <w:keepNext w:val="0"/>
        <w:keepLines w:val="0"/>
        <w:pageBreakBefore w:val="0"/>
        <w:widowControl w:val="0"/>
        <w:kinsoku/>
        <w:wordWrap/>
        <w:overflowPunct/>
        <w:topLinePunct w:val="0"/>
        <w:autoSpaceDE/>
        <w:autoSpaceDN/>
        <w:bidi w:val="0"/>
        <w:adjustRightInd/>
        <w:snapToGrid/>
        <w:spacing w:line="360" w:lineRule="auto"/>
        <w:ind w:firstLine="1084" w:firstLineChars="300"/>
        <w:textAlignment w:val="auto"/>
        <w:rPr>
          <w:rFonts w:hint="default" w:ascii="宋体" w:hAnsi="宋体" w:cs="宋体" w:eastAsiaTheme="minorEastAsia"/>
          <w:b/>
          <w:bCs/>
          <w:color w:val="000000"/>
          <w:sz w:val="36"/>
          <w:szCs w:val="36"/>
          <w:lang w:val="en-US" w:eastAsia="zh-CN"/>
        </w:rPr>
      </w:pPr>
      <w:r>
        <w:rPr>
          <w:rFonts w:hint="eastAsia" w:ascii="宋体" w:hAnsi="宋体" w:cs="宋体"/>
          <w:b/>
          <w:bCs/>
          <w:color w:val="000000"/>
          <w:sz w:val="36"/>
          <w:szCs w:val="36"/>
        </w:rPr>
        <w:t>采购编号： YZCG-</w:t>
      </w:r>
      <w:r>
        <w:rPr>
          <w:rFonts w:hint="eastAsia" w:ascii="宋体" w:hAnsi="宋体" w:cs="宋体"/>
          <w:b/>
          <w:bCs/>
          <w:color w:val="000000"/>
          <w:sz w:val="36"/>
          <w:szCs w:val="36"/>
          <w:lang w:val="en-US" w:eastAsia="zh-CN"/>
        </w:rPr>
        <w:t>G2026009</w:t>
      </w:r>
    </w:p>
    <w:p w14:paraId="1D4823DF">
      <w:pPr>
        <w:keepNext w:val="0"/>
        <w:keepLines w:val="0"/>
        <w:pageBreakBefore w:val="0"/>
        <w:widowControl w:val="0"/>
        <w:kinsoku/>
        <w:wordWrap/>
        <w:overflowPunct/>
        <w:topLinePunct w:val="0"/>
        <w:autoSpaceDE/>
        <w:autoSpaceDN/>
        <w:bidi w:val="0"/>
        <w:adjustRightInd/>
        <w:snapToGrid/>
        <w:spacing w:before="98" w:line="360" w:lineRule="auto"/>
        <w:ind w:firstLine="1084" w:firstLineChars="300"/>
        <w:jc w:val="both"/>
        <w:textAlignment w:val="auto"/>
        <w:rPr>
          <w:rFonts w:hint="default" w:ascii="宋体" w:hAnsi="宋体" w:cs="宋体"/>
          <w:b/>
          <w:bCs/>
          <w:color w:val="000000"/>
          <w:sz w:val="36"/>
          <w:szCs w:val="36"/>
          <w:lang w:val="en-US" w:eastAsia="zh-CN"/>
        </w:rPr>
      </w:pPr>
      <w:r>
        <w:rPr>
          <w:rFonts w:hint="eastAsia" w:ascii="宋体" w:hAnsi="宋体" w:cs="宋体"/>
          <w:b/>
          <w:bCs/>
          <w:color w:val="000000"/>
          <w:sz w:val="36"/>
          <w:szCs w:val="36"/>
        </w:rPr>
        <w:t>采购单位：</w:t>
      </w:r>
      <w:r>
        <w:rPr>
          <w:rFonts w:hint="eastAsia" w:ascii="宋体" w:hAnsi="宋体" w:cs="宋体"/>
          <w:b/>
          <w:bCs/>
          <w:color w:val="000000"/>
          <w:sz w:val="36"/>
          <w:szCs w:val="36"/>
          <w:lang w:val="en-US" w:eastAsia="zh-CN"/>
        </w:rPr>
        <w:t>禹州市机关事务中心</w:t>
      </w:r>
    </w:p>
    <w:p w14:paraId="03C628F6">
      <w:pPr>
        <w:keepNext w:val="0"/>
        <w:keepLines w:val="0"/>
        <w:pageBreakBefore w:val="0"/>
        <w:widowControl w:val="0"/>
        <w:kinsoku/>
        <w:wordWrap/>
        <w:overflowPunct/>
        <w:topLinePunct w:val="0"/>
        <w:autoSpaceDE/>
        <w:autoSpaceDN/>
        <w:bidi w:val="0"/>
        <w:adjustRightInd/>
        <w:snapToGrid/>
        <w:spacing w:line="360" w:lineRule="auto"/>
        <w:ind w:firstLine="1084" w:firstLineChars="300"/>
        <w:textAlignment w:val="auto"/>
        <w:rPr>
          <w:rFonts w:ascii="宋体" w:hAnsi="宋体" w:cs="宋体"/>
          <w:b/>
          <w:bCs/>
          <w:color w:val="000000"/>
          <w:sz w:val="36"/>
          <w:szCs w:val="36"/>
        </w:rPr>
      </w:pPr>
      <w:r>
        <w:rPr>
          <w:rFonts w:hint="eastAsia" w:ascii="宋体" w:hAnsi="宋体" w:cs="宋体"/>
          <w:b/>
          <w:bCs/>
          <w:color w:val="000000"/>
          <w:sz w:val="36"/>
          <w:szCs w:val="36"/>
        </w:rPr>
        <w:t>代理机构：禹州市政府采购中心</w:t>
      </w:r>
    </w:p>
    <w:p w14:paraId="0D0F7D12">
      <w:pPr>
        <w:jc w:val="center"/>
        <w:rPr>
          <w:rFonts w:hint="eastAsia" w:ascii="宋体" w:hAnsi="宋体" w:cs="宋体"/>
          <w:b/>
          <w:bCs/>
          <w:color w:val="000000"/>
          <w:sz w:val="36"/>
          <w:szCs w:val="36"/>
        </w:rPr>
      </w:pPr>
    </w:p>
    <w:p w14:paraId="4156374A">
      <w:pPr>
        <w:jc w:val="both"/>
        <w:rPr>
          <w:rFonts w:hint="eastAsia" w:ascii="宋体" w:hAnsi="宋体" w:cs="宋体"/>
          <w:b/>
          <w:bCs/>
          <w:color w:val="000000"/>
          <w:sz w:val="36"/>
          <w:szCs w:val="36"/>
        </w:rPr>
      </w:pPr>
    </w:p>
    <w:p w14:paraId="0B0E235E">
      <w:pPr>
        <w:ind w:firstLine="3253" w:firstLineChars="900"/>
        <w:jc w:val="both"/>
        <w:rPr>
          <w:rFonts w:ascii="宋体" w:hAnsi="宋体" w:cs="宋体"/>
          <w:b/>
          <w:bCs/>
          <w:color w:val="000000"/>
          <w:sz w:val="36"/>
          <w:szCs w:val="36"/>
        </w:rPr>
      </w:pPr>
      <w:r>
        <w:rPr>
          <w:rFonts w:hint="eastAsia" w:ascii="宋体" w:hAnsi="宋体" w:cs="宋体"/>
          <w:b/>
          <w:bCs/>
          <w:color w:val="000000"/>
          <w:sz w:val="36"/>
          <w:szCs w:val="36"/>
        </w:rPr>
        <w:t>二〇二</w:t>
      </w:r>
      <w:r>
        <w:rPr>
          <w:rFonts w:hint="eastAsia" w:ascii="宋体" w:hAnsi="宋体" w:cs="宋体"/>
          <w:b/>
          <w:bCs/>
          <w:color w:val="000000"/>
          <w:sz w:val="36"/>
          <w:szCs w:val="36"/>
          <w:lang w:val="en-US" w:eastAsia="zh-CN"/>
        </w:rPr>
        <w:t>六</w:t>
      </w:r>
      <w:r>
        <w:rPr>
          <w:rFonts w:hint="eastAsia" w:ascii="宋体" w:hAnsi="宋体" w:cs="宋体"/>
          <w:b/>
          <w:bCs/>
          <w:color w:val="000000"/>
          <w:sz w:val="36"/>
          <w:szCs w:val="36"/>
        </w:rPr>
        <w:t>年</w:t>
      </w:r>
      <w:r>
        <w:rPr>
          <w:rFonts w:hint="eastAsia" w:ascii="宋体" w:hAnsi="宋体" w:cs="宋体"/>
          <w:b/>
          <w:bCs/>
          <w:color w:val="000000"/>
          <w:sz w:val="36"/>
          <w:szCs w:val="36"/>
          <w:lang w:val="en-US" w:eastAsia="zh-CN"/>
        </w:rPr>
        <w:t>八</w:t>
      </w:r>
      <w:r>
        <w:rPr>
          <w:rFonts w:hint="eastAsia" w:ascii="宋体" w:hAnsi="宋体" w:cs="宋体"/>
          <w:b/>
          <w:bCs/>
          <w:color w:val="000000"/>
          <w:sz w:val="36"/>
          <w:szCs w:val="36"/>
        </w:rPr>
        <w:t>月</w:t>
      </w:r>
    </w:p>
    <w:p w14:paraId="7ADE3652">
      <w:pPr>
        <w:rPr>
          <w:rFonts w:ascii="微软简隶书" w:eastAsia="微软简隶书"/>
          <w:u w:val="single"/>
        </w:rPr>
      </w:pPr>
    </w:p>
    <w:p w14:paraId="22B8B876">
      <w:pPr>
        <w:autoSpaceDE w:val="0"/>
        <w:autoSpaceDN w:val="0"/>
        <w:adjustRightInd w:val="0"/>
        <w:spacing w:line="700" w:lineRule="exact"/>
        <w:ind w:firstLine="602" w:firstLineChars="200"/>
        <w:rPr>
          <w:rFonts w:hint="eastAsia" w:asciiTheme="majorEastAsia" w:hAnsiTheme="majorEastAsia" w:eastAsiaTheme="majorEastAsia" w:cstheme="majorEastAsia"/>
          <w:b/>
          <w:bCs/>
          <w:sz w:val="30"/>
          <w:szCs w:val="30"/>
          <w:lang w:val="zh-CN"/>
        </w:rPr>
      </w:pPr>
    </w:p>
    <w:p w14:paraId="26B198DA">
      <w:pPr>
        <w:autoSpaceDE w:val="0"/>
        <w:autoSpaceDN w:val="0"/>
        <w:adjustRightInd w:val="0"/>
        <w:spacing w:line="700" w:lineRule="exact"/>
        <w:ind w:firstLine="602" w:firstLineChars="200"/>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第一章 投标邀请</w:t>
      </w:r>
    </w:p>
    <w:p w14:paraId="0BAE5362">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第二章 项目需求</w:t>
      </w:r>
    </w:p>
    <w:p w14:paraId="25AF09CD">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第三章 </w:t>
      </w:r>
      <w:r>
        <w:rPr>
          <w:rFonts w:hint="eastAsia" w:asciiTheme="majorEastAsia" w:hAnsiTheme="majorEastAsia" w:eastAsiaTheme="majorEastAsia" w:cstheme="majorEastAsia"/>
          <w:b/>
          <w:kern w:val="0"/>
          <w:sz w:val="30"/>
          <w:szCs w:val="30"/>
        </w:rPr>
        <w:t>投标人须知前附表</w:t>
      </w:r>
    </w:p>
    <w:p w14:paraId="612D05A1">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第四章 </w:t>
      </w:r>
      <w:r>
        <w:rPr>
          <w:rFonts w:hint="eastAsia" w:asciiTheme="majorEastAsia" w:hAnsiTheme="majorEastAsia" w:eastAsiaTheme="majorEastAsia" w:cstheme="majorEastAsia"/>
          <w:b/>
          <w:kern w:val="0"/>
          <w:sz w:val="30"/>
          <w:szCs w:val="30"/>
        </w:rPr>
        <w:t>投标人须知</w:t>
      </w:r>
    </w:p>
    <w:p w14:paraId="42840FC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A94A32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二、招标文件说明</w:t>
      </w:r>
    </w:p>
    <w:p w14:paraId="6FDD014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三、投标文件的编制</w:t>
      </w:r>
    </w:p>
    <w:p w14:paraId="4DE75BB8">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四、投标文件的递交</w:t>
      </w:r>
    </w:p>
    <w:p w14:paraId="38B4E550">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五、开标和评标</w:t>
      </w:r>
    </w:p>
    <w:p w14:paraId="6D469DB3">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六、定标和授予合同</w:t>
      </w:r>
    </w:p>
    <w:p w14:paraId="081EF656">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第五章 </w:t>
      </w:r>
      <w:r>
        <w:rPr>
          <w:rFonts w:hint="eastAsia" w:asciiTheme="majorEastAsia" w:hAnsiTheme="majorEastAsia" w:eastAsiaTheme="majorEastAsia" w:cstheme="majorEastAsia"/>
          <w:b/>
          <w:kern w:val="0"/>
          <w:sz w:val="30"/>
          <w:szCs w:val="30"/>
        </w:rPr>
        <w:t>政府采购政策功能</w:t>
      </w:r>
    </w:p>
    <w:p w14:paraId="636687C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第六章 </w:t>
      </w:r>
      <w:r>
        <w:rPr>
          <w:rFonts w:hint="eastAsia" w:asciiTheme="majorEastAsia" w:hAnsiTheme="majorEastAsia" w:eastAsiaTheme="majorEastAsia" w:cstheme="majorEastAsia"/>
          <w:b/>
          <w:kern w:val="0"/>
          <w:sz w:val="30"/>
          <w:szCs w:val="30"/>
        </w:rPr>
        <w:t>资格审查与评标</w:t>
      </w:r>
    </w:p>
    <w:p w14:paraId="654DCD91">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第七章 拟签订的合同文本</w:t>
      </w:r>
    </w:p>
    <w:p w14:paraId="60D87CFB">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第八章 投标文件有关格式</w:t>
      </w:r>
    </w:p>
    <w:p w14:paraId="0F698404">
      <w:pPr>
        <w:pStyle w:val="25"/>
        <w:widowControl/>
        <w:numPr>
          <w:ilvl w:val="0"/>
          <w:numId w:val="4"/>
        </w:numPr>
        <w:shd w:val="clear" w:color="auto" w:fill="FFFFFF"/>
        <w:spacing w:line="360" w:lineRule="auto"/>
        <w:contextualSpacing/>
        <w:jc w:val="left"/>
        <w:rPr>
          <w:rFonts w:cs="宋体" w:asciiTheme="majorEastAsia" w:hAnsiTheme="majorEastAsia" w:eastAsiaTheme="majorEastAsia"/>
          <w:b/>
          <w:kern w:val="0"/>
          <w:sz w:val="32"/>
          <w:szCs w:val="32"/>
        </w:rPr>
        <w:sectPr>
          <w:footerReference r:id="rId3" w:type="default"/>
          <w:pgSz w:w="11906" w:h="16838"/>
          <w:pgMar w:top="2098" w:right="1474" w:bottom="1928" w:left="1588" w:header="851" w:footer="992" w:gutter="0"/>
          <w:cols w:space="425" w:num="1"/>
          <w:docGrid w:type="lines" w:linePitch="312" w:charSpace="0"/>
        </w:sectPr>
      </w:pPr>
    </w:p>
    <w:p w14:paraId="31FAB947">
      <w:pPr>
        <w:keepNext w:val="0"/>
        <w:keepLines w:val="0"/>
        <w:pageBreakBefore w:val="0"/>
        <w:widowControl w:val="0"/>
        <w:numPr>
          <w:ilvl w:val="0"/>
          <w:numId w:val="5"/>
        </w:numPr>
        <w:kinsoku/>
        <w:wordWrap/>
        <w:overflowPunct/>
        <w:topLinePunct w:val="0"/>
        <w:autoSpaceDE/>
        <w:autoSpaceDN/>
        <w:bidi w:val="0"/>
        <w:adjustRightInd/>
        <w:snapToGrid/>
        <w:ind w:left="0" w:leftChars="0" w:firstLine="403" w:firstLineChars="0"/>
        <w:jc w:val="center"/>
        <w:textAlignment w:val="auto"/>
        <w:outlineLvl w:val="0"/>
        <w:rPr>
          <w:b/>
          <w:bCs/>
          <w:sz w:val="32"/>
          <w:szCs w:val="36"/>
        </w:rPr>
      </w:pPr>
      <w:r>
        <w:rPr>
          <w:rFonts w:hint="eastAsia"/>
          <w:b/>
          <w:bCs/>
          <w:sz w:val="32"/>
          <w:szCs w:val="36"/>
        </w:rPr>
        <w:t>投标邀请</w:t>
      </w:r>
    </w:p>
    <w:p w14:paraId="56AC299B">
      <w:pPr>
        <w:widowControl/>
        <w:shd w:val="clear" w:color="auto" w:fill="FFFFFF"/>
        <w:spacing w:line="440" w:lineRule="exact"/>
        <w:ind w:firstLine="420" w:firstLineChars="20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w:t>
      </w:r>
      <w:r>
        <w:rPr>
          <w:rFonts w:hint="eastAsia" w:asciiTheme="minorEastAsia" w:hAnsiTheme="minorEastAsia" w:cstheme="minorEastAsia"/>
          <w:kern w:val="2"/>
          <w:sz w:val="21"/>
          <w:szCs w:val="21"/>
          <w:lang w:val="en-US" w:eastAsia="zh-CN" w:bidi="ar-SA"/>
        </w:rPr>
        <w:t>禹州市机关事务中心</w:t>
      </w:r>
      <w:r>
        <w:rPr>
          <w:rFonts w:hint="eastAsia" w:asciiTheme="minorEastAsia" w:hAnsiTheme="minorEastAsia" w:eastAsiaTheme="minorEastAsia" w:cstheme="minorEastAsia"/>
          <w:kern w:val="2"/>
          <w:sz w:val="21"/>
          <w:szCs w:val="21"/>
          <w:lang w:val="en-US" w:eastAsia="zh-CN" w:bidi="ar-SA"/>
        </w:rPr>
        <w:t>的委托，对“禹州市机关事务中心党政综合办公楼电梯采购及安装项目”进行公开招标，现邀请符合本文件规定条件的</w:t>
      </w:r>
      <w:r>
        <w:rPr>
          <w:rFonts w:hint="eastAsia" w:asciiTheme="minorEastAsia" w:hAnsiTheme="minorEastAsia" w:cstheme="minorEastAsia"/>
          <w:kern w:val="2"/>
          <w:sz w:val="21"/>
          <w:szCs w:val="21"/>
          <w:lang w:val="en-US" w:eastAsia="zh-CN" w:bidi="ar-SA"/>
        </w:rPr>
        <w:t>投标</w:t>
      </w:r>
      <w:r>
        <w:rPr>
          <w:rFonts w:hint="eastAsia" w:asciiTheme="minorEastAsia" w:hAnsiTheme="minorEastAsia" w:eastAsiaTheme="minorEastAsia" w:cstheme="minorEastAsia"/>
          <w:kern w:val="2"/>
          <w:sz w:val="21"/>
          <w:szCs w:val="21"/>
          <w:lang w:val="en-US" w:eastAsia="zh-CN" w:bidi="ar-SA"/>
        </w:rPr>
        <w:t>商前来投标。</w:t>
      </w:r>
    </w:p>
    <w:p w14:paraId="7B25818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w:t>
      </w:r>
      <w:r>
        <w:rPr>
          <w:rFonts w:hint="eastAsia" w:asciiTheme="minorEastAsia" w:hAnsiTheme="minorEastAsia" w:cstheme="minorEastAsia"/>
          <w:kern w:val="2"/>
          <w:sz w:val="21"/>
          <w:szCs w:val="21"/>
          <w:lang w:val="en-US" w:eastAsia="zh-CN" w:bidi="ar-SA"/>
        </w:rPr>
        <w:t>G</w:t>
      </w:r>
      <w:r>
        <w:rPr>
          <w:rFonts w:hint="eastAsia" w:asciiTheme="minorEastAsia" w:hAnsiTheme="minorEastAsia" w:eastAsiaTheme="minorEastAsia" w:cstheme="minorEastAsia"/>
          <w:kern w:val="2"/>
          <w:sz w:val="21"/>
          <w:szCs w:val="21"/>
          <w:lang w:val="en-US" w:eastAsia="zh-CN" w:bidi="ar-SA"/>
        </w:rPr>
        <w:t>202</w:t>
      </w:r>
      <w:r>
        <w:rPr>
          <w:rFonts w:hint="eastAsia" w:asciiTheme="minorEastAsia" w:hAnsiTheme="minorEastAsia" w:cstheme="minorEastAsia"/>
          <w:kern w:val="2"/>
          <w:sz w:val="21"/>
          <w:szCs w:val="21"/>
          <w:lang w:val="en-US" w:eastAsia="zh-CN" w:bidi="ar-SA"/>
        </w:rPr>
        <w:t>6009</w:t>
      </w:r>
    </w:p>
    <w:p w14:paraId="6BDA9900">
      <w:pPr>
        <w:widowControl/>
        <w:shd w:val="clear" w:color="auto" w:fill="FFFFFF"/>
        <w:spacing w:line="360" w:lineRule="auto"/>
        <w:ind w:firstLine="422"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禹州市机关事务中心党政综合办公楼电梯采购及安装项目</w:t>
      </w:r>
    </w:p>
    <w:p w14:paraId="0C335B7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公开招标</w:t>
      </w:r>
    </w:p>
    <w:p w14:paraId="1D207E7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1FC8F2D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1F5A8F9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1.采购人：禹州市机关事务中心</w:t>
      </w:r>
    </w:p>
    <w:p w14:paraId="13F0937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2.项目主要内容、数量及要求：本项目不分标段，原有8部电梯拆除、搬运、入库；</w:t>
      </w:r>
    </w:p>
    <w:p w14:paraId="131FCCA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电梯门口及电梯机房土建整改；新电梯设备采购、安装、验收及质保期内服务。（详见招标文件）</w:t>
      </w:r>
    </w:p>
    <w:p w14:paraId="5731FF84">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3.预算金额：3200000.00元</w:t>
      </w:r>
    </w:p>
    <w:p w14:paraId="4FF09ADA">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4.最高限价：3200000.00元</w:t>
      </w:r>
    </w:p>
    <w:p w14:paraId="04FDEAE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5.履约时间 ：合同签订后100日历天 </w:t>
      </w:r>
    </w:p>
    <w:p w14:paraId="5BBDF3C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w:t>
      </w:r>
    </w:p>
    <w:p w14:paraId="53B6AB0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4BCE8ECC">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8.是否接受进口产品：否</w:t>
      </w:r>
    </w:p>
    <w:p w14:paraId="4FA77FF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9.是否专门面向中小企业：否</w:t>
      </w:r>
    </w:p>
    <w:p w14:paraId="0B3FBC4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57602B3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3EE4C9DF">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75871E57">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3.本项目的特定资格要求：投标人为制造商的，须具有市场监督管理部门颁发的有效期内的特种设备安装改造维修许可证（电梯）、特种设备制造许可证（电梯）或《中华人民共和国特种设备生产许可证》（新证）。投标人为代理商的，须具有有效期内的特种设备安装改造维修许可证（电梯）或新证《中华人民共和国特种设备生产许可证》（含安装、维修），并具有所投品牌制造商对该项目的唯一授权书，投标人所投电梯制造商须具有市场监督管理部门颁发的有效期内的特种设备安装改造维修许可证（电梯）、特种设备制造许可证（电梯）或具有《中华人民共和国特种设备生产许可证》（新证）。</w:t>
      </w:r>
    </w:p>
    <w:p w14:paraId="2AE796A9">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七、招标文件的获取：</w:t>
      </w:r>
    </w:p>
    <w:p w14:paraId="2621FDEE">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即日起至投标截止时间，投标商使用 CA 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0529D23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八、投标文件的提交方式及注意事项：</w:t>
      </w:r>
    </w:p>
    <w:p w14:paraId="6F4E829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投标商必须通过许昌公共资源交易系统下载“新点投标文件制作软件（河南省版）”的最新版本制作并上传加密电子响应文件（后缀格式为.XCSTF）。截至投标截止时间，交易系统投标通道将关闭，投标商未完成电子响应文件上传的，投标将被拒绝。</w:t>
      </w:r>
    </w:p>
    <w:p w14:paraId="232B4E63">
      <w:pPr>
        <w:widowControl/>
        <w:shd w:val="clear" w:color="auto" w:fill="FFFFFF"/>
        <w:spacing w:line="440" w:lineRule="exact"/>
        <w:ind w:firstLine="422" w:firstLineChars="200"/>
        <w:jc w:val="left"/>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九、投标文件提交截止时间及开标时间</w:t>
      </w:r>
      <w:r>
        <w:rPr>
          <w:rFonts w:hint="eastAsia" w:asciiTheme="minorEastAsia" w:hAnsiTheme="minorEastAsia" w:cstheme="minorEastAsia"/>
          <w:b/>
          <w:bCs/>
          <w:kern w:val="2"/>
          <w:sz w:val="21"/>
          <w:szCs w:val="21"/>
          <w:lang w:val="en-US" w:eastAsia="zh-CN" w:bidi="ar-SA"/>
        </w:rPr>
        <w:t>、地点：</w:t>
      </w:r>
    </w:p>
    <w:p w14:paraId="0DC909F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1.投标文件提交截止时间及开标时间：2026年9月14日8 时30分（北京时间），逾期提交或不符合规定的投标文件不予接收。</w:t>
      </w:r>
    </w:p>
    <w:p w14:paraId="14E45977">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2.投标文件开启时间：同投标文件提交截止时间。</w:t>
      </w:r>
    </w:p>
    <w:p w14:paraId="4F021CC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3.投标文件开启地点：禹州市公共资源交易中心九楼第二开标室。（本项目采用远程不见面开标方式，投标人无须到现场）。</w:t>
      </w:r>
    </w:p>
    <w:p w14:paraId="2E06C295">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4A70C64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投标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投标商原因解密失败的，其投标文件将被拒绝。</w:t>
      </w:r>
    </w:p>
    <w:p w14:paraId="252BA69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4BB0F2F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68BC447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采购人名称：禹州市机关事务中心</w:t>
      </w:r>
    </w:p>
    <w:p w14:paraId="78DB029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w:t>
      </w:r>
      <w:r>
        <w:rPr>
          <w:rFonts w:hint="eastAsia" w:asciiTheme="minorEastAsia" w:hAnsiTheme="minorEastAsia" w:eastAsiaTheme="minorEastAsia" w:cstheme="minorEastAsia"/>
          <w:color w:val="000000"/>
          <w:kern w:val="2"/>
          <w:sz w:val="21"/>
          <w:szCs w:val="21"/>
          <w:shd w:val="clear" w:color="auto" w:fill="FFFFFF"/>
          <w:lang w:val="en-US" w:eastAsia="zh-CN" w:bidi="ar-SA"/>
        </w:rPr>
        <w:t>禹州市禹王大道</w:t>
      </w:r>
    </w:p>
    <w:p w14:paraId="190F9BB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王先生</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0374-8278268</w:t>
      </w:r>
    </w:p>
    <w:p w14:paraId="3BF059E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66195AF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5FC81319">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联系人：朱先生   联系电话：0374-2077111</w:t>
      </w:r>
    </w:p>
    <w:p w14:paraId="7353DEA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3079C6D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70519713"/>
    <w:p w14:paraId="7D5C80E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p>
    <w:p w14:paraId="2865625F">
      <w:pPr>
        <w:spacing w:line="440" w:lineRule="exact"/>
        <w:rPr>
          <w:rFonts w:ascii="仿宋" w:hAnsi="仿宋" w:eastAsia="仿宋" w:cs="仿宋"/>
          <w:sz w:val="28"/>
          <w:szCs w:val="28"/>
        </w:rPr>
      </w:pPr>
    </w:p>
    <w:p w14:paraId="33FD574C">
      <w:pPr>
        <w:spacing w:line="360" w:lineRule="auto"/>
        <w:rPr>
          <w:rFonts w:hAnsi="宋体"/>
          <w:b/>
          <w:sz w:val="28"/>
          <w:szCs w:val="28"/>
        </w:rPr>
      </w:pPr>
      <w:r>
        <w:rPr>
          <w:rFonts w:hint="eastAsia" w:hAnsi="宋体"/>
          <w:b/>
          <w:sz w:val="28"/>
          <w:szCs w:val="28"/>
        </w:rPr>
        <w:t>温馨提示：本项目为全流程电子化交易项目，请注意以下事项。</w:t>
      </w:r>
    </w:p>
    <w:p w14:paraId="490D1CCD">
      <w:pPr>
        <w:pStyle w:val="44"/>
        <w:numPr>
          <w:ilvl w:val="0"/>
          <w:numId w:val="0"/>
        </w:numPr>
        <w:tabs>
          <w:tab w:val="left" w:pos="7095"/>
        </w:tabs>
        <w:spacing w:line="360" w:lineRule="auto"/>
        <w:ind w:firstLine="422" w:firstLineChars="200"/>
        <w:contextualSpacing/>
        <w:rPr>
          <w:rFonts w:asciiTheme="minorEastAsia" w:hAnsiTheme="minorEastAsia"/>
          <w:b/>
        </w:rPr>
      </w:pPr>
      <w:r>
        <w:rPr>
          <w:rFonts w:hint="eastAsia" w:cs="Helvetica"/>
          <w:b/>
          <w:bCs/>
          <w:lang w:val="en-US" w:eastAsia="zh-CN"/>
        </w:rPr>
        <w:t>1.</w:t>
      </w:r>
      <w:r>
        <w:rPr>
          <w:rFonts w:hint="eastAsia" w:cs="Helvetica"/>
        </w:rPr>
        <w:t>供应商参加本项目投标，需提前自行联系CA服务机构办理数字认证证书并进行电子签章。</w:t>
      </w:r>
    </w:p>
    <w:p w14:paraId="64E8B20F">
      <w:pPr>
        <w:pStyle w:val="44"/>
        <w:numPr>
          <w:ilvl w:val="0"/>
          <w:numId w:val="0"/>
        </w:numPr>
        <w:tabs>
          <w:tab w:val="left" w:pos="7095"/>
        </w:tabs>
        <w:spacing w:line="360" w:lineRule="auto"/>
        <w:ind w:firstLine="422" w:firstLineChars="200"/>
        <w:contextualSpacing/>
        <w:rPr>
          <w:rFonts w:hAnsi="宋体"/>
        </w:rPr>
      </w:pPr>
      <w:r>
        <w:rPr>
          <w:rFonts w:hint="eastAsia" w:hAnsi="宋体"/>
          <w:b/>
          <w:bCs/>
          <w:lang w:val="en-US" w:eastAsia="zh-CN"/>
        </w:rPr>
        <w:t>2</w:t>
      </w:r>
      <w:r>
        <w:rPr>
          <w:rFonts w:hint="eastAsia" w:hAnsi="宋体"/>
          <w:lang w:val="en-US" w:eastAsia="zh-CN"/>
        </w:rPr>
        <w:t>.</w:t>
      </w:r>
      <w:r>
        <w:rPr>
          <w:rFonts w:hint="eastAsia" w:hAnsi="宋体"/>
        </w:rPr>
        <w:t>招标文件下载、投标文件制作、提交、远程不见面开标（电子投标文件的解密）环节，投标人须使用同一个</w:t>
      </w:r>
      <w:r>
        <w:rPr>
          <w:rFonts w:hAnsi="宋体"/>
        </w:rPr>
        <w:t>CA数字证书</w:t>
      </w:r>
      <w:r>
        <w:rPr>
          <w:rFonts w:hint="eastAsia" w:hAnsi="宋体"/>
        </w:rPr>
        <w:t>（证书须在有效期内并可正常使用）</w:t>
      </w:r>
      <w:r>
        <w:rPr>
          <w:rFonts w:hAnsi="宋体"/>
        </w:rPr>
        <w:t>。</w:t>
      </w:r>
    </w:p>
    <w:p w14:paraId="60CC5BF9">
      <w:pPr>
        <w:pStyle w:val="44"/>
        <w:numPr>
          <w:ilvl w:val="0"/>
          <w:numId w:val="0"/>
        </w:numPr>
        <w:tabs>
          <w:tab w:val="left" w:pos="7095"/>
        </w:tabs>
        <w:spacing w:line="360" w:lineRule="auto"/>
        <w:ind w:firstLine="422" w:firstLineChars="200"/>
        <w:contextualSpacing/>
        <w:rPr>
          <w:rFonts w:hAnsi="宋体"/>
          <w:b/>
        </w:rPr>
      </w:pPr>
      <w:r>
        <w:rPr>
          <w:rFonts w:hint="eastAsia" w:hAnsi="宋体"/>
          <w:b/>
          <w:lang w:val="en-US" w:eastAsia="zh-CN"/>
        </w:rPr>
        <w:t>3.</w:t>
      </w:r>
      <w:r>
        <w:rPr>
          <w:rFonts w:hint="eastAsia" w:hAnsi="宋体"/>
          <w:b/>
        </w:rPr>
        <w:t>电子投标文件的制作</w:t>
      </w:r>
    </w:p>
    <w:p w14:paraId="54618C4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 xml:space="preserve">3.1 </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17A95A70">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Ansi="宋体"/>
          <w:b/>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7D6B6DFE">
      <w:pPr>
        <w:pStyle w:val="44"/>
        <w:numPr>
          <w:ilvl w:val="0"/>
          <w:numId w:val="0"/>
        </w:numPr>
        <w:tabs>
          <w:tab w:val="left" w:pos="7095"/>
        </w:tabs>
        <w:spacing w:line="360" w:lineRule="auto"/>
        <w:ind w:left="420" w:leftChars="0"/>
        <w:contextualSpacing/>
        <w:rPr>
          <w:rFonts w:hAnsi="宋体"/>
          <w:b/>
        </w:rPr>
      </w:pPr>
      <w:r>
        <w:rPr>
          <w:rFonts w:hint="eastAsia" w:asciiTheme="minorEastAsia" w:hAnsiTheme="minorEastAsia"/>
          <w:b/>
          <w:lang w:val="en-US" w:eastAsia="zh-CN"/>
        </w:rPr>
        <w:t>4.</w:t>
      </w:r>
      <w:r>
        <w:rPr>
          <w:rFonts w:hint="eastAsia" w:asciiTheme="minorEastAsia" w:hAnsiTheme="minorEastAsia"/>
          <w:b/>
        </w:rPr>
        <w:t>加密</w:t>
      </w:r>
      <w:r>
        <w:rPr>
          <w:rFonts w:hint="eastAsia" w:hAnsi="宋体"/>
          <w:b/>
        </w:rPr>
        <w:t>电子投标文件的提交</w:t>
      </w:r>
    </w:p>
    <w:p w14:paraId="24B58906">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4.1</w:t>
      </w:r>
      <w:r>
        <w:rPr>
          <w:rFonts w:hint="eastAsia" w:hAnsi="宋体"/>
        </w:rPr>
        <w:t>投标人对同一项目多个标段进行投标的，加密电子投标文件应按标段分别提交。</w:t>
      </w:r>
    </w:p>
    <w:p w14:paraId="5ED6C4F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46726741">
      <w:pPr>
        <w:pStyle w:val="44"/>
        <w:numPr>
          <w:ilvl w:val="0"/>
          <w:numId w:val="0"/>
        </w:numPr>
        <w:tabs>
          <w:tab w:val="left" w:pos="7095"/>
        </w:tabs>
        <w:spacing w:line="360" w:lineRule="auto"/>
        <w:ind w:firstLine="422" w:firstLineChars="200"/>
        <w:contextualSpacing/>
        <w:rPr>
          <w:rFonts w:hAnsi="宋体"/>
          <w:b/>
        </w:rPr>
      </w:pPr>
      <w:r>
        <w:rPr>
          <w:rFonts w:hint="eastAsia" w:asciiTheme="minorEastAsia" w:hAnsiTheme="minorEastAsia"/>
          <w:b/>
          <w:lang w:val="en-US" w:eastAsia="zh-CN"/>
        </w:rPr>
        <w:t>5.</w:t>
      </w:r>
      <w:r>
        <w:rPr>
          <w:rFonts w:hint="eastAsia" w:asciiTheme="minorEastAsia" w:hAnsiTheme="minorEastAsia"/>
          <w:b/>
        </w:rPr>
        <w:t>远程不见面开标（</w:t>
      </w:r>
      <w:r>
        <w:rPr>
          <w:rFonts w:hint="eastAsia" w:hAnsi="宋体"/>
          <w:b/>
        </w:rPr>
        <w:t>电子投标文件的解密</w:t>
      </w:r>
      <w:r>
        <w:rPr>
          <w:rFonts w:hint="eastAsia" w:asciiTheme="minorEastAsia" w:hAnsiTheme="minorEastAsia"/>
          <w:b/>
        </w:rPr>
        <w:t>）</w:t>
      </w:r>
    </w:p>
    <w:p w14:paraId="28566F7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4A176017">
      <w:pPr>
        <w:pStyle w:val="44"/>
        <w:numPr>
          <w:ilvl w:val="0"/>
          <w:numId w:val="0"/>
        </w:numPr>
        <w:tabs>
          <w:tab w:val="left" w:pos="7095"/>
        </w:tabs>
        <w:spacing w:line="360" w:lineRule="auto"/>
        <w:ind w:firstLine="420" w:firstLineChars="200"/>
        <w:contextualSpacing/>
        <w:jc w:val="left"/>
        <w:rPr>
          <w:rFonts w:hAnsi="宋体"/>
        </w:rPr>
      </w:pPr>
      <w:r>
        <w:rPr>
          <w:rFonts w:hint="eastAsia" w:asciiTheme="minorEastAsia" w:hAnsiTheme="minorEastAsia" w:cstheme="minorEastAsia"/>
          <w:b w:val="0"/>
          <w:bCs w:val="0"/>
          <w:i w:val="0"/>
          <w:iCs w:val="0"/>
          <w:color w:val="000000"/>
          <w:spacing w:val="0"/>
          <w:w w:val="100"/>
          <w:sz w:val="21"/>
          <w:szCs w:val="21"/>
          <w:vertAlign w:val="baseline"/>
          <w:lang w:val="en-US" w:eastAsia="zh-CN"/>
        </w:rPr>
        <w:t xml:space="preserve">5.2 </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w:t>
      </w:r>
      <w:r>
        <w:rPr>
          <w:rFonts w:hint="eastAsia" w:hAnsi="宋体"/>
        </w:rPr>
        <w:t>并于开标时间前登录本项目不见面开标大厅，按照规定的开标时间准时参加网上开标。</w:t>
      </w:r>
    </w:p>
    <w:p w14:paraId="6321E35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 xml:space="preserve">5.3 </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 xml:space="preserve"> </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r>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t>。</w:t>
      </w:r>
    </w:p>
    <w:p w14:paraId="50D031A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59DAF6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5.5 在“开标结束”环节，供应商应在《开标情况记录表》上进行电子签章。供应商未签章的，</w:t>
      </w:r>
      <w:r>
        <w:rPr>
          <w:rFonts w:hint="eastAsia" w:asciiTheme="minorEastAsia" w:hAnsiTheme="minorEastAsia" w:eastAsiaTheme="minorEastAsia" w:cstheme="minorEastAsia"/>
          <w:b w:val="0"/>
          <w:bCs w:val="0"/>
          <w:i w:val="0"/>
          <w:iCs w:val="0"/>
          <w:color w:val="000000"/>
          <w:spacing w:val="0"/>
          <w:w w:val="100"/>
          <w:sz w:val="21"/>
          <w:szCs w:val="21"/>
          <w:vertAlign w:val="baseline"/>
        </w:rPr>
        <w:t>视同认可开标结果。</w:t>
      </w:r>
    </w:p>
    <w:p w14:paraId="62ED2F9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54B8EEFC">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p>
    <w:p w14:paraId="23FD86D3">
      <w:pPr>
        <w:pStyle w:val="44"/>
        <w:numPr>
          <w:ilvl w:val="0"/>
          <w:numId w:val="0"/>
        </w:numPr>
        <w:tabs>
          <w:tab w:val="left" w:pos="7095"/>
        </w:tabs>
        <w:spacing w:line="360" w:lineRule="auto"/>
        <w:ind w:left="420" w:leftChars="0"/>
        <w:contextualSpacing/>
        <w:rPr>
          <w:rFonts w:hAnsi="宋体"/>
          <w:b/>
        </w:rPr>
      </w:pPr>
      <w:r>
        <w:rPr>
          <w:rFonts w:hint="eastAsia" w:hAnsi="宋体"/>
          <w:b/>
          <w:lang w:val="en-US" w:eastAsia="zh-CN"/>
        </w:rPr>
        <w:t>6.</w:t>
      </w:r>
      <w:r>
        <w:rPr>
          <w:rFonts w:hint="eastAsia" w:hAnsi="宋体"/>
          <w:b/>
        </w:rPr>
        <w:t>评标依据</w:t>
      </w:r>
    </w:p>
    <w:p w14:paraId="695F76EC">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6.1</w:t>
      </w:r>
      <w:r>
        <w:rPr>
          <w:rFonts w:hint="eastAsia" w:hAnsi="宋体"/>
        </w:rPr>
        <w:t>全流程电子化交易（不见面开标）项目，评标委员会以成功上传、解密的电子投标文件为依据评审。</w:t>
      </w:r>
    </w:p>
    <w:p w14:paraId="02A1355B">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6.2</w:t>
      </w:r>
      <w:r>
        <w:rPr>
          <w:rFonts w:hint="eastAsia" w:hAnsi="宋体"/>
        </w:rPr>
        <w:t>评标期间，投标人应保持通讯手机畅通。评标委员会如要求投标人作出澄清、说明或者补正等，投标人应在评标委员会要求的评标期间合理的时间内通过电子邮件形式提供。</w:t>
      </w:r>
    </w:p>
    <w:p w14:paraId="0DC7CDF1">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6.3</w:t>
      </w:r>
      <w:r>
        <w:rPr>
          <w:rFonts w:hint="eastAsia" w:hAnsi="宋体"/>
        </w:rPr>
        <w:t>投标人通过电子邮件提供的书面说明或相关证明材料应加盖公章，或者由法定代表人或其授权的代表签字。</w:t>
      </w:r>
    </w:p>
    <w:p w14:paraId="402C92B3">
      <w:pPr>
        <w:pStyle w:val="44"/>
        <w:numPr>
          <w:ilvl w:val="0"/>
          <w:numId w:val="0"/>
        </w:numPr>
        <w:tabs>
          <w:tab w:val="left" w:pos="7095"/>
        </w:tabs>
        <w:spacing w:line="360" w:lineRule="auto"/>
        <w:ind w:left="420" w:leftChars="0"/>
        <w:contextualSpacing/>
        <w:rPr>
          <w:rFonts w:hint="eastAsia" w:hAnsi="宋体"/>
          <w:b/>
          <w:lang w:val="en-US" w:eastAsia="zh-CN"/>
        </w:rPr>
      </w:pPr>
      <w:r>
        <w:rPr>
          <w:rFonts w:hint="eastAsia" w:hAnsi="宋体"/>
          <w:b/>
          <w:lang w:val="en-US" w:eastAsia="zh-CN"/>
        </w:rPr>
        <w:t>7.相关事项</w:t>
      </w:r>
    </w:p>
    <w:p w14:paraId="31955F67">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7.1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7F502B1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7.2“全国公共资源交易平台（河南省·许昌市）”采购公告栏提供的招标文件仅供浏览。供应商下载招标文件应使用 CA 数字证书或移动数字证书从“全国公共资源交易平台（河南省·许昌市）”的“投标人”登录入口获取本项目招标文件。</w:t>
      </w:r>
    </w:p>
    <w:p w14:paraId="487B5C50">
      <w:pPr>
        <w:pStyle w:val="44"/>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29158FF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p>
    <w:p w14:paraId="77297D5F">
      <w:pPr>
        <w:numPr>
          <w:ilvl w:val="0"/>
          <w:numId w:val="4"/>
        </w:numPr>
        <w:ind w:left="4320" w:leftChars="0" w:hanging="1605" w:firstLineChars="0"/>
        <w:jc w:val="both"/>
        <w:rPr>
          <w:rFonts w:hint="eastAsia" w:cs="宋体" w:asciiTheme="majorEastAsia" w:hAnsiTheme="majorEastAsia" w:eastAsiaTheme="majorEastAsia"/>
          <w:b/>
          <w:kern w:val="0"/>
          <w:sz w:val="32"/>
          <w:szCs w:val="32"/>
          <w:lang w:val="en-US" w:eastAsia="zh-CN"/>
        </w:rPr>
        <w:sectPr>
          <w:pgSz w:w="11906" w:h="16838"/>
          <w:pgMar w:top="2098" w:right="1474" w:bottom="1928" w:left="1588" w:header="851" w:footer="992" w:gutter="0"/>
          <w:cols w:space="425" w:num="1"/>
          <w:docGrid w:type="lines" w:linePitch="312" w:charSpace="0"/>
        </w:sectPr>
      </w:pPr>
    </w:p>
    <w:p w14:paraId="6419F0E5">
      <w:pPr>
        <w:keepNext w:val="0"/>
        <w:keepLines w:val="0"/>
        <w:pageBreakBefore w:val="0"/>
        <w:widowControl w:val="0"/>
        <w:numPr>
          <w:ilvl w:val="0"/>
          <w:numId w:val="5"/>
        </w:numPr>
        <w:kinsoku/>
        <w:wordWrap/>
        <w:overflowPunct/>
        <w:topLinePunct w:val="0"/>
        <w:autoSpaceDE/>
        <w:autoSpaceDN/>
        <w:bidi w:val="0"/>
        <w:adjustRightInd/>
        <w:snapToGrid/>
        <w:ind w:left="0" w:leftChars="0" w:firstLine="403" w:firstLineChars="0"/>
        <w:jc w:val="center"/>
        <w:textAlignment w:val="auto"/>
        <w:outlineLvl w:val="0"/>
        <w:rPr>
          <w:rFonts w:hint="eastAsia"/>
          <w:b/>
          <w:bCs/>
          <w:sz w:val="32"/>
          <w:szCs w:val="36"/>
          <w:lang w:val="en-US" w:eastAsia="zh-CN"/>
        </w:rPr>
      </w:pPr>
      <w:r>
        <w:rPr>
          <w:rFonts w:hint="eastAsia"/>
          <w:b/>
          <w:bCs/>
          <w:sz w:val="32"/>
          <w:szCs w:val="36"/>
        </w:rPr>
        <w:t>项目需求</w:t>
      </w:r>
    </w:p>
    <w:p w14:paraId="3001F2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rPr>
      </w:pPr>
      <w:r>
        <w:rPr>
          <w:rFonts w:hint="eastAsia" w:ascii="仿宋" w:hAnsi="仿宋" w:eastAsia="仿宋" w:cs="仿宋"/>
          <w:b/>
          <w:bCs/>
          <w:kern w:val="0"/>
          <w:sz w:val="28"/>
          <w:szCs w:val="28"/>
        </w:rPr>
        <w:t>（一）本项目需实现的功能或者目标：</w:t>
      </w:r>
      <w:r>
        <w:rPr>
          <w:rFonts w:hint="eastAsia" w:ascii="新宋体" w:hAnsi="新宋体" w:eastAsia="新宋体" w:cs="新宋体"/>
          <w:sz w:val="21"/>
          <w:szCs w:val="21"/>
          <w:lang w:eastAsia="zh-CN"/>
        </w:rPr>
        <w:t>要求产品质量上乘、安全可靠、采用</w:t>
      </w:r>
      <w:r>
        <w:rPr>
          <w:rFonts w:hint="eastAsia" w:ascii="新宋体" w:hAnsi="新宋体" w:eastAsia="新宋体" w:cs="新宋体"/>
          <w:color w:val="auto"/>
          <w:sz w:val="21"/>
          <w:szCs w:val="21"/>
          <w:lang w:eastAsia="zh-CN"/>
        </w:rPr>
        <w:t>最新微机技术，</w:t>
      </w:r>
      <w:r>
        <w:rPr>
          <w:rFonts w:hint="eastAsia" w:ascii="新宋体" w:hAnsi="新宋体" w:eastAsia="新宋体" w:cs="新宋体"/>
          <w:sz w:val="21"/>
          <w:szCs w:val="21"/>
        </w:rPr>
        <w:t>永磁同步的无齿轮曳引机</w:t>
      </w:r>
      <w:r>
        <w:rPr>
          <w:rFonts w:hint="eastAsia" w:ascii="新宋体" w:hAnsi="新宋体" w:eastAsia="新宋体" w:cs="新宋体"/>
          <w:sz w:val="21"/>
          <w:szCs w:val="21"/>
          <w:lang w:eastAsia="zh-CN"/>
        </w:rPr>
        <w:t>，以使电梯具有高效运行和舒适平稳的驱动性能，具有节能和便于维修保养、故障诊断等优势。保障</w:t>
      </w:r>
      <w:r>
        <w:rPr>
          <w:rFonts w:hint="eastAsia" w:ascii="新宋体" w:hAnsi="新宋体" w:eastAsia="新宋体" w:cs="新宋体"/>
          <w:b w:val="0"/>
          <w:bCs w:val="0"/>
          <w:color w:val="000000"/>
          <w:kern w:val="0"/>
          <w:sz w:val="21"/>
          <w:szCs w:val="21"/>
          <w:lang w:eastAsia="zh-CN"/>
        </w:rPr>
        <w:t>党政综合办公楼</w:t>
      </w:r>
      <w:r>
        <w:rPr>
          <w:rFonts w:hint="eastAsia" w:ascii="新宋体" w:hAnsi="新宋体" w:eastAsia="新宋体" w:cs="新宋体"/>
          <w:b w:val="0"/>
          <w:bCs w:val="0"/>
          <w:color w:val="000000"/>
          <w:kern w:val="0"/>
          <w:sz w:val="21"/>
          <w:szCs w:val="21"/>
          <w:lang w:val="en-US" w:eastAsia="zh-CN"/>
        </w:rPr>
        <w:t>8部电梯安全高效运行。</w:t>
      </w:r>
    </w:p>
    <w:p w14:paraId="0171751C">
      <w:pPr>
        <w:pStyle w:val="71"/>
        <w:widowControl/>
        <w:numPr>
          <w:ilvl w:val="0"/>
          <w:numId w:val="0"/>
        </w:numPr>
        <w:shd w:val="clear" w:color="auto" w:fill="FFFFFF"/>
        <w:spacing w:line="360" w:lineRule="auto"/>
        <w:ind w:leftChars="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（二）采购内容：</w:t>
      </w:r>
    </w:p>
    <w:p w14:paraId="3B5E826F">
      <w:pPr>
        <w:pStyle w:val="71"/>
        <w:widowControl/>
        <w:numPr>
          <w:ilvl w:val="0"/>
          <w:numId w:val="0"/>
        </w:numPr>
        <w:shd w:val="clear" w:color="auto" w:fill="FFFFFF"/>
        <w:spacing w:line="360" w:lineRule="auto"/>
        <w:ind w:leftChars="0"/>
        <w:jc w:val="left"/>
        <w:rPr>
          <w:rFonts w:hint="eastAsia" w:ascii="新宋体" w:hAnsi="新宋体" w:eastAsia="新宋体" w:cs="新宋体"/>
          <w:color w:val="auto"/>
          <w:kern w:val="2"/>
          <w:sz w:val="21"/>
          <w:szCs w:val="21"/>
          <w:lang w:val="en-US" w:eastAsia="zh-CN" w:bidi="ar-SA"/>
        </w:rPr>
      </w:pPr>
      <w:r>
        <w:rPr>
          <w:rFonts w:hint="eastAsia" w:ascii="新宋体" w:hAnsi="新宋体" w:eastAsia="新宋体" w:cs="新宋体"/>
          <w:color w:val="auto"/>
          <w:kern w:val="2"/>
          <w:sz w:val="21"/>
          <w:szCs w:val="21"/>
          <w:lang w:val="en-US" w:eastAsia="zh-CN" w:bidi="ar-SA"/>
        </w:rPr>
        <w:t>1.原有8部电梯拆除、搬运、入库；</w:t>
      </w:r>
    </w:p>
    <w:p w14:paraId="2E16CE63">
      <w:pPr>
        <w:pStyle w:val="72"/>
        <w:rPr>
          <w:rFonts w:hint="eastAsia" w:ascii="新宋体" w:hAnsi="新宋体" w:eastAsia="新宋体" w:cs="新宋体"/>
          <w:color w:val="auto"/>
          <w:kern w:val="2"/>
          <w:sz w:val="21"/>
          <w:szCs w:val="21"/>
          <w:lang w:val="en-US" w:eastAsia="zh-CN" w:bidi="ar-SA"/>
        </w:rPr>
      </w:pPr>
      <w:r>
        <w:rPr>
          <w:rFonts w:hint="eastAsia" w:ascii="新宋体" w:hAnsi="新宋体" w:eastAsia="新宋体" w:cs="新宋体"/>
          <w:color w:val="auto"/>
          <w:kern w:val="2"/>
          <w:sz w:val="21"/>
          <w:szCs w:val="21"/>
          <w:lang w:val="en-US" w:eastAsia="zh-CN" w:bidi="ar-SA"/>
        </w:rPr>
        <w:t>2.电梯门口及电梯机房土建整改；</w:t>
      </w:r>
    </w:p>
    <w:p w14:paraId="2A6E2102">
      <w:pPr>
        <w:pStyle w:val="72"/>
        <w:rPr>
          <w:rFonts w:hint="eastAsia" w:ascii="新宋体" w:hAnsi="新宋体" w:eastAsia="新宋体" w:cs="新宋体"/>
          <w:color w:val="auto"/>
          <w:kern w:val="2"/>
          <w:sz w:val="21"/>
          <w:szCs w:val="21"/>
          <w:lang w:val="en-US" w:eastAsia="zh-CN" w:bidi="ar-SA"/>
        </w:rPr>
      </w:pPr>
      <w:r>
        <w:rPr>
          <w:rFonts w:hint="eastAsia" w:ascii="新宋体" w:hAnsi="新宋体" w:eastAsia="新宋体" w:cs="新宋体"/>
          <w:color w:val="auto"/>
          <w:kern w:val="2"/>
          <w:sz w:val="21"/>
          <w:szCs w:val="21"/>
          <w:lang w:val="en-US" w:eastAsia="zh-CN" w:bidi="ar-SA"/>
        </w:rPr>
        <w:t>3.新电梯设备采购、安装、验收及质保期内服务。</w:t>
      </w:r>
    </w:p>
    <w:p w14:paraId="3299C441">
      <w:pPr>
        <w:widowControl/>
        <w:shd w:val="clear" w:color="auto" w:fill="FFFFFF"/>
        <w:spacing w:line="440" w:lineRule="exact"/>
        <w:jc w:val="left"/>
        <w:rPr>
          <w:rFonts w:hint="eastAsia" w:ascii="新宋体" w:hAnsi="新宋体" w:eastAsia="新宋体" w:cs="新宋体"/>
          <w:color w:val="auto"/>
          <w:kern w:val="2"/>
          <w:sz w:val="21"/>
          <w:szCs w:val="21"/>
          <w:lang w:val="en-US" w:eastAsia="zh-CN" w:bidi="ar-SA"/>
        </w:rPr>
      </w:pPr>
      <w:r>
        <w:rPr>
          <w:rFonts w:hint="eastAsia" w:ascii="新宋体" w:hAnsi="新宋体" w:eastAsia="新宋体" w:cs="新宋体"/>
          <w:color w:val="auto"/>
          <w:kern w:val="2"/>
          <w:sz w:val="21"/>
          <w:szCs w:val="21"/>
          <w:lang w:val="en-US" w:eastAsia="zh-CN" w:bidi="ar-SA"/>
        </w:rPr>
        <w:t>4.电梯主要参数：</w:t>
      </w:r>
    </w:p>
    <w:tbl>
      <w:tblPr>
        <w:tblStyle w:val="27"/>
        <w:tblW w:w="95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3"/>
        <w:gridCol w:w="1033"/>
        <w:gridCol w:w="6440"/>
        <w:gridCol w:w="985"/>
        <w:gridCol w:w="490"/>
      </w:tblGrid>
      <w:tr w14:paraId="30F96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3" w:type="dxa"/>
            <w:noWrap w:val="0"/>
            <w:vAlign w:val="center"/>
          </w:tcPr>
          <w:p w14:paraId="171A6C58">
            <w:pPr>
              <w:jc w:val="center"/>
              <w:rPr>
                <w:sz w:val="21"/>
                <w:szCs w:val="21"/>
              </w:rPr>
            </w:pPr>
            <w:r>
              <w:rPr>
                <w:rFonts w:hint="eastAsia"/>
                <w:sz w:val="21"/>
                <w:szCs w:val="21"/>
              </w:rPr>
              <w:t>序号</w:t>
            </w:r>
          </w:p>
        </w:tc>
        <w:tc>
          <w:tcPr>
            <w:tcW w:w="1033" w:type="dxa"/>
            <w:noWrap w:val="0"/>
            <w:vAlign w:val="center"/>
          </w:tcPr>
          <w:p w14:paraId="6A73373F">
            <w:pPr>
              <w:jc w:val="center"/>
              <w:rPr>
                <w:sz w:val="21"/>
                <w:szCs w:val="21"/>
              </w:rPr>
            </w:pPr>
            <w:r>
              <w:rPr>
                <w:rFonts w:hint="eastAsia"/>
                <w:sz w:val="21"/>
                <w:szCs w:val="21"/>
              </w:rPr>
              <w:t>名称</w:t>
            </w:r>
          </w:p>
        </w:tc>
        <w:tc>
          <w:tcPr>
            <w:tcW w:w="6440" w:type="dxa"/>
            <w:noWrap w:val="0"/>
            <w:vAlign w:val="center"/>
          </w:tcPr>
          <w:p w14:paraId="2E397E47">
            <w:pPr>
              <w:jc w:val="center"/>
              <w:rPr>
                <w:sz w:val="21"/>
                <w:szCs w:val="21"/>
              </w:rPr>
            </w:pPr>
            <w:r>
              <w:rPr>
                <w:rFonts w:hint="eastAsia"/>
                <w:sz w:val="21"/>
                <w:szCs w:val="21"/>
              </w:rPr>
              <w:t>技术规格及主要参数</w:t>
            </w:r>
          </w:p>
        </w:tc>
        <w:tc>
          <w:tcPr>
            <w:tcW w:w="985" w:type="dxa"/>
            <w:noWrap w:val="0"/>
            <w:vAlign w:val="top"/>
          </w:tcPr>
          <w:p w14:paraId="5E8E7AE7">
            <w:pPr>
              <w:jc w:val="center"/>
              <w:rPr>
                <w:sz w:val="21"/>
                <w:szCs w:val="21"/>
              </w:rPr>
            </w:pPr>
            <w:r>
              <w:rPr>
                <w:rFonts w:hint="eastAsia"/>
                <w:sz w:val="21"/>
                <w:szCs w:val="21"/>
              </w:rPr>
              <w:t>计量</w:t>
            </w:r>
          </w:p>
          <w:p w14:paraId="55CB0725">
            <w:pPr>
              <w:jc w:val="center"/>
              <w:rPr>
                <w:sz w:val="21"/>
                <w:szCs w:val="21"/>
              </w:rPr>
            </w:pPr>
            <w:r>
              <w:rPr>
                <w:rFonts w:hint="eastAsia"/>
                <w:sz w:val="21"/>
                <w:szCs w:val="21"/>
              </w:rPr>
              <w:t>单位</w:t>
            </w:r>
          </w:p>
        </w:tc>
        <w:tc>
          <w:tcPr>
            <w:tcW w:w="490" w:type="dxa"/>
            <w:noWrap w:val="0"/>
            <w:vAlign w:val="center"/>
          </w:tcPr>
          <w:p w14:paraId="7A4EA1E0">
            <w:pPr>
              <w:jc w:val="center"/>
              <w:rPr>
                <w:sz w:val="21"/>
                <w:szCs w:val="21"/>
              </w:rPr>
            </w:pPr>
            <w:r>
              <w:rPr>
                <w:rFonts w:hint="eastAsia"/>
                <w:sz w:val="21"/>
                <w:szCs w:val="21"/>
              </w:rPr>
              <w:t>数量</w:t>
            </w:r>
          </w:p>
        </w:tc>
      </w:tr>
      <w:tr w14:paraId="370C2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3" w:type="dxa"/>
            <w:noWrap w:val="0"/>
            <w:vAlign w:val="center"/>
          </w:tcPr>
          <w:p w14:paraId="12A87785">
            <w:pPr>
              <w:keepNext w:val="0"/>
              <w:keepLines w:val="0"/>
              <w:pageBreakBefore w:val="0"/>
              <w:kinsoku/>
              <w:wordWrap/>
              <w:overflowPunct/>
              <w:topLinePunct w:val="0"/>
              <w:autoSpaceDE/>
              <w:autoSpaceDN/>
              <w:bidi w:val="0"/>
              <w:adjustRightInd/>
              <w:snapToGrid/>
              <w:spacing w:line="380" w:lineRule="exact"/>
              <w:jc w:val="center"/>
              <w:textAlignment w:val="auto"/>
              <w:rPr>
                <w:rFonts w:ascii="宋体" w:hAnsi="宋体" w:eastAsia="宋体" w:cs="宋体"/>
                <w:sz w:val="21"/>
                <w:szCs w:val="20"/>
              </w:rPr>
            </w:pPr>
            <w:r>
              <w:rPr>
                <w:rFonts w:hint="eastAsia" w:ascii="宋体" w:hAnsi="宋体" w:eastAsia="宋体" w:cs="宋体"/>
                <w:sz w:val="21"/>
                <w:szCs w:val="20"/>
              </w:rPr>
              <w:t>1</w:t>
            </w:r>
          </w:p>
        </w:tc>
        <w:tc>
          <w:tcPr>
            <w:tcW w:w="1033" w:type="dxa"/>
            <w:noWrap w:val="0"/>
            <w:vAlign w:val="center"/>
          </w:tcPr>
          <w:p w14:paraId="7090A831">
            <w:pPr>
              <w:keepNext w:val="0"/>
              <w:keepLines w:val="0"/>
              <w:pageBreakBefore w:val="0"/>
              <w:kinsoku/>
              <w:wordWrap/>
              <w:overflowPunct/>
              <w:topLinePunct w:val="0"/>
              <w:autoSpaceDE/>
              <w:autoSpaceDN/>
              <w:bidi w:val="0"/>
              <w:adjustRightInd/>
              <w:snapToGrid/>
              <w:spacing w:line="380" w:lineRule="exact"/>
              <w:jc w:val="center"/>
              <w:textAlignment w:val="auto"/>
              <w:rPr>
                <w:rFonts w:ascii="宋体" w:hAnsi="宋体" w:eastAsia="宋体" w:cs="宋体"/>
                <w:sz w:val="21"/>
                <w:szCs w:val="20"/>
              </w:rPr>
            </w:pPr>
            <w:r>
              <w:rPr>
                <w:rFonts w:hint="eastAsia" w:ascii="宋体" w:hAnsi="宋体" w:eastAsia="宋体" w:cs="宋体"/>
                <w:sz w:val="21"/>
                <w:szCs w:val="20"/>
              </w:rPr>
              <w:t>小机房曳引式客梯</w:t>
            </w:r>
          </w:p>
        </w:tc>
        <w:tc>
          <w:tcPr>
            <w:tcW w:w="6440" w:type="dxa"/>
            <w:noWrap w:val="0"/>
            <w:vAlign w:val="top"/>
          </w:tcPr>
          <w:p w14:paraId="08CD928F">
            <w:pPr>
              <w:keepNext w:val="0"/>
              <w:keepLines w:val="0"/>
              <w:pageBreakBefore w:val="0"/>
              <w:kinsoku/>
              <w:wordWrap/>
              <w:overflowPunct/>
              <w:topLinePunct w:val="0"/>
              <w:autoSpaceDE/>
              <w:autoSpaceDN/>
              <w:bidi w:val="0"/>
              <w:adjustRightInd/>
              <w:snapToGrid/>
              <w:spacing w:line="380" w:lineRule="exact"/>
              <w:jc w:val="left"/>
              <w:textAlignment w:val="auto"/>
              <w:rPr>
                <w:rFonts w:ascii="宋体" w:hAnsi="宋体" w:eastAsia="宋体" w:cs="宋体"/>
                <w:sz w:val="21"/>
                <w:szCs w:val="20"/>
              </w:rPr>
            </w:pPr>
            <w:r>
              <w:rPr>
                <w:rFonts w:hint="eastAsia" w:ascii="宋体" w:hAnsi="宋体" w:cs="宋体"/>
                <w:sz w:val="21"/>
                <w:szCs w:val="20"/>
                <w:lang w:val="en-US" w:eastAsia="zh-CN"/>
              </w:rPr>
              <w:t>1.</w:t>
            </w:r>
            <w:r>
              <w:rPr>
                <w:rFonts w:hint="eastAsia" w:ascii="宋体" w:hAnsi="宋体" w:eastAsia="宋体" w:cs="宋体"/>
                <w:sz w:val="21"/>
                <w:szCs w:val="20"/>
              </w:rPr>
              <w:t>电梯主要参数</w:t>
            </w:r>
          </w:p>
          <w:p w14:paraId="723B7A1A">
            <w:pPr>
              <w:keepNext w:val="0"/>
              <w:keepLines w:val="0"/>
              <w:pageBreakBefore w:val="0"/>
              <w:kinsoku/>
              <w:wordWrap/>
              <w:overflowPunct/>
              <w:topLinePunct w:val="0"/>
              <w:autoSpaceDE/>
              <w:autoSpaceDN/>
              <w:bidi w:val="0"/>
              <w:adjustRightInd/>
              <w:snapToGrid/>
              <w:spacing w:line="380" w:lineRule="exact"/>
              <w:jc w:val="left"/>
              <w:textAlignment w:val="auto"/>
              <w:rPr>
                <w:rFonts w:ascii="宋体" w:hAnsi="宋体" w:eastAsia="宋体" w:cs="宋体"/>
                <w:color w:val="auto"/>
                <w:sz w:val="21"/>
                <w:szCs w:val="20"/>
              </w:rPr>
            </w:pPr>
            <w:r>
              <w:rPr>
                <w:rFonts w:hint="eastAsia" w:ascii="宋体" w:hAnsi="宋体" w:cs="宋体"/>
                <w:sz w:val="21"/>
                <w:szCs w:val="20"/>
                <w:lang w:val="en-US" w:eastAsia="zh-CN"/>
              </w:rPr>
              <w:t>1.1</w:t>
            </w:r>
            <w:r>
              <w:rPr>
                <w:rFonts w:hint="eastAsia" w:ascii="宋体" w:hAnsi="宋体" w:eastAsia="宋体" w:cs="宋体"/>
                <w:color w:val="auto"/>
                <w:sz w:val="21"/>
                <w:szCs w:val="20"/>
              </w:rPr>
              <w:t>载重</w:t>
            </w:r>
            <w:r>
              <w:rPr>
                <w:rFonts w:hint="eastAsia" w:ascii="宋体" w:hAnsi="宋体" w:cs="宋体"/>
                <w:color w:val="auto"/>
                <w:sz w:val="21"/>
                <w:szCs w:val="20"/>
                <w:lang w:eastAsia="zh-CN"/>
              </w:rPr>
              <w:t>≥</w:t>
            </w:r>
            <w:r>
              <w:rPr>
                <w:rFonts w:hint="eastAsia" w:ascii="宋体" w:hAnsi="宋体" w:cs="宋体"/>
                <w:color w:val="auto"/>
                <w:sz w:val="21"/>
                <w:szCs w:val="20"/>
                <w:lang w:val="en-US" w:eastAsia="zh-CN"/>
              </w:rPr>
              <w:t>1050</w:t>
            </w:r>
            <w:r>
              <w:rPr>
                <w:rFonts w:hint="eastAsia" w:ascii="宋体" w:hAnsi="宋体" w:eastAsia="宋体" w:cs="宋体"/>
                <w:color w:val="auto"/>
                <w:sz w:val="21"/>
                <w:szCs w:val="20"/>
              </w:rPr>
              <w:t>kg</w:t>
            </w:r>
          </w:p>
          <w:p w14:paraId="20AC10B2">
            <w:pPr>
              <w:keepNext w:val="0"/>
              <w:keepLines w:val="0"/>
              <w:pageBreakBefore w:val="0"/>
              <w:kinsoku/>
              <w:wordWrap/>
              <w:overflowPunct/>
              <w:topLinePunct w:val="0"/>
              <w:autoSpaceDE/>
              <w:autoSpaceDN/>
              <w:bidi w:val="0"/>
              <w:adjustRightInd/>
              <w:snapToGrid/>
              <w:spacing w:line="380" w:lineRule="exact"/>
              <w:jc w:val="left"/>
              <w:textAlignment w:val="auto"/>
              <w:rPr>
                <w:rFonts w:ascii="宋体" w:hAnsi="宋体" w:eastAsia="宋体" w:cs="宋体"/>
                <w:sz w:val="21"/>
                <w:szCs w:val="20"/>
              </w:rPr>
            </w:pPr>
            <w:r>
              <w:rPr>
                <w:rFonts w:hint="eastAsia" w:ascii="宋体" w:hAnsi="宋体" w:cs="宋体"/>
                <w:sz w:val="21"/>
                <w:szCs w:val="20"/>
                <w:lang w:val="en-US" w:eastAsia="zh-CN"/>
              </w:rPr>
              <w:t>1.2</w:t>
            </w:r>
            <w:r>
              <w:rPr>
                <w:rFonts w:hint="eastAsia" w:ascii="宋体" w:hAnsi="宋体" w:eastAsia="宋体" w:cs="宋体"/>
                <w:sz w:val="21"/>
                <w:szCs w:val="20"/>
              </w:rPr>
              <w:t>速度：</w:t>
            </w:r>
            <w:r>
              <w:rPr>
                <w:rFonts w:hint="eastAsia" w:ascii="宋体" w:hAnsi="宋体" w:eastAsia="宋体" w:cs="宋体"/>
                <w:sz w:val="21"/>
                <w:szCs w:val="20"/>
                <w:u w:val="single"/>
              </w:rPr>
              <w:t xml:space="preserve"> 1.</w:t>
            </w:r>
            <w:r>
              <w:rPr>
                <w:rFonts w:hint="eastAsia" w:ascii="宋体" w:hAnsi="宋体" w:cs="宋体"/>
                <w:sz w:val="21"/>
                <w:szCs w:val="20"/>
                <w:u w:val="single"/>
                <w:lang w:val="en-US" w:eastAsia="zh-CN"/>
              </w:rPr>
              <w:t>75</w:t>
            </w:r>
            <w:r>
              <w:rPr>
                <w:rFonts w:hint="eastAsia" w:ascii="宋体" w:hAnsi="宋体" w:eastAsia="宋体" w:cs="宋体"/>
                <w:sz w:val="21"/>
                <w:szCs w:val="20"/>
              </w:rPr>
              <w:t>m/s</w:t>
            </w:r>
          </w:p>
          <w:p w14:paraId="5E2F2C99">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cs="宋体"/>
                <w:color w:val="000000"/>
                <w:kern w:val="0"/>
                <w:sz w:val="21"/>
                <w:szCs w:val="21"/>
                <w:lang w:val="en-US" w:eastAsia="zh-CN"/>
              </w:rPr>
            </w:pPr>
            <w:r>
              <w:rPr>
                <w:rFonts w:hint="eastAsia" w:ascii="宋体" w:hAnsi="宋体" w:cs="宋体"/>
                <w:sz w:val="21"/>
                <w:szCs w:val="20"/>
                <w:lang w:val="en-US" w:eastAsia="zh-CN"/>
              </w:rPr>
              <w:t>1.3</w:t>
            </w:r>
            <w:r>
              <w:rPr>
                <w:rFonts w:hint="eastAsia" w:ascii="宋体" w:hAnsi="宋体" w:eastAsia="宋体" w:cs="宋体"/>
                <w:sz w:val="21"/>
                <w:szCs w:val="20"/>
              </w:rPr>
              <w:t>层站门：</w:t>
            </w:r>
            <w:r>
              <w:rPr>
                <w:rFonts w:hint="eastAsia" w:ascii="宋体" w:hAnsi="宋体" w:cs="宋体"/>
                <w:sz w:val="21"/>
                <w:szCs w:val="20"/>
                <w:lang w:val="en-US" w:eastAsia="zh-CN"/>
              </w:rPr>
              <w:t>11</w:t>
            </w:r>
            <w:r>
              <w:rPr>
                <w:rFonts w:hint="eastAsia" w:ascii="宋体" w:hAnsi="宋体" w:eastAsia="宋体" w:cs="宋体"/>
                <w:color w:val="000000"/>
                <w:kern w:val="0"/>
                <w:sz w:val="21"/>
                <w:szCs w:val="21"/>
              </w:rPr>
              <w:t>层</w:t>
            </w:r>
            <w:r>
              <w:rPr>
                <w:rFonts w:hint="eastAsia" w:ascii="宋体" w:hAnsi="宋体" w:cs="宋体"/>
                <w:color w:val="000000"/>
                <w:kern w:val="0"/>
                <w:sz w:val="21"/>
                <w:szCs w:val="21"/>
                <w:lang w:val="en-US" w:eastAsia="zh-CN"/>
              </w:rPr>
              <w:t>11</w:t>
            </w:r>
            <w:r>
              <w:rPr>
                <w:rFonts w:hint="eastAsia" w:ascii="宋体" w:hAnsi="宋体" w:eastAsia="宋体" w:cs="宋体"/>
                <w:color w:val="000000"/>
                <w:kern w:val="0"/>
                <w:sz w:val="21"/>
                <w:szCs w:val="21"/>
              </w:rPr>
              <w:t>站</w:t>
            </w:r>
            <w:r>
              <w:rPr>
                <w:rFonts w:hint="eastAsia" w:ascii="宋体" w:hAnsi="宋体" w:cs="宋体"/>
                <w:color w:val="000000"/>
                <w:kern w:val="0"/>
                <w:sz w:val="21"/>
                <w:szCs w:val="21"/>
                <w:lang w:val="en-US" w:eastAsia="zh-CN"/>
              </w:rPr>
              <w:t>11</w:t>
            </w:r>
            <w:r>
              <w:rPr>
                <w:rFonts w:hint="eastAsia" w:ascii="宋体" w:hAnsi="宋体" w:eastAsia="宋体" w:cs="宋体"/>
                <w:color w:val="000000"/>
                <w:kern w:val="0"/>
                <w:sz w:val="21"/>
                <w:szCs w:val="21"/>
              </w:rPr>
              <w:t>门</w:t>
            </w:r>
            <w:r>
              <w:rPr>
                <w:rFonts w:hint="eastAsia" w:ascii="宋体" w:hAnsi="宋体" w:cs="宋体"/>
                <w:color w:val="000000"/>
                <w:kern w:val="0"/>
                <w:sz w:val="21"/>
                <w:szCs w:val="21"/>
                <w:lang w:val="en-US" w:eastAsia="zh-CN"/>
              </w:rPr>
              <w:t>4台，13层13站13门4台</w:t>
            </w:r>
          </w:p>
          <w:p w14:paraId="66CBCB0C">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1.4</w:t>
            </w:r>
            <w:r>
              <w:rPr>
                <w:rFonts w:hint="eastAsia" w:ascii="宋体" w:hAnsi="宋体" w:eastAsia="宋体" w:cs="宋体"/>
                <w:color w:val="000000"/>
                <w:kern w:val="0"/>
                <w:sz w:val="21"/>
                <w:szCs w:val="21"/>
              </w:rPr>
              <w:t>轿厢：净高2400mm）</w:t>
            </w:r>
          </w:p>
          <w:p w14:paraId="78F0BD5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2.</w:t>
            </w:r>
            <w:r>
              <w:rPr>
                <w:rFonts w:hint="eastAsia" w:ascii="宋体" w:hAnsi="宋体" w:eastAsia="宋体" w:cs="宋体"/>
                <w:color w:val="000000"/>
                <w:kern w:val="0"/>
                <w:sz w:val="21"/>
                <w:szCs w:val="21"/>
              </w:rPr>
              <w:t>电梯装潢设计</w:t>
            </w:r>
          </w:p>
          <w:p w14:paraId="74FF2A4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2.1</w:t>
            </w:r>
            <w:r>
              <w:rPr>
                <w:rFonts w:hint="eastAsia" w:ascii="宋体" w:hAnsi="宋体" w:eastAsia="宋体" w:cs="宋体"/>
                <w:color w:val="auto"/>
                <w:kern w:val="0"/>
                <w:sz w:val="21"/>
                <w:szCs w:val="21"/>
                <w:highlight w:val="none"/>
              </w:rPr>
              <w:t>轿顶：美观、大方、配装饰吊顶。</w:t>
            </w:r>
          </w:p>
          <w:p w14:paraId="3A105E6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rPr>
              <w:t>前壁、侧壁：</w:t>
            </w:r>
            <w:r>
              <w:rPr>
                <w:rFonts w:hint="eastAsia" w:ascii="宋体" w:hAnsi="宋体" w:cs="宋体"/>
                <w:color w:val="auto"/>
                <w:kern w:val="0"/>
                <w:sz w:val="21"/>
                <w:szCs w:val="21"/>
                <w:highlight w:val="none"/>
                <w:lang w:val="en-US" w:eastAsia="zh-CN"/>
              </w:rPr>
              <w:t>304</w:t>
            </w:r>
            <w:r>
              <w:rPr>
                <w:rFonts w:hint="eastAsia" w:ascii="宋体" w:hAnsi="宋体" w:eastAsia="宋体" w:cs="宋体"/>
                <w:color w:val="auto"/>
                <w:kern w:val="0"/>
                <w:sz w:val="21"/>
                <w:szCs w:val="21"/>
                <w:highlight w:val="none"/>
              </w:rPr>
              <w:t>发纹不锈钢</w:t>
            </w:r>
            <w:r>
              <w:rPr>
                <w:rFonts w:hint="eastAsia" w:ascii="宋体" w:hAnsi="宋体" w:cs="宋体"/>
                <w:color w:val="auto"/>
                <w:kern w:val="0"/>
                <w:sz w:val="21"/>
                <w:szCs w:val="21"/>
                <w:highlight w:val="none"/>
                <w:lang w:eastAsia="zh-CN"/>
              </w:rPr>
              <w:t>（单一金属板构成）</w:t>
            </w:r>
            <w:r>
              <w:rPr>
                <w:rFonts w:hint="eastAsia" w:ascii="宋体" w:hAnsi="宋体" w:eastAsia="宋体" w:cs="宋体"/>
                <w:color w:val="auto"/>
                <w:kern w:val="0"/>
                <w:sz w:val="21"/>
                <w:szCs w:val="21"/>
                <w:highlight w:val="none"/>
              </w:rPr>
              <w:t>。</w:t>
            </w:r>
          </w:p>
          <w:p w14:paraId="45B09A3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2.3</w:t>
            </w:r>
            <w:r>
              <w:rPr>
                <w:rFonts w:hint="eastAsia" w:ascii="宋体" w:hAnsi="宋体" w:eastAsia="宋体" w:cs="宋体"/>
                <w:color w:val="auto"/>
                <w:kern w:val="0"/>
                <w:sz w:val="21"/>
                <w:szCs w:val="21"/>
                <w:highlight w:val="none"/>
              </w:rPr>
              <w:t>后壁：</w:t>
            </w:r>
            <w:r>
              <w:rPr>
                <w:rFonts w:hint="eastAsia" w:ascii="宋体" w:hAnsi="宋体" w:cs="宋体"/>
                <w:color w:val="auto"/>
                <w:kern w:val="0"/>
                <w:sz w:val="21"/>
                <w:szCs w:val="21"/>
                <w:highlight w:val="none"/>
                <w:lang w:val="en-US" w:eastAsia="zh-CN"/>
              </w:rPr>
              <w:t>304</w:t>
            </w:r>
            <w:r>
              <w:rPr>
                <w:rFonts w:hint="eastAsia" w:ascii="宋体" w:hAnsi="宋体" w:eastAsia="宋体" w:cs="宋体"/>
                <w:color w:val="auto"/>
                <w:kern w:val="0"/>
                <w:sz w:val="21"/>
                <w:szCs w:val="21"/>
                <w:highlight w:val="none"/>
              </w:rPr>
              <w:t>镜面不锈钢</w:t>
            </w:r>
            <w:r>
              <w:rPr>
                <w:rFonts w:hint="eastAsia" w:ascii="宋体" w:hAnsi="宋体" w:cs="宋体"/>
                <w:color w:val="auto"/>
                <w:kern w:val="0"/>
                <w:sz w:val="21"/>
                <w:szCs w:val="21"/>
                <w:highlight w:val="none"/>
                <w:lang w:eastAsia="zh-CN"/>
              </w:rPr>
              <w:t>（单一金属板构成）</w:t>
            </w:r>
            <w:r>
              <w:rPr>
                <w:rFonts w:hint="eastAsia" w:ascii="宋体" w:hAnsi="宋体" w:eastAsia="宋体" w:cs="宋体"/>
                <w:color w:val="auto"/>
                <w:kern w:val="0"/>
                <w:sz w:val="21"/>
                <w:szCs w:val="21"/>
                <w:highlight w:val="none"/>
              </w:rPr>
              <w:t>。</w:t>
            </w:r>
          </w:p>
          <w:p w14:paraId="45461CCD">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2.4</w:t>
            </w:r>
            <w:r>
              <w:rPr>
                <w:rFonts w:hint="eastAsia" w:ascii="宋体" w:hAnsi="宋体" w:eastAsia="宋体" w:cs="宋体"/>
                <w:color w:val="auto"/>
                <w:kern w:val="0"/>
                <w:sz w:val="21"/>
                <w:szCs w:val="21"/>
                <w:highlight w:val="none"/>
              </w:rPr>
              <w:t>轿门：</w:t>
            </w:r>
            <w:r>
              <w:rPr>
                <w:rFonts w:hint="eastAsia" w:ascii="宋体" w:hAnsi="宋体" w:cs="宋体"/>
                <w:color w:val="auto"/>
                <w:kern w:val="0"/>
                <w:sz w:val="21"/>
                <w:szCs w:val="21"/>
                <w:highlight w:val="none"/>
                <w:lang w:val="en-US" w:eastAsia="zh-CN"/>
              </w:rPr>
              <w:t>304</w:t>
            </w:r>
            <w:r>
              <w:rPr>
                <w:rFonts w:hint="eastAsia" w:ascii="宋体" w:hAnsi="宋体" w:eastAsia="宋体" w:cs="宋体"/>
                <w:color w:val="auto"/>
                <w:kern w:val="0"/>
                <w:sz w:val="21"/>
                <w:szCs w:val="21"/>
                <w:highlight w:val="none"/>
              </w:rPr>
              <w:t>发纹不锈钢</w:t>
            </w:r>
            <w:r>
              <w:rPr>
                <w:rFonts w:hint="eastAsia" w:ascii="宋体" w:hAnsi="宋体" w:cs="宋体"/>
                <w:color w:val="auto"/>
                <w:kern w:val="0"/>
                <w:sz w:val="21"/>
                <w:szCs w:val="21"/>
                <w:highlight w:val="none"/>
                <w:lang w:eastAsia="zh-CN"/>
              </w:rPr>
              <w:t>（单一金属板构成）</w:t>
            </w:r>
            <w:r>
              <w:rPr>
                <w:rFonts w:hint="eastAsia" w:ascii="宋体" w:hAnsi="宋体" w:eastAsia="宋体" w:cs="宋体"/>
                <w:color w:val="auto"/>
                <w:kern w:val="0"/>
                <w:sz w:val="21"/>
                <w:szCs w:val="21"/>
                <w:highlight w:val="none"/>
              </w:rPr>
              <w:t>。</w:t>
            </w:r>
          </w:p>
          <w:p w14:paraId="69D2AC18">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lang w:val="en-US" w:eastAsia="zh-CN"/>
              </w:rPr>
              <w:t>2.5</w:t>
            </w:r>
            <w:r>
              <w:rPr>
                <w:rFonts w:hint="eastAsia" w:ascii="宋体" w:hAnsi="宋体" w:eastAsia="宋体" w:cs="宋体"/>
                <w:color w:val="auto"/>
                <w:kern w:val="0"/>
                <w:sz w:val="21"/>
                <w:szCs w:val="21"/>
              </w:rPr>
              <w:t>扶手：</w:t>
            </w:r>
            <w:r>
              <w:rPr>
                <w:rFonts w:hint="eastAsia" w:ascii="宋体" w:hAnsi="宋体" w:eastAsia="宋体" w:cs="宋体"/>
                <w:color w:val="auto"/>
                <w:kern w:val="0"/>
                <w:sz w:val="21"/>
                <w:szCs w:val="21"/>
                <w:highlight w:val="none"/>
              </w:rPr>
              <w:t>侧面</w:t>
            </w:r>
            <w:r>
              <w:rPr>
                <w:rFonts w:hint="eastAsia" w:ascii="宋体" w:hAnsi="宋体" w:cs="宋体"/>
                <w:color w:val="auto"/>
                <w:kern w:val="0"/>
                <w:sz w:val="21"/>
                <w:szCs w:val="21"/>
                <w:highlight w:val="none"/>
                <w:lang w:val="en-US" w:eastAsia="zh-CN"/>
              </w:rPr>
              <w:t>304</w:t>
            </w:r>
            <w:r>
              <w:rPr>
                <w:rFonts w:hint="eastAsia" w:ascii="宋体" w:hAnsi="宋体" w:eastAsia="宋体" w:cs="宋体"/>
                <w:color w:val="auto"/>
                <w:kern w:val="0"/>
                <w:sz w:val="21"/>
                <w:szCs w:val="21"/>
                <w:highlight w:val="none"/>
              </w:rPr>
              <w:t>发纹不锈钢</w:t>
            </w:r>
            <w:r>
              <w:rPr>
                <w:rFonts w:hint="eastAsia" w:ascii="宋体" w:hAnsi="宋体" w:cs="宋体"/>
                <w:color w:val="auto"/>
                <w:kern w:val="0"/>
                <w:sz w:val="21"/>
                <w:szCs w:val="21"/>
                <w:highlight w:val="none"/>
                <w:lang w:eastAsia="zh-CN"/>
              </w:rPr>
              <w:t>扁扶手</w:t>
            </w:r>
            <w:r>
              <w:rPr>
                <w:rFonts w:hint="eastAsia" w:ascii="宋体" w:hAnsi="宋体" w:eastAsia="宋体" w:cs="宋体"/>
                <w:color w:val="auto"/>
                <w:kern w:val="0"/>
                <w:sz w:val="21"/>
                <w:szCs w:val="21"/>
                <w:highlight w:val="none"/>
              </w:rPr>
              <w:t>。</w:t>
            </w:r>
          </w:p>
          <w:p w14:paraId="4E229183">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2.6</w:t>
            </w:r>
            <w:r>
              <w:rPr>
                <w:rFonts w:hint="eastAsia" w:ascii="宋体" w:hAnsi="宋体" w:eastAsia="宋体" w:cs="宋体"/>
                <w:color w:val="auto"/>
                <w:kern w:val="0"/>
                <w:sz w:val="21"/>
                <w:szCs w:val="21"/>
                <w:highlight w:val="none"/>
              </w:rPr>
              <w:t>操纵箱：</w:t>
            </w:r>
            <w:r>
              <w:rPr>
                <w:rFonts w:hint="eastAsia" w:ascii="宋体" w:hAnsi="宋体" w:cs="宋体"/>
                <w:color w:val="auto"/>
                <w:kern w:val="0"/>
                <w:sz w:val="21"/>
                <w:szCs w:val="21"/>
                <w:highlight w:val="none"/>
                <w:lang w:eastAsia="zh-CN"/>
              </w:rPr>
              <w:t>不低于</w:t>
            </w:r>
            <w:r>
              <w:rPr>
                <w:rFonts w:hint="eastAsia" w:ascii="宋体" w:hAnsi="宋体" w:cs="宋体"/>
                <w:color w:val="auto"/>
                <w:kern w:val="0"/>
                <w:sz w:val="21"/>
                <w:szCs w:val="21"/>
                <w:highlight w:val="none"/>
                <w:lang w:val="en-US" w:eastAsia="zh-CN"/>
              </w:rPr>
              <w:t>28.6寸触摸式操纵箱，不低于15寸液晶显示屏。</w:t>
            </w:r>
          </w:p>
          <w:p w14:paraId="3094C341">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2.7</w:t>
            </w:r>
            <w:r>
              <w:rPr>
                <w:rFonts w:hint="eastAsia" w:ascii="宋体" w:hAnsi="宋体" w:eastAsia="宋体" w:cs="宋体"/>
                <w:color w:val="auto"/>
                <w:kern w:val="0"/>
                <w:sz w:val="21"/>
                <w:szCs w:val="21"/>
                <w:highlight w:val="none"/>
              </w:rPr>
              <w:t>地板：采用PVC拼花地板。</w:t>
            </w:r>
          </w:p>
          <w:p w14:paraId="7260EE16">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层门（厅门）及层门</w:t>
            </w:r>
            <w:r>
              <w:rPr>
                <w:rFonts w:hint="eastAsia" w:ascii="宋体" w:hAnsi="宋体" w:cs="宋体"/>
                <w:color w:val="auto"/>
                <w:kern w:val="0"/>
                <w:sz w:val="21"/>
                <w:szCs w:val="21"/>
                <w:highlight w:val="none"/>
                <w:lang w:eastAsia="zh-CN"/>
              </w:rPr>
              <w:t>小</w:t>
            </w:r>
            <w:r>
              <w:rPr>
                <w:rFonts w:hint="eastAsia" w:ascii="宋体" w:hAnsi="宋体" w:eastAsia="宋体" w:cs="宋体"/>
                <w:color w:val="auto"/>
                <w:kern w:val="0"/>
                <w:sz w:val="21"/>
                <w:szCs w:val="21"/>
                <w:highlight w:val="none"/>
              </w:rPr>
              <w:t>门套：全部采用</w:t>
            </w:r>
            <w:r>
              <w:rPr>
                <w:rFonts w:hint="eastAsia" w:ascii="宋体" w:hAnsi="宋体" w:cs="宋体"/>
                <w:color w:val="auto"/>
                <w:kern w:val="0"/>
                <w:sz w:val="21"/>
                <w:szCs w:val="21"/>
                <w:highlight w:val="none"/>
                <w:lang w:val="en-US" w:eastAsia="zh-CN"/>
              </w:rPr>
              <w:t>304</w:t>
            </w:r>
            <w:r>
              <w:rPr>
                <w:rFonts w:hint="eastAsia" w:ascii="宋体" w:hAnsi="宋体" w:eastAsia="宋体" w:cs="宋体"/>
                <w:color w:val="auto"/>
                <w:kern w:val="0"/>
                <w:sz w:val="21"/>
                <w:szCs w:val="21"/>
                <w:highlight w:val="none"/>
              </w:rPr>
              <w:t>发纹不锈钢</w:t>
            </w:r>
            <w:r>
              <w:rPr>
                <w:rFonts w:hint="eastAsia" w:ascii="宋体" w:hAnsi="宋体" w:cs="宋体"/>
                <w:color w:val="auto"/>
                <w:kern w:val="0"/>
                <w:sz w:val="21"/>
                <w:szCs w:val="21"/>
                <w:highlight w:val="none"/>
                <w:lang w:eastAsia="zh-CN"/>
              </w:rPr>
              <w:t>（单一金属板构成）</w:t>
            </w:r>
            <w:r>
              <w:rPr>
                <w:rFonts w:hint="eastAsia" w:ascii="宋体" w:hAnsi="宋体" w:eastAsia="宋体" w:cs="宋体"/>
                <w:color w:val="auto"/>
                <w:kern w:val="0"/>
                <w:sz w:val="21"/>
                <w:szCs w:val="21"/>
                <w:highlight w:val="none"/>
              </w:rPr>
              <w:t xml:space="preserve">。 </w:t>
            </w:r>
          </w:p>
          <w:p w14:paraId="32B88B6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2.9</w:t>
            </w:r>
            <w:r>
              <w:rPr>
                <w:rFonts w:hint="eastAsia" w:ascii="宋体" w:hAnsi="宋体" w:eastAsia="宋体" w:cs="宋体"/>
                <w:color w:val="auto"/>
                <w:kern w:val="0"/>
                <w:sz w:val="21"/>
                <w:szCs w:val="21"/>
                <w:highlight w:val="none"/>
              </w:rPr>
              <w:t>楼层显示：</w:t>
            </w:r>
            <w:r>
              <w:rPr>
                <w:rFonts w:hint="eastAsia" w:ascii="宋体" w:hAnsi="宋体" w:cs="宋体"/>
                <w:color w:val="auto"/>
                <w:kern w:val="0"/>
                <w:sz w:val="21"/>
                <w:szCs w:val="21"/>
                <w:highlight w:val="none"/>
                <w:lang w:eastAsia="zh-CN"/>
              </w:rPr>
              <w:t>不低于</w:t>
            </w:r>
            <w:r>
              <w:rPr>
                <w:rFonts w:hint="eastAsia" w:ascii="宋体" w:hAnsi="宋体" w:cs="宋体"/>
                <w:color w:val="auto"/>
                <w:kern w:val="0"/>
                <w:sz w:val="21"/>
                <w:szCs w:val="21"/>
                <w:highlight w:val="none"/>
                <w:lang w:val="en-US" w:eastAsia="zh-CN"/>
              </w:rPr>
              <w:t>4.3寸真彩</w:t>
            </w:r>
            <w:r>
              <w:rPr>
                <w:rFonts w:hint="eastAsia" w:ascii="宋体" w:hAnsi="宋体" w:eastAsia="宋体" w:cs="宋体"/>
                <w:color w:val="auto"/>
                <w:kern w:val="0"/>
                <w:sz w:val="21"/>
                <w:szCs w:val="21"/>
                <w:highlight w:val="none"/>
              </w:rPr>
              <w:t>液晶显示</w:t>
            </w:r>
            <w:r>
              <w:rPr>
                <w:rFonts w:hint="eastAsia" w:ascii="宋体" w:hAnsi="宋体" w:cs="宋体"/>
                <w:color w:val="auto"/>
                <w:kern w:val="0"/>
                <w:sz w:val="21"/>
                <w:szCs w:val="21"/>
                <w:highlight w:val="none"/>
                <w:lang w:eastAsia="zh-CN"/>
              </w:rPr>
              <w:t>。</w:t>
            </w:r>
          </w:p>
          <w:p w14:paraId="4D06F143">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2.10</w:t>
            </w:r>
            <w:r>
              <w:rPr>
                <w:rFonts w:hint="eastAsia" w:ascii="宋体" w:hAnsi="宋体" w:eastAsia="宋体" w:cs="宋体"/>
                <w:color w:val="auto"/>
                <w:kern w:val="0"/>
                <w:sz w:val="21"/>
                <w:szCs w:val="21"/>
                <w:highlight w:val="none"/>
              </w:rPr>
              <w:t>轿内</w:t>
            </w:r>
            <w:r>
              <w:rPr>
                <w:rFonts w:hint="eastAsia" w:ascii="宋体" w:hAnsi="宋体" w:cs="宋体"/>
                <w:color w:val="auto"/>
                <w:kern w:val="0"/>
                <w:sz w:val="21"/>
                <w:szCs w:val="21"/>
                <w:highlight w:val="none"/>
                <w:lang w:eastAsia="zh-CN"/>
              </w:rPr>
              <w:t>显示</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不低于</w:t>
            </w:r>
            <w:r>
              <w:rPr>
                <w:rFonts w:hint="eastAsia" w:ascii="宋体" w:hAnsi="宋体" w:cs="宋体"/>
                <w:color w:val="auto"/>
                <w:kern w:val="0"/>
                <w:sz w:val="21"/>
                <w:szCs w:val="21"/>
                <w:highlight w:val="none"/>
                <w:lang w:val="en-US" w:eastAsia="zh-CN"/>
              </w:rPr>
              <w:t>15寸</w:t>
            </w:r>
            <w:r>
              <w:rPr>
                <w:rFonts w:hint="eastAsia" w:ascii="宋体" w:hAnsi="宋体" w:eastAsia="宋体" w:cs="宋体"/>
                <w:color w:val="auto"/>
                <w:kern w:val="0"/>
                <w:sz w:val="21"/>
                <w:szCs w:val="21"/>
                <w:highlight w:val="none"/>
              </w:rPr>
              <w:t>液晶显示。</w:t>
            </w:r>
          </w:p>
          <w:p w14:paraId="3B706E5F">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2.11</w:t>
            </w:r>
            <w:r>
              <w:rPr>
                <w:rFonts w:hint="eastAsia" w:ascii="宋体" w:hAnsi="宋体" w:eastAsia="宋体" w:cs="宋体"/>
                <w:color w:val="000000"/>
                <w:kern w:val="0"/>
                <w:sz w:val="21"/>
                <w:szCs w:val="21"/>
              </w:rPr>
              <w:t>照明：使用节能灯。</w:t>
            </w:r>
          </w:p>
          <w:p w14:paraId="463A950C">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2.12</w:t>
            </w:r>
            <w:r>
              <w:rPr>
                <w:rFonts w:hint="eastAsia" w:ascii="宋体" w:hAnsi="宋体" w:eastAsia="宋体" w:cs="宋体"/>
                <w:color w:val="000000"/>
                <w:kern w:val="0"/>
                <w:sz w:val="21"/>
                <w:szCs w:val="21"/>
              </w:rPr>
              <w:t>通风方式：</w:t>
            </w:r>
            <w:r>
              <w:rPr>
                <w:rFonts w:hint="eastAsia" w:ascii="宋体" w:hAnsi="宋体" w:cs="宋体"/>
                <w:color w:val="000000"/>
                <w:kern w:val="0"/>
                <w:sz w:val="21"/>
                <w:szCs w:val="21"/>
                <w:lang w:eastAsia="zh-CN"/>
              </w:rPr>
              <w:t>电梯专用空调</w:t>
            </w:r>
            <w:r>
              <w:rPr>
                <w:rFonts w:hint="eastAsia" w:ascii="宋体" w:hAnsi="宋体" w:eastAsia="宋体" w:cs="宋体"/>
                <w:color w:val="000000"/>
                <w:kern w:val="0"/>
                <w:sz w:val="21"/>
                <w:szCs w:val="21"/>
              </w:rPr>
              <w:t>。</w:t>
            </w:r>
          </w:p>
          <w:p w14:paraId="3F67737F">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2.13</w:t>
            </w:r>
            <w:r>
              <w:rPr>
                <w:rFonts w:hint="eastAsia" w:ascii="宋体" w:hAnsi="宋体" w:eastAsia="宋体" w:cs="宋体"/>
                <w:color w:val="000000"/>
                <w:kern w:val="0"/>
                <w:sz w:val="21"/>
                <w:szCs w:val="21"/>
              </w:rPr>
              <w:t>外呼梯按钮盒：面板采用不锈钢。</w:t>
            </w:r>
          </w:p>
          <w:p w14:paraId="6B629F3F">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rPr>
            </w:pPr>
            <w:r>
              <w:rPr>
                <w:rFonts w:hint="eastAsia" w:ascii="宋体" w:hAnsi="宋体" w:cs="宋体"/>
                <w:color w:val="auto"/>
                <w:kern w:val="0"/>
                <w:sz w:val="21"/>
                <w:szCs w:val="21"/>
                <w:lang w:val="en-US" w:eastAsia="zh-CN"/>
              </w:rPr>
              <w:t>2.14</w:t>
            </w:r>
            <w:r>
              <w:rPr>
                <w:rFonts w:hint="eastAsia" w:ascii="宋体" w:hAnsi="宋体" w:eastAsia="宋体" w:cs="宋体"/>
                <w:color w:val="auto"/>
                <w:kern w:val="0"/>
                <w:sz w:val="21"/>
                <w:szCs w:val="21"/>
              </w:rPr>
              <w:t>轿厢装饰顶（天花板）</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提供两套内嵌式照明方案。</w:t>
            </w:r>
          </w:p>
          <w:p w14:paraId="46D5CD3F">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2.15</w:t>
            </w:r>
            <w:r>
              <w:rPr>
                <w:rFonts w:hint="eastAsia" w:ascii="宋体" w:hAnsi="宋体" w:eastAsia="宋体" w:cs="宋体"/>
                <w:color w:val="000000"/>
                <w:kern w:val="0"/>
                <w:sz w:val="21"/>
                <w:szCs w:val="21"/>
              </w:rPr>
              <w:t>召唤按钮：微动式按钮，面板不锈钢。</w:t>
            </w:r>
          </w:p>
          <w:p w14:paraId="2E82779C">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w:t>
            </w:r>
            <w:r>
              <w:rPr>
                <w:rFonts w:hint="eastAsia" w:ascii="宋体" w:hAnsi="宋体" w:eastAsia="宋体" w:cs="宋体"/>
                <w:color w:val="000000"/>
                <w:kern w:val="0"/>
                <w:sz w:val="21"/>
                <w:szCs w:val="21"/>
              </w:rPr>
              <w:t>电梯部件及系统要求</w:t>
            </w:r>
          </w:p>
          <w:p w14:paraId="033B52B4">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w:t>
            </w:r>
            <w:r>
              <w:rPr>
                <w:rFonts w:hint="eastAsia" w:ascii="宋体" w:hAnsi="宋体" w:eastAsia="宋体" w:cs="宋体"/>
                <w:color w:val="000000"/>
                <w:kern w:val="0"/>
                <w:sz w:val="21"/>
                <w:szCs w:val="21"/>
              </w:rPr>
              <w:t>要求采用最新的可靠微处理机技术，使电梯具有高运行效率和舒适平稳的驱动性能，具有节能和便于维修保养的故障诊断等系统。投标人应报出整机和主要部件的设计使用寿命。</w:t>
            </w:r>
          </w:p>
          <w:p w14:paraId="6B1077A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3.2</w:t>
            </w:r>
            <w:r>
              <w:rPr>
                <w:rFonts w:hint="eastAsia" w:ascii="宋体" w:hAnsi="宋体" w:eastAsia="宋体" w:cs="宋体"/>
                <w:color w:val="000000"/>
                <w:kern w:val="0"/>
                <w:sz w:val="21"/>
                <w:szCs w:val="21"/>
              </w:rPr>
              <w:t>动力电源：交流380伏，三相五线，50赫兹。</w:t>
            </w:r>
          </w:p>
          <w:p w14:paraId="78B8B658">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3.3</w:t>
            </w:r>
            <w:r>
              <w:rPr>
                <w:rFonts w:hint="eastAsia" w:ascii="宋体" w:hAnsi="宋体" w:eastAsia="宋体" w:cs="宋体"/>
                <w:color w:val="000000"/>
                <w:kern w:val="0"/>
                <w:sz w:val="21"/>
                <w:szCs w:val="21"/>
              </w:rPr>
              <w:t>噪音水平：符合国家有关标准规定。</w:t>
            </w:r>
          </w:p>
          <w:p w14:paraId="5FCD9AF3">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3.4</w:t>
            </w:r>
            <w:r>
              <w:rPr>
                <w:rFonts w:hint="eastAsia" w:ascii="宋体" w:hAnsi="宋体" w:eastAsia="宋体" w:cs="宋体"/>
                <w:color w:val="000000"/>
                <w:kern w:val="0"/>
                <w:sz w:val="21"/>
                <w:szCs w:val="21"/>
              </w:rPr>
              <w:t>控制柜：采用32位电脑控制系统，串行传输通讯应能满足抗干扰能力强、实时性高、通信容量大等要求。拖动控制部分要求采用VVVF变压变频调速的控制技术。</w:t>
            </w:r>
          </w:p>
          <w:p w14:paraId="625AC34F">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3.5</w:t>
            </w:r>
            <w:r>
              <w:rPr>
                <w:rFonts w:hint="eastAsia" w:ascii="宋体" w:hAnsi="宋体" w:eastAsia="宋体" w:cs="宋体"/>
                <w:color w:val="000000"/>
                <w:kern w:val="0"/>
                <w:sz w:val="21"/>
                <w:szCs w:val="21"/>
              </w:rPr>
              <w:t>曳引机：要求提供高效节能和具有良好动力特性的PM永磁同步无齿轮曳引机。</w:t>
            </w:r>
          </w:p>
          <w:p w14:paraId="3914899B">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3.6</w:t>
            </w:r>
            <w:r>
              <w:rPr>
                <w:rFonts w:hint="eastAsia" w:ascii="宋体" w:hAnsi="宋体" w:eastAsia="宋体" w:cs="宋体"/>
                <w:color w:val="000000"/>
                <w:kern w:val="0"/>
                <w:sz w:val="21"/>
                <w:szCs w:val="21"/>
              </w:rPr>
              <w:t>电梯机房：按相关规范标准布置。</w:t>
            </w:r>
          </w:p>
          <w:p w14:paraId="617F1FCC">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eastAsia="宋体" w:cs="宋体"/>
                <w:color w:val="FF0000"/>
                <w:kern w:val="0"/>
                <w:sz w:val="21"/>
                <w:szCs w:val="21"/>
                <w:lang w:eastAsia="zh-CN"/>
              </w:rPr>
            </w:pPr>
            <w:r>
              <w:rPr>
                <w:rFonts w:hint="eastAsia" w:ascii="宋体" w:hAnsi="宋体" w:cs="宋体"/>
                <w:color w:val="000000"/>
                <w:kern w:val="0"/>
                <w:sz w:val="21"/>
                <w:szCs w:val="21"/>
                <w:lang w:val="en-US" w:eastAsia="zh-CN"/>
              </w:rPr>
              <w:t>3.7</w:t>
            </w:r>
            <w:r>
              <w:rPr>
                <w:rFonts w:hint="eastAsia" w:ascii="宋体" w:hAnsi="宋体" w:eastAsia="宋体" w:cs="宋体"/>
                <w:color w:val="000000"/>
                <w:kern w:val="0"/>
                <w:sz w:val="21"/>
                <w:szCs w:val="21"/>
              </w:rPr>
              <w:t>轿厢：在</w:t>
            </w:r>
            <w:r>
              <w:rPr>
                <w:rFonts w:hint="eastAsia" w:ascii="宋体" w:hAnsi="宋体" w:cs="宋体"/>
                <w:color w:val="000000"/>
                <w:kern w:val="0"/>
                <w:sz w:val="21"/>
                <w:szCs w:val="21"/>
                <w:lang w:eastAsia="zh-CN"/>
              </w:rPr>
              <w:t>现有</w:t>
            </w:r>
            <w:r>
              <w:rPr>
                <w:rFonts w:hint="eastAsia" w:ascii="宋体" w:hAnsi="宋体" w:eastAsia="宋体" w:cs="宋体"/>
                <w:color w:val="000000"/>
                <w:kern w:val="0"/>
                <w:sz w:val="21"/>
                <w:szCs w:val="21"/>
              </w:rPr>
              <w:t>井道尺寸基础上，要求提供最大尺寸的标准轿厢。轿体要求制作精良，连接紧固，抗变形能力强，符合相关安全</w:t>
            </w:r>
            <w:r>
              <w:rPr>
                <w:rFonts w:hint="eastAsia" w:ascii="宋体" w:hAnsi="宋体" w:eastAsia="宋体" w:cs="宋体"/>
                <w:color w:val="auto"/>
                <w:kern w:val="0"/>
                <w:sz w:val="21"/>
                <w:szCs w:val="21"/>
              </w:rPr>
              <w:t>标准，要求采用滑动式导靴和装</w:t>
            </w:r>
            <w:r>
              <w:rPr>
                <w:rFonts w:hint="eastAsia" w:ascii="宋体" w:hAnsi="宋体" w:eastAsia="宋体" w:cs="宋体"/>
                <w:color w:val="000000"/>
                <w:kern w:val="0"/>
                <w:sz w:val="21"/>
                <w:szCs w:val="21"/>
              </w:rPr>
              <w:t>置渐进式安全钳；轿厢外顶部设置轿顶防护栏杆</w:t>
            </w:r>
            <w:r>
              <w:rPr>
                <w:rFonts w:hint="eastAsia" w:ascii="宋体" w:hAnsi="宋体" w:cs="宋体"/>
                <w:color w:val="000000"/>
                <w:kern w:val="0"/>
                <w:sz w:val="21"/>
                <w:szCs w:val="21"/>
                <w:lang w:eastAsia="zh-CN"/>
              </w:rPr>
              <w:t>。</w:t>
            </w:r>
          </w:p>
          <w:p w14:paraId="2762469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3.8</w:t>
            </w:r>
            <w:r>
              <w:rPr>
                <w:rFonts w:hint="eastAsia" w:ascii="宋体" w:hAnsi="宋体" w:eastAsia="宋体" w:cs="宋体"/>
                <w:color w:val="000000"/>
                <w:kern w:val="0"/>
                <w:sz w:val="21"/>
                <w:szCs w:val="21"/>
              </w:rPr>
              <w:t>门机系统：要求采用变频PM门机，使电梯门开关过程更宁静、平滑、顺畅；</w:t>
            </w:r>
          </w:p>
          <w:p w14:paraId="6018EE6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3.9</w:t>
            </w:r>
            <w:r>
              <w:rPr>
                <w:rFonts w:hint="eastAsia" w:ascii="宋体" w:hAnsi="宋体" w:eastAsia="宋体" w:cs="宋体"/>
                <w:color w:val="000000"/>
                <w:kern w:val="0"/>
                <w:sz w:val="21"/>
                <w:szCs w:val="21"/>
              </w:rPr>
              <w:t>轿门：要求提供中分式自动门。开关门时间短，灵活自如，安静快捷。</w:t>
            </w:r>
          </w:p>
          <w:p w14:paraId="1B3F4F1E">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3.10</w:t>
            </w:r>
            <w:r>
              <w:rPr>
                <w:rFonts w:hint="eastAsia" w:ascii="宋体" w:hAnsi="宋体" w:eastAsia="宋体" w:cs="宋体"/>
                <w:color w:val="000000"/>
                <w:kern w:val="0"/>
                <w:sz w:val="21"/>
                <w:szCs w:val="21"/>
              </w:rPr>
              <w:t>光幕保护装置：要求该装置有足够光束数交叉形成保护光幕，光幕上下端满至门顶和门底，不小于</w:t>
            </w:r>
            <w:r>
              <w:rPr>
                <w:rFonts w:hint="eastAsia" w:ascii="宋体" w:hAnsi="宋体" w:cs="宋体"/>
                <w:color w:val="000000"/>
                <w:kern w:val="0"/>
                <w:sz w:val="21"/>
                <w:szCs w:val="21"/>
                <w:lang w:val="en-US" w:eastAsia="zh-CN"/>
              </w:rPr>
              <w:t>230</w:t>
            </w:r>
            <w:r>
              <w:rPr>
                <w:rFonts w:hint="eastAsia" w:ascii="宋体" w:hAnsi="宋体" w:eastAsia="宋体" w:cs="宋体"/>
                <w:color w:val="000000"/>
                <w:kern w:val="0"/>
                <w:sz w:val="21"/>
                <w:szCs w:val="21"/>
              </w:rPr>
              <w:t>束。</w:t>
            </w:r>
          </w:p>
          <w:p w14:paraId="6DFD6349">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3.11</w:t>
            </w:r>
            <w:r>
              <w:rPr>
                <w:rFonts w:hint="eastAsia" w:ascii="宋体" w:hAnsi="宋体" w:eastAsia="宋体" w:cs="宋体"/>
                <w:color w:val="000000"/>
                <w:kern w:val="0"/>
                <w:sz w:val="21"/>
                <w:szCs w:val="21"/>
              </w:rPr>
              <w:t>导轨（轿厢导轨、对重导轨）：耐磨导轨，抗变形能力强。</w:t>
            </w:r>
          </w:p>
          <w:p w14:paraId="7B76E68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3.12</w:t>
            </w:r>
            <w:r>
              <w:rPr>
                <w:rFonts w:hint="eastAsia" w:ascii="宋体" w:hAnsi="宋体" w:eastAsia="宋体" w:cs="宋体"/>
                <w:color w:val="000000"/>
                <w:kern w:val="0"/>
                <w:sz w:val="21"/>
                <w:szCs w:val="21"/>
              </w:rPr>
              <w:t>对重装置：对重架要求制作精细，抗变形能力强，符合相关安</w:t>
            </w:r>
            <w:r>
              <w:rPr>
                <w:rFonts w:hint="eastAsia" w:ascii="宋体" w:hAnsi="宋体" w:eastAsia="宋体" w:cs="宋体"/>
                <w:color w:val="auto"/>
                <w:kern w:val="0"/>
                <w:sz w:val="21"/>
                <w:szCs w:val="21"/>
              </w:rPr>
              <w:t>全标准。要求采用滑动式导靴，对重</w:t>
            </w:r>
            <w:r>
              <w:rPr>
                <w:rFonts w:hint="eastAsia" w:ascii="宋体" w:hAnsi="宋体" w:eastAsia="宋体" w:cs="宋体"/>
                <w:color w:val="000000"/>
                <w:kern w:val="0"/>
                <w:sz w:val="21"/>
                <w:szCs w:val="21"/>
              </w:rPr>
              <w:t>块不得采用工业废料，符合环保要求。</w:t>
            </w:r>
          </w:p>
          <w:p w14:paraId="709D2FC5">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FF0000"/>
                <w:kern w:val="0"/>
                <w:sz w:val="21"/>
                <w:szCs w:val="21"/>
              </w:rPr>
            </w:pPr>
            <w:r>
              <w:rPr>
                <w:rFonts w:hint="eastAsia" w:ascii="宋体" w:hAnsi="宋体" w:cs="宋体"/>
                <w:color w:val="auto"/>
                <w:kern w:val="0"/>
                <w:sz w:val="21"/>
                <w:szCs w:val="21"/>
                <w:lang w:val="en-US" w:eastAsia="zh-CN"/>
              </w:rPr>
              <w:t>3.13</w:t>
            </w:r>
            <w:r>
              <w:rPr>
                <w:rFonts w:hint="eastAsia" w:ascii="宋体" w:hAnsi="宋体" w:eastAsia="宋体" w:cs="宋体"/>
                <w:color w:val="auto"/>
                <w:kern w:val="0"/>
                <w:sz w:val="21"/>
                <w:szCs w:val="21"/>
              </w:rPr>
              <w:t>钢丝绳：要求采用电梯专用的钢丝绳。</w:t>
            </w:r>
          </w:p>
          <w:p w14:paraId="604D5DA2">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3.14</w:t>
            </w:r>
            <w:r>
              <w:rPr>
                <w:rFonts w:hint="eastAsia" w:ascii="宋体" w:hAnsi="宋体" w:eastAsia="宋体" w:cs="宋体"/>
                <w:color w:val="000000"/>
                <w:kern w:val="0"/>
                <w:sz w:val="21"/>
                <w:szCs w:val="21"/>
              </w:rPr>
              <w:t>随行电缆：要求采用电梯专用电缆。</w:t>
            </w:r>
          </w:p>
          <w:p w14:paraId="20357D3A">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3.15</w:t>
            </w:r>
            <w:r>
              <w:rPr>
                <w:rFonts w:hint="eastAsia" w:ascii="宋体" w:hAnsi="宋体" w:eastAsia="宋体" w:cs="宋体"/>
                <w:color w:val="000000"/>
                <w:kern w:val="0"/>
                <w:sz w:val="21"/>
                <w:szCs w:val="21"/>
              </w:rPr>
              <w:t>井道内固定件：要求其零部件结构合理，牢固耐用，抗锈蚀能力强。</w:t>
            </w:r>
          </w:p>
          <w:p w14:paraId="384EBD6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3.16</w:t>
            </w:r>
            <w:r>
              <w:rPr>
                <w:rFonts w:hint="eastAsia" w:ascii="宋体" w:hAnsi="宋体" w:eastAsia="宋体" w:cs="宋体"/>
                <w:color w:val="000000"/>
                <w:kern w:val="0"/>
                <w:sz w:val="21"/>
                <w:szCs w:val="21"/>
              </w:rPr>
              <w:t>井道照明：要求每部电梯每层安装一组井道照明装置。最高最低照明装置距井道上下端各为0.5米。</w:t>
            </w:r>
          </w:p>
          <w:p w14:paraId="6140AEE2">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rPr>
            </w:pPr>
            <w:r>
              <w:rPr>
                <w:rFonts w:hint="eastAsia" w:ascii="宋体" w:hAnsi="宋体" w:cs="宋体"/>
                <w:color w:val="auto"/>
                <w:kern w:val="0"/>
                <w:sz w:val="21"/>
                <w:szCs w:val="21"/>
                <w:lang w:val="en-US" w:eastAsia="zh-CN"/>
              </w:rPr>
              <w:t>3.17</w:t>
            </w:r>
            <w:r>
              <w:rPr>
                <w:rFonts w:hint="eastAsia" w:ascii="宋体" w:hAnsi="宋体" w:eastAsia="宋体" w:cs="宋体"/>
                <w:color w:val="auto"/>
                <w:kern w:val="0"/>
                <w:sz w:val="21"/>
                <w:szCs w:val="21"/>
              </w:rPr>
              <w:t>缓冲器：要求采用油压式缓冲器。</w:t>
            </w:r>
          </w:p>
          <w:p w14:paraId="5050A2A6">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rPr>
            </w:pPr>
            <w:r>
              <w:rPr>
                <w:rFonts w:hint="eastAsia" w:ascii="宋体" w:hAnsi="宋体" w:cs="宋体"/>
                <w:color w:val="auto"/>
                <w:kern w:val="0"/>
                <w:sz w:val="21"/>
                <w:szCs w:val="21"/>
                <w:lang w:val="en-US" w:eastAsia="zh-CN"/>
              </w:rPr>
              <w:t>3.18</w:t>
            </w:r>
            <w:r>
              <w:rPr>
                <w:rFonts w:hint="eastAsia" w:ascii="宋体" w:hAnsi="宋体" w:eastAsia="宋体" w:cs="宋体"/>
                <w:color w:val="auto"/>
                <w:kern w:val="0"/>
                <w:sz w:val="21"/>
                <w:szCs w:val="21"/>
              </w:rPr>
              <w:t>限速器：要求采用离心双向式限速器。</w:t>
            </w:r>
          </w:p>
          <w:p w14:paraId="17EC2CD8">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rPr>
            </w:pPr>
            <w:r>
              <w:rPr>
                <w:rFonts w:hint="eastAsia" w:ascii="宋体" w:hAnsi="宋体" w:cs="宋体"/>
                <w:color w:val="auto"/>
                <w:kern w:val="0"/>
                <w:sz w:val="21"/>
                <w:szCs w:val="21"/>
                <w:lang w:val="en-US" w:eastAsia="zh-CN"/>
              </w:rPr>
              <w:t>3.19</w:t>
            </w:r>
            <w:r>
              <w:rPr>
                <w:rFonts w:hint="eastAsia" w:ascii="宋体" w:hAnsi="宋体" w:eastAsia="宋体" w:cs="宋体"/>
                <w:color w:val="auto"/>
                <w:kern w:val="0"/>
                <w:sz w:val="21"/>
                <w:szCs w:val="21"/>
              </w:rPr>
              <w:t>安全钳：要求采用渐进式安全钳。</w:t>
            </w:r>
          </w:p>
          <w:p w14:paraId="39053464">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auto"/>
                <w:kern w:val="0"/>
                <w:sz w:val="21"/>
                <w:szCs w:val="21"/>
              </w:rPr>
            </w:pPr>
            <w:r>
              <w:rPr>
                <w:rFonts w:hint="eastAsia" w:ascii="宋体" w:hAnsi="宋体" w:cs="宋体"/>
                <w:color w:val="auto"/>
                <w:kern w:val="0"/>
                <w:sz w:val="21"/>
                <w:szCs w:val="21"/>
                <w:lang w:val="en-US" w:eastAsia="zh-CN"/>
              </w:rPr>
              <w:t>3.20</w:t>
            </w:r>
            <w:r>
              <w:rPr>
                <w:rFonts w:hint="eastAsia" w:ascii="宋体" w:hAnsi="宋体" w:eastAsia="宋体" w:cs="宋体"/>
                <w:color w:val="auto"/>
                <w:kern w:val="0"/>
                <w:sz w:val="21"/>
                <w:szCs w:val="21"/>
              </w:rPr>
              <w:t>门锁装置：采用电梯专用门锁，基站锁设在首层。</w:t>
            </w:r>
          </w:p>
          <w:p w14:paraId="127ABD49">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4.</w:t>
            </w:r>
            <w:r>
              <w:rPr>
                <w:rFonts w:hint="eastAsia" w:ascii="宋体" w:hAnsi="宋体" w:eastAsia="宋体" w:cs="宋体"/>
                <w:color w:val="000000"/>
                <w:kern w:val="0"/>
                <w:sz w:val="21"/>
                <w:szCs w:val="21"/>
              </w:rPr>
              <w:t>电梯的基本功能</w:t>
            </w:r>
            <w:r>
              <w:rPr>
                <w:rFonts w:hint="eastAsia" w:ascii="宋体" w:hAnsi="宋体" w:cs="宋体"/>
                <w:color w:val="000000"/>
                <w:kern w:val="0"/>
                <w:sz w:val="21"/>
                <w:szCs w:val="21"/>
                <w:lang w:eastAsia="zh-CN"/>
              </w:rPr>
              <w:t>：</w:t>
            </w:r>
          </w:p>
          <w:p w14:paraId="2512CF98">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4.1</w:t>
            </w:r>
            <w:r>
              <w:rPr>
                <w:rFonts w:hint="eastAsia" w:ascii="宋体" w:hAnsi="宋体" w:eastAsia="宋体" w:cs="宋体"/>
                <w:color w:val="000000"/>
                <w:kern w:val="0"/>
                <w:sz w:val="21"/>
                <w:szCs w:val="21"/>
              </w:rPr>
              <w:t>电梯变频驱动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门机变频驱动</w:t>
            </w:r>
          </w:p>
          <w:p w14:paraId="41FC87F2">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4.2</w:t>
            </w:r>
            <w:r>
              <w:rPr>
                <w:rFonts w:hint="eastAsia" w:ascii="宋体" w:hAnsi="宋体" w:eastAsia="宋体" w:cs="宋体"/>
                <w:color w:val="000000"/>
                <w:kern w:val="0"/>
                <w:sz w:val="21"/>
                <w:szCs w:val="21"/>
              </w:rPr>
              <w:t>全集选控制</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检修运行</w:t>
            </w:r>
          </w:p>
          <w:p w14:paraId="0FFBFED6">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4.3</w:t>
            </w:r>
            <w:r>
              <w:rPr>
                <w:rFonts w:hint="eastAsia" w:ascii="宋体" w:hAnsi="宋体" w:eastAsia="宋体" w:cs="宋体"/>
                <w:color w:val="000000"/>
                <w:kern w:val="0"/>
                <w:sz w:val="21"/>
                <w:szCs w:val="21"/>
              </w:rPr>
              <w:t>最佳曲线自动生成</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井道自学习</w:t>
            </w:r>
          </w:p>
          <w:p w14:paraId="4756DE6C">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4.4</w:t>
            </w:r>
            <w:r>
              <w:rPr>
                <w:rFonts w:hint="eastAsia" w:ascii="宋体" w:hAnsi="宋体" w:eastAsia="宋体" w:cs="宋体"/>
                <w:color w:val="000000"/>
                <w:kern w:val="0"/>
                <w:sz w:val="21"/>
                <w:szCs w:val="21"/>
              </w:rPr>
              <w:t>上电自动开门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自动关门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本层外召开门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重复关门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重复开门</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开门时间设定</w:t>
            </w:r>
          </w:p>
          <w:p w14:paraId="77A07A97">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4.5</w:t>
            </w:r>
            <w:r>
              <w:rPr>
                <w:rFonts w:hint="eastAsia" w:ascii="宋体" w:hAnsi="宋体" w:eastAsia="宋体" w:cs="宋体"/>
                <w:color w:val="000000"/>
                <w:kern w:val="0"/>
                <w:sz w:val="21"/>
                <w:szCs w:val="21"/>
              </w:rPr>
              <w:t>光幕保护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超载保护</w:t>
            </w:r>
            <w:r>
              <w:rPr>
                <w:rFonts w:hint="eastAsia" w:ascii="宋体" w:hAnsi="宋体" w:cs="宋体"/>
                <w:color w:val="000000"/>
                <w:kern w:val="0"/>
                <w:sz w:val="21"/>
                <w:szCs w:val="21"/>
                <w:lang w:eastAsia="zh-CN"/>
              </w:rPr>
              <w:t>，</w:t>
            </w:r>
            <w:r>
              <w:rPr>
                <w:rFonts w:hint="eastAsia" w:ascii="宋体" w:hAnsi="宋体" w:eastAsia="宋体" w:cs="宋体"/>
                <w:color w:val="auto"/>
                <w:kern w:val="0"/>
                <w:sz w:val="21"/>
                <w:szCs w:val="21"/>
              </w:rPr>
              <w:t>C</w:t>
            </w:r>
            <w:r>
              <w:rPr>
                <w:rFonts w:hint="eastAsia" w:ascii="宋体" w:hAnsi="宋体" w:cs="宋体"/>
                <w:color w:val="auto"/>
                <w:kern w:val="0"/>
                <w:sz w:val="21"/>
                <w:szCs w:val="21"/>
                <w:lang w:val="en-US" w:eastAsia="zh-CN"/>
              </w:rPr>
              <w:t>PU</w:t>
            </w:r>
            <w:r>
              <w:rPr>
                <w:rFonts w:hint="eastAsia" w:ascii="宋体" w:hAnsi="宋体" w:eastAsia="宋体" w:cs="宋体"/>
                <w:color w:val="auto"/>
                <w:kern w:val="0"/>
                <w:sz w:val="21"/>
                <w:szCs w:val="21"/>
              </w:rPr>
              <w:t>故障保护</w:t>
            </w:r>
            <w:r>
              <w:rPr>
                <w:rFonts w:hint="eastAsia" w:ascii="宋体" w:hAnsi="宋体" w:cs="宋体"/>
                <w:color w:val="auto"/>
                <w:kern w:val="0"/>
                <w:sz w:val="21"/>
                <w:szCs w:val="21"/>
                <w:lang w:eastAsia="zh-CN"/>
              </w:rPr>
              <w:t>，</w:t>
            </w:r>
            <w:r>
              <w:rPr>
                <w:rFonts w:hint="eastAsia" w:ascii="宋体" w:hAnsi="宋体" w:eastAsia="宋体" w:cs="宋体"/>
                <w:color w:val="000000"/>
                <w:kern w:val="0"/>
                <w:sz w:val="21"/>
                <w:szCs w:val="21"/>
              </w:rPr>
              <w:t>防打滑保护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上下限位保护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超速保护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故障诊断</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逆向运行保护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电机过电流保护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电源过电压保护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电机过载保护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防捣乱</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编码器故障保护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门锁短接保护</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 xml:space="preserve">电机温升保护       </w:t>
            </w:r>
            <w:r>
              <w:rPr>
                <w:rFonts w:hint="eastAsia" w:ascii="宋体" w:hAnsi="宋体" w:cs="宋体"/>
                <w:color w:val="000000"/>
                <w:kern w:val="0"/>
                <w:sz w:val="21"/>
                <w:szCs w:val="21"/>
                <w:lang w:val="en-US" w:eastAsia="zh-CN"/>
              </w:rPr>
              <w:t xml:space="preserve"> </w:t>
            </w:r>
          </w:p>
          <w:p w14:paraId="4CCFB7F1">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color w:val="000000"/>
                <w:kern w:val="0"/>
                <w:sz w:val="21"/>
                <w:szCs w:val="21"/>
              </w:rPr>
            </w:pPr>
            <w:r>
              <w:rPr>
                <w:rFonts w:hint="eastAsia" w:ascii="宋体" w:hAnsi="宋体" w:cs="宋体"/>
                <w:color w:val="000000"/>
                <w:kern w:val="0"/>
                <w:sz w:val="21"/>
                <w:szCs w:val="21"/>
                <w:lang w:val="en-US" w:eastAsia="zh-CN"/>
              </w:rPr>
              <w:t>4.6自动</w:t>
            </w:r>
            <w:r>
              <w:rPr>
                <w:rFonts w:hint="eastAsia" w:ascii="宋体" w:hAnsi="宋体" w:eastAsia="宋体" w:cs="宋体"/>
                <w:color w:val="000000"/>
                <w:kern w:val="0"/>
                <w:sz w:val="21"/>
                <w:szCs w:val="21"/>
              </w:rPr>
              <w:t>再平层</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锁梯功能</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五方通话</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直接停靠</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运行状态显示</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自动校正轿厢位置</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照明风扇节能功能</w:t>
            </w:r>
          </w:p>
          <w:p w14:paraId="74840060">
            <w:pPr>
              <w:keepNext w:val="0"/>
              <w:keepLines w:val="0"/>
              <w:pageBreakBefore w:val="0"/>
              <w:widowControl/>
              <w:kinsoku/>
              <w:wordWrap/>
              <w:overflowPunct/>
              <w:topLinePunct w:val="0"/>
              <w:autoSpaceDE/>
              <w:autoSpaceDN/>
              <w:bidi w:val="0"/>
              <w:adjustRightInd/>
              <w:snapToGrid/>
              <w:spacing w:line="380" w:lineRule="exact"/>
              <w:contextualSpacing/>
              <w:jc w:val="left"/>
              <w:textAlignment w:val="auto"/>
              <w:rPr>
                <w:rFonts w:ascii="宋体" w:hAnsi="宋体" w:eastAsia="宋体" w:cs="宋体"/>
                <w:sz w:val="21"/>
                <w:szCs w:val="20"/>
              </w:rPr>
            </w:pPr>
            <w:r>
              <w:rPr>
                <w:rFonts w:hint="eastAsia" w:ascii="宋体" w:hAnsi="宋体" w:cs="宋体"/>
                <w:color w:val="000000"/>
                <w:kern w:val="0"/>
                <w:sz w:val="21"/>
                <w:szCs w:val="21"/>
                <w:lang w:val="en-US" w:eastAsia="zh-CN"/>
              </w:rPr>
              <w:t>4.7</w:t>
            </w:r>
            <w:r>
              <w:rPr>
                <w:rFonts w:hint="eastAsia" w:ascii="宋体" w:hAnsi="宋体" w:eastAsia="宋体" w:cs="宋体"/>
                <w:color w:val="000000"/>
                <w:kern w:val="0"/>
                <w:sz w:val="21"/>
                <w:szCs w:val="21"/>
              </w:rPr>
              <w:t>轿厢到站钟</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独立运行</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满载直行</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超载停梯</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轿内层楼方向指示</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层站层楼方向指示</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应急照明</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点动运行</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层楼显示按位设置</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警铃</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消防返回</w:t>
            </w:r>
            <w:r>
              <w:rPr>
                <w:rFonts w:hint="eastAsia" w:ascii="宋体" w:hAnsi="宋体" w:cs="宋体"/>
                <w:color w:val="000000"/>
                <w:kern w:val="0"/>
                <w:sz w:val="21"/>
                <w:szCs w:val="21"/>
                <w:lang w:val="en-US" w:eastAsia="zh-CN"/>
              </w:rPr>
              <w:t>，</w:t>
            </w:r>
            <w:r>
              <w:rPr>
                <w:rFonts w:hint="eastAsia" w:ascii="宋体" w:hAnsi="宋体" w:eastAsia="宋体" w:cs="宋体"/>
                <w:color w:val="000000"/>
                <w:kern w:val="0"/>
                <w:sz w:val="21"/>
                <w:szCs w:val="21"/>
              </w:rPr>
              <w:t>下集选控制</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运行次数记录</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 xml:space="preserve">运行时间记录        </w:t>
            </w:r>
          </w:p>
        </w:tc>
        <w:tc>
          <w:tcPr>
            <w:tcW w:w="985" w:type="dxa"/>
            <w:noWrap w:val="0"/>
            <w:vAlign w:val="center"/>
          </w:tcPr>
          <w:p w14:paraId="67ECD420">
            <w:pPr>
              <w:keepNext w:val="0"/>
              <w:keepLines w:val="0"/>
              <w:pageBreakBefore w:val="0"/>
              <w:kinsoku/>
              <w:wordWrap/>
              <w:overflowPunct/>
              <w:topLinePunct w:val="0"/>
              <w:autoSpaceDE/>
              <w:autoSpaceDN/>
              <w:bidi w:val="0"/>
              <w:adjustRightInd/>
              <w:snapToGrid/>
              <w:spacing w:line="380" w:lineRule="exact"/>
              <w:jc w:val="center"/>
              <w:textAlignment w:val="auto"/>
              <w:rPr>
                <w:rFonts w:ascii="宋体" w:hAnsi="宋体" w:eastAsia="宋体" w:cs="宋体"/>
                <w:sz w:val="21"/>
                <w:szCs w:val="20"/>
              </w:rPr>
            </w:pPr>
            <w:r>
              <w:rPr>
                <w:rFonts w:hint="eastAsia" w:ascii="宋体" w:hAnsi="宋体" w:eastAsia="宋体" w:cs="宋体"/>
                <w:sz w:val="21"/>
                <w:szCs w:val="20"/>
              </w:rPr>
              <w:t>台</w:t>
            </w:r>
          </w:p>
        </w:tc>
        <w:tc>
          <w:tcPr>
            <w:tcW w:w="490" w:type="dxa"/>
            <w:noWrap w:val="0"/>
            <w:vAlign w:val="center"/>
          </w:tcPr>
          <w:p w14:paraId="4BF31E98">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sz w:val="21"/>
                <w:szCs w:val="20"/>
                <w:lang w:eastAsia="zh-CN"/>
              </w:rPr>
            </w:pPr>
            <w:r>
              <w:rPr>
                <w:rFonts w:hint="eastAsia" w:ascii="宋体" w:hAnsi="宋体" w:cs="宋体"/>
                <w:sz w:val="21"/>
                <w:szCs w:val="20"/>
                <w:lang w:val="en-US" w:eastAsia="zh-CN"/>
              </w:rPr>
              <w:t>8</w:t>
            </w:r>
          </w:p>
        </w:tc>
      </w:tr>
    </w:tbl>
    <w:p w14:paraId="74BC2BAD">
      <w:pPr>
        <w:widowControl/>
        <w:shd w:val="clear" w:color="auto" w:fill="FFFFFF"/>
        <w:spacing w:line="360" w:lineRule="auto"/>
        <w:ind w:firstLine="422" w:firstLineChars="200"/>
        <w:jc w:val="left"/>
        <w:rPr>
          <w:rFonts w:hint="eastAsia" w:ascii="宋体" w:hAnsi="宋体"/>
          <w:b/>
          <w:bCs/>
          <w:sz w:val="21"/>
          <w:szCs w:val="21"/>
        </w:rPr>
      </w:pPr>
      <w:r>
        <w:rPr>
          <w:rFonts w:hint="eastAsia" w:ascii="宋体" w:hAnsi="宋体"/>
          <w:b/>
          <w:bCs/>
          <w:sz w:val="21"/>
          <w:szCs w:val="21"/>
          <w:lang w:val="en-US" w:eastAsia="zh-CN"/>
        </w:rPr>
        <w:t>注：</w:t>
      </w:r>
      <w:r>
        <w:rPr>
          <w:rFonts w:hint="eastAsia" w:ascii="宋体" w:hAnsi="宋体"/>
          <w:b/>
          <w:bCs/>
          <w:sz w:val="21"/>
          <w:szCs w:val="21"/>
        </w:rPr>
        <w:t>本采购清单中所列技术规格或主要参数为最低要求，不允许负偏离，否则将承担其响应被视为非实质性响应的风险。</w:t>
      </w:r>
    </w:p>
    <w:p w14:paraId="02810533">
      <w:pPr>
        <w:widowControl/>
        <w:shd w:val="clear" w:color="auto" w:fill="FFFFFF"/>
        <w:spacing w:line="360" w:lineRule="auto"/>
        <w:ind w:firstLine="211" w:firstLineChars="100"/>
        <w:jc w:val="left"/>
        <w:rPr>
          <w:rFonts w:hint="eastAsia" w:ascii="宋体" w:hAnsi="宋体"/>
          <w:b/>
          <w:bCs/>
          <w:sz w:val="21"/>
          <w:szCs w:val="21"/>
        </w:rPr>
      </w:pPr>
      <w:r>
        <w:rPr>
          <w:rFonts w:hint="eastAsia" w:ascii="宋体" w:hAnsi="宋体"/>
          <w:b/>
          <w:bCs/>
          <w:sz w:val="21"/>
          <w:szCs w:val="21"/>
        </w:rPr>
        <w:t xml:space="preserve">（三）采购标的执行标准：需执行的国家相关标准、规范。 </w:t>
      </w:r>
    </w:p>
    <w:p w14:paraId="028AC7B4">
      <w:pPr>
        <w:widowControl/>
        <w:shd w:val="clear" w:color="auto" w:fill="FFFFFF"/>
        <w:spacing w:line="360" w:lineRule="auto"/>
        <w:ind w:firstLine="211" w:firstLineChars="100"/>
        <w:jc w:val="left"/>
        <w:rPr>
          <w:rFonts w:hint="eastAsia" w:ascii="宋体" w:hAnsi="宋体"/>
          <w:b/>
          <w:bCs/>
          <w:sz w:val="21"/>
          <w:szCs w:val="21"/>
        </w:rPr>
      </w:pPr>
      <w:r>
        <w:rPr>
          <w:rFonts w:hint="eastAsia" w:ascii="宋体" w:hAnsi="宋体"/>
          <w:b/>
          <w:bCs/>
          <w:sz w:val="21"/>
          <w:szCs w:val="21"/>
        </w:rPr>
        <w:t>（四）服务标准、期限、效率等要求：</w:t>
      </w:r>
    </w:p>
    <w:p w14:paraId="3FB87863">
      <w:pPr>
        <w:tabs>
          <w:tab w:val="left" w:pos="7095"/>
        </w:tabs>
        <w:spacing w:line="360" w:lineRule="auto"/>
        <w:ind w:firstLine="480" w:firstLineChars="200"/>
        <w:rPr>
          <w:rFonts w:hint="eastAsia" w:ascii="仿宋" w:hAnsi="仿宋" w:eastAsia="仿宋" w:cs="宋体"/>
          <w:color w:val="000000"/>
          <w:sz w:val="24"/>
        </w:rPr>
      </w:pPr>
      <w:r>
        <w:rPr>
          <w:rFonts w:hint="eastAsia" w:ascii="仿宋" w:hAnsi="仿宋" w:eastAsia="仿宋" w:cs="宋体"/>
          <w:color w:val="000000"/>
          <w:sz w:val="24"/>
        </w:rPr>
        <w:t>符合业主需求，</w:t>
      </w:r>
      <w:r>
        <w:rPr>
          <w:rFonts w:hint="eastAsia" w:ascii="仿宋" w:hAnsi="仿宋" w:eastAsia="仿宋" w:cs="宋体"/>
          <w:color w:val="000000"/>
          <w:sz w:val="24"/>
          <w:lang w:val="en-US" w:eastAsia="zh-CN"/>
        </w:rPr>
        <w:t>质保</w:t>
      </w:r>
      <w:r>
        <w:rPr>
          <w:rFonts w:hint="eastAsia" w:ascii="仿宋" w:hAnsi="仿宋" w:eastAsia="仿宋" w:cs="宋体"/>
          <w:color w:val="000000"/>
          <w:sz w:val="24"/>
        </w:rPr>
        <w:t>服务期限为合同签订后</w:t>
      </w:r>
      <w:r>
        <w:rPr>
          <w:rFonts w:hint="eastAsia" w:ascii="仿宋" w:hAnsi="仿宋" w:eastAsia="仿宋" w:cs="宋体"/>
          <w:color w:val="000000"/>
          <w:sz w:val="24"/>
          <w:lang w:val="en-US" w:eastAsia="zh-CN"/>
        </w:rPr>
        <w:t>1</w:t>
      </w:r>
      <w:r>
        <w:rPr>
          <w:rFonts w:hint="eastAsia" w:ascii="仿宋" w:hAnsi="仿宋" w:eastAsia="仿宋" w:cs="宋体"/>
          <w:color w:val="000000"/>
          <w:sz w:val="24"/>
        </w:rPr>
        <w:t>年。</w:t>
      </w:r>
    </w:p>
    <w:p w14:paraId="66EF31A8">
      <w:pPr>
        <w:widowControl/>
        <w:shd w:val="clear" w:color="auto" w:fill="FFFFFF"/>
        <w:spacing w:line="560" w:lineRule="exact"/>
        <w:ind w:firstLine="211" w:firstLineChars="100"/>
        <w:jc w:val="left"/>
        <w:rPr>
          <w:rFonts w:hint="eastAsia" w:ascii="宋体" w:hAnsi="宋体"/>
          <w:b/>
          <w:bCs/>
          <w:sz w:val="21"/>
          <w:szCs w:val="21"/>
        </w:rPr>
      </w:pPr>
      <w:r>
        <w:rPr>
          <w:rFonts w:hint="eastAsia" w:ascii="宋体" w:hAnsi="宋体"/>
          <w:b/>
          <w:bCs/>
          <w:sz w:val="21"/>
          <w:szCs w:val="21"/>
        </w:rPr>
        <w:t>（五）采购标的其他技术、服务等要求</w:t>
      </w:r>
    </w:p>
    <w:p w14:paraId="515E7F55">
      <w:pPr>
        <w:widowControl/>
        <w:shd w:val="clear" w:color="auto" w:fill="FFFFFF"/>
        <w:spacing w:line="560" w:lineRule="exact"/>
        <w:ind w:firstLine="420" w:firstLineChars="200"/>
        <w:jc w:val="left"/>
        <w:rPr>
          <w:rFonts w:hint="default" w:ascii="宋体" w:hAnsi="宋体" w:eastAsia="宋体"/>
          <w:b/>
          <w:bCs/>
          <w:sz w:val="21"/>
          <w:szCs w:val="21"/>
          <w:lang w:val="en-US" w:eastAsia="zh-CN"/>
        </w:rPr>
      </w:pPr>
      <w:r>
        <w:rPr>
          <w:rFonts w:hint="eastAsia" w:ascii="宋体" w:hAnsi="宋体"/>
          <w:sz w:val="21"/>
          <w:szCs w:val="21"/>
          <w:lang w:val="en-US" w:eastAsia="zh-CN"/>
        </w:rPr>
        <w:t>1.以上要求为最低要求，投标商不能低于此要求，否则为无效投标。</w:t>
      </w:r>
    </w:p>
    <w:p w14:paraId="78434147">
      <w:pPr>
        <w:spacing w:after="120" w:line="360" w:lineRule="auto"/>
        <w:ind w:firstLine="420" w:firstLineChars="200"/>
        <w:rPr>
          <w:rFonts w:hint="eastAsia" w:ascii="宋体" w:hAnsi="宋体"/>
          <w:sz w:val="21"/>
          <w:szCs w:val="21"/>
        </w:rPr>
      </w:pPr>
      <w:r>
        <w:rPr>
          <w:rFonts w:hint="eastAsia" w:ascii="宋体" w:hAnsi="宋体"/>
          <w:sz w:val="21"/>
          <w:szCs w:val="21"/>
          <w:lang w:val="en-US" w:eastAsia="zh-CN"/>
        </w:rPr>
        <w:t>2.投标</w:t>
      </w:r>
      <w:r>
        <w:rPr>
          <w:rFonts w:hint="eastAsia" w:ascii="宋体" w:hAnsi="宋体"/>
          <w:sz w:val="21"/>
          <w:szCs w:val="21"/>
        </w:rPr>
        <w:t>商应就该项目完整投标（报价包括但不限于完成本项目材料费、人工费、管理费、维护费、保险费、利润、税费等所有费用），否则为无效投标。</w:t>
      </w:r>
    </w:p>
    <w:p w14:paraId="4921C216">
      <w:pPr>
        <w:spacing w:after="120" w:line="360" w:lineRule="auto"/>
        <w:ind w:firstLine="420" w:firstLineChars="200"/>
        <w:rPr>
          <w:rFonts w:hint="eastAsia" w:ascii="宋体" w:hAnsi="宋体"/>
          <w:sz w:val="21"/>
          <w:szCs w:val="21"/>
        </w:rPr>
      </w:pPr>
      <w:r>
        <w:rPr>
          <w:rFonts w:hint="eastAsia" w:ascii="宋体" w:hAnsi="宋体"/>
          <w:sz w:val="21"/>
          <w:szCs w:val="21"/>
          <w:lang w:eastAsia="zh-CN"/>
        </w:rPr>
        <w:t>2.</w:t>
      </w:r>
      <w:r>
        <w:rPr>
          <w:rFonts w:hint="eastAsia" w:ascii="宋体" w:hAnsi="宋体"/>
          <w:sz w:val="21"/>
          <w:szCs w:val="21"/>
        </w:rPr>
        <w:t>投标文件中须有详细的实施（技术）方案。</w:t>
      </w:r>
    </w:p>
    <w:p w14:paraId="18C591E8">
      <w:pPr>
        <w:pStyle w:val="3"/>
        <w:spacing w:line="360" w:lineRule="auto"/>
        <w:rPr>
          <w:rFonts w:hint="eastAsia" w:ascii="宋体" w:hAnsi="宋体" w:eastAsia="宋体" w:cs="Times New Roman"/>
          <w:bCs/>
          <w:kern w:val="2"/>
          <w:sz w:val="21"/>
          <w:szCs w:val="21"/>
          <w:lang w:val="en-US" w:eastAsia="zh-CN" w:bidi="ar-SA"/>
        </w:rPr>
      </w:pPr>
      <w:r>
        <w:rPr>
          <w:rFonts w:ascii="宋体" w:hAnsi="宋体" w:eastAsia="宋体"/>
          <w:bCs/>
          <w:sz w:val="21"/>
          <w:szCs w:val="21"/>
        </w:rPr>
        <w:t xml:space="preserve">  </w:t>
      </w:r>
      <w:r>
        <w:rPr>
          <w:rFonts w:hint="eastAsia" w:ascii="宋体" w:hAnsi="宋体" w:eastAsia="宋体"/>
          <w:bCs/>
          <w:sz w:val="21"/>
          <w:szCs w:val="21"/>
          <w:lang w:val="en-US" w:eastAsia="zh-CN"/>
        </w:rPr>
        <w:t xml:space="preserve">  3.</w:t>
      </w:r>
      <w:r>
        <w:rPr>
          <w:rFonts w:hint="eastAsia" w:ascii="宋体" w:hAnsi="宋体" w:eastAsia="宋体" w:cs="Times New Roman"/>
          <w:bCs/>
          <w:kern w:val="2"/>
          <w:sz w:val="21"/>
          <w:szCs w:val="21"/>
          <w:lang w:val="en-US" w:eastAsia="zh-CN" w:bidi="ar-SA"/>
        </w:rPr>
        <w:t>在本项目实施过程中发生的一切与本项目相关的安全事故及责任均由中标供应商承担，</w:t>
      </w:r>
      <w:r>
        <w:rPr>
          <w:rFonts w:hint="eastAsia" w:ascii="宋体" w:hAnsi="宋体" w:cs="Times New Roman"/>
          <w:bCs/>
          <w:kern w:val="2"/>
          <w:sz w:val="21"/>
          <w:szCs w:val="21"/>
          <w:lang w:val="en-US" w:eastAsia="zh-CN" w:bidi="ar-SA"/>
        </w:rPr>
        <w:t>采购</w:t>
      </w:r>
      <w:r>
        <w:rPr>
          <w:rFonts w:hint="eastAsia" w:ascii="宋体" w:hAnsi="宋体" w:eastAsia="宋体" w:cs="Times New Roman"/>
          <w:bCs/>
          <w:kern w:val="2"/>
          <w:sz w:val="21"/>
          <w:szCs w:val="21"/>
          <w:lang w:val="en-US" w:eastAsia="zh-CN" w:bidi="ar-SA"/>
        </w:rPr>
        <w:t>方不承担任何责任及费用。</w:t>
      </w:r>
    </w:p>
    <w:p w14:paraId="7FCF3542">
      <w:pPr>
        <w:spacing w:after="120" w:line="360" w:lineRule="auto"/>
        <w:ind w:firstLine="420" w:firstLineChars="200"/>
        <w:rPr>
          <w:rFonts w:hint="eastAsia" w:ascii="宋体" w:hAnsi="宋体" w:eastAsia="宋体"/>
          <w:bCs/>
          <w:sz w:val="21"/>
          <w:szCs w:val="21"/>
          <w:lang w:eastAsia="zh-CN"/>
        </w:rPr>
      </w:pPr>
      <w:r>
        <w:rPr>
          <w:rFonts w:hint="eastAsia" w:ascii="宋体" w:hAnsi="宋体"/>
          <w:bCs/>
          <w:sz w:val="21"/>
          <w:szCs w:val="21"/>
          <w:lang w:eastAsia="zh-CN"/>
        </w:rPr>
        <w:t>4.</w:t>
      </w:r>
      <w:r>
        <w:rPr>
          <w:rFonts w:hint="eastAsia" w:ascii="宋体" w:hAnsi="宋体"/>
          <w:sz w:val="21"/>
          <w:szCs w:val="21"/>
        </w:rPr>
        <w:t>中标</w:t>
      </w:r>
      <w:r>
        <w:rPr>
          <w:rFonts w:hint="eastAsia" w:ascii="宋体" w:hAnsi="宋体"/>
          <w:sz w:val="21"/>
          <w:szCs w:val="21"/>
          <w:lang w:val="en-US" w:eastAsia="zh-CN"/>
        </w:rPr>
        <w:t>人</w:t>
      </w:r>
      <w:r>
        <w:rPr>
          <w:rFonts w:hint="eastAsia" w:ascii="宋体" w:hAnsi="宋体"/>
          <w:sz w:val="21"/>
          <w:szCs w:val="21"/>
        </w:rPr>
        <w:t>未达到作业计划标准及工作违规或引起纠纷、被上级部门处罚等不良后果，造成重大经济损失或服务严重失误，招标方有权终止本合同，并追究中标方的经济责任</w:t>
      </w:r>
      <w:r>
        <w:rPr>
          <w:rFonts w:hint="eastAsia" w:ascii="宋体" w:hAnsi="宋体"/>
          <w:sz w:val="21"/>
          <w:szCs w:val="21"/>
          <w:lang w:eastAsia="zh-CN"/>
        </w:rPr>
        <w:t>。</w:t>
      </w:r>
    </w:p>
    <w:p w14:paraId="4935EA46">
      <w:pPr>
        <w:spacing w:after="120" w:line="360" w:lineRule="auto"/>
        <w:ind w:firstLine="420" w:firstLineChars="200"/>
        <w:rPr>
          <w:rFonts w:ascii="宋体" w:hAnsi="宋体"/>
          <w:sz w:val="21"/>
          <w:szCs w:val="21"/>
        </w:rPr>
      </w:pPr>
      <w:r>
        <w:rPr>
          <w:rFonts w:hint="eastAsia" w:ascii="宋体" w:hAnsi="宋体"/>
          <w:sz w:val="21"/>
          <w:szCs w:val="21"/>
          <w:lang w:val="en-US" w:eastAsia="zh-CN"/>
        </w:rPr>
        <w:t>5.</w:t>
      </w:r>
      <w:r>
        <w:rPr>
          <w:rFonts w:hint="eastAsia" w:ascii="宋体" w:hAnsi="宋体"/>
          <w:sz w:val="21"/>
          <w:szCs w:val="21"/>
        </w:rPr>
        <w:t>中标人应无条件接受招标人交付的临时性工作。</w:t>
      </w:r>
    </w:p>
    <w:p w14:paraId="7089E3A0">
      <w:pPr>
        <w:spacing w:after="120" w:line="360" w:lineRule="auto"/>
        <w:ind w:firstLine="420" w:firstLineChars="200"/>
        <w:rPr>
          <w:rFonts w:ascii="宋体" w:hAnsi="宋体"/>
          <w:sz w:val="21"/>
          <w:szCs w:val="21"/>
        </w:rPr>
      </w:pPr>
      <w:r>
        <w:rPr>
          <w:rFonts w:hint="eastAsia" w:ascii="宋体" w:hAnsi="宋体"/>
          <w:sz w:val="21"/>
          <w:szCs w:val="21"/>
          <w:lang w:val="en-US" w:eastAsia="zh-CN"/>
        </w:rPr>
        <w:t>6.</w:t>
      </w:r>
      <w:r>
        <w:rPr>
          <w:rFonts w:hint="eastAsia" w:ascii="宋体" w:hAnsi="宋体"/>
          <w:sz w:val="21"/>
          <w:szCs w:val="21"/>
        </w:rPr>
        <w:t>本次招标某些技术标准与国家所要求的标准不统一或有不兼容的地方，均以国家强制性标准或最新出台的标准为准。</w:t>
      </w:r>
    </w:p>
    <w:p w14:paraId="3A7B22A3">
      <w:pPr>
        <w:spacing w:after="120" w:line="360" w:lineRule="auto"/>
        <w:ind w:firstLine="420" w:firstLineChars="200"/>
        <w:rPr>
          <w:rFonts w:ascii="宋体" w:hAnsi="宋体"/>
          <w:sz w:val="21"/>
          <w:szCs w:val="21"/>
        </w:rPr>
      </w:pPr>
      <w:r>
        <w:rPr>
          <w:rFonts w:hint="eastAsia" w:ascii="宋体" w:hAnsi="宋体"/>
          <w:sz w:val="21"/>
          <w:szCs w:val="21"/>
          <w:lang w:val="en-US" w:eastAsia="zh-CN"/>
        </w:rPr>
        <w:t>7.</w:t>
      </w:r>
      <w:r>
        <w:rPr>
          <w:rFonts w:hint="eastAsia" w:ascii="宋体" w:hAnsi="宋体"/>
          <w:sz w:val="21"/>
          <w:szCs w:val="21"/>
        </w:rPr>
        <w:t>如果未在招标文件中要求提供其相关行业标准或国家强制性标准的，则投标人有责任给予补充说明。</w:t>
      </w:r>
    </w:p>
    <w:p w14:paraId="7400B476">
      <w:pPr>
        <w:spacing w:after="120" w:line="360" w:lineRule="auto"/>
        <w:ind w:firstLine="422" w:firstLineChars="200"/>
        <w:rPr>
          <w:rFonts w:ascii="宋体" w:hAnsi="宋体"/>
          <w:b/>
          <w:bCs/>
          <w:sz w:val="21"/>
          <w:szCs w:val="21"/>
        </w:rPr>
      </w:pPr>
      <w:r>
        <w:rPr>
          <w:rFonts w:hint="eastAsia" w:ascii="宋体" w:hAnsi="宋体"/>
          <w:b/>
          <w:bCs/>
          <w:sz w:val="21"/>
          <w:szCs w:val="21"/>
        </w:rPr>
        <w:t>（六）验收标准</w:t>
      </w:r>
    </w:p>
    <w:p w14:paraId="306FEE7D">
      <w:pPr>
        <w:widowControl/>
        <w:shd w:val="clear" w:color="auto" w:fill="FFFFFF"/>
        <w:spacing w:line="360" w:lineRule="auto"/>
        <w:ind w:firstLine="420" w:firstLineChars="200"/>
        <w:contextualSpacing/>
        <w:jc w:val="left"/>
        <w:rPr>
          <w:rFonts w:hint="eastAsia" w:ascii="宋体" w:hAnsi="宋体" w:eastAsia="宋体" w:cs="宋体"/>
          <w:kern w:val="0"/>
          <w:sz w:val="21"/>
          <w:szCs w:val="21"/>
        </w:rPr>
      </w:pPr>
      <w:r>
        <w:rPr>
          <w:rFonts w:hint="eastAsia" w:ascii="宋体" w:hAnsi="宋体" w:eastAsia="宋体" w:cs="宋体"/>
          <w:kern w:val="0"/>
          <w:sz w:val="21"/>
          <w:szCs w:val="21"/>
        </w:rPr>
        <w:t>由采购人成立验收小组</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按照采购合同的约定对中标人履约情况进行验收。验收时</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按照采购合同的约定对每一项技术、服务、安全标准的履约情况进行确认。验收结束后由验收小组出具验收报告</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列明各项标准的验收情况及项目总体评价</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由验收双方共同签署。</w:t>
      </w:r>
    </w:p>
    <w:p w14:paraId="642DF5F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项目质量按照国家相关标准、行业标准、地方标准或者其他标准、规范验收；</w:t>
      </w:r>
    </w:p>
    <w:p w14:paraId="5DB31DBA">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按照招标文件要求、投标文件响应和承诺验收；</w:t>
      </w:r>
    </w:p>
    <w:p w14:paraId="05836224">
      <w:pPr>
        <w:spacing w:after="120" w:line="360" w:lineRule="auto"/>
        <w:ind w:firstLine="422" w:firstLineChars="200"/>
        <w:rPr>
          <w:rFonts w:hint="eastAsia" w:ascii="宋体" w:hAnsi="宋体"/>
          <w:b/>
          <w:bCs/>
          <w:sz w:val="21"/>
          <w:szCs w:val="21"/>
          <w:lang w:val="zh-CN"/>
        </w:rPr>
      </w:pPr>
      <w:r>
        <w:rPr>
          <w:rFonts w:hint="eastAsia" w:ascii="宋体" w:hAnsi="宋体"/>
          <w:b/>
          <w:bCs/>
          <w:sz w:val="21"/>
          <w:szCs w:val="21"/>
          <w:lang w:val="zh-CN" w:eastAsia="zh-CN"/>
        </w:rPr>
        <w:t>（</w:t>
      </w:r>
      <w:r>
        <w:rPr>
          <w:rFonts w:hint="eastAsia" w:ascii="宋体" w:hAnsi="宋体"/>
          <w:b/>
          <w:bCs/>
          <w:sz w:val="21"/>
          <w:szCs w:val="21"/>
          <w:lang w:val="en-US" w:eastAsia="zh-CN"/>
        </w:rPr>
        <w:t>七</w:t>
      </w:r>
      <w:r>
        <w:rPr>
          <w:rFonts w:hint="eastAsia" w:ascii="宋体" w:hAnsi="宋体"/>
          <w:b/>
          <w:bCs/>
          <w:sz w:val="21"/>
          <w:szCs w:val="21"/>
          <w:lang w:val="zh-CN" w:eastAsia="zh-CN"/>
        </w:rPr>
        <w:t>）</w:t>
      </w:r>
      <w:r>
        <w:rPr>
          <w:rFonts w:hint="eastAsia" w:ascii="宋体" w:hAnsi="宋体"/>
          <w:b/>
          <w:bCs/>
          <w:sz w:val="21"/>
          <w:szCs w:val="21"/>
          <w:lang w:val="zh-CN"/>
        </w:rPr>
        <w:t>采购资金支付</w:t>
      </w:r>
    </w:p>
    <w:p w14:paraId="149EB758">
      <w:pPr>
        <w:widowControl/>
        <w:shd w:val="clear" w:color="auto" w:fill="FFFFFF"/>
        <w:spacing w:line="360" w:lineRule="auto"/>
        <w:ind w:firstLine="480" w:firstLineChars="200"/>
        <w:jc w:val="left"/>
        <w:rPr>
          <w:rFonts w:hint="eastAsia" w:ascii="仿宋" w:hAnsi="仿宋" w:eastAsia="仿宋" w:cs="宋体"/>
          <w:color w:val="000000"/>
          <w:sz w:val="24"/>
          <w:lang w:val="zh-CN"/>
        </w:rPr>
      </w:pPr>
      <w:r>
        <w:rPr>
          <w:rFonts w:hint="eastAsia" w:ascii="仿宋" w:hAnsi="仿宋" w:eastAsia="仿宋" w:cs="宋体"/>
          <w:color w:val="000000"/>
          <w:sz w:val="24"/>
          <w:lang w:val="en-US" w:eastAsia="zh-CN"/>
        </w:rPr>
        <w:t>1.</w:t>
      </w:r>
      <w:r>
        <w:rPr>
          <w:rFonts w:hint="eastAsia" w:ascii="仿宋" w:hAnsi="仿宋" w:eastAsia="仿宋" w:cs="宋体"/>
          <w:color w:val="000000"/>
          <w:sz w:val="24"/>
          <w:lang w:val="zh-CN"/>
        </w:rPr>
        <w:t>支付方式：财政支付，银行转账。</w:t>
      </w:r>
    </w:p>
    <w:p w14:paraId="73035F28">
      <w:pPr>
        <w:widowControl/>
        <w:shd w:val="clear" w:color="auto" w:fill="FFFFFF"/>
        <w:spacing w:line="360" w:lineRule="auto"/>
        <w:ind w:firstLine="480" w:firstLineChars="200"/>
        <w:jc w:val="left"/>
        <w:rPr>
          <w:rFonts w:hint="default" w:ascii="仿宋" w:hAnsi="仿宋" w:eastAsia="仿宋" w:cs="宋体"/>
          <w:color w:val="000000"/>
          <w:sz w:val="24"/>
          <w:lang w:val="en-US" w:eastAsia="zh-CN"/>
        </w:rPr>
      </w:pPr>
      <w:r>
        <w:rPr>
          <w:rFonts w:hint="eastAsia" w:ascii="仿宋" w:hAnsi="仿宋" w:eastAsia="仿宋" w:cs="宋体"/>
          <w:color w:val="000000"/>
          <w:sz w:val="24"/>
          <w:lang w:val="en-US" w:eastAsia="zh-CN"/>
        </w:rPr>
        <w:t>2.</w:t>
      </w:r>
      <w:r>
        <w:rPr>
          <w:rFonts w:hint="eastAsia" w:ascii="仿宋" w:hAnsi="仿宋" w:eastAsia="仿宋" w:cs="宋体"/>
          <w:color w:val="000000"/>
          <w:sz w:val="24"/>
          <w:lang w:val="zh-CN"/>
        </w:rPr>
        <w:t>支付时间及条件：</w:t>
      </w:r>
      <w:r>
        <w:rPr>
          <w:rFonts w:hint="eastAsia" w:ascii="仿宋" w:hAnsi="仿宋" w:eastAsia="仿宋" w:cs="宋体"/>
          <w:color w:val="000000"/>
          <w:sz w:val="24"/>
          <w:lang w:val="en-US" w:eastAsia="zh-CN"/>
        </w:rPr>
        <w:t>支付时间以财政拨付节点为准。</w:t>
      </w:r>
    </w:p>
    <w:p w14:paraId="190A2B2A">
      <w:pPr>
        <w:widowControl/>
        <w:shd w:val="clear" w:color="auto" w:fill="FFFFFF"/>
        <w:spacing w:line="360" w:lineRule="auto"/>
        <w:ind w:firstLine="480" w:firstLineChars="200"/>
        <w:jc w:val="left"/>
        <w:rPr>
          <w:rFonts w:hint="eastAsia" w:ascii="仿宋" w:hAnsi="仿宋" w:eastAsia="仿宋" w:cs="宋体"/>
          <w:color w:val="000000"/>
          <w:sz w:val="24"/>
          <w:lang w:val="zh-CN"/>
        </w:rPr>
      </w:pPr>
    </w:p>
    <w:p w14:paraId="487E21CD">
      <w:pPr>
        <w:pStyle w:val="3"/>
      </w:pPr>
    </w:p>
    <w:p w14:paraId="1264F1A0">
      <w:pPr>
        <w:widowControl/>
        <w:jc w:val="center"/>
        <w:rPr>
          <w:rFonts w:hint="eastAsia" w:cs="宋体" w:asciiTheme="majorEastAsia" w:hAnsiTheme="majorEastAsia" w:eastAsiaTheme="majorEastAsia"/>
          <w:b/>
          <w:kern w:val="0"/>
          <w:sz w:val="32"/>
          <w:szCs w:val="32"/>
        </w:rPr>
      </w:pPr>
    </w:p>
    <w:p w14:paraId="7108842F">
      <w:pPr>
        <w:widowControl/>
        <w:jc w:val="center"/>
        <w:rPr>
          <w:rFonts w:hint="eastAsia" w:cs="宋体" w:asciiTheme="majorEastAsia" w:hAnsiTheme="majorEastAsia" w:eastAsiaTheme="majorEastAsia"/>
          <w:b/>
          <w:kern w:val="0"/>
          <w:sz w:val="32"/>
          <w:szCs w:val="32"/>
        </w:rPr>
      </w:pPr>
    </w:p>
    <w:p w14:paraId="2F37B1A3">
      <w:pPr>
        <w:widowControl/>
        <w:jc w:val="center"/>
        <w:rPr>
          <w:rFonts w:hint="eastAsia" w:cs="宋体" w:asciiTheme="majorEastAsia" w:hAnsiTheme="majorEastAsia" w:eastAsiaTheme="majorEastAsia"/>
          <w:b/>
          <w:kern w:val="0"/>
          <w:sz w:val="32"/>
          <w:szCs w:val="32"/>
        </w:rPr>
      </w:pPr>
    </w:p>
    <w:p w14:paraId="46B315BC">
      <w:pPr>
        <w:widowControl/>
        <w:jc w:val="center"/>
        <w:rPr>
          <w:rFonts w:hint="eastAsia" w:cs="宋体" w:asciiTheme="majorEastAsia" w:hAnsiTheme="majorEastAsia" w:eastAsiaTheme="majorEastAsia"/>
          <w:b/>
          <w:kern w:val="0"/>
          <w:sz w:val="32"/>
          <w:szCs w:val="32"/>
        </w:rPr>
      </w:pPr>
    </w:p>
    <w:p w14:paraId="3036176B">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投标人须知前附表</w:t>
      </w:r>
    </w:p>
    <w:p w14:paraId="0BEB131B">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招标文件中凡标有</w:t>
      </w:r>
      <w:r>
        <w:rPr>
          <w:rFonts w:hint="eastAsia" w:cs="微软雅黑" w:asciiTheme="minorEastAsia" w:hAnsiTheme="minorEastAsia"/>
          <w:b/>
          <w:szCs w:val="21"/>
        </w:rPr>
        <w:t>★</w:t>
      </w:r>
      <w:r>
        <w:rPr>
          <w:rFonts w:hint="eastAsia" w:cs="微软雅黑"/>
          <w:b/>
          <w:szCs w:val="21"/>
        </w:rPr>
        <w:t>条款均为实质性要求条款，投标文件须完全响应，未实质响应的，按照无效投标处理。</w:t>
      </w:r>
    </w:p>
    <w:tbl>
      <w:tblPr>
        <w:tblStyle w:val="26"/>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372"/>
        <w:gridCol w:w="6709"/>
      </w:tblGrid>
      <w:tr w14:paraId="4C2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06" w:type="dxa"/>
            <w:vAlign w:val="center"/>
          </w:tcPr>
          <w:p w14:paraId="1902F884">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372" w:type="dxa"/>
            <w:vAlign w:val="center"/>
          </w:tcPr>
          <w:p w14:paraId="4A1F2F7C">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709" w:type="dxa"/>
            <w:vAlign w:val="center"/>
          </w:tcPr>
          <w:p w14:paraId="311F1261">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6EFC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2E8324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372" w:type="dxa"/>
            <w:vAlign w:val="center"/>
          </w:tcPr>
          <w:p w14:paraId="1CBE4F58">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709" w:type="dxa"/>
          </w:tcPr>
          <w:p w14:paraId="055D0DBF">
            <w:pPr>
              <w:widowControl/>
              <w:shd w:val="clear" w:color="auto" w:fill="FFFFFF"/>
              <w:spacing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cs="仿宋_GB2312" w:asciiTheme="minorEastAsia" w:hAnsiTheme="minorEastAsia" w:eastAsiaTheme="minorEastAsia"/>
                <w:kern w:val="2"/>
                <w:sz w:val="21"/>
                <w:szCs w:val="21"/>
                <w:lang w:val="en-US" w:eastAsia="zh-CN" w:bidi="ar-SA"/>
              </w:rPr>
              <w:t>项目名称：</w:t>
            </w:r>
            <w:r>
              <w:rPr>
                <w:rFonts w:hint="eastAsia" w:asciiTheme="minorEastAsia" w:hAnsiTheme="minorEastAsia" w:eastAsiaTheme="minorEastAsia" w:cstheme="minorEastAsia"/>
                <w:kern w:val="2"/>
                <w:sz w:val="21"/>
                <w:szCs w:val="21"/>
                <w:lang w:val="en-US" w:eastAsia="zh-CN" w:bidi="ar-SA"/>
              </w:rPr>
              <w:t>禹州市机关事务中心党政综合办公楼电梯采购及安装项目</w:t>
            </w:r>
          </w:p>
          <w:p w14:paraId="2347BDB4">
            <w:pPr>
              <w:keepNext w:val="0"/>
              <w:keepLines w:val="0"/>
              <w:pageBreakBefore w:val="0"/>
              <w:kinsoku/>
              <w:wordWrap/>
              <w:overflowPunct/>
              <w:topLinePunct w:val="0"/>
              <w:autoSpaceDE w:val="0"/>
              <w:autoSpaceDN w:val="0"/>
              <w:bidi w:val="0"/>
              <w:adjustRightInd w:val="0"/>
              <w:snapToGrid/>
              <w:spacing w:line="440" w:lineRule="exact"/>
              <w:jc w:val="left"/>
              <w:textAlignment w:val="auto"/>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采购编号：YZCG-G202</w:t>
            </w:r>
            <w:r>
              <w:rPr>
                <w:rFonts w:hint="eastAsia" w:cs="仿宋_GB2312" w:asciiTheme="minorEastAsia" w:hAnsiTheme="minorEastAsia"/>
                <w:szCs w:val="21"/>
                <w:lang w:val="en-US" w:eastAsia="zh-CN"/>
              </w:rPr>
              <w:t>6009</w:t>
            </w:r>
          </w:p>
          <w:p w14:paraId="683C63B3">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cs="仿宋_GB2312" w:asciiTheme="minorEastAsia" w:hAnsiTheme="minorEastAsia"/>
                <w:szCs w:val="21"/>
              </w:rPr>
              <w:t>交付（服务、完工）时间：</w:t>
            </w:r>
            <w:r>
              <w:rPr>
                <w:rFonts w:hint="eastAsia" w:asciiTheme="minorEastAsia" w:hAnsiTheme="minorEastAsia" w:eastAsiaTheme="minorEastAsia" w:cstheme="minorEastAsia"/>
                <w:kern w:val="2"/>
                <w:sz w:val="21"/>
                <w:szCs w:val="21"/>
                <w:lang w:val="en-US" w:eastAsia="zh-CN" w:bidi="ar-SA"/>
              </w:rPr>
              <w:t xml:space="preserve">合同签订后100日历天 </w:t>
            </w:r>
          </w:p>
          <w:p w14:paraId="39177BD8">
            <w:pPr>
              <w:keepNext w:val="0"/>
              <w:keepLines w:val="0"/>
              <w:pageBreakBefore w:val="0"/>
              <w:widowControl/>
              <w:shd w:val="clear" w:color="auto" w:fill="FFFFFF"/>
              <w:kinsoku/>
              <w:wordWrap/>
              <w:overflowPunct/>
              <w:topLinePunct w:val="0"/>
              <w:bidi w:val="0"/>
              <w:snapToGrid/>
              <w:spacing w:line="440" w:lineRule="exact"/>
              <w:jc w:val="left"/>
              <w:textAlignment w:val="auto"/>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交付地点：</w:t>
            </w:r>
            <w:r>
              <w:rPr>
                <w:rFonts w:hint="eastAsia" w:asciiTheme="minorEastAsia" w:hAnsiTheme="minorEastAsia" w:cstheme="minorEastAsia"/>
                <w:kern w:val="2"/>
                <w:sz w:val="21"/>
                <w:szCs w:val="21"/>
                <w:lang w:val="en-US" w:eastAsia="zh-CN" w:bidi="ar-SA"/>
              </w:rPr>
              <w:t>禹州市</w:t>
            </w:r>
          </w:p>
        </w:tc>
      </w:tr>
      <w:tr w14:paraId="6BF8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806" w:type="dxa"/>
            <w:vAlign w:val="center"/>
          </w:tcPr>
          <w:p w14:paraId="6C2AB9C3">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372" w:type="dxa"/>
            <w:vAlign w:val="center"/>
          </w:tcPr>
          <w:p w14:paraId="1134B1C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709" w:type="dxa"/>
            <w:vAlign w:val="center"/>
          </w:tcPr>
          <w:p w14:paraId="0A96D82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采购人名称：禹州市机关事务中心</w:t>
            </w:r>
          </w:p>
          <w:p w14:paraId="062A236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w:t>
            </w:r>
          </w:p>
          <w:p w14:paraId="4C669945">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 xml:space="preserve">王先生  </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0374-8278268</w:t>
            </w:r>
          </w:p>
        </w:tc>
      </w:tr>
      <w:tr w14:paraId="09C6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806" w:type="dxa"/>
            <w:vAlign w:val="center"/>
          </w:tcPr>
          <w:p w14:paraId="3F3B08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372" w:type="dxa"/>
            <w:vAlign w:val="center"/>
          </w:tcPr>
          <w:p w14:paraId="1D8A8BF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6709" w:type="dxa"/>
            <w:vAlign w:val="center"/>
          </w:tcPr>
          <w:p w14:paraId="08CCB98B">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2E4111F4">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w:t>
            </w:r>
            <w:r>
              <w:rPr>
                <w:rFonts w:hint="eastAsia" w:asciiTheme="minorEastAsia" w:hAnsiTheme="minorEastAsia" w:eastAsiaTheme="minorEastAsia" w:cstheme="minorEastAsia"/>
                <w:kern w:val="2"/>
                <w:sz w:val="21"/>
                <w:szCs w:val="21"/>
                <w:lang w:val="en-US" w:eastAsia="zh-CN" w:bidi="ar-SA"/>
              </w:rPr>
              <w:t>禹州市行政服务中心8楼820室</w:t>
            </w:r>
          </w:p>
          <w:p w14:paraId="4CAFE85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朱先生</w:t>
            </w:r>
            <w:r>
              <w:rPr>
                <w:rFonts w:hint="eastAsia" w:cs="仿宋_GB2312" w:asciiTheme="minorEastAsia" w:hAnsiTheme="minorEastAsia"/>
                <w:szCs w:val="21"/>
              </w:rPr>
              <w:t xml:space="preserve">               电话：0374-2077111</w:t>
            </w:r>
          </w:p>
        </w:tc>
      </w:tr>
      <w:tr w14:paraId="528B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8" w:hRule="atLeast"/>
          <w:jc w:val="center"/>
        </w:trPr>
        <w:tc>
          <w:tcPr>
            <w:tcW w:w="806" w:type="dxa"/>
            <w:vAlign w:val="center"/>
          </w:tcPr>
          <w:p w14:paraId="042236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2372" w:type="dxa"/>
            <w:vAlign w:val="center"/>
          </w:tcPr>
          <w:p w14:paraId="4BCB4B8E">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投标人资格</w:t>
            </w:r>
          </w:p>
        </w:tc>
        <w:tc>
          <w:tcPr>
            <w:tcW w:w="6709" w:type="dxa"/>
            <w:vAlign w:val="center"/>
          </w:tcPr>
          <w:p w14:paraId="122BFEF7">
            <w:pPr>
              <w:autoSpaceDE w:val="0"/>
              <w:autoSpaceDN w:val="0"/>
              <w:adjustRightInd w:val="0"/>
              <w:spacing w:line="360" w:lineRule="auto"/>
              <w:jc w:val="left"/>
              <w:rPr>
                <w:rFonts w:cs="仿宋_GB2312" w:asciiTheme="minorEastAsia" w:hAnsiTheme="minorEastAsia"/>
                <w:b/>
                <w:color w:val="FF0000"/>
                <w:szCs w:val="21"/>
                <w:shd w:val="clear" w:color="auto" w:fill="FFFFFF"/>
              </w:rPr>
            </w:pPr>
            <w:r>
              <w:rPr>
                <w:rFonts w:hint="eastAsia" w:cs="仿宋_GB2312" w:asciiTheme="minorEastAsia" w:hAnsiTheme="minorEastAsia"/>
                <w:b/>
                <w:color w:val="FF0000"/>
                <w:szCs w:val="21"/>
                <w:shd w:val="clear" w:color="auto" w:fill="FFFFFF"/>
              </w:rPr>
              <w:t>符合《</w:t>
            </w:r>
            <w:r>
              <w:rPr>
                <w:rFonts w:hint="eastAsia" w:cs="仿宋_GB2312" w:asciiTheme="minorEastAsia" w:hAnsiTheme="minorEastAsia"/>
                <w:b/>
                <w:color w:val="FF0000"/>
                <w:szCs w:val="21"/>
                <w:shd w:val="clear" w:color="auto" w:fill="FFFFFF"/>
                <w:lang w:val="en-US" w:eastAsia="zh-CN"/>
              </w:rPr>
              <w:t>中华人民共和国</w:t>
            </w:r>
            <w:r>
              <w:rPr>
                <w:rFonts w:hint="eastAsia" w:cs="仿宋_GB2312" w:asciiTheme="minorEastAsia" w:hAnsiTheme="minorEastAsia"/>
                <w:b/>
                <w:color w:val="FF0000"/>
                <w:szCs w:val="21"/>
                <w:shd w:val="clear" w:color="auto" w:fill="FFFFFF"/>
              </w:rPr>
              <w:t>政府采购法》第二十二条规定</w:t>
            </w:r>
          </w:p>
          <w:p w14:paraId="4BF43B97">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1.</w:t>
            </w:r>
            <w:r>
              <w:rPr>
                <w:rFonts w:hint="eastAsia" w:cs="宋体" w:asciiTheme="minorEastAsia" w:hAnsiTheme="minorEastAsia"/>
                <w:color w:val="FF0000"/>
                <w:szCs w:val="21"/>
              </w:rPr>
              <w:t>具有独立承担民事责任的能力；</w:t>
            </w:r>
          </w:p>
          <w:p w14:paraId="02864CFD">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2.</w:t>
            </w:r>
            <w:r>
              <w:rPr>
                <w:rFonts w:hint="eastAsia" w:cs="宋体" w:asciiTheme="minorEastAsia" w:hAnsiTheme="minorEastAsia"/>
                <w:color w:val="FF0000"/>
                <w:szCs w:val="21"/>
              </w:rPr>
              <w:t>具有良好的商业信誉和健全的财务会计制度；</w:t>
            </w:r>
          </w:p>
          <w:p w14:paraId="13AF92CB">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3.</w:t>
            </w:r>
            <w:r>
              <w:rPr>
                <w:rFonts w:hint="eastAsia" w:cs="宋体" w:asciiTheme="minorEastAsia" w:hAnsiTheme="minorEastAsia"/>
                <w:color w:val="FF0000"/>
                <w:szCs w:val="21"/>
              </w:rPr>
              <w:t>具有履行合同所必需的设备和专业技术能力；</w:t>
            </w:r>
          </w:p>
          <w:p w14:paraId="4DE63267">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4.</w:t>
            </w:r>
            <w:r>
              <w:rPr>
                <w:rFonts w:hint="eastAsia" w:cs="宋体" w:asciiTheme="minorEastAsia" w:hAnsiTheme="minorEastAsia"/>
                <w:color w:val="FF0000"/>
                <w:szCs w:val="21"/>
              </w:rPr>
              <w:t>具有依法缴纳税收和社会保障资金的良好记录；</w:t>
            </w:r>
          </w:p>
          <w:p w14:paraId="07D556AA">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5.</w:t>
            </w:r>
            <w:r>
              <w:rPr>
                <w:rFonts w:hint="eastAsia" w:cs="宋体" w:asciiTheme="minorEastAsia" w:hAnsiTheme="minorEastAsia"/>
                <w:color w:val="FF0000"/>
                <w:szCs w:val="21"/>
              </w:rPr>
              <w:t>参加政府采购活动前三年内，在经营活动中没有重大违法记录；</w:t>
            </w:r>
          </w:p>
          <w:p w14:paraId="088BC739">
            <w:pPr>
              <w:autoSpaceDE w:val="0"/>
              <w:autoSpaceDN w:val="0"/>
              <w:adjustRightInd w:val="0"/>
              <w:spacing w:line="276" w:lineRule="auto"/>
              <w:rPr>
                <w:rFonts w:cs="仿宋_GB2312" w:asciiTheme="minorEastAsia" w:hAnsiTheme="minorEastAsia"/>
                <w:b/>
                <w:color w:val="FF0000"/>
                <w:spacing w:val="-11"/>
                <w:szCs w:val="21"/>
              </w:rPr>
            </w:pPr>
            <w:r>
              <w:rPr>
                <w:rFonts w:hint="eastAsia" w:cs="仿宋_GB2312" w:asciiTheme="minorEastAsia" w:hAnsiTheme="minorEastAsia"/>
                <w:b/>
                <w:color w:val="FF0000"/>
                <w:spacing w:val="-11"/>
                <w:szCs w:val="21"/>
              </w:rPr>
              <w:t>注：</w:t>
            </w:r>
          </w:p>
          <w:p w14:paraId="0E747470">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lang w:eastAsia="zh-CN"/>
              </w:rPr>
              <w:t>1.</w:t>
            </w:r>
            <w:r>
              <w:rPr>
                <w:rFonts w:hint="eastAsia" w:cs="宋体" w:asciiTheme="minorEastAsia" w:hAnsiTheme="minorEastAsia"/>
                <w:color w:val="FF0000"/>
                <w:szCs w:val="21"/>
              </w:rPr>
              <w:t>供应商在投标时，提供《禹州市政府采购供应商信用承诺函》（详见招标文件第八章3.5格式），无需再提交上述证明材料。</w:t>
            </w:r>
          </w:p>
          <w:p w14:paraId="13824B8D">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lang w:eastAsia="zh-CN"/>
              </w:rPr>
              <w:t>2.</w:t>
            </w:r>
            <w:r>
              <w:rPr>
                <w:rFonts w:hint="eastAsia" w:cs="宋体" w:asciiTheme="minorEastAsia" w:hAnsiTheme="minorEastAsia"/>
                <w:color w:val="FF0000"/>
                <w:szCs w:val="21"/>
              </w:rPr>
              <w:t>采购人有权在签订合同前要求中标供应商提供相关证明材料以核实中标供应商承诺事项的真实性。</w:t>
            </w:r>
          </w:p>
          <w:p w14:paraId="0D8B7921">
            <w:pPr>
              <w:adjustRightInd w:val="0"/>
              <w:spacing w:line="360" w:lineRule="auto"/>
              <w:jc w:val="left"/>
              <w:rPr>
                <w:rFonts w:cs="仿宋_GB2312" w:asciiTheme="minorEastAsia" w:hAnsiTheme="minorEastAsia"/>
                <w:color w:val="FF0000"/>
                <w:szCs w:val="21"/>
              </w:rPr>
            </w:pPr>
            <w:r>
              <w:rPr>
                <w:rFonts w:hint="eastAsia" w:cs="宋体" w:asciiTheme="minorEastAsia" w:hAnsiTheme="minorEastAsia"/>
                <w:color w:val="FF0000"/>
                <w:szCs w:val="21"/>
                <w:lang w:eastAsia="zh-CN"/>
              </w:rPr>
              <w:t>3.</w:t>
            </w:r>
            <w:r>
              <w:rPr>
                <w:rFonts w:hint="eastAsia" w:cs="宋体" w:asciiTheme="minorEastAsia" w:hAnsiTheme="minorEastAsia"/>
                <w:color w:val="FF0000"/>
                <w:szCs w:val="21"/>
              </w:rPr>
              <w:t>供应商对信用承诺内容的真实性、合法性、有效性负责。如作出虚假信用承诺，视同为“提供虚假材料谋取中标”的违法行为。</w:t>
            </w:r>
          </w:p>
        </w:tc>
      </w:tr>
      <w:tr w14:paraId="7E8F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5FCBD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372" w:type="dxa"/>
            <w:vAlign w:val="center"/>
          </w:tcPr>
          <w:p w14:paraId="05B53A0A">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联合体投标</w:t>
            </w:r>
          </w:p>
        </w:tc>
        <w:tc>
          <w:tcPr>
            <w:tcW w:w="6709" w:type="dxa"/>
            <w:vAlign w:val="center"/>
          </w:tcPr>
          <w:p w14:paraId="35A189B1">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 w:val="13"/>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联合体投标</w:t>
            </w:r>
          </w:p>
        </w:tc>
      </w:tr>
      <w:tr w14:paraId="7A4A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D3495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372" w:type="dxa"/>
            <w:vAlign w:val="center"/>
          </w:tcPr>
          <w:p w14:paraId="05AFAA2D">
            <w:pPr>
              <w:autoSpaceDE w:val="0"/>
              <w:autoSpaceDN w:val="0"/>
              <w:adjustRightInd w:val="0"/>
              <w:spacing w:line="276" w:lineRule="auto"/>
              <w:jc w:val="center"/>
              <w:rPr>
                <w:rFonts w:hint="eastAsia" w:cs="宋体" w:asciiTheme="minorEastAsia" w:hAnsiTheme="minorEastAsia"/>
                <w:bCs/>
                <w:szCs w:val="21"/>
                <w:lang w:val="zh-CN"/>
              </w:rPr>
            </w:pPr>
            <w:r>
              <w:rPr>
                <w:rFonts w:hint="eastAsia" w:cs="宋体" w:asciiTheme="minorEastAsia" w:hAnsiTheme="minorEastAsia"/>
                <w:bCs/>
                <w:szCs w:val="21"/>
                <w:lang w:val="zh-CN"/>
              </w:rPr>
              <w:t>★最高限价</w:t>
            </w:r>
          </w:p>
        </w:tc>
        <w:tc>
          <w:tcPr>
            <w:tcW w:w="6709" w:type="dxa"/>
            <w:vAlign w:val="center"/>
          </w:tcPr>
          <w:p w14:paraId="30503812">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bCs/>
                <w:szCs w:val="21"/>
                <w:lang w:val="en-US" w:eastAsia="zh-CN"/>
              </w:rPr>
              <w:t xml:space="preserve"> </w:t>
            </w:r>
            <w:r>
              <w:rPr>
                <w:rFonts w:hint="eastAsia" w:asciiTheme="minorEastAsia" w:hAnsiTheme="minorEastAsia" w:cstheme="minorEastAsia"/>
                <w:kern w:val="2"/>
                <w:sz w:val="21"/>
                <w:szCs w:val="21"/>
                <w:lang w:val="en-US" w:eastAsia="zh-CN" w:bidi="ar-SA"/>
              </w:rPr>
              <w:t>3200</w:t>
            </w:r>
            <w:r>
              <w:rPr>
                <w:rFonts w:hint="eastAsia" w:asciiTheme="minorEastAsia" w:hAnsiTheme="minorEastAsia" w:eastAsiaTheme="minorEastAsia" w:cstheme="minorEastAsia"/>
                <w:kern w:val="2"/>
                <w:sz w:val="21"/>
                <w:szCs w:val="21"/>
                <w:lang w:val="en-US" w:eastAsia="zh-CN" w:bidi="ar-SA"/>
              </w:rPr>
              <w:t>000.00</w:t>
            </w:r>
            <w:r>
              <w:rPr>
                <w:rFonts w:hint="eastAsia" w:asciiTheme="minorEastAsia" w:hAnsiTheme="minorEastAsia" w:cstheme="minorEastAsia"/>
                <w:kern w:val="2"/>
                <w:sz w:val="21"/>
                <w:szCs w:val="21"/>
                <w:lang w:val="en-US" w:eastAsia="zh-CN" w:bidi="ar-SA"/>
              </w:rPr>
              <w:t>元</w:t>
            </w:r>
            <w:r>
              <w:rPr>
                <w:rFonts w:hint="eastAsia" w:cs="宋体" w:asciiTheme="minorEastAsia" w:hAnsiTheme="minorEastAsia"/>
                <w:bCs/>
                <w:szCs w:val="21"/>
                <w:lang w:val="zh-CN"/>
              </w:rPr>
              <w:t>，超出最高限价的投标无效。</w:t>
            </w:r>
          </w:p>
        </w:tc>
      </w:tr>
      <w:tr w14:paraId="7BA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87B1BF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372" w:type="dxa"/>
            <w:vAlign w:val="center"/>
          </w:tcPr>
          <w:p w14:paraId="352166A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709" w:type="dxa"/>
            <w:vAlign w:val="center"/>
          </w:tcPr>
          <w:p w14:paraId="5DBE1D24">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EA1BBB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612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CC7FB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372" w:type="dxa"/>
            <w:vAlign w:val="center"/>
          </w:tcPr>
          <w:p w14:paraId="6CACAB89">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开标前答疑会</w:t>
            </w:r>
          </w:p>
        </w:tc>
        <w:tc>
          <w:tcPr>
            <w:tcW w:w="6709" w:type="dxa"/>
            <w:vAlign w:val="center"/>
          </w:tcPr>
          <w:p w14:paraId="45A7064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198B5BA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083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751F1B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372" w:type="dxa"/>
            <w:vAlign w:val="center"/>
          </w:tcPr>
          <w:p w14:paraId="142C332B">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709" w:type="dxa"/>
            <w:vAlign w:val="center"/>
          </w:tcPr>
          <w:p w14:paraId="0CD87F09">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4D28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6C50C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372" w:type="dxa"/>
            <w:vAlign w:val="center"/>
          </w:tcPr>
          <w:p w14:paraId="6C732B1A">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投标有效期</w:t>
            </w:r>
          </w:p>
        </w:tc>
        <w:tc>
          <w:tcPr>
            <w:tcW w:w="6709" w:type="dxa"/>
            <w:vAlign w:val="center"/>
          </w:tcPr>
          <w:p w14:paraId="127ECC0B">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提交投标文件的截止之日起算</w:t>
            </w:r>
            <w:r>
              <w:rPr>
                <w:rFonts w:hint="eastAsia" w:cs="仿宋_GB2312" w:asciiTheme="minorEastAsia" w:hAnsiTheme="minorEastAsia"/>
                <w:szCs w:val="21"/>
              </w:rPr>
              <w:t>）</w:t>
            </w:r>
          </w:p>
          <w:p w14:paraId="0F082180">
            <w:pPr>
              <w:autoSpaceDE w:val="0"/>
              <w:autoSpaceDN w:val="0"/>
              <w:adjustRightInd w:val="0"/>
              <w:spacing w:line="360" w:lineRule="auto"/>
              <w:rPr>
                <w:rFonts w:cs="仿宋_GB2312" w:asciiTheme="minorEastAsia" w:hAnsiTheme="minorEastAsia"/>
                <w:szCs w:val="21"/>
              </w:rPr>
            </w:pPr>
            <w:r>
              <w:rPr>
                <w:rFonts w:cs="仿宋_GB2312" w:asciiTheme="minorEastAsia" w:hAnsiTheme="minorEastAsia"/>
                <w:szCs w:val="21"/>
                <w:lang w:val="zh-CN"/>
              </w:rPr>
              <w:t>中标</w:t>
            </w:r>
            <w:r>
              <w:rPr>
                <w:rFonts w:hint="eastAsia" w:cs="仿宋_GB2312" w:asciiTheme="minorEastAsia" w:hAnsiTheme="minorEastAsia"/>
                <w:szCs w:val="21"/>
                <w:lang w:val="zh-CN"/>
              </w:rPr>
              <w:t>人投标</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中标人全部合同义务履行完毕为止。</w:t>
            </w:r>
          </w:p>
        </w:tc>
      </w:tr>
      <w:tr w14:paraId="082F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B00E5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372" w:type="dxa"/>
            <w:vAlign w:val="center"/>
          </w:tcPr>
          <w:p w14:paraId="53E56494">
            <w:pPr>
              <w:autoSpaceDE w:val="0"/>
              <w:autoSpaceDN w:val="0"/>
              <w:adjustRightInd w:val="0"/>
              <w:spacing w:line="360" w:lineRule="auto"/>
              <w:rPr>
                <w:rFonts w:cs="仿宋_GB2312" w:asciiTheme="minorEastAsia" w:hAnsiTheme="minorEastAsia"/>
                <w:szCs w:val="21"/>
              </w:rPr>
            </w:pPr>
            <w:r>
              <w:rPr>
                <w:rFonts w:cs="宋体" w:asciiTheme="minorEastAsia" w:hAnsiTheme="minorEastAsia"/>
                <w:bCs/>
                <w:szCs w:val="21"/>
                <w:lang w:val="zh-CN"/>
              </w:rPr>
              <w:t>中标人将本项目非主体、非关键性工作分包</w:t>
            </w:r>
          </w:p>
        </w:tc>
        <w:tc>
          <w:tcPr>
            <w:tcW w:w="6709" w:type="dxa"/>
            <w:vAlign w:val="center"/>
          </w:tcPr>
          <w:p w14:paraId="5C093D12">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7CAB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7FF848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372" w:type="dxa"/>
            <w:vAlign w:val="center"/>
          </w:tcPr>
          <w:p w14:paraId="127360F0">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投标截止及开标时间</w:t>
            </w:r>
          </w:p>
        </w:tc>
        <w:tc>
          <w:tcPr>
            <w:tcW w:w="6709" w:type="dxa"/>
            <w:vAlign w:val="center"/>
          </w:tcPr>
          <w:p w14:paraId="3D12C76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202</w:t>
            </w:r>
            <w:r>
              <w:rPr>
                <w:rFonts w:hint="eastAsia" w:cs="宋体" w:asciiTheme="minorEastAsia" w:hAnsiTheme="minorEastAsia"/>
                <w:bCs/>
                <w:szCs w:val="21"/>
                <w:lang w:val="en-US" w:eastAsia="zh-CN"/>
              </w:rPr>
              <w:t>6</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9</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14</w:t>
            </w:r>
            <w:bookmarkStart w:id="10" w:name="_GoBack"/>
            <w:bookmarkEnd w:id="10"/>
            <w:r>
              <w:rPr>
                <w:rFonts w:hint="eastAsia" w:cs="宋体" w:asciiTheme="minorEastAsia" w:hAnsiTheme="minorEastAsia"/>
                <w:bCs/>
                <w:szCs w:val="21"/>
                <w:lang w:val="zh-CN"/>
              </w:rPr>
              <w:t xml:space="preserve">日8:30（北京时间） </w:t>
            </w:r>
          </w:p>
        </w:tc>
      </w:tr>
      <w:tr w14:paraId="144C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472425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372" w:type="dxa"/>
            <w:vAlign w:val="center"/>
          </w:tcPr>
          <w:p w14:paraId="1F653E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开标地点</w:t>
            </w:r>
          </w:p>
        </w:tc>
        <w:tc>
          <w:tcPr>
            <w:tcW w:w="6709" w:type="dxa"/>
            <w:vAlign w:val="center"/>
          </w:tcPr>
          <w:p w14:paraId="2F9100D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开标地点：禹州市公共资源交易中心开标二室（</w:t>
            </w:r>
            <w:r>
              <w:rPr>
                <w:rFonts w:hint="eastAsia" w:cs="Arial" w:asciiTheme="minorEastAsia" w:hAnsiTheme="minorEastAsia"/>
                <w:b/>
                <w:szCs w:val="21"/>
              </w:rPr>
              <w:t>本项目采用远程不见面开标，投标人无须到交易中心现场</w:t>
            </w:r>
            <w:r>
              <w:rPr>
                <w:rFonts w:hint="eastAsia" w:cs="Arial" w:asciiTheme="minorEastAsia" w:hAnsiTheme="minorEastAsia"/>
                <w:szCs w:val="21"/>
              </w:rPr>
              <w:t>）</w:t>
            </w:r>
            <w:r>
              <w:rPr>
                <w:rFonts w:hint="eastAsia" w:cs="仿宋_GB2312" w:asciiTheme="minorEastAsia" w:hAnsiTheme="minorEastAsia"/>
                <w:szCs w:val="21"/>
              </w:rPr>
              <w:t>。</w:t>
            </w:r>
          </w:p>
        </w:tc>
      </w:tr>
      <w:tr w14:paraId="1C87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95BDBB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372" w:type="dxa"/>
            <w:vAlign w:val="center"/>
          </w:tcPr>
          <w:p w14:paraId="6927DAE4">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投标保证金</w:t>
            </w:r>
          </w:p>
        </w:tc>
        <w:tc>
          <w:tcPr>
            <w:tcW w:w="6709" w:type="dxa"/>
            <w:vAlign w:val="center"/>
          </w:tcPr>
          <w:p w14:paraId="794CB4AB">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41516204">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投标人应提供投标承诺函。</w:t>
            </w:r>
          </w:p>
        </w:tc>
      </w:tr>
      <w:tr w14:paraId="7390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428D403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372" w:type="dxa"/>
            <w:vAlign w:val="center"/>
          </w:tcPr>
          <w:p w14:paraId="0C381FAA">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709" w:type="dxa"/>
            <w:tcBorders>
              <w:top w:val="single" w:color="auto" w:sz="4" w:space="0"/>
            </w:tcBorders>
            <w:vAlign w:val="center"/>
          </w:tcPr>
          <w:p w14:paraId="4487B6F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招标公告、中标公告、变更（更正）公告、现场勘察答复等相关信息同时在以下网站发布：《中国政府采购网</w:t>
            </w:r>
            <w:r>
              <w:rPr>
                <w:rFonts w:hint="eastAsia" w:cs="宋体" w:asciiTheme="minorEastAsia" w:hAnsiTheme="minorEastAsia"/>
                <w:szCs w:val="21"/>
                <w:lang w:eastAsia="zh-CN"/>
              </w:rPr>
              <w:t>》《</w:t>
            </w:r>
            <w:r>
              <w:rPr>
                <w:rFonts w:hint="eastAsia" w:cs="宋体" w:asciiTheme="minorEastAsia" w:hAnsiTheme="minorEastAsia"/>
                <w:szCs w:val="21"/>
              </w:rPr>
              <w:t>河南省政府采购网</w:t>
            </w:r>
            <w:r>
              <w:rPr>
                <w:rFonts w:hint="eastAsia" w:cs="宋体" w:asciiTheme="minorEastAsia" w:hAnsiTheme="minorEastAsia"/>
                <w:szCs w:val="21"/>
                <w:lang w:eastAsia="zh-CN"/>
              </w:rPr>
              <w:t>》《</w:t>
            </w:r>
            <w:r>
              <w:rPr>
                <w:rFonts w:hint="eastAsia" w:cs="宋体" w:asciiTheme="minorEastAsia" w:hAnsiTheme="minorEastAsia"/>
                <w:szCs w:val="21"/>
              </w:rPr>
              <w:t>许昌市政府采购网</w:t>
            </w:r>
            <w:r>
              <w:rPr>
                <w:rFonts w:hint="eastAsia" w:cs="宋体" w:asciiTheme="minorEastAsia" w:hAnsiTheme="minorEastAsia"/>
                <w:szCs w:val="21"/>
                <w:lang w:eastAsia="zh-CN"/>
              </w:rPr>
              <w:t>》《</w:t>
            </w:r>
            <w:r>
              <w:rPr>
                <w:rFonts w:hint="eastAsia" w:cs="宋体" w:asciiTheme="minorEastAsia" w:hAnsiTheme="minorEastAsia"/>
                <w:szCs w:val="21"/>
              </w:rPr>
              <w:t>全国公共资源交易平台（河南省·许昌市）》</w:t>
            </w:r>
          </w:p>
        </w:tc>
      </w:tr>
      <w:tr w14:paraId="75F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41868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372" w:type="dxa"/>
            <w:vAlign w:val="center"/>
          </w:tcPr>
          <w:p w14:paraId="67FCACDE">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50F13D4F">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招标文件时间</w:t>
            </w:r>
          </w:p>
        </w:tc>
        <w:tc>
          <w:tcPr>
            <w:tcW w:w="6709" w:type="dxa"/>
            <w:vAlign w:val="center"/>
          </w:tcPr>
          <w:p w14:paraId="6B5C8706">
            <w:pPr>
              <w:autoSpaceDE w:val="0"/>
              <w:autoSpaceDN w:val="0"/>
              <w:adjustRightInd w:val="0"/>
              <w:spacing w:line="360" w:lineRule="auto"/>
              <w:rPr>
                <w:rFonts w:hint="eastAsia" w:cs="仿宋_GB2312" w:asciiTheme="minorEastAsia" w:hAnsiTheme="minorEastAsia"/>
                <w:szCs w:val="21"/>
                <w:lang w:val="zh-CN"/>
              </w:rPr>
            </w:pPr>
            <w:r>
              <w:rPr>
                <w:rFonts w:hint="eastAsia" w:cs="宋体" w:asciiTheme="minorEastAsia" w:hAnsiTheme="minorEastAsia"/>
                <w:bCs/>
                <w:szCs w:val="21"/>
                <w:lang w:val="zh-CN"/>
              </w:rPr>
              <w:t>投标截止时间15日前（</w:t>
            </w:r>
            <w:r>
              <w:rPr>
                <w:rFonts w:hint="eastAsia" w:cs="仿宋_GB2312" w:asciiTheme="minorEastAsia" w:hAnsiTheme="minorEastAsia"/>
                <w:szCs w:val="21"/>
                <w:lang w:val="zh-CN"/>
              </w:rPr>
              <w:t>澄清内容可能影响投标文件编制的）</w:t>
            </w:r>
          </w:p>
        </w:tc>
      </w:tr>
      <w:tr w14:paraId="31F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C0D0A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372" w:type="dxa"/>
            <w:vAlign w:val="center"/>
          </w:tcPr>
          <w:p w14:paraId="1D00FC7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投标人对采购文件</w:t>
            </w:r>
          </w:p>
          <w:p w14:paraId="3CDF201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709" w:type="dxa"/>
            <w:vAlign w:val="center"/>
          </w:tcPr>
          <w:p w14:paraId="32F3B55B">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zh-CN"/>
              </w:rPr>
              <w:t>招标公告期满之日起七个工作日</w:t>
            </w:r>
          </w:p>
        </w:tc>
      </w:tr>
      <w:tr w14:paraId="631B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917792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372" w:type="dxa"/>
            <w:vAlign w:val="center"/>
          </w:tcPr>
          <w:p w14:paraId="2B46F1B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投标文件份数</w:t>
            </w:r>
          </w:p>
        </w:tc>
        <w:tc>
          <w:tcPr>
            <w:tcW w:w="6709" w:type="dxa"/>
            <w:vAlign w:val="center"/>
          </w:tcPr>
          <w:p w14:paraId="061769B4">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电子投标文件：成功上传至《全国公共资源交易平台（河南省·许昌市）》公共资源交易系统加密电子投标文件1份</w:t>
            </w:r>
            <w:r>
              <w:rPr>
                <w:rFonts w:hint="eastAsia" w:hAnsi="宋体" w:cs="宋体"/>
                <w:szCs w:val="21"/>
                <w:lang w:val="zh-CN"/>
              </w:rPr>
              <w:t>（文件格式为： XXX公司XXX项目编号.file）。</w:t>
            </w:r>
          </w:p>
          <w:p w14:paraId="3E1D2864">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纸质投标文件：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份，副本</w:t>
            </w:r>
            <w:r>
              <w:rPr>
                <w:rFonts w:hint="eastAsia" w:cs="仿宋_GB2312" w:asciiTheme="minorEastAsia" w:hAnsiTheme="minorEastAsia"/>
                <w:szCs w:val="21"/>
                <w:u w:val="single"/>
              </w:rPr>
              <w:t xml:space="preserve"> 一 </w:t>
            </w:r>
            <w:r>
              <w:rPr>
                <w:rFonts w:hint="eastAsia" w:cs="仿宋_GB2312" w:asciiTheme="minorEastAsia" w:hAnsiTheme="minorEastAsia"/>
                <w:szCs w:val="21"/>
              </w:rPr>
              <w:t>份。使用</w:t>
            </w:r>
            <w:r>
              <w:rPr>
                <w:rFonts w:hint="eastAsia" w:ascii="新宋体" w:hAnsi="新宋体" w:eastAsia="新宋体"/>
                <w:szCs w:val="21"/>
              </w:rPr>
              <w:t>格式为“投标文件（供打印）.PDF”的文件。</w:t>
            </w:r>
          </w:p>
          <w:p w14:paraId="040C6B8D">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电子投标文件和纸质投标文件的内容、格式、水印码、签章应一致。</w:t>
            </w:r>
          </w:p>
        </w:tc>
      </w:tr>
      <w:tr w14:paraId="47E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76C9D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372" w:type="dxa"/>
            <w:vAlign w:val="center"/>
          </w:tcPr>
          <w:p w14:paraId="70A8242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投标文件的</w:t>
            </w:r>
          </w:p>
          <w:p w14:paraId="3794FF2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709" w:type="dxa"/>
            <w:vAlign w:val="center"/>
          </w:tcPr>
          <w:p w14:paraId="50BDECDA">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电子投标文件：按招标文件要求加盖投标人电子印章和法人电子印章。</w:t>
            </w:r>
          </w:p>
          <w:p w14:paraId="2C117AD5">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纸质投标文件：投标文件封面加盖投标人公章（投标文件是指投标人电子投标文件制作完成后生成的后缀名为</w:t>
            </w:r>
            <w:r>
              <w:rPr>
                <w:rFonts w:hint="eastAsia" w:hAnsi="宋体"/>
                <w:szCs w:val="21"/>
              </w:rPr>
              <w:t>“.PDF”的文件</w:t>
            </w:r>
            <w:r>
              <w:rPr>
                <w:rFonts w:hint="eastAsia" w:ascii="新宋体" w:hAnsi="新宋体" w:eastAsia="新宋体"/>
                <w:szCs w:val="21"/>
              </w:rPr>
              <w:t>打印的纸质投标文件）。</w:t>
            </w:r>
          </w:p>
        </w:tc>
      </w:tr>
      <w:tr w14:paraId="0C4C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D2D21BF">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372" w:type="dxa"/>
            <w:vAlign w:val="center"/>
          </w:tcPr>
          <w:p w14:paraId="5A1AA5A8">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评标委员会组建</w:t>
            </w:r>
          </w:p>
        </w:tc>
        <w:tc>
          <w:tcPr>
            <w:tcW w:w="6709" w:type="dxa"/>
            <w:vAlign w:val="center"/>
          </w:tcPr>
          <w:p w14:paraId="7A705FF7">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由采购人代表和评审专家组成，其中评审专家的人数不少于评标委员会成员总数的三分之二。评审专家从政府采购评审专家库中随机抽取。</w:t>
            </w:r>
          </w:p>
          <w:p w14:paraId="625FA18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777D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37483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21</w:t>
            </w:r>
          </w:p>
        </w:tc>
        <w:tc>
          <w:tcPr>
            <w:tcW w:w="2372" w:type="dxa"/>
            <w:vAlign w:val="center"/>
          </w:tcPr>
          <w:p w14:paraId="343420ED">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rPr>
              <w:t>评标方法</w:t>
            </w:r>
          </w:p>
        </w:tc>
        <w:tc>
          <w:tcPr>
            <w:tcW w:w="6709" w:type="dxa"/>
            <w:vAlign w:val="center"/>
          </w:tcPr>
          <w:p w14:paraId="030416AE">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综合评分法</w:t>
            </w:r>
            <w:r>
              <w:rPr>
                <w:rFonts w:hint="eastAsia" w:cs="宋体" w:asciiTheme="minorEastAsia" w:hAnsiTheme="minorEastAsia"/>
                <w:b/>
                <w:bCs/>
                <w:szCs w:val="21"/>
                <w:lang w:val="zh-CN"/>
              </w:rPr>
              <w:t>□</w:t>
            </w:r>
            <w:r>
              <w:rPr>
                <w:rFonts w:hint="eastAsia" w:cs="仿宋_GB2312" w:asciiTheme="minorEastAsia" w:hAnsiTheme="minorEastAsia"/>
                <w:szCs w:val="21"/>
                <w:lang w:val="zh-CN"/>
              </w:rPr>
              <w:t>最低评标价法</w:t>
            </w:r>
          </w:p>
        </w:tc>
      </w:tr>
      <w:tr w14:paraId="3722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7A25D">
            <w:pPr>
              <w:autoSpaceDE w:val="0"/>
              <w:autoSpaceDN w:val="0"/>
              <w:adjustRightInd w:val="0"/>
              <w:spacing w:line="276" w:lineRule="auto"/>
              <w:jc w:val="center"/>
              <w:rPr>
                <w:rFonts w:hint="eastAsia" w:cs="黑体" w:asciiTheme="minorEastAsia" w:hAnsiTheme="minorEastAsia"/>
                <w:szCs w:val="21"/>
              </w:rPr>
            </w:pPr>
            <w:r>
              <w:rPr>
                <w:rFonts w:hint="eastAsia" w:cs="黑体" w:asciiTheme="minorEastAsia" w:hAnsiTheme="minorEastAsia"/>
                <w:color w:val="auto"/>
                <w:szCs w:val="21"/>
                <w:highlight w:val="none"/>
                <w:lang w:val="en-US" w:eastAsia="zh-CN"/>
              </w:rPr>
              <w:t>22</w:t>
            </w:r>
          </w:p>
        </w:tc>
        <w:tc>
          <w:tcPr>
            <w:tcW w:w="2372" w:type="dxa"/>
            <w:vAlign w:val="center"/>
          </w:tcPr>
          <w:p w14:paraId="0DA74171">
            <w:pPr>
              <w:autoSpaceDE w:val="0"/>
              <w:autoSpaceDN w:val="0"/>
              <w:adjustRightInd w:val="0"/>
              <w:spacing w:line="360" w:lineRule="auto"/>
              <w:jc w:val="center"/>
              <w:rPr>
                <w:rFonts w:hint="eastAsia" w:cs="宋体" w:asciiTheme="minorEastAsia" w:hAnsiTheme="minorEastAsia"/>
                <w:bCs/>
                <w:szCs w:val="21"/>
                <w:lang w:val="zh-CN"/>
              </w:rPr>
            </w:pPr>
            <w:r>
              <w:rPr>
                <w:rFonts w:hint="eastAsia" w:cs="宋体" w:asciiTheme="minorEastAsia" w:hAnsiTheme="minorEastAsia"/>
                <w:bCs/>
                <w:color w:val="auto"/>
                <w:szCs w:val="21"/>
                <w:highlight w:val="none"/>
                <w:lang w:val="zh-CN"/>
              </w:rPr>
              <w:t>异常低价审核</w:t>
            </w:r>
          </w:p>
        </w:tc>
        <w:tc>
          <w:tcPr>
            <w:tcW w:w="6709" w:type="dxa"/>
            <w:vAlign w:val="center"/>
          </w:tcPr>
          <w:p w14:paraId="0FAB19F7">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4.评标委员会基于专业判断，认为供应商报价过低，有可能影响产品质量或者不能诚信履约的其他情形。</w:t>
            </w:r>
          </w:p>
          <w:p w14:paraId="4CB0CB6B">
            <w:pPr>
              <w:autoSpaceDE w:val="0"/>
              <w:autoSpaceDN w:val="0"/>
              <w:adjustRightInd w:val="0"/>
              <w:spacing w:line="360" w:lineRule="auto"/>
              <w:contextualSpacing/>
              <w:rPr>
                <w:rFonts w:hint="eastAsia" w:ascii="ˎ̥" w:hAnsi="ˎ̥"/>
                <w:lang w:val="en-US" w:eastAsia="zh-CN"/>
              </w:rPr>
            </w:pPr>
            <w:r>
              <w:rPr>
                <w:rFonts w:hint="eastAsia" w:ascii="ˎ̥" w:hAnsi="ˎ̥"/>
                <w:color w:val="auto"/>
                <w:highlight w:val="none"/>
                <w:lang w:val="zh-CN"/>
              </w:rPr>
              <w:t>5.相关法律法规对供应商报价有规定的，从其规定</w:t>
            </w:r>
          </w:p>
        </w:tc>
      </w:tr>
      <w:tr w14:paraId="46D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2A30A6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23</w:t>
            </w:r>
          </w:p>
        </w:tc>
        <w:tc>
          <w:tcPr>
            <w:tcW w:w="2372" w:type="dxa"/>
            <w:vAlign w:val="center"/>
          </w:tcPr>
          <w:p w14:paraId="02C2A1B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709"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eastAsiaTheme="minorEastAsia" w:cstheme="minorBidi"/>
                <w:kern w:val="2"/>
                <w:sz w:val="21"/>
                <w:szCs w:val="22"/>
                <w:lang w:val="en-US" w:eastAsia="zh-CN" w:bidi="ar-SA"/>
              </w:rPr>
              <w:t>1.根</w:t>
            </w:r>
            <w:r>
              <w:rPr>
                <w:rFonts w:hint="eastAsia" w:ascii="ˎ̥" w:hAnsi="ˎ̥"/>
              </w:rPr>
              <w:t>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5B6E8440">
            <w:pPr>
              <w:pStyle w:val="32"/>
              <w:rPr>
                <w:rFonts w:hint="eastAsia" w:asciiTheme="minorEastAsia" w:hAnsiTheme="minorEastAsia" w:eastAsiaTheme="minorEastAsia" w:cstheme="minorEastAsia"/>
                <w:kern w:val="2"/>
                <w:sz w:val="21"/>
                <w:szCs w:val="22"/>
                <w:lang w:val="en-US" w:eastAsia="zh-CN" w:bidi="ar-SA"/>
              </w:rPr>
            </w:pPr>
            <w:r>
              <w:rPr>
                <w:rFonts w:hint="eastAsia" w:ascii="ˎ̥" w:hAnsi="ˎ̥" w:eastAsiaTheme="minorEastAsia" w:cstheme="minorBidi"/>
                <w:kern w:val="2"/>
                <w:sz w:val="21"/>
                <w:szCs w:val="22"/>
                <w:lang w:val="en-US" w:eastAsia="zh-CN" w:bidi="ar-SA"/>
              </w:rPr>
              <w:t>2.本次采购标的对应的行业：工业</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723C6913">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0F9C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B67BD5A">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24</w:t>
            </w:r>
          </w:p>
        </w:tc>
        <w:tc>
          <w:tcPr>
            <w:tcW w:w="2372" w:type="dxa"/>
            <w:shd w:val="clear" w:color="auto" w:fill="auto"/>
            <w:vAlign w:val="center"/>
          </w:tcPr>
          <w:p w14:paraId="631CC0D5">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 xml:space="preserve">实施本国产品标准及 </w:t>
            </w:r>
          </w:p>
          <w:p w14:paraId="67536319">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相关政策</w:t>
            </w:r>
          </w:p>
          <w:p w14:paraId="2887CEF9">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highlight w:val="none"/>
                <w:lang w:val="zh-CN" w:eastAsia="zh-CN" w:bidi="ar-SA"/>
              </w:rPr>
            </w:pPr>
          </w:p>
        </w:tc>
        <w:tc>
          <w:tcPr>
            <w:tcW w:w="6709" w:type="dxa"/>
            <w:shd w:val="clear" w:color="auto" w:fill="auto"/>
            <w:vAlign w:val="center"/>
          </w:tcPr>
          <w:p w14:paraId="73AB5330">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1.根据《国务院办公厅关于在政府采购中实施本国产品标准及相关政策 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665B916E">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2.对本国产品的支持政策。 </w:t>
            </w:r>
          </w:p>
          <w:p w14:paraId="574E2E06">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政府采购活动中既有本国产品又有非本国产品参与竞争的，依法对本国 </w:t>
            </w:r>
          </w:p>
          <w:p w14:paraId="6E625AE5">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产品给予价格评审优惠，对本国产品的报价给予20%的价格扣除，用扣除后的价格参与评审。 </w:t>
            </w:r>
          </w:p>
          <w:p w14:paraId="73736B9E">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当采购项目或者采购包中含有多种产品，供应商为该采购项目或者采购 </w:t>
            </w:r>
          </w:p>
          <w:p w14:paraId="48F16DE4">
            <w:pPr>
              <w:autoSpaceDE w:val="0"/>
              <w:autoSpaceDN w:val="0"/>
              <w:adjustRightInd w:val="0"/>
              <w:spacing w:line="360" w:lineRule="auto"/>
              <w:rPr>
                <w:rFonts w:hint="eastAsia" w:cs="宋体" w:asciiTheme="minorEastAsia" w:hAnsiTheme="minorEastAsia" w:eastAsiaTheme="minorEastAsia"/>
                <w:bCs/>
                <w:kern w:val="2"/>
                <w:sz w:val="21"/>
                <w:szCs w:val="21"/>
                <w:lang w:val="en-US" w:eastAsia="zh-CN" w:bidi="ar-SA"/>
              </w:rPr>
            </w:pPr>
            <w:r>
              <w:rPr>
                <w:rFonts w:hint="eastAsia" w:ascii="ˎ̥" w:hAnsi="ˎ̥"/>
                <w:color w:val="auto"/>
                <w:highlight w:val="none"/>
                <w:lang w:val="en-US" w:eastAsia="zh-CN"/>
              </w:rPr>
              <w:t>包提供的符合本国产品标准的产品成本之和占该供应商提供的全部产品 成本之和的比例达到80%以上时，依法对该供应商提供的全部产品给予价 格评审优惠，即对该供应商提供的全部产品的总报价给予20%的价格扣 除，用扣除后的价格参与评审。</w:t>
            </w:r>
          </w:p>
        </w:tc>
      </w:tr>
      <w:tr w14:paraId="3F4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2DAF4F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25</w:t>
            </w:r>
          </w:p>
        </w:tc>
        <w:tc>
          <w:tcPr>
            <w:tcW w:w="2372" w:type="dxa"/>
            <w:vAlign w:val="center"/>
          </w:tcPr>
          <w:p w14:paraId="206C598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709" w:type="dxa"/>
            <w:shd w:val="clear" w:color="auto" w:fill="auto"/>
            <w:vAlign w:val="center"/>
          </w:tcPr>
          <w:p w14:paraId="321511C3">
            <w:pPr>
              <w:autoSpaceDE w:val="0"/>
              <w:autoSpaceDN w:val="0"/>
              <w:adjustRightInd w:val="0"/>
              <w:spacing w:line="360" w:lineRule="auto"/>
              <w:rPr>
                <w:rFonts w:hint="default" w:cs="宋体" w:asciiTheme="minorEastAsia" w:hAnsiTheme="minorEastAsia" w:eastAsiaTheme="minorEastAsia"/>
                <w:bCs/>
                <w:szCs w:val="21"/>
                <w:lang w:val="en-US" w:eastAsia="zh-CN"/>
              </w:rPr>
            </w:pPr>
            <w:r>
              <w:rPr>
                <w:rFonts w:hint="eastAsia" w:cs="宋体" w:asciiTheme="minorEastAsia" w:hAnsiTheme="minorEastAsia"/>
                <w:bCs/>
                <w:szCs w:val="21"/>
                <w:lang w:val="zh-CN"/>
              </w:rPr>
              <w:t>本项目强制节能产品：</w:t>
            </w:r>
            <w:r>
              <w:rPr>
                <w:rFonts w:hint="eastAsia" w:cs="宋体" w:asciiTheme="minorEastAsia" w:hAnsiTheme="minorEastAsia"/>
                <w:bCs/>
                <w:szCs w:val="21"/>
                <w:lang w:val="en-US" w:eastAsia="zh-CN"/>
              </w:rPr>
              <w:t>无</w:t>
            </w:r>
          </w:p>
          <w:p w14:paraId="701DF452">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AE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15321A">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26</w:t>
            </w:r>
          </w:p>
        </w:tc>
        <w:tc>
          <w:tcPr>
            <w:tcW w:w="2372" w:type="dxa"/>
            <w:vAlign w:val="center"/>
          </w:tcPr>
          <w:p w14:paraId="0A4AA198">
            <w:pPr>
              <w:autoSpaceDE w:val="0"/>
              <w:autoSpaceDN w:val="0"/>
              <w:adjustRightInd w:val="0"/>
              <w:spacing w:line="360" w:lineRule="auto"/>
              <w:jc w:val="center"/>
              <w:rPr>
                <w:rFonts w:cs="宋体" w:asciiTheme="minorEastAsia" w:hAnsiTheme="minorEastAsia"/>
                <w:bCs/>
                <w:szCs w:val="21"/>
                <w:lang w:val="zh-CN"/>
              </w:rPr>
            </w:pPr>
            <w:r>
              <w:rPr>
                <w:rFonts w:hint="eastAsia" w:ascii="宋体" w:hAnsi="宋体" w:eastAsia="宋体" w:cs="宋体"/>
                <w:color w:val="auto"/>
                <w:szCs w:val="21"/>
                <w:highlight w:val="none"/>
              </w:rPr>
              <w:t>网络关键设备、网络安全专用产品要求</w:t>
            </w:r>
          </w:p>
        </w:tc>
        <w:tc>
          <w:tcPr>
            <w:tcW w:w="6709" w:type="dxa"/>
            <w:shd w:val="clear" w:color="auto" w:fill="auto"/>
            <w:vAlign w:val="center"/>
          </w:tcPr>
          <w:p w14:paraId="30A0C32B">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无</w:t>
            </w:r>
          </w:p>
          <w:p w14:paraId="1A03CE6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39FBDA0">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2B6F0338">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359E144C">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448CC62D">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BD8F773">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E2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D16547">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27</w:t>
            </w:r>
          </w:p>
        </w:tc>
        <w:tc>
          <w:tcPr>
            <w:tcW w:w="2372" w:type="dxa"/>
            <w:vAlign w:val="center"/>
          </w:tcPr>
          <w:p w14:paraId="3E9C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709" w:type="dxa"/>
            <w:vAlign w:val="center"/>
          </w:tcPr>
          <w:p w14:paraId="123B9B72">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p w14:paraId="6564B78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szCs w:val="21"/>
              </w:rPr>
              <w:t>要求提交。</w:t>
            </w:r>
            <w:r>
              <w:rPr>
                <w:rFonts w:hint="eastAsia" w:ascii="ˎ̥" w:hAnsi="ˎ̥"/>
              </w:rPr>
              <w:t>履约保证金的数额为合同金额的%（不超过政府采购合同金额的10%）</w:t>
            </w:r>
            <w:r>
              <w:rPr>
                <w:rFonts w:hint="eastAsia" w:cs="宋体" w:asciiTheme="minorEastAsia" w:hAnsiTheme="minorEastAsia"/>
                <w:bCs/>
                <w:szCs w:val="21"/>
                <w:lang w:val="zh-CN"/>
              </w:rPr>
              <w:t>。</w:t>
            </w:r>
            <w:r>
              <w:rPr>
                <w:rFonts w:hint="eastAsia" w:cs="宋体" w:asciiTheme="minorEastAsia" w:hAnsiTheme="minorEastAsia"/>
                <w:szCs w:val="21"/>
              </w:rPr>
              <w:t>中标人以支票、汇票、本票或者金融机构、担保机构出具的保函等非现金形式向采购人提交。</w:t>
            </w:r>
          </w:p>
        </w:tc>
      </w:tr>
      <w:tr w14:paraId="67B0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06" w:type="dxa"/>
            <w:vAlign w:val="center"/>
          </w:tcPr>
          <w:p w14:paraId="58B3D87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28</w:t>
            </w:r>
          </w:p>
        </w:tc>
        <w:tc>
          <w:tcPr>
            <w:tcW w:w="2372" w:type="dxa"/>
            <w:vAlign w:val="center"/>
          </w:tcPr>
          <w:p w14:paraId="5D20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709" w:type="dxa"/>
            <w:vAlign w:val="center"/>
          </w:tcPr>
          <w:p w14:paraId="6AC3D994">
            <w:pPr>
              <w:autoSpaceDE w:val="0"/>
              <w:autoSpaceDN w:val="0"/>
              <w:spacing w:line="360" w:lineRule="auto"/>
              <w:contextualSpacing/>
              <w:rPr>
                <w:rFonts w:cs="宋体" w:asciiTheme="minorEastAsia" w:hAnsiTheme="minorEastAsia"/>
                <w:bCs/>
                <w:szCs w:val="21"/>
                <w:lang w:val="zh-CN"/>
              </w:rPr>
            </w:pPr>
            <w:r>
              <w:rPr>
                <w:rFonts w:hint="eastAsia" w:cs="宋体" w:asciiTheme="minorEastAsia" w:hAnsiTheme="minorEastAsia"/>
                <w:bCs/>
                <w:szCs w:val="21"/>
                <w:lang w:val="zh-CN"/>
              </w:rPr>
              <w:t>不收取</w:t>
            </w:r>
          </w:p>
        </w:tc>
      </w:tr>
      <w:tr w14:paraId="559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7BCAAC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372" w:type="dxa"/>
            <w:vAlign w:val="center"/>
          </w:tcPr>
          <w:p w14:paraId="3654A18F">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709" w:type="dxa"/>
            <w:vAlign w:val="center"/>
          </w:tcPr>
          <w:p w14:paraId="21CB6F2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采购单位委派代表参加资格审</w:t>
            </w:r>
            <w:r>
              <w:rPr>
                <w:rFonts w:hint="eastAsia" w:ascii="新宋体" w:hAnsi="新宋体" w:eastAsia="新宋体"/>
                <w:szCs w:val="21"/>
              </w:rPr>
              <w:t>查、</w:t>
            </w:r>
            <w:r>
              <w:rPr>
                <w:rFonts w:hint="eastAsia" w:cs="仿宋_GB2312" w:asciiTheme="minorEastAsia" w:hAnsiTheme="minorEastAsia"/>
                <w:szCs w:val="21"/>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68B9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095FBD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30</w:t>
            </w:r>
          </w:p>
        </w:tc>
        <w:tc>
          <w:tcPr>
            <w:tcW w:w="2372" w:type="dxa"/>
            <w:vAlign w:val="center"/>
          </w:tcPr>
          <w:p w14:paraId="61D1B15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709" w:type="dxa"/>
            <w:vAlign w:val="center"/>
          </w:tcPr>
          <w:p w14:paraId="53E91C7D">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投标人投标时须成功上传、解密电子投标文件。投标人资质、业绩、荣誉及相关人员证明材料等资料原件不再提交（本招标文件第六章另有要求提供原件的除外）。</w:t>
            </w:r>
          </w:p>
          <w:p w14:paraId="3A59C8E1">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□否。投标人投标时须提供纸质投标文件。投标人资质、业绩、荣誉及相关人员证明材料等资料原件根据招标文件要求提供。</w:t>
            </w:r>
          </w:p>
        </w:tc>
      </w:tr>
      <w:tr w14:paraId="7296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46156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31</w:t>
            </w:r>
          </w:p>
        </w:tc>
        <w:tc>
          <w:tcPr>
            <w:tcW w:w="2372" w:type="dxa"/>
            <w:vAlign w:val="center"/>
          </w:tcPr>
          <w:p w14:paraId="636D939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709" w:type="dxa"/>
            <w:vAlign w:val="center"/>
          </w:tcPr>
          <w:p w14:paraId="477055BB">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30FBF47B">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rPr>
              <w:t>投标人的投标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052ADB53">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评审专家应严格按照要求查看“硬件特征码”相关信息并进行评审，在评审报告中显示“不同投标人电子投标文件制作硬件特征码”是否雷同的分析及判定结果。</w:t>
            </w:r>
          </w:p>
        </w:tc>
      </w:tr>
      <w:tr w14:paraId="08D5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4E45AE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color w:val="FF0000"/>
                <w:szCs w:val="21"/>
                <w:lang w:val="en-US" w:eastAsia="zh-CN"/>
              </w:rPr>
              <w:t>32</w:t>
            </w:r>
          </w:p>
        </w:tc>
        <w:tc>
          <w:tcPr>
            <w:tcW w:w="2372" w:type="dxa"/>
            <w:vAlign w:val="center"/>
          </w:tcPr>
          <w:p w14:paraId="16579E17">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color w:val="FF0000"/>
                <w:szCs w:val="21"/>
              </w:rPr>
              <w:t>投标人资格核验</w:t>
            </w:r>
          </w:p>
        </w:tc>
        <w:tc>
          <w:tcPr>
            <w:tcW w:w="6709" w:type="dxa"/>
            <w:vAlign w:val="center"/>
          </w:tcPr>
          <w:p w14:paraId="04668EC4">
            <w:pPr>
              <w:autoSpaceDE w:val="0"/>
              <w:autoSpaceDN w:val="0"/>
              <w:adjustRightInd w:val="0"/>
              <w:spacing w:line="360" w:lineRule="auto"/>
              <w:ind w:right="-11"/>
              <w:rPr>
                <w:rFonts w:ascii="ˎ̥" w:hAnsi="ˎ̥"/>
                <w:color w:val="FF0000"/>
              </w:rPr>
            </w:pPr>
            <w:r>
              <w:rPr>
                <w:rFonts w:hint="eastAsia" w:ascii="ˎ̥" w:hAnsi="ˎ̥"/>
                <w:color w:val="FF0000"/>
              </w:rPr>
              <w:t>供应商在中标后，应将由《禹州市政府采购供应商信用承诺函》替代的证明材料提交采购人核验，经核验无误后，禹州市政府采购中心发出中标通知书。</w:t>
            </w:r>
          </w:p>
          <w:p w14:paraId="63C08D1D">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019F3AFB">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1.企业法人营业执照或营业执照。（企业投标提供）</w:t>
            </w:r>
          </w:p>
          <w:p w14:paraId="31A524C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2.事业单位法人证书。（事业单位投标提供）</w:t>
            </w:r>
          </w:p>
          <w:p w14:paraId="68509F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3.执业许可证。（非企业专业服务机构投标提供）</w:t>
            </w:r>
          </w:p>
          <w:p w14:paraId="095721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4.个体工商户营业执照。（个体工商户投标提供）</w:t>
            </w:r>
          </w:p>
          <w:p w14:paraId="6AE8437F">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5.自然人身份证明。（自然人投标提供）</w:t>
            </w:r>
          </w:p>
          <w:p w14:paraId="48B8D276">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6.民办非企业单位登记证书。（民办非企业单位投标提供）</w:t>
            </w:r>
          </w:p>
          <w:p w14:paraId="23D37278">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3E1BAB79">
            <w:pPr>
              <w:spacing w:line="360" w:lineRule="auto"/>
              <w:rPr>
                <w:rFonts w:asciiTheme="minorEastAsia" w:hAnsiTheme="minorEastAsia"/>
                <w:bCs/>
                <w:szCs w:val="21"/>
              </w:rPr>
            </w:pPr>
            <w:r>
              <w:rPr>
                <w:rFonts w:hint="eastAsia" w:asciiTheme="minorEastAsia" w:hAnsiTheme="minorEastAsia"/>
                <w:bCs/>
                <w:szCs w:val="21"/>
                <w:lang w:eastAsia="zh-CN"/>
              </w:rPr>
              <w:t>1.</w:t>
            </w:r>
            <w:r>
              <w:rPr>
                <w:rFonts w:hint="eastAsia" w:asciiTheme="minorEastAsia" w:hAnsiTheme="minorEastAsia"/>
                <w:bCs/>
                <w:szCs w:val="21"/>
              </w:rPr>
              <w:t>投标人是法人（法人包括企业法人、机关法人、事业单位法人和社会团体法人），提供本单位：</w:t>
            </w:r>
          </w:p>
          <w:p w14:paraId="341DEA9E">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5</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59AD04D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505CE1BE">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31AFB183">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1B3EB113">
            <w:pPr>
              <w:spacing w:line="360" w:lineRule="auto"/>
              <w:rPr>
                <w:rFonts w:asciiTheme="minorEastAsia" w:hAnsiTheme="minorEastAsia"/>
                <w:bCs/>
                <w:szCs w:val="21"/>
              </w:rPr>
            </w:pPr>
            <w:r>
              <w:rPr>
                <w:rFonts w:hint="eastAsia" w:asciiTheme="minorEastAsia" w:hAnsiTheme="minorEastAsia"/>
                <w:bCs/>
                <w:szCs w:val="21"/>
                <w:lang w:eastAsia="zh-CN"/>
              </w:rPr>
              <w:t>2.</w:t>
            </w:r>
            <w:r>
              <w:rPr>
                <w:rFonts w:hint="eastAsia" w:asciiTheme="minorEastAsia" w:hAnsiTheme="minorEastAsia"/>
                <w:bCs/>
                <w:szCs w:val="21"/>
              </w:rPr>
              <w:t>投标人（其他组织和自然人）提供本单位：</w:t>
            </w:r>
          </w:p>
          <w:p w14:paraId="0158700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5</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27F4A82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699BD8B">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5A0BD39">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43573B2B">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02D3E23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参加本次政府采购项目投标截止时间前一年内任意一个月缴纳税收凭据。（依法免税的投标人，应提供相应文件证明依法免税）</w:t>
            </w:r>
          </w:p>
          <w:p w14:paraId="6DF3CC3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77BD327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参加本次政府采购项目投标截止时间前一年内任意一个月缴纳社会保险凭据。（依法不需要缴纳社会保障资金的投标人，应提供相应文件证明依法不需要缴纳社会保障资金）</w:t>
            </w:r>
          </w:p>
          <w:p w14:paraId="15060FB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768D484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1.相关设备的购置发票、专业技术人员职称证书、用工合同等；</w:t>
            </w:r>
          </w:p>
          <w:p w14:paraId="44D06AEA">
            <w:pPr>
              <w:spacing w:line="360" w:lineRule="auto"/>
              <w:rPr>
                <w:rFonts w:asciiTheme="minorEastAsia" w:hAnsiTheme="minorEastAsia"/>
                <w:bCs/>
                <w:szCs w:val="21"/>
              </w:rPr>
            </w:pPr>
            <w:r>
              <w:rPr>
                <w:rFonts w:hint="eastAsia" w:asciiTheme="minorEastAsia" w:hAnsiTheme="minorEastAsia"/>
                <w:bCs/>
                <w:szCs w:val="21"/>
                <w:lang w:eastAsia="zh-CN"/>
              </w:rPr>
              <w:t>2.</w:t>
            </w:r>
            <w:r>
              <w:rPr>
                <w:rFonts w:hint="eastAsia" w:asciiTheme="minorEastAsia" w:hAnsiTheme="minorEastAsia"/>
                <w:bCs/>
                <w:szCs w:val="21"/>
              </w:rPr>
              <w:t>投标人具备履行合同所必须的设备和专业技术能力承诺函或声明（承诺函或声明格式自拟）。</w:t>
            </w:r>
          </w:p>
          <w:p w14:paraId="45C24344">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1～2其中之一即可。</w:t>
            </w:r>
          </w:p>
          <w:p w14:paraId="09F5F725">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10D0C9CC">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投标人“</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重大违法记录，是指投标人因违法经营受到刑事处罚或者责令停产停业、吊销许可证或者执照、较大数额罚款等行政处罚。</w:t>
            </w:r>
          </w:p>
          <w:p w14:paraId="62CD5F9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cs="仿宋_GB2312" w:asciiTheme="minorEastAsia" w:hAnsiTheme="minorEastAsia"/>
                <w:b/>
                <w:szCs w:val="21"/>
                <w:shd w:val="clear" w:color="auto" w:fill="FFFFFF"/>
              </w:rPr>
              <w:t>的投标人；</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政府采购严重违法失信行为记录名单的投标人</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w:t>
            </w:r>
            <w:r>
              <w:rPr>
                <w:rFonts w:hint="eastAsia" w:cs="宋体" w:asciiTheme="minorEastAsia" w:hAnsiTheme="minorEastAsia"/>
                <w:kern w:val="0"/>
                <w:szCs w:val="21"/>
              </w:rPr>
              <w:t>联合体形式投标的，联合体成员存在不良信用记录，视同联合体存在不良信用记录）。</w:t>
            </w:r>
          </w:p>
          <w:p w14:paraId="56AFA1C6">
            <w:pPr>
              <w:spacing w:line="360" w:lineRule="auto"/>
              <w:rPr>
                <w:rFonts w:cs="宋体" w:asciiTheme="minorEastAsia" w:hAnsiTheme="minorEastAsia"/>
                <w:kern w:val="0"/>
                <w:szCs w:val="21"/>
              </w:rPr>
            </w:pPr>
            <w:r>
              <w:rPr>
                <w:rFonts w:hint="eastAsia" w:cs="宋体" w:asciiTheme="minorEastAsia" w:hAnsiTheme="minorEastAsia"/>
                <w:kern w:val="0"/>
                <w:szCs w:val="21"/>
                <w:lang w:eastAsia="zh-CN"/>
              </w:rPr>
              <w:t>1.</w:t>
            </w:r>
            <w:r>
              <w:rPr>
                <w:rFonts w:hint="eastAsia" w:cs="宋体" w:asciiTheme="minorEastAsia" w:hAnsiTheme="minorEastAsia"/>
                <w:kern w:val="0"/>
                <w:szCs w:val="21"/>
              </w:rPr>
              <w:t>查询渠道：</w:t>
            </w:r>
          </w:p>
          <w:p w14:paraId="77DC1B94">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51014550">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7FBA2844">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62D7BA6">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lang w:val="en-US" w:eastAsia="zh-CN"/>
              </w:rPr>
              <w:t>2</w:t>
            </w:r>
            <w:r>
              <w:rPr>
                <w:rFonts w:hint="eastAsia" w:cs="宋体" w:asciiTheme="minorEastAsia" w:hAnsiTheme="minorEastAsia"/>
                <w:color w:val="FF0000"/>
                <w:kern w:val="0"/>
                <w:szCs w:val="21"/>
                <w:lang w:eastAsia="zh-CN"/>
              </w:rPr>
              <w:t>.</w:t>
            </w:r>
            <w:r>
              <w:rPr>
                <w:rFonts w:hint="eastAsia" w:cs="宋体" w:asciiTheme="minorEastAsia" w:hAnsiTheme="minorEastAsia"/>
                <w:color w:val="FF0000"/>
                <w:kern w:val="0"/>
                <w:szCs w:val="21"/>
              </w:rPr>
              <w:t>信用信息的使用原则：经采购人认定的被列入失信被执行人、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hint="eastAsia" w:cs="宋体" w:asciiTheme="minorEastAsia" w:hAnsiTheme="minorEastAsia"/>
                <w:color w:val="FF0000"/>
                <w:kern w:val="0"/>
                <w:szCs w:val="21"/>
                <w:highlight w:val="none"/>
              </w:rPr>
              <w:t>、</w:t>
            </w:r>
            <w:r>
              <w:rPr>
                <w:rFonts w:cs="仿宋_GB2312" w:asciiTheme="minorEastAsia" w:hAnsiTheme="minorEastAsia"/>
                <w:color w:val="FF0000"/>
                <w:szCs w:val="21"/>
                <w:shd w:val="clear" w:color="auto" w:fill="FFFFFF"/>
              </w:rPr>
              <w:t>政府采购严重违法失信行为记录名单</w:t>
            </w:r>
            <w:r>
              <w:rPr>
                <w:rFonts w:hint="eastAsia" w:cs="仿宋_GB2312" w:asciiTheme="minorEastAsia" w:hAnsiTheme="minorEastAsia"/>
                <w:color w:val="FF0000"/>
                <w:szCs w:val="21"/>
                <w:shd w:val="clear" w:color="auto" w:fill="FFFFFF"/>
              </w:rPr>
              <w:t>的投标人、</w:t>
            </w:r>
            <w:r>
              <w:rPr>
                <w:rFonts w:hint="eastAsia" w:cs="宋体" w:asciiTheme="minorEastAsia" w:hAnsiTheme="minorEastAsia"/>
                <w:color w:val="FF0000"/>
                <w:kern w:val="0"/>
                <w:szCs w:val="21"/>
              </w:rPr>
              <w:t>严重违法失信社会组织，将拒绝其参与本次政府采购活动。</w:t>
            </w:r>
          </w:p>
        </w:tc>
      </w:tr>
    </w:tbl>
    <w:p w14:paraId="509D7409">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rPr>
      </w:pPr>
    </w:p>
    <w:p w14:paraId="292ABF7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497046B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39F74B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5666FDE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2094AF86">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A6A773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6FC7F465">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F363A3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8D95D9E">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投标人须知</w:t>
      </w:r>
    </w:p>
    <w:p w14:paraId="30658781">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20F87AE9">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14:paraId="333AC858">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适用范围</w:t>
      </w:r>
    </w:p>
    <w:p w14:paraId="178C0161">
      <w:pPr>
        <w:pStyle w:val="44"/>
        <w:numPr>
          <w:ilvl w:val="0"/>
          <w:numId w:val="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本招标文件仅适用于本次“投标邀请”中所述采购项目。</w:t>
      </w:r>
    </w:p>
    <w:p w14:paraId="1B54D8DF">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本招标文件解释权属于“投标邀请”所述的采购人。</w:t>
      </w:r>
    </w:p>
    <w:p w14:paraId="3001DC58">
      <w:pPr>
        <w:pStyle w:val="44"/>
        <w:autoSpaceDE w:val="0"/>
        <w:autoSpaceDN w:val="0"/>
        <w:spacing w:line="360" w:lineRule="auto"/>
        <w:ind w:left="780" w:firstLine="0" w:firstLineChars="0"/>
        <w:contextualSpacing/>
        <w:rPr>
          <w:rFonts w:cs="宋体" w:asciiTheme="minorEastAsia" w:hAnsiTheme="minorEastAsia"/>
          <w:kern w:val="0"/>
          <w:szCs w:val="21"/>
        </w:rPr>
      </w:pPr>
    </w:p>
    <w:p w14:paraId="21ECE8B3">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定义</w:t>
      </w:r>
    </w:p>
    <w:p w14:paraId="551E334A">
      <w:pPr>
        <w:pStyle w:val="44"/>
        <w:numPr>
          <w:ilvl w:val="0"/>
          <w:numId w:val="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“采购项目”：“投标人须知前附表”中所述的采购项目。</w:t>
      </w:r>
    </w:p>
    <w:p w14:paraId="3D0B8C37">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“招标人”：“投标人须知前附表”中所述的组织本次招标的代理机构和采购人。</w:t>
      </w:r>
    </w:p>
    <w:p w14:paraId="3F2E3EFE">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地址、电话、联系人见“投标人须知前附表”。</w:t>
      </w:r>
    </w:p>
    <w:p w14:paraId="30A07A95">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电话、联系人见“投标人须知前附表”。</w:t>
      </w:r>
    </w:p>
    <w:p w14:paraId="62E770BE">
      <w:pPr>
        <w:autoSpaceDE w:val="0"/>
        <w:autoSpaceDN w:val="0"/>
        <w:spacing w:line="360" w:lineRule="auto"/>
        <w:ind w:left="991" w:leftChars="450" w:hanging="46" w:hangingChars="22"/>
        <w:contextualSpacing/>
        <w:rPr>
          <w:rFonts w:cs="宋体" w:asciiTheme="minorEastAsia" w:hAnsiTheme="minorEastAsia"/>
          <w:kern w:val="0"/>
          <w:szCs w:val="21"/>
        </w:rPr>
      </w:pPr>
      <w:r>
        <w:rPr>
          <w:rFonts w:hint="eastAsia" w:cs="宋体" w:asciiTheme="minorEastAsia" w:hAnsiTheme="minorEastAsia"/>
          <w:kern w:val="0"/>
          <w:szCs w:val="21"/>
        </w:rPr>
        <w:t>采购代理机构及其分支机构不得在所代理的采购项目中投标或者代理投标，不得为所代理的采购项目的投标人参加本项目提供投标咨询。</w:t>
      </w:r>
    </w:p>
    <w:p w14:paraId="315D36BA">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“潜在投标人”指符合《中华人民共和国政府采购法》及相关法律法规和本招标文件的各项规定，且按照本项目招标公告及招标文件规定的方式获取招标文件的法人、其他组 织或者自然人。</w:t>
      </w:r>
    </w:p>
    <w:p w14:paraId="52ADACC7">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5A0358D8">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72504C52">
      <w:pPr>
        <w:autoSpaceDE w:val="0"/>
        <w:autoSpaceDN w:val="0"/>
        <w:spacing w:line="360" w:lineRule="auto"/>
        <w:ind w:left="1274" w:leftChars="1" w:hanging="1272" w:hangingChars="606"/>
        <w:contextualSpacing/>
        <w:rPr>
          <w:rFonts w:cs="宋体" w:asciiTheme="minorEastAsia" w:hAnsiTheme="minorEastAsia"/>
          <w:kern w:val="0"/>
          <w:szCs w:val="21"/>
        </w:rPr>
      </w:pPr>
      <w:r>
        <w:rPr>
          <w:rFonts w:hint="eastAsia" w:cs="宋体" w:asciiTheme="minorEastAsia" w:hAnsiTheme="minorEastAsia"/>
          <w:kern w:val="0"/>
          <w:szCs w:val="21"/>
        </w:rPr>
        <w:t xml:space="preserve">2.7.1    </w:t>
      </w:r>
      <w:r>
        <w:rPr>
          <w:rFonts w:cs="宋体" w:asciiTheme="minorEastAsia" w:hAnsiTheme="minorEastAsia"/>
          <w:kern w:val="0"/>
          <w:szCs w:val="21"/>
        </w:rPr>
        <w:t>招标文件列明不允许或未列明允许进口产品参加投标的，均视为拒绝进口产品参加投标。</w:t>
      </w:r>
    </w:p>
    <w:p w14:paraId="2FCE0A6B">
      <w:p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 xml:space="preserve">2.7.2    </w:t>
      </w:r>
      <w:r>
        <w:rPr>
          <w:rFonts w:cs="宋体" w:asciiTheme="minorEastAsia" w:hAnsiTheme="minorEastAsia"/>
          <w:kern w:val="0"/>
          <w:szCs w:val="21"/>
        </w:rPr>
        <w:t>如</w:t>
      </w:r>
      <w:r>
        <w:rPr>
          <w:rFonts w:hint="eastAsia" w:cs="宋体" w:asciiTheme="minorEastAsia" w:hAnsiTheme="minorEastAsia"/>
          <w:kern w:val="0"/>
          <w:szCs w:val="21"/>
        </w:rPr>
        <w:t>招标</w:t>
      </w:r>
      <w:r>
        <w:rPr>
          <w:rFonts w:cs="宋体" w:asciiTheme="minorEastAsia" w:hAnsiTheme="minorEastAsia"/>
          <w:kern w:val="0"/>
          <w:szCs w:val="21"/>
        </w:rPr>
        <w:t>文件中已说明，经财政部门审核同意，允许部分或全部产品采购进口产品，投标人既可提供本国产品，也可以提供进口产品。</w:t>
      </w:r>
    </w:p>
    <w:p w14:paraId="34C632FA">
      <w:pPr>
        <w:pStyle w:val="44"/>
        <w:numPr>
          <w:ilvl w:val="1"/>
          <w:numId w:val="6"/>
        </w:num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招标文件中凡标有“★”的条款均系实质性要求条款。</w:t>
      </w:r>
    </w:p>
    <w:p w14:paraId="0F0D4518">
      <w:pPr>
        <w:pStyle w:val="44"/>
        <w:autoSpaceDE w:val="0"/>
        <w:autoSpaceDN w:val="0"/>
        <w:spacing w:line="360" w:lineRule="auto"/>
        <w:ind w:left="964" w:firstLine="0" w:firstLineChars="0"/>
        <w:contextualSpacing/>
        <w:rPr>
          <w:rFonts w:cs="宋体" w:asciiTheme="minorEastAsia" w:hAnsiTheme="minorEastAsia"/>
          <w:kern w:val="0"/>
          <w:szCs w:val="21"/>
        </w:rPr>
      </w:pPr>
    </w:p>
    <w:p w14:paraId="6F16A3DA">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合格的投标人</w:t>
      </w:r>
    </w:p>
    <w:p w14:paraId="1E08FA9A">
      <w:pPr>
        <w:pStyle w:val="44"/>
        <w:numPr>
          <w:ilvl w:val="0"/>
          <w:numId w:val="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在中华人民共和国境内注册，具有本项目生产、制造、供应或实施能力，符合、承认并承诺履行本招标文件各项规定的法人、其他组织或者自然人。</w:t>
      </w:r>
    </w:p>
    <w:p w14:paraId="740BD663">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符合本项目“投标邀请”和“投标人须知前附表”中规定的合格投标人所必须具备的条件。</w:t>
      </w:r>
    </w:p>
    <w:p w14:paraId="03E37D46">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政府采购活动中查询及使用投标人信用记录的具体要求为：投标人未被列入失信被执行人、税收违法黑名单、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78EEE819">
      <w:pPr>
        <w:pStyle w:val="44"/>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1"/>
          <w:rFonts w:cs="宋体" w:asciiTheme="minorEastAsia" w:hAnsiTheme="minorEastAsia"/>
          <w:color w:val="auto"/>
          <w:kern w:val="0"/>
          <w:szCs w:val="21"/>
        </w:rPr>
        <w:t>https://chinanpo.mca.gov.cn</w:t>
      </w:r>
      <w:r>
        <w:rPr>
          <w:rStyle w:val="31"/>
          <w:rFonts w:cs="宋体" w:asciiTheme="minorEastAsia" w:hAnsiTheme="minorEastAsia"/>
          <w:color w:val="auto"/>
          <w:kern w:val="0"/>
          <w:szCs w:val="21"/>
        </w:rPr>
        <w:fldChar w:fldCharType="end"/>
      </w:r>
      <w:r>
        <w:rPr>
          <w:rFonts w:hint="eastAsia" w:cs="宋体" w:asciiTheme="minorEastAsia" w:hAnsiTheme="minorEastAsia"/>
          <w:kern w:val="0"/>
          <w:szCs w:val="21"/>
        </w:rPr>
        <w:t>）；</w:t>
      </w:r>
    </w:p>
    <w:p w14:paraId="75655366">
      <w:pPr>
        <w:pStyle w:val="44"/>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截止时间：同投标截止时间；</w:t>
      </w:r>
    </w:p>
    <w:p w14:paraId="781866EA">
      <w:pPr>
        <w:pStyle w:val="44"/>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信用信息查询记录和证据留存具体方式：经采购人确认的查询结果网页截图作为查询记录和证据，与其他采购文件一并保存；</w:t>
      </w:r>
    </w:p>
    <w:p w14:paraId="4D94B6D5">
      <w:pPr>
        <w:pStyle w:val="44"/>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信用信息的使用原则：经采购人认定的被列入失信被执行人、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hint="eastAsia" w:cs="宋体" w:asciiTheme="minorEastAsia" w:hAnsiTheme="minorEastAsia"/>
          <w:kern w:val="0"/>
          <w:szCs w:val="21"/>
        </w:rPr>
        <w:t>、</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严重违法失信社会组织名单的社会组织，将拒绝其参与本次政府采购活动；</w:t>
      </w:r>
    </w:p>
    <w:p w14:paraId="2F1612A0">
      <w:pPr>
        <w:pStyle w:val="44"/>
        <w:numPr>
          <w:ilvl w:val="0"/>
          <w:numId w:val="8"/>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投标人无须提供</w:t>
      </w:r>
      <w:r>
        <w:rPr>
          <w:rFonts w:hint="eastAsia" w:ascii="宋体" w:hAnsi="宋体" w:cs="微软雅黑"/>
          <w:bCs/>
          <w:szCs w:val="21"/>
        </w:rPr>
        <w:t>信用记录查询结果网页截屏。</w:t>
      </w:r>
      <w:r>
        <w:rPr>
          <w:rFonts w:hint="eastAsia" w:cs="宋体" w:asciiTheme="minorEastAsia" w:hAnsiTheme="minorEastAsia"/>
          <w:kern w:val="0"/>
          <w:szCs w:val="21"/>
        </w:rPr>
        <w:t>投标人不良信用记录以采购人查询结果为准，采购人查询之后，网站信息发生的任何变更不再作为评审依据，投标人自行提供的与网站信息不一致的其他证明材料亦不作为评审依据。</w:t>
      </w:r>
    </w:p>
    <w:p w14:paraId="388E2886">
      <w:pPr>
        <w:pStyle w:val="44"/>
        <w:numPr>
          <w:ilvl w:val="1"/>
          <w:numId w:val="6"/>
        </w:numPr>
        <w:autoSpaceDE w:val="0"/>
        <w:autoSpaceDN w:val="0"/>
        <w:spacing w:line="360" w:lineRule="auto"/>
        <w:ind w:hanging="964" w:firstLineChars="0"/>
        <w:contextualSpacing/>
        <w:rPr>
          <w:rFonts w:ascii="宋体" w:hAnsi="宋体"/>
          <w:szCs w:val="21"/>
        </w:rPr>
      </w:pPr>
      <w:r>
        <w:rPr>
          <w:rFonts w:hint="eastAsia" w:ascii="宋体" w:hAnsi="宋体"/>
          <w:szCs w:val="21"/>
        </w:rPr>
        <w:t>单位负责人为同一人或者存在直接控股、管理关系的不同供应商，不得同时参加本项目投标。违反规定的，相关投标均无效。</w:t>
      </w:r>
    </w:p>
    <w:p w14:paraId="04C4B3BA">
      <w:pPr>
        <w:pStyle w:val="44"/>
        <w:numPr>
          <w:ilvl w:val="1"/>
          <w:numId w:val="6"/>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2F5FE957">
      <w:pPr>
        <w:pStyle w:val="44"/>
        <w:numPr>
          <w:ilvl w:val="1"/>
          <w:numId w:val="6"/>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“投标邀请”和“投标人须知前附表”规定接受联合体投标的，除应符合本章第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18DD4731">
      <w:pPr>
        <w:pStyle w:val="44"/>
        <w:numPr>
          <w:ilvl w:val="0"/>
          <w:numId w:val="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在投标文件中向采购人提交联合体协议书，明确联合体各方承担的工作和义务；</w:t>
      </w:r>
    </w:p>
    <w:p w14:paraId="38B21F29">
      <w:pPr>
        <w:pStyle w:val="44"/>
        <w:numPr>
          <w:ilvl w:val="0"/>
          <w:numId w:val="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46C1D59A">
      <w:pPr>
        <w:pStyle w:val="44"/>
        <w:numPr>
          <w:ilvl w:val="0"/>
          <w:numId w:val="9"/>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招标人根据采购项目的特殊要求规定投标人特定条件的，联合体各方中至少应当有一方符合采购规定的特定条件。</w:t>
      </w:r>
    </w:p>
    <w:p w14:paraId="3E4E1F9E">
      <w:pPr>
        <w:pStyle w:val="44"/>
        <w:numPr>
          <w:ilvl w:val="0"/>
          <w:numId w:val="9"/>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0B2803E0">
      <w:pPr>
        <w:pStyle w:val="44"/>
        <w:numPr>
          <w:ilvl w:val="0"/>
          <w:numId w:val="9"/>
        </w:numPr>
        <w:autoSpaceDE w:val="0"/>
        <w:autoSpaceDN w:val="0"/>
        <w:spacing w:line="360" w:lineRule="auto"/>
        <w:ind w:left="1418" w:hanging="1416"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cs="宋体" w:asciiTheme="minorEastAsia" w:hAnsiTheme="minorEastAsia"/>
          <w:kern w:val="0"/>
          <w:szCs w:val="21"/>
        </w:rPr>
        <w:t>。</w:t>
      </w:r>
    </w:p>
    <w:p w14:paraId="4AF8C13C">
      <w:pPr>
        <w:pStyle w:val="44"/>
        <w:numPr>
          <w:ilvl w:val="0"/>
          <w:numId w:val="1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6B7D564D">
      <w:pPr>
        <w:pStyle w:val="44"/>
        <w:autoSpaceDE w:val="0"/>
        <w:autoSpaceDN w:val="0"/>
        <w:spacing w:line="360" w:lineRule="auto"/>
        <w:ind w:left="964" w:firstLine="0" w:firstLineChars="0"/>
        <w:contextualSpacing/>
        <w:rPr>
          <w:rFonts w:cs="宋体" w:asciiTheme="minorEastAsia" w:hAnsiTheme="minorEastAsia"/>
          <w:kern w:val="0"/>
          <w:szCs w:val="21"/>
        </w:rPr>
      </w:pPr>
    </w:p>
    <w:p w14:paraId="5FCDBADB">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7B7D4CF1">
      <w:pPr>
        <w:pStyle w:val="44"/>
        <w:numPr>
          <w:ilvl w:val="0"/>
          <w:numId w:val="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40792AFD">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投标人所提供的服务应当没有侵犯任何第三方的知识产权、技术秘密等合法权利。</w:t>
      </w:r>
    </w:p>
    <w:p w14:paraId="4A543B84">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bCs/>
          <w:szCs w:val="21"/>
          <w:lang w:val="en-US" w:eastAsia="zh-CN"/>
        </w:rPr>
        <w:t>根据</w:t>
      </w:r>
      <w:r>
        <w:rPr>
          <w:rFonts w:hint="eastAsia" w:cs="宋体" w:asciiTheme="minorEastAsia" w:hAnsiTheme="minorEastAsia"/>
          <w:bCs/>
          <w:szCs w:val="21"/>
          <w:lang w:val="zh-CN"/>
        </w:rPr>
        <w:t>《财政部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p w14:paraId="1ADF2115">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）要求，投标人所投产品如被列入</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则该产品应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3BF8E2FF">
      <w:pPr>
        <w:pStyle w:val="44"/>
        <w:autoSpaceDE w:val="0"/>
        <w:autoSpaceDN w:val="0"/>
        <w:spacing w:line="360" w:lineRule="auto"/>
        <w:ind w:left="964" w:firstLine="0" w:firstLineChars="0"/>
        <w:contextualSpacing/>
        <w:rPr>
          <w:rFonts w:cs="宋体" w:asciiTheme="minorEastAsia" w:hAnsiTheme="minorEastAsia"/>
          <w:kern w:val="0"/>
          <w:szCs w:val="21"/>
        </w:rPr>
      </w:pPr>
    </w:p>
    <w:p w14:paraId="69A57640">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投标费用</w:t>
      </w:r>
    </w:p>
    <w:p w14:paraId="6B24086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不论投标的结果如何，投标人均应自行承担所有与投标有关的全部费用，招标人在任何情况下均无义务和责任承担这些费用。</w:t>
      </w:r>
    </w:p>
    <w:p w14:paraId="6FF4D369">
      <w:pPr>
        <w:autoSpaceDE w:val="0"/>
        <w:autoSpaceDN w:val="0"/>
        <w:spacing w:line="360" w:lineRule="auto"/>
        <w:ind w:left="964"/>
        <w:contextualSpacing/>
        <w:rPr>
          <w:rFonts w:cs="宋体" w:asciiTheme="minorEastAsia" w:hAnsiTheme="minorEastAsia"/>
          <w:kern w:val="0"/>
          <w:szCs w:val="21"/>
        </w:rPr>
      </w:pPr>
    </w:p>
    <w:p w14:paraId="0CCB1905">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49778EE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本采购项目需要公开的有关信息，包括招标公告、招标文件澄清或修改公告、中标公告以及延长投标截止时间等与招标活动有关的通知，招标人均将通过在《中国政府采购网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14:paraId="73582FAA">
      <w:pPr>
        <w:autoSpaceDE w:val="0"/>
        <w:autoSpaceDN w:val="0"/>
        <w:spacing w:line="360" w:lineRule="auto"/>
        <w:ind w:left="964"/>
        <w:contextualSpacing/>
        <w:rPr>
          <w:rFonts w:cs="宋体" w:asciiTheme="minorEastAsia" w:hAnsiTheme="minorEastAsia"/>
          <w:kern w:val="0"/>
          <w:szCs w:val="21"/>
        </w:rPr>
      </w:pPr>
    </w:p>
    <w:p w14:paraId="275D88F2">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采购代理机构代理费用收取标准和方式</w:t>
      </w:r>
    </w:p>
    <w:p w14:paraId="189DC60B">
      <w:pPr>
        <w:pStyle w:val="44"/>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本项目不收取代理费用。详见投标人须知前附表。</w:t>
      </w:r>
    </w:p>
    <w:p w14:paraId="4D0CEECE">
      <w:pPr>
        <w:pStyle w:val="44"/>
        <w:autoSpaceDE w:val="0"/>
        <w:autoSpaceDN w:val="0"/>
        <w:spacing w:line="360" w:lineRule="auto"/>
        <w:ind w:left="964" w:firstLine="0" w:firstLineChars="0"/>
        <w:contextualSpacing/>
        <w:rPr>
          <w:rFonts w:cs="宋体" w:asciiTheme="minorEastAsia" w:hAnsiTheme="minorEastAsia"/>
          <w:kern w:val="0"/>
          <w:szCs w:val="21"/>
        </w:rPr>
      </w:pPr>
    </w:p>
    <w:p w14:paraId="639DBB16">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0949972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本“投标人须知”的条款如与“投标邀请”、“项目需求”、“投标人须知前附表”和“资格审查与评标”就同一内容的表述不一致的，以“投标邀请”、“ 项目需求”、 “投标人须知前附表”和“资格审查与评标”中规定的内容为准。</w:t>
      </w:r>
    </w:p>
    <w:p w14:paraId="35E3BBFB">
      <w:pPr>
        <w:autoSpaceDE w:val="0"/>
        <w:autoSpaceDN w:val="0"/>
        <w:spacing w:line="360" w:lineRule="auto"/>
        <w:contextualSpacing/>
        <w:rPr>
          <w:rFonts w:cs="宋体" w:asciiTheme="minorEastAsia" w:hAnsiTheme="minorEastAsia"/>
          <w:kern w:val="0"/>
          <w:szCs w:val="21"/>
        </w:rPr>
      </w:pPr>
    </w:p>
    <w:p w14:paraId="5B19BB3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二、招标文件说明</w:t>
      </w:r>
    </w:p>
    <w:p w14:paraId="152D1857">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招标文件构成</w:t>
      </w:r>
    </w:p>
    <w:p w14:paraId="1676EAD5">
      <w:pPr>
        <w:pStyle w:val="44"/>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招标文件由以下部分组成：</w:t>
      </w:r>
    </w:p>
    <w:p w14:paraId="7E15277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（1）投标邀请（招标公告）</w:t>
      </w:r>
    </w:p>
    <w:p w14:paraId="26B04D8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（2）项目需求</w:t>
      </w:r>
    </w:p>
    <w:p w14:paraId="3E4C53D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（3）投标人须知前附表</w:t>
      </w:r>
    </w:p>
    <w:p w14:paraId="0C56A71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（4）投标人须知</w:t>
      </w:r>
    </w:p>
    <w:p w14:paraId="5BDBFD2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0261544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（6）资格审查与评标</w:t>
      </w:r>
    </w:p>
    <w:p w14:paraId="1FDE073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ED9A0C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（8）投标文件有关格式</w:t>
      </w:r>
    </w:p>
    <w:p w14:paraId="0D01F42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（9）本项目招标文件的澄清、答复、修改、补充内容（如有的话）</w:t>
      </w:r>
    </w:p>
    <w:p w14:paraId="1B053682">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470CEF0B">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3C50B795">
      <w:pPr>
        <w:pStyle w:val="44"/>
        <w:autoSpaceDE w:val="0"/>
        <w:autoSpaceDN w:val="0"/>
        <w:spacing w:line="360" w:lineRule="auto"/>
        <w:ind w:left="964" w:firstLine="0" w:firstLineChars="0"/>
        <w:contextualSpacing/>
        <w:rPr>
          <w:rFonts w:cs="宋体" w:asciiTheme="minorEastAsia" w:hAnsiTheme="minorEastAsia"/>
          <w:kern w:val="0"/>
          <w:szCs w:val="21"/>
        </w:rPr>
      </w:pPr>
    </w:p>
    <w:p w14:paraId="07346093">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现场考察、开标前答疑会</w:t>
      </w:r>
    </w:p>
    <w:p w14:paraId="4B1AE322">
      <w:pPr>
        <w:pStyle w:val="44"/>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招标人根据采购项目的具体情况，可以在招标文件公告期满后，组织已获取招标文件的潜在投标人现场考察或者召开开标前答疑会。</w:t>
      </w:r>
    </w:p>
    <w:p w14:paraId="129C9406">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4428D667">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招标人组织现场考察或者召开答疑会的，应当在招标文件中载明，或者在招标文件公告期满后在财政部门指定的政府采购信息发布媒体和《全国公共资源交易平台（河南省·许昌市）》发布更正公告。</w:t>
      </w:r>
    </w:p>
    <w:p w14:paraId="31D1EA42">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34D0B1B0">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现场考察及参加开标前答疑会所发生的费用及一切责任由投标人自行承担。</w:t>
      </w:r>
    </w:p>
    <w:p w14:paraId="0BE62F5B">
      <w:pPr>
        <w:autoSpaceDE w:val="0"/>
        <w:autoSpaceDN w:val="0"/>
        <w:spacing w:line="360" w:lineRule="auto"/>
        <w:ind w:left="420"/>
        <w:contextualSpacing/>
        <w:rPr>
          <w:rFonts w:cs="宋体" w:asciiTheme="minorEastAsia" w:hAnsiTheme="minorEastAsia"/>
          <w:kern w:val="0"/>
          <w:szCs w:val="21"/>
        </w:rPr>
      </w:pPr>
    </w:p>
    <w:p w14:paraId="3E6327D1">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招标文件的澄清或修改</w:t>
      </w:r>
    </w:p>
    <w:p w14:paraId="0F4352BF">
      <w:pPr>
        <w:pStyle w:val="44"/>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在投标截止期前，无论出于何种原因，招标人可主动地或在解答潜在投标人提出的澄清问题时对招标文件进行修改。</w:t>
      </w:r>
    </w:p>
    <w:p w14:paraId="65DCFA25">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招标人可以对已发出的招标文件进行必要的澄清或者修改。澄清或者修改的内容可能影响投标文件编制的，招标人将在投标截止时间</w:t>
      </w:r>
      <w:r>
        <w:rPr>
          <w:rFonts w:cs="宋体" w:asciiTheme="minorEastAsia" w:hAnsiTheme="minorEastAsia"/>
          <w:kern w:val="0"/>
          <w:szCs w:val="21"/>
        </w:rPr>
        <w:t>15</w:t>
      </w:r>
      <w:r>
        <w:rPr>
          <w:rFonts w:hint="eastAsia" w:cs="宋体" w:asciiTheme="minorEastAsia" w:hAnsiTheme="minorEastAsia"/>
          <w:kern w:val="0"/>
          <w:szCs w:val="21"/>
        </w:rPr>
        <w:t>日前，在财政部门指定的政府采购信息发布媒体和《全国公共资源交易平台（河南省·许昌市）》发布更正公告。</w:t>
      </w:r>
    </w:p>
    <w:p w14:paraId="3490A00F">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澄清或修改公告的内容为招标文件的组成部分，并对投标人具有约束力。当招标文件与澄清或修改公告就同一内容的表述不一致时，以最后发出的文件内容为准。</w:t>
      </w:r>
    </w:p>
    <w:p w14:paraId="31745E0E">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如果澄清或者修改发出的时间距规定的投标截止时间不足15日，招标人将顺延提交投标文件的截止时间。</w:t>
      </w:r>
    </w:p>
    <w:p w14:paraId="3C14C713">
      <w:pPr>
        <w:autoSpaceDE w:val="0"/>
        <w:autoSpaceDN w:val="0"/>
        <w:spacing w:line="360" w:lineRule="auto"/>
        <w:contextualSpacing/>
        <w:rPr>
          <w:rFonts w:cs="宋体" w:asciiTheme="minorEastAsia" w:hAnsiTheme="minorEastAsia"/>
          <w:kern w:val="0"/>
          <w:szCs w:val="21"/>
        </w:rPr>
      </w:pPr>
    </w:p>
    <w:p w14:paraId="14A7B34F">
      <w:pPr>
        <w:autoSpaceDE w:val="0"/>
        <w:autoSpaceDN w:val="0"/>
        <w:spacing w:line="360" w:lineRule="auto"/>
        <w:contextualSpacing/>
        <w:rPr>
          <w:rFonts w:cs="宋体" w:asciiTheme="minorEastAsia" w:hAnsiTheme="minorEastAsia"/>
          <w:kern w:val="0"/>
          <w:szCs w:val="21"/>
        </w:rPr>
      </w:pPr>
    </w:p>
    <w:p w14:paraId="1F457160">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三、投标文件的编制</w:t>
      </w:r>
    </w:p>
    <w:p w14:paraId="2D1D0A47">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投标的语言及计量单位</w:t>
      </w:r>
    </w:p>
    <w:p w14:paraId="54796A6A">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投标人提交的投标文件以及投标人与招标人就有关投标事宜的所有来往书面文件均应使用中文。除签名、盖章、专用名称等特殊情形外，以中文以外的文字表述的投标文件视同未提供。</w:t>
      </w:r>
    </w:p>
    <w:p w14:paraId="5C215A24">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投标计量单位，招标文件已有明确规定的，使用招标文件规定的计量单位；招标文件没有规定的，一律采用中华人民共和国法定计量单位。</w:t>
      </w:r>
    </w:p>
    <w:p w14:paraId="6F63361B">
      <w:pPr>
        <w:pStyle w:val="44"/>
        <w:autoSpaceDE w:val="0"/>
        <w:autoSpaceDN w:val="0"/>
        <w:spacing w:line="360" w:lineRule="auto"/>
        <w:ind w:left="964" w:firstLine="0" w:firstLineChars="0"/>
        <w:contextualSpacing/>
        <w:rPr>
          <w:rFonts w:cs="宋体" w:asciiTheme="minorEastAsia" w:hAnsiTheme="minorEastAsia"/>
          <w:kern w:val="0"/>
          <w:szCs w:val="21"/>
        </w:rPr>
      </w:pPr>
    </w:p>
    <w:p w14:paraId="3F2FD9E6">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投标报价</w:t>
      </w:r>
    </w:p>
    <w:p w14:paraId="73507F90">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本次招标项目的投标均以人民币为计算单位。</w:t>
      </w:r>
    </w:p>
    <w:p w14:paraId="2FE1CBA5">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采购人不得向投标人索要或者接受其给予的赠品、回扣或者与采购无关的其他商品、服务。</w:t>
      </w:r>
    </w:p>
    <w:p w14:paraId="3FD498B2">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投标人应对项目要求的全部内容进行报价，少报漏报将导致其投标为非实质性响应予以拒绝。</w:t>
      </w:r>
    </w:p>
    <w:p w14:paraId="4EC8A76E">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35612CD9">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本项目所涉及的运输、施工、安装、集成、调试、验收、备品和工具等费用均包含在投标报价中。</w:t>
      </w:r>
    </w:p>
    <w:p w14:paraId="3C5B952E">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本次招标不接受可选择或可调整的投标方案和报价，任何有选择的或可调整的投标方案和报价将被视为非实质性响应投标而作无效投标处理。</w:t>
      </w:r>
    </w:p>
    <w:p w14:paraId="10FFBA45">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报价不得高于本项目最高限价，且不低于成本价。本次招标实行“最高限价（项目控制金额上限）”</w:t>
      </w:r>
      <w:r>
        <w:rPr>
          <w:rFonts w:hint="eastAsia" w:cs="宋体" w:asciiTheme="minorEastAsia" w:hAnsiTheme="minorEastAsia"/>
          <w:kern w:val="0"/>
          <w:szCs w:val="21"/>
          <w:lang w:eastAsia="zh-CN"/>
        </w:rPr>
        <w:t>，</w:t>
      </w:r>
      <w:r>
        <w:rPr>
          <w:rFonts w:hint="eastAsia" w:cs="宋体" w:asciiTheme="minorEastAsia" w:hAnsiTheme="minorEastAsia"/>
          <w:kern w:val="0"/>
          <w:szCs w:val="21"/>
        </w:rPr>
        <w:t>投标人的投标报价高于最高限价（项目控制金额上限）的，该投标人的投标文件将被视为非实质性响应予以拒绝。</w:t>
      </w:r>
    </w:p>
    <w:p w14:paraId="6A7935B9">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最低报价不能作为中标的保证。</w:t>
      </w:r>
    </w:p>
    <w:p w14:paraId="399D151A">
      <w:pPr>
        <w:autoSpaceDE w:val="0"/>
        <w:autoSpaceDN w:val="0"/>
        <w:spacing w:line="360" w:lineRule="auto"/>
        <w:ind w:left="420"/>
        <w:contextualSpacing/>
        <w:rPr>
          <w:rFonts w:cs="宋体" w:asciiTheme="minorEastAsia" w:hAnsiTheme="minorEastAsia"/>
          <w:kern w:val="0"/>
          <w:szCs w:val="21"/>
        </w:rPr>
      </w:pPr>
    </w:p>
    <w:p w14:paraId="62863C94">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投标有效期</w:t>
      </w:r>
    </w:p>
    <w:p w14:paraId="768AFC75">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6B0577C">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投标有效期内投标人撤销投标文件的，投标人将承担违背投标承诺函的责任追究。</w:t>
      </w:r>
    </w:p>
    <w:p w14:paraId="1B83BBFF">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14:paraId="03A639D3">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中标人的投标文件作为项目合同的附件，其有效期至中标人全部合同义务履行完毕为止。</w:t>
      </w:r>
    </w:p>
    <w:p w14:paraId="59E228BE">
      <w:pPr>
        <w:pStyle w:val="44"/>
        <w:autoSpaceDE w:val="0"/>
        <w:autoSpaceDN w:val="0"/>
        <w:spacing w:line="360" w:lineRule="auto"/>
        <w:ind w:left="964" w:firstLine="0" w:firstLineChars="0"/>
        <w:contextualSpacing/>
        <w:rPr>
          <w:rFonts w:cs="宋体" w:asciiTheme="minorEastAsia" w:hAnsiTheme="minorEastAsia"/>
          <w:kern w:val="0"/>
          <w:szCs w:val="21"/>
        </w:rPr>
      </w:pPr>
    </w:p>
    <w:p w14:paraId="2C3DBA1F">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投标文件构成</w:t>
      </w:r>
    </w:p>
    <w:p w14:paraId="04121391">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投标文件的构成应符合法律法规及招标文件的要求。</w:t>
      </w:r>
    </w:p>
    <w:p w14:paraId="479E9290">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投标人应当按照招标文件的要求编制投标文件。投标文件应当对招标文件提出的要求和条件作出明确响应。</w:t>
      </w:r>
    </w:p>
    <w:p w14:paraId="1C738AEB">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投标文件由资格证明材料、符合性证明材料、其它材料等组成。</w:t>
      </w:r>
    </w:p>
    <w:p w14:paraId="44349BD3">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0B6EF80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840" w:leftChars="0" w:right="0" w:rightChars="0" w:hanging="840" w:hangingChars="400"/>
        <w:jc w:val="both"/>
        <w:textAlignment w:val="auto"/>
        <w:rPr>
          <w:rFonts w:hint="eastAsia" w:cs="宋体" w:asciiTheme="minorEastAsia" w:hAnsiTheme="minorEastAsia" w:eastAsiaTheme="minorEastAsia"/>
          <w:color w:val="FF0000"/>
          <w:kern w:val="0"/>
          <w:sz w:val="21"/>
          <w:szCs w:val="21"/>
          <w:lang w:val="en-US" w:eastAsia="zh-CN" w:bidi="ar-SA"/>
        </w:rPr>
      </w:pPr>
      <w:r>
        <w:rPr>
          <w:rFonts w:hint="eastAsia" w:cs="宋体" w:asciiTheme="minorEastAsia" w:hAnsiTheme="minorEastAsia" w:eastAsiaTheme="minorEastAsia"/>
          <w:color w:val="FF0000"/>
          <w:kern w:val="0"/>
          <w:sz w:val="21"/>
          <w:szCs w:val="21"/>
          <w:lang w:val="en-US" w:eastAsia="zh-CN" w:bidi="ar-SA"/>
        </w:rPr>
        <w:t>15.5    投标人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442801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cs="宋体" w:asciiTheme="minorEastAsia" w:hAnsiTheme="minorEastAsia"/>
          <w:kern w:val="0"/>
          <w:szCs w:val="21"/>
        </w:rPr>
      </w:pPr>
      <w:r>
        <w:rPr>
          <w:rFonts w:hint="eastAsia" w:cs="宋体" w:asciiTheme="minorEastAsia" w:hAnsiTheme="minorEastAsia" w:eastAsiaTheme="minorEastAsia"/>
          <w:color w:val="FF0000"/>
          <w:kern w:val="0"/>
          <w:sz w:val="21"/>
          <w:szCs w:val="21"/>
          <w:lang w:val="en-US" w:eastAsia="zh-CN" w:bidi="ar-SA"/>
        </w:rPr>
        <w:t>15.6     电子响应文件制作技术咨询：0374-2961598。</w:t>
      </w:r>
    </w:p>
    <w:p w14:paraId="40F98800">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投标文件格式</w:t>
      </w:r>
    </w:p>
    <w:p w14:paraId="2CC009D0">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投标文件参照招标文件第八部分（投标文件有关格式）的内容要求、编排顺序和格式要求，以A4幅面编上唯一的连贯页码，并在投标文件封面上注明：所投项目名称、项目编号、投标人名称、日期等字样。</w:t>
      </w:r>
    </w:p>
    <w:p w14:paraId="0CABACD8">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招标文件未提供标准格式的投标人可自行拟定。</w:t>
      </w:r>
    </w:p>
    <w:p w14:paraId="2E8AB338">
      <w:pPr>
        <w:autoSpaceDE w:val="0"/>
        <w:autoSpaceDN w:val="0"/>
        <w:spacing w:line="360" w:lineRule="auto"/>
        <w:ind w:left="420"/>
        <w:contextualSpacing/>
        <w:rPr>
          <w:rFonts w:cs="宋体" w:asciiTheme="minorEastAsia" w:hAnsiTheme="minorEastAsia"/>
          <w:kern w:val="0"/>
          <w:szCs w:val="21"/>
        </w:rPr>
      </w:pPr>
    </w:p>
    <w:p w14:paraId="3D8904AB">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投标保证金</w:t>
      </w:r>
    </w:p>
    <w:p w14:paraId="0989D474">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本项目不收取投标保证金。</w:t>
      </w:r>
    </w:p>
    <w:p w14:paraId="11FF4220">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投标人应提供投标承诺函。</w:t>
      </w:r>
    </w:p>
    <w:p w14:paraId="5705B75A">
      <w:pPr>
        <w:pStyle w:val="44"/>
        <w:autoSpaceDE w:val="0"/>
        <w:autoSpaceDN w:val="0"/>
        <w:spacing w:line="360" w:lineRule="auto"/>
        <w:ind w:left="964" w:firstLine="0" w:firstLineChars="0"/>
        <w:contextualSpacing/>
        <w:rPr>
          <w:rFonts w:cs="宋体" w:asciiTheme="minorEastAsia" w:hAnsiTheme="minorEastAsia"/>
          <w:kern w:val="0"/>
          <w:szCs w:val="21"/>
        </w:rPr>
      </w:pPr>
    </w:p>
    <w:p w14:paraId="6094E855">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投标文件的数量和签署盖章</w:t>
      </w:r>
    </w:p>
    <w:p w14:paraId="4CFD46CE">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投标人应提交投标文件份数见“投标人须知前附表”。</w:t>
      </w:r>
    </w:p>
    <w:p w14:paraId="2E918311">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在招标文件中已明示需盖章及签名之处，电子投标文件应按招标文件要求加盖投标人电子印章和法人电子印章或授权代表电子印章。</w:t>
      </w:r>
    </w:p>
    <w:p w14:paraId="72379A9B">
      <w:pPr>
        <w:tabs>
          <w:tab w:val="left" w:pos="1260"/>
        </w:tabs>
        <w:autoSpaceDE w:val="0"/>
        <w:autoSpaceDN w:val="0"/>
        <w:spacing w:line="360" w:lineRule="auto"/>
        <w:contextualSpacing/>
        <w:rPr>
          <w:rFonts w:cs="仿宋_GB2312" w:asciiTheme="minorEastAsia" w:hAnsiTheme="minorEastAsia"/>
          <w:szCs w:val="21"/>
          <w:lang w:val="zh-CN"/>
        </w:rPr>
      </w:pPr>
    </w:p>
    <w:p w14:paraId="5E7B62AF">
      <w:pPr>
        <w:tabs>
          <w:tab w:val="left" w:pos="1260"/>
        </w:tabs>
        <w:autoSpaceDE w:val="0"/>
        <w:autoSpaceDN w:val="0"/>
        <w:spacing w:line="360" w:lineRule="auto"/>
        <w:contextualSpacing/>
        <w:rPr>
          <w:rFonts w:cs="仿宋_GB2312" w:asciiTheme="minorEastAsia" w:hAnsiTheme="minorEastAsia"/>
          <w:szCs w:val="21"/>
          <w:lang w:val="zh-CN"/>
        </w:rPr>
      </w:pPr>
    </w:p>
    <w:p w14:paraId="52266F2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四、投标文件的提交</w:t>
      </w:r>
    </w:p>
    <w:p w14:paraId="19D0A2DA">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投标截止时间</w:t>
      </w:r>
    </w:p>
    <w:p w14:paraId="43E534AB">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投标人必须在“投标邀请”和“投标人须知前附表”中规定的投标截止时间前，将</w:t>
      </w:r>
      <w:r>
        <w:rPr>
          <w:rFonts w:hint="eastAsia" w:cs="仿宋_GB2312" w:asciiTheme="minorEastAsia" w:hAnsiTheme="minorEastAsia"/>
          <w:szCs w:val="21"/>
        </w:rPr>
        <w:t>加密电子投标文件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w:t>
      </w:r>
      <w:r>
        <w:rPr>
          <w:rFonts w:hint="eastAsia" w:cs="仿宋_GB2312" w:asciiTheme="minorEastAsia" w:hAnsiTheme="minorEastAsia"/>
          <w:szCs w:val="21"/>
          <w:lang w:eastAsia="zh-CN"/>
        </w:rPr>
        <w:t>（</w:t>
      </w:r>
      <w:r>
        <w:rPr>
          <w:rFonts w:hint="eastAsia" w:cs="仿宋_GB2312" w:asciiTheme="minorEastAsia" w:hAnsiTheme="minorEastAsia"/>
          <w:szCs w:val="21"/>
        </w:rPr>
        <w:t>河南省</w:t>
      </w:r>
      <w:r>
        <w:rPr>
          <w:rFonts w:hint="eastAsia" w:ascii="MS Mincho" w:hAnsi="MS Mincho" w:eastAsia="MS Mincho" w:cs="MS Mincho"/>
          <w:szCs w:val="21"/>
        </w:rPr>
        <w:t>▪</w:t>
      </w:r>
      <w:r>
        <w:rPr>
          <w:rFonts w:hint="eastAsia" w:ascii="宋体" w:hAnsi="宋体" w:cs="宋体"/>
          <w:szCs w:val="21"/>
        </w:rPr>
        <w:t>许昌市</w:t>
      </w:r>
      <w:r>
        <w:rPr>
          <w:rFonts w:hint="eastAsia" w:ascii="宋体" w:hAnsi="宋体" w:cs="宋体"/>
          <w:szCs w:val="21"/>
          <w:lang w:eastAsia="zh-CN"/>
        </w:rPr>
        <w:t>）</w:t>
      </w:r>
      <w:r>
        <w:rPr>
          <w:rFonts w:hint="eastAsia" w:cs="仿宋_GB2312" w:asciiTheme="minorEastAsia" w:hAnsiTheme="minorEastAsia"/>
          <w:szCs w:val="21"/>
        </w:rPr>
        <w:t>》公共资源交易系统成功上传。</w:t>
      </w:r>
    </w:p>
    <w:p w14:paraId="132EB738">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7DF78F15">
      <w:pPr>
        <w:pStyle w:val="44"/>
        <w:autoSpaceDE w:val="0"/>
        <w:autoSpaceDN w:val="0"/>
        <w:spacing w:line="360" w:lineRule="auto"/>
        <w:ind w:left="964" w:firstLine="0" w:firstLineChars="0"/>
        <w:contextualSpacing/>
        <w:rPr>
          <w:rFonts w:cs="宋体" w:asciiTheme="minorEastAsia" w:hAnsiTheme="minorEastAsia"/>
          <w:kern w:val="0"/>
          <w:szCs w:val="21"/>
        </w:rPr>
      </w:pPr>
    </w:p>
    <w:p w14:paraId="5A25A5A0">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迟交的投标文件</w:t>
      </w:r>
    </w:p>
    <w:p w14:paraId="082EE25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投标截止时间之后上传的投标文件，招标人将拒绝接收。</w:t>
      </w:r>
    </w:p>
    <w:p w14:paraId="4CCA6446">
      <w:pPr>
        <w:autoSpaceDE w:val="0"/>
        <w:autoSpaceDN w:val="0"/>
        <w:spacing w:line="360" w:lineRule="auto"/>
        <w:ind w:left="964"/>
        <w:contextualSpacing/>
        <w:rPr>
          <w:rFonts w:cs="宋体" w:asciiTheme="minorEastAsia" w:hAnsiTheme="minorEastAsia"/>
          <w:kern w:val="0"/>
          <w:szCs w:val="21"/>
        </w:rPr>
      </w:pPr>
    </w:p>
    <w:p w14:paraId="37CAACE9">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投标文件的修改和撤回</w:t>
      </w:r>
    </w:p>
    <w:p w14:paraId="542C3C8F">
      <w:pPr>
        <w:pStyle w:val="44"/>
        <w:numPr>
          <w:ilvl w:val="0"/>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投标人在投标截止时间前，对投标文件进行补充、修改或者撤回的，须书面通知招标人。</w:t>
      </w:r>
    </w:p>
    <w:p w14:paraId="1F09ED89">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投标人应当在投标截止时间前完成电子投标文件的提交，可以补充、修改或撤回。投标截止时间前未完成电子投标文件提交的，视为撤回投标文件。</w:t>
      </w:r>
    </w:p>
    <w:p w14:paraId="3F04EDFC">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投标人补充、修改的内容并作为投标文件的组成部分。补充或修改应当按招标文件要求签署、盖章、提交，并应注明“修改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74C03089">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投标人在提交投标文件后，可以撤回其投标，但投标人必须在规定的投标截止时间前以书面形式告知招标人。</w:t>
      </w:r>
    </w:p>
    <w:p w14:paraId="15773A20">
      <w:pPr>
        <w:pStyle w:val="44"/>
        <w:numPr>
          <w:ilvl w:val="1"/>
          <w:numId w:val="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投标人不得在投标有效期内撤销投标文件，否则投标人将承担违背投标承诺函的责任追究。</w:t>
      </w:r>
    </w:p>
    <w:p w14:paraId="77428CDA">
      <w:pPr>
        <w:autoSpaceDE w:val="0"/>
        <w:autoSpaceDN w:val="0"/>
        <w:spacing w:line="360" w:lineRule="auto"/>
        <w:ind w:left="420"/>
        <w:contextualSpacing/>
        <w:rPr>
          <w:rFonts w:cs="宋体" w:asciiTheme="minorEastAsia" w:hAnsiTheme="minorEastAsia"/>
          <w:kern w:val="0"/>
          <w:szCs w:val="21"/>
        </w:rPr>
      </w:pPr>
    </w:p>
    <w:p w14:paraId="2CF34F5F">
      <w:pPr>
        <w:pStyle w:val="44"/>
        <w:numPr>
          <w:ilvl w:val="0"/>
          <w:numId w:val="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除投标人须知前附表另有规定外，投标人所提交的电子投标文件不予退还。</w:t>
      </w:r>
    </w:p>
    <w:p w14:paraId="02F3E134">
      <w:pPr>
        <w:autoSpaceDE w:val="0"/>
        <w:autoSpaceDN w:val="0"/>
        <w:spacing w:line="360" w:lineRule="auto"/>
        <w:contextualSpacing/>
        <w:rPr>
          <w:rFonts w:cs="宋体" w:asciiTheme="minorEastAsia" w:hAnsiTheme="minorEastAsia"/>
          <w:kern w:val="0"/>
          <w:szCs w:val="21"/>
        </w:rPr>
      </w:pPr>
    </w:p>
    <w:p w14:paraId="01D39EEE">
      <w:pPr>
        <w:autoSpaceDE w:val="0"/>
        <w:autoSpaceDN w:val="0"/>
        <w:spacing w:line="360" w:lineRule="auto"/>
        <w:contextualSpacing/>
        <w:rPr>
          <w:rFonts w:cs="宋体" w:asciiTheme="minorEastAsia" w:hAnsiTheme="minorEastAsia"/>
          <w:kern w:val="0"/>
          <w:szCs w:val="21"/>
        </w:rPr>
      </w:pPr>
    </w:p>
    <w:p w14:paraId="49EB058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五、开标和评标</w:t>
      </w:r>
    </w:p>
    <w:p w14:paraId="7AB520C8">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23.</w:t>
      </w:r>
      <w:r>
        <w:rPr>
          <w:rFonts w:hint="eastAsia" w:cs="宋体" w:asciiTheme="minorEastAsia" w:hAnsiTheme="minorEastAsia"/>
          <w:b/>
          <w:color w:val="auto"/>
          <w:kern w:val="0"/>
          <w:szCs w:val="21"/>
          <w:highlight w:val="none"/>
        </w:rPr>
        <w:t>开标</w:t>
      </w:r>
    </w:p>
    <w:p w14:paraId="4A2C528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23.1 </w:t>
      </w:r>
      <w:r>
        <w:rPr>
          <w:rFonts w:hint="eastAsia" w:cs="宋体" w:asciiTheme="minorEastAsia" w:hAnsiTheme="minorEastAsia"/>
          <w:color w:val="auto"/>
          <w:kern w:val="0"/>
          <w:szCs w:val="21"/>
          <w:highlight w:val="none"/>
        </w:rPr>
        <w:t>招标人将按招标文件规定的时间和地点组织远程不见面开标。开标由代理机构主持，投标人无须到现场。评标委员会成员不得参加开标活动。</w:t>
      </w:r>
    </w:p>
    <w:p w14:paraId="44AC6B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23.2 </w:t>
      </w:r>
      <w:r>
        <w:rPr>
          <w:rFonts w:hint="eastAsia" w:cs="宋体" w:asciiTheme="minorEastAsia" w:hAnsiTheme="minorEastAsia"/>
          <w:color w:val="auto"/>
          <w:kern w:val="0"/>
          <w:szCs w:val="21"/>
          <w:highlight w:val="none"/>
        </w:rPr>
        <w:t>招标人应当对开标、评标现场活动进行全程录音录像。录音录像应当清晰可辨，音像资料作为采购文件一并存档。</w:t>
      </w:r>
    </w:p>
    <w:p w14:paraId="5D5C752C">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 </w:t>
      </w:r>
      <w:r>
        <w:rPr>
          <w:rFonts w:hint="eastAsia" w:cs="宋体" w:asciiTheme="minorEastAsia" w:hAnsiTheme="minorEastAsia"/>
          <w:color w:val="auto"/>
          <w:kern w:val="0"/>
          <w:szCs w:val="21"/>
          <w:highlight w:val="none"/>
        </w:rPr>
        <w:t>开标时，由代理机构开通远程不见面开标大厅及开启“文字互动”等功能；投标人、代理机构进行电子投标文件的解密。解密后</w:t>
      </w:r>
      <w:r>
        <w:rPr>
          <w:rFonts w:hint="eastAsia" w:asciiTheme="minorEastAsia" w:hAnsiTheme="minorEastAsia"/>
          <w:color w:val="auto"/>
          <w:szCs w:val="21"/>
          <w:highlight w:val="none"/>
        </w:rPr>
        <w:t>投标人选择功能栏“开标记录”按钮可查看</w:t>
      </w:r>
      <w:r>
        <w:rPr>
          <w:rFonts w:hint="eastAsia" w:cs="宋体" w:asciiTheme="minorEastAsia" w:hAnsiTheme="minorEastAsia"/>
          <w:color w:val="auto"/>
          <w:kern w:val="0"/>
          <w:szCs w:val="21"/>
          <w:highlight w:val="none"/>
        </w:rPr>
        <w:t>投标人名称、投标价格、修改和撤回投标的通知（如有的话）和招标文件规定的需要宣布的其他内容。</w:t>
      </w:r>
    </w:p>
    <w:p w14:paraId="6B3119F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 </w:t>
      </w:r>
      <w:r>
        <w:rPr>
          <w:rFonts w:hint="eastAsia" w:cs="宋体" w:asciiTheme="minorEastAsia" w:hAnsiTheme="minorEastAsia"/>
          <w:color w:val="auto"/>
          <w:kern w:val="0"/>
          <w:szCs w:val="21"/>
          <w:highlight w:val="none"/>
        </w:rPr>
        <w:t>电子投标文件的解密。全流程电子化交易项目电子投标文件采用双重加密。解密需分标段进行两次解密。</w:t>
      </w:r>
    </w:p>
    <w:p w14:paraId="478D1B1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23.3.1.1 </w:t>
      </w:r>
      <w:r>
        <w:rPr>
          <w:rFonts w:hint="eastAsia" w:cs="宋体" w:asciiTheme="minorEastAsia" w:hAnsiTheme="minorEastAsia"/>
          <w:color w:val="auto"/>
          <w:kern w:val="0"/>
          <w:szCs w:val="21"/>
          <w:highlight w:val="none"/>
        </w:rPr>
        <w:t>投标人解密：投标人使用本单位CA数字证书远程进行解密。</w:t>
      </w:r>
    </w:p>
    <w:p w14:paraId="18D37275">
      <w:pPr>
        <w:keepNext w:val="0"/>
        <w:keepLines w:val="0"/>
        <w:pageBreakBefore w:val="0"/>
        <w:widowControl/>
        <w:kinsoku/>
        <w:wordWrap/>
        <w:overflowPunct/>
        <w:topLinePunct w:val="0"/>
        <w:autoSpaceDE w:val="0"/>
        <w:autoSpaceDN w:val="0"/>
        <w:bidi w:val="0"/>
        <w:adjustRightInd/>
        <w:snapToGrid/>
        <w:spacing w:line="360" w:lineRule="auto"/>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23.3.1.2 代理机构解密：代理机构</w:t>
      </w:r>
      <w:r>
        <w:rPr>
          <w:rFonts w:cs="宋体" w:asciiTheme="minorEastAsia" w:hAnsiTheme="minorEastAsia"/>
          <w:color w:val="auto"/>
          <w:kern w:val="0"/>
          <w:szCs w:val="21"/>
          <w:highlight w:val="none"/>
        </w:rPr>
        <w:t>按</w:t>
      </w:r>
      <w:r>
        <w:rPr>
          <w:rFonts w:hint="eastAsia" w:cs="宋体" w:asciiTheme="minorEastAsia" w:hAnsiTheme="minorEastAsia"/>
          <w:color w:val="auto"/>
          <w:kern w:val="0"/>
          <w:szCs w:val="21"/>
          <w:highlight w:val="none"/>
        </w:rPr>
        <w:t>电子</w:t>
      </w:r>
      <w:r>
        <w:rPr>
          <w:rFonts w:cs="宋体" w:asciiTheme="minorEastAsia" w:hAnsiTheme="minorEastAsia"/>
          <w:color w:val="auto"/>
          <w:kern w:val="0"/>
          <w:szCs w:val="21"/>
          <w:highlight w:val="none"/>
        </w:rPr>
        <w:t>投标</w:t>
      </w:r>
      <w:r>
        <w:rPr>
          <w:rFonts w:hint="eastAsia" w:cs="宋体" w:asciiTheme="minorEastAsia" w:hAnsiTheme="minorEastAsia"/>
          <w:color w:val="auto"/>
          <w:kern w:val="0"/>
          <w:szCs w:val="21"/>
          <w:highlight w:val="none"/>
        </w:rPr>
        <w:t>文件到达交易系统</w:t>
      </w:r>
      <w:r>
        <w:rPr>
          <w:rFonts w:cs="宋体" w:asciiTheme="minorEastAsia" w:hAnsiTheme="minorEastAsia"/>
          <w:color w:val="auto"/>
          <w:kern w:val="0"/>
          <w:szCs w:val="21"/>
          <w:highlight w:val="none"/>
        </w:rPr>
        <w:t>的先后顺序</w:t>
      </w:r>
      <w:r>
        <w:rPr>
          <w:rFonts w:hint="eastAsia" w:cs="宋体" w:asciiTheme="minorEastAsia" w:hAnsiTheme="minorEastAsia"/>
          <w:color w:val="auto"/>
          <w:kern w:val="0"/>
          <w:szCs w:val="21"/>
          <w:highlight w:val="none"/>
        </w:rPr>
        <w:t>，使用本单位CA数字证书进行再次解密。</w:t>
      </w:r>
    </w:p>
    <w:p w14:paraId="0368545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23.3.1.3 </w:t>
      </w:r>
      <w:r>
        <w:rPr>
          <w:rFonts w:hint="eastAsia" w:cs="宋体" w:asciiTheme="minorEastAsia" w:hAnsiTheme="minorEastAsia"/>
          <w:color w:val="auto"/>
          <w:kern w:val="0"/>
          <w:szCs w:val="21"/>
          <w:highlight w:val="none"/>
        </w:rPr>
        <w:t>因投标人原因电子投标文件解密失败的，其投标将被拒绝。</w:t>
      </w:r>
    </w:p>
    <w:p w14:paraId="495B6B3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23.3.2 </w:t>
      </w:r>
      <w:r>
        <w:rPr>
          <w:rFonts w:hint="eastAsia" w:cs="宋体" w:asciiTheme="minorEastAsia" w:hAnsiTheme="minorEastAsia"/>
          <w:color w:val="auto"/>
          <w:kern w:val="0"/>
          <w:szCs w:val="21"/>
          <w:highlight w:val="none"/>
        </w:rPr>
        <w:t>投标人不足3家的，不得开标。</w:t>
      </w:r>
    </w:p>
    <w:p w14:paraId="556694A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23.3.3 </w:t>
      </w:r>
      <w:r>
        <w:rPr>
          <w:rFonts w:hint="eastAsia" w:cs="宋体" w:asciiTheme="minorEastAsia" w:hAnsiTheme="minorEastAsia"/>
          <w:color w:val="auto"/>
          <w:kern w:val="0"/>
          <w:szCs w:val="21"/>
          <w:highlight w:val="none"/>
        </w:rPr>
        <w:t>开标过程由采购代理机构负责记录，</w:t>
      </w:r>
      <w:r>
        <w:rPr>
          <w:rFonts w:hint="eastAsia" w:hAnsi="宋体"/>
          <w:color w:val="auto"/>
          <w:szCs w:val="21"/>
          <w:highlight w:val="none"/>
        </w:rPr>
        <w:t>《开标记录表》经投标人进行电子签章、</w:t>
      </w:r>
      <w:r>
        <w:rPr>
          <w:rFonts w:hint="eastAsia" w:cs="宋体" w:asciiTheme="minorEastAsia" w:hAnsiTheme="minorEastAsia"/>
          <w:color w:val="auto"/>
          <w:kern w:val="0"/>
          <w:szCs w:val="21"/>
          <w:highlight w:val="none"/>
        </w:rPr>
        <w:t>由参加开标相关工作人员签字确认后随采购文件一并存档。</w:t>
      </w:r>
      <w:r>
        <w:rPr>
          <w:rFonts w:hint="eastAsia" w:hAnsi="宋体"/>
          <w:color w:val="auto"/>
          <w:szCs w:val="21"/>
          <w:highlight w:val="none"/>
        </w:rPr>
        <w:t>投标人未电子签章的，视同认可开标结果。</w:t>
      </w:r>
    </w:p>
    <w:p w14:paraId="0CF66AA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23.3.4 </w:t>
      </w:r>
      <w:r>
        <w:rPr>
          <w:rFonts w:hint="eastAsia" w:cs="宋体" w:asciiTheme="minorEastAsia" w:hAnsiTheme="minorEastAsia"/>
          <w:color w:val="auto"/>
          <w:kern w:val="0"/>
          <w:szCs w:val="21"/>
          <w:highlight w:val="none"/>
        </w:rPr>
        <w:t>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585F55E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23.3.5 </w:t>
      </w:r>
      <w:r>
        <w:rPr>
          <w:rFonts w:hint="eastAsia" w:cs="宋体" w:asciiTheme="minorEastAsia" w:hAnsiTheme="minorEastAsia"/>
          <w:color w:val="auto"/>
          <w:kern w:val="0"/>
          <w:szCs w:val="21"/>
          <w:highlight w:val="none"/>
        </w:rPr>
        <w:t>项目远程不见面开标活动结束时，投标人应在《开标记录表》上进行电子签章。投标人未签章的，视同认可开标结果。</w:t>
      </w:r>
    </w:p>
    <w:p w14:paraId="729732E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24.</w:t>
      </w:r>
      <w:r>
        <w:rPr>
          <w:rFonts w:hint="eastAsia" w:cs="宋体" w:asciiTheme="minorEastAsia" w:hAnsiTheme="minorEastAsia"/>
          <w:b/>
          <w:color w:val="auto"/>
          <w:kern w:val="0"/>
          <w:szCs w:val="21"/>
          <w:highlight w:val="none"/>
        </w:rPr>
        <w:t>资格审查</w:t>
      </w:r>
    </w:p>
    <w:p w14:paraId="6F71AAD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开标结束后，采购人依法对投标人的资格进行审查。合格投标人不足3家的，不得评标。</w:t>
      </w:r>
    </w:p>
    <w:p w14:paraId="0B7274A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25.</w:t>
      </w:r>
      <w:r>
        <w:rPr>
          <w:rFonts w:hint="eastAsia" w:cs="宋体" w:asciiTheme="minorEastAsia" w:hAnsiTheme="minorEastAsia"/>
          <w:b/>
          <w:color w:val="auto"/>
          <w:kern w:val="0"/>
          <w:szCs w:val="21"/>
          <w:highlight w:val="none"/>
        </w:rPr>
        <w:t>评标委员会的组成</w:t>
      </w:r>
    </w:p>
    <w:p w14:paraId="28AF99E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 </w:t>
      </w:r>
      <w:r>
        <w:rPr>
          <w:rFonts w:hint="eastAsia" w:cs="宋体" w:asciiTheme="minorEastAsia" w:hAnsiTheme="minorEastAsia"/>
          <w:color w:val="auto"/>
          <w:kern w:val="0"/>
          <w:szCs w:val="21"/>
          <w:highlight w:val="none"/>
        </w:rPr>
        <w:t>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14:paraId="4FA43CB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25.1.1 </w:t>
      </w:r>
      <w:r>
        <w:rPr>
          <w:rFonts w:hint="eastAsia" w:cs="宋体" w:asciiTheme="minorEastAsia" w:hAnsiTheme="minorEastAsia"/>
          <w:color w:val="auto"/>
          <w:kern w:val="0"/>
          <w:szCs w:val="21"/>
          <w:highlight w:val="none"/>
        </w:rPr>
        <w:t>招标人将依法组建评标委员会，评标委员会由评审专家组成，成员人数应当为5人以上单数。评审专家依法从政府采购评审专家库中随机抽取。</w:t>
      </w:r>
    </w:p>
    <w:p w14:paraId="07A9328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25.1.2 </w:t>
      </w:r>
      <w:r>
        <w:rPr>
          <w:rFonts w:hint="eastAsia" w:cs="宋体" w:asciiTheme="minorEastAsia" w:hAnsiTheme="minorEastAsia"/>
          <w:color w:val="auto"/>
          <w:kern w:val="0"/>
          <w:szCs w:val="21"/>
          <w:highlight w:val="none"/>
        </w:rPr>
        <w:t>采购项目符合下列情形之一的，评标委员会成员人数应当为7人以上单数：</w:t>
      </w:r>
    </w:p>
    <w:p w14:paraId="4731060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25.1.2.1 </w:t>
      </w:r>
      <w:r>
        <w:rPr>
          <w:rFonts w:hint="eastAsia" w:cs="宋体" w:asciiTheme="minorEastAsia" w:hAnsiTheme="minorEastAsia"/>
          <w:color w:val="auto"/>
          <w:kern w:val="0"/>
          <w:szCs w:val="21"/>
          <w:highlight w:val="none"/>
        </w:rPr>
        <w:t>采购预算金额在1000万元以上；</w:t>
      </w:r>
    </w:p>
    <w:p w14:paraId="6600970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25.1.2.2</w:t>
      </w:r>
      <w:r>
        <w:rPr>
          <w:rFonts w:hint="eastAsia" w:cs="宋体" w:asciiTheme="minorEastAsia" w:hAnsiTheme="minorEastAsia"/>
          <w:color w:val="auto"/>
          <w:kern w:val="0"/>
          <w:szCs w:val="21"/>
          <w:highlight w:val="none"/>
        </w:rPr>
        <w:t xml:space="preserve"> 技术复杂；</w:t>
      </w:r>
    </w:p>
    <w:p w14:paraId="471C750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25.1.2.3</w:t>
      </w:r>
      <w:r>
        <w:rPr>
          <w:rFonts w:hint="eastAsia" w:cs="宋体" w:asciiTheme="minorEastAsia" w:hAnsiTheme="minorEastAsia"/>
          <w:color w:val="auto"/>
          <w:kern w:val="0"/>
          <w:szCs w:val="21"/>
          <w:highlight w:val="none"/>
        </w:rPr>
        <w:t xml:space="preserve"> 社会影响较大。</w:t>
      </w:r>
    </w:p>
    <w:p w14:paraId="2C422661">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25.1.3 </w:t>
      </w:r>
      <w:r>
        <w:rPr>
          <w:rFonts w:hint="eastAsia" w:cs="宋体" w:asciiTheme="minorEastAsia" w:hAnsiTheme="minorEastAsia"/>
          <w:color w:val="auto"/>
          <w:kern w:val="0"/>
          <w:szCs w:val="21"/>
          <w:highlight w:val="none"/>
        </w:rPr>
        <w:t>评审专家对本单位的采购项目只能作为采购人代表参与评标。采购代理机构工作人员不得参加由本机构代理的政府采购项目的评标。</w:t>
      </w:r>
    </w:p>
    <w:p w14:paraId="7007854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 </w:t>
      </w:r>
      <w:r>
        <w:rPr>
          <w:rFonts w:hint="eastAsia" w:cs="宋体" w:asciiTheme="minorEastAsia" w:hAnsiTheme="minorEastAsia"/>
          <w:color w:val="auto"/>
          <w:kern w:val="0"/>
          <w:szCs w:val="21"/>
          <w:highlight w:val="none"/>
        </w:rPr>
        <w:t>评审专家与投标人存在下列利害关系之一的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应当回避</w:t>
      </w:r>
      <w:r>
        <w:rPr>
          <w:rFonts w:hint="eastAsia" w:cs="宋体" w:asciiTheme="minorEastAsia" w:hAnsiTheme="minorEastAsia"/>
          <w:color w:val="auto"/>
          <w:kern w:val="0"/>
          <w:szCs w:val="21"/>
          <w:highlight w:val="none"/>
          <w:lang w:eastAsia="zh-CN"/>
        </w:rPr>
        <w:t>：</w:t>
      </w:r>
    </w:p>
    <w:p w14:paraId="4BE8C65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25.2.1 </w:t>
      </w:r>
      <w:r>
        <w:rPr>
          <w:rFonts w:hint="eastAsia" w:cs="宋体" w:asciiTheme="minorEastAsia" w:hAnsiTheme="minorEastAsia"/>
          <w:color w:val="auto"/>
          <w:kern w:val="0"/>
          <w:szCs w:val="21"/>
          <w:highlight w:val="none"/>
        </w:rPr>
        <w:t>参加采购活动前三年内</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与供应商存在劳动关系</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或者担任过供应商的董事、监事</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或者是供应商的控股股东或实际控制人；</w:t>
      </w:r>
    </w:p>
    <w:p w14:paraId="29CAEC5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25.2.2 </w:t>
      </w:r>
      <w:r>
        <w:rPr>
          <w:rFonts w:hint="eastAsia" w:cs="宋体" w:asciiTheme="minorEastAsia" w:hAnsiTheme="minorEastAsia"/>
          <w:color w:val="auto"/>
          <w:kern w:val="0"/>
          <w:szCs w:val="21"/>
          <w:highlight w:val="none"/>
        </w:rPr>
        <w:t>与供应商的法定代表人或者负责人有夫妻、直系血亲、三代以内旁系血亲或者近姻亲关系；</w:t>
      </w:r>
    </w:p>
    <w:p w14:paraId="474221F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25.2.3 </w:t>
      </w:r>
      <w:r>
        <w:rPr>
          <w:rFonts w:hint="eastAsia" w:cs="宋体" w:asciiTheme="minorEastAsia" w:hAnsiTheme="minorEastAsia"/>
          <w:color w:val="auto"/>
          <w:kern w:val="0"/>
          <w:szCs w:val="21"/>
          <w:highlight w:val="none"/>
        </w:rPr>
        <w:t>与供应商有其他可能影响政府采购活动公平、公正进行的关系。</w:t>
      </w:r>
    </w:p>
    <w:p w14:paraId="4498ED7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25.3 </w:t>
      </w:r>
      <w:r>
        <w:rPr>
          <w:rFonts w:hint="eastAsia" w:cs="宋体" w:asciiTheme="minorEastAsia" w:hAnsiTheme="minorEastAsia"/>
          <w:color w:val="auto"/>
          <w:kern w:val="0"/>
          <w:szCs w:val="21"/>
          <w:highlight w:val="none"/>
        </w:rPr>
        <w:t>评审专家发现本人与参加采购活动的供应商有利害关系的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应当主动提出回避。采购人或者代理机构发现评审专家与参加采购活动的供应商有利害关系的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应当要求其回避。</w:t>
      </w:r>
    </w:p>
    <w:p w14:paraId="5F1D19D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25.4 </w:t>
      </w:r>
      <w:r>
        <w:rPr>
          <w:rFonts w:hint="eastAsia" w:cs="宋体" w:asciiTheme="minorEastAsia" w:hAnsiTheme="minorEastAsia"/>
          <w:color w:val="auto"/>
          <w:kern w:val="0"/>
          <w:szCs w:val="21"/>
          <w:highlight w:val="none"/>
        </w:rPr>
        <w:t>采购人不得担任评标小组长。</w:t>
      </w:r>
    </w:p>
    <w:p w14:paraId="1BAC0C2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25.5 </w:t>
      </w:r>
      <w:r>
        <w:rPr>
          <w:rFonts w:hint="eastAsia" w:cs="宋体" w:asciiTheme="minorEastAsia" w:hAnsiTheme="minorEastAsia"/>
          <w:color w:val="auto"/>
          <w:kern w:val="0"/>
          <w:szCs w:val="21"/>
          <w:highlight w:val="none"/>
        </w:rPr>
        <w:t>采购人可以在评标前说明项目背景和采购需求，说明内容不得含有歧视性、倾向性意见，不得超出招标文件所述范围。说明应当提交书面材料，并随采购文件一并存档。</w:t>
      </w:r>
    </w:p>
    <w:p w14:paraId="49BFD5C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25.6 </w:t>
      </w:r>
      <w:r>
        <w:rPr>
          <w:rFonts w:hint="eastAsia" w:cs="宋体" w:asciiTheme="minorEastAsia" w:hAnsiTheme="minorEastAsia"/>
          <w:color w:val="auto"/>
          <w:kern w:val="0"/>
          <w:szCs w:val="21"/>
          <w:highlight w:val="none"/>
        </w:rPr>
        <w:t>评标委员会成员名单在评标结果公告前应当保密。</w:t>
      </w:r>
    </w:p>
    <w:p w14:paraId="0F824131">
      <w:pPr>
        <w:autoSpaceDE w:val="0"/>
        <w:autoSpaceDN w:val="0"/>
        <w:spacing w:line="360" w:lineRule="auto"/>
        <w:ind w:left="420"/>
        <w:contextualSpacing/>
        <w:rPr>
          <w:rFonts w:cs="宋体" w:asciiTheme="minorEastAsia" w:hAnsiTheme="minorEastAsia"/>
          <w:color w:val="auto"/>
          <w:kern w:val="0"/>
          <w:szCs w:val="21"/>
          <w:highlight w:val="none"/>
        </w:rPr>
      </w:pPr>
    </w:p>
    <w:p w14:paraId="37B8E606">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26.</w:t>
      </w:r>
      <w:r>
        <w:rPr>
          <w:rFonts w:hint="eastAsia" w:cs="宋体" w:asciiTheme="minorEastAsia" w:hAnsiTheme="minorEastAsia"/>
          <w:b/>
          <w:color w:val="auto"/>
          <w:kern w:val="0"/>
          <w:szCs w:val="21"/>
          <w:highlight w:val="none"/>
        </w:rPr>
        <w:t>符合性审查</w:t>
      </w:r>
    </w:p>
    <w:p w14:paraId="3A68BA2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26.1 </w:t>
      </w:r>
      <w:r>
        <w:rPr>
          <w:rFonts w:hint="eastAsia" w:cs="宋体" w:asciiTheme="minorEastAsia" w:hAnsiTheme="minorEastAsia"/>
          <w:color w:val="auto"/>
          <w:kern w:val="0"/>
          <w:szCs w:val="21"/>
          <w:highlight w:val="none"/>
        </w:rPr>
        <w:t>评标委员会依据有关法律法规和招标文件的规定，对符合资格的投标人的投标文件进行符合性审查，以确定其是否满足招标文件的实质性要求。</w:t>
      </w:r>
    </w:p>
    <w:p w14:paraId="3F88C66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26.2 </w:t>
      </w:r>
      <w:r>
        <w:rPr>
          <w:rFonts w:hint="eastAsia" w:cs="宋体" w:asciiTheme="minorEastAsia" w:hAnsiTheme="minorEastAsia"/>
          <w:color w:val="auto"/>
          <w:kern w:val="0"/>
          <w:szCs w:val="21"/>
          <w:highlight w:val="none"/>
        </w:rPr>
        <w:t>审查、评价投标文件是否符合招标文件的商务、技术等实质性要求。</w:t>
      </w:r>
    </w:p>
    <w:p w14:paraId="3DF5012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26.3 </w:t>
      </w:r>
      <w:r>
        <w:rPr>
          <w:rFonts w:hint="eastAsia" w:cs="宋体" w:asciiTheme="minorEastAsia" w:hAnsiTheme="minorEastAsia"/>
          <w:color w:val="auto"/>
          <w:kern w:val="0"/>
          <w:szCs w:val="21"/>
          <w:highlight w:val="none"/>
        </w:rPr>
        <w:t>可要求投标人对投标文件有关事项作出澄清或者说明。</w:t>
      </w:r>
    </w:p>
    <w:p w14:paraId="5BDC1DC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27.</w:t>
      </w:r>
      <w:r>
        <w:rPr>
          <w:rFonts w:hint="eastAsia" w:cs="宋体" w:asciiTheme="minorEastAsia" w:hAnsiTheme="minorEastAsia"/>
          <w:b/>
          <w:color w:val="auto"/>
          <w:kern w:val="0"/>
          <w:szCs w:val="21"/>
          <w:highlight w:val="none"/>
        </w:rPr>
        <w:t>投标文件的澄清</w:t>
      </w:r>
    </w:p>
    <w:p w14:paraId="435FB8A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27.1 </w:t>
      </w:r>
      <w:r>
        <w:rPr>
          <w:rFonts w:hint="eastAsia" w:cs="宋体" w:asciiTheme="minorEastAsia" w:hAnsiTheme="minorEastAsia"/>
          <w:color w:val="auto"/>
          <w:kern w:val="0"/>
          <w:szCs w:val="21"/>
          <w:highlight w:val="none"/>
        </w:rPr>
        <w:t>对于投标文件中含义不明确、同类问题表述不一致或者有明显文字和计算错误的内容，评标委员会应当以书面形式要求投标人作出必要的澄清、说明或者补正。</w:t>
      </w:r>
    </w:p>
    <w:p w14:paraId="21BDE5F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 </w:t>
      </w:r>
      <w:r>
        <w:rPr>
          <w:rFonts w:hint="eastAsia" w:cs="宋体" w:asciiTheme="minorEastAsia" w:hAnsiTheme="minorEastAsia"/>
          <w:color w:val="auto"/>
          <w:kern w:val="0"/>
          <w:szCs w:val="21"/>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4CD7C5DB">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27.3 </w:t>
      </w:r>
      <w:r>
        <w:rPr>
          <w:rFonts w:hint="eastAsia" w:cs="宋体" w:asciiTheme="minorEastAsia" w:hAnsiTheme="minorEastAsia"/>
          <w:color w:val="auto"/>
          <w:kern w:val="0"/>
          <w:szCs w:val="21"/>
          <w:highlight w:val="none"/>
        </w:rPr>
        <w:t>投标人的澄清文件是其投标文件的组成部分。</w:t>
      </w:r>
    </w:p>
    <w:p w14:paraId="1425A0AB">
      <w:pPr>
        <w:pStyle w:val="44"/>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28.投标价格的审查</w:t>
      </w:r>
    </w:p>
    <w:p w14:paraId="6A076B5E">
      <w:pPr>
        <w:pStyle w:val="44"/>
        <w:numPr>
          <w:ilvl w:val="0"/>
          <w:numId w:val="0"/>
        </w:numPr>
        <w:autoSpaceDE w:val="0"/>
        <w:autoSpaceDN w:val="0"/>
        <w:spacing w:line="360" w:lineRule="auto"/>
        <w:ind w:left="420" w:leftChars="0" w:hanging="420" w:firstLineChars="0"/>
        <w:contextualSpacing/>
        <w:rPr>
          <w:rFonts w:cs="宋体" w:asciiTheme="minorEastAsia" w:hAnsiTheme="minorEastAsia"/>
          <w:b w:val="0"/>
          <w:bCs/>
          <w:color w:val="auto"/>
          <w:kern w:val="0"/>
          <w:szCs w:val="21"/>
          <w:highlight w:val="none"/>
        </w:rPr>
      </w:pPr>
      <w:r>
        <w:rPr>
          <w:rFonts w:hint="eastAsia" w:cs="宋体" w:asciiTheme="minorEastAsia" w:hAnsiTheme="minorEastAsia" w:eastAsiaTheme="minorEastAsia"/>
          <w:b w:val="0"/>
          <w:bCs/>
          <w:color w:val="auto"/>
          <w:kern w:val="0"/>
          <w:sz w:val="21"/>
          <w:szCs w:val="21"/>
          <w:highlight w:val="none"/>
          <w:lang w:val="en-US" w:eastAsia="zh-CN" w:bidi="ar-SA"/>
        </w:rPr>
        <w:t>2</w:t>
      </w:r>
      <w:r>
        <w:rPr>
          <w:rFonts w:hint="eastAsia" w:cs="宋体" w:asciiTheme="minorEastAsia" w:hAnsiTheme="minorEastAsia"/>
          <w:b w:val="0"/>
          <w:bCs/>
          <w:color w:val="auto"/>
          <w:kern w:val="0"/>
          <w:sz w:val="21"/>
          <w:szCs w:val="21"/>
          <w:highlight w:val="none"/>
          <w:lang w:val="en-US" w:eastAsia="zh-CN" w:bidi="ar-SA"/>
        </w:rPr>
        <w:t xml:space="preserve">8.1 </w:t>
      </w:r>
      <w:r>
        <w:rPr>
          <w:rFonts w:hint="eastAsia" w:cs="宋体" w:asciiTheme="minorEastAsia" w:hAnsiTheme="minorEastAsia"/>
          <w:b w:val="0"/>
          <w:bCs/>
          <w:color w:val="auto"/>
          <w:kern w:val="0"/>
          <w:szCs w:val="21"/>
          <w:highlight w:val="none"/>
        </w:rPr>
        <w:t>投标文件报价出现前后不一致的修正</w:t>
      </w:r>
    </w:p>
    <w:p w14:paraId="7F313D07">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28.1.1 </w:t>
      </w:r>
      <w:r>
        <w:rPr>
          <w:rFonts w:hint="eastAsia" w:cs="宋体" w:asciiTheme="minorEastAsia" w:hAnsiTheme="minorEastAsia"/>
          <w:kern w:val="0"/>
          <w:szCs w:val="21"/>
        </w:rPr>
        <w:t>投标文件中开标一览表</w:t>
      </w:r>
      <w:r>
        <w:rPr>
          <w:rFonts w:hint="eastAsia" w:cs="宋体" w:asciiTheme="minorEastAsia" w:hAnsiTheme="minorEastAsia"/>
          <w:kern w:val="0"/>
          <w:szCs w:val="21"/>
          <w:lang w:eastAsia="zh-CN"/>
        </w:rPr>
        <w:t>（</w:t>
      </w:r>
      <w:r>
        <w:rPr>
          <w:rFonts w:hint="eastAsia" w:cs="宋体" w:asciiTheme="minorEastAsia" w:hAnsiTheme="minorEastAsia"/>
          <w:kern w:val="0"/>
          <w:szCs w:val="21"/>
        </w:rPr>
        <w:t>报价表</w:t>
      </w:r>
      <w:r>
        <w:rPr>
          <w:rFonts w:hint="eastAsia" w:cs="宋体" w:asciiTheme="minorEastAsia" w:hAnsiTheme="minorEastAsia"/>
          <w:kern w:val="0"/>
          <w:szCs w:val="21"/>
          <w:lang w:eastAsia="zh-CN"/>
        </w:rPr>
        <w:t>）</w:t>
      </w:r>
      <w:r>
        <w:rPr>
          <w:rFonts w:hint="eastAsia" w:cs="宋体" w:asciiTheme="minorEastAsia" w:hAnsiTheme="minorEastAsia"/>
          <w:kern w:val="0"/>
          <w:szCs w:val="21"/>
        </w:rPr>
        <w:t>内容与投标文件中相应内容不一致的，以开标一览表</w:t>
      </w:r>
      <w:r>
        <w:rPr>
          <w:rFonts w:hint="eastAsia" w:cs="宋体" w:asciiTheme="minorEastAsia" w:hAnsiTheme="minorEastAsia"/>
          <w:kern w:val="0"/>
          <w:szCs w:val="21"/>
          <w:lang w:eastAsia="zh-CN"/>
        </w:rPr>
        <w:t>（</w:t>
      </w:r>
      <w:r>
        <w:rPr>
          <w:rFonts w:hint="eastAsia" w:cs="宋体" w:asciiTheme="minorEastAsia" w:hAnsiTheme="minorEastAsia"/>
          <w:kern w:val="0"/>
          <w:szCs w:val="21"/>
        </w:rPr>
        <w:t>报价表</w:t>
      </w:r>
      <w:r>
        <w:rPr>
          <w:rFonts w:hint="eastAsia" w:cs="宋体" w:asciiTheme="minorEastAsia" w:hAnsiTheme="minorEastAsia"/>
          <w:kern w:val="0"/>
          <w:szCs w:val="21"/>
          <w:lang w:eastAsia="zh-CN"/>
        </w:rPr>
        <w:t>）</w:t>
      </w:r>
      <w:r>
        <w:rPr>
          <w:rFonts w:hint="eastAsia" w:cs="宋体" w:asciiTheme="minorEastAsia" w:hAnsiTheme="minorEastAsia"/>
          <w:kern w:val="0"/>
          <w:szCs w:val="21"/>
        </w:rPr>
        <w:t>为准；</w:t>
      </w:r>
    </w:p>
    <w:p w14:paraId="6A500412">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28.1.2 </w:t>
      </w:r>
      <w:r>
        <w:rPr>
          <w:rFonts w:hint="eastAsia" w:cs="宋体" w:asciiTheme="minorEastAsia" w:hAnsiTheme="minorEastAsia"/>
          <w:kern w:val="0"/>
          <w:szCs w:val="21"/>
        </w:rPr>
        <w:t>大写金额和小写金额不一致的，以大写金额为准；</w:t>
      </w:r>
    </w:p>
    <w:p w14:paraId="7F6F377A">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28.1.3 </w:t>
      </w:r>
      <w:r>
        <w:rPr>
          <w:rFonts w:hint="eastAsia" w:cs="宋体" w:asciiTheme="minorEastAsia" w:hAnsiTheme="minorEastAsia"/>
          <w:kern w:val="0"/>
          <w:szCs w:val="21"/>
        </w:rPr>
        <w:t>单价金额小数点或者百分比有明显错位的，以开标一览表的总价为准，并修改单价；</w:t>
      </w:r>
    </w:p>
    <w:p w14:paraId="3E204D0E">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28.1.4 </w:t>
      </w: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投标人须知”28.2规定经投标人确认后产生约束力，投标人不确认的，其投标无效。</w:t>
      </w:r>
    </w:p>
    <w:p w14:paraId="69C3E2F9">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28.2 异常低价审查。 </w:t>
      </w:r>
    </w:p>
    <w:p w14:paraId="46C2D2E1">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28.2.1 评审中出现下列情形之一的，评标委员会应当启动异常低价投标审查程序：</w:t>
      </w:r>
    </w:p>
    <w:p w14:paraId="0E702717">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（3）投标报价低于采购项目最高限价45%的，即投标报价〈采购项目最高限价×45%； </w:t>
      </w:r>
    </w:p>
    <w:p w14:paraId="1EB344D9">
      <w:pPr>
        <w:pStyle w:val="44"/>
        <w:numPr>
          <w:ilvl w:val="0"/>
          <w:numId w:val="0"/>
        </w:numPr>
        <w:autoSpaceDE w:val="0"/>
        <w:autoSpaceDN w:val="0"/>
        <w:spacing w:line="360" w:lineRule="auto"/>
        <w:ind w:leftChars="0" w:firstLine="420" w:firstLineChars="200"/>
        <w:contextualSpacing/>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（4）评标委员会基于专业判断，认为供应商报价过低，有可能影响产品质量或者不能诚信履约的 其他情形。</w:t>
      </w:r>
    </w:p>
    <w:p w14:paraId="7E6C0D1D">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（5）相关法律法规对供应商报价有规定的，从其规定。</w:t>
      </w:r>
    </w:p>
    <w:p w14:paraId="68AADE2C">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61B1BB3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29.</w:t>
      </w:r>
      <w:r>
        <w:rPr>
          <w:rFonts w:hint="eastAsia" w:cs="宋体" w:asciiTheme="minorEastAsia" w:hAnsiTheme="minorEastAsia"/>
          <w:b/>
          <w:color w:val="auto"/>
          <w:kern w:val="0"/>
          <w:szCs w:val="21"/>
          <w:highlight w:val="none"/>
        </w:rPr>
        <w:t>投标无效情形</w:t>
      </w:r>
    </w:p>
    <w:p w14:paraId="4C36A9B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 </w:t>
      </w:r>
      <w:r>
        <w:rPr>
          <w:rFonts w:hint="eastAsia" w:cs="宋体" w:asciiTheme="minorEastAsia" w:hAnsiTheme="minorEastAsia"/>
          <w:color w:val="auto"/>
          <w:kern w:val="0"/>
          <w:szCs w:val="21"/>
          <w:highlight w:val="none"/>
        </w:rPr>
        <w:t>投标文件属下列情况之一的，按照无效投标处理：</w:t>
      </w:r>
    </w:p>
    <w:p w14:paraId="394A7ED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29.1.1 </w:t>
      </w:r>
      <w:r>
        <w:rPr>
          <w:rFonts w:hint="eastAsia" w:cs="宋体" w:asciiTheme="minorEastAsia" w:hAnsiTheme="minorEastAsia"/>
          <w:color w:val="auto"/>
          <w:kern w:val="0"/>
          <w:szCs w:val="21"/>
          <w:highlight w:val="none"/>
        </w:rPr>
        <w:t>未按照招标文件的规定提交《禹州市政府采购供应商信用承诺函》的；</w:t>
      </w:r>
    </w:p>
    <w:p w14:paraId="7931F11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29.1.2 </w:t>
      </w:r>
      <w:r>
        <w:rPr>
          <w:rFonts w:hint="eastAsia" w:cs="宋体" w:asciiTheme="minorEastAsia" w:hAnsiTheme="minorEastAsia"/>
          <w:color w:val="auto"/>
          <w:kern w:val="0"/>
          <w:szCs w:val="21"/>
          <w:highlight w:val="none"/>
        </w:rPr>
        <w:t>未按照招标文件的规定提交投标承诺函的；</w:t>
      </w:r>
    </w:p>
    <w:p w14:paraId="046118C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29.1.3 </w:t>
      </w:r>
      <w:r>
        <w:rPr>
          <w:rFonts w:hint="eastAsia" w:cs="宋体" w:asciiTheme="minorEastAsia" w:hAnsiTheme="minorEastAsia"/>
          <w:color w:val="auto"/>
          <w:kern w:val="0"/>
          <w:szCs w:val="21"/>
          <w:highlight w:val="none"/>
        </w:rPr>
        <w:t>投标文件未按招标文件要求签署、盖章的；</w:t>
      </w:r>
    </w:p>
    <w:p w14:paraId="32C70251">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29.1.4 </w:t>
      </w:r>
      <w:r>
        <w:rPr>
          <w:rFonts w:hint="eastAsia" w:cs="宋体" w:asciiTheme="minorEastAsia" w:hAnsiTheme="minorEastAsia"/>
          <w:color w:val="auto"/>
          <w:kern w:val="0"/>
          <w:szCs w:val="21"/>
          <w:highlight w:val="none"/>
        </w:rPr>
        <w:t>报价超过招标文件中规定的预算金额或者最高限价的；</w:t>
      </w:r>
    </w:p>
    <w:p w14:paraId="246A910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29.1.5 </w:t>
      </w:r>
      <w:r>
        <w:rPr>
          <w:rFonts w:cs="宋体" w:asciiTheme="minorEastAsia" w:hAnsiTheme="minorEastAsia"/>
          <w:color w:val="auto"/>
          <w:kern w:val="0"/>
          <w:szCs w:val="21"/>
          <w:highlight w:val="none"/>
        </w:rPr>
        <w:t>投标文件含有采购人不能接受的附加条件的</w:t>
      </w:r>
      <w:r>
        <w:rPr>
          <w:rFonts w:hint="eastAsia" w:cs="宋体" w:asciiTheme="minorEastAsia" w:hAnsiTheme="minorEastAsia"/>
          <w:color w:val="auto"/>
          <w:kern w:val="0"/>
          <w:szCs w:val="21"/>
          <w:highlight w:val="none"/>
        </w:rPr>
        <w:t>。</w:t>
      </w:r>
    </w:p>
    <w:p w14:paraId="67C5686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29.2</w:t>
      </w:r>
      <w:r>
        <w:rPr>
          <w:rFonts w:hint="eastAsia" w:cs="宋体" w:asciiTheme="minorEastAsia" w:hAnsiTheme="minorEastAsia"/>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5AE084C2">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29.2.1 </w:t>
      </w:r>
      <w:r>
        <w:rPr>
          <w:rFonts w:hint="eastAsia" w:cs="宋体" w:asciiTheme="minorEastAsia" w:hAnsiTheme="minorEastAsia"/>
          <w:color w:val="auto"/>
          <w:kern w:val="0"/>
          <w:szCs w:val="21"/>
          <w:highlight w:val="none"/>
        </w:rPr>
        <w:t>不同供应商的电子投标文件上传计算机的网卡MAC地址、CPU序列号和硬盘序列号等硬件信息相同的；</w:t>
      </w:r>
    </w:p>
    <w:p w14:paraId="7DD8888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29.2.2 </w:t>
      </w:r>
      <w:r>
        <w:rPr>
          <w:rFonts w:hint="eastAsia" w:cs="宋体" w:asciiTheme="minorEastAsia" w:hAnsiTheme="minorEastAsia"/>
          <w:color w:val="auto"/>
          <w:kern w:val="0"/>
          <w:szCs w:val="21"/>
          <w:highlight w:val="none"/>
        </w:rPr>
        <w:t>不同供应商的投标文件由同一电子设备编制、打印加密或者上传；</w:t>
      </w:r>
    </w:p>
    <w:p w14:paraId="6AEBF09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29.2.3 </w:t>
      </w:r>
      <w:r>
        <w:rPr>
          <w:rFonts w:hint="eastAsia" w:cs="宋体" w:asciiTheme="minorEastAsia" w:hAnsiTheme="minorEastAsia"/>
          <w:color w:val="auto"/>
          <w:kern w:val="0"/>
          <w:szCs w:val="21"/>
          <w:highlight w:val="none"/>
        </w:rPr>
        <w:t>不同供应商的投标文件由同一电子设备打印、复印；</w:t>
      </w:r>
    </w:p>
    <w:p w14:paraId="0AEF4C1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29.2.4 </w:t>
      </w:r>
      <w:r>
        <w:rPr>
          <w:rFonts w:hint="eastAsia" w:cs="宋体" w:asciiTheme="minorEastAsia" w:hAnsiTheme="minorEastAsia"/>
          <w:color w:val="auto"/>
          <w:kern w:val="0"/>
          <w:szCs w:val="21"/>
          <w:highlight w:val="none"/>
        </w:rPr>
        <w:t>不同供应商的投标文件由同一人送达或者分发，或者不同供应商联系人为同一人或不同联系人的联系电话一致的；</w:t>
      </w:r>
    </w:p>
    <w:p w14:paraId="479ED55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29.2.5 </w:t>
      </w:r>
      <w:r>
        <w:rPr>
          <w:rFonts w:hint="eastAsia" w:cs="宋体" w:asciiTheme="minorEastAsia" w:hAnsiTheme="minorEastAsia"/>
          <w:color w:val="auto"/>
          <w:kern w:val="0"/>
          <w:szCs w:val="21"/>
          <w:highlight w:val="none"/>
        </w:rPr>
        <w:t>不同供应商的投标文件的内容存在两处以上细节错误一致；</w:t>
      </w:r>
    </w:p>
    <w:p w14:paraId="55963874">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29.2.6 </w:t>
      </w:r>
      <w:r>
        <w:rPr>
          <w:rFonts w:hint="eastAsia" w:cs="宋体" w:asciiTheme="minorEastAsia" w:hAnsiTheme="minorEastAsia"/>
          <w:color w:val="auto"/>
          <w:kern w:val="0"/>
          <w:szCs w:val="21"/>
          <w:highlight w:val="none"/>
        </w:rPr>
        <w:t>不同供应商的法定代表人、委托代理人、项目经理、项目负责人等由同一个单位缴纳社会保险或者领取报酬的；</w:t>
      </w:r>
    </w:p>
    <w:p w14:paraId="52B2036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29.2.7 </w:t>
      </w:r>
      <w:r>
        <w:rPr>
          <w:rFonts w:hint="eastAsia" w:cs="宋体" w:asciiTheme="minorEastAsia" w:hAnsiTheme="minorEastAsia"/>
          <w:color w:val="auto"/>
          <w:kern w:val="0"/>
          <w:szCs w:val="21"/>
          <w:highlight w:val="none"/>
        </w:rPr>
        <w:t>不同供应商投标文件中法定代表人或者负责人签字出自同一人之手；</w:t>
      </w:r>
    </w:p>
    <w:p w14:paraId="697B00F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29.2.8 </w:t>
      </w:r>
      <w:r>
        <w:rPr>
          <w:rFonts w:hint="eastAsia" w:cs="宋体" w:asciiTheme="minorEastAsia" w:hAnsiTheme="minorEastAsia"/>
          <w:color w:val="auto"/>
          <w:kern w:val="0"/>
          <w:szCs w:val="21"/>
          <w:highlight w:val="none"/>
          <w:lang w:eastAsia="zh-CN"/>
        </w:rPr>
        <w:t>其他</w:t>
      </w:r>
      <w:r>
        <w:rPr>
          <w:rFonts w:hint="eastAsia" w:cs="宋体" w:asciiTheme="minorEastAsia" w:hAnsiTheme="minorEastAsia"/>
          <w:color w:val="auto"/>
          <w:kern w:val="0"/>
          <w:szCs w:val="21"/>
          <w:highlight w:val="none"/>
        </w:rPr>
        <w:t>涉嫌串通的情形。</w:t>
      </w:r>
    </w:p>
    <w:p w14:paraId="25EB783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 </w:t>
      </w:r>
      <w:r>
        <w:rPr>
          <w:rFonts w:hint="eastAsia" w:cs="宋体" w:asciiTheme="minorEastAsia" w:hAnsiTheme="minorEastAsia"/>
          <w:color w:val="auto"/>
          <w:kern w:val="0"/>
          <w:szCs w:val="21"/>
          <w:highlight w:val="none"/>
        </w:rPr>
        <w:t>有下列情形之一的，视为投标人串通投标，其投标无效：</w:t>
      </w:r>
    </w:p>
    <w:p w14:paraId="68DB3D1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29.3.1 </w:t>
      </w:r>
      <w:r>
        <w:rPr>
          <w:rFonts w:hint="eastAsia" w:cs="宋体" w:asciiTheme="minorEastAsia" w:hAnsiTheme="minorEastAsia"/>
          <w:color w:val="auto"/>
          <w:kern w:val="0"/>
          <w:szCs w:val="21"/>
          <w:highlight w:val="none"/>
        </w:rPr>
        <w:t>不同投标人的投标文件由同一单位或者个人编制；</w:t>
      </w:r>
    </w:p>
    <w:p w14:paraId="69B65B5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29.3.2 </w:t>
      </w:r>
      <w:r>
        <w:rPr>
          <w:rFonts w:hint="eastAsia" w:cs="宋体" w:asciiTheme="minorEastAsia" w:hAnsiTheme="minorEastAsia"/>
          <w:color w:val="auto"/>
          <w:kern w:val="0"/>
          <w:szCs w:val="21"/>
          <w:highlight w:val="none"/>
        </w:rPr>
        <w:t>不同投标人委托同一单位或者个人办理投标事宜；</w:t>
      </w:r>
    </w:p>
    <w:p w14:paraId="19AF44D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29.3.3 </w:t>
      </w:r>
      <w:r>
        <w:rPr>
          <w:rFonts w:hint="eastAsia" w:cs="宋体" w:asciiTheme="minorEastAsia" w:hAnsiTheme="minorEastAsia"/>
          <w:color w:val="auto"/>
          <w:kern w:val="0"/>
          <w:szCs w:val="21"/>
          <w:highlight w:val="none"/>
        </w:rPr>
        <w:t>不同投标人的投标文件载明的项目管理成员或者联系人员为同一人；</w:t>
      </w:r>
    </w:p>
    <w:p w14:paraId="4BC3FAE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29.3.4 </w:t>
      </w:r>
      <w:r>
        <w:rPr>
          <w:rFonts w:hint="eastAsia" w:cs="宋体" w:asciiTheme="minorEastAsia" w:hAnsiTheme="minorEastAsia"/>
          <w:color w:val="auto"/>
          <w:kern w:val="0"/>
          <w:szCs w:val="21"/>
          <w:highlight w:val="none"/>
        </w:rPr>
        <w:t>不同投标人的投标文件异常一致或者投标报价呈规律性差异；</w:t>
      </w:r>
    </w:p>
    <w:p w14:paraId="6DEE52E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29.3.5 </w:t>
      </w:r>
      <w:r>
        <w:rPr>
          <w:rFonts w:hint="eastAsia" w:cs="宋体" w:asciiTheme="minorEastAsia" w:hAnsiTheme="minorEastAsia"/>
          <w:color w:val="auto"/>
          <w:kern w:val="0"/>
          <w:szCs w:val="21"/>
          <w:highlight w:val="none"/>
        </w:rPr>
        <w:t>不同投标人的投标文件相互混装。</w:t>
      </w:r>
    </w:p>
    <w:p w14:paraId="5DAE0F7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29.4 </w:t>
      </w:r>
      <w:r>
        <w:rPr>
          <w:rFonts w:hint="eastAsia" w:cs="宋体" w:asciiTheme="minorEastAsia" w:hAnsiTheme="minorEastAsia"/>
          <w:color w:val="auto"/>
          <w:kern w:val="0"/>
          <w:szCs w:val="21"/>
          <w:highlight w:val="none"/>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7362C5B">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29.5 </w:t>
      </w:r>
      <w:r>
        <w:rPr>
          <w:rFonts w:hint="eastAsia" w:cs="宋体" w:asciiTheme="minorEastAsia" w:hAnsiTheme="minorEastAsia"/>
          <w:color w:val="auto"/>
          <w:kern w:val="0"/>
          <w:szCs w:val="21"/>
          <w:highlight w:val="none"/>
        </w:rPr>
        <w:t>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634B8218">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kern w:val="0"/>
          <w:szCs w:val="21"/>
          <w:lang w:val="en-US" w:eastAsia="zh-CN"/>
        </w:rPr>
        <w:t xml:space="preserve">29.6 </w:t>
      </w:r>
      <w:r>
        <w:rPr>
          <w:rFonts w:hint="eastAsia" w:cs="宋体" w:asciiTheme="minorEastAsia" w:hAnsiTheme="minorEastAsia"/>
          <w:color w:val="auto"/>
          <w:kern w:val="0"/>
          <w:szCs w:val="21"/>
          <w:highlight w:val="none"/>
          <w:lang w:val="en-US" w:eastAsia="zh-CN"/>
        </w:rPr>
        <w:t>评标委员会启动异常低价投标审查后，要求相关供应商在规定时间内对投标价格作出解释、 提供证明材料，投标供应商未在规定时间内提供书面说明、证明材料，或者提供的书面说明、证 明材料不能证明其报价合理性的，评标委员会应当将其作为无效投标处理。</w:t>
      </w:r>
    </w:p>
    <w:p w14:paraId="3259ED3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ascii="ˎ̥" w:hAnsi="ˎ̥"/>
          <w:color w:val="auto"/>
          <w:highlight w:val="none"/>
          <w:lang w:val="en-US" w:eastAsia="zh-CN"/>
        </w:rPr>
        <w:t>29.7</w:t>
      </w:r>
      <w:r>
        <w:rPr>
          <w:rFonts w:hint="eastAsia" w:ascii="ˎ̥" w:hAnsi="ˎ̥"/>
          <w:color w:val="auto"/>
          <w:highlight w:val="none"/>
        </w:rPr>
        <w:t>按照《关于推进全流程电子化交易和在线监管工作有关问题的通知》（许公管办</w:t>
      </w:r>
      <w:r>
        <w:rPr>
          <w:rFonts w:hint="eastAsia" w:ascii="ˎ̥" w:hAnsi="ˎ̥"/>
          <w:color w:val="auto"/>
          <w:highlight w:val="none"/>
          <w:lang w:eastAsia="zh-CN"/>
        </w:rPr>
        <w:t>〔2019〕3号</w:t>
      </w:r>
      <w:r>
        <w:rPr>
          <w:rFonts w:hint="eastAsia" w:ascii="ˎ̥" w:hAnsi="ˎ̥"/>
          <w:color w:val="auto"/>
          <w:highlight w:val="none"/>
        </w:rPr>
        <w:t>）规定，不同投标人电子投标文件记录的网卡MAC地址、CPU序号、硬盘序列号等硬件特征码均相同时，视为‘</w:t>
      </w:r>
      <w:r>
        <w:rPr>
          <w:rFonts w:ascii="ˎ̥" w:hAnsi="ˎ̥"/>
          <w:color w:val="auto"/>
          <w:highlight w:val="none"/>
        </w:rPr>
        <w:t>不同</w:t>
      </w:r>
      <w:r>
        <w:rPr>
          <w:rFonts w:hint="eastAsia" w:ascii="ˎ̥" w:hAnsi="ˎ̥"/>
          <w:color w:val="auto"/>
          <w:highlight w:val="none"/>
        </w:rPr>
        <w:t>投标人</w:t>
      </w:r>
      <w:r>
        <w:rPr>
          <w:rFonts w:ascii="ˎ̥" w:hAnsi="ˎ̥"/>
          <w:color w:val="auto"/>
          <w:highlight w:val="none"/>
        </w:rPr>
        <w:t>的</w:t>
      </w:r>
      <w:r>
        <w:rPr>
          <w:rFonts w:hint="eastAsia" w:ascii="ˎ̥" w:hAnsi="ˎ̥"/>
          <w:color w:val="auto"/>
          <w:highlight w:val="none"/>
        </w:rPr>
        <w:t>投标</w:t>
      </w:r>
      <w:r>
        <w:rPr>
          <w:rFonts w:ascii="ˎ̥" w:hAnsi="ˎ̥"/>
          <w:color w:val="auto"/>
          <w:highlight w:val="none"/>
        </w:rPr>
        <w:t>文件由同一单位或者个人编制</w:t>
      </w:r>
      <w:r>
        <w:rPr>
          <w:rFonts w:hint="eastAsia" w:ascii="ˎ̥" w:hAnsi="ˎ̥"/>
          <w:color w:val="auto"/>
          <w:highlight w:val="none"/>
        </w:rPr>
        <w:t>’或‘</w:t>
      </w:r>
      <w:r>
        <w:rPr>
          <w:rFonts w:ascii="ˎ̥" w:hAnsi="ˎ̥"/>
          <w:color w:val="auto"/>
          <w:highlight w:val="none"/>
        </w:rPr>
        <w:t>不同</w:t>
      </w:r>
      <w:r>
        <w:rPr>
          <w:rFonts w:hint="eastAsia" w:ascii="ˎ̥" w:hAnsi="ˎ̥"/>
          <w:color w:val="auto"/>
          <w:highlight w:val="none"/>
        </w:rPr>
        <w:t>投标人</w:t>
      </w:r>
      <w:r>
        <w:rPr>
          <w:rFonts w:ascii="ˎ̥" w:hAnsi="ˎ̥"/>
          <w:color w:val="auto"/>
          <w:highlight w:val="none"/>
        </w:rPr>
        <w:t>委托同一单位或者个人办理</w:t>
      </w:r>
      <w:r>
        <w:rPr>
          <w:rFonts w:hint="eastAsia" w:ascii="ˎ̥" w:hAnsi="ˎ̥"/>
          <w:color w:val="auto"/>
          <w:highlight w:val="none"/>
        </w:rPr>
        <w:t>响应</w:t>
      </w:r>
      <w:r>
        <w:rPr>
          <w:rFonts w:ascii="ˎ̥" w:hAnsi="ˎ̥"/>
          <w:color w:val="auto"/>
          <w:highlight w:val="none"/>
        </w:rPr>
        <w:t>事宜</w:t>
      </w:r>
      <w:r>
        <w:rPr>
          <w:rFonts w:hint="eastAsia" w:ascii="ˎ̥" w:hAnsi="ˎ̥"/>
          <w:color w:val="auto"/>
          <w:highlight w:val="none"/>
        </w:rPr>
        <w:t>’，其投标无效。</w:t>
      </w:r>
    </w:p>
    <w:p w14:paraId="565DA02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29.8</w:t>
      </w:r>
      <w:r>
        <w:rPr>
          <w:rFonts w:hint="eastAsia" w:cs="宋体" w:asciiTheme="minorEastAsia" w:hAnsiTheme="minorEastAsia"/>
          <w:color w:val="auto"/>
          <w:kern w:val="0"/>
          <w:szCs w:val="21"/>
          <w:highlight w:val="none"/>
          <w:lang w:eastAsia="zh-CN"/>
        </w:rPr>
        <w:t>法律法规</w:t>
      </w:r>
      <w:r>
        <w:rPr>
          <w:rFonts w:cs="宋体" w:asciiTheme="minorEastAsia" w:hAnsiTheme="minorEastAsia"/>
          <w:color w:val="auto"/>
          <w:kern w:val="0"/>
          <w:szCs w:val="21"/>
          <w:highlight w:val="none"/>
        </w:rPr>
        <w:t>和招标文件规定的其他无效情形。</w:t>
      </w:r>
    </w:p>
    <w:p w14:paraId="2356C18B">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30.</w:t>
      </w:r>
      <w:r>
        <w:rPr>
          <w:rFonts w:hint="eastAsia" w:cs="宋体" w:asciiTheme="minorEastAsia" w:hAnsiTheme="minorEastAsia"/>
          <w:b/>
          <w:color w:val="auto"/>
          <w:kern w:val="0"/>
          <w:szCs w:val="21"/>
          <w:highlight w:val="none"/>
        </w:rPr>
        <w:t>相同品牌投标人的认定</w:t>
      </w:r>
      <w:r>
        <w:rPr>
          <w:rFonts w:cs="仿宋_GB2312" w:asciiTheme="minorEastAsia" w:hAnsiTheme="minorEastAsia"/>
          <w:b/>
          <w:bCs/>
          <w:color w:val="auto"/>
          <w:szCs w:val="21"/>
          <w:highlight w:val="none"/>
          <w:lang w:val="zh-CN"/>
        </w:rPr>
        <w:t>（服务类项目不适用本条款规定）</w:t>
      </w:r>
    </w:p>
    <w:p w14:paraId="53D915C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30.1 </w:t>
      </w:r>
      <w:r>
        <w:rPr>
          <w:rFonts w:hint="eastAsia" w:cs="宋体" w:asciiTheme="minorEastAsia" w:hAnsiTheme="minorEastAsia"/>
          <w:color w:val="auto"/>
          <w:kern w:val="0"/>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3884743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30.2 </w:t>
      </w:r>
      <w:r>
        <w:rPr>
          <w:rFonts w:hint="eastAsia" w:cs="宋体" w:asciiTheme="minorEastAsia" w:hAnsiTheme="minorEastAsia"/>
          <w:color w:val="auto"/>
          <w:kern w:val="0"/>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38B66274">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31.</w:t>
      </w:r>
      <w:r>
        <w:rPr>
          <w:rFonts w:hint="eastAsia" w:cs="宋体" w:asciiTheme="minorEastAsia" w:hAnsiTheme="minorEastAsia"/>
          <w:b/>
          <w:color w:val="auto"/>
          <w:kern w:val="0"/>
          <w:szCs w:val="21"/>
          <w:highlight w:val="none"/>
        </w:rPr>
        <w:t>投标文件的比较与评价</w:t>
      </w:r>
    </w:p>
    <w:p w14:paraId="03B2DF10">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评标委员会按照招标文件中规定的评标方法和标准，对符合性审查合格的投标文件进行商务和技术评估，综合比较与评价。</w:t>
      </w:r>
    </w:p>
    <w:p w14:paraId="17BC366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32.</w:t>
      </w:r>
      <w:r>
        <w:rPr>
          <w:rFonts w:hint="eastAsia" w:cs="宋体" w:asciiTheme="minorEastAsia" w:hAnsiTheme="minorEastAsia"/>
          <w:b/>
          <w:color w:val="auto"/>
          <w:kern w:val="0"/>
          <w:szCs w:val="21"/>
          <w:highlight w:val="none"/>
        </w:rPr>
        <w:t>评标方法、评标标准</w:t>
      </w:r>
    </w:p>
    <w:p w14:paraId="617B6AA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 </w:t>
      </w:r>
      <w:r>
        <w:rPr>
          <w:rFonts w:hint="eastAsia" w:cs="宋体" w:asciiTheme="minorEastAsia" w:hAnsiTheme="minorEastAsia"/>
          <w:color w:val="auto"/>
          <w:kern w:val="0"/>
          <w:szCs w:val="21"/>
          <w:highlight w:val="none"/>
        </w:rPr>
        <w:t>评标方法分为最低评标价法和综合评分法。</w:t>
      </w:r>
    </w:p>
    <w:p w14:paraId="3A039B7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 </w:t>
      </w:r>
      <w:r>
        <w:rPr>
          <w:rFonts w:hint="eastAsia" w:cs="宋体" w:asciiTheme="minorEastAsia" w:hAnsiTheme="minorEastAsia"/>
          <w:color w:val="auto"/>
          <w:kern w:val="0"/>
          <w:szCs w:val="21"/>
          <w:highlight w:val="none"/>
        </w:rPr>
        <w:t>最低评标价法</w:t>
      </w:r>
    </w:p>
    <w:p w14:paraId="344CC96B">
      <w:pPr>
        <w:pStyle w:val="44"/>
        <w:numPr>
          <w:ilvl w:val="0"/>
          <w:numId w:val="0"/>
        </w:num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32.1.1.1 </w:t>
      </w:r>
      <w:r>
        <w:rPr>
          <w:rFonts w:hint="eastAsia" w:cs="宋体" w:asciiTheme="minorEastAsia" w:hAnsiTheme="minorEastAsia"/>
          <w:color w:val="auto"/>
          <w:kern w:val="0"/>
          <w:szCs w:val="21"/>
          <w:highlight w:val="none"/>
        </w:rPr>
        <w:t>最低评标价法，是指投标文件满足招标文件全部实质性要求，且投标报价最低的投标人为中标候选人的评标方法。</w:t>
      </w:r>
    </w:p>
    <w:p w14:paraId="78605FA5">
      <w:pPr>
        <w:pStyle w:val="44"/>
        <w:numPr>
          <w:ilvl w:val="0"/>
          <w:numId w:val="0"/>
        </w:num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32.1.1.2 </w:t>
      </w:r>
      <w:r>
        <w:rPr>
          <w:rFonts w:hint="eastAsia" w:cs="宋体" w:asciiTheme="minorEastAsia" w:hAnsiTheme="minorEastAsia"/>
          <w:color w:val="auto"/>
          <w:kern w:val="0"/>
          <w:szCs w:val="21"/>
          <w:highlight w:val="none"/>
        </w:rPr>
        <w:t>采用最低评标价法评标时，除了算术修正和落实政府采购政策需进行的价格扣除外，不能对投标人的投标价格进行任何调整。</w:t>
      </w:r>
    </w:p>
    <w:p w14:paraId="48EBBDB4">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32.1.2 </w:t>
      </w:r>
      <w:r>
        <w:rPr>
          <w:rFonts w:hint="eastAsia" w:cs="宋体" w:asciiTheme="minorEastAsia" w:hAnsiTheme="minorEastAsia"/>
          <w:color w:val="auto"/>
          <w:kern w:val="0"/>
          <w:szCs w:val="21"/>
          <w:highlight w:val="none"/>
        </w:rPr>
        <w:t>综合评分法，是指投标文件满足招标文件全部实质性要求，且按照评审因素的量化指标评审得分最高的投标人为中标候选人的评标方法。</w:t>
      </w:r>
    </w:p>
    <w:p w14:paraId="798BE03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 </w:t>
      </w:r>
      <w:r>
        <w:rPr>
          <w:rFonts w:hint="eastAsia" w:cs="宋体" w:asciiTheme="minorEastAsia" w:hAnsiTheme="minorEastAsia"/>
          <w:color w:val="auto"/>
          <w:kern w:val="0"/>
          <w:szCs w:val="21"/>
          <w:highlight w:val="none"/>
        </w:rPr>
        <w:t>价格分</w:t>
      </w:r>
    </w:p>
    <w:p w14:paraId="395DA1B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32.2.1 </w:t>
      </w:r>
      <w:r>
        <w:rPr>
          <w:rFonts w:hint="eastAsia" w:cs="宋体" w:asciiTheme="minorEastAsia" w:hAnsiTheme="minorEastAsia"/>
          <w:color w:val="auto"/>
          <w:kern w:val="0"/>
          <w:szCs w:val="21"/>
          <w:highlight w:val="none"/>
        </w:rPr>
        <w:t>价格分采用低价优先法计算，即满足招标文件要求且投标价格最低的投标报价为评标基准价，其价格分为满分。其他投标人的价格分统一按照下列公式计算：</w:t>
      </w:r>
    </w:p>
    <w:p w14:paraId="66A81A54">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投标报价得分=</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评标基准价/投标报价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×100</w:t>
      </w:r>
    </w:p>
    <w:p w14:paraId="501A6B0F">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评标总得分=F1×A1+F2×A2+……+Fn×An</w:t>
      </w:r>
    </w:p>
    <w:p w14:paraId="7A89ED13">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F1、F2……Fn分别为各项评审因素的得分</w:t>
      </w:r>
      <w:r>
        <w:rPr>
          <w:rFonts w:hint="eastAsia" w:cs="宋体" w:asciiTheme="minorEastAsia" w:hAnsiTheme="minorEastAsia"/>
          <w:color w:val="auto"/>
          <w:kern w:val="0"/>
          <w:szCs w:val="21"/>
          <w:highlight w:val="none"/>
          <w:lang w:eastAsia="zh-CN"/>
        </w:rPr>
        <w:t>；</w:t>
      </w:r>
    </w:p>
    <w:p w14:paraId="141AF393">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A1、A2、……An 分别为各项评审因素所占的权重</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A1+A2+……+An=1</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w:t>
      </w:r>
    </w:p>
    <w:p w14:paraId="652B4D5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32.2.2 </w:t>
      </w:r>
      <w:r>
        <w:rPr>
          <w:rFonts w:hint="eastAsia" w:cs="宋体" w:asciiTheme="minorEastAsia" w:hAnsiTheme="minorEastAsia"/>
          <w:color w:val="auto"/>
          <w:kern w:val="0"/>
          <w:szCs w:val="21"/>
          <w:highlight w:val="none"/>
        </w:rPr>
        <w:t>评标过程中，不得去掉报价中的最高报价和最低报价。</w:t>
      </w:r>
    </w:p>
    <w:p w14:paraId="6464C1D2">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32.2.3</w:t>
      </w:r>
      <w:r>
        <w:rPr>
          <w:rFonts w:hint="eastAsia" w:cs="宋体" w:asciiTheme="minorEastAsia" w:hAnsiTheme="minorEastAsia"/>
          <w:color w:val="auto"/>
          <w:kern w:val="0"/>
          <w:szCs w:val="21"/>
          <w:highlight w:val="none"/>
        </w:rPr>
        <w:t>因落实政府采购政策进行价格调整的，以调整后的价格计算评标基准价和投标报价。</w:t>
      </w:r>
    </w:p>
    <w:p w14:paraId="1A2A156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lang w:val="en-US" w:eastAsia="zh-CN"/>
        </w:rPr>
        <w:t>32.3</w:t>
      </w:r>
      <w:r>
        <w:rPr>
          <w:rFonts w:hint="eastAsia" w:cs="宋体" w:asciiTheme="minorEastAsia" w:hAnsiTheme="minorEastAsia"/>
          <w:b/>
          <w:color w:val="auto"/>
          <w:kern w:val="0"/>
          <w:szCs w:val="21"/>
          <w:highlight w:val="none"/>
        </w:rPr>
        <w:t>本次评标具体评标方法、评标标准见（第六章 资格审查与评标）</w:t>
      </w:r>
      <w:r>
        <w:rPr>
          <w:rFonts w:hint="eastAsia" w:cs="宋体" w:asciiTheme="minorEastAsia" w:hAnsiTheme="minorEastAsia"/>
          <w:color w:val="auto"/>
          <w:kern w:val="0"/>
          <w:szCs w:val="21"/>
          <w:highlight w:val="none"/>
        </w:rPr>
        <w:t>。</w:t>
      </w:r>
    </w:p>
    <w:p w14:paraId="25EA67C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33.</w:t>
      </w:r>
      <w:r>
        <w:rPr>
          <w:rFonts w:hint="eastAsia" w:cs="宋体" w:asciiTheme="minorEastAsia" w:hAnsiTheme="minorEastAsia"/>
          <w:b/>
          <w:color w:val="auto"/>
          <w:kern w:val="0"/>
          <w:szCs w:val="21"/>
          <w:highlight w:val="none"/>
        </w:rPr>
        <w:t>推荐中标候选人</w:t>
      </w:r>
    </w:p>
    <w:p w14:paraId="1E77B45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33.1 </w:t>
      </w:r>
      <w:r>
        <w:rPr>
          <w:rFonts w:hint="eastAsia" w:cs="宋体" w:asciiTheme="minorEastAsia" w:hAnsiTheme="minorEastAsia"/>
          <w:color w:val="auto"/>
          <w:kern w:val="0"/>
          <w:szCs w:val="21"/>
          <w:highlight w:val="none"/>
        </w:rPr>
        <w:t>采用最低评标价法的，评标结果按投标报价由低到高顺序排列。投标报价相同的并列。投标文件满足招标文件全部实质性要求且投标报价最低的投标人为排名第一的中标候选人。</w:t>
      </w:r>
    </w:p>
    <w:p w14:paraId="45542DB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33.2 </w:t>
      </w:r>
      <w:r>
        <w:rPr>
          <w:rFonts w:hint="eastAsia" w:cs="宋体" w:asciiTheme="minorEastAsia" w:hAnsiTheme="minorEastAsia"/>
          <w:color w:val="auto"/>
          <w:kern w:val="0"/>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7E5FBEC">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34.</w:t>
      </w:r>
      <w:r>
        <w:rPr>
          <w:rFonts w:hint="eastAsia" w:cs="宋体" w:asciiTheme="minorEastAsia" w:hAnsiTheme="minorEastAsia"/>
          <w:b/>
          <w:color w:val="auto"/>
          <w:kern w:val="0"/>
          <w:szCs w:val="21"/>
          <w:highlight w:val="none"/>
        </w:rPr>
        <w:t>评审意见无效情形</w:t>
      </w:r>
    </w:p>
    <w:p w14:paraId="64BE6A7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 </w:t>
      </w:r>
      <w:r>
        <w:rPr>
          <w:rFonts w:hint="eastAsia" w:cs="宋体" w:asciiTheme="minorEastAsia" w:hAnsiTheme="minorEastAsia"/>
          <w:color w:val="auto"/>
          <w:kern w:val="0"/>
          <w:szCs w:val="21"/>
          <w:highlight w:val="none"/>
        </w:rPr>
        <w:t>评标委员会及其成员有下列行为之一的，其评审意见无效：</w:t>
      </w:r>
    </w:p>
    <w:p w14:paraId="574F796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34.1.1 </w:t>
      </w:r>
      <w:r>
        <w:rPr>
          <w:rFonts w:hint="eastAsia" w:cs="宋体" w:asciiTheme="minorEastAsia" w:hAnsiTheme="minorEastAsia"/>
          <w:color w:val="auto"/>
          <w:kern w:val="0"/>
          <w:szCs w:val="21"/>
          <w:highlight w:val="none"/>
        </w:rPr>
        <w:t>确定参与评标至评标结束前私自接触投标人；</w:t>
      </w:r>
    </w:p>
    <w:p w14:paraId="5900DA9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34.1.2 </w:t>
      </w:r>
      <w:r>
        <w:rPr>
          <w:rFonts w:hint="eastAsia" w:cs="宋体" w:asciiTheme="minorEastAsia" w:hAnsiTheme="minorEastAsia"/>
          <w:color w:val="auto"/>
          <w:kern w:val="0"/>
          <w:szCs w:val="21"/>
          <w:highlight w:val="none"/>
        </w:rPr>
        <w:t>接受投标人提出的与投标文件不一致的澄清或者说明，《投标人须知</w:t>
      </w:r>
      <w:r>
        <w:rPr>
          <w:rFonts w:hint="eastAsia" w:cs="宋体" w:asciiTheme="minorEastAsia" w:hAnsiTheme="minorEastAsia"/>
          <w:color w:val="auto"/>
          <w:kern w:val="0"/>
          <w:szCs w:val="21"/>
          <w:highlight w:val="none"/>
          <w:lang w:eastAsia="zh-CN"/>
        </w:rPr>
        <w:t>》第</w:t>
      </w:r>
      <w:r>
        <w:rPr>
          <w:rFonts w:hint="eastAsia" w:cs="宋体" w:asciiTheme="minorEastAsia" w:hAnsiTheme="minorEastAsia"/>
          <w:color w:val="auto"/>
          <w:kern w:val="0"/>
          <w:szCs w:val="21"/>
          <w:highlight w:val="none"/>
        </w:rPr>
        <w:t>26条规定的情形除外；</w:t>
      </w:r>
    </w:p>
    <w:p w14:paraId="0AA8F9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34.1.3 </w:t>
      </w:r>
      <w:r>
        <w:rPr>
          <w:rFonts w:hint="eastAsia" w:cs="宋体" w:asciiTheme="minorEastAsia" w:hAnsiTheme="minorEastAsia"/>
          <w:color w:val="auto"/>
          <w:kern w:val="0"/>
          <w:szCs w:val="21"/>
          <w:highlight w:val="none"/>
        </w:rPr>
        <w:t>违反评标纪律发表倾向性意见或者征询采购人的倾向性意见；</w:t>
      </w:r>
    </w:p>
    <w:p w14:paraId="067F2EC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34.1.4 </w:t>
      </w:r>
      <w:r>
        <w:rPr>
          <w:rFonts w:hint="eastAsia" w:cs="宋体" w:asciiTheme="minorEastAsia" w:hAnsiTheme="minorEastAsia"/>
          <w:color w:val="auto"/>
          <w:kern w:val="0"/>
          <w:szCs w:val="21"/>
          <w:highlight w:val="none"/>
        </w:rPr>
        <w:t>对需要专业判断的主观评审因素协商评分；</w:t>
      </w:r>
    </w:p>
    <w:p w14:paraId="32F1B8E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34.1.5 </w:t>
      </w:r>
      <w:r>
        <w:rPr>
          <w:rFonts w:hint="eastAsia" w:cs="宋体" w:asciiTheme="minorEastAsia" w:hAnsiTheme="minorEastAsia"/>
          <w:color w:val="auto"/>
          <w:kern w:val="0"/>
          <w:szCs w:val="21"/>
          <w:highlight w:val="none"/>
        </w:rPr>
        <w:t>在评标过程中擅离职守，影响评标程序正常进行的；</w:t>
      </w:r>
    </w:p>
    <w:p w14:paraId="7DF098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34.1.6 </w:t>
      </w:r>
      <w:r>
        <w:rPr>
          <w:rFonts w:hint="eastAsia" w:cs="宋体" w:asciiTheme="minorEastAsia" w:hAnsiTheme="minorEastAsia"/>
          <w:color w:val="auto"/>
          <w:kern w:val="0"/>
          <w:szCs w:val="21"/>
          <w:highlight w:val="none"/>
        </w:rPr>
        <w:t>记录、复制或者带走任何评标资料；</w:t>
      </w:r>
    </w:p>
    <w:p w14:paraId="399FDF7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34.1.7 </w:t>
      </w:r>
      <w:r>
        <w:rPr>
          <w:rFonts w:hint="eastAsia" w:cs="宋体" w:asciiTheme="minorEastAsia" w:hAnsiTheme="minorEastAsia"/>
          <w:color w:val="auto"/>
          <w:kern w:val="0"/>
          <w:szCs w:val="21"/>
          <w:highlight w:val="none"/>
        </w:rPr>
        <w:t>其他不遵守评标纪律的行为。</w:t>
      </w:r>
    </w:p>
    <w:p w14:paraId="1E641C5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35.</w:t>
      </w:r>
      <w:r>
        <w:rPr>
          <w:rFonts w:hint="eastAsia" w:cs="宋体" w:asciiTheme="minorEastAsia" w:hAnsiTheme="minorEastAsia"/>
          <w:b/>
          <w:color w:val="auto"/>
          <w:kern w:val="0"/>
          <w:szCs w:val="21"/>
          <w:highlight w:val="none"/>
        </w:rPr>
        <w:t>保密</w:t>
      </w:r>
    </w:p>
    <w:p w14:paraId="71CF62B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35.1 </w:t>
      </w:r>
      <w:r>
        <w:rPr>
          <w:rFonts w:hint="eastAsia" w:cs="宋体" w:asciiTheme="minorEastAsia" w:hAnsiTheme="minorEastAsia"/>
          <w:color w:val="auto"/>
          <w:kern w:val="0"/>
          <w:szCs w:val="21"/>
          <w:highlight w:val="none"/>
        </w:rPr>
        <w:t>评审专家应当遵守评审工作纪律，不得泄露评审文件、评审情况和评审中获悉的商业秘密。</w:t>
      </w:r>
    </w:p>
    <w:p w14:paraId="2CEE071D">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35.2 采购人、采购代理机构应当采取必要措施，保证评标在严格保密的情况下进行。有关人员对评标情况以及在评标过程中获悉的国家秘密、商业秘密负有保密责任。</w:t>
      </w:r>
    </w:p>
    <w:p w14:paraId="2736919A">
      <w:pPr>
        <w:tabs>
          <w:tab w:val="left" w:pos="1260"/>
        </w:tabs>
        <w:autoSpaceDE w:val="0"/>
        <w:autoSpaceDN w:val="0"/>
        <w:spacing w:line="360" w:lineRule="auto"/>
        <w:contextualSpacing/>
        <w:jc w:val="both"/>
        <w:rPr>
          <w:rFonts w:hint="eastAsia" w:cs="宋体" w:asciiTheme="minorEastAsia" w:hAnsiTheme="minorEastAsia"/>
          <w:b/>
          <w:color w:val="auto"/>
          <w:kern w:val="0"/>
          <w:szCs w:val="21"/>
          <w:highlight w:val="none"/>
        </w:rPr>
      </w:pPr>
    </w:p>
    <w:p w14:paraId="2A2325C8">
      <w:pPr>
        <w:tabs>
          <w:tab w:val="left" w:pos="1260"/>
        </w:tabs>
        <w:autoSpaceDE w:val="0"/>
        <w:autoSpaceDN w:val="0"/>
        <w:spacing w:line="360" w:lineRule="auto"/>
        <w:contextualSpacing/>
        <w:jc w:val="center"/>
        <w:rPr>
          <w:rFonts w:hint="eastAsia" w:cs="宋体" w:asciiTheme="minorEastAsia" w:hAnsiTheme="minorEastAsia"/>
          <w:b/>
          <w:color w:val="auto"/>
          <w:kern w:val="0"/>
          <w:szCs w:val="21"/>
          <w:highlight w:val="none"/>
        </w:rPr>
      </w:pPr>
    </w:p>
    <w:p w14:paraId="3628FC9C">
      <w:pP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六、定标和授予合同</w:t>
      </w:r>
    </w:p>
    <w:p w14:paraId="339A906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36.</w:t>
      </w:r>
      <w:r>
        <w:rPr>
          <w:rFonts w:hint="eastAsia" w:cs="宋体" w:asciiTheme="minorEastAsia" w:hAnsiTheme="minorEastAsia"/>
          <w:b/>
          <w:color w:val="auto"/>
          <w:kern w:val="0"/>
          <w:szCs w:val="21"/>
          <w:highlight w:val="none"/>
        </w:rPr>
        <w:t>确定中标人</w:t>
      </w:r>
    </w:p>
    <w:p w14:paraId="2FD5ECB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36.1 </w:t>
      </w:r>
      <w:r>
        <w:rPr>
          <w:rFonts w:hint="eastAsia" w:cs="宋体" w:asciiTheme="minorEastAsia" w:hAnsiTheme="minorEastAsia"/>
          <w:color w:val="auto"/>
          <w:kern w:val="0"/>
          <w:szCs w:val="21"/>
          <w:highlight w:val="none"/>
        </w:rPr>
        <w:t>采购人应当自收到评标报告之日起</w:t>
      </w:r>
      <w:r>
        <w:rPr>
          <w:rFonts w:hint="eastAsia"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rPr>
        <w:t>日内，在评标报告确定的中标候选人名单中按顺序确定中标人（核验中标供应商由《禹州市政府采购供应商信用承诺函》替代的证明材料）。中标候选人并列的，由采购人采取随机抽取的方式确定。</w:t>
      </w:r>
    </w:p>
    <w:p w14:paraId="53625D1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36.2 </w:t>
      </w:r>
      <w:r>
        <w:rPr>
          <w:rFonts w:hint="eastAsia" w:cs="宋体" w:asciiTheme="minorEastAsia" w:hAnsiTheme="minorEastAsia"/>
          <w:color w:val="auto"/>
          <w:kern w:val="0"/>
          <w:szCs w:val="21"/>
          <w:highlight w:val="none"/>
        </w:rPr>
        <w:t>采购人在收到评标报告1个工作日内未按评标报告推荐的中标候选人顺序确定中标人，又不能说明合法理由的，视同按评标报告推荐的顺序确定排名第一的中标候选人为中标人。</w:t>
      </w:r>
    </w:p>
    <w:p w14:paraId="0AA845CB">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37.</w:t>
      </w:r>
      <w:r>
        <w:rPr>
          <w:rFonts w:hint="eastAsia" w:cs="宋体" w:asciiTheme="minorEastAsia" w:hAnsiTheme="minorEastAsia"/>
          <w:b/>
          <w:color w:val="auto"/>
          <w:kern w:val="0"/>
          <w:szCs w:val="21"/>
          <w:highlight w:val="none"/>
        </w:rPr>
        <w:t>中标公告、发出中标通知书</w:t>
      </w:r>
    </w:p>
    <w:p w14:paraId="6463981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37.1 </w:t>
      </w:r>
      <w:r>
        <w:rPr>
          <w:rFonts w:hint="eastAsia" w:cs="宋体" w:asciiTheme="minorEastAsia" w:hAnsiTheme="minorEastAsia"/>
          <w:color w:val="auto"/>
          <w:kern w:val="0"/>
          <w:szCs w:val="21"/>
          <w:highlight w:val="none"/>
        </w:rPr>
        <w:t>采购人确认中标人后，1个工作日公告中标结果的同时，禹州市政府采购中心向中标人发出中标通知书。</w:t>
      </w:r>
    </w:p>
    <w:p w14:paraId="4DEE34F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37.2 </w:t>
      </w:r>
      <w:r>
        <w:rPr>
          <w:rFonts w:hint="eastAsia" w:cs="宋体" w:asciiTheme="minorEastAsia" w:hAnsiTheme="minorEastAsia"/>
          <w:color w:val="auto"/>
          <w:kern w:val="0"/>
          <w:szCs w:val="21"/>
          <w:highlight w:val="none"/>
        </w:rPr>
        <w:t>中标通知书发出后，采购人不得违法改变中标结果，中标人无正当理由不得放弃中标。</w:t>
      </w:r>
    </w:p>
    <w:p w14:paraId="4CDC693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37.3 </w:t>
      </w:r>
      <w:r>
        <w:rPr>
          <w:rFonts w:hint="eastAsia" w:cs="宋体" w:asciiTheme="minorEastAsia" w:hAnsiTheme="minorEastAsia"/>
          <w:color w:val="auto"/>
          <w:kern w:val="0"/>
          <w:szCs w:val="21"/>
          <w:highlight w:val="none"/>
        </w:rPr>
        <w:t>中标人在接到中标通知时，须向代理机构发送投标报价及分项报价一览表（包含主要中标标的的名称、规格型号、数量、单价、服务要求等）电子文档，并同时通知代理机构联系人。</w:t>
      </w:r>
    </w:p>
    <w:p w14:paraId="1B21D187">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38.</w:t>
      </w:r>
      <w:r>
        <w:rPr>
          <w:rFonts w:hint="eastAsia" w:cs="宋体" w:asciiTheme="minorEastAsia" w:hAnsiTheme="minorEastAsia"/>
          <w:b/>
          <w:color w:val="auto"/>
          <w:kern w:val="0"/>
          <w:szCs w:val="21"/>
          <w:highlight w:val="none"/>
        </w:rPr>
        <w:t>质疑提出与答复</w:t>
      </w:r>
    </w:p>
    <w:p w14:paraId="2745677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 </w:t>
      </w:r>
      <w:r>
        <w:rPr>
          <w:rFonts w:hint="eastAsia" w:cs="宋体" w:asciiTheme="minorEastAsia" w:hAnsiTheme="minorEastAsia"/>
          <w:color w:val="auto"/>
          <w:kern w:val="0"/>
          <w:szCs w:val="21"/>
          <w:highlight w:val="none"/>
        </w:rPr>
        <w:t>供应商认为采购文件、采购过程和中标结果使自己的权益受到损害的，可以按照《政府采购质疑和投诉办法》（财政部令第94号）</w:t>
      </w:r>
      <w:r>
        <w:rPr>
          <w:rFonts w:hint="eastAsia" w:cs="宋体" w:asciiTheme="minorEastAsia" w:hAnsiTheme="minorEastAsia"/>
          <w:color w:val="auto"/>
          <w:kern w:val="0"/>
          <w:szCs w:val="21"/>
          <w:highlight w:val="none"/>
          <w:lang w:eastAsia="zh-CN"/>
        </w:rPr>
        <w:t>质疑</w:t>
      </w:r>
      <w:r>
        <w:rPr>
          <w:rFonts w:hint="eastAsia" w:cs="宋体" w:asciiTheme="minorEastAsia" w:hAnsiTheme="minorEastAsia"/>
          <w:color w:val="auto"/>
          <w:kern w:val="0"/>
          <w:szCs w:val="21"/>
          <w:highlight w:val="none"/>
        </w:rPr>
        <w:t>。</w:t>
      </w:r>
      <w:r>
        <w:rPr>
          <w:rFonts w:cs="宋体" w:asciiTheme="minorEastAsia" w:hAnsiTheme="minorEastAsia"/>
          <w:color w:val="auto"/>
          <w:kern w:val="0"/>
          <w:szCs w:val="21"/>
          <w:highlight w:val="none"/>
        </w:rPr>
        <w:t>提出质疑的供应商应当是参与</w:t>
      </w:r>
      <w:r>
        <w:rPr>
          <w:rFonts w:hint="eastAsia" w:cs="宋体" w:asciiTheme="minorEastAsia" w:hAnsiTheme="minorEastAsia"/>
          <w:color w:val="auto"/>
          <w:kern w:val="0"/>
          <w:szCs w:val="21"/>
          <w:highlight w:val="none"/>
        </w:rPr>
        <w:t>本</w:t>
      </w:r>
      <w:r>
        <w:rPr>
          <w:rFonts w:cs="宋体" w:asciiTheme="minorEastAsia" w:hAnsiTheme="minorEastAsia"/>
          <w:color w:val="auto"/>
          <w:kern w:val="0"/>
          <w:szCs w:val="21"/>
          <w:highlight w:val="none"/>
        </w:rPr>
        <w:t>项目采购活动的供应商。</w:t>
      </w:r>
      <w:r>
        <w:rPr>
          <w:rFonts w:hint="eastAsia" w:cs="宋体" w:asciiTheme="minorEastAsia" w:hAnsiTheme="minorEastAsia"/>
          <w:color w:val="auto"/>
          <w:kern w:val="0"/>
          <w:szCs w:val="21"/>
          <w:highlight w:val="none"/>
        </w:rPr>
        <w:t>提出时应按照《政府采购质疑和投诉办法》（财政部令第94号）第十二条规定提交质疑函和必要的证明材料，质疑提出后</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投标人应及时联系招标公告中集采机构联系人查看。如未提出视为全面接受。</w:t>
      </w:r>
    </w:p>
    <w:p w14:paraId="5921F60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38.1.1 </w:t>
      </w:r>
      <w:r>
        <w:rPr>
          <w:rFonts w:hint="eastAsia" w:cs="宋体" w:asciiTheme="minorEastAsia" w:hAnsiTheme="minorEastAsia"/>
          <w:color w:val="auto"/>
          <w:kern w:val="0"/>
          <w:szCs w:val="21"/>
          <w:highlight w:val="none"/>
        </w:rPr>
        <w:t>对采购文件提出质疑的，</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w:t>
      </w:r>
      <w:r>
        <w:rPr>
          <w:rFonts w:cs="宋体" w:asciiTheme="minorEastAsia" w:hAnsiTheme="minorEastAsia"/>
          <w:color w:val="auto"/>
          <w:kern w:val="0"/>
          <w:szCs w:val="21"/>
          <w:highlight w:val="none"/>
        </w:rPr>
        <w:t>已依法获取采购文件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获取采购文件或者采购文件公告期限届满之日起7个工作日内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w:t>
      </w:r>
    </w:p>
    <w:p w14:paraId="6677D8F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38.1.2 </w:t>
      </w:r>
      <w:r>
        <w:rPr>
          <w:rFonts w:hint="eastAsia" w:cs="宋体" w:asciiTheme="minorEastAsia" w:hAnsiTheme="minorEastAsia"/>
          <w:color w:val="auto"/>
          <w:kern w:val="0"/>
          <w:szCs w:val="21"/>
          <w:highlight w:val="none"/>
        </w:rPr>
        <w:t>对采购过程提出质疑的，为各采购程序环节结束之日起七个工作日内，投标人通过《全国公共资源交易平台（河南省·许昌市）》一次性提出；</w:t>
      </w:r>
    </w:p>
    <w:p w14:paraId="0483E5A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38.1.3 </w:t>
      </w:r>
      <w:r>
        <w:rPr>
          <w:rFonts w:hint="eastAsia" w:cs="宋体" w:asciiTheme="minorEastAsia" w:hAnsiTheme="minorEastAsia"/>
          <w:color w:val="auto"/>
          <w:kern w:val="0"/>
          <w:szCs w:val="21"/>
          <w:highlight w:val="none"/>
        </w:rPr>
        <w:t>对中标结果提出质疑的，为中标结果公告期限届满之日起七个工作日内，投标人通过《全国公共资源交易平台（河南省·许昌市）》一次性提出。</w:t>
      </w:r>
    </w:p>
    <w:p w14:paraId="21E4B260">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38.2</w:t>
      </w:r>
      <w:r>
        <w:rPr>
          <w:rFonts w:hint="eastAsia" w:cs="宋体" w:asciiTheme="minorEastAsia" w:hAnsiTheme="minorEastAsia"/>
          <w:color w:val="auto"/>
          <w:kern w:val="0"/>
          <w:szCs w:val="21"/>
          <w:highlight w:val="none"/>
          <w:lang w:val="en-US" w:eastAsia="zh-CN"/>
        </w:rPr>
        <w:t xml:space="preserve"> </w:t>
      </w:r>
      <w:r>
        <w:rPr>
          <w:rFonts w:cs="宋体" w:asciiTheme="minorEastAsia" w:hAnsiTheme="minorEastAsia"/>
          <w:color w:val="auto"/>
          <w:kern w:val="0"/>
          <w:szCs w:val="21"/>
          <w:highlight w:val="none"/>
        </w:rPr>
        <w:t>采购人、采购代理机构认为供应商质疑不成立，或者成立但未对中标结果构成影响的，</w:t>
      </w:r>
      <w:r>
        <w:rPr>
          <w:rFonts w:hint="eastAsia" w:cs="宋体" w:asciiTheme="minorEastAsia" w:hAnsiTheme="minorEastAsia"/>
          <w:color w:val="auto"/>
          <w:kern w:val="0"/>
          <w:szCs w:val="21"/>
          <w:highlight w:val="none"/>
        </w:rPr>
        <w:t>在收到质疑函7个工作日内通过《全国公共资源交易平台（河南省·许昌市）》交易系统作出答复，并</w:t>
      </w:r>
      <w:r>
        <w:rPr>
          <w:rFonts w:cs="宋体" w:asciiTheme="minorEastAsia" w:hAnsiTheme="minorEastAsia"/>
          <w:color w:val="auto"/>
          <w:kern w:val="0"/>
          <w:szCs w:val="21"/>
          <w:highlight w:val="none"/>
        </w:rPr>
        <w:t>继续开展采购活动；认为供应商质疑成立且影响或者可能影响中标结果的，</w:t>
      </w:r>
      <w:r>
        <w:rPr>
          <w:rFonts w:hint="eastAsia" w:cs="宋体" w:asciiTheme="minorEastAsia" w:hAnsiTheme="minorEastAsia"/>
          <w:color w:val="auto"/>
          <w:kern w:val="0"/>
          <w:szCs w:val="21"/>
          <w:highlight w:val="none"/>
        </w:rPr>
        <w:t>在收到质疑函7个工作日内通过《全国公共资源交易平台（河南省·许昌市）》交易系统作出答复，并</w:t>
      </w:r>
      <w:r>
        <w:rPr>
          <w:rFonts w:cs="宋体" w:asciiTheme="minorEastAsia" w:hAnsiTheme="minorEastAsia"/>
          <w:color w:val="auto"/>
          <w:kern w:val="0"/>
          <w:szCs w:val="21"/>
          <w:highlight w:val="none"/>
        </w:rPr>
        <w:t>按照下列情况处理：</w:t>
      </w:r>
    </w:p>
    <w:p w14:paraId="5353B67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38.2.1 </w:t>
      </w:r>
      <w:r>
        <w:rPr>
          <w:rFonts w:cs="宋体" w:asciiTheme="minorEastAsia" w:hAnsiTheme="minorEastAsia"/>
          <w:color w:val="auto"/>
          <w:kern w:val="0"/>
          <w:szCs w:val="21"/>
          <w:highlight w:val="none"/>
        </w:rPr>
        <w:t>对采购文件提出的质疑，依法通过澄清或者修改可以继续开展采购活动的，澄清或者修改采购文件后继续开展采购活动；否则应当修改采购文件后重新开展采购活动。</w:t>
      </w:r>
    </w:p>
    <w:p w14:paraId="2604075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38.2.2 </w:t>
      </w:r>
      <w:r>
        <w:rPr>
          <w:rFonts w:cs="宋体" w:asciiTheme="minorEastAsia" w:hAnsiTheme="minorEastAsia"/>
          <w:color w:val="auto"/>
          <w:kern w:val="0"/>
          <w:szCs w:val="21"/>
          <w:highlight w:val="none"/>
        </w:rPr>
        <w:t>对采购过程、中标结果提出的质疑，合格供应商符合法定数量时，可以从合格的中标</w:t>
      </w:r>
      <w:r>
        <w:rPr>
          <w:rFonts w:hint="eastAsia" w:cs="宋体" w:asciiTheme="minorEastAsia" w:hAnsiTheme="minorEastAsia"/>
          <w:color w:val="auto"/>
          <w:kern w:val="0"/>
          <w:szCs w:val="21"/>
          <w:highlight w:val="none"/>
        </w:rPr>
        <w:t>候选人</w:t>
      </w:r>
      <w:r>
        <w:rPr>
          <w:rFonts w:cs="宋体" w:asciiTheme="minorEastAsia" w:hAnsiTheme="minorEastAsia"/>
          <w:color w:val="auto"/>
          <w:kern w:val="0"/>
          <w:szCs w:val="21"/>
          <w:highlight w:val="none"/>
        </w:rPr>
        <w:t>中另行确定中标供应商的，应当依法另行确定中标供应商；否则应当重新开展采购活动</w:t>
      </w:r>
      <w:r>
        <w:rPr>
          <w:rFonts w:hint="eastAsia" w:cs="宋体" w:asciiTheme="minorEastAsia" w:hAnsiTheme="minorEastAsia"/>
          <w:color w:val="auto"/>
          <w:kern w:val="0"/>
          <w:szCs w:val="21"/>
          <w:highlight w:val="none"/>
        </w:rPr>
        <w:t>。</w:t>
      </w:r>
    </w:p>
    <w:p w14:paraId="637FCCF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39.</w:t>
      </w:r>
      <w:r>
        <w:rPr>
          <w:rFonts w:hint="eastAsia" w:cs="宋体" w:asciiTheme="minorEastAsia" w:hAnsiTheme="minorEastAsia"/>
          <w:b/>
          <w:color w:val="auto"/>
          <w:kern w:val="0"/>
          <w:szCs w:val="21"/>
          <w:highlight w:val="none"/>
        </w:rPr>
        <w:t>签订合同与备案</w:t>
      </w:r>
    </w:p>
    <w:p w14:paraId="77A06428">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采购人应当自中标通知书发出之日起</w:t>
      </w:r>
      <w:r>
        <w:rPr>
          <w:rFonts w:hint="eastAsia" w:cs="宋体" w:asciiTheme="minorEastAsia" w:hAnsiTheme="minorEastAsia"/>
          <w:color w:val="auto"/>
          <w:kern w:val="0"/>
          <w:szCs w:val="21"/>
          <w:highlight w:val="none"/>
          <w:lang w:val="en-US" w:eastAsia="zh-CN"/>
        </w:rPr>
        <w:t>15</w:t>
      </w:r>
      <w:r>
        <w:rPr>
          <w:rFonts w:hint="eastAsia" w:cs="宋体" w:asciiTheme="minorEastAsia" w:hAnsiTheme="minorEastAsia"/>
          <w:color w:val="auto"/>
          <w:kern w:val="0"/>
          <w:szCs w:val="21"/>
          <w:highlight w:val="none"/>
        </w:rPr>
        <w:t>日内，按照招标文件和中标人投标文件的规定，与中标人签订书面合同。所签订的合同不得对招标文件确定的事项和中标人投标文件作实质性修改。</w:t>
      </w:r>
    </w:p>
    <w:p w14:paraId="40BFEE4D">
      <w:pPr>
        <w:pStyle w:val="44"/>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采购单位应当自合同签订之日起2个工作日内在河南省电子化政府采购系统进行合同备案。</w:t>
      </w:r>
    </w:p>
    <w:p w14:paraId="31CF7B6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40.</w:t>
      </w:r>
      <w:r>
        <w:rPr>
          <w:rFonts w:hint="eastAsia" w:cs="宋体" w:asciiTheme="minorEastAsia" w:hAnsiTheme="minorEastAsia"/>
          <w:b/>
          <w:color w:val="auto"/>
          <w:kern w:val="0"/>
          <w:szCs w:val="21"/>
          <w:highlight w:val="none"/>
        </w:rPr>
        <w:t>履约保证金</w:t>
      </w:r>
    </w:p>
    <w:p w14:paraId="75029E52">
      <w:pPr>
        <w:autoSpaceDE w:val="0"/>
        <w:autoSpaceDN w:val="0"/>
        <w:spacing w:line="360" w:lineRule="auto"/>
        <w:ind w:firstLine="420" w:firstLineChars="200"/>
        <w:contextualSpacing/>
        <w:jc w:val="left"/>
        <w:rPr>
          <w:rFonts w:hint="eastAsia" w:cs="宋体" w:asciiTheme="minorEastAsia" w:hAnsiTheme="minorEastAsia" w:eastAsiaTheme="minorEastAsia"/>
          <w:color w:val="auto"/>
          <w:kern w:val="0"/>
          <w:szCs w:val="21"/>
          <w:highlight w:val="none"/>
          <w:lang w:eastAsia="zh-CN"/>
        </w:rPr>
      </w:pPr>
      <w:r>
        <w:rPr>
          <w:rFonts w:hint="eastAsia" w:cs="宋体" w:asciiTheme="minorEastAsia" w:hAnsiTheme="minorEastAsia"/>
          <w:color w:val="auto"/>
          <w:kern w:val="0"/>
          <w:szCs w:val="21"/>
          <w:highlight w:val="none"/>
        </w:rPr>
        <w:t>“投标人须知前附表”中规定中标人提交履约保证金的，中标人应当以支票、汇票、本票或者金融机构、担保机构出具的保函等非现金形式向采购人提交。履约保证金的数额不得超过政府采购合同金额的10%。</w:t>
      </w:r>
    </w:p>
    <w:p w14:paraId="2D0393C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lang w:val="en-US" w:eastAsia="zh-CN"/>
        </w:rPr>
        <w:t>41.</w:t>
      </w:r>
      <w:r>
        <w:rPr>
          <w:rFonts w:hint="eastAsia" w:cs="宋体" w:asciiTheme="minorEastAsia" w:hAnsiTheme="minorEastAsia"/>
          <w:b/>
          <w:color w:val="auto"/>
          <w:kern w:val="0"/>
          <w:szCs w:val="21"/>
          <w:highlight w:val="none"/>
        </w:rPr>
        <w:t>政府采购合同融资</w:t>
      </w:r>
    </w:p>
    <w:p w14:paraId="69803D1D">
      <w:pPr>
        <w:pStyle w:val="44"/>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41.1 </w:t>
      </w:r>
      <w:r>
        <w:rPr>
          <w:rFonts w:hint="eastAsia" w:cs="宋体" w:asciiTheme="minorEastAsia" w:hAnsiTheme="minorEastAsia"/>
          <w:color w:val="auto"/>
          <w:kern w:val="0"/>
          <w:szCs w:val="21"/>
          <w:highlight w:val="none"/>
        </w:rPr>
        <w:t>缓解中小企业融资难题</w:t>
      </w:r>
    </w:p>
    <w:p w14:paraId="4994B512">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0D85872E">
      <w:pPr>
        <w:autoSpaceDE w:val="0"/>
        <w:autoSpaceDN w:val="0"/>
        <w:spacing w:line="360" w:lineRule="auto"/>
        <w:contextualSpacing/>
        <w:jc w:val="left"/>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w:t>
      </w:r>
      <w:r>
        <w:rPr>
          <w:rFonts w:hint="eastAsia" w:cs="宋体" w:asciiTheme="minorEastAsia" w:hAnsiTheme="minorEastAsia"/>
          <w:color w:val="auto"/>
          <w:kern w:val="0"/>
          <w:szCs w:val="21"/>
          <w:highlight w:val="none"/>
        </w:rPr>
        <w:t>.2 合作金融机构（排名不分先后）</w:t>
      </w:r>
    </w:p>
    <w:p w14:paraId="7CC802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C3605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47DD8BF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5386C0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5469D8C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1230375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48E6FE5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0ADAED2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7107DC4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35A5E86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32AE301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428B18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2B72766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70C239A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2E2F317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238BEF7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20152FE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7AE1E79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6DD49A7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2401D1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294BAD8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75F49D2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33187E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2918FC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0A0ECDB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3784BD6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4F9D098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02EA8A7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372D4B7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41.3</w:t>
      </w:r>
      <w:r>
        <w:rPr>
          <w:rFonts w:hint="eastAsia" w:cs="宋体" w:asciiTheme="minorEastAsia" w:hAnsiTheme="minorEastAsia"/>
          <w:color w:val="auto"/>
          <w:kern w:val="0"/>
          <w:szCs w:val="21"/>
          <w:highlight w:val="none"/>
        </w:rPr>
        <w:t xml:space="preserve"> “政府采购合同融资金融产品推介名录”链接</w:t>
      </w:r>
    </w:p>
    <w:p w14:paraId="2C575665">
      <w:pPr>
        <w:keepNext w:val="0"/>
        <w:keepLines w:val="0"/>
        <w:widowControl/>
        <w:suppressLineNumbers w:val="0"/>
        <w:ind w:firstLine="400" w:firstLineChars="200"/>
        <w:jc w:val="left"/>
        <w:rPr>
          <w:rFonts w:hint="eastAsia" w:cs="宋体" w:asciiTheme="minorEastAsia" w:hAnsiTheme="minorEastAsia"/>
          <w:color w:val="auto"/>
          <w:kern w:val="0"/>
          <w:szCs w:val="21"/>
          <w:highlight w:val="none"/>
          <w:u w:val="single"/>
        </w:rPr>
      </w:pPr>
      <w:r>
        <w:rPr>
          <w:rFonts w:hint="eastAsia" w:ascii="宋体" w:hAnsi="宋体" w:eastAsia="宋体" w:cs="宋体"/>
          <w:color w:val="auto"/>
          <w:kern w:val="0"/>
          <w:sz w:val="20"/>
          <w:szCs w:val="20"/>
          <w:highlight w:val="none"/>
          <w:lang w:val="en-US" w:eastAsia="zh-CN" w:bidi="ar"/>
        </w:rPr>
        <w:t>http://ccgp-henan.gov.cn/xuchang/content?infoId=1606365368231095</w:t>
      </w:r>
    </w:p>
    <w:p w14:paraId="3ECF0A01">
      <w:pPr>
        <w:numPr>
          <w:ilvl w:val="0"/>
          <w:numId w:val="0"/>
        </w:numPr>
        <w:autoSpaceDE w:val="0"/>
        <w:autoSpaceDN w:val="0"/>
        <w:spacing w:line="360" w:lineRule="auto"/>
        <w:ind w:leftChars="0"/>
        <w:contextualSpacing/>
        <w:outlineLvl w:val="2"/>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 xml:space="preserve">42 </w:t>
      </w:r>
      <w:r>
        <w:rPr>
          <w:rFonts w:hint="eastAsia" w:cs="宋体" w:asciiTheme="minorEastAsia" w:hAnsiTheme="minorEastAsia"/>
          <w:b/>
          <w:color w:val="auto"/>
          <w:kern w:val="0"/>
          <w:szCs w:val="21"/>
          <w:highlight w:val="none"/>
        </w:rPr>
        <w:t>“采小帮”政府采购服务体系</w:t>
      </w:r>
    </w:p>
    <w:p w14:paraId="6884117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为持续优化我市政府采购营商环境</w:t>
      </w:r>
      <w:r>
        <w:rPr>
          <w:rFonts w:hint="eastAsia" w:cs="宋体" w:asciiTheme="minorEastAsia" w:hAnsiTheme="minorEastAsia"/>
          <w:color w:val="auto"/>
          <w:kern w:val="0"/>
          <w:szCs w:val="21"/>
          <w:highlight w:val="none"/>
          <w:lang w:eastAsia="zh-CN"/>
        </w:rPr>
        <w:t>，</w:t>
      </w:r>
      <w:r>
        <w:rPr>
          <w:rFonts w:hint="eastAsia"/>
          <w:color w:val="auto"/>
          <w:highlight w:val="none"/>
        </w:rPr>
        <w:t xml:space="preserve"> </w:t>
      </w:r>
      <w:r>
        <w:rPr>
          <w:rFonts w:hint="eastAsia"/>
          <w:color w:val="auto"/>
          <w:highlight w:val="none"/>
          <w:lang w:val="en-US" w:eastAsia="zh-CN"/>
        </w:rPr>
        <w:t>禹州</w:t>
      </w:r>
      <w:r>
        <w:rPr>
          <w:rFonts w:hint="eastAsia" w:cs="宋体" w:asciiTheme="minorEastAsia" w:hAnsiTheme="minorEastAsia"/>
          <w:color w:val="auto"/>
          <w:kern w:val="0"/>
          <w:szCs w:val="21"/>
          <w:highlight w:val="none"/>
        </w:rPr>
        <w:t>市财政局政府采购监督管理办公室人员、</w:t>
      </w:r>
      <w:r>
        <w:rPr>
          <w:rFonts w:hint="eastAsia" w:cs="宋体" w:asciiTheme="minorEastAsia" w:hAnsiTheme="minorEastAsia"/>
          <w:color w:val="auto"/>
          <w:kern w:val="0"/>
          <w:szCs w:val="21"/>
          <w:highlight w:val="none"/>
          <w:lang w:val="en-US" w:eastAsia="zh-CN"/>
        </w:rPr>
        <w:t>禹州市</w:t>
      </w:r>
      <w:r>
        <w:rPr>
          <w:rFonts w:hint="eastAsia" w:cs="宋体" w:asciiTheme="minorEastAsia" w:hAnsiTheme="minorEastAsia"/>
          <w:color w:val="auto"/>
          <w:kern w:val="0"/>
          <w:szCs w:val="21"/>
          <w:highlight w:val="none"/>
        </w:rPr>
        <w:t>政府采购中心人员组成“采小帮”服务团队，提供政府采购政策咨询服务，以及项目实施全程跟踪提醒、监督预警服务。</w:t>
      </w:r>
    </w:p>
    <w:p w14:paraId="654222A7">
      <w:pPr>
        <w:numPr>
          <w:ilvl w:val="0"/>
          <w:numId w:val="15"/>
        </w:numPr>
        <w:wordWrap w:val="0"/>
        <w:topLinePunct/>
        <w:autoSpaceDE w:val="0"/>
        <w:autoSpaceDN w:val="0"/>
        <w:adjustRightInd w:val="0"/>
        <w:spacing w:line="360" w:lineRule="auto"/>
        <w:contextualSpacing/>
        <w:rPr>
          <w:rFonts w:cs="宋体" w:asciiTheme="minorEastAsia" w:hAnsiTheme="minorEastAsia"/>
          <w:vanish/>
          <w:color w:val="auto"/>
          <w:kern w:val="0"/>
          <w:szCs w:val="21"/>
          <w:highlight w:val="none"/>
        </w:rPr>
      </w:pPr>
    </w:p>
    <w:p w14:paraId="0547E54D">
      <w:pPr>
        <w:numPr>
          <w:ilvl w:val="0"/>
          <w:numId w:val="0"/>
        </w:numPr>
        <w:wordWrap w:val="0"/>
        <w:topLinePunct/>
        <w:autoSpaceDE w:val="0"/>
        <w:autoSpaceDN w:val="0"/>
        <w:adjustRightInd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42.1 </w:t>
      </w:r>
      <w:r>
        <w:rPr>
          <w:rFonts w:hint="eastAsia" w:cs="宋体" w:asciiTheme="minorEastAsia" w:hAnsiTheme="minorEastAsia"/>
          <w:color w:val="auto"/>
          <w:kern w:val="0"/>
          <w:szCs w:val="21"/>
          <w:highlight w:val="none"/>
        </w:rPr>
        <w:t>“采小帮”服务团队依据职责分工，向供应商提供个性化、精准化服务，包括政策咨询、   政策宣传、采购辅导、节点提醒、风险提示、问题反馈等。</w:t>
      </w:r>
    </w:p>
    <w:p w14:paraId="25C7163C">
      <w:pPr>
        <w:numPr>
          <w:ilvl w:val="0"/>
          <w:numId w:val="0"/>
        </w:numPr>
        <w:wordWrap w:val="0"/>
        <w:topLinePunct/>
        <w:autoSpaceDE w:val="0"/>
        <w:autoSpaceDN w:val="0"/>
        <w:adjustRightInd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42.2 </w:t>
      </w:r>
      <w:r>
        <w:rPr>
          <w:rFonts w:hint="eastAsia" w:cs="宋体" w:asciiTheme="minorEastAsia" w:hAnsiTheme="minorEastAsia"/>
          <w:color w:val="auto"/>
          <w:kern w:val="0"/>
          <w:szCs w:val="21"/>
          <w:highlight w:val="none"/>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1F4D5F6E">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42.3 </w:t>
      </w:r>
      <w:r>
        <w:rPr>
          <w:rFonts w:hint="eastAsia" w:cs="宋体" w:asciiTheme="minorEastAsia" w:hAnsiTheme="minorEastAsia"/>
          <w:color w:val="auto"/>
          <w:kern w:val="0"/>
          <w:szCs w:val="21"/>
          <w:highlight w:val="none"/>
        </w:rPr>
        <w:t>助手团队</w:t>
      </w:r>
    </w:p>
    <w:tbl>
      <w:tblPr>
        <w:tblStyle w:val="27"/>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487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41A5EE70">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部门</w:t>
            </w:r>
          </w:p>
        </w:tc>
        <w:tc>
          <w:tcPr>
            <w:tcW w:w="1544" w:type="dxa"/>
            <w:noWrap w:val="0"/>
            <w:vAlign w:val="top"/>
          </w:tcPr>
          <w:p w14:paraId="0BCEBE1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136" w:type="dxa"/>
            <w:noWrap w:val="0"/>
            <w:vAlign w:val="top"/>
          </w:tcPr>
          <w:p w14:paraId="0CE2243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联系方式</w:t>
            </w:r>
          </w:p>
        </w:tc>
        <w:tc>
          <w:tcPr>
            <w:tcW w:w="3031" w:type="dxa"/>
            <w:noWrap w:val="0"/>
            <w:vAlign w:val="top"/>
          </w:tcPr>
          <w:p w14:paraId="56BEDB4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服务领域</w:t>
            </w:r>
          </w:p>
        </w:tc>
      </w:tr>
      <w:tr w14:paraId="3B4A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6FD4885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禹</w:t>
            </w:r>
            <w:r>
              <w:rPr>
                <w:rFonts w:hint="eastAsia" w:asciiTheme="minorEastAsia" w:hAnsiTheme="minorEastAsia" w:cstheme="minorEastAsia"/>
                <w:color w:val="auto"/>
                <w:sz w:val="21"/>
                <w:szCs w:val="21"/>
                <w:highlight w:val="none"/>
                <w:lang w:val="en-US" w:eastAsia="zh-CN"/>
              </w:rPr>
              <w:t>州</w:t>
            </w:r>
            <w:r>
              <w:rPr>
                <w:rFonts w:hint="eastAsia" w:asciiTheme="minorEastAsia" w:hAnsiTheme="minorEastAsia" w:eastAsiaTheme="minorEastAsia" w:cstheme="minorEastAsia"/>
                <w:color w:val="auto"/>
                <w:sz w:val="21"/>
                <w:szCs w:val="21"/>
                <w:highlight w:val="none"/>
              </w:rPr>
              <w:t>市政府采购监督管理办公室</w:t>
            </w:r>
          </w:p>
        </w:tc>
        <w:tc>
          <w:tcPr>
            <w:tcW w:w="1544" w:type="dxa"/>
            <w:noWrap w:val="0"/>
            <w:vAlign w:val="top"/>
          </w:tcPr>
          <w:p w14:paraId="02F8AD1B">
            <w:pPr>
              <w:spacing w:line="360" w:lineRule="auto"/>
              <w:jc w:val="center"/>
              <w:rPr>
                <w:rFonts w:hint="eastAsia" w:asciiTheme="minorEastAsia" w:hAnsiTheme="minorEastAsia" w:cstheme="minorEastAsia"/>
                <w:color w:val="auto"/>
                <w:sz w:val="21"/>
                <w:szCs w:val="21"/>
                <w:highlight w:val="none"/>
                <w:lang w:val="en-US" w:eastAsia="zh-CN"/>
              </w:rPr>
            </w:pPr>
          </w:p>
          <w:p w14:paraId="683D4C77">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马静雅</w:t>
            </w:r>
          </w:p>
          <w:p w14:paraId="62362BE0">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赵纪伟</w:t>
            </w:r>
          </w:p>
          <w:p w14:paraId="6B92DF0B">
            <w:pPr>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邢琳琳</w:t>
            </w:r>
          </w:p>
        </w:tc>
        <w:tc>
          <w:tcPr>
            <w:tcW w:w="2136" w:type="dxa"/>
            <w:noWrap w:val="0"/>
            <w:vAlign w:val="center"/>
          </w:tcPr>
          <w:p w14:paraId="6FFDD37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0374-</w:t>
            </w:r>
            <w:r>
              <w:rPr>
                <w:rFonts w:hint="eastAsia" w:asciiTheme="minorEastAsia" w:hAnsiTheme="minorEastAsia" w:eastAsiaTheme="minorEastAsia" w:cstheme="minorEastAsia"/>
                <w:color w:val="auto"/>
                <w:sz w:val="21"/>
                <w:szCs w:val="21"/>
                <w:highlight w:val="none"/>
                <w:lang w:val="en-US" w:eastAsia="zh-CN"/>
              </w:rPr>
              <w:t>8112523</w:t>
            </w:r>
          </w:p>
        </w:tc>
        <w:tc>
          <w:tcPr>
            <w:tcW w:w="3031" w:type="dxa"/>
            <w:noWrap w:val="0"/>
            <w:vAlign w:val="center"/>
          </w:tcPr>
          <w:p w14:paraId="3B62E0FC">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政府采购政策制度、支持中小企业发展、政府采购信息系统、</w:t>
            </w:r>
            <w:r>
              <w:rPr>
                <w:rFonts w:hint="eastAsia" w:asciiTheme="minorEastAsia" w:hAnsiTheme="minorEastAsia" w:eastAsiaTheme="minorEastAsia" w:cstheme="minorEastAsia"/>
                <w:color w:val="auto"/>
                <w:sz w:val="21"/>
                <w:szCs w:val="21"/>
                <w:highlight w:val="none"/>
                <w:lang w:eastAsia="zh-CN"/>
              </w:rPr>
              <w:t>合同备案管理、</w:t>
            </w:r>
            <w:r>
              <w:rPr>
                <w:rFonts w:hint="eastAsia" w:asciiTheme="minorEastAsia" w:hAnsiTheme="minorEastAsia" w:eastAsiaTheme="minorEastAsia" w:cstheme="minorEastAsia"/>
                <w:color w:val="auto"/>
                <w:sz w:val="21"/>
                <w:szCs w:val="21"/>
                <w:highlight w:val="none"/>
              </w:rPr>
              <w:t>供应商监管、网上商城管理、832平台</w:t>
            </w:r>
            <w:r>
              <w:rPr>
                <w:rFonts w:hint="eastAsia" w:asciiTheme="minorEastAsia" w:hAnsiTheme="minorEastAsia" w:eastAsiaTheme="minorEastAsia" w:cstheme="minorEastAsia"/>
                <w:color w:val="auto"/>
                <w:sz w:val="21"/>
                <w:szCs w:val="21"/>
                <w:highlight w:val="none"/>
                <w:lang w:eastAsia="zh-CN"/>
              </w:rPr>
              <w:t>管理、质</w:t>
            </w:r>
            <w:r>
              <w:rPr>
                <w:rFonts w:hint="eastAsia" w:asciiTheme="minorEastAsia" w:hAnsiTheme="minorEastAsia" w:eastAsiaTheme="minorEastAsia" w:cstheme="minorEastAsia"/>
                <w:color w:val="auto"/>
                <w:sz w:val="21"/>
                <w:szCs w:val="21"/>
                <w:highlight w:val="none"/>
              </w:rPr>
              <w:t>疑投诉处理</w:t>
            </w:r>
          </w:p>
        </w:tc>
      </w:tr>
      <w:tr w14:paraId="1B1E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669B6CF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禹州</w:t>
            </w:r>
            <w:r>
              <w:rPr>
                <w:rFonts w:hint="eastAsia" w:asciiTheme="minorEastAsia" w:hAnsiTheme="minorEastAsia" w:eastAsiaTheme="minorEastAsia" w:cstheme="minorEastAsia"/>
                <w:color w:val="auto"/>
                <w:sz w:val="21"/>
                <w:szCs w:val="21"/>
                <w:highlight w:val="none"/>
              </w:rPr>
              <w:t>市政府采购中心</w:t>
            </w:r>
          </w:p>
        </w:tc>
        <w:tc>
          <w:tcPr>
            <w:tcW w:w="1544" w:type="dxa"/>
            <w:noWrap w:val="0"/>
            <w:vAlign w:val="center"/>
          </w:tcPr>
          <w:p w14:paraId="48D46B71">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李朝峰</w:t>
            </w:r>
          </w:p>
          <w:p w14:paraId="6AEB2B12">
            <w:pPr>
              <w:spacing w:line="36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朱俊铭</w:t>
            </w:r>
          </w:p>
        </w:tc>
        <w:tc>
          <w:tcPr>
            <w:tcW w:w="2136" w:type="dxa"/>
            <w:noWrap w:val="0"/>
            <w:vAlign w:val="center"/>
          </w:tcPr>
          <w:p w14:paraId="0CC967F2">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0374-2077111</w:t>
            </w:r>
          </w:p>
        </w:tc>
        <w:tc>
          <w:tcPr>
            <w:tcW w:w="3031" w:type="dxa"/>
            <w:noWrap w:val="0"/>
            <w:vAlign w:val="center"/>
          </w:tcPr>
          <w:p w14:paraId="0FC2138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文件编制、核验，信息（公告、文件）发布，确认场地时间，集采项目答疑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交易数据统计。</w:t>
            </w:r>
          </w:p>
        </w:tc>
      </w:tr>
    </w:tbl>
    <w:p w14:paraId="3E3F2DD3">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w:t>
      </w:r>
    </w:p>
    <w:p w14:paraId="5907D343">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42.4  </w:t>
      </w:r>
      <w:r>
        <w:rPr>
          <w:rFonts w:hint="eastAsia" w:cs="宋体" w:asciiTheme="minorEastAsia" w:hAnsiTheme="minorEastAsia"/>
          <w:color w:val="auto"/>
          <w:kern w:val="0"/>
          <w:szCs w:val="21"/>
          <w:highlight w:val="none"/>
        </w:rPr>
        <w:t xml:space="preserve">咨询途径： </w:t>
      </w:r>
    </w:p>
    <w:p w14:paraId="153B534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（1）电话咨询：采购人、供应商对照助手团队人员，通过电话方式直接咨询。</w:t>
      </w:r>
    </w:p>
    <w:p w14:paraId="442FABE7">
      <w:pPr>
        <w:autoSpaceDE w:val="0"/>
        <w:autoSpaceDN w:val="0"/>
        <w:spacing w:line="360" w:lineRule="auto"/>
        <w:ind w:firstLine="420" w:firstLineChars="200"/>
        <w:contextualSpacing/>
        <w:jc w:val="left"/>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（2）邮箱咨询：</w:t>
      </w:r>
    </w:p>
    <w:p w14:paraId="350D6DFE">
      <w:pPr>
        <w:wordWrap w:val="0"/>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①发送电子邮件至</w:t>
      </w:r>
      <w:r>
        <w:rPr>
          <w:rFonts w:hint="eastAsia" w:cs="宋体" w:asciiTheme="minorEastAsia" w:hAnsiTheme="minorEastAsia"/>
          <w:color w:val="auto"/>
          <w:kern w:val="0"/>
          <w:szCs w:val="21"/>
          <w:highlight w:val="none"/>
          <w:lang w:val="en-US" w:eastAsia="zh-CN"/>
        </w:rPr>
        <w:t>禹州</w:t>
      </w:r>
      <w:r>
        <w:rPr>
          <w:rFonts w:hint="eastAsia" w:cs="宋体" w:asciiTheme="minorEastAsia" w:hAnsiTheme="minorEastAsia"/>
          <w:color w:val="auto"/>
          <w:kern w:val="0"/>
          <w:szCs w:val="21"/>
          <w:highlight w:val="none"/>
        </w:rPr>
        <w:t>市政府采购监督管理办公室咨询邮箱，邮箱地址：</w:t>
      </w:r>
      <w:r>
        <w:rPr>
          <w:color w:val="auto"/>
          <w:highlight w:val="none"/>
        </w:rPr>
        <w:fldChar w:fldCharType="begin"/>
      </w:r>
      <w:r>
        <w:rPr>
          <w:color w:val="auto"/>
          <w:highlight w:val="none"/>
        </w:rPr>
        <w:instrText xml:space="preserve"> HYPERLINK "mailto:xcscgb@126.com" </w:instrText>
      </w:r>
      <w:r>
        <w:rPr>
          <w:color w:val="auto"/>
          <w:highlight w:val="none"/>
        </w:rPr>
        <w:fldChar w:fldCharType="separate"/>
      </w:r>
      <w:r>
        <w:rPr>
          <w:rFonts w:hint="eastAsia" w:cs="宋体" w:asciiTheme="minorEastAsia" w:hAnsiTheme="minorEastAsia"/>
          <w:color w:val="auto"/>
          <w:kern w:val="0"/>
          <w:szCs w:val="21"/>
          <w:highlight w:val="none"/>
          <w:u w:val="single"/>
          <w:lang w:val="en-US" w:eastAsia="zh-CN"/>
        </w:rPr>
        <w:t>yzscgb2523</w:t>
      </w:r>
      <w:r>
        <w:rPr>
          <w:rFonts w:hint="eastAsia" w:cs="宋体" w:asciiTheme="minorEastAsia" w:hAnsiTheme="minorEastAsia"/>
          <w:color w:val="auto"/>
          <w:kern w:val="0"/>
          <w:szCs w:val="21"/>
          <w:highlight w:val="none"/>
          <w:u w:val="single"/>
        </w:rPr>
        <w:t>@</w:t>
      </w:r>
      <w:r>
        <w:rPr>
          <w:rFonts w:hint="eastAsia" w:cs="宋体" w:asciiTheme="minorEastAsia" w:hAnsiTheme="minorEastAsia"/>
          <w:color w:val="auto"/>
          <w:kern w:val="0"/>
          <w:szCs w:val="21"/>
          <w:highlight w:val="none"/>
          <w:u w:val="single"/>
          <w:lang w:val="en-US" w:eastAsia="zh-CN"/>
        </w:rPr>
        <w:t>163</w:t>
      </w:r>
      <w:r>
        <w:rPr>
          <w:rFonts w:hint="eastAsia" w:cs="宋体" w:asciiTheme="minorEastAsia" w:hAnsiTheme="minorEastAsia"/>
          <w:color w:val="auto"/>
          <w:kern w:val="0"/>
          <w:szCs w:val="21"/>
          <w:highlight w:val="none"/>
          <w:u w:val="single"/>
        </w:rPr>
        <w:t>.com</w:t>
      </w:r>
      <w:r>
        <w:rPr>
          <w:rFonts w:hint="eastAsia" w:cs="宋体" w:asciiTheme="minorEastAsia" w:hAnsiTheme="minorEastAsia"/>
          <w:color w:val="auto"/>
          <w:kern w:val="0"/>
          <w:szCs w:val="21"/>
          <w:highlight w:val="none"/>
          <w:u w:val="single"/>
        </w:rPr>
        <w:fldChar w:fldCharType="end"/>
      </w:r>
      <w:r>
        <w:rPr>
          <w:rFonts w:hint="eastAsia" w:cs="宋体" w:asciiTheme="minorEastAsia" w:hAnsiTheme="minorEastAsia"/>
          <w:color w:val="auto"/>
          <w:kern w:val="0"/>
          <w:szCs w:val="21"/>
          <w:highlight w:val="none"/>
        </w:rPr>
        <w:t>；</w:t>
      </w:r>
    </w:p>
    <w:p w14:paraId="23FD08B7">
      <w:pPr>
        <w:autoSpaceDE w:val="0"/>
        <w:autoSpaceDN w:val="0"/>
        <w:spacing w:line="360" w:lineRule="auto"/>
        <w:ind w:firstLine="420" w:firstLineChars="200"/>
        <w:contextualSpacing/>
        <w:jc w:val="left"/>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color w:val="auto"/>
          <w:kern w:val="0"/>
          <w:szCs w:val="21"/>
          <w:highlight w:val="none"/>
        </w:rPr>
        <w:t>②发送电子邮件至</w:t>
      </w:r>
      <w:r>
        <w:rPr>
          <w:rFonts w:hint="eastAsia" w:cs="宋体" w:asciiTheme="minorEastAsia" w:hAnsiTheme="minorEastAsia"/>
          <w:color w:val="auto"/>
          <w:kern w:val="0"/>
          <w:szCs w:val="21"/>
          <w:highlight w:val="none"/>
          <w:lang w:val="en-US" w:eastAsia="zh-CN"/>
        </w:rPr>
        <w:t>禹州</w:t>
      </w:r>
      <w:r>
        <w:rPr>
          <w:rFonts w:hint="eastAsia" w:cs="宋体" w:asciiTheme="minorEastAsia" w:hAnsiTheme="minorEastAsia"/>
          <w:color w:val="auto"/>
          <w:kern w:val="0"/>
          <w:szCs w:val="21"/>
          <w:highlight w:val="none"/>
        </w:rPr>
        <w:t>市政府采购中心咨询邮箱，邮箱地址：</w:t>
      </w:r>
      <w:r>
        <w:rPr>
          <w:color w:val="auto"/>
          <w:highlight w:val="none"/>
        </w:rPr>
        <w:fldChar w:fldCharType="begin"/>
      </w:r>
      <w:r>
        <w:rPr>
          <w:color w:val="auto"/>
          <w:highlight w:val="none"/>
        </w:rPr>
        <w:instrText xml:space="preserve"> HYPERLINK "mailto:xcszfcgzx@126.com" </w:instrText>
      </w:r>
      <w:r>
        <w:rPr>
          <w:color w:val="auto"/>
          <w:highlight w:val="none"/>
        </w:rPr>
        <w:fldChar w:fldCharType="separate"/>
      </w:r>
      <w:r>
        <w:rPr>
          <w:rFonts w:hint="eastAsia"/>
          <w:color w:val="auto"/>
          <w:highlight w:val="none"/>
          <w:lang w:val="en-US" w:eastAsia="zh-CN"/>
        </w:rPr>
        <w:t>ztbjyglzx</w:t>
      </w:r>
      <w:r>
        <w:rPr>
          <w:rFonts w:hint="eastAsia" w:cs="宋体" w:asciiTheme="minorEastAsia" w:hAnsiTheme="minorEastAsia"/>
          <w:color w:val="auto"/>
          <w:kern w:val="0"/>
          <w:szCs w:val="21"/>
          <w:highlight w:val="none"/>
          <w:u w:val="single"/>
        </w:rPr>
        <w:t>@1</w:t>
      </w:r>
      <w:r>
        <w:rPr>
          <w:rFonts w:hint="eastAsia" w:cs="宋体" w:asciiTheme="minorEastAsia" w:hAnsiTheme="minorEastAsia"/>
          <w:color w:val="auto"/>
          <w:kern w:val="0"/>
          <w:szCs w:val="21"/>
          <w:highlight w:val="none"/>
          <w:u w:val="single"/>
          <w:lang w:val="en-US" w:eastAsia="zh-CN"/>
        </w:rPr>
        <w:t>63</w:t>
      </w:r>
      <w:r>
        <w:rPr>
          <w:rFonts w:hint="eastAsia" w:cs="宋体" w:asciiTheme="minorEastAsia" w:hAnsiTheme="minorEastAsia"/>
          <w:color w:val="auto"/>
          <w:kern w:val="0"/>
          <w:szCs w:val="21"/>
          <w:highlight w:val="none"/>
          <w:u w:val="single"/>
        </w:rPr>
        <w:t>.com</w:t>
      </w:r>
      <w:r>
        <w:rPr>
          <w:rFonts w:hint="eastAsia" w:cs="宋体" w:asciiTheme="minorEastAsia" w:hAnsiTheme="minorEastAsia"/>
          <w:color w:val="auto"/>
          <w:kern w:val="0"/>
          <w:szCs w:val="21"/>
          <w:highlight w:val="none"/>
          <w:u w:val="single"/>
        </w:rPr>
        <w:fldChar w:fldCharType="end"/>
      </w:r>
      <w:r>
        <w:rPr>
          <w:rFonts w:hint="eastAsia" w:cs="宋体" w:asciiTheme="minorEastAsia" w:hAnsiTheme="minorEastAsia"/>
          <w:color w:val="auto"/>
          <w:kern w:val="0"/>
          <w:szCs w:val="21"/>
          <w:highlight w:val="none"/>
          <w:u w:val="single"/>
          <w:lang w:val="en-US" w:eastAsia="zh-CN"/>
        </w:rPr>
        <w:t>.</w:t>
      </w:r>
    </w:p>
    <w:p w14:paraId="11E8B3F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F3A89E4">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00CB9B8">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E876519">
      <w:pPr>
        <w:autoSpaceDE w:val="0"/>
        <w:autoSpaceDN w:val="0"/>
        <w:spacing w:line="360" w:lineRule="auto"/>
        <w:ind w:left="964"/>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67742B8B">
      <w:pPr>
        <w:jc w:val="center"/>
        <w:rPr>
          <w:rFonts w:cs="宋体" w:asciiTheme="majorEastAsia" w:hAnsiTheme="majorEastAsia" w:eastAsiaTheme="majorEastAsia"/>
          <w:b/>
          <w:kern w:val="0"/>
          <w:sz w:val="36"/>
          <w:szCs w:val="36"/>
        </w:rPr>
      </w:pP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7"/>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lang w:eastAsia="zh-CN"/>
        </w:rPr>
        <w:t>1.</w:t>
      </w:r>
      <w:r>
        <w:rPr>
          <w:rFonts w:hint="eastAsia" w:ascii="ˎ̥" w:hAnsi="ˎ̥"/>
        </w:rPr>
        <w:t>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lang w:eastAsia="zh-CN"/>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hint="eastAsia" w:ascii="宋体" w:hAnsi="宋体" w:eastAsiaTheme="minorEastAsia"/>
          <w:szCs w:val="21"/>
          <w:lang w:eastAsia="zh-CN"/>
        </w:rPr>
      </w:pPr>
      <w:r>
        <w:rPr>
          <w:rFonts w:hint="eastAsia" w:ascii="ˎ̥" w:hAnsi="ˎ̥"/>
          <w:lang w:eastAsia="zh-CN"/>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lang w:eastAsia="zh-CN"/>
        </w:rPr>
        <w:t>。</w:t>
      </w:r>
    </w:p>
    <w:p w14:paraId="4D691172">
      <w:pPr>
        <w:spacing w:line="360" w:lineRule="auto"/>
        <w:ind w:firstLine="420" w:firstLineChars="200"/>
        <w:contextualSpacing/>
        <w:rPr>
          <w:rFonts w:ascii="ˎ̥" w:hAnsi="ˎ̥"/>
        </w:rPr>
      </w:pPr>
      <w:r>
        <w:rPr>
          <w:rFonts w:hint="eastAsia" w:ascii="ˎ̥" w:hAnsi="ˎ̥"/>
          <w:lang w:eastAsia="zh-CN"/>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lang w:eastAsia="zh-CN"/>
        </w:rPr>
        <w:t>5.</w:t>
      </w:r>
      <w:r>
        <w:rPr>
          <w:rFonts w:hint="eastAsia" w:ascii="ˎ̥" w:hAnsi="ˎ̥"/>
        </w:rPr>
        <w:t>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szCs w:val="21"/>
        </w:rPr>
        <w:t>残疾人福利性单位属于小型、微型企业的，不重复享受政策。</w:t>
      </w:r>
    </w:p>
    <w:p w14:paraId="0F19C1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7"/>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56B9F13E">
      <w:pPr>
        <w:keepNext w:val="0"/>
        <w:keepLines w:val="0"/>
        <w:widowControl/>
        <w:suppressLineNumbers w:val="0"/>
        <w:spacing w:line="360" w:lineRule="auto"/>
        <w:ind w:firstLine="422"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五、实施本国产品 </w:t>
      </w:r>
    </w:p>
    <w:p w14:paraId="67CDC17E">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 xml:space="preserve">对本国产品的支持政策。 </w:t>
      </w:r>
    </w:p>
    <w:p w14:paraId="46CD5425">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政府采购活动中既有本国产品又有非本国产品参与竞争的，依法对本国产品给予价格评审优 </w:t>
      </w:r>
    </w:p>
    <w:p w14:paraId="1CDD10C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惠，对本国产品的报价给予20%的价格扣除，用扣除后的价格参与评审。 </w:t>
      </w:r>
    </w:p>
    <w:p w14:paraId="7BFA1A4F">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当采购项目或者采购包中含有多种产品，供应商为该采购项目或者采购包提供的符合本国产 </w:t>
      </w:r>
    </w:p>
    <w:p w14:paraId="78D4BAA4">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品标准的产品成本之和占该供应商提供的全部产品成本之和的比例达到80%以上时，依法对该供应 商提供的全部产品给予价格评审优惠，即对该供应商提供的全部产品的总报价给予20%的价格扣除， 用扣除后的价格参与评审。 </w:t>
      </w:r>
    </w:p>
    <w:p w14:paraId="2BF8842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val="en-US" w:eastAsia="zh-CN" w:bidi="ar"/>
        </w:rPr>
        <w:t xml:space="preserve">政策执行要求 </w:t>
      </w:r>
    </w:p>
    <w:p w14:paraId="3BC72607">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6AD0D582">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34 号），供应商对其提供的产品应当按照招标文件格式要求出具《关于符合本国产品标准的声明 </w:t>
      </w:r>
    </w:p>
    <w:p w14:paraId="7E44907F">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函》或财政部会同有关部门规定的有关证明文件。出具符合要求的《声明函》或有关证明文件的， </w:t>
      </w:r>
    </w:p>
    <w:p w14:paraId="5181D93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该产品视为本国产品。采购人、采购代理机构不得再要求供应商提供其他证明材料。 </w:t>
      </w:r>
    </w:p>
    <w:p w14:paraId="75EA4539">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国有企业、民营企业、外资企业等各类经营主体平等享受对本国产品的政府采购支持政策。 </w:t>
      </w:r>
    </w:p>
    <w:p w14:paraId="113F1F62">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 </w:t>
      </w:r>
    </w:p>
    <w:p w14:paraId="77C75F2A">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3BB0F03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34号）、《关于贯彻落实</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国务院办公厅关于在政府采购中实施本国产品标准及相关政策的通知</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 xml:space="preserve">的 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 械注册证的，属于在中国境内生产的产品；其他产品，根据实际情况判断是否在中国境内生产。 </w:t>
      </w:r>
    </w:p>
    <w:p w14:paraId="3EF7E2A4">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本国产品标准的适用范围。 </w:t>
      </w:r>
    </w:p>
    <w:p w14:paraId="36A271B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本国产品标准适用于货物，包括政府采购货物项目和服务项目中涉及的货物。适用本国产品 </w:t>
      </w:r>
    </w:p>
    <w:p w14:paraId="6CE7A64A">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标准的货物具体是指《政府采购品目分类目录》中的货物类产品，但不包括其中的房屋和构筑物， </w:t>
      </w:r>
    </w:p>
    <w:p w14:paraId="5329742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文物和陈列品，图书和档案，特种动植物，农林牧渔业产品，矿与矿物，电力、城市燃气、蒸汽 </w:t>
      </w:r>
    </w:p>
    <w:p w14:paraId="5E0342BC">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和热水、水，食品、饮料和烟草原料，无形资产。</w:t>
      </w:r>
    </w:p>
    <w:p w14:paraId="7E8C30AE">
      <w:pPr>
        <w:topLinePunct/>
        <w:spacing w:line="360" w:lineRule="auto"/>
        <w:ind w:firstLine="420" w:firstLineChars="200"/>
        <w:contextualSpacing/>
        <w:rPr>
          <w:rFonts w:cs="仿宋_GB2312" w:asciiTheme="minorEastAsia" w:hAnsiTheme="minorEastAsia"/>
          <w:szCs w:val="21"/>
          <w:lang w:val="zh-CN"/>
        </w:rPr>
      </w:pPr>
    </w:p>
    <w:p w14:paraId="7AE9AA2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F1E7B80">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7D1DA55D">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14:paraId="57D46E25">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14ECB54B">
      <w:pPr>
        <w:pStyle w:val="17"/>
        <w:spacing w:line="360" w:lineRule="auto"/>
        <w:contextualSpacing/>
        <w:rPr>
          <w:rFonts w:cs="仿宋_GB2312" w:asciiTheme="minorEastAsia" w:hAnsiTheme="minorEastAsia"/>
          <w:lang w:val="zh-CN"/>
        </w:rPr>
      </w:pPr>
    </w:p>
    <w:p w14:paraId="24CF711E">
      <w:pPr>
        <w:pStyle w:val="17"/>
        <w:spacing w:line="360" w:lineRule="auto"/>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62F19CEC">
      <w:pPr>
        <w:spacing w:line="360" w:lineRule="auto"/>
        <w:ind w:right="420" w:rightChars="200" w:firstLine="420" w:firstLineChars="200"/>
        <w:contextualSpacing/>
        <w:rPr>
          <w:rFonts w:asciiTheme="minorEastAsia" w:hAnsiTheme="minorEastAsia"/>
          <w:bCs/>
          <w:szCs w:val="21"/>
        </w:rPr>
      </w:pPr>
      <w:r>
        <w:rPr>
          <w:rFonts w:hint="eastAsia" w:asciiTheme="minorEastAsia" w:hAnsiTheme="minorEastAsia"/>
          <w:bCs/>
          <w:szCs w:val="21"/>
        </w:rPr>
        <w:t>（一）</w:t>
      </w:r>
      <w:r>
        <w:rPr>
          <w:rFonts w:asciiTheme="minorEastAsia" w:hAnsiTheme="minorEastAsia"/>
          <w:bCs/>
          <w:szCs w:val="21"/>
        </w:rPr>
        <w:t>开标结束后，</w:t>
      </w:r>
      <w:r>
        <w:rPr>
          <w:rFonts w:hint="eastAsia" w:asciiTheme="minorEastAsia" w:hAnsiTheme="minorEastAsia"/>
          <w:bCs/>
          <w:szCs w:val="21"/>
        </w:rPr>
        <w:t>采购人（采购代理机构）依法对投标人资格进行审查</w:t>
      </w:r>
      <w:r>
        <w:rPr>
          <w:rFonts w:asciiTheme="minorEastAsia" w:hAnsiTheme="minorEastAsia"/>
          <w:bCs/>
          <w:szCs w:val="21"/>
        </w:rPr>
        <w:t>。</w:t>
      </w:r>
      <w:r>
        <w:rPr>
          <w:rFonts w:hint="eastAsia" w:asciiTheme="minorEastAsia" w:hAnsiTheme="minorEastAsia"/>
          <w:bCs/>
          <w:szCs w:val="21"/>
        </w:rPr>
        <w:t>确定符合资格的投标人不少于3家的，将组织评标委员会进行评标。</w:t>
      </w:r>
    </w:p>
    <w:p w14:paraId="4B4A534A">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（二）资格证明材料（本栏所列内容为本项目的资格审查条件，如有一项不符合要求，则不能进入下一步评审）。</w:t>
      </w:r>
    </w:p>
    <w:p w14:paraId="4CFD3FB0">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（三）资格审查中所涉及到的证书及材料，均须在电子投标文件中提供原件扫描件（或图片）。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19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9382D49">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432DC55D">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36977A3">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332A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BB54CE">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A99BCAC">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20B38A2D">
            <w:pPr>
              <w:spacing w:line="360" w:lineRule="auto"/>
              <w:rPr>
                <w:rFonts w:asciiTheme="minorEastAsia" w:hAnsiTheme="minorEastAsia"/>
                <w:b/>
                <w:szCs w:val="21"/>
              </w:rPr>
            </w:pPr>
            <w:r>
              <w:rPr>
                <w:rFonts w:hint="eastAsia" w:ascii="宋体" w:hAnsi="宋体" w:cs="微软雅黑"/>
                <w:bCs/>
                <w:szCs w:val="21"/>
              </w:rPr>
              <w:t>参考招标文件第八章3.1格式填写</w:t>
            </w:r>
          </w:p>
        </w:tc>
      </w:tr>
      <w:tr w14:paraId="7401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4EF677">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2</w:t>
            </w:r>
          </w:p>
        </w:tc>
        <w:tc>
          <w:tcPr>
            <w:tcW w:w="2410" w:type="dxa"/>
            <w:vAlign w:val="center"/>
          </w:tcPr>
          <w:p w14:paraId="0F157AE8">
            <w:pPr>
              <w:spacing w:line="360" w:lineRule="auto"/>
              <w:jc w:val="center"/>
              <w:rPr>
                <w:rFonts w:asciiTheme="minorEastAsia" w:hAnsiTheme="minorEastAsia"/>
                <w:b/>
                <w:color w:val="FF0000"/>
                <w:szCs w:val="21"/>
              </w:rPr>
            </w:pPr>
            <w:r>
              <w:rPr>
                <w:rFonts w:hint="eastAsia" w:asciiTheme="minorEastAsia" w:hAnsiTheme="minorEastAsia"/>
                <w:b/>
                <w:color w:val="FF0000"/>
                <w:szCs w:val="21"/>
              </w:rPr>
              <w:t>禹州</w:t>
            </w:r>
            <w:r>
              <w:rPr>
                <w:rFonts w:asciiTheme="minorEastAsia" w:hAnsiTheme="minorEastAsia"/>
                <w:b/>
                <w:color w:val="FF0000"/>
                <w:szCs w:val="21"/>
              </w:rPr>
              <w:t>市政府采购</w:t>
            </w:r>
          </w:p>
          <w:p w14:paraId="5ACD3170">
            <w:pPr>
              <w:spacing w:line="360" w:lineRule="auto"/>
              <w:jc w:val="center"/>
              <w:rPr>
                <w:rFonts w:asciiTheme="minorEastAsia" w:hAnsiTheme="minorEastAsia"/>
                <w:b/>
                <w:color w:val="FF0000"/>
                <w:szCs w:val="21"/>
              </w:rPr>
            </w:pPr>
            <w:r>
              <w:rPr>
                <w:rFonts w:asciiTheme="minorEastAsia" w:hAnsiTheme="minorEastAsia"/>
                <w:b/>
                <w:color w:val="FF0000"/>
                <w:szCs w:val="21"/>
              </w:rPr>
              <w:t>供应商信用承诺函</w:t>
            </w:r>
          </w:p>
        </w:tc>
        <w:tc>
          <w:tcPr>
            <w:tcW w:w="5954" w:type="dxa"/>
            <w:vAlign w:val="center"/>
          </w:tcPr>
          <w:p w14:paraId="66315F2D">
            <w:pPr>
              <w:spacing w:line="360" w:lineRule="auto"/>
              <w:jc w:val="left"/>
              <w:rPr>
                <w:rFonts w:asciiTheme="minorEastAsia" w:hAnsiTheme="minorEastAsia"/>
                <w:b/>
                <w:bCs/>
                <w:color w:val="FF0000"/>
                <w:szCs w:val="21"/>
              </w:rPr>
            </w:pPr>
            <w:r>
              <w:rPr>
                <w:rFonts w:hint="eastAsia" w:ascii="宋体" w:hAnsi="宋体" w:cs="微软雅黑"/>
                <w:bCs/>
                <w:color w:val="FF0000"/>
                <w:szCs w:val="21"/>
              </w:rPr>
              <w:t>按照招标文件第八章3.5格式填写</w:t>
            </w:r>
          </w:p>
        </w:tc>
      </w:tr>
      <w:tr w14:paraId="1679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DE73C6D">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2C24DD0E">
            <w:pPr>
              <w:spacing w:line="360" w:lineRule="auto"/>
              <w:jc w:val="center"/>
              <w:rPr>
                <w:rFonts w:asciiTheme="minorEastAsia" w:hAnsiTheme="minorEastAsia"/>
                <w:b/>
                <w:bCs/>
                <w:szCs w:val="21"/>
              </w:rPr>
            </w:pPr>
            <w:r>
              <w:rPr>
                <w:rFonts w:hint="eastAsia" w:asciiTheme="minorEastAsia" w:hAnsiTheme="minorEastAsia"/>
                <w:b/>
                <w:bCs/>
                <w:szCs w:val="21"/>
              </w:rPr>
              <w:t>投标</w:t>
            </w:r>
            <w:r>
              <w:rPr>
                <w:rFonts w:hint="eastAsia" w:cs="仿宋_GB2312" w:asciiTheme="minorEastAsia" w:hAnsiTheme="minorEastAsia"/>
                <w:b/>
                <w:szCs w:val="21"/>
                <w:lang w:val="zh-CN"/>
              </w:rPr>
              <w:t>报价</w:t>
            </w:r>
          </w:p>
        </w:tc>
        <w:tc>
          <w:tcPr>
            <w:tcW w:w="5954" w:type="dxa"/>
          </w:tcPr>
          <w:p w14:paraId="31E30F03">
            <w:pPr>
              <w:spacing w:line="360" w:lineRule="auto"/>
              <w:rPr>
                <w:rFonts w:asciiTheme="minorEastAsia" w:hAnsiTheme="minorEastAsia"/>
                <w:b/>
                <w:bCs/>
                <w:szCs w:val="21"/>
              </w:rPr>
            </w:pPr>
            <w:r>
              <w:rPr>
                <w:rFonts w:hint="eastAsia" w:cs="仿宋_GB2312" w:asciiTheme="minorEastAsia" w:hAnsiTheme="minorEastAsia"/>
                <w:szCs w:val="21"/>
                <w:lang w:val="zh-CN"/>
              </w:rPr>
              <w:t>投标报价是否超出招标文件中规定的预算金额，超出预算金额的投标无效。如投标人须知前附表规定最高限价，则</w:t>
            </w:r>
            <w:r>
              <w:rPr>
                <w:rFonts w:hint="eastAsia" w:cs="宋体" w:asciiTheme="minorEastAsia" w:hAnsiTheme="minorEastAsia"/>
                <w:bCs/>
                <w:szCs w:val="21"/>
                <w:lang w:val="zh-CN"/>
              </w:rPr>
              <w:t>超出预算金额和最高限价的投标无效。</w:t>
            </w:r>
          </w:p>
        </w:tc>
      </w:tr>
      <w:tr w14:paraId="5736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86DD918">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4</w:t>
            </w:r>
          </w:p>
        </w:tc>
        <w:tc>
          <w:tcPr>
            <w:tcW w:w="2410" w:type="dxa"/>
            <w:vAlign w:val="center"/>
          </w:tcPr>
          <w:p w14:paraId="7FC48AEE">
            <w:pPr>
              <w:spacing w:line="360" w:lineRule="auto"/>
              <w:jc w:val="center"/>
              <w:rPr>
                <w:rFonts w:asciiTheme="minorEastAsia" w:hAnsiTheme="minorEastAsia"/>
                <w:szCs w:val="21"/>
              </w:rPr>
            </w:pPr>
            <w:r>
              <w:rPr>
                <w:rFonts w:hint="eastAsia" w:asciiTheme="minorEastAsia" w:hAnsiTheme="minorEastAsia"/>
                <w:b/>
                <w:szCs w:val="21"/>
              </w:rPr>
              <w:t>投标承诺函</w:t>
            </w:r>
          </w:p>
        </w:tc>
        <w:tc>
          <w:tcPr>
            <w:tcW w:w="5954" w:type="dxa"/>
            <w:vAlign w:val="center"/>
          </w:tcPr>
          <w:p w14:paraId="539C1AF6">
            <w:pPr>
              <w:spacing w:line="360" w:lineRule="auto"/>
              <w:rPr>
                <w:rFonts w:asciiTheme="minorEastAsia" w:hAnsiTheme="minorEastAsia"/>
                <w:b/>
                <w:szCs w:val="21"/>
              </w:rPr>
            </w:pPr>
            <w:r>
              <w:rPr>
                <w:rFonts w:hint="eastAsia" w:asciiTheme="minorEastAsia" w:hAnsiTheme="minorEastAsia"/>
                <w:szCs w:val="21"/>
              </w:rPr>
              <w:t>投标人以投标承诺函的形式替代投标保证金。</w:t>
            </w:r>
          </w:p>
        </w:tc>
      </w:tr>
      <w:tr w14:paraId="39D7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695C60">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5</w:t>
            </w:r>
          </w:p>
        </w:tc>
        <w:tc>
          <w:tcPr>
            <w:tcW w:w="2410" w:type="dxa"/>
            <w:vAlign w:val="center"/>
          </w:tcPr>
          <w:p w14:paraId="1B8F9858">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C1E8BD5">
            <w:pPr>
              <w:spacing w:line="360" w:lineRule="auto"/>
              <w:rPr>
                <w:rFonts w:asciiTheme="minorEastAsia" w:hAnsiTheme="minorEastAsia"/>
                <w:b/>
                <w:bCs/>
                <w:szCs w:val="21"/>
              </w:rPr>
            </w:pPr>
            <w:r>
              <w:rPr>
                <w:rFonts w:hint="eastAsia" w:asciiTheme="minorEastAsia" w:hAnsiTheme="minorEastAsia"/>
                <w:bCs/>
                <w:szCs w:val="21"/>
              </w:rPr>
              <w:t>招标文件接受联合体投标且投标人为联合体的，投标人应提供本协议；否则无须提供。</w:t>
            </w:r>
          </w:p>
        </w:tc>
      </w:tr>
      <w:tr w14:paraId="3C09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5FE0332">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6</w:t>
            </w:r>
          </w:p>
        </w:tc>
        <w:tc>
          <w:tcPr>
            <w:tcW w:w="2410" w:type="dxa"/>
            <w:vAlign w:val="center"/>
          </w:tcPr>
          <w:p w14:paraId="6CB8A8D3">
            <w:pPr>
              <w:spacing w:line="360" w:lineRule="auto"/>
              <w:contextualSpacing/>
              <w:jc w:val="center"/>
              <w:rPr>
                <w:rFonts w:asciiTheme="minorEastAsia" w:hAnsiTheme="minorEastAsia"/>
                <w:b/>
                <w:szCs w:val="21"/>
              </w:rPr>
            </w:pPr>
            <w:r>
              <w:rPr>
                <w:rFonts w:hint="eastAsia" w:asciiTheme="minorEastAsia" w:hAnsiTheme="minorEastAsia"/>
                <w:b/>
                <w:szCs w:val="21"/>
              </w:rPr>
              <w:t>投标人身份证明及授权</w:t>
            </w:r>
          </w:p>
        </w:tc>
        <w:tc>
          <w:tcPr>
            <w:tcW w:w="5954" w:type="dxa"/>
          </w:tcPr>
          <w:p w14:paraId="5286294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（1）法定代表人身份证明或提供法定代表人授权委托书及被授权人身份证明。（法人投标提供）</w:t>
            </w:r>
          </w:p>
          <w:p w14:paraId="42D37268">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（2）单位负责人身份证明或提供单位负责人授权委托书及被授权人身份证明。（非法人投标提供）</w:t>
            </w:r>
          </w:p>
          <w:p w14:paraId="3D45AF50">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3F49FE2B">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①企业（银行、保险、石油石化、电力、电信等行业除外）、事业单位和社会团体投标人以法人身份参加投标的，法定代表人应与实际提交的“营业执照等证明文件”载明的一致。</w:t>
            </w:r>
          </w:p>
          <w:p w14:paraId="423A45AB">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58570E13">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投标人为自然人的，无需填写法定代表人授权书。</w:t>
            </w:r>
          </w:p>
        </w:tc>
      </w:tr>
      <w:tr w14:paraId="5F5E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308B7B8">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7</w:t>
            </w:r>
          </w:p>
        </w:tc>
        <w:tc>
          <w:tcPr>
            <w:tcW w:w="2410" w:type="dxa"/>
            <w:vAlign w:val="center"/>
          </w:tcPr>
          <w:p w14:paraId="734DCE6E">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E28E33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投标人提供与参加本项目投标的其他供应商之间，单位负责人不为同一人并且不存在直接控股、管理关系承诺函（承诺函格式自拟）。</w:t>
            </w:r>
          </w:p>
          <w:p w14:paraId="727CE5D6">
            <w:pPr>
              <w:spacing w:line="360" w:lineRule="auto"/>
              <w:rPr>
                <w:rFonts w:cs="仿宋_GB2312" w:asciiTheme="minorEastAsia" w:hAnsiTheme="minorEastAsia"/>
                <w:szCs w:val="21"/>
                <w:lang w:val="zh-CN"/>
              </w:rPr>
            </w:pPr>
          </w:p>
        </w:tc>
      </w:tr>
      <w:tr w14:paraId="456E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AE33583">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8</w:t>
            </w:r>
          </w:p>
        </w:tc>
        <w:tc>
          <w:tcPr>
            <w:tcW w:w="2410" w:type="dxa"/>
            <w:vAlign w:val="center"/>
          </w:tcPr>
          <w:p w14:paraId="42E8B0D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为本项目提供整体设计、规范编制或者项目管理、监理、检测等服务的供应商不得参加本项目投标</w:t>
            </w:r>
          </w:p>
        </w:tc>
        <w:tc>
          <w:tcPr>
            <w:tcW w:w="5954" w:type="dxa"/>
          </w:tcPr>
          <w:p w14:paraId="34D0AB7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w:t>
            </w:r>
            <w:bookmarkStart w:id="2" w:name="baidusnap2"/>
            <w:bookmarkEnd w:id="2"/>
            <w:r>
              <w:rPr>
                <w:rFonts w:hint="eastAsia" w:cs="仿宋_GB2312" w:asciiTheme="minorEastAsia" w:hAnsiTheme="minorEastAsia"/>
                <w:szCs w:val="21"/>
                <w:lang w:val="zh-CN"/>
              </w:rPr>
              <w:t>提供未为本项目提供整体设计、</w:t>
            </w:r>
            <w:bookmarkStart w:id="3" w:name="baidusnap9"/>
            <w:bookmarkEnd w:id="3"/>
            <w:r>
              <w:rPr>
                <w:rFonts w:hint="eastAsia" w:cs="仿宋_GB2312" w:asciiTheme="minorEastAsia" w:hAnsiTheme="minorEastAsia"/>
                <w:szCs w:val="21"/>
                <w:lang w:val="zh-CN"/>
              </w:rPr>
              <w:t>规范编制或者项目管理、监理、检测等服务承诺函（承诺函格式自拟）。</w:t>
            </w:r>
          </w:p>
          <w:p w14:paraId="6C6D3100">
            <w:pPr>
              <w:spacing w:line="360" w:lineRule="auto"/>
              <w:rPr>
                <w:rFonts w:asciiTheme="minorEastAsia" w:hAnsiTheme="minorEastAsia"/>
                <w:bCs/>
                <w:szCs w:val="21"/>
              </w:rPr>
            </w:pPr>
          </w:p>
        </w:tc>
      </w:tr>
    </w:tbl>
    <w:p w14:paraId="5D426807">
      <w:pPr>
        <w:pStyle w:val="17"/>
        <w:spacing w:line="360" w:lineRule="auto"/>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二、评标</w:t>
      </w:r>
    </w:p>
    <w:p w14:paraId="57FF5A73">
      <w:pPr>
        <w:pStyle w:val="17"/>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（一）评标方法</w:t>
      </w:r>
    </w:p>
    <w:p w14:paraId="2F706CCE">
      <w:pPr>
        <w:pStyle w:val="17"/>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3C5E69CC">
      <w:pPr>
        <w:pStyle w:val="17"/>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评标委员会负责具体评标事务，并独立履行下列职责</w:t>
      </w:r>
    </w:p>
    <w:p w14:paraId="2D4A6909">
      <w:pPr>
        <w:pStyle w:val="17"/>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审查、评价投标文件是否符合招标文件的商务、技术等实质性要求；</w:t>
      </w:r>
    </w:p>
    <w:p w14:paraId="342ABB67">
      <w:pPr>
        <w:pStyle w:val="17"/>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评标委员会对符合资格的投标人的投标文件进行符合性审查，以确定其是否满足招标文件的商务、技术等实质性要求。</w:t>
      </w:r>
    </w:p>
    <w:p w14:paraId="456C019B">
      <w:pPr>
        <w:pStyle w:val="17"/>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注：符合性审查中所涉及到的证书及材料，均应在电子投标文件中提供原件扫描件（或图片）。</w:t>
      </w:r>
    </w:p>
    <w:p w14:paraId="7C2F5EB3">
      <w:pPr>
        <w:pStyle w:val="17"/>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要求投标人对投标文件有关事项作出澄清或者说明；</w:t>
      </w:r>
    </w:p>
    <w:p w14:paraId="13537B0B">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1</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对于投标文件中含义不明确、同类问题表述不一致或者有明显文字和计算错误的内容，评标委员会应当以书面形式要求投标人作出必要的澄清、说明或者补正。</w:t>
      </w:r>
    </w:p>
    <w:p w14:paraId="551308E8">
      <w:pPr>
        <w:pStyle w:val="17"/>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（2）对供应商所出具的《关于符合本国产品标准的声明函》（以下简称《声明函》）的完整 </w:t>
      </w:r>
    </w:p>
    <w:p w14:paraId="679CD8E7">
      <w:pPr>
        <w:pStyle w:val="17"/>
        <w:spacing w:line="360" w:lineRule="auto"/>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w:t>
      </w:r>
    </w:p>
    <w:p w14:paraId="018C6C07">
      <w:pPr>
        <w:pStyle w:val="17"/>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3</w:t>
      </w:r>
      <w:r>
        <w:rPr>
          <w:rFonts w:hint="eastAsia" w:cs="仿宋_GB2312" w:asciiTheme="minorEastAsia" w:hAnsiTheme="minorEastAsia" w:eastAsiaTheme="minorEastAsia"/>
          <w:color w:val="auto"/>
          <w:sz w:val="21"/>
          <w:szCs w:val="21"/>
          <w:highlight w:val="none"/>
          <w:lang w:val="zh-CN"/>
        </w:rPr>
        <w:t>）评标委员会启动异常低价投标审查后，要求相关供应商在评审现场规定时间内（给予供 应商的时间不少于60分钟）对投标价格作出解释、提供证明材料的，应当以书面形式要求供应商 提供项目具体成本测算等与报价合理性相关的书面说明及必要的证明材料，包括但不限于原材料 成本、人工成本、制造费用等。</w:t>
      </w:r>
    </w:p>
    <w:p w14:paraId="02B539B1">
      <w:pPr>
        <w:pStyle w:val="17"/>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4</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6B9078BE">
      <w:pPr>
        <w:pStyle w:val="17"/>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对投标文件进行比较和评价；</w:t>
      </w:r>
    </w:p>
    <w:p w14:paraId="4EB0F3C1">
      <w:pPr>
        <w:pStyle w:val="17"/>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cs="仿宋_GB2312" w:asciiTheme="minorEastAsia" w:hAnsiTheme="minorEastAsia"/>
          <w:sz w:val="21"/>
          <w:szCs w:val="21"/>
          <w:lang w:val="zh-CN"/>
        </w:rPr>
        <w:t>评标过程中，不得去掉报价中的最高报价和最低报价。</w:t>
      </w:r>
    </w:p>
    <w:p w14:paraId="1F463E6A">
      <w:pPr>
        <w:pStyle w:val="17"/>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注：评标标准中所涉及到的证书及材料，均应在电子投标文件中提供原件扫描件（或图片）。</w:t>
      </w:r>
    </w:p>
    <w:p w14:paraId="6A0E2753">
      <w:pPr>
        <w:pStyle w:val="17"/>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6906866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cs="仿宋_GB2312" w:asciiTheme="minorEastAsia" w:hAnsiTheme="minorEastAsia" w:eastAsiaTheme="minorEastAsia"/>
          <w:color w:val="auto"/>
          <w:sz w:val="21"/>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4120F77B">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1）如果本项目非专门面向中小企业采购，对符合《政府采购促进中小企业发展管理办法》（财 </w:t>
      </w:r>
    </w:p>
    <w:p w14:paraId="7FA815F1">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库〔</w:t>
      </w:r>
      <w:r>
        <w:rPr>
          <w:rFonts w:hint="default" w:cs="仿宋_GB2312" w:asciiTheme="minorEastAsia" w:hAnsiTheme="minorEastAsia" w:eastAsiaTheme="minorEastAsia"/>
          <w:color w:val="auto"/>
          <w:sz w:val="21"/>
          <w:szCs w:val="21"/>
          <w:highlight w:val="none"/>
          <w:lang w:val="en-US" w:eastAsia="zh-CN"/>
        </w:rPr>
        <w:t>2020</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46 </w:t>
      </w:r>
      <w:r>
        <w:rPr>
          <w:rFonts w:hint="eastAsia" w:cs="仿宋_GB2312" w:asciiTheme="minorEastAsia" w:hAnsiTheme="minorEastAsia" w:eastAsiaTheme="minorEastAsia"/>
          <w:color w:val="auto"/>
          <w:sz w:val="21"/>
          <w:szCs w:val="21"/>
          <w:highlight w:val="none"/>
          <w:lang w:val="en-US" w:eastAsia="zh-CN"/>
        </w:rPr>
        <w:t>号、《关于进一步加大政府采购支持中小企业力度的通知》（财库〔</w:t>
      </w:r>
      <w:r>
        <w:rPr>
          <w:rFonts w:hint="default" w:cs="仿宋_GB2312" w:asciiTheme="minorEastAsia" w:hAnsiTheme="minorEastAsia" w:eastAsiaTheme="minorEastAsia"/>
          <w:color w:val="auto"/>
          <w:sz w:val="21"/>
          <w:szCs w:val="21"/>
          <w:highlight w:val="none"/>
          <w:lang w:val="en-US" w:eastAsia="zh-CN"/>
        </w:rPr>
        <w:t>2022</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19 </w:t>
      </w:r>
      <w:r>
        <w:rPr>
          <w:rFonts w:hint="eastAsia" w:cs="仿宋_GB2312" w:asciiTheme="minorEastAsia" w:hAnsiTheme="minorEastAsia" w:eastAsiaTheme="minorEastAsia"/>
          <w:color w:val="auto"/>
          <w:sz w:val="21"/>
          <w:szCs w:val="21"/>
          <w:highlight w:val="none"/>
          <w:lang w:val="en-US" w:eastAsia="zh-CN"/>
        </w:rPr>
        <w:t xml:space="preserve">号）规定的小微企业报价给予 </w:t>
      </w:r>
      <w:r>
        <w:rPr>
          <w:rFonts w:hint="default" w:cs="仿宋_GB2312" w:asciiTheme="minorEastAsia" w:hAnsiTheme="minorEastAsia" w:eastAsiaTheme="minorEastAsia"/>
          <w:color w:val="auto"/>
          <w:sz w:val="21"/>
          <w:szCs w:val="21"/>
          <w:highlight w:val="none"/>
          <w:lang w:val="en-US" w:eastAsia="zh-CN"/>
        </w:rPr>
        <w:t>20%</w:t>
      </w:r>
      <w:r>
        <w:rPr>
          <w:rFonts w:hint="eastAsia" w:cs="仿宋_GB2312" w:asciiTheme="minorEastAsia" w:hAnsiTheme="minorEastAsia" w:eastAsiaTheme="minorEastAsia"/>
          <w:color w:val="auto"/>
          <w:sz w:val="21"/>
          <w:szCs w:val="21"/>
          <w:highlight w:val="none"/>
          <w:lang w:val="en-US" w:eastAsia="zh-CN"/>
        </w:rPr>
        <w:t xml:space="preserve">的扣除，用扣除后的价格参与评审。以联合体形式参加政府采购活动，联合体各方均为中小企业的，联合体视同中小企业。其中，联合体各方均为小微企业的，联合体 视同小微企业。接受大中型企业与小微企业组成联合体或者允许大中型企业向一家或者多家小微 企业分包的采购项目，对于联合协议或者分包意向协议约定小微企业的合同份额占到合同总金额 </w:t>
      </w:r>
      <w:r>
        <w:rPr>
          <w:rFonts w:hint="default" w:cs="仿宋_GB2312" w:asciiTheme="minorEastAsia" w:hAnsiTheme="minorEastAsia" w:eastAsiaTheme="minorEastAsia"/>
          <w:color w:val="auto"/>
          <w:sz w:val="21"/>
          <w:szCs w:val="21"/>
          <w:highlight w:val="none"/>
          <w:lang w:val="en-US" w:eastAsia="zh-CN"/>
        </w:rPr>
        <w:t>30%</w:t>
      </w:r>
      <w:r>
        <w:rPr>
          <w:rFonts w:hint="eastAsia" w:cs="仿宋_GB2312" w:asciiTheme="minorEastAsia" w:hAnsiTheme="minorEastAsia" w:eastAsiaTheme="minorEastAsia"/>
          <w:color w:val="auto"/>
          <w:sz w:val="21"/>
          <w:szCs w:val="21"/>
          <w:highlight w:val="none"/>
          <w:lang w:val="en-US" w:eastAsia="zh-CN"/>
        </w:rPr>
        <w:t>以上的，对联合体或者大中型企业的报价给予 6</w:t>
      </w:r>
      <w:r>
        <w:rPr>
          <w:rFonts w:hint="default" w:cs="仿宋_GB2312" w:asciiTheme="minorEastAsia" w:hAnsiTheme="minorEastAsia" w:eastAsiaTheme="minorEastAsia"/>
          <w:color w:val="auto"/>
          <w:sz w:val="21"/>
          <w:szCs w:val="21"/>
          <w:highlight w:val="none"/>
          <w:lang w:val="en-US" w:eastAsia="zh-CN"/>
        </w:rPr>
        <w:t>%</w:t>
      </w:r>
      <w:r>
        <w:rPr>
          <w:rFonts w:hint="eastAsia" w:cs="仿宋_GB2312" w:asciiTheme="minorEastAsia" w:hAnsiTheme="minorEastAsia" w:eastAsiaTheme="minorEastAsia"/>
          <w:color w:val="auto"/>
          <w:sz w:val="21"/>
          <w:szCs w:val="21"/>
          <w:highlight w:val="none"/>
          <w:lang w:val="en-US" w:eastAsia="zh-CN"/>
        </w:rPr>
        <w:t xml:space="preserve">的扣除，用扣除后的价格参加评审。组成联 合体或者接受分包的小微企业与联合体内其他企业、分包企业之间存在直接控股、管理关系的，不享受价格扣除优惠政策。按照本次采购标的所属行业的划型标准，符合条件的中小企业应按照 招标文件格式要求提供《中小企业声明函》，否则不得享受相关中小企业扶持政策。 </w:t>
      </w:r>
    </w:p>
    <w:p w14:paraId="5AC56C46">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小型和微型企业不包含民办非企业单位。 </w:t>
      </w:r>
    </w:p>
    <w:p w14:paraId="4B468D36">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2）对监狱企业价格给予 20%的扣除，用扣除后的价格参与评审。监狱企业应当提供由省级以 上监狱管理局、戒毒管理局（含新疆生产建设兵团）出具的属于监狱企业的证明文件。 </w:t>
      </w:r>
    </w:p>
    <w:p w14:paraId="74E77703">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3）对残疾人福利性单位提供本单位制造的货物、承担的工程或者服务，或者提供其他残疾人 </w:t>
      </w:r>
    </w:p>
    <w:p w14:paraId="50EEB7F4">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福利性单位制造的货物（不包括使用非残疾人福利性单位注册商标的货物）价格给予 20%的扣除， </w:t>
      </w:r>
    </w:p>
    <w:p w14:paraId="103C96F2">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用扣除后的价格参与评审。符合条件的残疾人福利性单位在参加政府采购活动时，应当提供《三 </w:t>
      </w:r>
    </w:p>
    <w:p w14:paraId="58EC99AD">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部门联合发布关于促进残疾人就业政府采购政策的通知》规定的《残疾人福利性单位声明函》，并对声明的真实性负责。残疾人福利性单位属于小型、微型企业的，不重复享受政策。 </w:t>
      </w:r>
    </w:p>
    <w:p w14:paraId="63E9C55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4）政府采购活动中既有本国产品又有非本国产品参与竞争的，依法对本国产品给予价格评审 </w:t>
      </w:r>
    </w:p>
    <w:p w14:paraId="13DBCB79">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优惠，对本国产品的报价给予20%的价格扣除，用扣除后的价格参与评审。 </w:t>
      </w:r>
    </w:p>
    <w:p w14:paraId="0BCFB18B">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当采购项目或者采购包中含有多种产品，供应商为该采购项目或者采购包提供的符合本国产 </w:t>
      </w:r>
    </w:p>
    <w:p w14:paraId="2E681667">
      <w:pPr>
        <w:pStyle w:val="17"/>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品标准的产品成本之和占该供应商提供的全部产品成本之和的比例达到80%以上时，依法对该供应商提供的全部产品给予价格评审优惠，即对该供应商提供的全部产品的总报价给予20%的价格扣除， 用扣除后的价格参与评审。</w:t>
      </w:r>
    </w:p>
    <w:p w14:paraId="0DE6F9F6">
      <w:pPr>
        <w:pStyle w:val="17"/>
        <w:numPr>
          <w:ilvl w:val="0"/>
          <w:numId w:val="16"/>
        </w:numPr>
        <w:spacing w:line="360" w:lineRule="auto"/>
        <w:ind w:firstLine="422" w:firstLineChars="200"/>
        <w:contextualSpacing/>
        <w:rPr>
          <w:rFonts w:hint="eastAsia" w:cs="仿宋_GB2312" w:asciiTheme="minorEastAsia" w:hAnsiTheme="minorEastAsia" w:eastAsiaTheme="minorEastAsia"/>
          <w:b/>
          <w:bCs/>
          <w:sz w:val="21"/>
          <w:szCs w:val="21"/>
          <w:lang w:val="en-US" w:eastAsia="zh-CN"/>
        </w:rPr>
      </w:pPr>
      <w:r>
        <w:rPr>
          <w:rFonts w:cs="仿宋_GB2312" w:asciiTheme="minorEastAsia" w:hAnsiTheme="minorEastAsia" w:eastAsiaTheme="minorEastAsia"/>
          <w:b/>
          <w:sz w:val="21"/>
          <w:szCs w:val="21"/>
          <w:lang w:val="zh-CN"/>
        </w:rPr>
        <w:t>关于相同品牌产品</w:t>
      </w:r>
      <w:r>
        <w:rPr>
          <w:rFonts w:cs="仿宋_GB2312" w:asciiTheme="minorEastAsia" w:hAnsiTheme="minorEastAsia" w:eastAsiaTheme="minorEastAsia"/>
          <w:b/>
          <w:bCs/>
          <w:sz w:val="21"/>
          <w:szCs w:val="21"/>
          <w:lang w:val="zh-CN"/>
        </w:rPr>
        <w:t>（服务类项目不适用本条款规定</w:t>
      </w:r>
      <w:r>
        <w:rPr>
          <w:rFonts w:hint="eastAsia" w:cs="仿宋_GB2312" w:asciiTheme="minorEastAsia" w:hAnsiTheme="minorEastAsia" w:eastAsiaTheme="minorEastAsia"/>
          <w:b/>
          <w:bCs/>
          <w:sz w:val="21"/>
          <w:szCs w:val="21"/>
          <w:lang w:val="zh-CN"/>
        </w:rPr>
        <w:t>）</w:t>
      </w:r>
    </w:p>
    <w:p w14:paraId="26A613E2">
      <w:pPr>
        <w:pStyle w:val="17"/>
        <w:numPr>
          <w:ilvl w:val="0"/>
          <w:numId w:val="0"/>
        </w:numPr>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eastAsiaTheme="minorEastAsia"/>
          <w:sz w:val="21"/>
          <w:szCs w:val="21"/>
          <w:lang w:val="zh-CN"/>
        </w:rPr>
        <w:t>采取随机抽取</w:t>
      </w:r>
      <w:r>
        <w:rPr>
          <w:rFonts w:cs="仿宋_GB2312" w:asciiTheme="minorEastAsia" w:hAnsiTheme="minorEastAsia" w:eastAsiaTheme="minorEastAsia"/>
          <w:sz w:val="21"/>
          <w:szCs w:val="21"/>
          <w:lang w:val="zh-CN"/>
        </w:rPr>
        <w:t>方式确定一个参加评标的投标人，其他投标无效。</w:t>
      </w:r>
    </w:p>
    <w:p w14:paraId="38B4E811">
      <w:pPr>
        <w:pStyle w:val="17"/>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采用综合评分法的，提供相同品牌产品</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非单一产品采购项目，多家投标人提供的核心产品品牌相同</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且通过资格审查、符合性审查的不同投标人参加同一合同项下投标的，按一家投标人计算，评审后得分最高的同品牌投标人作为中标候选人推荐；评审得分相同的，</w:t>
      </w:r>
      <w:r>
        <w:rPr>
          <w:rFonts w:hint="eastAsia" w:cs="仿宋_GB2312" w:asciiTheme="minorEastAsia" w:hAnsiTheme="minorEastAsia" w:eastAsiaTheme="minorEastAsia"/>
          <w:sz w:val="21"/>
          <w:szCs w:val="21"/>
          <w:lang w:val="zh-CN"/>
        </w:rPr>
        <w:t>由采购人或者采购人委托评标委员会</w:t>
      </w:r>
      <w:r>
        <w:rPr>
          <w:rFonts w:cs="仿宋_GB2312" w:asciiTheme="minorEastAsia" w:hAnsiTheme="minorEastAsia" w:eastAsiaTheme="minorEastAsia"/>
          <w:sz w:val="21"/>
          <w:szCs w:val="21"/>
          <w:lang w:val="zh-CN"/>
        </w:rPr>
        <w:t>采取随机抽取方式确定</w:t>
      </w:r>
      <w:r>
        <w:rPr>
          <w:rFonts w:hint="eastAsia" w:cs="仿宋_GB2312" w:asciiTheme="minorEastAsia" w:hAnsiTheme="minorEastAsia" w:eastAsiaTheme="minorEastAsia"/>
          <w:sz w:val="21"/>
          <w:szCs w:val="21"/>
          <w:lang w:val="zh-CN"/>
        </w:rPr>
        <w:t>一个投标人获得中标人推荐资格</w:t>
      </w:r>
      <w:r>
        <w:rPr>
          <w:rFonts w:cs="仿宋_GB2312" w:asciiTheme="minorEastAsia" w:hAnsiTheme="minorEastAsia" w:eastAsiaTheme="minorEastAsia"/>
          <w:sz w:val="21"/>
          <w:szCs w:val="21"/>
          <w:lang w:val="zh-CN"/>
        </w:rPr>
        <w:t>，其他同品牌投标人不作为中标候选人。</w:t>
      </w:r>
    </w:p>
    <w:p w14:paraId="6051B001">
      <w:pPr>
        <w:pStyle w:val="17"/>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（3）强制采购节能产品和优先采购节能产品、优先采购环保产品</w:t>
      </w:r>
    </w:p>
    <w:p w14:paraId="1EAF4021">
      <w:pPr>
        <w:pStyle w:val="17"/>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投标人投标文件中应提供具有国家确定的认证机构出具的、处于有效期之内的节能产品认证证书，否则将承担其投标被视为非实质性响应投标的风险。</w:t>
      </w:r>
    </w:p>
    <w:p w14:paraId="1FFFF3E8">
      <w:pPr>
        <w:pStyle w:val="17"/>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投标文件中应提供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，评标委员会根据本项目评标标准予以判定并赋分。</w:t>
      </w:r>
    </w:p>
    <w:p w14:paraId="4EC9C2EE">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投标人所投产品若属于《环境标志产品政府采购品目清单》内产品，投标文件中应提供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评标委员会根据本项目评标标准予以判定并赋分。</w:t>
      </w:r>
    </w:p>
    <w:p w14:paraId="348E7818">
      <w:pPr>
        <w:pStyle w:val="17"/>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（4）信息产品要求</w:t>
      </w:r>
    </w:p>
    <w:p w14:paraId="30A4B02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hint="eastAsia" w:cs="宋体" w:asciiTheme="minorEastAsia" w:hAnsiTheme="minorEastAsia"/>
          <w:kern w:val="0"/>
          <w:szCs w:val="21"/>
        </w:rPr>
        <w:t>投标人所投产品如被列入</w:t>
      </w:r>
      <w:r>
        <w:rPr>
          <w:rFonts w:cs="宋体" w:asciiTheme="minorEastAsia" w:hAnsiTheme="minorEastAsia"/>
          <w:kern w:val="0"/>
          <w:szCs w:val="21"/>
        </w:rPr>
        <w:t>《信息安全产品强制性认证目录》</w:t>
      </w:r>
      <w:r>
        <w:rPr>
          <w:rFonts w:cs="仿宋_GB2312" w:asciiTheme="minorEastAsia" w:hAnsiTheme="minorEastAsia"/>
          <w:szCs w:val="21"/>
          <w:lang w:val="zh-CN"/>
        </w:rPr>
        <w:t>，</w:t>
      </w:r>
      <w:r>
        <w:rPr>
          <w:rFonts w:hint="eastAsia" w:cs="仿宋_GB2312" w:asciiTheme="minorEastAsia" w:hAnsiTheme="minorEastAsia"/>
          <w:szCs w:val="21"/>
          <w:lang w:val="zh-CN"/>
        </w:rPr>
        <w:t>应提供由中国信息安全认证中心按国家标准认证颁发的有效认证证书。</w:t>
      </w:r>
    </w:p>
    <w:p w14:paraId="71665A26">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（5）投标无效情形</w:t>
      </w:r>
    </w:p>
    <w:p w14:paraId="6A91CBA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16FD05A8">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2）符合性审查资料未按招标文件要求签署、盖章的；</w:t>
      </w:r>
    </w:p>
    <w:p w14:paraId="238800E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3）有下列情形之一的，视为投标人串通投标，其投标无效：</w:t>
      </w:r>
    </w:p>
    <w:p w14:paraId="29018A2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a.不同投标人的投标文件由同一单位或者个人编制；</w:t>
      </w:r>
    </w:p>
    <w:p w14:paraId="0174E1C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b.不同投标人委托同一单位或者个人办理投标事宜；</w:t>
      </w:r>
    </w:p>
    <w:p w14:paraId="401668D2">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c.不同投标人的投标文件载明的项目管理成员或者联系人员为同一人；</w:t>
      </w:r>
    </w:p>
    <w:p w14:paraId="3BCA3C4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d.不同投标人的投标文件异常一致或者投标报价呈规律性差异；</w:t>
      </w:r>
    </w:p>
    <w:p w14:paraId="2E040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e.不同投标人的投标文件相互混装；</w:t>
      </w:r>
    </w:p>
    <w:p w14:paraId="18678775">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666632E">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5）评标委员会启动异常低价投标（响应）审查后，要求相关供应商在评审现场规定时间内（给 予供应商的时间不少于60分钟）对投标（响应）价格作出解释、提供证明材料，投标（响应）供 应商未在规定时间内提供书面说明、证明材料，或者提供的书面说明、证明材料不能证明其报价 合理性的，评标委员会应当将其作为无效投标（响应）处理。</w:t>
      </w:r>
    </w:p>
    <w:p w14:paraId="7DD94C06">
      <w:pPr>
        <w:tabs>
          <w:tab w:val="left" w:pos="1260"/>
        </w:tabs>
        <w:autoSpaceDE w:val="0"/>
        <w:autoSpaceDN w:val="0"/>
        <w:spacing w:line="360" w:lineRule="auto"/>
        <w:ind w:firstLine="420"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color w:val="auto"/>
          <w:szCs w:val="21"/>
          <w:highlight w:val="none"/>
          <w:lang w:val="zh-CN"/>
        </w:rPr>
        <w:t>）法律法规</w:t>
      </w:r>
      <w:r>
        <w:rPr>
          <w:rFonts w:cs="仿宋_GB2312" w:asciiTheme="minorEastAsia" w:hAnsiTheme="minorEastAsia"/>
          <w:color w:val="auto"/>
          <w:szCs w:val="21"/>
          <w:highlight w:val="none"/>
          <w:lang w:val="zh-CN"/>
        </w:rPr>
        <w:t>和招标文件规定的其他无效情形。</w:t>
      </w:r>
    </w:p>
    <w:p w14:paraId="11039E58">
      <w:pPr>
        <w:pStyle w:val="17"/>
        <w:numPr>
          <w:ilvl w:val="0"/>
          <w:numId w:val="17"/>
        </w:numPr>
        <w:spacing w:line="360" w:lineRule="auto"/>
        <w:ind w:firstLine="422"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评标</w:t>
      </w:r>
      <w:r>
        <w:rPr>
          <w:rFonts w:hint="eastAsia" w:cs="仿宋_GB2312" w:asciiTheme="minorEastAsia" w:hAnsiTheme="minorEastAsia" w:eastAsiaTheme="minorEastAsia"/>
          <w:b/>
          <w:sz w:val="21"/>
          <w:szCs w:val="21"/>
          <w:lang w:val="en-US" w:eastAsia="zh-CN"/>
        </w:rPr>
        <w:t>方法和评标</w:t>
      </w:r>
      <w:r>
        <w:rPr>
          <w:rFonts w:hint="eastAsia" w:cs="仿宋_GB2312" w:asciiTheme="minorEastAsia" w:hAnsiTheme="minorEastAsia" w:eastAsiaTheme="minorEastAsia"/>
          <w:b/>
          <w:sz w:val="21"/>
          <w:szCs w:val="21"/>
          <w:lang w:val="zh-CN"/>
        </w:rPr>
        <w:t>标准：</w:t>
      </w:r>
      <w:r>
        <w:rPr>
          <w:rFonts w:hint="eastAsia" w:cs="仿宋_GB2312" w:asciiTheme="minorEastAsia" w:hAnsiTheme="minorEastAsia" w:eastAsiaTheme="minorEastAsia"/>
          <w:b/>
          <w:sz w:val="21"/>
          <w:szCs w:val="21"/>
          <w:lang w:val="en-US" w:eastAsia="zh-CN"/>
        </w:rPr>
        <w:t>综合评分法</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649"/>
        <w:gridCol w:w="6491"/>
        <w:gridCol w:w="920"/>
      </w:tblGrid>
      <w:tr w14:paraId="6B71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52B312D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评标标准</w:t>
            </w:r>
          </w:p>
        </w:tc>
      </w:tr>
      <w:tr w14:paraId="5E93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vMerge w:val="restart"/>
            <w:shd w:val="clear" w:color="auto" w:fill="auto"/>
            <w:vAlign w:val="center"/>
          </w:tcPr>
          <w:p w14:paraId="6B13B5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分值构成</w:t>
            </w:r>
            <w:r>
              <w:rPr>
                <w:rFonts w:hint="eastAsia" w:asciiTheme="minorEastAsia" w:hAnsiTheme="minorEastAsia" w:eastAsiaTheme="minorEastAsia" w:cstheme="minorEastAsia"/>
                <w:b/>
                <w:bCs/>
                <w:i w:val="0"/>
                <w:iCs w:val="0"/>
                <w:color w:val="auto"/>
                <w:kern w:val="0"/>
                <w:sz w:val="22"/>
                <w:szCs w:val="22"/>
                <w:u w:val="none"/>
                <w:lang w:val="en-US" w:eastAsia="zh-CN" w:bidi="ar"/>
              </w:rPr>
              <w:br w:type="textWrapping"/>
            </w:r>
            <w:r>
              <w:rPr>
                <w:rFonts w:hint="eastAsia" w:asciiTheme="minorEastAsia" w:hAnsiTheme="minorEastAsia" w:eastAsiaTheme="minorEastAsia" w:cstheme="minorEastAsia"/>
                <w:b/>
                <w:bCs/>
                <w:i w:val="0"/>
                <w:iCs w:val="0"/>
                <w:color w:val="auto"/>
                <w:kern w:val="0"/>
                <w:sz w:val="22"/>
                <w:szCs w:val="22"/>
                <w:u w:val="none"/>
                <w:lang w:val="en-US" w:eastAsia="zh-CN" w:bidi="ar"/>
              </w:rPr>
              <w:t>（总分100分）</w:t>
            </w:r>
          </w:p>
        </w:tc>
        <w:tc>
          <w:tcPr>
            <w:tcW w:w="3582" w:type="pct"/>
            <w:shd w:val="clear" w:color="auto" w:fill="auto"/>
            <w:vAlign w:val="center"/>
          </w:tcPr>
          <w:p w14:paraId="689890F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价格分值：</w:t>
            </w:r>
          </w:p>
        </w:tc>
        <w:tc>
          <w:tcPr>
            <w:tcW w:w="507" w:type="pct"/>
            <w:shd w:val="clear" w:color="auto" w:fill="auto"/>
            <w:vAlign w:val="center"/>
          </w:tcPr>
          <w:p w14:paraId="013444A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30分</w:t>
            </w:r>
          </w:p>
        </w:tc>
      </w:tr>
      <w:tr w14:paraId="4E40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vMerge w:val="continue"/>
            <w:shd w:val="clear" w:color="auto" w:fill="auto"/>
            <w:vAlign w:val="center"/>
          </w:tcPr>
          <w:p w14:paraId="4FD7B1FE">
            <w:pPr>
              <w:spacing w:line="360" w:lineRule="auto"/>
              <w:jc w:val="center"/>
              <w:rPr>
                <w:rFonts w:hint="eastAsia" w:asciiTheme="minorEastAsia" w:hAnsiTheme="minorEastAsia" w:eastAsiaTheme="minorEastAsia" w:cstheme="minorEastAsia"/>
                <w:b/>
                <w:bCs/>
                <w:i w:val="0"/>
                <w:iCs w:val="0"/>
                <w:color w:val="auto"/>
                <w:sz w:val="22"/>
                <w:szCs w:val="22"/>
                <w:u w:val="none"/>
              </w:rPr>
            </w:pPr>
          </w:p>
        </w:tc>
        <w:tc>
          <w:tcPr>
            <w:tcW w:w="3582" w:type="pct"/>
            <w:shd w:val="clear" w:color="auto" w:fill="auto"/>
            <w:vAlign w:val="center"/>
          </w:tcPr>
          <w:p w14:paraId="70085BD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商务部分：</w:t>
            </w:r>
          </w:p>
        </w:tc>
        <w:tc>
          <w:tcPr>
            <w:tcW w:w="507" w:type="pct"/>
            <w:shd w:val="clear" w:color="auto" w:fill="auto"/>
            <w:vAlign w:val="center"/>
          </w:tcPr>
          <w:p w14:paraId="0185E96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20分</w:t>
            </w:r>
          </w:p>
        </w:tc>
      </w:tr>
      <w:tr w14:paraId="228D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vMerge w:val="continue"/>
            <w:shd w:val="clear" w:color="auto" w:fill="auto"/>
            <w:vAlign w:val="center"/>
          </w:tcPr>
          <w:p w14:paraId="4CA2AA18">
            <w:pPr>
              <w:spacing w:line="360" w:lineRule="auto"/>
              <w:jc w:val="center"/>
              <w:rPr>
                <w:rFonts w:hint="eastAsia" w:ascii="仿宋" w:hAnsi="仿宋" w:eastAsia="仿宋" w:cs="仿宋"/>
                <w:b/>
                <w:bCs/>
                <w:i w:val="0"/>
                <w:iCs w:val="0"/>
                <w:color w:val="auto"/>
                <w:sz w:val="22"/>
                <w:szCs w:val="22"/>
                <w:u w:val="none"/>
              </w:rPr>
            </w:pPr>
          </w:p>
        </w:tc>
        <w:tc>
          <w:tcPr>
            <w:tcW w:w="3582" w:type="pct"/>
            <w:shd w:val="clear" w:color="auto" w:fill="auto"/>
            <w:vAlign w:val="center"/>
          </w:tcPr>
          <w:p w14:paraId="09AB5E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技术部分：</w:t>
            </w:r>
          </w:p>
        </w:tc>
        <w:tc>
          <w:tcPr>
            <w:tcW w:w="507" w:type="pct"/>
            <w:shd w:val="clear" w:color="auto" w:fill="auto"/>
            <w:vAlign w:val="center"/>
          </w:tcPr>
          <w:p w14:paraId="359C63A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50分</w:t>
            </w:r>
          </w:p>
        </w:tc>
      </w:tr>
      <w:tr w14:paraId="493A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5B8EEE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价格部分（满分30分）</w:t>
            </w:r>
          </w:p>
        </w:tc>
      </w:tr>
      <w:tr w14:paraId="264A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shd w:val="clear" w:color="auto" w:fill="auto"/>
            <w:vAlign w:val="center"/>
          </w:tcPr>
          <w:p w14:paraId="0600FF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评分因素</w:t>
            </w:r>
          </w:p>
        </w:tc>
        <w:tc>
          <w:tcPr>
            <w:tcW w:w="3582" w:type="pct"/>
            <w:shd w:val="clear" w:color="auto" w:fill="auto"/>
            <w:vAlign w:val="center"/>
          </w:tcPr>
          <w:p w14:paraId="79026C8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评分标准</w:t>
            </w:r>
          </w:p>
        </w:tc>
        <w:tc>
          <w:tcPr>
            <w:tcW w:w="507" w:type="pct"/>
            <w:shd w:val="clear" w:color="auto" w:fill="auto"/>
            <w:vAlign w:val="center"/>
          </w:tcPr>
          <w:p w14:paraId="2942AD8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分值</w:t>
            </w:r>
          </w:p>
        </w:tc>
      </w:tr>
      <w:tr w14:paraId="0C11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1" w:hRule="atLeast"/>
        </w:trPr>
        <w:tc>
          <w:tcPr>
            <w:tcW w:w="910" w:type="pct"/>
            <w:shd w:val="clear" w:color="auto" w:fill="auto"/>
            <w:vAlign w:val="center"/>
          </w:tcPr>
          <w:p w14:paraId="4EDEADE8">
            <w:pPr>
              <w:spacing w:line="360" w:lineRule="auto"/>
              <w:ind w:firstLine="420" w:firstLineChars="200"/>
              <w:contextualSpacing/>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投标报价</w:t>
            </w:r>
          </w:p>
          <w:p w14:paraId="6C1887B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p>
        </w:tc>
        <w:tc>
          <w:tcPr>
            <w:tcW w:w="3582" w:type="pct"/>
            <w:shd w:val="clear" w:color="auto" w:fill="auto"/>
            <w:vAlign w:val="center"/>
          </w:tcPr>
          <w:p w14:paraId="1B8E5D49">
            <w:pPr>
              <w:keepNext w:val="0"/>
              <w:keepLines w:val="0"/>
              <w:pageBreakBefore w:val="0"/>
              <w:widowControl/>
              <w:kinsoku/>
              <w:overflowPunct/>
              <w:topLinePunct w:val="0"/>
              <w:bidi w:val="0"/>
              <w:adjustRightInd/>
              <w:spacing w:line="400" w:lineRule="exact"/>
              <w:ind w:right="24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评标基准价：满足招标文件要求的有效投标报价中，最低的投标报价为评标基准价。</w:t>
            </w:r>
          </w:p>
          <w:p w14:paraId="3BA369D9">
            <w:pPr>
              <w:keepNext w:val="0"/>
              <w:keepLines w:val="0"/>
              <w:pageBreakBefore w:val="0"/>
              <w:widowControl/>
              <w:kinsoku/>
              <w:overflowPunct/>
              <w:topLinePunct w:val="0"/>
              <w:bidi w:val="0"/>
              <w:adjustRightInd/>
              <w:spacing w:line="400" w:lineRule="exact"/>
              <w:ind w:right="240"/>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投标报价得分=（评标基准价/投标报价）×30</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100</w:t>
            </w:r>
          </w:p>
          <w:p w14:paraId="4F234532">
            <w:pPr>
              <w:keepNext w:val="0"/>
              <w:keepLines w:val="0"/>
              <w:pageBreakBefore w:val="0"/>
              <w:widowControl/>
              <w:kinsoku/>
              <w:overflowPunct/>
              <w:topLinePunct w:val="0"/>
              <w:bidi w:val="0"/>
              <w:adjustRightInd/>
              <w:spacing w:line="400" w:lineRule="exact"/>
              <w:ind w:right="24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计算按四舍五入法则。保留小数点后两位。</w:t>
            </w:r>
          </w:p>
          <w:p w14:paraId="168C7C63">
            <w:pPr>
              <w:spacing w:line="360" w:lineRule="auto"/>
              <w:ind w:firstLine="420" w:firstLineChars="200"/>
              <w:contextualSpacing/>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rPr>
              <w:t>注：当投标人的报价明显低于常规报价，评标委员会</w:t>
            </w:r>
            <w:r>
              <w:rPr>
                <w:rFonts w:hint="eastAsia" w:asciiTheme="minorEastAsia" w:hAnsiTheme="minorEastAsia" w:eastAsiaTheme="minorEastAsia" w:cstheme="minorEastAsia"/>
                <w:lang w:eastAsia="zh-CN"/>
              </w:rPr>
              <w:t>认为</w:t>
            </w:r>
            <w:r>
              <w:rPr>
                <w:rFonts w:hint="eastAsia" w:asciiTheme="minorEastAsia" w:hAnsiTheme="minorEastAsia" w:eastAsiaTheme="minorEastAsia" w:cstheme="minorEastAsia"/>
              </w:rPr>
              <w:t>该投标人的最低投标报价或者某些小项报价明显不合理或者明显低于其他通过</w:t>
            </w:r>
            <w:r>
              <w:rPr>
                <w:rFonts w:hint="eastAsia" w:asciiTheme="minorEastAsia" w:hAnsiTheme="minorEastAsia" w:cstheme="minorEastAsia"/>
                <w:color w:val="auto"/>
                <w:lang w:val="en-US" w:eastAsia="zh-CN"/>
              </w:rPr>
              <w:t>符合</w:t>
            </w:r>
            <w:r>
              <w:rPr>
                <w:rFonts w:hint="eastAsia" w:asciiTheme="minorEastAsia" w:hAnsiTheme="minorEastAsia" w:eastAsiaTheme="minorEastAsia" w:cstheme="minorEastAsia"/>
                <w:color w:val="auto"/>
              </w:rPr>
              <w:t>性</w:t>
            </w:r>
            <w:r>
              <w:rPr>
                <w:rFonts w:hint="eastAsia" w:asciiTheme="minorEastAsia" w:hAnsiTheme="minorEastAsia" w:eastAsiaTheme="minorEastAsia" w:cstheme="minorEastAsia"/>
              </w:rPr>
              <w:t>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507" w:type="pct"/>
            <w:shd w:val="clear" w:color="auto" w:fill="auto"/>
            <w:vAlign w:val="center"/>
          </w:tcPr>
          <w:p w14:paraId="1627CBF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kern w:val="0"/>
                <w:sz w:val="22"/>
                <w:szCs w:val="22"/>
                <w:u w:val="none"/>
                <w:lang w:val="en-US" w:eastAsia="zh-CN" w:bidi="ar"/>
              </w:rPr>
              <w:t>30分</w:t>
            </w:r>
          </w:p>
        </w:tc>
      </w:tr>
      <w:tr w14:paraId="3CCE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4EC23E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二、商务部分（满分20分）</w:t>
            </w:r>
          </w:p>
        </w:tc>
      </w:tr>
      <w:tr w14:paraId="2117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shd w:val="clear" w:color="auto" w:fill="auto"/>
            <w:vAlign w:val="center"/>
          </w:tcPr>
          <w:p w14:paraId="2E8285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评分因素</w:t>
            </w:r>
          </w:p>
        </w:tc>
        <w:tc>
          <w:tcPr>
            <w:tcW w:w="3582" w:type="pct"/>
            <w:shd w:val="clear" w:color="auto" w:fill="auto"/>
            <w:vAlign w:val="center"/>
          </w:tcPr>
          <w:p w14:paraId="6AB2194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评分标准</w:t>
            </w:r>
          </w:p>
        </w:tc>
        <w:tc>
          <w:tcPr>
            <w:tcW w:w="507" w:type="pct"/>
            <w:shd w:val="clear" w:color="auto" w:fill="auto"/>
            <w:vAlign w:val="center"/>
          </w:tcPr>
          <w:p w14:paraId="34853B0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分值</w:t>
            </w:r>
          </w:p>
        </w:tc>
      </w:tr>
      <w:tr w14:paraId="1DCC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59" w:hRule="atLeast"/>
        </w:trPr>
        <w:tc>
          <w:tcPr>
            <w:tcW w:w="910" w:type="pct"/>
            <w:shd w:val="clear" w:color="auto" w:fill="auto"/>
            <w:vAlign w:val="center"/>
          </w:tcPr>
          <w:p w14:paraId="6140EFA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szCs w:val="21"/>
                <w:lang w:val="zh-CN"/>
              </w:rPr>
              <w:t>业绩</w:t>
            </w:r>
          </w:p>
        </w:tc>
        <w:tc>
          <w:tcPr>
            <w:tcW w:w="3582" w:type="pct"/>
            <w:shd w:val="clear" w:color="auto" w:fill="auto"/>
            <w:vAlign w:val="center"/>
          </w:tcPr>
          <w:p w14:paraId="00314D9C">
            <w:pPr>
              <w:numPr>
                <w:ilvl w:val="0"/>
                <w:numId w:val="0"/>
              </w:numPr>
              <w:spacing w:line="360" w:lineRule="auto"/>
              <w:contextualSpacing/>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color w:val="000000"/>
                <w:szCs w:val="21"/>
                <w:highlight w:val="none"/>
                <w:lang w:bidi="ar"/>
              </w:rPr>
              <w:t>投标人提供自2023年1月1日以来更新改造</w:t>
            </w:r>
            <w:r>
              <w:rPr>
                <w:rFonts w:hint="eastAsia" w:asciiTheme="minorEastAsia" w:hAnsiTheme="minorEastAsia" w:eastAsiaTheme="minorEastAsia" w:cstheme="minorEastAsia"/>
                <w:color w:val="000000"/>
                <w:szCs w:val="21"/>
                <w:highlight w:val="none"/>
                <w:lang w:eastAsia="zh-CN" w:bidi="ar"/>
              </w:rPr>
              <w:t>项目</w:t>
            </w:r>
            <w:r>
              <w:rPr>
                <w:rFonts w:hint="eastAsia" w:asciiTheme="minorEastAsia" w:hAnsiTheme="minorEastAsia" w:eastAsiaTheme="minorEastAsia" w:cstheme="minorEastAsia"/>
                <w:color w:val="000000"/>
                <w:szCs w:val="21"/>
                <w:highlight w:val="none"/>
                <w:lang w:bidi="ar"/>
              </w:rPr>
              <w:t>电梯业绩，每提供一个得2分，本项最多得10分（以合同签订时间为准</w:t>
            </w:r>
            <w:r>
              <w:rPr>
                <w:rFonts w:hint="eastAsia" w:asciiTheme="minorEastAsia" w:hAnsiTheme="minorEastAsia" w:eastAsiaTheme="minorEastAsia" w:cstheme="minorEastAsia"/>
                <w:color w:val="000000"/>
                <w:highlight w:val="none"/>
                <w:lang w:eastAsia="zh-CN"/>
              </w:rPr>
              <w:t>，</w:t>
            </w:r>
            <w:r>
              <w:rPr>
                <w:rFonts w:hint="eastAsia" w:asciiTheme="minorEastAsia" w:hAnsiTheme="minorEastAsia" w:eastAsiaTheme="minorEastAsia" w:cstheme="minorEastAsia"/>
                <w:color w:val="000000"/>
                <w:highlight w:val="none"/>
              </w:rPr>
              <w:t>合同内容必须包含合同首页、金额所在页、签订时间、双方签字盖章页，</w:t>
            </w:r>
            <w:r>
              <w:rPr>
                <w:rFonts w:hint="eastAsia" w:asciiTheme="minorEastAsia" w:hAnsiTheme="minorEastAsia" w:eastAsiaTheme="minorEastAsia" w:cstheme="minorEastAsia"/>
                <w:color w:val="000000"/>
                <w:szCs w:val="21"/>
                <w:highlight w:val="none"/>
                <w:lang w:bidi="ar"/>
              </w:rPr>
              <w:t>附合同扫描件、中标通知书、中标结果公示查询。</w:t>
            </w:r>
            <w:r>
              <w:rPr>
                <w:rFonts w:hint="eastAsia" w:asciiTheme="minorEastAsia" w:hAnsiTheme="minorEastAsia" w:eastAsiaTheme="minorEastAsia" w:cstheme="minorEastAsia"/>
                <w:color w:val="000000"/>
                <w:highlight w:val="none"/>
              </w:rPr>
              <w:t>）</w:t>
            </w:r>
          </w:p>
        </w:tc>
        <w:tc>
          <w:tcPr>
            <w:tcW w:w="507" w:type="pct"/>
            <w:shd w:val="clear" w:color="auto" w:fill="auto"/>
            <w:vAlign w:val="center"/>
          </w:tcPr>
          <w:p w14:paraId="5210D9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kern w:val="0"/>
                <w:sz w:val="22"/>
                <w:szCs w:val="22"/>
                <w:u w:val="none"/>
                <w:lang w:val="en-US" w:eastAsia="zh-CN" w:bidi="ar"/>
              </w:rPr>
              <w:t>10分</w:t>
            </w:r>
          </w:p>
        </w:tc>
      </w:tr>
      <w:tr w14:paraId="670D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9" w:hRule="atLeast"/>
        </w:trPr>
        <w:tc>
          <w:tcPr>
            <w:tcW w:w="910" w:type="pct"/>
            <w:shd w:val="clear" w:color="auto" w:fill="auto"/>
            <w:vAlign w:val="center"/>
          </w:tcPr>
          <w:p w14:paraId="2408448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lang w:eastAsia="zh-CN"/>
              </w:rPr>
            </w:pPr>
            <w:r>
              <w:rPr>
                <w:rFonts w:hint="eastAsia" w:asciiTheme="minorEastAsia" w:hAnsiTheme="minorEastAsia" w:eastAsiaTheme="minorEastAsia" w:cstheme="minorEastAsia"/>
                <w:color w:val="000000"/>
                <w:szCs w:val="21"/>
                <w:lang w:val="en-US" w:eastAsia="zh-CN"/>
              </w:rPr>
              <w:t>证书</w:t>
            </w:r>
          </w:p>
        </w:tc>
        <w:tc>
          <w:tcPr>
            <w:tcW w:w="3582" w:type="pct"/>
            <w:shd w:val="clear" w:color="auto" w:fill="auto"/>
            <w:vAlign w:val="center"/>
          </w:tcPr>
          <w:p w14:paraId="08E0CAAB">
            <w:pPr>
              <w:keepNext w:val="0"/>
              <w:keepLines w:val="0"/>
              <w:widowControl/>
              <w:suppressLineNumbers w:val="0"/>
              <w:spacing w:line="360" w:lineRule="auto"/>
              <w:jc w:val="both"/>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color w:val="000000"/>
                <w:sz w:val="21"/>
                <w:szCs w:val="21"/>
                <w:highlight w:val="none"/>
              </w:rPr>
              <w:t>所投品牌制造商具有中国合格评定国家认可委员会（CNAS）认证实验室得</w:t>
            </w:r>
            <w:r>
              <w:rPr>
                <w:rFonts w:hint="eastAsia" w:asciiTheme="minorEastAsia" w:hAnsiTheme="minorEastAsia" w:eastAsiaTheme="minorEastAsia" w:cstheme="minorEastAsia"/>
                <w:color w:val="000000"/>
                <w:sz w:val="21"/>
                <w:szCs w:val="21"/>
                <w:highlight w:val="none"/>
                <w:lang w:val="en-US" w:eastAsia="zh-CN"/>
              </w:rPr>
              <w:t>3</w:t>
            </w:r>
            <w:r>
              <w:rPr>
                <w:rFonts w:hint="eastAsia" w:asciiTheme="minorEastAsia" w:hAnsiTheme="minorEastAsia" w:eastAsiaTheme="minorEastAsia" w:cstheme="minorEastAsia"/>
                <w:color w:val="000000"/>
                <w:sz w:val="21"/>
                <w:szCs w:val="21"/>
                <w:highlight w:val="none"/>
              </w:rPr>
              <w:t>分，没有不得分。（须提供实验室认可证书及中国合格评定国家认可委员会（</w:t>
            </w:r>
            <w:r>
              <w:rPr>
                <w:rFonts w:hint="eastAsia" w:asciiTheme="minorEastAsia" w:hAnsiTheme="minorEastAsia" w:eastAsiaTheme="minorEastAsia" w:cstheme="minorEastAsia"/>
                <w:color w:val="000000"/>
                <w:sz w:val="21"/>
                <w:szCs w:val="21"/>
                <w:highlight w:val="none"/>
              </w:rPr>
              <w:fldChar w:fldCharType="begin"/>
            </w:r>
            <w:r>
              <w:rPr>
                <w:rFonts w:hint="eastAsia" w:asciiTheme="minorEastAsia" w:hAnsiTheme="minorEastAsia" w:eastAsiaTheme="minorEastAsia" w:cstheme="minorEastAsia"/>
                <w:color w:val="000000"/>
                <w:sz w:val="21"/>
                <w:szCs w:val="21"/>
                <w:highlight w:val="none"/>
              </w:rPr>
              <w:instrText xml:space="preserve"> HYPERLINK "https://www.cnas.org.cn" </w:instrText>
            </w:r>
            <w:r>
              <w:rPr>
                <w:rFonts w:hint="eastAsia" w:asciiTheme="minorEastAsia" w:hAnsiTheme="minorEastAsia" w:eastAsiaTheme="minorEastAsia" w:cstheme="minorEastAsia"/>
                <w:color w:val="000000"/>
                <w:sz w:val="21"/>
                <w:szCs w:val="21"/>
                <w:highlight w:val="none"/>
              </w:rPr>
              <w:fldChar w:fldCharType="separate"/>
            </w:r>
            <w:r>
              <w:rPr>
                <w:rFonts w:hint="eastAsia" w:asciiTheme="minorEastAsia" w:hAnsiTheme="minorEastAsia" w:eastAsiaTheme="minorEastAsia" w:cstheme="minorEastAsia"/>
                <w:color w:val="000000"/>
                <w:sz w:val="21"/>
                <w:szCs w:val="21"/>
                <w:highlight w:val="none"/>
              </w:rPr>
              <w:t>www.cnas.org.cn</w:t>
            </w:r>
            <w:r>
              <w:rPr>
                <w:rFonts w:hint="eastAsia" w:asciiTheme="minorEastAsia" w:hAnsiTheme="minorEastAsia" w:eastAsiaTheme="minorEastAsia" w:cstheme="minorEastAsia"/>
                <w:color w:val="000000"/>
                <w:sz w:val="21"/>
                <w:szCs w:val="21"/>
                <w:highlight w:val="none"/>
              </w:rPr>
              <w:fldChar w:fldCharType="end"/>
            </w:r>
            <w:r>
              <w:rPr>
                <w:rFonts w:hint="eastAsia" w:asciiTheme="minorEastAsia" w:hAnsiTheme="minorEastAsia" w:eastAsiaTheme="minorEastAsia" w:cstheme="minorEastAsia"/>
                <w:color w:val="000000"/>
                <w:sz w:val="21"/>
                <w:szCs w:val="21"/>
                <w:highlight w:val="none"/>
              </w:rPr>
              <w:t>）网站中查询获认可机构基本信息截图）</w:t>
            </w:r>
          </w:p>
        </w:tc>
        <w:tc>
          <w:tcPr>
            <w:tcW w:w="507" w:type="pct"/>
            <w:shd w:val="clear" w:color="auto" w:fill="auto"/>
            <w:vAlign w:val="center"/>
          </w:tcPr>
          <w:p w14:paraId="70ED836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kern w:val="0"/>
                <w:sz w:val="22"/>
                <w:szCs w:val="22"/>
                <w:u w:val="none"/>
                <w:lang w:val="en-US" w:eastAsia="zh-CN" w:bidi="ar"/>
              </w:rPr>
              <w:t>3分</w:t>
            </w:r>
          </w:p>
        </w:tc>
      </w:tr>
      <w:tr w14:paraId="0E43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9" w:hRule="atLeast"/>
        </w:trPr>
        <w:tc>
          <w:tcPr>
            <w:tcW w:w="910" w:type="pct"/>
            <w:shd w:val="clear" w:color="auto" w:fill="auto"/>
            <w:vAlign w:val="center"/>
          </w:tcPr>
          <w:p w14:paraId="58B42F4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eastAsiaTheme="minorEastAsia" w:cstheme="minorEastAsia"/>
                <w:color w:val="000000"/>
                <w:szCs w:val="21"/>
                <w:lang w:val="en-US" w:eastAsia="zh-CN"/>
              </w:rPr>
              <w:t>售后服务</w:t>
            </w:r>
          </w:p>
          <w:p w14:paraId="1D3E2FA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Cs w:val="21"/>
                <w:lang w:val="en-US" w:eastAsia="zh-CN"/>
              </w:rPr>
            </w:pPr>
          </w:p>
        </w:tc>
        <w:tc>
          <w:tcPr>
            <w:tcW w:w="3582" w:type="pct"/>
            <w:shd w:val="clear" w:color="auto" w:fill="auto"/>
            <w:vAlign w:val="center"/>
          </w:tcPr>
          <w:p w14:paraId="5B1CCF7E">
            <w:pPr>
              <w:keepNext w:val="0"/>
              <w:keepLines w:val="0"/>
              <w:pageBreakBefore w:val="0"/>
              <w:kinsoku/>
              <w:overflowPunct/>
              <w:topLinePunct w:val="0"/>
              <w:bidi w:val="0"/>
              <w:adjustRightInd/>
              <w:spacing w:line="400" w:lineRule="exact"/>
              <w:jc w:val="lef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cstheme="minorEastAsia"/>
                <w:color w:val="000000"/>
                <w:sz w:val="21"/>
                <w:szCs w:val="21"/>
                <w:highlight w:val="none"/>
                <w:lang w:eastAsia="zh-CN"/>
              </w:rPr>
              <w:t>1.</w:t>
            </w:r>
            <w:r>
              <w:rPr>
                <w:rFonts w:hint="eastAsia" w:asciiTheme="minorEastAsia" w:hAnsiTheme="minorEastAsia" w:eastAsiaTheme="minorEastAsia" w:cstheme="minorEastAsia"/>
                <w:color w:val="000000"/>
                <w:sz w:val="21"/>
                <w:szCs w:val="21"/>
                <w:highlight w:val="none"/>
              </w:rPr>
              <w:t>售后服务方案详细（包括质保期、维保技术人员配备及质保期故障响应时间服务保障、培训服务方案）且承诺具体可行得2分；内容简单得1分；缺项不得分。</w:t>
            </w:r>
          </w:p>
          <w:p w14:paraId="5D67C510">
            <w:pPr>
              <w:keepNext w:val="0"/>
              <w:keepLines w:val="0"/>
              <w:widowControl/>
              <w:suppressLineNumbers w:val="0"/>
              <w:spacing w:line="360" w:lineRule="auto"/>
              <w:jc w:val="both"/>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highlight w:val="none"/>
                <w:lang w:eastAsia="zh-CN"/>
              </w:rPr>
              <w:t>2.</w:t>
            </w:r>
            <w:r>
              <w:rPr>
                <w:rFonts w:hint="eastAsia" w:asciiTheme="minorEastAsia" w:hAnsiTheme="minorEastAsia" w:eastAsiaTheme="minorEastAsia" w:cstheme="minorEastAsia"/>
                <w:color w:val="000000"/>
                <w:sz w:val="21"/>
                <w:szCs w:val="21"/>
                <w:highlight w:val="none"/>
              </w:rPr>
              <w:t>质保期内和质保期外服务内容和承诺：内容详尽、针对性强的得</w:t>
            </w:r>
            <w:r>
              <w:rPr>
                <w:rFonts w:hint="eastAsia" w:asciiTheme="minorEastAsia" w:hAnsiTheme="minorEastAsia" w:eastAsiaTheme="minorEastAsia" w:cstheme="minorEastAsia"/>
                <w:color w:val="000000"/>
                <w:sz w:val="21"/>
                <w:szCs w:val="21"/>
                <w:highlight w:val="none"/>
                <w:lang w:val="en-US" w:eastAsia="zh-CN"/>
              </w:rPr>
              <w:t>2</w:t>
            </w:r>
            <w:r>
              <w:rPr>
                <w:rFonts w:hint="eastAsia" w:asciiTheme="minorEastAsia" w:hAnsiTheme="minorEastAsia" w:eastAsiaTheme="minorEastAsia" w:cstheme="minorEastAsia"/>
                <w:color w:val="000000"/>
                <w:sz w:val="21"/>
                <w:szCs w:val="21"/>
                <w:highlight w:val="none"/>
              </w:rPr>
              <w:t>分，内容简单得1分；缺项不得分。</w:t>
            </w:r>
          </w:p>
        </w:tc>
        <w:tc>
          <w:tcPr>
            <w:tcW w:w="507" w:type="pct"/>
            <w:shd w:val="clear" w:color="auto" w:fill="auto"/>
            <w:vAlign w:val="center"/>
          </w:tcPr>
          <w:p w14:paraId="11895DB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4分</w:t>
            </w:r>
          </w:p>
        </w:tc>
      </w:tr>
      <w:tr w14:paraId="6EEC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910" w:type="pct"/>
            <w:shd w:val="clear" w:color="auto" w:fill="auto"/>
            <w:vAlign w:val="center"/>
          </w:tcPr>
          <w:p w14:paraId="45F3045B">
            <w:pPr>
              <w:pStyle w:val="64"/>
              <w:keepNext w:val="0"/>
              <w:keepLines w:val="0"/>
              <w:pageBreakBefore w:val="0"/>
              <w:kinsoku/>
              <w:overflowPunct/>
              <w:topLinePunct w:val="0"/>
              <w:bidi w:val="0"/>
              <w:adjustRightInd/>
              <w:spacing w:before="56" w:line="400" w:lineRule="exact"/>
              <w:jc w:val="center"/>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培训计划</w:t>
            </w:r>
          </w:p>
          <w:p w14:paraId="0FEC2B4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szCs w:val="21"/>
                <w:lang w:val="en-US" w:eastAsia="zh-CN"/>
              </w:rPr>
            </w:pPr>
          </w:p>
        </w:tc>
        <w:tc>
          <w:tcPr>
            <w:tcW w:w="3582" w:type="pct"/>
            <w:shd w:val="clear" w:color="auto" w:fill="auto"/>
            <w:vAlign w:val="center"/>
          </w:tcPr>
          <w:p w14:paraId="31CC561D">
            <w:pPr>
              <w:keepNext w:val="0"/>
              <w:keepLines w:val="0"/>
              <w:widowControl/>
              <w:suppressLineNumbers w:val="0"/>
              <w:spacing w:line="360" w:lineRule="auto"/>
              <w:jc w:val="both"/>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highlight w:val="none"/>
              </w:rPr>
              <w:t>针对本项目制定的培训计划、电梯做定期检查的项目清单；详实、完整、合理的得</w:t>
            </w:r>
            <w:r>
              <w:rPr>
                <w:rFonts w:hint="eastAsia" w:asciiTheme="minorEastAsia" w:hAnsiTheme="minorEastAsia" w:eastAsiaTheme="minorEastAsia" w:cstheme="minorEastAsia"/>
                <w:color w:val="000000"/>
                <w:sz w:val="21"/>
                <w:szCs w:val="21"/>
                <w:highlight w:val="none"/>
                <w:lang w:val="en-US" w:eastAsia="zh-CN"/>
              </w:rPr>
              <w:t>3</w:t>
            </w:r>
            <w:r>
              <w:rPr>
                <w:rFonts w:hint="eastAsia" w:asciiTheme="minorEastAsia" w:hAnsiTheme="minorEastAsia" w:eastAsiaTheme="minorEastAsia" w:cstheme="minorEastAsia"/>
                <w:color w:val="000000"/>
                <w:sz w:val="21"/>
                <w:szCs w:val="21"/>
                <w:highlight w:val="none"/>
              </w:rPr>
              <w:t>分，一般得</w:t>
            </w:r>
            <w:r>
              <w:rPr>
                <w:rFonts w:hint="eastAsia" w:asciiTheme="minorEastAsia" w:hAnsiTheme="minorEastAsia" w:eastAsiaTheme="minorEastAsia" w:cstheme="minorEastAsia"/>
                <w:color w:val="000000"/>
                <w:sz w:val="21"/>
                <w:szCs w:val="21"/>
                <w:highlight w:val="none"/>
                <w:lang w:val="en-US" w:eastAsia="zh-CN"/>
              </w:rPr>
              <w:t>1</w:t>
            </w:r>
            <w:r>
              <w:rPr>
                <w:rFonts w:hint="eastAsia" w:asciiTheme="minorEastAsia" w:hAnsiTheme="minorEastAsia" w:eastAsiaTheme="minorEastAsia" w:cstheme="minorEastAsia"/>
                <w:color w:val="000000"/>
                <w:sz w:val="21"/>
                <w:szCs w:val="21"/>
                <w:highlight w:val="none"/>
              </w:rPr>
              <w:t>分，缺项不得分。</w:t>
            </w:r>
          </w:p>
        </w:tc>
        <w:tc>
          <w:tcPr>
            <w:tcW w:w="507" w:type="pct"/>
            <w:shd w:val="clear" w:color="auto" w:fill="auto"/>
            <w:vAlign w:val="center"/>
          </w:tcPr>
          <w:p w14:paraId="2FE411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3分</w:t>
            </w:r>
          </w:p>
        </w:tc>
      </w:tr>
      <w:tr w14:paraId="4621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186446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三、技术部分（满分50分）</w:t>
            </w:r>
          </w:p>
        </w:tc>
      </w:tr>
      <w:tr w14:paraId="2AC9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shd w:val="clear" w:color="auto" w:fill="auto"/>
            <w:vAlign w:val="center"/>
          </w:tcPr>
          <w:p w14:paraId="7DAD2F2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评分因素</w:t>
            </w:r>
          </w:p>
        </w:tc>
        <w:tc>
          <w:tcPr>
            <w:tcW w:w="3582" w:type="pct"/>
            <w:shd w:val="clear" w:color="auto" w:fill="auto"/>
            <w:vAlign w:val="center"/>
          </w:tcPr>
          <w:p w14:paraId="4F5B29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评分标准</w:t>
            </w:r>
          </w:p>
        </w:tc>
        <w:tc>
          <w:tcPr>
            <w:tcW w:w="507" w:type="pct"/>
            <w:shd w:val="clear" w:color="auto" w:fill="auto"/>
            <w:vAlign w:val="center"/>
          </w:tcPr>
          <w:p w14:paraId="5F2FD3D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分值</w:t>
            </w:r>
          </w:p>
        </w:tc>
      </w:tr>
      <w:tr w14:paraId="6B38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8" w:hRule="atLeast"/>
        </w:trPr>
        <w:tc>
          <w:tcPr>
            <w:tcW w:w="910" w:type="pct"/>
            <w:shd w:val="clear" w:color="auto" w:fill="auto"/>
            <w:vAlign w:val="center"/>
          </w:tcPr>
          <w:p w14:paraId="5FDBBA3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szCs w:val="21"/>
                <w:lang w:val="zh-CN"/>
              </w:rPr>
              <w:t>技术</w:t>
            </w:r>
            <w:r>
              <w:rPr>
                <w:rFonts w:hint="eastAsia" w:asciiTheme="minorEastAsia" w:hAnsiTheme="minorEastAsia" w:eastAsiaTheme="minorEastAsia" w:cstheme="minorEastAsia"/>
                <w:szCs w:val="21"/>
                <w:lang w:val="en-US" w:eastAsia="zh-CN"/>
              </w:rPr>
              <w:t>性能</w:t>
            </w:r>
            <w:r>
              <w:rPr>
                <w:rFonts w:hint="eastAsia" w:asciiTheme="minorEastAsia" w:hAnsiTheme="minorEastAsia" w:eastAsiaTheme="minorEastAsia" w:cstheme="minorEastAsia"/>
                <w:szCs w:val="21"/>
                <w:lang w:val="zh-CN"/>
              </w:rPr>
              <w:br w:type="textWrapping"/>
            </w:r>
          </w:p>
        </w:tc>
        <w:tc>
          <w:tcPr>
            <w:tcW w:w="3582" w:type="pct"/>
            <w:shd w:val="clear" w:color="auto" w:fill="auto"/>
            <w:vAlign w:val="center"/>
          </w:tcPr>
          <w:p w14:paraId="54E2E1F4">
            <w:pPr>
              <w:pStyle w:val="73"/>
              <w:keepNext w:val="0"/>
              <w:keepLines w:val="0"/>
              <w:pageBreakBefore w:val="0"/>
              <w:numPr>
                <w:ilvl w:val="0"/>
                <w:numId w:val="0"/>
              </w:numPr>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lang w:val="en-US" w:eastAsia="zh-CN"/>
              </w:rPr>
              <w:t>1.</w:t>
            </w:r>
            <w:r>
              <w:rPr>
                <w:rFonts w:hint="eastAsia" w:asciiTheme="minorEastAsia" w:hAnsiTheme="minorEastAsia" w:eastAsiaTheme="minorEastAsia" w:cstheme="minorEastAsia"/>
                <w:color w:val="000000"/>
                <w:szCs w:val="21"/>
                <w:highlight w:val="none"/>
                <w:lang w:eastAsia="zh-CN"/>
              </w:rPr>
              <w:t>电梯</w:t>
            </w:r>
            <w:r>
              <w:rPr>
                <w:rFonts w:hint="eastAsia" w:asciiTheme="minorEastAsia" w:hAnsiTheme="minorEastAsia" w:eastAsiaTheme="minorEastAsia" w:cstheme="minorEastAsia"/>
                <w:color w:val="000000"/>
                <w:szCs w:val="21"/>
                <w:highlight w:val="none"/>
              </w:rPr>
              <w:t>六大核心部件：曳引机、门机、控制柜、限速器、安全钳、缓冲器</w:t>
            </w:r>
            <w:r>
              <w:rPr>
                <w:rFonts w:hint="eastAsia" w:asciiTheme="minorEastAsia" w:hAnsiTheme="minorEastAsia" w:eastAsiaTheme="minorEastAsia" w:cstheme="minorEastAsia"/>
                <w:color w:val="000000"/>
                <w:spacing w:val="2"/>
                <w:szCs w:val="21"/>
                <w:highlight w:val="none"/>
              </w:rPr>
              <w:t>均为原厂</w:t>
            </w:r>
            <w:r>
              <w:rPr>
                <w:rFonts w:hint="eastAsia" w:asciiTheme="minorEastAsia" w:hAnsiTheme="minorEastAsia" w:eastAsiaTheme="minorEastAsia" w:cstheme="minorEastAsia"/>
                <w:color w:val="000000"/>
                <w:spacing w:val="-4"/>
                <w:szCs w:val="21"/>
                <w:highlight w:val="none"/>
              </w:rPr>
              <w:t>原品牌的</w:t>
            </w:r>
            <w:r>
              <w:rPr>
                <w:rFonts w:hint="eastAsia" w:asciiTheme="minorEastAsia" w:hAnsiTheme="minorEastAsia" w:eastAsiaTheme="minorEastAsia" w:cstheme="minorEastAsia"/>
                <w:color w:val="000000"/>
                <w:szCs w:val="21"/>
                <w:highlight w:val="none"/>
              </w:rPr>
              <w:t>得</w:t>
            </w:r>
            <w:r>
              <w:rPr>
                <w:rFonts w:hint="eastAsia" w:asciiTheme="minorEastAsia" w:hAnsiTheme="minorEastAsia" w:eastAsiaTheme="minorEastAsia" w:cstheme="minorEastAsia"/>
                <w:color w:val="000000"/>
                <w:szCs w:val="21"/>
                <w:highlight w:val="none"/>
                <w:lang w:val="en-US" w:eastAsia="zh-CN"/>
              </w:rPr>
              <w:t>5</w:t>
            </w:r>
            <w:r>
              <w:rPr>
                <w:rFonts w:hint="eastAsia" w:asciiTheme="minorEastAsia" w:hAnsiTheme="minorEastAsia" w:eastAsiaTheme="minorEastAsia" w:cstheme="minorEastAsia"/>
                <w:color w:val="000000"/>
                <w:szCs w:val="21"/>
                <w:highlight w:val="none"/>
              </w:rPr>
              <w:t>分，否</w:t>
            </w:r>
            <w:r>
              <w:rPr>
                <w:rFonts w:hint="eastAsia" w:asciiTheme="minorEastAsia" w:hAnsiTheme="minorEastAsia" w:eastAsiaTheme="minorEastAsia" w:cstheme="minorEastAsia"/>
                <w:color w:val="000000"/>
                <w:spacing w:val="-5"/>
                <w:szCs w:val="21"/>
                <w:highlight w:val="none"/>
              </w:rPr>
              <w:t>则不得分</w:t>
            </w:r>
            <w:r>
              <w:rPr>
                <w:rFonts w:hint="eastAsia" w:asciiTheme="minorEastAsia" w:hAnsiTheme="minorEastAsia" w:eastAsiaTheme="minorEastAsia" w:cstheme="minorEastAsia"/>
                <w:color w:val="000000"/>
                <w:szCs w:val="21"/>
                <w:highlight w:val="none"/>
              </w:rPr>
              <w:t>（提供型式试验报告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08A80BA0">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cstheme="minorEastAsia"/>
                <w:color w:val="000000"/>
                <w:szCs w:val="21"/>
                <w:highlight w:val="none"/>
                <w:lang w:eastAsia="zh-CN"/>
              </w:rPr>
              <w:t>2.</w:t>
            </w:r>
            <w:r>
              <w:rPr>
                <w:rFonts w:hint="eastAsia" w:asciiTheme="minorEastAsia" w:hAnsiTheme="minorEastAsia" w:eastAsiaTheme="minorEastAsia" w:cstheme="minorEastAsia"/>
                <w:color w:val="000000"/>
                <w:szCs w:val="21"/>
                <w:highlight w:val="none"/>
              </w:rPr>
              <w:t>曳引机制动器</w:t>
            </w:r>
            <w:r>
              <w:rPr>
                <w:rFonts w:hint="eastAsia" w:asciiTheme="minorEastAsia" w:hAnsiTheme="minorEastAsia" w:eastAsiaTheme="minorEastAsia" w:cstheme="minorEastAsia"/>
                <w:color w:val="000000"/>
                <w:szCs w:val="21"/>
                <w:highlight w:val="none"/>
                <w:lang w:eastAsia="zh-CN"/>
              </w:rPr>
              <w:t>采用</w:t>
            </w:r>
            <w:r>
              <w:rPr>
                <w:rFonts w:hint="eastAsia" w:asciiTheme="minorEastAsia" w:hAnsiTheme="minorEastAsia" w:eastAsiaTheme="minorEastAsia" w:cstheme="minorEastAsia"/>
                <w:color w:val="000000"/>
                <w:szCs w:val="21"/>
                <w:highlight w:val="none"/>
              </w:rPr>
              <w:t>原厂原品牌</w:t>
            </w:r>
            <w:r>
              <w:rPr>
                <w:rFonts w:hint="eastAsia" w:asciiTheme="minorEastAsia" w:hAnsiTheme="minorEastAsia" w:eastAsiaTheme="minorEastAsia" w:cstheme="minorEastAsia"/>
                <w:color w:val="000000"/>
                <w:szCs w:val="21"/>
                <w:highlight w:val="none"/>
                <w:lang w:eastAsia="zh-CN"/>
              </w:rPr>
              <w:t>且</w:t>
            </w:r>
            <w:r>
              <w:rPr>
                <w:rFonts w:hint="eastAsia" w:asciiTheme="minorEastAsia" w:hAnsiTheme="minorEastAsia" w:eastAsiaTheme="minorEastAsia" w:cstheme="minorEastAsia"/>
                <w:color w:val="000000"/>
                <w:szCs w:val="21"/>
                <w:highlight w:val="none"/>
              </w:rPr>
              <w:t>动作寿命≥2100万次得</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rPr>
              <w:t>分；</w:t>
            </w:r>
            <w:r>
              <w:rPr>
                <w:rFonts w:hint="eastAsia" w:asciiTheme="minorEastAsia" w:hAnsiTheme="minorEastAsia" w:eastAsiaTheme="minorEastAsia" w:cstheme="minorEastAsia"/>
                <w:color w:val="000000"/>
                <w:szCs w:val="21"/>
                <w:highlight w:val="none"/>
                <w:lang w:eastAsia="zh-CN"/>
              </w:rPr>
              <w:t>采用</w:t>
            </w:r>
            <w:r>
              <w:rPr>
                <w:rFonts w:hint="eastAsia" w:asciiTheme="minorEastAsia" w:hAnsiTheme="minorEastAsia" w:eastAsiaTheme="minorEastAsia" w:cstheme="minorEastAsia"/>
                <w:color w:val="000000"/>
                <w:szCs w:val="21"/>
                <w:highlight w:val="none"/>
              </w:rPr>
              <w:t>原厂原品牌</w:t>
            </w:r>
            <w:r>
              <w:rPr>
                <w:rFonts w:hint="eastAsia" w:asciiTheme="minorEastAsia" w:hAnsiTheme="minorEastAsia" w:eastAsiaTheme="minorEastAsia" w:cstheme="minorEastAsia"/>
                <w:color w:val="000000"/>
                <w:szCs w:val="21"/>
                <w:highlight w:val="none"/>
                <w:lang w:eastAsia="zh-CN"/>
              </w:rPr>
              <w:t>且</w:t>
            </w:r>
            <w:r>
              <w:rPr>
                <w:rFonts w:hint="eastAsia" w:asciiTheme="minorEastAsia" w:hAnsiTheme="minorEastAsia" w:eastAsiaTheme="minorEastAsia" w:cstheme="minorEastAsia"/>
                <w:color w:val="000000"/>
                <w:szCs w:val="21"/>
                <w:highlight w:val="none"/>
              </w:rPr>
              <w:t>动作寿命≥1800万次得</w:t>
            </w:r>
            <w:r>
              <w:rPr>
                <w:rFonts w:hint="eastAsia" w:asciiTheme="minorEastAsia" w:hAnsiTheme="minorEastAsia" w:eastAsiaTheme="minorEastAsia" w:cstheme="minorEastAsia"/>
                <w:color w:val="000000"/>
                <w:szCs w:val="21"/>
                <w:highlight w:val="none"/>
                <w:lang w:val="en-US" w:eastAsia="zh-CN"/>
              </w:rPr>
              <w:t>2</w:t>
            </w:r>
            <w:r>
              <w:rPr>
                <w:rFonts w:hint="eastAsia" w:asciiTheme="minorEastAsia" w:hAnsiTheme="minorEastAsia" w:eastAsiaTheme="minorEastAsia" w:cstheme="minorEastAsia"/>
                <w:color w:val="000000"/>
                <w:szCs w:val="21"/>
                <w:highlight w:val="none"/>
              </w:rPr>
              <w:t>分；</w:t>
            </w:r>
            <w:r>
              <w:rPr>
                <w:rFonts w:hint="eastAsia" w:asciiTheme="minorEastAsia" w:hAnsiTheme="minorEastAsia" w:eastAsiaTheme="minorEastAsia" w:cstheme="minorEastAsia"/>
                <w:color w:val="000000"/>
                <w:szCs w:val="21"/>
                <w:highlight w:val="none"/>
                <w:lang w:eastAsia="zh-CN"/>
              </w:rPr>
              <w:t>采用</w:t>
            </w:r>
            <w:r>
              <w:rPr>
                <w:rFonts w:hint="eastAsia" w:asciiTheme="minorEastAsia" w:hAnsiTheme="minorEastAsia" w:eastAsiaTheme="minorEastAsia" w:cstheme="minorEastAsia"/>
                <w:color w:val="000000"/>
                <w:szCs w:val="21"/>
                <w:highlight w:val="none"/>
              </w:rPr>
              <w:t>原厂原品牌</w:t>
            </w:r>
            <w:r>
              <w:rPr>
                <w:rFonts w:hint="eastAsia" w:asciiTheme="minorEastAsia" w:hAnsiTheme="minorEastAsia" w:eastAsiaTheme="minorEastAsia" w:cstheme="minorEastAsia"/>
                <w:color w:val="000000"/>
                <w:szCs w:val="21"/>
                <w:highlight w:val="none"/>
                <w:lang w:eastAsia="zh-CN"/>
              </w:rPr>
              <w:t>且</w:t>
            </w:r>
            <w:r>
              <w:rPr>
                <w:rFonts w:hint="eastAsia" w:asciiTheme="minorEastAsia" w:hAnsiTheme="minorEastAsia" w:eastAsiaTheme="minorEastAsia" w:cstheme="minorEastAsia"/>
                <w:color w:val="000000"/>
                <w:szCs w:val="21"/>
                <w:highlight w:val="none"/>
              </w:rPr>
              <w:t>动作寿命≥1</w:t>
            </w:r>
            <w:r>
              <w:rPr>
                <w:rFonts w:hint="eastAsia" w:asciiTheme="minorEastAsia" w:hAnsiTheme="minorEastAsia" w:eastAsiaTheme="minorEastAsia" w:cstheme="minorEastAsia"/>
                <w:color w:val="000000"/>
                <w:szCs w:val="21"/>
                <w:highlight w:val="none"/>
                <w:lang w:val="en-US" w:eastAsia="zh-CN"/>
              </w:rPr>
              <w:t>5</w:t>
            </w:r>
            <w:r>
              <w:rPr>
                <w:rFonts w:hint="eastAsia" w:asciiTheme="minorEastAsia" w:hAnsiTheme="minorEastAsia" w:eastAsiaTheme="minorEastAsia" w:cstheme="minorEastAsia"/>
                <w:color w:val="000000"/>
                <w:szCs w:val="21"/>
                <w:highlight w:val="none"/>
              </w:rPr>
              <w:t>00万次得</w:t>
            </w:r>
            <w:r>
              <w:rPr>
                <w:rFonts w:hint="eastAsia" w:asciiTheme="minorEastAsia" w:hAnsiTheme="minorEastAsia" w:eastAsiaTheme="minorEastAsia" w:cstheme="minorEastAsia"/>
                <w:color w:val="000000"/>
                <w:szCs w:val="21"/>
                <w:highlight w:val="none"/>
                <w:lang w:val="en-US" w:eastAsia="zh-CN"/>
              </w:rPr>
              <w:t>1</w:t>
            </w:r>
            <w:r>
              <w:rPr>
                <w:rFonts w:hint="eastAsia" w:asciiTheme="minorEastAsia" w:hAnsiTheme="minorEastAsia" w:eastAsiaTheme="minorEastAsia" w:cstheme="minorEastAsia"/>
                <w:color w:val="000000"/>
                <w:szCs w:val="21"/>
                <w:highlight w:val="none"/>
              </w:rPr>
              <w:t>分</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否则不得分</w:t>
            </w:r>
            <w:r>
              <w:rPr>
                <w:rFonts w:hint="eastAsia" w:asciiTheme="minorEastAsia" w:hAnsiTheme="minorEastAsia" w:eastAsiaTheme="minorEastAsia" w:cstheme="minorEastAsia"/>
                <w:color w:val="000000"/>
                <w:szCs w:val="21"/>
                <w:highlight w:val="none"/>
                <w:lang w:val="en-US" w:eastAsia="zh-CN"/>
              </w:rPr>
              <w:t>。</w:t>
            </w:r>
            <w:r>
              <w:rPr>
                <w:rFonts w:hint="eastAsia" w:asciiTheme="minorEastAsia" w:hAnsiTheme="minorEastAsia" w:eastAsiaTheme="minorEastAsia" w:cstheme="minorEastAsia"/>
                <w:color w:val="000000"/>
                <w:szCs w:val="21"/>
                <w:highlight w:val="none"/>
              </w:rPr>
              <w:t>（提供型式试验报告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7FF6FA47">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lang w:eastAsia="zh-CN"/>
              </w:rPr>
            </w:pPr>
            <w:r>
              <w:rPr>
                <w:rFonts w:hint="eastAsia" w:asciiTheme="minorEastAsia" w:hAnsiTheme="minorEastAsia" w:cstheme="minorEastAsia"/>
                <w:color w:val="000000"/>
                <w:szCs w:val="21"/>
                <w:highlight w:val="none"/>
                <w:lang w:eastAsia="zh-CN"/>
              </w:rPr>
              <w:t>3.</w:t>
            </w:r>
            <w:r>
              <w:rPr>
                <w:rFonts w:hint="eastAsia" w:asciiTheme="minorEastAsia" w:hAnsiTheme="minorEastAsia" w:eastAsiaTheme="minorEastAsia" w:cstheme="minorEastAsia"/>
                <w:color w:val="000000"/>
                <w:szCs w:val="21"/>
                <w:highlight w:val="none"/>
                <w:lang w:eastAsia="zh-CN"/>
              </w:rPr>
              <w:t>电梯</w:t>
            </w:r>
            <w:r>
              <w:rPr>
                <w:rFonts w:hint="eastAsia" w:asciiTheme="minorEastAsia" w:hAnsiTheme="minorEastAsia" w:eastAsiaTheme="minorEastAsia" w:cstheme="minorEastAsia"/>
                <w:color w:val="000000"/>
                <w:szCs w:val="21"/>
                <w:highlight w:val="none"/>
              </w:rPr>
              <w:t>门保护装置采用原厂原品牌光幕保护且光幕束≥230束、防护等级≥IP65，得</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rPr>
              <w:t>分；采用原厂原品牌光幕保护且光幕束≥</w:t>
            </w:r>
            <w:r>
              <w:rPr>
                <w:rFonts w:hint="eastAsia" w:asciiTheme="minorEastAsia" w:hAnsiTheme="minorEastAsia" w:eastAsiaTheme="minorEastAsia" w:cstheme="minorEastAsia"/>
                <w:color w:val="000000"/>
                <w:szCs w:val="21"/>
                <w:highlight w:val="none"/>
                <w:lang w:val="en-US" w:eastAsia="zh-CN"/>
              </w:rPr>
              <w:t>20</w:t>
            </w:r>
            <w:r>
              <w:rPr>
                <w:rFonts w:hint="eastAsia" w:asciiTheme="minorEastAsia" w:hAnsiTheme="minorEastAsia" w:eastAsiaTheme="minorEastAsia" w:cstheme="minorEastAsia"/>
                <w:color w:val="000000"/>
                <w:szCs w:val="21"/>
                <w:highlight w:val="none"/>
              </w:rPr>
              <w:t>0束、防护等级≥IP</w:t>
            </w:r>
            <w:r>
              <w:rPr>
                <w:rFonts w:hint="eastAsia" w:asciiTheme="minorEastAsia" w:hAnsiTheme="minorEastAsia" w:eastAsiaTheme="minorEastAsia" w:cstheme="minorEastAsia"/>
                <w:color w:val="000000"/>
                <w:szCs w:val="21"/>
                <w:highlight w:val="none"/>
                <w:lang w:val="en-US" w:eastAsia="zh-CN"/>
              </w:rPr>
              <w:t>65</w:t>
            </w:r>
            <w:r>
              <w:rPr>
                <w:rFonts w:hint="eastAsia" w:asciiTheme="minorEastAsia" w:hAnsiTheme="minorEastAsia" w:eastAsiaTheme="minorEastAsia" w:cstheme="minorEastAsia"/>
                <w:color w:val="000000"/>
                <w:szCs w:val="21"/>
                <w:highlight w:val="none"/>
              </w:rPr>
              <w:t>，得 2 分</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采用原厂原品牌光幕保护且光幕束≥</w:t>
            </w:r>
            <w:r>
              <w:rPr>
                <w:rFonts w:hint="eastAsia" w:asciiTheme="minorEastAsia" w:hAnsiTheme="minorEastAsia" w:eastAsiaTheme="minorEastAsia" w:cstheme="minorEastAsia"/>
                <w:color w:val="000000"/>
                <w:szCs w:val="21"/>
                <w:highlight w:val="none"/>
                <w:lang w:val="en-US" w:eastAsia="zh-CN"/>
              </w:rPr>
              <w:t>180</w:t>
            </w:r>
            <w:r>
              <w:rPr>
                <w:rFonts w:hint="eastAsia" w:asciiTheme="minorEastAsia" w:hAnsiTheme="minorEastAsia" w:eastAsiaTheme="minorEastAsia" w:cstheme="minorEastAsia"/>
                <w:color w:val="000000"/>
                <w:szCs w:val="21"/>
                <w:highlight w:val="none"/>
              </w:rPr>
              <w:t>束、防护等级≥IP</w:t>
            </w:r>
            <w:r>
              <w:rPr>
                <w:rFonts w:hint="eastAsia" w:asciiTheme="minorEastAsia" w:hAnsiTheme="minorEastAsia" w:eastAsiaTheme="minorEastAsia" w:cstheme="minorEastAsia"/>
                <w:color w:val="000000"/>
                <w:szCs w:val="21"/>
                <w:highlight w:val="none"/>
                <w:lang w:val="en-US" w:eastAsia="zh-CN"/>
              </w:rPr>
              <w:t>54</w:t>
            </w:r>
            <w:r>
              <w:rPr>
                <w:rFonts w:hint="eastAsia" w:asciiTheme="minorEastAsia" w:hAnsiTheme="minorEastAsia" w:eastAsiaTheme="minorEastAsia" w:cstheme="minorEastAsia"/>
                <w:color w:val="000000"/>
                <w:szCs w:val="21"/>
                <w:highlight w:val="none"/>
              </w:rPr>
              <w:t xml:space="preserve">，得 </w:t>
            </w:r>
            <w:r>
              <w:rPr>
                <w:rFonts w:hint="eastAsia" w:asciiTheme="minorEastAsia" w:hAnsiTheme="minorEastAsia" w:eastAsiaTheme="minorEastAsia" w:cstheme="minorEastAsia"/>
                <w:color w:val="000000"/>
                <w:szCs w:val="21"/>
                <w:highlight w:val="none"/>
                <w:lang w:val="en-US" w:eastAsia="zh-CN"/>
              </w:rPr>
              <w:t>1</w:t>
            </w:r>
            <w:r>
              <w:rPr>
                <w:rFonts w:hint="eastAsia" w:asciiTheme="minorEastAsia" w:hAnsiTheme="minorEastAsia" w:eastAsiaTheme="minorEastAsia" w:cstheme="minorEastAsia"/>
                <w:color w:val="000000"/>
                <w:szCs w:val="21"/>
                <w:highlight w:val="none"/>
              </w:rPr>
              <w:t>分</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否则不得分（提供型式试验报告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r>
              <w:rPr>
                <w:rFonts w:hint="eastAsia" w:asciiTheme="minorEastAsia" w:hAnsiTheme="minorEastAsia" w:eastAsiaTheme="minorEastAsia" w:cstheme="minorEastAsia"/>
                <w:color w:val="000000"/>
                <w:szCs w:val="21"/>
                <w:highlight w:val="none"/>
                <w:lang w:eastAsia="zh-CN"/>
              </w:rPr>
              <w:t>。</w:t>
            </w:r>
          </w:p>
          <w:p w14:paraId="7A7DACA9">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cstheme="minorEastAsia"/>
                <w:color w:val="000000"/>
                <w:szCs w:val="21"/>
                <w:highlight w:val="none"/>
                <w:lang w:eastAsia="zh-CN"/>
              </w:rPr>
              <w:t>4.</w:t>
            </w:r>
            <w:r>
              <w:rPr>
                <w:rFonts w:hint="eastAsia" w:asciiTheme="minorEastAsia" w:hAnsiTheme="minorEastAsia" w:eastAsiaTheme="minorEastAsia" w:cstheme="minorEastAsia"/>
                <w:color w:val="000000"/>
                <w:szCs w:val="21"/>
                <w:highlight w:val="none"/>
                <w:lang w:eastAsia="zh-CN"/>
              </w:rPr>
              <w:t>电梯</w:t>
            </w:r>
            <w:r>
              <w:rPr>
                <w:rFonts w:hint="eastAsia" w:asciiTheme="minorEastAsia" w:hAnsiTheme="minorEastAsia" w:eastAsiaTheme="minorEastAsia" w:cstheme="minorEastAsia"/>
                <w:color w:val="000000"/>
                <w:szCs w:val="21"/>
                <w:highlight w:val="none"/>
              </w:rPr>
              <w:t>层门门锁的动作寿命≥1000万次得</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rPr>
              <w:t>分；动作寿命≥800万次得</w:t>
            </w:r>
            <w:r>
              <w:rPr>
                <w:rFonts w:hint="eastAsia" w:asciiTheme="minorEastAsia" w:hAnsiTheme="minorEastAsia" w:eastAsiaTheme="minorEastAsia" w:cstheme="minorEastAsia"/>
                <w:color w:val="000000"/>
                <w:szCs w:val="21"/>
                <w:highlight w:val="none"/>
                <w:lang w:val="en-US" w:eastAsia="zh-CN"/>
              </w:rPr>
              <w:t>2</w:t>
            </w:r>
            <w:r>
              <w:rPr>
                <w:rFonts w:hint="eastAsia" w:asciiTheme="minorEastAsia" w:hAnsiTheme="minorEastAsia" w:eastAsiaTheme="minorEastAsia" w:cstheme="minorEastAsia"/>
                <w:color w:val="000000"/>
                <w:szCs w:val="21"/>
                <w:highlight w:val="none"/>
              </w:rPr>
              <w:t>分；动作寿命≥</w:t>
            </w:r>
            <w:r>
              <w:rPr>
                <w:rFonts w:hint="eastAsia" w:asciiTheme="minorEastAsia" w:hAnsiTheme="minorEastAsia" w:eastAsiaTheme="minorEastAsia" w:cstheme="minorEastAsia"/>
                <w:color w:val="000000"/>
                <w:szCs w:val="21"/>
                <w:highlight w:val="none"/>
                <w:lang w:val="en-US" w:eastAsia="zh-CN"/>
              </w:rPr>
              <w:t>5</w:t>
            </w:r>
            <w:r>
              <w:rPr>
                <w:rFonts w:hint="eastAsia" w:asciiTheme="minorEastAsia" w:hAnsiTheme="minorEastAsia" w:eastAsiaTheme="minorEastAsia" w:cstheme="minorEastAsia"/>
                <w:color w:val="000000"/>
                <w:szCs w:val="21"/>
                <w:highlight w:val="none"/>
              </w:rPr>
              <w:t>00万次</w:t>
            </w:r>
            <w:r>
              <w:rPr>
                <w:rFonts w:hint="eastAsia" w:asciiTheme="minorEastAsia" w:hAnsiTheme="minorEastAsia" w:eastAsiaTheme="minorEastAsia" w:cstheme="minorEastAsia"/>
                <w:color w:val="000000"/>
                <w:szCs w:val="21"/>
                <w:highlight w:val="none"/>
                <w:lang w:eastAsia="zh-CN"/>
              </w:rPr>
              <w:t>得</w:t>
            </w:r>
            <w:r>
              <w:rPr>
                <w:rFonts w:hint="eastAsia" w:asciiTheme="minorEastAsia" w:hAnsiTheme="minorEastAsia" w:eastAsiaTheme="minorEastAsia" w:cstheme="minorEastAsia"/>
                <w:color w:val="000000"/>
                <w:szCs w:val="21"/>
                <w:highlight w:val="none"/>
                <w:lang w:val="en-US" w:eastAsia="zh-CN"/>
              </w:rPr>
              <w:t>1分；5</w:t>
            </w:r>
            <w:r>
              <w:rPr>
                <w:rFonts w:hint="eastAsia" w:asciiTheme="minorEastAsia" w:hAnsiTheme="minorEastAsia" w:eastAsiaTheme="minorEastAsia" w:cstheme="minorEastAsia"/>
                <w:color w:val="000000"/>
                <w:szCs w:val="21"/>
                <w:highlight w:val="none"/>
              </w:rPr>
              <w:t>00万次以下的不得分。（提供型式试验报告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1E836FD4">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cstheme="minorEastAsia"/>
                <w:color w:val="000000"/>
                <w:szCs w:val="21"/>
                <w:highlight w:val="none"/>
                <w:lang w:val="en-US" w:eastAsia="zh-CN"/>
              </w:rPr>
              <w:t>5.</w:t>
            </w:r>
            <w:r>
              <w:rPr>
                <w:rFonts w:hint="eastAsia" w:asciiTheme="minorEastAsia" w:hAnsiTheme="minorEastAsia" w:eastAsiaTheme="minorEastAsia" w:cstheme="minorEastAsia"/>
                <w:color w:val="000000"/>
                <w:szCs w:val="21"/>
                <w:highlight w:val="none"/>
                <w:lang w:eastAsia="zh-CN"/>
              </w:rPr>
              <w:t>电梯轿门</w:t>
            </w:r>
            <w:r>
              <w:rPr>
                <w:rFonts w:hint="eastAsia" w:asciiTheme="minorEastAsia" w:hAnsiTheme="minorEastAsia" w:eastAsiaTheme="minorEastAsia" w:cstheme="minorEastAsia"/>
                <w:color w:val="000000"/>
                <w:szCs w:val="21"/>
                <w:highlight w:val="none"/>
              </w:rPr>
              <w:t>门锁的动作寿命≥1</w:t>
            </w:r>
            <w:r>
              <w:rPr>
                <w:rFonts w:hint="eastAsia" w:asciiTheme="minorEastAsia" w:hAnsiTheme="minorEastAsia" w:eastAsiaTheme="minorEastAsia" w:cstheme="minorEastAsia"/>
                <w:color w:val="000000"/>
                <w:szCs w:val="21"/>
                <w:highlight w:val="none"/>
                <w:lang w:val="en-US" w:eastAsia="zh-CN"/>
              </w:rPr>
              <w:t>5</w:t>
            </w:r>
            <w:r>
              <w:rPr>
                <w:rFonts w:hint="eastAsia" w:asciiTheme="minorEastAsia" w:hAnsiTheme="minorEastAsia" w:eastAsiaTheme="minorEastAsia" w:cstheme="minorEastAsia"/>
                <w:color w:val="000000"/>
                <w:szCs w:val="21"/>
                <w:highlight w:val="none"/>
              </w:rPr>
              <w:t>00万次得</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rPr>
              <w:t>分；动作寿命≥</w:t>
            </w:r>
            <w:r>
              <w:rPr>
                <w:rFonts w:hint="eastAsia" w:asciiTheme="minorEastAsia" w:hAnsiTheme="minorEastAsia" w:eastAsiaTheme="minorEastAsia" w:cstheme="minorEastAsia"/>
                <w:color w:val="000000"/>
                <w:szCs w:val="21"/>
                <w:highlight w:val="none"/>
                <w:lang w:val="en-US" w:eastAsia="zh-CN"/>
              </w:rPr>
              <w:t>12</w:t>
            </w:r>
            <w:r>
              <w:rPr>
                <w:rFonts w:hint="eastAsia" w:asciiTheme="minorEastAsia" w:hAnsiTheme="minorEastAsia" w:eastAsiaTheme="minorEastAsia" w:cstheme="minorEastAsia"/>
                <w:color w:val="000000"/>
                <w:szCs w:val="21"/>
                <w:highlight w:val="none"/>
              </w:rPr>
              <w:t>00万次得</w:t>
            </w:r>
            <w:r>
              <w:rPr>
                <w:rFonts w:hint="eastAsia" w:asciiTheme="minorEastAsia" w:hAnsiTheme="minorEastAsia" w:eastAsiaTheme="minorEastAsia" w:cstheme="minorEastAsia"/>
                <w:color w:val="000000"/>
                <w:szCs w:val="21"/>
                <w:highlight w:val="none"/>
                <w:lang w:val="en-US" w:eastAsia="zh-CN"/>
              </w:rPr>
              <w:t>2</w:t>
            </w:r>
            <w:r>
              <w:rPr>
                <w:rFonts w:hint="eastAsia" w:asciiTheme="minorEastAsia" w:hAnsiTheme="minorEastAsia" w:eastAsiaTheme="minorEastAsia" w:cstheme="minorEastAsia"/>
                <w:color w:val="000000"/>
                <w:szCs w:val="21"/>
                <w:highlight w:val="none"/>
              </w:rPr>
              <w:t>分；动作寿命≥</w:t>
            </w:r>
            <w:r>
              <w:rPr>
                <w:rFonts w:hint="eastAsia" w:asciiTheme="minorEastAsia" w:hAnsiTheme="minorEastAsia" w:eastAsiaTheme="minorEastAsia" w:cstheme="minorEastAsia"/>
                <w:color w:val="000000"/>
                <w:szCs w:val="21"/>
                <w:highlight w:val="none"/>
                <w:lang w:val="en-US" w:eastAsia="zh-CN"/>
              </w:rPr>
              <w:t>100</w:t>
            </w:r>
            <w:r>
              <w:rPr>
                <w:rFonts w:hint="eastAsia" w:asciiTheme="minorEastAsia" w:hAnsiTheme="minorEastAsia" w:eastAsiaTheme="minorEastAsia" w:cstheme="minorEastAsia"/>
                <w:color w:val="000000"/>
                <w:szCs w:val="21"/>
                <w:highlight w:val="none"/>
              </w:rPr>
              <w:t>0万次</w:t>
            </w:r>
            <w:r>
              <w:rPr>
                <w:rFonts w:hint="eastAsia" w:asciiTheme="minorEastAsia" w:hAnsiTheme="minorEastAsia" w:eastAsiaTheme="minorEastAsia" w:cstheme="minorEastAsia"/>
                <w:color w:val="000000"/>
                <w:szCs w:val="21"/>
                <w:highlight w:val="none"/>
                <w:lang w:eastAsia="zh-CN"/>
              </w:rPr>
              <w:t>得</w:t>
            </w:r>
            <w:r>
              <w:rPr>
                <w:rFonts w:hint="eastAsia" w:asciiTheme="minorEastAsia" w:hAnsiTheme="minorEastAsia" w:eastAsiaTheme="minorEastAsia" w:cstheme="minorEastAsia"/>
                <w:color w:val="000000"/>
                <w:szCs w:val="21"/>
                <w:highlight w:val="none"/>
                <w:lang w:val="en-US" w:eastAsia="zh-CN"/>
              </w:rPr>
              <w:t>1分；10</w:t>
            </w:r>
            <w:r>
              <w:rPr>
                <w:rFonts w:hint="eastAsia" w:asciiTheme="minorEastAsia" w:hAnsiTheme="minorEastAsia" w:eastAsiaTheme="minorEastAsia" w:cstheme="minorEastAsia"/>
                <w:color w:val="000000"/>
                <w:szCs w:val="21"/>
                <w:highlight w:val="none"/>
              </w:rPr>
              <w:t>00万次以下的不得分。（提供型式试验报告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503EC688">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cstheme="minorEastAsia"/>
                <w:color w:val="000000"/>
                <w:szCs w:val="21"/>
                <w:highlight w:val="none"/>
                <w:lang w:val="en-US" w:eastAsia="zh-CN"/>
              </w:rPr>
              <w:t>6.</w:t>
            </w:r>
            <w:r>
              <w:rPr>
                <w:rFonts w:hint="eastAsia" w:asciiTheme="minorEastAsia" w:hAnsiTheme="minorEastAsia" w:eastAsiaTheme="minorEastAsia" w:cstheme="minorEastAsia"/>
                <w:color w:val="000000"/>
                <w:szCs w:val="21"/>
                <w:highlight w:val="none"/>
                <w:lang w:eastAsia="zh-CN"/>
              </w:rPr>
              <w:t>电梯</w:t>
            </w:r>
            <w:r>
              <w:rPr>
                <w:rFonts w:hint="eastAsia" w:asciiTheme="minorEastAsia" w:hAnsiTheme="minorEastAsia" w:eastAsiaTheme="minorEastAsia" w:cstheme="minorEastAsia"/>
                <w:color w:val="000000"/>
                <w:szCs w:val="21"/>
                <w:highlight w:val="none"/>
              </w:rPr>
              <w:t>控制柜结构合理，技术先进，确保电梯恶劣天气可靠运行，具备抗雷击浪涌冲击达到20kV能力的，得2分；达到15kV但未达到20kV的，得1分；15kV以下的不得分。（提供型式试验报告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5ACE28B6">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color w:val="000000"/>
                <w:szCs w:val="21"/>
                <w:highlight w:val="none"/>
              </w:rPr>
            </w:pPr>
            <w:r>
              <w:rPr>
                <w:rFonts w:hint="eastAsia" w:asciiTheme="minorEastAsia" w:hAnsiTheme="minorEastAsia" w:cstheme="minorEastAsia"/>
                <w:color w:val="000000"/>
                <w:szCs w:val="21"/>
                <w:highlight w:val="none"/>
                <w:lang w:val="en-US" w:eastAsia="zh-CN"/>
              </w:rPr>
              <w:t>7.</w:t>
            </w:r>
            <w:r>
              <w:rPr>
                <w:rFonts w:hint="eastAsia" w:asciiTheme="minorEastAsia" w:hAnsiTheme="minorEastAsia" w:eastAsiaTheme="minorEastAsia" w:cstheme="minorEastAsia"/>
                <w:color w:val="000000"/>
                <w:szCs w:val="21"/>
                <w:highlight w:val="none"/>
              </w:rPr>
              <w:t>电梯轿厢内载有110%额定载荷，启动</w:t>
            </w:r>
            <w:r>
              <w:rPr>
                <w:rFonts w:hint="eastAsia" w:asciiTheme="minorEastAsia" w:hAnsi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全程运行-停止-正常开关门，电梯可连续正常运行≥6</w:t>
            </w:r>
            <w:r>
              <w:rPr>
                <w:rFonts w:hint="eastAsia" w:asciiTheme="minorEastAsia" w:hAnsiTheme="minorEastAsia" w:eastAsiaTheme="minorEastAsia" w:cstheme="minorEastAsia"/>
                <w:color w:val="000000"/>
                <w:szCs w:val="21"/>
                <w:highlight w:val="none"/>
                <w:lang w:eastAsia="zh-CN"/>
              </w:rPr>
              <w:t>万</w:t>
            </w:r>
            <w:r>
              <w:rPr>
                <w:rFonts w:hint="eastAsia" w:asciiTheme="minorEastAsia" w:hAnsiTheme="minorEastAsia" w:eastAsiaTheme="minorEastAsia" w:cstheme="minorEastAsia"/>
                <w:color w:val="000000"/>
                <w:szCs w:val="21"/>
                <w:highlight w:val="none"/>
              </w:rPr>
              <w:t>次，得</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rPr>
              <w:t>分；连续正常运行≥</w:t>
            </w:r>
            <w:r>
              <w:rPr>
                <w:rFonts w:hint="eastAsia" w:asciiTheme="minorEastAsia" w:hAnsiTheme="minorEastAsia" w:eastAsiaTheme="minorEastAsia" w:cstheme="minorEastAsia"/>
                <w:color w:val="000000"/>
                <w:szCs w:val="21"/>
                <w:highlight w:val="none"/>
                <w:lang w:val="en-US" w:eastAsia="zh-CN"/>
              </w:rPr>
              <w:t>4</w:t>
            </w:r>
            <w:r>
              <w:rPr>
                <w:rFonts w:hint="eastAsia" w:asciiTheme="minorEastAsia" w:hAnsiTheme="minorEastAsia" w:eastAsiaTheme="minorEastAsia" w:cstheme="minorEastAsia"/>
                <w:color w:val="000000"/>
                <w:szCs w:val="21"/>
                <w:highlight w:val="none"/>
                <w:lang w:eastAsia="zh-CN"/>
              </w:rPr>
              <w:t>万</w:t>
            </w:r>
            <w:r>
              <w:rPr>
                <w:rFonts w:hint="eastAsia" w:asciiTheme="minorEastAsia" w:hAnsiTheme="minorEastAsia" w:eastAsiaTheme="minorEastAsia" w:cstheme="minorEastAsia"/>
                <w:color w:val="000000"/>
                <w:szCs w:val="21"/>
                <w:highlight w:val="none"/>
              </w:rPr>
              <w:t>次，得</w:t>
            </w:r>
            <w:r>
              <w:rPr>
                <w:rFonts w:hint="eastAsia" w:asciiTheme="minorEastAsia" w:hAnsiTheme="minorEastAsia" w:eastAsiaTheme="minorEastAsia" w:cstheme="minorEastAsia"/>
                <w:color w:val="000000"/>
                <w:szCs w:val="21"/>
                <w:highlight w:val="none"/>
                <w:lang w:val="en-US" w:eastAsia="zh-CN"/>
              </w:rPr>
              <w:t>2</w:t>
            </w:r>
            <w:r>
              <w:rPr>
                <w:rFonts w:hint="eastAsia" w:asciiTheme="minorEastAsia" w:hAnsiTheme="minorEastAsia" w:eastAsiaTheme="minorEastAsia" w:cstheme="minorEastAsia"/>
                <w:color w:val="000000"/>
                <w:szCs w:val="21"/>
                <w:highlight w:val="none"/>
              </w:rPr>
              <w:t>分；连续正常运行≥</w:t>
            </w:r>
            <w:r>
              <w:rPr>
                <w:rFonts w:hint="eastAsia" w:asciiTheme="minorEastAsia" w:hAnsiTheme="minorEastAsia" w:eastAsiaTheme="minorEastAsia" w:cstheme="minorEastAsia"/>
                <w:color w:val="000000"/>
                <w:szCs w:val="21"/>
                <w:highlight w:val="none"/>
                <w:lang w:val="en-US" w:eastAsia="zh-CN"/>
              </w:rPr>
              <w:t>2</w:t>
            </w:r>
            <w:r>
              <w:rPr>
                <w:rFonts w:hint="eastAsia" w:asciiTheme="minorEastAsia" w:hAnsiTheme="minorEastAsia" w:eastAsiaTheme="minorEastAsia" w:cstheme="minorEastAsia"/>
                <w:color w:val="000000"/>
                <w:szCs w:val="21"/>
                <w:highlight w:val="none"/>
                <w:lang w:eastAsia="zh-CN"/>
              </w:rPr>
              <w:t>万</w:t>
            </w:r>
            <w:r>
              <w:rPr>
                <w:rFonts w:hint="eastAsia" w:asciiTheme="minorEastAsia" w:hAnsiTheme="minorEastAsia" w:eastAsiaTheme="minorEastAsia" w:cstheme="minorEastAsia"/>
                <w:color w:val="000000"/>
                <w:szCs w:val="21"/>
                <w:highlight w:val="none"/>
              </w:rPr>
              <w:t>次，得</w:t>
            </w:r>
            <w:r>
              <w:rPr>
                <w:rFonts w:hint="eastAsia" w:asciiTheme="minorEastAsia" w:hAnsiTheme="minorEastAsia" w:eastAsiaTheme="minorEastAsia" w:cstheme="minorEastAsia"/>
                <w:color w:val="000000"/>
                <w:szCs w:val="21"/>
                <w:highlight w:val="none"/>
                <w:lang w:val="en-US" w:eastAsia="zh-CN"/>
              </w:rPr>
              <w:t>1</w:t>
            </w:r>
            <w:r>
              <w:rPr>
                <w:rFonts w:hint="eastAsia" w:asciiTheme="minorEastAsia" w:hAnsiTheme="minorEastAsia" w:eastAsiaTheme="minorEastAsia" w:cstheme="minorEastAsia"/>
                <w:color w:val="000000"/>
                <w:szCs w:val="21"/>
                <w:highlight w:val="none"/>
              </w:rPr>
              <w:t>分</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p>
          <w:p w14:paraId="452BA050">
            <w:pPr>
              <w:keepNext w:val="0"/>
              <w:keepLines w:val="0"/>
              <w:pageBreakBefore w:val="0"/>
              <w:tabs>
                <w:tab w:val="left" w:pos="315"/>
              </w:tabs>
              <w:kinsoku/>
              <w:overflowPunct/>
              <w:topLinePunct w:val="0"/>
              <w:bidi w:val="0"/>
              <w:adjustRightInd/>
              <w:spacing w:line="400" w:lineRule="exact"/>
              <w:textAlignment w:val="auto"/>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color w:val="000000"/>
                <w:szCs w:val="21"/>
                <w:highlight w:val="none"/>
                <w:lang w:val="en-US" w:eastAsia="zh-CN"/>
              </w:rPr>
              <w:t>8.</w:t>
            </w:r>
            <w:r>
              <w:rPr>
                <w:rFonts w:hint="eastAsia" w:asciiTheme="minorEastAsia" w:hAnsiTheme="minorEastAsia" w:eastAsiaTheme="minorEastAsia" w:cstheme="minorEastAsia"/>
                <w:color w:val="000000"/>
                <w:szCs w:val="21"/>
                <w:highlight w:val="none"/>
              </w:rPr>
              <w:t>电梯印制电路板</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lang w:val="en-US" w:eastAsia="zh-CN"/>
              </w:rPr>
              <w:t>P1板</w:t>
            </w:r>
            <w:r>
              <w:rPr>
                <w:rFonts w:hint="eastAsia" w:asciiTheme="minorEastAsia" w:hAnsiTheme="minorEastAsia" w:eastAsiaTheme="minorEastAsia" w:cstheme="minorEastAsia"/>
                <w:color w:val="000000"/>
                <w:szCs w:val="21"/>
                <w:highlight w:val="none"/>
                <w:lang w:eastAsia="zh-CN"/>
              </w:rPr>
              <w:t>）</w:t>
            </w:r>
            <w:r>
              <w:rPr>
                <w:rFonts w:hint="eastAsia" w:asciiTheme="minorEastAsia" w:hAnsiTheme="minorEastAsia" w:eastAsiaTheme="minorEastAsia" w:cstheme="minorEastAsia"/>
                <w:color w:val="000000"/>
                <w:szCs w:val="21"/>
                <w:highlight w:val="none"/>
              </w:rPr>
              <w:t>耐高温高湿、抗粉尘、抗振动，进行连续必要的环境试验：①热冲击试验；②正弦振动试验</w:t>
            </w:r>
            <w:r>
              <w:rPr>
                <w:rFonts w:hint="eastAsia" w:asciiTheme="minorEastAsia" w:hAnsiTheme="minorEastAsia" w:eastAsiaTheme="minorEastAsia" w:cstheme="minorEastAsia"/>
                <w:color w:val="000000"/>
                <w:szCs w:val="21"/>
                <w:highlight w:val="none"/>
                <w:lang w:eastAsia="zh-CN"/>
              </w:rPr>
              <w:t>、冲击实验；</w:t>
            </w:r>
            <w:r>
              <w:rPr>
                <w:rFonts w:hint="eastAsia" w:asciiTheme="minorEastAsia" w:hAnsiTheme="minorEastAsia" w:eastAsiaTheme="minorEastAsia" w:cstheme="minorEastAsia"/>
                <w:color w:val="000000"/>
                <w:szCs w:val="21"/>
                <w:highlight w:val="none"/>
              </w:rPr>
              <w:t>③恒定</w:t>
            </w:r>
            <w:r>
              <w:rPr>
                <w:rFonts w:hint="eastAsia" w:asciiTheme="minorEastAsia" w:hAnsiTheme="minorEastAsia" w:eastAsiaTheme="minorEastAsia" w:cstheme="minorEastAsia"/>
                <w:color w:val="000000"/>
                <w:szCs w:val="21"/>
                <w:highlight w:val="none"/>
                <w:lang w:eastAsia="zh-CN"/>
              </w:rPr>
              <w:t>湿</w:t>
            </w:r>
            <w:r>
              <w:rPr>
                <w:rFonts w:hint="eastAsia" w:asciiTheme="minorEastAsia" w:hAnsiTheme="minorEastAsia" w:eastAsiaTheme="minorEastAsia" w:cstheme="minorEastAsia"/>
                <w:color w:val="000000"/>
                <w:szCs w:val="21"/>
                <w:highlight w:val="none"/>
              </w:rPr>
              <w:t>热试验；④</w:t>
            </w:r>
            <w:r>
              <w:rPr>
                <w:rFonts w:hint="eastAsia" w:asciiTheme="minorEastAsia" w:hAnsiTheme="minorEastAsia" w:eastAsiaTheme="minorEastAsia" w:cstheme="minorEastAsia"/>
                <w:color w:val="000000"/>
                <w:szCs w:val="21"/>
                <w:highlight w:val="none"/>
                <w:lang w:eastAsia="zh-CN"/>
              </w:rPr>
              <w:t>高温高湿度试验；</w:t>
            </w:r>
            <w:r>
              <w:rPr>
                <w:rFonts w:hint="eastAsia" w:asciiTheme="minorEastAsia" w:hAnsiTheme="minorEastAsia" w:eastAsiaTheme="minorEastAsia" w:cstheme="minorEastAsia"/>
                <w:color w:val="000000"/>
                <w:szCs w:val="21"/>
                <w:highlight w:val="none"/>
              </w:rPr>
              <w:t>⑤温度变动试验</w:t>
            </w:r>
            <w:r>
              <w:rPr>
                <w:rFonts w:hint="eastAsia" w:asciiTheme="minorEastAsia" w:hAnsiTheme="minorEastAsia" w:eastAsiaTheme="minorEastAsia" w:cstheme="minorEastAsia"/>
                <w:color w:val="000000"/>
                <w:szCs w:val="21"/>
                <w:highlight w:val="none"/>
                <w:lang w:eastAsia="zh-CN"/>
              </w:rPr>
              <w:t>；⑥沙尘试验；⑦温度上升试验；⑧电压变动试验；</w:t>
            </w:r>
            <w:r>
              <w:rPr>
                <w:rFonts w:hint="eastAsia" w:asciiTheme="minorEastAsia" w:hAnsiTheme="minorEastAsia" w:eastAsiaTheme="minorEastAsia" w:cstheme="minorEastAsia"/>
                <w:color w:val="000000"/>
                <w:szCs w:val="21"/>
                <w:highlight w:val="none"/>
              </w:rPr>
              <w:t>测试后仍能保持正常运行，每满足一项的，得1分，满分</w:t>
            </w:r>
            <w:r>
              <w:rPr>
                <w:rFonts w:hint="eastAsia" w:asciiTheme="minorEastAsia" w:hAnsiTheme="minorEastAsia" w:eastAsiaTheme="minorEastAsia" w:cstheme="minorEastAsia"/>
                <w:color w:val="000000"/>
                <w:szCs w:val="21"/>
                <w:highlight w:val="none"/>
                <w:lang w:val="en-US" w:eastAsia="zh-CN"/>
              </w:rPr>
              <w:t>8</w:t>
            </w:r>
            <w:r>
              <w:rPr>
                <w:rFonts w:hint="eastAsia" w:asciiTheme="minorEastAsia" w:hAnsiTheme="minorEastAsia" w:eastAsiaTheme="minorEastAsia" w:cstheme="minorEastAsia"/>
                <w:color w:val="000000"/>
                <w:szCs w:val="21"/>
                <w:highlight w:val="none"/>
              </w:rPr>
              <w:t>分。（提供型式试验报告</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具有CNAS</w:t>
            </w:r>
            <w:r>
              <w:rPr>
                <w:rFonts w:hint="eastAsia" w:asciiTheme="minorEastAsia" w:hAnsiTheme="minorEastAsia" w:eastAsiaTheme="minorEastAsia" w:cstheme="minorEastAsia"/>
                <w:color w:val="000000"/>
                <w:szCs w:val="21"/>
                <w:highlight w:val="none"/>
                <w:lang w:eastAsia="zh-CN"/>
              </w:rPr>
              <w:t>或</w:t>
            </w:r>
            <w:r>
              <w:rPr>
                <w:rFonts w:hint="eastAsia" w:asciiTheme="minorEastAsia" w:hAnsiTheme="minorEastAsia" w:eastAsiaTheme="minorEastAsia" w:cstheme="minorEastAsia"/>
                <w:color w:val="000000"/>
                <w:szCs w:val="21"/>
                <w:highlight w:val="none"/>
              </w:rPr>
              <w:t>CMA认证的第三方检测机构出具的检测报告，未提供不得分）</w:t>
            </w:r>
            <w:r>
              <w:rPr>
                <w:rFonts w:hint="eastAsia" w:asciiTheme="minorEastAsia" w:hAnsiTheme="minorEastAsia" w:eastAsiaTheme="minorEastAsia" w:cstheme="minorEastAsia"/>
                <w:color w:val="000000"/>
                <w:szCs w:val="21"/>
                <w:highlight w:val="none"/>
                <w:lang w:eastAsia="zh-CN"/>
              </w:rPr>
              <w:t>。</w:t>
            </w:r>
          </w:p>
        </w:tc>
        <w:tc>
          <w:tcPr>
            <w:tcW w:w="507" w:type="pct"/>
            <w:shd w:val="clear" w:color="auto" w:fill="auto"/>
            <w:vAlign w:val="center"/>
          </w:tcPr>
          <w:p w14:paraId="4F09EBD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kern w:val="0"/>
                <w:sz w:val="22"/>
                <w:szCs w:val="22"/>
                <w:u w:val="none"/>
                <w:lang w:val="en-US" w:eastAsia="zh-CN" w:bidi="ar"/>
              </w:rPr>
              <w:t>35分</w:t>
            </w:r>
          </w:p>
        </w:tc>
      </w:tr>
      <w:tr w14:paraId="230A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910" w:type="pct"/>
            <w:shd w:val="clear" w:color="auto" w:fill="auto"/>
            <w:vAlign w:val="center"/>
          </w:tcPr>
          <w:p w14:paraId="00F22E17">
            <w:pPr>
              <w:spacing w:line="360" w:lineRule="auto"/>
              <w:contextualSpacing/>
              <w:jc w:val="center"/>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lang w:val="zh-CN"/>
              </w:rPr>
              <w:t>技术</w:t>
            </w:r>
            <w:r>
              <w:rPr>
                <w:rFonts w:hint="eastAsia" w:asciiTheme="minorEastAsia" w:hAnsiTheme="minorEastAsia" w:eastAsiaTheme="minorEastAsia" w:cstheme="minorEastAsia"/>
                <w:szCs w:val="21"/>
                <w:lang w:val="en-US" w:eastAsia="zh-CN"/>
              </w:rPr>
              <w:t>施工</w:t>
            </w:r>
            <w:r>
              <w:rPr>
                <w:rFonts w:hint="eastAsia" w:asciiTheme="minorEastAsia" w:hAnsiTheme="minorEastAsia" w:eastAsiaTheme="minorEastAsia" w:cstheme="minorEastAsia"/>
                <w:szCs w:val="21"/>
                <w:lang w:val="zh-CN"/>
              </w:rPr>
              <w:t>方案</w:t>
            </w:r>
          </w:p>
          <w:p w14:paraId="184EAA6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p>
        </w:tc>
        <w:tc>
          <w:tcPr>
            <w:tcW w:w="3582" w:type="pct"/>
            <w:shd w:val="clear" w:color="auto" w:fill="auto"/>
            <w:vAlign w:val="center"/>
          </w:tcPr>
          <w:p w14:paraId="420AA887">
            <w:pPr>
              <w:keepNext w:val="0"/>
              <w:keepLines w:val="0"/>
              <w:pageBreakBefore w:val="0"/>
              <w:kinsoku/>
              <w:overflowPunct/>
              <w:topLinePunct w:val="0"/>
              <w:bidi w:val="0"/>
              <w:adjustRightInd/>
              <w:spacing w:line="400" w:lineRule="exact"/>
              <w:jc w:val="left"/>
              <w:textAlignment w:val="auto"/>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eastAsia="zh-CN"/>
              </w:rPr>
              <w:t>1.</w:t>
            </w: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人具有</w:t>
            </w:r>
            <w:r>
              <w:rPr>
                <w:rFonts w:hint="eastAsia" w:ascii="宋体" w:hAnsi="宋体" w:cs="宋体"/>
                <w:color w:val="000000"/>
                <w:szCs w:val="21"/>
                <w:highlight w:val="none"/>
              </w:rPr>
              <w:t>合理、健全的安装管理机构，配备人员证书齐全，电梯安装</w:t>
            </w:r>
            <w:r>
              <w:rPr>
                <w:rFonts w:hint="eastAsia" w:ascii="宋体" w:hAnsi="宋体" w:cs="宋体"/>
                <w:color w:val="000000"/>
                <w:szCs w:val="21"/>
                <w:highlight w:val="none"/>
                <w:lang w:eastAsia="zh-CN"/>
              </w:rPr>
              <w:t>拟派</w:t>
            </w:r>
            <w:r>
              <w:rPr>
                <w:rFonts w:hint="eastAsia" w:ascii="宋体" w:hAnsi="宋体" w:cs="宋体"/>
                <w:color w:val="000000"/>
                <w:szCs w:val="21"/>
                <w:highlight w:val="none"/>
              </w:rPr>
              <w:t>项目经理具有机电工程专业二级及以上建造师证书得2分；机房土建整改及门套装饰</w:t>
            </w:r>
            <w:r>
              <w:rPr>
                <w:rFonts w:hint="eastAsia" w:ascii="宋体" w:hAnsi="宋体" w:cs="宋体"/>
                <w:color w:val="000000"/>
                <w:szCs w:val="21"/>
                <w:highlight w:val="none"/>
                <w:lang w:eastAsia="zh-CN"/>
              </w:rPr>
              <w:t>拟派</w:t>
            </w:r>
            <w:r>
              <w:rPr>
                <w:rFonts w:hint="eastAsia" w:ascii="宋体" w:hAnsi="宋体" w:cs="宋体"/>
                <w:color w:val="000000"/>
                <w:szCs w:val="21"/>
                <w:highlight w:val="none"/>
              </w:rPr>
              <w:t>技术负责人具有建筑工程专业二级及以上建造师证书的得3分；</w:t>
            </w:r>
            <w:r>
              <w:rPr>
                <w:rFonts w:hint="eastAsia" w:ascii="宋体" w:hAnsi="宋体" w:cs="宋体"/>
                <w:color w:val="000000"/>
                <w:szCs w:val="21"/>
                <w:highlight w:val="none"/>
                <w:lang w:eastAsia="zh-CN"/>
              </w:rPr>
              <w:t>本项最多得</w:t>
            </w:r>
            <w:r>
              <w:rPr>
                <w:rFonts w:hint="eastAsia" w:ascii="宋体" w:hAnsi="宋体" w:cs="宋体"/>
                <w:color w:val="000000"/>
                <w:szCs w:val="21"/>
                <w:highlight w:val="none"/>
                <w:lang w:val="en-US" w:eastAsia="zh-CN"/>
              </w:rPr>
              <w:t>5分；</w:t>
            </w:r>
          </w:p>
          <w:p w14:paraId="06A83C51">
            <w:pPr>
              <w:keepNext w:val="0"/>
              <w:keepLines w:val="0"/>
              <w:pageBreakBefore w:val="0"/>
              <w:kinsoku/>
              <w:overflowPunct/>
              <w:topLinePunct w:val="0"/>
              <w:bidi w:val="0"/>
              <w:adjustRightInd/>
              <w:spacing w:line="400" w:lineRule="exact"/>
              <w:jc w:val="left"/>
              <w:textAlignment w:val="auto"/>
              <w:rPr>
                <w:rFonts w:ascii="宋体" w:hAnsi="宋体" w:cs="宋体"/>
                <w:color w:val="000000"/>
                <w:szCs w:val="21"/>
                <w:highlight w:val="none"/>
              </w:rPr>
            </w:pPr>
            <w:r>
              <w:rPr>
                <w:rFonts w:hint="eastAsia" w:ascii="宋体" w:hAnsi="宋体" w:cs="宋体"/>
                <w:color w:val="000000"/>
                <w:szCs w:val="21"/>
                <w:highlight w:val="none"/>
                <w:lang w:eastAsia="zh-CN"/>
              </w:rPr>
              <w:t>2.</w:t>
            </w:r>
            <w:r>
              <w:rPr>
                <w:rFonts w:hint="eastAsia" w:ascii="宋体" w:hAnsi="宋体" w:cs="宋体"/>
                <w:color w:val="000000"/>
                <w:szCs w:val="21"/>
                <w:highlight w:val="none"/>
              </w:rPr>
              <w:t>有详尽合理的安装施工组织方案和调试方案得2分，内容简单且不缺项的得1分，</w:t>
            </w:r>
            <w:r>
              <w:rPr>
                <w:rFonts w:hint="eastAsia"/>
                <w:color w:val="000000"/>
                <w:highlight w:val="none"/>
              </w:rPr>
              <w:t>未提供对应项内容或内容不符合该项要求的不得分。</w:t>
            </w:r>
          </w:p>
          <w:p w14:paraId="0D859382">
            <w:pPr>
              <w:keepNext w:val="0"/>
              <w:keepLines w:val="0"/>
              <w:pageBreakBefore w:val="0"/>
              <w:kinsoku/>
              <w:overflowPunct/>
              <w:topLinePunct w:val="0"/>
              <w:bidi w:val="0"/>
              <w:adjustRightInd/>
              <w:spacing w:line="400" w:lineRule="exact"/>
              <w:jc w:val="left"/>
              <w:textAlignment w:val="auto"/>
              <w:rPr>
                <w:rFonts w:ascii="宋体" w:hAnsi="宋体" w:cs="宋体"/>
                <w:color w:val="000000"/>
                <w:szCs w:val="21"/>
                <w:highlight w:val="none"/>
              </w:rPr>
            </w:pPr>
            <w:r>
              <w:rPr>
                <w:rFonts w:hint="eastAsia" w:ascii="宋体" w:hAnsi="宋体" w:cs="宋体"/>
                <w:color w:val="000000"/>
                <w:szCs w:val="21"/>
                <w:highlight w:val="none"/>
                <w:lang w:eastAsia="zh-CN"/>
              </w:rPr>
              <w:t>3.</w:t>
            </w:r>
            <w:r>
              <w:rPr>
                <w:rFonts w:hint="eastAsia" w:ascii="宋体" w:hAnsi="宋体" w:cs="宋体"/>
                <w:color w:val="000000"/>
                <w:szCs w:val="21"/>
                <w:highlight w:val="none"/>
              </w:rPr>
              <w:t>安装调试检测设备齐全得2分，</w:t>
            </w:r>
            <w:r>
              <w:rPr>
                <w:rFonts w:hint="eastAsia"/>
                <w:color w:val="000000"/>
                <w:highlight w:val="none"/>
              </w:rPr>
              <w:t>内容简单且不缺项的得1分，未提供对应项内容或内容不符合该项要求的不得分</w:t>
            </w:r>
            <w:r>
              <w:rPr>
                <w:rFonts w:hint="eastAsia" w:ascii="宋体" w:hAnsi="宋体" w:cs="宋体"/>
                <w:color w:val="000000"/>
                <w:szCs w:val="21"/>
                <w:highlight w:val="none"/>
              </w:rPr>
              <w:t>；</w:t>
            </w:r>
          </w:p>
          <w:p w14:paraId="1C207B75">
            <w:pPr>
              <w:keepNext w:val="0"/>
              <w:keepLines w:val="0"/>
              <w:pageBreakBefore w:val="0"/>
              <w:kinsoku/>
              <w:overflowPunct/>
              <w:topLinePunct w:val="0"/>
              <w:bidi w:val="0"/>
              <w:adjustRightInd/>
              <w:spacing w:line="400" w:lineRule="exact"/>
              <w:jc w:val="left"/>
              <w:textAlignment w:val="auto"/>
              <w:rPr>
                <w:rFonts w:ascii="宋体" w:hAnsi="宋体" w:cs="宋体"/>
                <w:color w:val="000000"/>
                <w:szCs w:val="21"/>
                <w:highlight w:val="none"/>
              </w:rPr>
            </w:pPr>
            <w:r>
              <w:rPr>
                <w:rFonts w:hint="eastAsia" w:ascii="宋体" w:hAnsi="宋体" w:cs="宋体"/>
                <w:color w:val="000000"/>
                <w:szCs w:val="21"/>
                <w:highlight w:val="none"/>
                <w:lang w:eastAsia="zh-CN"/>
              </w:rPr>
              <w:t>4.</w:t>
            </w:r>
            <w:r>
              <w:rPr>
                <w:rFonts w:hint="eastAsia" w:ascii="宋体" w:hAnsi="宋体" w:cs="宋体"/>
                <w:color w:val="000000"/>
                <w:szCs w:val="21"/>
                <w:highlight w:val="none"/>
              </w:rPr>
              <w:t>确保安装质量及工期的承诺及保障措施得2分，</w:t>
            </w:r>
            <w:r>
              <w:rPr>
                <w:rFonts w:hint="eastAsia"/>
                <w:color w:val="000000"/>
                <w:highlight w:val="none"/>
              </w:rPr>
              <w:t>内容简单且不缺项的得1分，未提供对应项内容或内容不符合该项要求的不得分</w:t>
            </w:r>
            <w:r>
              <w:rPr>
                <w:rFonts w:hint="eastAsia" w:ascii="宋体" w:hAnsi="宋体" w:cs="宋体"/>
                <w:color w:val="000000"/>
                <w:szCs w:val="21"/>
                <w:highlight w:val="none"/>
              </w:rPr>
              <w:t>；</w:t>
            </w:r>
          </w:p>
          <w:p w14:paraId="74105099">
            <w:pPr>
              <w:keepNext w:val="0"/>
              <w:keepLines w:val="0"/>
              <w:pageBreakBefore w:val="0"/>
              <w:kinsoku/>
              <w:overflowPunct/>
              <w:topLinePunct w:val="0"/>
              <w:bidi w:val="0"/>
              <w:adjustRightInd/>
              <w:spacing w:line="400" w:lineRule="exact"/>
              <w:jc w:val="left"/>
              <w:textAlignment w:val="auto"/>
              <w:rPr>
                <w:rFonts w:ascii="宋体" w:hAnsi="宋体" w:cs="宋体"/>
                <w:color w:val="000000"/>
                <w:szCs w:val="21"/>
                <w:highlight w:val="none"/>
              </w:rPr>
            </w:pPr>
            <w:r>
              <w:rPr>
                <w:rFonts w:hint="eastAsia" w:ascii="宋体" w:hAnsi="宋体" w:cs="宋体"/>
                <w:color w:val="000000"/>
                <w:szCs w:val="21"/>
                <w:highlight w:val="none"/>
                <w:lang w:eastAsia="zh-CN"/>
              </w:rPr>
              <w:t>5.</w:t>
            </w:r>
            <w:r>
              <w:rPr>
                <w:rFonts w:hint="eastAsia" w:ascii="宋体" w:hAnsi="宋体" w:cs="宋体"/>
                <w:color w:val="000000"/>
                <w:szCs w:val="21"/>
                <w:highlight w:val="none"/>
              </w:rPr>
              <w:t>安全文明施工措施合理得当得2分，</w:t>
            </w:r>
            <w:r>
              <w:rPr>
                <w:rFonts w:hint="eastAsia"/>
                <w:color w:val="000000"/>
                <w:highlight w:val="none"/>
              </w:rPr>
              <w:t>内容简单且不缺项的得1分，未提供对应项内容或内容不符合该项要求的不得分</w:t>
            </w:r>
            <w:r>
              <w:rPr>
                <w:rFonts w:hint="eastAsia" w:ascii="宋体" w:hAnsi="宋体" w:cs="宋体"/>
                <w:color w:val="000000"/>
                <w:szCs w:val="21"/>
                <w:highlight w:val="none"/>
              </w:rPr>
              <w:t>；</w:t>
            </w:r>
          </w:p>
          <w:p w14:paraId="418BF45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2"/>
                <w:szCs w:val="22"/>
                <w:u w:val="none"/>
              </w:rPr>
            </w:pPr>
            <w:r>
              <w:rPr>
                <w:rFonts w:hint="eastAsia" w:ascii="宋体" w:hAnsi="宋体" w:cs="宋体"/>
                <w:color w:val="000000"/>
                <w:szCs w:val="21"/>
                <w:highlight w:val="none"/>
                <w:lang w:eastAsia="zh-CN"/>
              </w:rPr>
              <w:t>6.</w:t>
            </w:r>
            <w:r>
              <w:rPr>
                <w:rFonts w:hint="eastAsia" w:ascii="宋体" w:hAnsi="宋体" w:cs="宋体"/>
                <w:color w:val="000000"/>
                <w:szCs w:val="21"/>
                <w:highlight w:val="none"/>
              </w:rPr>
              <w:t>紧急情况的处理措施、应急预案及风险控制周全得2分，</w:t>
            </w:r>
            <w:r>
              <w:rPr>
                <w:rFonts w:hint="eastAsia"/>
                <w:color w:val="000000"/>
                <w:highlight w:val="none"/>
              </w:rPr>
              <w:t>内容简单且不缺项的得1分，未提供对应项内容或内容不符合该项要求的不得分</w:t>
            </w:r>
            <w:r>
              <w:rPr>
                <w:rFonts w:hint="eastAsia" w:ascii="宋体" w:hAnsi="宋体" w:cs="宋体"/>
                <w:color w:val="000000"/>
                <w:szCs w:val="21"/>
                <w:highlight w:val="none"/>
              </w:rPr>
              <w:t>。</w:t>
            </w:r>
          </w:p>
        </w:tc>
        <w:tc>
          <w:tcPr>
            <w:tcW w:w="507" w:type="pct"/>
            <w:shd w:val="clear" w:color="auto" w:fill="auto"/>
            <w:vAlign w:val="center"/>
          </w:tcPr>
          <w:p w14:paraId="16F898E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i w:val="0"/>
                <w:iCs w:val="0"/>
                <w:color w:val="auto"/>
                <w:kern w:val="0"/>
                <w:sz w:val="22"/>
                <w:szCs w:val="22"/>
                <w:u w:val="none"/>
                <w:lang w:val="en-US" w:eastAsia="zh-CN" w:bidi="ar"/>
              </w:rPr>
              <w:t>15分</w:t>
            </w:r>
          </w:p>
        </w:tc>
      </w:tr>
    </w:tbl>
    <w:p w14:paraId="40058BB8">
      <w:pPr>
        <w:spacing w:line="360" w:lineRule="auto"/>
        <w:rPr>
          <w:rFonts w:hint="eastAsia" w:asciiTheme="minorEastAsia" w:hAnsiTheme="minorEastAsia" w:eastAsiaTheme="minorEastAsia" w:cstheme="minorEastAsia"/>
          <w:b/>
          <w:color w:val="auto"/>
          <w:sz w:val="22"/>
          <w:szCs w:val="22"/>
          <w:highlight w:val="none"/>
          <w:lang w:val="zh-CN"/>
        </w:rPr>
      </w:pPr>
      <w:r>
        <w:rPr>
          <w:rFonts w:hint="eastAsia" w:asciiTheme="minorEastAsia" w:hAnsiTheme="minorEastAsia" w:eastAsiaTheme="minorEastAsia" w:cstheme="minorEastAsia"/>
          <w:b/>
          <w:color w:val="auto"/>
          <w:sz w:val="22"/>
          <w:szCs w:val="22"/>
          <w:highlight w:val="none"/>
          <w:lang w:val="zh-CN"/>
        </w:rPr>
        <w:t>价格分计算（落实政府采购政策价格调整部分）</w:t>
      </w:r>
    </w:p>
    <w:tbl>
      <w:tblPr>
        <w:tblStyle w:val="2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2DD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noWrap w:val="0"/>
            <w:vAlign w:val="center"/>
          </w:tcPr>
          <w:p w14:paraId="358D060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2823" w:type="dxa"/>
            <w:noWrap w:val="0"/>
            <w:vAlign w:val="center"/>
          </w:tcPr>
          <w:p w14:paraId="0DB1162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情形</w:t>
            </w:r>
          </w:p>
        </w:tc>
        <w:tc>
          <w:tcPr>
            <w:tcW w:w="2552" w:type="dxa"/>
            <w:noWrap w:val="0"/>
            <w:vAlign w:val="center"/>
          </w:tcPr>
          <w:p w14:paraId="4001524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价格扣除比例</w:t>
            </w:r>
          </w:p>
        </w:tc>
        <w:tc>
          <w:tcPr>
            <w:tcW w:w="2835" w:type="dxa"/>
            <w:noWrap w:val="0"/>
            <w:vAlign w:val="center"/>
          </w:tcPr>
          <w:p w14:paraId="6A01DE3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计算公式</w:t>
            </w:r>
          </w:p>
        </w:tc>
      </w:tr>
      <w:tr w14:paraId="0942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noWrap w:val="0"/>
            <w:vAlign w:val="center"/>
          </w:tcPr>
          <w:p w14:paraId="2700AC42">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823" w:type="dxa"/>
            <w:noWrap w:val="0"/>
            <w:vAlign w:val="center"/>
          </w:tcPr>
          <w:p w14:paraId="48767603">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非联合体投标人</w:t>
            </w:r>
          </w:p>
        </w:tc>
        <w:tc>
          <w:tcPr>
            <w:tcW w:w="2552" w:type="dxa"/>
            <w:noWrap w:val="0"/>
            <w:vAlign w:val="center"/>
          </w:tcPr>
          <w:p w14:paraId="56B346F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tc>
        <w:tc>
          <w:tcPr>
            <w:tcW w:w="2835" w:type="dxa"/>
            <w:vMerge w:val="restart"/>
            <w:noWrap w:val="0"/>
            <w:vAlign w:val="center"/>
          </w:tcPr>
          <w:p w14:paraId="2400B839">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评标价格＝小型和微型企业报价×（</w:t>
            </w:r>
            <w:r>
              <w:rPr>
                <w:rFonts w:hint="eastAsia" w:asciiTheme="minorEastAsia" w:hAnsiTheme="minorEastAsia" w:cstheme="minorEastAsia"/>
                <w:color w:val="auto"/>
                <w:sz w:val="21"/>
                <w:szCs w:val="21"/>
                <w:highlight w:val="none"/>
                <w:lang w:eastAsia="zh-CN"/>
              </w:rPr>
              <w:t>1%—20%</w:t>
            </w:r>
            <w:r>
              <w:rPr>
                <w:rFonts w:hint="eastAsia" w:asciiTheme="minorEastAsia" w:hAnsiTheme="minorEastAsia" w:eastAsiaTheme="minorEastAsia" w:cstheme="minorEastAsia"/>
                <w:color w:val="auto"/>
                <w:sz w:val="21"/>
                <w:szCs w:val="21"/>
                <w:highlight w:val="none"/>
              </w:rPr>
              <w:t>）</w:t>
            </w:r>
          </w:p>
          <w:p w14:paraId="2EC4BD3C">
            <w:pPr>
              <w:spacing w:line="240" w:lineRule="auto"/>
              <w:jc w:val="center"/>
              <w:rPr>
                <w:rFonts w:hint="eastAsia" w:asciiTheme="minorEastAsia" w:hAnsiTheme="minorEastAsia" w:eastAsiaTheme="minorEastAsia" w:cstheme="minorEastAsia"/>
                <w:color w:val="auto"/>
                <w:sz w:val="21"/>
                <w:szCs w:val="21"/>
                <w:highlight w:val="none"/>
              </w:rPr>
            </w:pPr>
          </w:p>
        </w:tc>
      </w:tr>
      <w:tr w14:paraId="71BE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721" w:type="dxa"/>
            <w:noWrap w:val="0"/>
            <w:vAlign w:val="center"/>
          </w:tcPr>
          <w:p w14:paraId="7FFEEF7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2823" w:type="dxa"/>
            <w:noWrap w:val="0"/>
            <w:vAlign w:val="center"/>
          </w:tcPr>
          <w:p w14:paraId="2FFC9B2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联合体各方均为</w:t>
            </w:r>
          </w:p>
          <w:p w14:paraId="4903B3C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小型、微型企业</w:t>
            </w:r>
          </w:p>
        </w:tc>
        <w:tc>
          <w:tcPr>
            <w:tcW w:w="2552" w:type="dxa"/>
            <w:noWrap w:val="0"/>
            <w:vAlign w:val="center"/>
          </w:tcPr>
          <w:p w14:paraId="4D7BCE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p w14:paraId="38A6C85D">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（不再享受序号3的价格折扣）</w:t>
            </w:r>
          </w:p>
        </w:tc>
        <w:tc>
          <w:tcPr>
            <w:tcW w:w="2835" w:type="dxa"/>
            <w:vMerge w:val="continue"/>
            <w:noWrap w:val="0"/>
            <w:vAlign w:val="center"/>
          </w:tcPr>
          <w:p w14:paraId="0823C4A8">
            <w:pPr>
              <w:spacing w:line="240" w:lineRule="auto"/>
              <w:rPr>
                <w:rFonts w:hint="eastAsia" w:asciiTheme="minorEastAsia" w:hAnsiTheme="minorEastAsia" w:eastAsiaTheme="minorEastAsia" w:cstheme="minorEastAsia"/>
                <w:color w:val="auto"/>
                <w:sz w:val="21"/>
                <w:szCs w:val="21"/>
                <w:highlight w:val="none"/>
              </w:rPr>
            </w:pPr>
          </w:p>
        </w:tc>
      </w:tr>
      <w:tr w14:paraId="6E92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1" w:type="dxa"/>
            <w:noWrap w:val="0"/>
            <w:vAlign w:val="center"/>
          </w:tcPr>
          <w:p w14:paraId="5323AC4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2823" w:type="dxa"/>
            <w:noWrap w:val="0"/>
            <w:vAlign w:val="center"/>
          </w:tcPr>
          <w:p w14:paraId="245CB64B">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14:paraId="12DEC12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对联合体或者大中型企业的报价扣除6%</w:t>
            </w:r>
          </w:p>
        </w:tc>
        <w:tc>
          <w:tcPr>
            <w:tcW w:w="2835" w:type="dxa"/>
            <w:noWrap w:val="0"/>
            <w:vAlign w:val="center"/>
          </w:tcPr>
          <w:p w14:paraId="1BF5C33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w:t>
            </w:r>
            <w:r>
              <w:rPr>
                <w:rFonts w:hint="eastAsia" w:asciiTheme="minorEastAsia" w:hAnsiTheme="minorEastAsia" w:cstheme="minorEastAsia"/>
                <w:color w:val="auto"/>
                <w:sz w:val="21"/>
                <w:szCs w:val="21"/>
                <w:highlight w:val="none"/>
                <w:lang w:eastAsia="zh-CN"/>
              </w:rPr>
              <w:t>1%—6%</w:t>
            </w:r>
            <w:r>
              <w:rPr>
                <w:rFonts w:hint="eastAsia" w:asciiTheme="minorEastAsia" w:hAnsiTheme="minorEastAsia" w:eastAsiaTheme="minorEastAsia" w:cstheme="minorEastAsia"/>
                <w:color w:val="auto"/>
                <w:sz w:val="21"/>
                <w:szCs w:val="21"/>
                <w:highlight w:val="none"/>
              </w:rPr>
              <w:t>)</w:t>
            </w:r>
          </w:p>
        </w:tc>
      </w:tr>
      <w:tr w14:paraId="6FA1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0"/>
            <w:vAlign w:val="center"/>
          </w:tcPr>
          <w:p w14:paraId="5507354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2823" w:type="dxa"/>
            <w:noWrap w:val="0"/>
            <w:vAlign w:val="center"/>
          </w:tcPr>
          <w:p w14:paraId="62F3F7FA">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监狱企业</w:t>
            </w:r>
          </w:p>
        </w:tc>
        <w:tc>
          <w:tcPr>
            <w:tcW w:w="2552" w:type="dxa"/>
            <w:noWrap w:val="0"/>
            <w:vAlign w:val="center"/>
          </w:tcPr>
          <w:p w14:paraId="43850B9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对监狱企业产品价格扣除20%</w:t>
            </w:r>
          </w:p>
        </w:tc>
        <w:tc>
          <w:tcPr>
            <w:tcW w:w="2835" w:type="dxa"/>
            <w:noWrap w:val="0"/>
            <w:vAlign w:val="center"/>
          </w:tcPr>
          <w:p w14:paraId="3F466903">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评标价格＝投标报价—监狱企业产品的价格×20%</w:t>
            </w:r>
          </w:p>
        </w:tc>
      </w:tr>
      <w:tr w14:paraId="694A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721" w:type="dxa"/>
            <w:noWrap w:val="0"/>
            <w:vAlign w:val="center"/>
          </w:tcPr>
          <w:p w14:paraId="4B8FEA3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2823" w:type="dxa"/>
            <w:noWrap w:val="0"/>
            <w:vAlign w:val="center"/>
          </w:tcPr>
          <w:p w14:paraId="195A727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残疾人福利性单位</w:t>
            </w:r>
          </w:p>
        </w:tc>
        <w:tc>
          <w:tcPr>
            <w:tcW w:w="2552" w:type="dxa"/>
            <w:noWrap w:val="0"/>
            <w:vAlign w:val="center"/>
          </w:tcPr>
          <w:p w14:paraId="01BEBA40">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对残疾人福利性单位产品价格扣除20%</w:t>
            </w:r>
          </w:p>
        </w:tc>
        <w:tc>
          <w:tcPr>
            <w:tcW w:w="2835" w:type="dxa"/>
            <w:noWrap w:val="0"/>
            <w:vAlign w:val="center"/>
          </w:tcPr>
          <w:p w14:paraId="574AB2F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评标价格＝投标报价—残疾人福利性单位产品的价格×20%</w:t>
            </w:r>
          </w:p>
        </w:tc>
      </w:tr>
      <w:tr w14:paraId="160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21" w:type="dxa"/>
            <w:noWrap w:val="0"/>
            <w:vAlign w:val="center"/>
          </w:tcPr>
          <w:p w14:paraId="30217C5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2823" w:type="dxa"/>
            <w:noWrap w:val="0"/>
            <w:vAlign w:val="center"/>
          </w:tcPr>
          <w:p w14:paraId="50FC74F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 </w:t>
            </w:r>
          </w:p>
          <w:p w14:paraId="01EB713C">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品又有非本国产品参与竞争</w:t>
            </w:r>
          </w:p>
          <w:p w14:paraId="761A42C3">
            <w:pPr>
              <w:spacing w:line="360" w:lineRule="auto"/>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的</w:t>
            </w:r>
          </w:p>
        </w:tc>
        <w:tc>
          <w:tcPr>
            <w:tcW w:w="2552" w:type="dxa"/>
            <w:noWrap w:val="0"/>
            <w:vAlign w:val="center"/>
          </w:tcPr>
          <w:p w14:paraId="3FF83B66">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p w14:paraId="08F972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对本国产品的报价给予</w:t>
            </w:r>
          </w:p>
          <w:p w14:paraId="67AEC661">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20%的价格扣除</w:t>
            </w:r>
          </w:p>
          <w:p w14:paraId="37BC95FE">
            <w:pPr>
              <w:spacing w:line="240" w:lineRule="auto"/>
              <w:jc w:val="center"/>
              <w:rPr>
                <w:rFonts w:hint="eastAsia" w:asciiTheme="minorEastAsia" w:hAnsiTheme="minorEastAsia" w:eastAsiaTheme="minorEastAsia" w:cstheme="minorEastAsia"/>
                <w:color w:val="auto"/>
                <w:sz w:val="21"/>
                <w:szCs w:val="21"/>
                <w:highlight w:val="none"/>
              </w:rPr>
            </w:pPr>
          </w:p>
        </w:tc>
        <w:tc>
          <w:tcPr>
            <w:tcW w:w="2835" w:type="dxa"/>
            <w:noWrap w:val="0"/>
            <w:vAlign w:val="center"/>
          </w:tcPr>
          <w:p w14:paraId="5488C4B5">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评标价格=投标报价—本国</w:t>
            </w:r>
          </w:p>
          <w:p w14:paraId="79955F7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产品的价格×20%</w:t>
            </w:r>
          </w:p>
          <w:p w14:paraId="266F0731">
            <w:pPr>
              <w:spacing w:line="240" w:lineRule="auto"/>
              <w:jc w:val="center"/>
              <w:rPr>
                <w:rFonts w:hint="eastAsia" w:asciiTheme="minorEastAsia" w:hAnsiTheme="minorEastAsia" w:eastAsiaTheme="minorEastAsia" w:cstheme="minorEastAsia"/>
                <w:color w:val="auto"/>
                <w:sz w:val="21"/>
                <w:szCs w:val="21"/>
                <w:highlight w:val="none"/>
              </w:rPr>
            </w:pPr>
          </w:p>
        </w:tc>
      </w:tr>
      <w:tr w14:paraId="6975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721" w:type="dxa"/>
            <w:noWrap w:val="0"/>
            <w:vAlign w:val="center"/>
          </w:tcPr>
          <w:p w14:paraId="537B49A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2823" w:type="dxa"/>
            <w:noWrap w:val="0"/>
            <w:vAlign w:val="center"/>
          </w:tcPr>
          <w:p w14:paraId="23E209C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 </w:t>
            </w:r>
          </w:p>
          <w:p w14:paraId="4E27B2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有多种产品，供应商为该采 </w:t>
            </w:r>
          </w:p>
          <w:p w14:paraId="1DFE1B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购项目或者采购包提供的符 </w:t>
            </w:r>
          </w:p>
          <w:p w14:paraId="5E1EC44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合本国产品标准的产品成本 </w:t>
            </w:r>
          </w:p>
          <w:p w14:paraId="7D0681C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之和占该供应商提供的全部 </w:t>
            </w:r>
          </w:p>
          <w:p w14:paraId="44F73DD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产品成本之和的比例达到 </w:t>
            </w:r>
          </w:p>
          <w:p w14:paraId="326F2D59">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80%以上时</w:t>
            </w:r>
          </w:p>
          <w:p w14:paraId="555EC8D6">
            <w:pPr>
              <w:spacing w:line="360" w:lineRule="auto"/>
              <w:jc w:val="center"/>
              <w:rPr>
                <w:rFonts w:hint="eastAsia" w:asciiTheme="minorEastAsia" w:hAnsiTheme="minorEastAsia" w:eastAsiaTheme="minorEastAsia" w:cstheme="minorEastAsia"/>
                <w:color w:val="auto"/>
                <w:sz w:val="21"/>
                <w:szCs w:val="21"/>
                <w:highlight w:val="none"/>
              </w:rPr>
            </w:pPr>
          </w:p>
        </w:tc>
        <w:tc>
          <w:tcPr>
            <w:tcW w:w="2552" w:type="dxa"/>
            <w:noWrap w:val="0"/>
            <w:vAlign w:val="center"/>
          </w:tcPr>
          <w:p w14:paraId="6BA36A7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对该供应商提供的全部产 </w:t>
            </w:r>
          </w:p>
          <w:p w14:paraId="146122F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品的总报价给予 20%的价 </w:t>
            </w:r>
          </w:p>
          <w:p w14:paraId="4467522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格扣除 </w:t>
            </w:r>
          </w:p>
          <w:p w14:paraId="75BD4FE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（全部产品的总报价指采 </w:t>
            </w:r>
          </w:p>
          <w:p w14:paraId="73C8E0C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购清单中货物类的小计）</w:t>
            </w:r>
          </w:p>
        </w:tc>
        <w:tc>
          <w:tcPr>
            <w:tcW w:w="2835" w:type="dxa"/>
            <w:noWrap w:val="0"/>
            <w:vAlign w:val="center"/>
          </w:tcPr>
          <w:p w14:paraId="4B5BB4BF">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评标价格=投标报价—全部 </w:t>
            </w:r>
          </w:p>
          <w:p w14:paraId="78F7B97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产品的总报价×20%</w:t>
            </w:r>
          </w:p>
          <w:p w14:paraId="107ECA99">
            <w:pPr>
              <w:spacing w:line="360" w:lineRule="auto"/>
              <w:jc w:val="center"/>
              <w:rPr>
                <w:rFonts w:hint="eastAsia" w:asciiTheme="minorEastAsia" w:hAnsiTheme="minorEastAsia" w:eastAsiaTheme="minorEastAsia" w:cstheme="minorEastAsia"/>
                <w:color w:val="auto"/>
                <w:sz w:val="21"/>
                <w:szCs w:val="21"/>
                <w:highlight w:val="none"/>
              </w:rPr>
            </w:pPr>
          </w:p>
        </w:tc>
      </w:tr>
      <w:tr w14:paraId="67A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931" w:type="dxa"/>
            <w:gridSpan w:val="4"/>
            <w:noWrap w:val="0"/>
            <w:vAlign w:val="center"/>
          </w:tcPr>
          <w:p w14:paraId="37B8E2C1">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中小企业应在投标文件提供《中小企业声明函》。监狱企业应当在响应文件中提供由省级以上监狱管理局、戒毒管理局</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含新疆生产建设兵团</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出具的属于监狱企业的证明文件。残疾人福利性单位应当在响应文件中提供《残疾人福利性单位声明函》 。</w:t>
            </w:r>
          </w:p>
          <w:p w14:paraId="724A1C04">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经专家小组审查、评价，响应文件符合采购文件实质性要求且进行了政策性价格扣除后，以评标价格的最低价者定为评标基准价， 其价格分为满分。其他供应商的价格分统一按下列公式计算。即：</w:t>
            </w:r>
          </w:p>
          <w:p w14:paraId="1200BD12">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评标基准价=评标价格的最低价</w:t>
            </w:r>
          </w:p>
          <w:p w14:paraId="0FC4E559">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其他投标报价得分=（评标基准价/评标价格）×评标标准中价格分值</w:t>
            </w:r>
          </w:p>
        </w:tc>
      </w:tr>
    </w:tbl>
    <w:p w14:paraId="636A967C">
      <w:pPr>
        <w:spacing w:line="360" w:lineRule="auto"/>
        <w:jc w:val="left"/>
        <w:rPr>
          <w:rFonts w:hint="eastAsia" w:asciiTheme="minorEastAsia" w:hAnsiTheme="minorEastAsia" w:eastAsiaTheme="minorEastAsia" w:cstheme="minorEastAsia"/>
          <w:bCs/>
          <w:color w:val="auto"/>
          <w:sz w:val="22"/>
          <w:szCs w:val="22"/>
          <w:highlight w:val="none"/>
          <w:lang w:val="en-GB"/>
        </w:rPr>
      </w:pPr>
      <w:r>
        <w:rPr>
          <w:rFonts w:hint="eastAsia" w:asciiTheme="minorEastAsia" w:hAnsiTheme="minorEastAsia" w:eastAsiaTheme="minorEastAsia" w:cstheme="minorEastAsia"/>
          <w:bCs/>
          <w:color w:val="auto"/>
          <w:sz w:val="22"/>
          <w:szCs w:val="22"/>
          <w:highlight w:val="none"/>
          <w:lang w:val="en-GB"/>
        </w:rPr>
        <w:t>备注：</w:t>
      </w:r>
    </w:p>
    <w:p w14:paraId="399C444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对供应商挂靠借用资质、提供虚假业绩、证书投标行为，一经发现，将按照《中华人民共和国政府采购法》给予行政处罚，将其列入政府采购严重违法失信行为记录名单，并予以公示。</w:t>
      </w:r>
    </w:p>
    <w:p w14:paraId="50294B6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a.不接受联合体投标的项目，本表中第2项、第3项情形不适用。</w:t>
      </w:r>
    </w:p>
    <w:p w14:paraId="384D4E32">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b.</w:t>
      </w:r>
      <w:r>
        <w:rPr>
          <w:rFonts w:hint="eastAsia" w:asciiTheme="minorEastAsia" w:hAnsiTheme="minorEastAsia" w:eastAsiaTheme="minorEastAsia" w:cstheme="minorEastAsia"/>
          <w:color w:val="auto"/>
          <w:sz w:val="22"/>
          <w:szCs w:val="22"/>
          <w:highlight w:val="none"/>
          <w:lang w:val="en-US" w:eastAsia="zh-CN"/>
        </w:rPr>
        <w:t>在货物采购项目中，货物由中小企业制造，即货物由中小企业生产且使用该中小企业商号或者注册商标。在货物采购项目中，供应商提供的货物既有中小企业制造货物，也有大型企业制 造货物的，不享受中小企业扶持政策。</w:t>
      </w:r>
    </w:p>
    <w:p w14:paraId="43A9AD34">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c.中小企业、残疾人福利性单位提供其他企业制造的货物的，则该货物的制造商也必须为上述企业，否则不能享受价格优惠。</w:t>
      </w:r>
    </w:p>
    <w:p w14:paraId="3607BC9D">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d.残疾人福利性单位属于小型、微型企业的，不重复享受政策。</w:t>
      </w:r>
    </w:p>
    <w:p w14:paraId="71C42282">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e.小型和微型企业不包括民办非企业单位。</w:t>
      </w:r>
    </w:p>
    <w:p w14:paraId="744C4A94">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cstheme="minorEastAsia"/>
          <w:color w:val="auto"/>
          <w:sz w:val="22"/>
          <w:szCs w:val="22"/>
          <w:highlight w:val="none"/>
          <w:lang w:val="en-US" w:eastAsia="zh-CN"/>
        </w:rPr>
        <w:t>f.</w:t>
      </w:r>
      <w:r>
        <w:rPr>
          <w:rFonts w:hint="eastAsia" w:asciiTheme="minorEastAsia" w:hAnsiTheme="minorEastAsia" w:eastAsiaTheme="minorEastAsia" w:cstheme="minorEastAsia"/>
          <w:color w:val="auto"/>
          <w:sz w:val="22"/>
          <w:szCs w:val="22"/>
          <w:highlight w:val="none"/>
          <w:lang w:val="en-US" w:eastAsia="zh-CN"/>
        </w:rPr>
        <w:t xml:space="preserve">同时适用多项政府采购政策的，各项扣除应在供应商的投标报价基础上进行叠加计算。 </w:t>
      </w:r>
    </w:p>
    <w:p w14:paraId="7BCC931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en-US" w:eastAsia="zh-CN"/>
        </w:rPr>
        <w:t xml:space="preserve">例如：投标人既享受中小企业扶持政策，又符合本国产品标准、享受价格评审优惠的 </w:t>
      </w:r>
    </w:p>
    <w:p w14:paraId="6278A3EA">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en-US" w:eastAsia="zh-CN"/>
        </w:rPr>
        <w:t>评标价格=投标报价—投标报价×中小企业报价扣除比例 —本国产品价格（或全部产品总价） ×20%</w:t>
      </w:r>
    </w:p>
    <w:p w14:paraId="201ABF20">
      <w:pPr>
        <w:spacing w:line="360" w:lineRule="auto"/>
        <w:contextualSpacing/>
        <w:rPr>
          <w:rFonts w:cs="仿宋_GB2312" w:asciiTheme="minorEastAsia" w:hAnsiTheme="minorEastAsia" w:eastAsiaTheme="minorEastAsia"/>
          <w:b/>
          <w:bCs/>
          <w:color w:val="auto"/>
          <w:sz w:val="21"/>
          <w:szCs w:val="21"/>
          <w:highlight w:val="none"/>
          <w:lang w:val="zh-CN"/>
        </w:rPr>
      </w:pPr>
      <w:r>
        <w:rPr>
          <w:rFonts w:hint="eastAsia" w:cs="仿宋_GB2312" w:asciiTheme="minorEastAsia" w:hAnsiTheme="minorEastAsia"/>
          <w:b/>
          <w:bCs/>
          <w:color w:val="auto"/>
          <w:szCs w:val="21"/>
          <w:highlight w:val="none"/>
          <w:lang w:val="zh-CN"/>
        </w:rPr>
        <w:t>（7）评标结果汇总完成后，除下列情形外，任何人不得修改评标结果：</w:t>
      </w:r>
    </w:p>
    <w:p w14:paraId="3931737D">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1） </w:t>
      </w:r>
      <w:r>
        <w:rPr>
          <w:rFonts w:cs="仿宋_GB2312" w:asciiTheme="minorEastAsia" w:hAnsiTheme="minorEastAsia"/>
          <w:color w:val="auto"/>
          <w:szCs w:val="21"/>
          <w:highlight w:val="none"/>
          <w:lang w:val="zh-CN"/>
        </w:rPr>
        <w:t>分值汇总计算错误的；</w:t>
      </w:r>
    </w:p>
    <w:p w14:paraId="4B4CD050">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2） </w:t>
      </w:r>
      <w:r>
        <w:rPr>
          <w:rFonts w:cs="仿宋_GB2312" w:asciiTheme="minorEastAsia" w:hAnsiTheme="minorEastAsia"/>
          <w:color w:val="auto"/>
          <w:szCs w:val="21"/>
          <w:highlight w:val="none"/>
          <w:lang w:val="zh-CN"/>
        </w:rPr>
        <w:t>分项评分超出评分标准范围的；</w:t>
      </w:r>
    </w:p>
    <w:p w14:paraId="3CE187A7">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3） </w:t>
      </w:r>
      <w:r>
        <w:rPr>
          <w:rFonts w:cs="仿宋_GB2312" w:asciiTheme="minorEastAsia" w:hAnsiTheme="minorEastAsia"/>
          <w:color w:val="auto"/>
          <w:szCs w:val="21"/>
          <w:highlight w:val="none"/>
          <w:lang w:val="zh-CN"/>
        </w:rPr>
        <w:t>评标委员会成员对客观评审因素评分不一致的；</w:t>
      </w:r>
    </w:p>
    <w:p w14:paraId="1F334F81">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4） </w:t>
      </w:r>
      <w:r>
        <w:rPr>
          <w:rFonts w:cs="仿宋_GB2312" w:asciiTheme="minorEastAsia" w:hAnsiTheme="minorEastAsia"/>
          <w:color w:val="auto"/>
          <w:szCs w:val="21"/>
          <w:highlight w:val="none"/>
          <w:lang w:val="zh-CN"/>
        </w:rPr>
        <w:t>经评标委员会认定评分畸高、畸低的。</w:t>
      </w:r>
    </w:p>
    <w:p w14:paraId="4406E500">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2B8525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投标人对本条第一款情形提出质疑的，采购人或者采购代理机构可以组织原评标委员会进行重新评审，重新评审改变评标结果的，应当书面报告本级财政部门。</w:t>
      </w:r>
    </w:p>
    <w:p w14:paraId="63370F41">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43F188E7">
      <w:p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（9）</w:t>
      </w:r>
      <w:r>
        <w:rPr>
          <w:rFonts w:cs="仿宋_GB2312" w:asciiTheme="minorEastAsia" w:hAnsiTheme="minorEastAsia"/>
          <w:b/>
          <w:color w:val="auto"/>
          <w:szCs w:val="21"/>
          <w:highlight w:val="none"/>
          <w:lang w:val="zh-CN"/>
        </w:rPr>
        <w:t>评标委员会</w:t>
      </w:r>
      <w:r>
        <w:rPr>
          <w:rFonts w:hint="eastAsia" w:cs="仿宋_GB2312" w:asciiTheme="minorEastAsia" w:hAnsiTheme="minorEastAsia"/>
          <w:b/>
          <w:color w:val="auto"/>
          <w:szCs w:val="21"/>
          <w:highlight w:val="none"/>
          <w:lang w:val="zh-CN"/>
        </w:rPr>
        <w:t>争议处理</w:t>
      </w:r>
    </w:p>
    <w:p w14:paraId="5D68059B">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2E8FDFDD">
      <w:pPr>
        <w:spacing w:line="360" w:lineRule="auto"/>
        <w:contextualSpacing/>
        <w:rPr>
          <w:rFonts w:hint="eastAsia" w:cs="仿宋_GB2312" w:asciiTheme="minorEastAsia" w:hAnsiTheme="minorEastAsia"/>
          <w:b/>
          <w:bCs/>
          <w:szCs w:val="21"/>
          <w:lang w:val="zh-CN"/>
        </w:rPr>
      </w:pPr>
      <w:r>
        <w:rPr>
          <w:rFonts w:hint="eastAsia" w:cs="仿宋_GB2312" w:asciiTheme="minorEastAsia" w:hAnsiTheme="minorEastAsia"/>
          <w:b/>
          <w:color w:val="auto"/>
          <w:szCs w:val="21"/>
          <w:highlight w:val="none"/>
          <w:lang w:val="zh-CN"/>
        </w:rPr>
        <w:t>4.</w:t>
      </w:r>
      <w:r>
        <w:rPr>
          <w:rFonts w:cs="仿宋_GB2312" w:asciiTheme="minorEastAsia" w:hAnsiTheme="minorEastAsia"/>
          <w:b/>
          <w:color w:val="auto"/>
          <w:szCs w:val="21"/>
          <w:highlight w:val="none"/>
          <w:lang w:val="zh-CN"/>
        </w:rPr>
        <w:t>确定中标候选人名单，以及根据采购人委托直接确定中标人</w:t>
      </w:r>
      <w:r>
        <w:rPr>
          <w:rFonts w:hint="eastAsia" w:cs="仿宋_GB2312" w:asciiTheme="minorEastAsia" w:hAnsiTheme="minorEastAsia"/>
          <w:b/>
          <w:color w:val="auto"/>
          <w:szCs w:val="21"/>
          <w:highlight w:val="none"/>
          <w:lang w:val="zh-CN"/>
        </w:rPr>
        <w:t>。</w:t>
      </w:r>
    </w:p>
    <w:p w14:paraId="597D89D2">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4DC1AA6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04BEFCE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683B99A">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sectPr>
          <w:pgSz w:w="11906" w:h="16838"/>
          <w:pgMar w:top="2098" w:right="1474" w:bottom="1928" w:left="1588" w:header="851" w:footer="992" w:gutter="0"/>
          <w:cols w:space="425" w:num="1"/>
          <w:docGrid w:type="lines" w:linePitch="312" w:charSpace="0"/>
        </w:sectPr>
      </w:pPr>
    </w:p>
    <w:p w14:paraId="45B424BC">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拟签订的合同文本</w:t>
      </w:r>
    </w:p>
    <w:p w14:paraId="437827C4">
      <w:pPr>
        <w:pStyle w:val="17"/>
        <w:spacing w:line="360" w:lineRule="auto"/>
        <w:contextualSpacing/>
        <w:jc w:val="center"/>
        <w:rPr>
          <w:rFonts w:cs="宋体" w:asciiTheme="majorEastAsia" w:hAnsiTheme="majorEastAsia" w:eastAsiaTheme="majorEastAsia"/>
          <w:b/>
          <w:kern w:val="0"/>
          <w:sz w:val="36"/>
          <w:szCs w:val="36"/>
        </w:rPr>
      </w:pPr>
    </w:p>
    <w:p w14:paraId="12F3116C">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7A206FA5">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最终签定合同的主要条款不能与招标文件有冲突）</w:t>
      </w:r>
    </w:p>
    <w:p w14:paraId="7AD019F2">
      <w:pPr>
        <w:pStyle w:val="17"/>
        <w:spacing w:line="360" w:lineRule="auto"/>
        <w:contextualSpacing/>
        <w:jc w:val="center"/>
        <w:rPr>
          <w:rFonts w:cs="宋体" w:asciiTheme="majorEastAsia" w:hAnsiTheme="majorEastAsia" w:eastAsiaTheme="majorEastAsia"/>
          <w:b/>
          <w:kern w:val="0"/>
          <w:sz w:val="36"/>
          <w:szCs w:val="36"/>
        </w:rPr>
      </w:pPr>
    </w:p>
    <w:p w14:paraId="162F90CA">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w:t>
      </w:r>
      <w:r>
        <w:rPr>
          <w:rFonts w:asciiTheme="minorEastAsia" w:hAnsiTheme="minorEastAsia" w:eastAsiaTheme="minorEastAsia"/>
          <w:color w:val="000000"/>
          <w:sz w:val="21"/>
          <w:szCs w:val="21"/>
          <w:u w:val="single"/>
        </w:rPr>
        <w:t>（采购人全称）</w:t>
      </w:r>
    </w:p>
    <w:p w14:paraId="00E470A1">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乙方：</w:t>
      </w:r>
      <w:r>
        <w:rPr>
          <w:rFonts w:asciiTheme="minorEastAsia" w:hAnsiTheme="minorEastAsia" w:eastAsiaTheme="minorEastAsia"/>
          <w:color w:val="000000"/>
          <w:sz w:val="21"/>
          <w:szCs w:val="21"/>
          <w:u w:val="single"/>
        </w:rPr>
        <w:t>（中标人全称）</w:t>
      </w:r>
    </w:p>
    <w:p w14:paraId="3FFC1367">
      <w:pPr>
        <w:pStyle w:val="25"/>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C41B726">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根据招标编号为</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的</w:t>
      </w:r>
      <w:r>
        <w:rPr>
          <w:rFonts w:asciiTheme="minorEastAsia" w:hAnsiTheme="minorEastAsia" w:eastAsiaTheme="minorEastAsia"/>
          <w:color w:val="000000"/>
          <w:sz w:val="21"/>
          <w:szCs w:val="21"/>
          <w:u w:val="single"/>
        </w:rPr>
        <w:t>（填写“项目名称”）</w:t>
      </w:r>
      <w:r>
        <w:rPr>
          <w:rFonts w:asciiTheme="minorEastAsia" w:hAnsiTheme="minorEastAsia" w:eastAsiaTheme="minorEastAsia"/>
          <w:color w:val="000000"/>
          <w:sz w:val="21"/>
          <w:szCs w:val="21"/>
        </w:rPr>
        <w:t>项目（以下简称：“本项目”）的招标结果，乙方为中标人。现经甲乙双方友好协商，就以下事项达成一致并签订本合同：</w:t>
      </w:r>
    </w:p>
    <w:p w14:paraId="61F8B4B6">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w:t>
      </w:r>
      <w:r>
        <w:rPr>
          <w:rFonts w:asciiTheme="minorEastAsia" w:hAnsiTheme="minorEastAsia" w:eastAsiaTheme="minorEastAsia"/>
          <w:color w:val="000000"/>
          <w:sz w:val="21"/>
          <w:szCs w:val="21"/>
        </w:rPr>
        <w:t>下列合同文件是构成本合同不可分割的部分：</w:t>
      </w:r>
    </w:p>
    <w:p w14:paraId="63E27602">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1.1合同条款；</w:t>
      </w:r>
    </w:p>
    <w:p w14:paraId="43975CCF">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1.2招标文件、乙方的投标文件；</w:t>
      </w:r>
    </w:p>
    <w:p w14:paraId="410BCDD7">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1.3其他文件或材料：□无。□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4D922249">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2.</w:t>
      </w:r>
      <w:r>
        <w:rPr>
          <w:rFonts w:asciiTheme="minorEastAsia" w:hAnsiTheme="minorEastAsia" w:eastAsiaTheme="minorEastAsia"/>
          <w:color w:val="000000"/>
          <w:sz w:val="21"/>
          <w:szCs w:val="21"/>
        </w:rPr>
        <w:t>合同标的</w:t>
      </w:r>
    </w:p>
    <w:p w14:paraId="15562F4A">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07E562DA">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3.</w:t>
      </w:r>
      <w:r>
        <w:rPr>
          <w:rFonts w:asciiTheme="minorEastAsia" w:hAnsiTheme="minorEastAsia" w:eastAsiaTheme="minorEastAsia"/>
          <w:color w:val="000000"/>
          <w:sz w:val="21"/>
          <w:szCs w:val="21"/>
        </w:rPr>
        <w:t>合同总金额</w:t>
      </w:r>
    </w:p>
    <w:p w14:paraId="7ED854C5">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3.1合同总金额为人民币大写：</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元（￥</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71790E56">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4.</w:t>
      </w:r>
      <w:r>
        <w:rPr>
          <w:rFonts w:asciiTheme="minorEastAsia" w:hAnsiTheme="minorEastAsia" w:eastAsiaTheme="minorEastAsia"/>
          <w:color w:val="000000"/>
          <w:sz w:val="21"/>
          <w:szCs w:val="21"/>
        </w:rPr>
        <w:t>合同标的交付时间、地点和条件</w:t>
      </w:r>
    </w:p>
    <w:p w14:paraId="5A983A3F">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4.1交付时间：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4CD98C32">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4.2交付地点：</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3910EB1C">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4.3交付条件：</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02A4A277">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5.</w:t>
      </w:r>
      <w:r>
        <w:rPr>
          <w:rFonts w:asciiTheme="minorEastAsia" w:hAnsiTheme="minorEastAsia" w:eastAsiaTheme="minorEastAsia"/>
          <w:color w:val="000000"/>
          <w:sz w:val="21"/>
          <w:szCs w:val="21"/>
        </w:rPr>
        <w:t>合同标的应符合招标文件、乙方投标文件的规定或约定，具体如下：</w:t>
      </w:r>
    </w:p>
    <w:p w14:paraId="5A3785E7">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20FC44B3">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6.</w:t>
      </w:r>
      <w:r>
        <w:rPr>
          <w:rFonts w:asciiTheme="minorEastAsia" w:hAnsiTheme="minorEastAsia" w:eastAsiaTheme="minorEastAsia"/>
          <w:color w:val="000000"/>
          <w:sz w:val="21"/>
          <w:szCs w:val="21"/>
        </w:rPr>
        <w:t>验收</w:t>
      </w:r>
    </w:p>
    <w:p w14:paraId="0516C201">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6.1验收应按照招标文件、乙方投标文件的规定或约定进行，具体如下：</w:t>
      </w:r>
    </w:p>
    <w:p w14:paraId="7DB0FFD8">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3F6B538">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6.2本项目是否邀请其他投标人参与验收：</w:t>
      </w:r>
    </w:p>
    <w:p w14:paraId="6033484D">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□不邀请。□邀请，具体如下：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76542797">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7.</w:t>
      </w:r>
      <w:r>
        <w:rPr>
          <w:rFonts w:asciiTheme="minorEastAsia" w:hAnsiTheme="minorEastAsia" w:eastAsiaTheme="minorEastAsia"/>
          <w:color w:val="000000"/>
          <w:sz w:val="21"/>
          <w:szCs w:val="21"/>
        </w:rPr>
        <w:t>合同款项的支付应按照招标文件的规定进行，具体如下：</w:t>
      </w:r>
    </w:p>
    <w:p w14:paraId="4C897CB9">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（按照实际情况编制填写，可以是表格或文字描述，包括一次性支付或分期支付等）</w:t>
      </w:r>
      <w:r>
        <w:rPr>
          <w:rFonts w:asciiTheme="minorEastAsia" w:hAnsiTheme="minorEastAsia" w:eastAsiaTheme="minorEastAsia"/>
          <w:color w:val="000000"/>
          <w:sz w:val="21"/>
          <w:szCs w:val="21"/>
        </w:rPr>
        <w:t>。</w:t>
      </w:r>
    </w:p>
    <w:p w14:paraId="41BFE7AE">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8.</w:t>
      </w:r>
      <w:r>
        <w:rPr>
          <w:rFonts w:asciiTheme="minorEastAsia" w:hAnsiTheme="minorEastAsia" w:eastAsiaTheme="minorEastAsia"/>
          <w:color w:val="000000"/>
          <w:sz w:val="21"/>
          <w:szCs w:val="21"/>
        </w:rPr>
        <w:t>履约保证金</w:t>
      </w:r>
    </w:p>
    <w:p w14:paraId="6ED1D187">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□无。□有，具体如下：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6721C9D7">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9.</w:t>
      </w:r>
      <w:r>
        <w:rPr>
          <w:rFonts w:asciiTheme="minorEastAsia" w:hAnsiTheme="minorEastAsia" w:eastAsiaTheme="minorEastAsia"/>
          <w:color w:val="000000"/>
          <w:sz w:val="21"/>
          <w:szCs w:val="21"/>
        </w:rPr>
        <w:t>合同有效期</w:t>
      </w:r>
    </w:p>
    <w:p w14:paraId="528B11EB">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C754F5E">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10.</w:t>
      </w:r>
      <w:r>
        <w:rPr>
          <w:rFonts w:asciiTheme="minorEastAsia" w:hAnsiTheme="minorEastAsia" w:eastAsiaTheme="minorEastAsia"/>
          <w:color w:val="000000"/>
          <w:sz w:val="21"/>
          <w:szCs w:val="21"/>
        </w:rPr>
        <w:t>违约责任</w:t>
      </w:r>
    </w:p>
    <w:p w14:paraId="55A173C1">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70BE85F9">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11.</w:t>
      </w:r>
      <w:r>
        <w:rPr>
          <w:rFonts w:asciiTheme="minorEastAsia" w:hAnsiTheme="minorEastAsia" w:eastAsiaTheme="minorEastAsia"/>
          <w:color w:val="000000"/>
          <w:sz w:val="21"/>
          <w:szCs w:val="21"/>
        </w:rPr>
        <w:t>知识产权</w:t>
      </w:r>
    </w:p>
    <w:p w14:paraId="21537113">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92B572B">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11.2若乙方提供的采购标的不符合国家知识产权法律、法规的规定或被有关主管机关认定为假冒伪劣品，则乙方中标资格将被取消；甲方还将按照有关法律、法规和规章的规定进行处理，具体如下：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5D10508A">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12.</w:t>
      </w:r>
      <w:r>
        <w:rPr>
          <w:rFonts w:asciiTheme="minorEastAsia" w:hAnsiTheme="minorEastAsia" w:eastAsiaTheme="minorEastAsia"/>
          <w:color w:val="000000"/>
          <w:sz w:val="21"/>
          <w:szCs w:val="21"/>
        </w:rPr>
        <w:t>解决争议的方法</w:t>
      </w:r>
    </w:p>
    <w:p w14:paraId="640F6E14">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12.1甲、乙双方协商解决。</w:t>
      </w:r>
    </w:p>
    <w:p w14:paraId="61CB989B">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12.2若协商解决不成，则通过下列途径之一解决：</w:t>
      </w:r>
    </w:p>
    <w:p w14:paraId="5C37C64A">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□提交仲裁委员会仲裁，具体如下：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2F964722">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□向人民法院提起诉讼，具体如下：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1BE140E8">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13.</w:t>
      </w:r>
      <w:r>
        <w:rPr>
          <w:rFonts w:asciiTheme="minorEastAsia" w:hAnsiTheme="minorEastAsia" w:eastAsiaTheme="minorEastAsia"/>
          <w:color w:val="000000"/>
          <w:sz w:val="21"/>
          <w:szCs w:val="21"/>
        </w:rPr>
        <w:t>不可抗力</w:t>
      </w:r>
    </w:p>
    <w:p w14:paraId="5B7682E4">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4F0CDA4">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7C4AE804">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14.</w:t>
      </w:r>
      <w:r>
        <w:rPr>
          <w:rFonts w:asciiTheme="minorEastAsia" w:hAnsiTheme="minorEastAsia" w:eastAsiaTheme="minorEastAsia"/>
          <w:color w:val="000000"/>
          <w:sz w:val="21"/>
          <w:szCs w:val="21"/>
        </w:rPr>
        <w:t>合同条款</w:t>
      </w:r>
    </w:p>
    <w:p w14:paraId="223E7DB4">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（按照实际情况编制填写。招标文件已有规定的，双方均不得变更或调整；招标文件未作规定的，双方可通过友好协商进行约定）</w:t>
      </w:r>
      <w:r>
        <w:rPr>
          <w:rFonts w:asciiTheme="minorEastAsia" w:hAnsiTheme="minorEastAsia" w:eastAsiaTheme="minorEastAsia"/>
          <w:color w:val="000000"/>
          <w:sz w:val="21"/>
          <w:szCs w:val="21"/>
        </w:rPr>
        <w:t>。</w:t>
      </w:r>
    </w:p>
    <w:p w14:paraId="09A796A5">
      <w:pPr>
        <w:pStyle w:val="25"/>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15.</w:t>
      </w:r>
      <w:r>
        <w:rPr>
          <w:rFonts w:asciiTheme="minorEastAsia" w:hAnsiTheme="minorEastAsia" w:eastAsiaTheme="minorEastAsia"/>
          <w:color w:val="000000"/>
          <w:sz w:val="21"/>
          <w:szCs w:val="21"/>
        </w:rPr>
        <w:t>其他约定</w:t>
      </w:r>
    </w:p>
    <w:p w14:paraId="6C5AA0D1">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15.1合同文件与本合同具有同等法律效力。</w:t>
      </w:r>
    </w:p>
    <w:p w14:paraId="05BAA7CA">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15.2本合同未尽事宜，双方可另行补充。</w:t>
      </w:r>
    </w:p>
    <w:p w14:paraId="181E816D">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15.3合同生效：自签订之日起生效。</w:t>
      </w:r>
    </w:p>
    <w:p w14:paraId="2727B02D">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15.4本合同一式</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份，经双方授权代表签字并盖章后生效。甲方、乙方各执</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份，送</w:t>
      </w:r>
      <w:r>
        <w:rPr>
          <w:rFonts w:asciiTheme="minorEastAsia" w:hAnsiTheme="minorEastAsia" w:eastAsiaTheme="minorEastAsia"/>
          <w:color w:val="000000"/>
          <w:sz w:val="21"/>
          <w:szCs w:val="21"/>
          <w:u w:val="single"/>
        </w:rPr>
        <w:t>（填写需要备案的监管部门的全称）</w:t>
      </w:r>
      <w:r>
        <w:rPr>
          <w:rFonts w:asciiTheme="minorEastAsia" w:hAnsiTheme="minorEastAsia" w:eastAsiaTheme="minorEastAsia"/>
          <w:color w:val="000000"/>
          <w:sz w:val="21"/>
          <w:szCs w:val="21"/>
        </w:rPr>
        <w:t>备案</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份，具有同等效力。</w:t>
      </w:r>
    </w:p>
    <w:p w14:paraId="7274294C">
      <w:pPr>
        <w:pStyle w:val="25"/>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15.5其他：□无。□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16AA01B2">
      <w:pPr>
        <w:pStyle w:val="25"/>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848B631">
      <w:pPr>
        <w:pStyle w:val="25"/>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21EA0B97">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                        乙方：</w:t>
      </w:r>
    </w:p>
    <w:p w14:paraId="0461ACB5">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住所：                        住所：</w:t>
      </w:r>
    </w:p>
    <w:p w14:paraId="034F15C8">
      <w:pPr>
        <w:pStyle w:val="25"/>
        <w:spacing w:before="75" w:after="75" w:line="360" w:lineRule="auto"/>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            </w:t>
      </w:r>
      <w:r>
        <w:rPr>
          <w:rFonts w:hint="eastAsia" w:asciiTheme="minorEastAsia" w:hAnsiTheme="minorEastAsia" w:eastAsiaTheme="minorEastAsia"/>
          <w:color w:val="000000"/>
          <w:sz w:val="21"/>
          <w:szCs w:val="21"/>
        </w:rPr>
        <w:t xml:space="preserve">     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w:t>
      </w:r>
    </w:p>
    <w:p w14:paraId="42D41ABF">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联系方法：                      联系方法：</w:t>
      </w:r>
    </w:p>
    <w:p w14:paraId="5B7BBC37">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开户银行：                      开户银行：</w:t>
      </w:r>
    </w:p>
    <w:p w14:paraId="3D39206D">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账号：                        账号：</w:t>
      </w:r>
    </w:p>
    <w:p w14:paraId="0EE10230">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F4882C9">
      <w:pPr>
        <w:pStyle w:val="25"/>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71AFD0F">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签订地点：</w:t>
      </w:r>
      <w:r>
        <w:rPr>
          <w:rFonts w:asciiTheme="minorEastAsia" w:hAnsiTheme="minorEastAsia" w:eastAsiaTheme="minorEastAsia"/>
          <w:color w:val="000000"/>
          <w:sz w:val="21"/>
          <w:szCs w:val="21"/>
          <w:u w:val="single"/>
        </w:rPr>
        <w:t>                </w:t>
      </w:r>
    </w:p>
    <w:p w14:paraId="14FD3859">
      <w:pPr>
        <w:pStyle w:val="25"/>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签订日期：</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月</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日</w:t>
      </w:r>
    </w:p>
    <w:p w14:paraId="26FF9D22">
      <w:pPr>
        <w:pStyle w:val="17"/>
        <w:spacing w:line="360" w:lineRule="auto"/>
        <w:contextualSpacing/>
        <w:jc w:val="center"/>
        <w:rPr>
          <w:rFonts w:cs="宋体" w:asciiTheme="majorEastAsia" w:hAnsiTheme="majorEastAsia" w:eastAsiaTheme="majorEastAsia"/>
          <w:b/>
          <w:kern w:val="0"/>
          <w:sz w:val="36"/>
          <w:szCs w:val="36"/>
        </w:rPr>
      </w:pPr>
    </w:p>
    <w:p w14:paraId="3C11889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sectPr>
          <w:pgSz w:w="11906" w:h="16838"/>
          <w:pgMar w:top="2098" w:right="1474" w:bottom="1928" w:left="1588" w:header="851" w:footer="992" w:gutter="0"/>
          <w:cols w:space="425" w:num="1"/>
          <w:docGrid w:type="lines" w:linePitch="312" w:charSpace="0"/>
        </w:sectPr>
      </w:pPr>
    </w:p>
    <w:p w14:paraId="5928D96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bookmarkStart w:id="4" w:name="_Toc186274126"/>
      <w:bookmarkStart w:id="5" w:name="_Toc184023138"/>
      <w:bookmarkStart w:id="6" w:name="_Toc174185203"/>
      <w:r>
        <w:rPr>
          <w:rFonts w:hint="eastAsia" w:cs="宋体" w:asciiTheme="majorEastAsia" w:hAnsiTheme="majorEastAsia" w:eastAsiaTheme="majorEastAsia"/>
          <w:b/>
          <w:color w:val="auto"/>
          <w:kern w:val="0"/>
          <w:sz w:val="32"/>
          <w:szCs w:val="32"/>
          <w:highlight w:val="none"/>
        </w:rPr>
        <w:t>第八章 投标文件有关格式</w:t>
      </w:r>
    </w:p>
    <w:p w14:paraId="16D24A36">
      <w:pPr>
        <w:pStyle w:val="2"/>
        <w:rPr>
          <w:rFonts w:ascii="宋体" w:hAnsi="宋体" w:eastAsia="宋体" w:cs="宋体"/>
          <w:b/>
          <w:bCs/>
          <w:color w:val="auto"/>
          <w:sz w:val="24"/>
          <w:szCs w:val="24"/>
          <w:highlight w:val="none"/>
        </w:rPr>
      </w:pPr>
    </w:p>
    <w:p w14:paraId="0F475140">
      <w:pPr>
        <w:pStyle w:val="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注：</w:t>
      </w:r>
    </w:p>
    <w:p w14:paraId="33984E8C">
      <w:pPr>
        <w:pStyle w:val="2"/>
        <w:spacing w:line="360" w:lineRule="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1.以下的投标文件格式为通用的格式，投标人在制作投标文件时应以招标文件内 容要求为准，选择相应的投标文件格式。</w:t>
      </w:r>
    </w:p>
    <w:p w14:paraId="1AB102F3">
      <w:pPr>
        <w:pStyle w:val="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2.没有给定格式的，投标人可以自行设计。</w:t>
      </w:r>
    </w:p>
    <w:bookmarkEnd w:id="4"/>
    <w:bookmarkEnd w:id="5"/>
    <w:bookmarkEnd w:id="6"/>
    <w:p w14:paraId="7F6D6457">
      <w:pPr>
        <w:pStyle w:val="5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一、投标人应答索引表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EC18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2CC3601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F79E570">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F7B329C">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投标人应答</w:t>
            </w:r>
          </w:p>
          <w:p w14:paraId="1479AB29">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5F58CC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投标文件中所在页码</w:t>
            </w:r>
          </w:p>
        </w:tc>
        <w:tc>
          <w:tcPr>
            <w:tcW w:w="2018" w:type="dxa"/>
            <w:vAlign w:val="center"/>
          </w:tcPr>
          <w:p w14:paraId="4362CFAF">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32AEB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B262D4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16AD54D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投标人应答索引表</w:t>
            </w:r>
          </w:p>
        </w:tc>
        <w:tc>
          <w:tcPr>
            <w:tcW w:w="1559" w:type="dxa"/>
            <w:vAlign w:val="center"/>
          </w:tcPr>
          <w:p w14:paraId="56F1894C">
            <w:pPr>
              <w:snapToGrid w:val="0"/>
              <w:spacing w:line="400" w:lineRule="exact"/>
              <w:jc w:val="center"/>
              <w:rPr>
                <w:rFonts w:ascii="宋体" w:hAnsi="宋体" w:cs="微软雅黑"/>
                <w:color w:val="auto"/>
                <w:szCs w:val="21"/>
                <w:highlight w:val="none"/>
              </w:rPr>
            </w:pPr>
          </w:p>
        </w:tc>
        <w:tc>
          <w:tcPr>
            <w:tcW w:w="1560" w:type="dxa"/>
            <w:vAlign w:val="center"/>
          </w:tcPr>
          <w:p w14:paraId="3655FF61">
            <w:pPr>
              <w:snapToGrid w:val="0"/>
              <w:spacing w:line="400" w:lineRule="exact"/>
              <w:rPr>
                <w:rFonts w:ascii="宋体" w:hAnsi="宋体" w:cs="微软雅黑"/>
                <w:color w:val="auto"/>
                <w:szCs w:val="21"/>
                <w:highlight w:val="none"/>
              </w:rPr>
            </w:pPr>
          </w:p>
        </w:tc>
        <w:tc>
          <w:tcPr>
            <w:tcW w:w="2018" w:type="dxa"/>
            <w:vAlign w:val="center"/>
          </w:tcPr>
          <w:p w14:paraId="37B8A541">
            <w:pPr>
              <w:snapToGrid w:val="0"/>
              <w:spacing w:line="400" w:lineRule="exact"/>
              <w:rPr>
                <w:rFonts w:ascii="宋体" w:hAnsi="宋体" w:cs="微软雅黑"/>
                <w:color w:val="auto"/>
                <w:szCs w:val="21"/>
                <w:highlight w:val="none"/>
              </w:rPr>
            </w:pPr>
          </w:p>
        </w:tc>
      </w:tr>
      <w:tr w14:paraId="615FA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E272A4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221C55AF">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开标一览表</w:t>
            </w:r>
          </w:p>
        </w:tc>
        <w:tc>
          <w:tcPr>
            <w:tcW w:w="1559" w:type="dxa"/>
            <w:vAlign w:val="center"/>
          </w:tcPr>
          <w:p w14:paraId="6F06BC68">
            <w:pPr>
              <w:snapToGrid w:val="0"/>
              <w:spacing w:line="400" w:lineRule="exact"/>
              <w:jc w:val="center"/>
              <w:rPr>
                <w:rFonts w:ascii="宋体" w:hAnsi="宋体" w:cs="微软雅黑"/>
                <w:color w:val="auto"/>
                <w:szCs w:val="21"/>
                <w:highlight w:val="none"/>
              </w:rPr>
            </w:pPr>
          </w:p>
        </w:tc>
        <w:tc>
          <w:tcPr>
            <w:tcW w:w="1560" w:type="dxa"/>
            <w:vAlign w:val="center"/>
          </w:tcPr>
          <w:p w14:paraId="2CB474B7">
            <w:pPr>
              <w:snapToGrid w:val="0"/>
              <w:spacing w:line="400" w:lineRule="exact"/>
              <w:rPr>
                <w:rFonts w:ascii="宋体" w:hAnsi="宋体" w:cs="微软雅黑"/>
                <w:color w:val="auto"/>
                <w:szCs w:val="21"/>
                <w:highlight w:val="none"/>
              </w:rPr>
            </w:pPr>
          </w:p>
        </w:tc>
        <w:tc>
          <w:tcPr>
            <w:tcW w:w="2018" w:type="dxa"/>
            <w:vAlign w:val="center"/>
          </w:tcPr>
          <w:p w14:paraId="3D46C7D2">
            <w:pPr>
              <w:snapToGrid w:val="0"/>
              <w:spacing w:line="400" w:lineRule="exact"/>
              <w:rPr>
                <w:rFonts w:ascii="宋体" w:hAnsi="宋体" w:cs="微软雅黑"/>
                <w:color w:val="auto"/>
                <w:szCs w:val="21"/>
                <w:highlight w:val="none"/>
              </w:rPr>
            </w:pPr>
          </w:p>
        </w:tc>
      </w:tr>
      <w:tr w14:paraId="463B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198CED3">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1FB0D468">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投标函</w:t>
            </w:r>
          </w:p>
        </w:tc>
        <w:tc>
          <w:tcPr>
            <w:tcW w:w="1559" w:type="dxa"/>
            <w:vAlign w:val="center"/>
          </w:tcPr>
          <w:p w14:paraId="3AF19202">
            <w:pPr>
              <w:snapToGrid w:val="0"/>
              <w:spacing w:line="400" w:lineRule="exact"/>
              <w:jc w:val="center"/>
              <w:rPr>
                <w:rFonts w:ascii="宋体" w:hAnsi="宋体" w:cs="微软雅黑"/>
                <w:color w:val="auto"/>
                <w:szCs w:val="21"/>
                <w:highlight w:val="none"/>
              </w:rPr>
            </w:pPr>
          </w:p>
        </w:tc>
        <w:tc>
          <w:tcPr>
            <w:tcW w:w="1560" w:type="dxa"/>
            <w:vAlign w:val="center"/>
          </w:tcPr>
          <w:p w14:paraId="34758B8E">
            <w:pPr>
              <w:snapToGrid w:val="0"/>
              <w:spacing w:line="400" w:lineRule="exact"/>
              <w:rPr>
                <w:rFonts w:ascii="宋体" w:hAnsi="宋体" w:cs="微软雅黑"/>
                <w:color w:val="auto"/>
                <w:szCs w:val="21"/>
                <w:highlight w:val="none"/>
              </w:rPr>
            </w:pPr>
          </w:p>
        </w:tc>
        <w:tc>
          <w:tcPr>
            <w:tcW w:w="2018" w:type="dxa"/>
            <w:vAlign w:val="center"/>
          </w:tcPr>
          <w:p w14:paraId="3439CA37">
            <w:pPr>
              <w:snapToGrid w:val="0"/>
              <w:spacing w:line="400" w:lineRule="exact"/>
              <w:rPr>
                <w:rFonts w:ascii="宋体" w:hAnsi="宋体" w:cs="微软雅黑"/>
                <w:color w:val="auto"/>
                <w:szCs w:val="21"/>
                <w:highlight w:val="none"/>
              </w:rPr>
            </w:pPr>
          </w:p>
        </w:tc>
      </w:tr>
      <w:tr w14:paraId="07AC8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CD3AFE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089C90F">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06662DDB">
            <w:pPr>
              <w:snapToGrid w:val="0"/>
              <w:spacing w:line="400" w:lineRule="exact"/>
              <w:jc w:val="center"/>
              <w:rPr>
                <w:rFonts w:ascii="宋体" w:hAnsi="宋体" w:cs="微软雅黑"/>
                <w:color w:val="auto"/>
                <w:szCs w:val="21"/>
                <w:highlight w:val="none"/>
              </w:rPr>
            </w:pPr>
          </w:p>
        </w:tc>
        <w:tc>
          <w:tcPr>
            <w:tcW w:w="1560" w:type="dxa"/>
            <w:vAlign w:val="center"/>
          </w:tcPr>
          <w:p w14:paraId="1A0D04D5">
            <w:pPr>
              <w:snapToGrid w:val="0"/>
              <w:spacing w:line="400" w:lineRule="exact"/>
              <w:rPr>
                <w:rFonts w:ascii="宋体" w:hAnsi="宋体" w:cs="微软雅黑"/>
                <w:color w:val="auto"/>
                <w:szCs w:val="21"/>
                <w:highlight w:val="none"/>
              </w:rPr>
            </w:pPr>
          </w:p>
        </w:tc>
        <w:tc>
          <w:tcPr>
            <w:tcW w:w="2018" w:type="dxa"/>
            <w:vAlign w:val="center"/>
          </w:tcPr>
          <w:p w14:paraId="67EBCBAE">
            <w:pPr>
              <w:snapToGrid w:val="0"/>
              <w:spacing w:line="400" w:lineRule="exact"/>
              <w:rPr>
                <w:rFonts w:ascii="宋体" w:hAnsi="宋体" w:cs="微软雅黑"/>
                <w:color w:val="auto"/>
                <w:szCs w:val="21"/>
                <w:highlight w:val="none"/>
              </w:rPr>
            </w:pPr>
          </w:p>
        </w:tc>
      </w:tr>
      <w:tr w14:paraId="07086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A27653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2D66CF0">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0C278C5B">
            <w:pPr>
              <w:snapToGrid w:val="0"/>
              <w:spacing w:line="400" w:lineRule="exact"/>
              <w:jc w:val="center"/>
              <w:rPr>
                <w:rFonts w:ascii="宋体" w:hAnsi="宋体" w:cs="微软雅黑"/>
                <w:color w:val="auto"/>
                <w:szCs w:val="21"/>
                <w:highlight w:val="none"/>
              </w:rPr>
            </w:pPr>
          </w:p>
        </w:tc>
        <w:tc>
          <w:tcPr>
            <w:tcW w:w="1560" w:type="dxa"/>
            <w:vAlign w:val="center"/>
          </w:tcPr>
          <w:p w14:paraId="535E20F0">
            <w:pPr>
              <w:snapToGrid w:val="0"/>
              <w:spacing w:line="400" w:lineRule="exact"/>
              <w:rPr>
                <w:rFonts w:ascii="宋体" w:hAnsi="宋体" w:cs="微软雅黑"/>
                <w:color w:val="auto"/>
                <w:szCs w:val="21"/>
                <w:highlight w:val="none"/>
              </w:rPr>
            </w:pPr>
          </w:p>
        </w:tc>
        <w:tc>
          <w:tcPr>
            <w:tcW w:w="2018" w:type="dxa"/>
            <w:vAlign w:val="center"/>
          </w:tcPr>
          <w:p w14:paraId="314DE38C">
            <w:pPr>
              <w:snapToGrid w:val="0"/>
              <w:spacing w:line="400" w:lineRule="exact"/>
              <w:rPr>
                <w:rFonts w:ascii="宋体" w:hAnsi="宋体" w:cs="微软雅黑"/>
                <w:color w:val="auto"/>
                <w:szCs w:val="21"/>
                <w:highlight w:val="none"/>
              </w:rPr>
            </w:pPr>
          </w:p>
        </w:tc>
      </w:tr>
      <w:tr w14:paraId="10E2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C020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36190C50">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投标承诺函</w:t>
            </w:r>
          </w:p>
        </w:tc>
        <w:tc>
          <w:tcPr>
            <w:tcW w:w="1559" w:type="dxa"/>
            <w:vAlign w:val="center"/>
          </w:tcPr>
          <w:p w14:paraId="3C2804C5">
            <w:pPr>
              <w:snapToGrid w:val="0"/>
              <w:spacing w:line="400" w:lineRule="exact"/>
              <w:jc w:val="center"/>
              <w:rPr>
                <w:rFonts w:ascii="宋体" w:hAnsi="宋体" w:cs="微软雅黑"/>
                <w:color w:val="auto"/>
                <w:szCs w:val="21"/>
                <w:highlight w:val="none"/>
              </w:rPr>
            </w:pPr>
          </w:p>
        </w:tc>
        <w:tc>
          <w:tcPr>
            <w:tcW w:w="1560" w:type="dxa"/>
            <w:vAlign w:val="center"/>
          </w:tcPr>
          <w:p w14:paraId="62D5A4A9">
            <w:pPr>
              <w:snapToGrid w:val="0"/>
              <w:spacing w:line="400" w:lineRule="exact"/>
              <w:rPr>
                <w:rFonts w:ascii="宋体" w:hAnsi="宋体" w:cs="微软雅黑"/>
                <w:color w:val="auto"/>
                <w:szCs w:val="21"/>
                <w:highlight w:val="none"/>
              </w:rPr>
            </w:pPr>
          </w:p>
        </w:tc>
        <w:tc>
          <w:tcPr>
            <w:tcW w:w="2018" w:type="dxa"/>
            <w:vAlign w:val="center"/>
          </w:tcPr>
          <w:p w14:paraId="264A9910">
            <w:pPr>
              <w:snapToGrid w:val="0"/>
              <w:spacing w:line="400" w:lineRule="exact"/>
              <w:rPr>
                <w:rFonts w:ascii="宋体" w:hAnsi="宋体" w:cs="微软雅黑"/>
                <w:color w:val="auto"/>
                <w:szCs w:val="21"/>
                <w:highlight w:val="none"/>
              </w:rPr>
            </w:pPr>
          </w:p>
        </w:tc>
      </w:tr>
      <w:tr w14:paraId="4EC4F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65E54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2A566DB7">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3867FEFF">
            <w:pPr>
              <w:jc w:val="center"/>
              <w:rPr>
                <w:color w:val="auto"/>
                <w:szCs w:val="21"/>
                <w:highlight w:val="none"/>
              </w:rPr>
            </w:pPr>
          </w:p>
        </w:tc>
        <w:tc>
          <w:tcPr>
            <w:tcW w:w="1560" w:type="dxa"/>
            <w:vAlign w:val="center"/>
          </w:tcPr>
          <w:p w14:paraId="32BC63E8">
            <w:pPr>
              <w:snapToGrid w:val="0"/>
              <w:spacing w:line="400" w:lineRule="exact"/>
              <w:rPr>
                <w:rFonts w:ascii="宋体" w:hAnsi="宋体" w:cs="微软雅黑"/>
                <w:color w:val="auto"/>
                <w:szCs w:val="21"/>
                <w:highlight w:val="none"/>
              </w:rPr>
            </w:pPr>
          </w:p>
        </w:tc>
        <w:tc>
          <w:tcPr>
            <w:tcW w:w="2018" w:type="dxa"/>
            <w:vAlign w:val="center"/>
          </w:tcPr>
          <w:p w14:paraId="1DD1140F">
            <w:pPr>
              <w:snapToGrid w:val="0"/>
              <w:spacing w:line="400" w:lineRule="exact"/>
              <w:rPr>
                <w:rFonts w:ascii="宋体" w:hAnsi="宋体" w:cs="微软雅黑"/>
                <w:color w:val="auto"/>
                <w:szCs w:val="21"/>
                <w:highlight w:val="none"/>
              </w:rPr>
            </w:pPr>
          </w:p>
        </w:tc>
      </w:tr>
      <w:tr w14:paraId="09D2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9B4471">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8</w:t>
            </w:r>
          </w:p>
        </w:tc>
        <w:tc>
          <w:tcPr>
            <w:tcW w:w="3751" w:type="dxa"/>
            <w:vAlign w:val="center"/>
          </w:tcPr>
          <w:p w14:paraId="536F5C6A">
            <w:pPr>
              <w:pStyle w:val="17"/>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hAnsi="宋体" w:cs="微软雅黑"/>
                <w:bCs/>
                <w:color w:val="auto"/>
                <w:kern w:val="0"/>
                <w:sz w:val="21"/>
                <w:szCs w:val="21"/>
                <w:highlight w:val="none"/>
              </w:rPr>
              <w:t>中小企业声明函</w:t>
            </w:r>
          </w:p>
        </w:tc>
        <w:tc>
          <w:tcPr>
            <w:tcW w:w="1559" w:type="dxa"/>
            <w:vAlign w:val="center"/>
          </w:tcPr>
          <w:p w14:paraId="4C31C048">
            <w:pPr>
              <w:jc w:val="center"/>
              <w:rPr>
                <w:color w:val="auto"/>
                <w:szCs w:val="21"/>
                <w:highlight w:val="none"/>
              </w:rPr>
            </w:pPr>
          </w:p>
        </w:tc>
        <w:tc>
          <w:tcPr>
            <w:tcW w:w="1560" w:type="dxa"/>
            <w:vAlign w:val="center"/>
          </w:tcPr>
          <w:p w14:paraId="37A282ED">
            <w:pPr>
              <w:snapToGrid w:val="0"/>
              <w:spacing w:line="400" w:lineRule="exact"/>
              <w:rPr>
                <w:rFonts w:ascii="宋体" w:hAnsi="宋体" w:cs="微软雅黑"/>
                <w:color w:val="auto"/>
                <w:szCs w:val="21"/>
                <w:highlight w:val="none"/>
              </w:rPr>
            </w:pPr>
          </w:p>
        </w:tc>
        <w:tc>
          <w:tcPr>
            <w:tcW w:w="2018" w:type="dxa"/>
            <w:vAlign w:val="center"/>
          </w:tcPr>
          <w:p w14:paraId="41ADF7E0">
            <w:pPr>
              <w:snapToGrid w:val="0"/>
              <w:spacing w:line="400" w:lineRule="exact"/>
              <w:rPr>
                <w:rFonts w:ascii="宋体" w:hAnsi="宋体" w:cs="微软雅黑"/>
                <w:color w:val="auto"/>
                <w:szCs w:val="21"/>
                <w:highlight w:val="none"/>
              </w:rPr>
            </w:pPr>
          </w:p>
        </w:tc>
      </w:tr>
      <w:tr w14:paraId="19382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3D42B8C">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9</w:t>
            </w:r>
          </w:p>
        </w:tc>
        <w:tc>
          <w:tcPr>
            <w:tcW w:w="3751" w:type="dxa"/>
            <w:vAlign w:val="center"/>
          </w:tcPr>
          <w:p w14:paraId="53E1C081">
            <w:pPr>
              <w:pStyle w:val="17"/>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014FA06E">
            <w:pPr>
              <w:jc w:val="center"/>
              <w:rPr>
                <w:color w:val="auto"/>
                <w:szCs w:val="21"/>
                <w:highlight w:val="none"/>
              </w:rPr>
            </w:pPr>
          </w:p>
        </w:tc>
        <w:tc>
          <w:tcPr>
            <w:tcW w:w="1560" w:type="dxa"/>
            <w:vAlign w:val="center"/>
          </w:tcPr>
          <w:p w14:paraId="7D103809">
            <w:pPr>
              <w:snapToGrid w:val="0"/>
              <w:spacing w:line="400" w:lineRule="exact"/>
              <w:rPr>
                <w:rFonts w:ascii="宋体" w:hAnsi="宋体" w:cs="微软雅黑"/>
                <w:color w:val="auto"/>
                <w:szCs w:val="21"/>
                <w:highlight w:val="none"/>
              </w:rPr>
            </w:pPr>
          </w:p>
        </w:tc>
        <w:tc>
          <w:tcPr>
            <w:tcW w:w="2018" w:type="dxa"/>
            <w:vAlign w:val="center"/>
          </w:tcPr>
          <w:p w14:paraId="3B847BD7">
            <w:pPr>
              <w:snapToGrid w:val="0"/>
              <w:spacing w:line="400" w:lineRule="exact"/>
              <w:rPr>
                <w:rFonts w:ascii="宋体" w:hAnsi="宋体" w:cs="微软雅黑"/>
                <w:color w:val="auto"/>
                <w:szCs w:val="21"/>
                <w:highlight w:val="none"/>
              </w:rPr>
            </w:pPr>
          </w:p>
        </w:tc>
      </w:tr>
      <w:tr w14:paraId="5A47A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71C76B6">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10</w:t>
            </w:r>
          </w:p>
        </w:tc>
        <w:tc>
          <w:tcPr>
            <w:tcW w:w="3751" w:type="dxa"/>
            <w:vAlign w:val="center"/>
          </w:tcPr>
          <w:p w14:paraId="5F3FBBCE">
            <w:pPr>
              <w:pStyle w:val="17"/>
              <w:kinsoku w:val="0"/>
              <w:overflowPunct w:val="0"/>
              <w:autoSpaceDE w:val="0"/>
              <w:autoSpaceDN w:val="0"/>
              <w:spacing w:line="320" w:lineRule="exact"/>
              <w:rPr>
                <w:rFonts w:hint="eastAsia" w:cs="仿宋_GB2312" w:asciiTheme="minorEastAsia" w:hAnsiTheme="minorEastAsia" w:eastAsiaTheme="minorEastAsia"/>
                <w:color w:val="auto"/>
                <w:sz w:val="21"/>
                <w:szCs w:val="21"/>
                <w:highlight w:val="none"/>
                <w:lang w:val="zh-CN"/>
              </w:rPr>
            </w:pPr>
            <w:r>
              <w:rPr>
                <w:rFonts w:hint="eastAsia" w:hAnsi="宋体" w:cs="微软雅黑"/>
                <w:bCs/>
                <w:color w:val="auto"/>
                <w:kern w:val="0"/>
                <w:sz w:val="21"/>
                <w:szCs w:val="21"/>
                <w:highlight w:val="none"/>
              </w:rPr>
              <w:t>监狱企业证明文件</w:t>
            </w:r>
          </w:p>
        </w:tc>
        <w:tc>
          <w:tcPr>
            <w:tcW w:w="1559" w:type="dxa"/>
            <w:vAlign w:val="center"/>
          </w:tcPr>
          <w:p w14:paraId="6614B1BE">
            <w:pPr>
              <w:jc w:val="center"/>
              <w:rPr>
                <w:color w:val="auto"/>
                <w:szCs w:val="21"/>
                <w:highlight w:val="none"/>
              </w:rPr>
            </w:pPr>
          </w:p>
        </w:tc>
        <w:tc>
          <w:tcPr>
            <w:tcW w:w="1560" w:type="dxa"/>
            <w:vAlign w:val="center"/>
          </w:tcPr>
          <w:p w14:paraId="62D9FAF4">
            <w:pPr>
              <w:snapToGrid w:val="0"/>
              <w:spacing w:line="400" w:lineRule="exact"/>
              <w:rPr>
                <w:rFonts w:ascii="宋体" w:hAnsi="宋体" w:cs="微软雅黑"/>
                <w:color w:val="auto"/>
                <w:szCs w:val="21"/>
                <w:highlight w:val="none"/>
              </w:rPr>
            </w:pPr>
          </w:p>
        </w:tc>
        <w:tc>
          <w:tcPr>
            <w:tcW w:w="2018" w:type="dxa"/>
            <w:vAlign w:val="center"/>
          </w:tcPr>
          <w:p w14:paraId="09476C48">
            <w:pPr>
              <w:snapToGrid w:val="0"/>
              <w:spacing w:line="400" w:lineRule="exact"/>
              <w:rPr>
                <w:rFonts w:ascii="宋体" w:hAnsi="宋体" w:cs="微软雅黑"/>
                <w:color w:val="auto"/>
                <w:szCs w:val="21"/>
                <w:highlight w:val="none"/>
              </w:rPr>
            </w:pPr>
          </w:p>
        </w:tc>
      </w:tr>
      <w:tr w14:paraId="7F522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BA223D">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11</w:t>
            </w:r>
          </w:p>
        </w:tc>
        <w:tc>
          <w:tcPr>
            <w:tcW w:w="3751" w:type="dxa"/>
            <w:vAlign w:val="center"/>
          </w:tcPr>
          <w:p w14:paraId="5031DA27">
            <w:pPr>
              <w:pStyle w:val="17"/>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投标人与参加本项目投标的其他供应商之间，单位负责人不为同一人并且不存在直接控股、管理关系承诺函</w:t>
            </w:r>
          </w:p>
        </w:tc>
        <w:tc>
          <w:tcPr>
            <w:tcW w:w="1559" w:type="dxa"/>
            <w:vAlign w:val="center"/>
          </w:tcPr>
          <w:p w14:paraId="05A63F1F">
            <w:pPr>
              <w:jc w:val="center"/>
              <w:rPr>
                <w:color w:val="auto"/>
                <w:szCs w:val="21"/>
                <w:highlight w:val="none"/>
              </w:rPr>
            </w:pPr>
          </w:p>
        </w:tc>
        <w:tc>
          <w:tcPr>
            <w:tcW w:w="1560" w:type="dxa"/>
            <w:vAlign w:val="center"/>
          </w:tcPr>
          <w:p w14:paraId="45FC56D1">
            <w:pPr>
              <w:snapToGrid w:val="0"/>
              <w:spacing w:line="400" w:lineRule="exact"/>
              <w:rPr>
                <w:rFonts w:ascii="宋体" w:hAnsi="宋体" w:cs="微软雅黑"/>
                <w:color w:val="auto"/>
                <w:szCs w:val="21"/>
                <w:highlight w:val="none"/>
              </w:rPr>
            </w:pPr>
          </w:p>
        </w:tc>
        <w:tc>
          <w:tcPr>
            <w:tcW w:w="2018" w:type="dxa"/>
            <w:vAlign w:val="center"/>
          </w:tcPr>
          <w:p w14:paraId="024F1093">
            <w:pPr>
              <w:snapToGrid w:val="0"/>
              <w:spacing w:line="400" w:lineRule="exact"/>
              <w:rPr>
                <w:rFonts w:ascii="宋体" w:hAnsi="宋体" w:cs="微软雅黑"/>
                <w:color w:val="auto"/>
                <w:szCs w:val="21"/>
                <w:highlight w:val="none"/>
              </w:rPr>
            </w:pPr>
          </w:p>
        </w:tc>
      </w:tr>
      <w:tr w14:paraId="76B5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C05A621">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12</w:t>
            </w:r>
          </w:p>
        </w:tc>
        <w:tc>
          <w:tcPr>
            <w:tcW w:w="3751" w:type="dxa"/>
            <w:vAlign w:val="center"/>
          </w:tcPr>
          <w:p w14:paraId="2C6FE240">
            <w:pPr>
              <w:pStyle w:val="17"/>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投标人未为本项目提供整体设计、规范编制或者项目管理、监理、检测等服务承诺函</w:t>
            </w:r>
          </w:p>
        </w:tc>
        <w:tc>
          <w:tcPr>
            <w:tcW w:w="1559" w:type="dxa"/>
            <w:vAlign w:val="center"/>
          </w:tcPr>
          <w:p w14:paraId="1CC45126">
            <w:pPr>
              <w:jc w:val="center"/>
              <w:rPr>
                <w:color w:val="auto"/>
                <w:szCs w:val="21"/>
                <w:highlight w:val="none"/>
              </w:rPr>
            </w:pPr>
          </w:p>
        </w:tc>
        <w:tc>
          <w:tcPr>
            <w:tcW w:w="1560" w:type="dxa"/>
            <w:vAlign w:val="center"/>
          </w:tcPr>
          <w:p w14:paraId="3C5D90FA">
            <w:pPr>
              <w:snapToGrid w:val="0"/>
              <w:spacing w:line="400" w:lineRule="exact"/>
              <w:rPr>
                <w:rFonts w:ascii="宋体" w:hAnsi="宋体" w:cs="微软雅黑"/>
                <w:color w:val="auto"/>
                <w:szCs w:val="21"/>
                <w:highlight w:val="none"/>
              </w:rPr>
            </w:pPr>
          </w:p>
        </w:tc>
        <w:tc>
          <w:tcPr>
            <w:tcW w:w="2018" w:type="dxa"/>
            <w:vAlign w:val="center"/>
          </w:tcPr>
          <w:p w14:paraId="328AB9A5">
            <w:pPr>
              <w:snapToGrid w:val="0"/>
              <w:spacing w:line="400" w:lineRule="exact"/>
              <w:rPr>
                <w:rFonts w:ascii="宋体" w:hAnsi="宋体" w:cs="微软雅黑"/>
                <w:color w:val="auto"/>
                <w:szCs w:val="21"/>
                <w:highlight w:val="none"/>
              </w:rPr>
            </w:pPr>
          </w:p>
        </w:tc>
      </w:tr>
      <w:tr w14:paraId="6E41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F7941A3">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3</w:t>
            </w:r>
          </w:p>
        </w:tc>
        <w:tc>
          <w:tcPr>
            <w:tcW w:w="3751" w:type="dxa"/>
            <w:tcBorders>
              <w:top w:val="double" w:color="auto" w:sz="4" w:space="0"/>
            </w:tcBorders>
            <w:vAlign w:val="center"/>
          </w:tcPr>
          <w:p w14:paraId="27196BC9">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5718E461">
            <w:pPr>
              <w:jc w:val="center"/>
              <w:rPr>
                <w:color w:val="auto"/>
                <w:szCs w:val="21"/>
                <w:highlight w:val="none"/>
              </w:rPr>
            </w:pPr>
          </w:p>
        </w:tc>
        <w:tc>
          <w:tcPr>
            <w:tcW w:w="1560" w:type="dxa"/>
            <w:tcBorders>
              <w:top w:val="double" w:color="auto" w:sz="4" w:space="0"/>
            </w:tcBorders>
            <w:vAlign w:val="center"/>
          </w:tcPr>
          <w:p w14:paraId="4801E333">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0B69959E">
            <w:pPr>
              <w:snapToGrid w:val="0"/>
              <w:spacing w:line="400" w:lineRule="exact"/>
              <w:rPr>
                <w:rFonts w:ascii="宋体" w:hAnsi="宋体" w:cs="微软雅黑"/>
                <w:color w:val="auto"/>
                <w:szCs w:val="21"/>
                <w:highlight w:val="none"/>
              </w:rPr>
            </w:pPr>
          </w:p>
        </w:tc>
      </w:tr>
      <w:tr w14:paraId="08B84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2AFABC8">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4</w:t>
            </w:r>
          </w:p>
        </w:tc>
        <w:tc>
          <w:tcPr>
            <w:tcW w:w="3751" w:type="dxa"/>
            <w:vAlign w:val="center"/>
          </w:tcPr>
          <w:p w14:paraId="7926C0D5">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技术规格偏离表</w:t>
            </w:r>
          </w:p>
        </w:tc>
        <w:tc>
          <w:tcPr>
            <w:tcW w:w="1559" w:type="dxa"/>
            <w:vAlign w:val="center"/>
          </w:tcPr>
          <w:p w14:paraId="727E415A">
            <w:pPr>
              <w:jc w:val="center"/>
              <w:rPr>
                <w:color w:val="auto"/>
                <w:szCs w:val="21"/>
                <w:highlight w:val="none"/>
              </w:rPr>
            </w:pPr>
          </w:p>
        </w:tc>
        <w:tc>
          <w:tcPr>
            <w:tcW w:w="1560" w:type="dxa"/>
            <w:vAlign w:val="center"/>
          </w:tcPr>
          <w:p w14:paraId="3011C3C8">
            <w:pPr>
              <w:snapToGrid w:val="0"/>
              <w:spacing w:line="400" w:lineRule="exact"/>
              <w:rPr>
                <w:rFonts w:ascii="宋体" w:hAnsi="宋体" w:cs="微软雅黑"/>
                <w:color w:val="auto"/>
                <w:szCs w:val="21"/>
                <w:highlight w:val="none"/>
              </w:rPr>
            </w:pPr>
          </w:p>
        </w:tc>
        <w:tc>
          <w:tcPr>
            <w:tcW w:w="2018" w:type="dxa"/>
            <w:vAlign w:val="center"/>
          </w:tcPr>
          <w:p w14:paraId="530B02FD">
            <w:pPr>
              <w:snapToGrid w:val="0"/>
              <w:spacing w:line="400" w:lineRule="exact"/>
              <w:rPr>
                <w:rFonts w:ascii="宋体" w:hAnsi="宋体" w:cs="微软雅黑"/>
                <w:color w:val="auto"/>
                <w:szCs w:val="21"/>
                <w:highlight w:val="none"/>
              </w:rPr>
            </w:pPr>
          </w:p>
        </w:tc>
      </w:tr>
      <w:tr w14:paraId="6D9CD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ED2A301">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5</w:t>
            </w:r>
          </w:p>
        </w:tc>
        <w:tc>
          <w:tcPr>
            <w:tcW w:w="3751" w:type="dxa"/>
            <w:vAlign w:val="center"/>
          </w:tcPr>
          <w:p w14:paraId="05B6B3E9">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20CCC032">
            <w:pPr>
              <w:jc w:val="center"/>
              <w:rPr>
                <w:color w:val="auto"/>
                <w:szCs w:val="21"/>
                <w:highlight w:val="none"/>
              </w:rPr>
            </w:pPr>
          </w:p>
        </w:tc>
        <w:tc>
          <w:tcPr>
            <w:tcW w:w="1560" w:type="dxa"/>
            <w:tcBorders>
              <w:top w:val="single" w:color="auto" w:sz="4" w:space="0"/>
            </w:tcBorders>
            <w:vAlign w:val="center"/>
          </w:tcPr>
          <w:p w14:paraId="34484DA9">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2724D19D">
            <w:pPr>
              <w:snapToGrid w:val="0"/>
              <w:spacing w:line="400" w:lineRule="exact"/>
              <w:rPr>
                <w:rFonts w:ascii="宋体" w:hAnsi="宋体" w:cs="微软雅黑"/>
                <w:color w:val="auto"/>
                <w:szCs w:val="21"/>
                <w:highlight w:val="none"/>
              </w:rPr>
            </w:pPr>
          </w:p>
        </w:tc>
      </w:tr>
      <w:tr w14:paraId="29541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D818E88">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6</w:t>
            </w:r>
          </w:p>
        </w:tc>
        <w:tc>
          <w:tcPr>
            <w:tcW w:w="3751" w:type="dxa"/>
            <w:vAlign w:val="center"/>
          </w:tcPr>
          <w:p w14:paraId="427BD9B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41011F60">
            <w:pPr>
              <w:jc w:val="center"/>
              <w:rPr>
                <w:color w:val="auto"/>
                <w:szCs w:val="21"/>
                <w:highlight w:val="none"/>
              </w:rPr>
            </w:pPr>
          </w:p>
        </w:tc>
        <w:tc>
          <w:tcPr>
            <w:tcW w:w="1560" w:type="dxa"/>
            <w:vAlign w:val="center"/>
          </w:tcPr>
          <w:p w14:paraId="3E66728B">
            <w:pPr>
              <w:snapToGrid w:val="0"/>
              <w:spacing w:line="400" w:lineRule="exact"/>
              <w:rPr>
                <w:rFonts w:ascii="宋体" w:hAnsi="宋体" w:cs="微软雅黑"/>
                <w:color w:val="auto"/>
                <w:szCs w:val="21"/>
                <w:highlight w:val="none"/>
              </w:rPr>
            </w:pPr>
          </w:p>
        </w:tc>
        <w:tc>
          <w:tcPr>
            <w:tcW w:w="2018" w:type="dxa"/>
            <w:vAlign w:val="center"/>
          </w:tcPr>
          <w:p w14:paraId="5DBF28C7">
            <w:pPr>
              <w:snapToGrid w:val="0"/>
              <w:spacing w:line="400" w:lineRule="exact"/>
              <w:rPr>
                <w:rFonts w:ascii="宋体" w:hAnsi="宋体" w:cs="微软雅黑"/>
                <w:color w:val="auto"/>
                <w:szCs w:val="21"/>
                <w:highlight w:val="none"/>
              </w:rPr>
            </w:pPr>
          </w:p>
        </w:tc>
      </w:tr>
      <w:tr w14:paraId="4B4CD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9908C2E">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7</w:t>
            </w:r>
          </w:p>
        </w:tc>
        <w:tc>
          <w:tcPr>
            <w:tcW w:w="3751" w:type="dxa"/>
            <w:vAlign w:val="center"/>
          </w:tcPr>
          <w:p w14:paraId="6A46BDC9">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473CB0F6">
            <w:pPr>
              <w:jc w:val="center"/>
              <w:rPr>
                <w:color w:val="auto"/>
                <w:szCs w:val="21"/>
                <w:highlight w:val="none"/>
              </w:rPr>
            </w:pPr>
          </w:p>
        </w:tc>
        <w:tc>
          <w:tcPr>
            <w:tcW w:w="1560" w:type="dxa"/>
            <w:vAlign w:val="center"/>
          </w:tcPr>
          <w:p w14:paraId="57C28BFD">
            <w:pPr>
              <w:snapToGrid w:val="0"/>
              <w:spacing w:line="400" w:lineRule="exact"/>
              <w:rPr>
                <w:rFonts w:ascii="宋体" w:hAnsi="宋体" w:cs="微软雅黑"/>
                <w:color w:val="auto"/>
                <w:szCs w:val="21"/>
                <w:highlight w:val="none"/>
              </w:rPr>
            </w:pPr>
          </w:p>
        </w:tc>
        <w:tc>
          <w:tcPr>
            <w:tcW w:w="2018" w:type="dxa"/>
            <w:vAlign w:val="center"/>
          </w:tcPr>
          <w:p w14:paraId="792D8B05">
            <w:pPr>
              <w:snapToGrid w:val="0"/>
              <w:spacing w:line="400" w:lineRule="exact"/>
              <w:rPr>
                <w:rFonts w:ascii="宋体" w:hAnsi="宋体" w:cs="微软雅黑"/>
                <w:color w:val="auto"/>
                <w:szCs w:val="21"/>
                <w:highlight w:val="none"/>
              </w:rPr>
            </w:pPr>
          </w:p>
        </w:tc>
      </w:tr>
      <w:tr w14:paraId="64E0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E8E07F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8</w:t>
            </w:r>
          </w:p>
        </w:tc>
        <w:tc>
          <w:tcPr>
            <w:tcW w:w="3751" w:type="dxa"/>
            <w:vAlign w:val="center"/>
          </w:tcPr>
          <w:p w14:paraId="30BE991A">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政府强制采购节能产品品目清单情况</w:t>
            </w:r>
          </w:p>
        </w:tc>
        <w:tc>
          <w:tcPr>
            <w:tcW w:w="1559" w:type="dxa"/>
            <w:vAlign w:val="center"/>
          </w:tcPr>
          <w:p w14:paraId="72A8D765">
            <w:pPr>
              <w:jc w:val="center"/>
              <w:rPr>
                <w:color w:val="auto"/>
                <w:szCs w:val="21"/>
                <w:highlight w:val="none"/>
              </w:rPr>
            </w:pPr>
          </w:p>
        </w:tc>
        <w:tc>
          <w:tcPr>
            <w:tcW w:w="1560" w:type="dxa"/>
            <w:vAlign w:val="center"/>
          </w:tcPr>
          <w:p w14:paraId="463E6778">
            <w:pPr>
              <w:snapToGrid w:val="0"/>
              <w:spacing w:line="400" w:lineRule="exact"/>
              <w:rPr>
                <w:rFonts w:ascii="宋体" w:hAnsi="宋体" w:cs="微软雅黑"/>
                <w:color w:val="auto"/>
                <w:szCs w:val="21"/>
                <w:highlight w:val="none"/>
              </w:rPr>
            </w:pPr>
          </w:p>
        </w:tc>
        <w:tc>
          <w:tcPr>
            <w:tcW w:w="2018" w:type="dxa"/>
            <w:vAlign w:val="center"/>
          </w:tcPr>
          <w:p w14:paraId="5578DE3E">
            <w:pPr>
              <w:snapToGrid w:val="0"/>
              <w:spacing w:line="400" w:lineRule="exact"/>
              <w:rPr>
                <w:rFonts w:ascii="宋体" w:hAnsi="宋体" w:cs="微软雅黑"/>
                <w:color w:val="auto"/>
                <w:szCs w:val="21"/>
                <w:highlight w:val="none"/>
              </w:rPr>
            </w:pPr>
          </w:p>
        </w:tc>
      </w:tr>
      <w:tr w14:paraId="074B7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42E81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9</w:t>
            </w:r>
          </w:p>
        </w:tc>
        <w:tc>
          <w:tcPr>
            <w:tcW w:w="3751" w:type="dxa"/>
            <w:vAlign w:val="center"/>
          </w:tcPr>
          <w:p w14:paraId="21C76B7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优先采购节能产品政府采购品目清单情况</w:t>
            </w:r>
          </w:p>
        </w:tc>
        <w:tc>
          <w:tcPr>
            <w:tcW w:w="1559" w:type="dxa"/>
            <w:vAlign w:val="center"/>
          </w:tcPr>
          <w:p w14:paraId="26DA62E6">
            <w:pPr>
              <w:jc w:val="center"/>
              <w:rPr>
                <w:color w:val="auto"/>
                <w:szCs w:val="21"/>
                <w:highlight w:val="none"/>
              </w:rPr>
            </w:pPr>
          </w:p>
        </w:tc>
        <w:tc>
          <w:tcPr>
            <w:tcW w:w="1560" w:type="dxa"/>
            <w:vAlign w:val="center"/>
          </w:tcPr>
          <w:p w14:paraId="61AED062">
            <w:pPr>
              <w:snapToGrid w:val="0"/>
              <w:spacing w:line="400" w:lineRule="exact"/>
              <w:rPr>
                <w:rFonts w:ascii="宋体" w:hAnsi="宋体" w:cs="微软雅黑"/>
                <w:color w:val="auto"/>
                <w:szCs w:val="21"/>
                <w:highlight w:val="none"/>
              </w:rPr>
            </w:pPr>
          </w:p>
        </w:tc>
        <w:tc>
          <w:tcPr>
            <w:tcW w:w="2018" w:type="dxa"/>
            <w:vAlign w:val="center"/>
          </w:tcPr>
          <w:p w14:paraId="3DC19F92">
            <w:pPr>
              <w:snapToGrid w:val="0"/>
              <w:spacing w:line="400" w:lineRule="exact"/>
              <w:rPr>
                <w:rFonts w:ascii="宋体" w:hAnsi="宋体" w:cs="微软雅黑"/>
                <w:color w:val="auto"/>
                <w:szCs w:val="21"/>
                <w:highlight w:val="none"/>
              </w:rPr>
            </w:pPr>
          </w:p>
        </w:tc>
      </w:tr>
      <w:tr w14:paraId="4314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5B0A5D0">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20</w:t>
            </w:r>
          </w:p>
        </w:tc>
        <w:tc>
          <w:tcPr>
            <w:tcW w:w="3751" w:type="dxa"/>
            <w:vAlign w:val="center"/>
          </w:tcPr>
          <w:p w14:paraId="4F3905C9">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宋体" w:hAnsi="宋体"/>
                <w:color w:val="auto"/>
                <w:sz w:val="21"/>
                <w:szCs w:val="21"/>
                <w:highlight w:val="none"/>
                <w:lang w:val="en-GB"/>
              </w:rPr>
              <w:t>优先采购环境标志产品政府采购品目清单情况</w:t>
            </w:r>
          </w:p>
        </w:tc>
        <w:tc>
          <w:tcPr>
            <w:tcW w:w="1559" w:type="dxa"/>
            <w:vAlign w:val="center"/>
          </w:tcPr>
          <w:p w14:paraId="4D87D2EF">
            <w:pPr>
              <w:jc w:val="center"/>
              <w:rPr>
                <w:color w:val="auto"/>
                <w:szCs w:val="21"/>
                <w:highlight w:val="none"/>
              </w:rPr>
            </w:pPr>
          </w:p>
        </w:tc>
        <w:tc>
          <w:tcPr>
            <w:tcW w:w="1560" w:type="dxa"/>
            <w:vAlign w:val="center"/>
          </w:tcPr>
          <w:p w14:paraId="3463E72B">
            <w:pPr>
              <w:snapToGrid w:val="0"/>
              <w:spacing w:line="400" w:lineRule="exact"/>
              <w:rPr>
                <w:rFonts w:ascii="宋体" w:hAnsi="宋体" w:cs="微软雅黑"/>
                <w:color w:val="auto"/>
                <w:szCs w:val="21"/>
                <w:highlight w:val="none"/>
              </w:rPr>
            </w:pPr>
          </w:p>
        </w:tc>
        <w:tc>
          <w:tcPr>
            <w:tcW w:w="2018" w:type="dxa"/>
            <w:vAlign w:val="center"/>
          </w:tcPr>
          <w:p w14:paraId="69CD1FB0">
            <w:pPr>
              <w:snapToGrid w:val="0"/>
              <w:spacing w:line="400" w:lineRule="exact"/>
              <w:rPr>
                <w:rFonts w:ascii="宋体" w:hAnsi="宋体" w:cs="微软雅黑"/>
                <w:color w:val="auto"/>
                <w:szCs w:val="21"/>
                <w:highlight w:val="none"/>
              </w:rPr>
            </w:pPr>
          </w:p>
        </w:tc>
      </w:tr>
      <w:tr w14:paraId="22C9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trPr>
        <w:tc>
          <w:tcPr>
            <w:tcW w:w="468" w:type="dxa"/>
            <w:vAlign w:val="center"/>
          </w:tcPr>
          <w:p w14:paraId="420CDBAD">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21</w:t>
            </w:r>
          </w:p>
        </w:tc>
        <w:tc>
          <w:tcPr>
            <w:tcW w:w="3751" w:type="dxa"/>
            <w:vAlign w:val="center"/>
          </w:tcPr>
          <w:p w14:paraId="0EA13A4F">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关于符合本国产品标准的声明函</w:t>
            </w:r>
          </w:p>
        </w:tc>
        <w:tc>
          <w:tcPr>
            <w:tcW w:w="1559" w:type="dxa"/>
            <w:vAlign w:val="center"/>
          </w:tcPr>
          <w:p w14:paraId="6218A34E">
            <w:pPr>
              <w:pStyle w:val="17"/>
              <w:rPr>
                <w:color w:val="auto"/>
                <w:sz w:val="21"/>
                <w:szCs w:val="21"/>
                <w:highlight w:val="none"/>
              </w:rPr>
            </w:pPr>
          </w:p>
        </w:tc>
        <w:tc>
          <w:tcPr>
            <w:tcW w:w="1560" w:type="dxa"/>
            <w:vAlign w:val="center"/>
          </w:tcPr>
          <w:p w14:paraId="6B4642CD">
            <w:pPr>
              <w:snapToGrid w:val="0"/>
              <w:spacing w:line="400" w:lineRule="exact"/>
              <w:rPr>
                <w:rFonts w:ascii="宋体" w:hAnsi="宋体" w:cs="微软雅黑"/>
                <w:color w:val="auto"/>
                <w:szCs w:val="21"/>
                <w:highlight w:val="none"/>
              </w:rPr>
            </w:pPr>
          </w:p>
        </w:tc>
        <w:tc>
          <w:tcPr>
            <w:tcW w:w="2018" w:type="dxa"/>
            <w:vAlign w:val="center"/>
          </w:tcPr>
          <w:p w14:paraId="2A081DD3">
            <w:pPr>
              <w:snapToGrid w:val="0"/>
              <w:spacing w:line="400" w:lineRule="exact"/>
              <w:rPr>
                <w:rFonts w:ascii="宋体" w:hAnsi="宋体" w:cs="微软雅黑"/>
                <w:color w:val="auto"/>
                <w:szCs w:val="21"/>
                <w:highlight w:val="none"/>
              </w:rPr>
            </w:pPr>
          </w:p>
        </w:tc>
      </w:tr>
      <w:tr w14:paraId="3D9D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trPr>
        <w:tc>
          <w:tcPr>
            <w:tcW w:w="468" w:type="dxa"/>
            <w:vAlign w:val="center"/>
          </w:tcPr>
          <w:p w14:paraId="6B297072">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22</w:t>
            </w:r>
          </w:p>
        </w:tc>
        <w:tc>
          <w:tcPr>
            <w:tcW w:w="3751" w:type="dxa"/>
            <w:vAlign w:val="center"/>
          </w:tcPr>
          <w:p w14:paraId="669EA441">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关于产品成本的声明函</w:t>
            </w:r>
          </w:p>
        </w:tc>
        <w:tc>
          <w:tcPr>
            <w:tcW w:w="1559" w:type="dxa"/>
            <w:vAlign w:val="center"/>
          </w:tcPr>
          <w:p w14:paraId="45A76FF4">
            <w:pPr>
              <w:pStyle w:val="17"/>
              <w:rPr>
                <w:color w:val="auto"/>
                <w:sz w:val="21"/>
                <w:szCs w:val="21"/>
                <w:highlight w:val="none"/>
              </w:rPr>
            </w:pPr>
          </w:p>
        </w:tc>
        <w:tc>
          <w:tcPr>
            <w:tcW w:w="1560" w:type="dxa"/>
            <w:vAlign w:val="center"/>
          </w:tcPr>
          <w:p w14:paraId="37DD7DC8">
            <w:pPr>
              <w:snapToGrid w:val="0"/>
              <w:spacing w:line="400" w:lineRule="exact"/>
              <w:rPr>
                <w:rFonts w:ascii="宋体" w:hAnsi="宋体" w:cs="微软雅黑"/>
                <w:color w:val="auto"/>
                <w:szCs w:val="21"/>
                <w:highlight w:val="none"/>
              </w:rPr>
            </w:pPr>
          </w:p>
        </w:tc>
        <w:tc>
          <w:tcPr>
            <w:tcW w:w="2018" w:type="dxa"/>
            <w:vAlign w:val="center"/>
          </w:tcPr>
          <w:p w14:paraId="2E14029C">
            <w:pPr>
              <w:snapToGrid w:val="0"/>
              <w:spacing w:line="400" w:lineRule="exact"/>
              <w:rPr>
                <w:rFonts w:ascii="宋体" w:hAnsi="宋体" w:cs="微软雅黑"/>
                <w:color w:val="auto"/>
                <w:szCs w:val="21"/>
                <w:highlight w:val="none"/>
              </w:rPr>
            </w:pPr>
          </w:p>
        </w:tc>
      </w:tr>
      <w:tr w14:paraId="2FA1D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1CCDAF59">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2</w:t>
            </w:r>
            <w:r>
              <w:rPr>
                <w:rFonts w:hint="eastAsia" w:ascii="宋体" w:hAnsi="宋体" w:cs="微软雅黑"/>
                <w:color w:val="auto"/>
                <w:szCs w:val="21"/>
                <w:highlight w:val="none"/>
                <w:lang w:val="en-US" w:eastAsia="zh-CN"/>
              </w:rPr>
              <w:t>3</w:t>
            </w:r>
          </w:p>
        </w:tc>
        <w:tc>
          <w:tcPr>
            <w:tcW w:w="3751" w:type="dxa"/>
            <w:vAlign w:val="center"/>
          </w:tcPr>
          <w:p w14:paraId="5BE61D76">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网络关键设备和网络安全专用产品（下 </w:t>
            </w:r>
          </w:p>
          <w:p w14:paraId="3F0A463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列资料任意一项）： </w:t>
            </w:r>
          </w:p>
          <w:p w14:paraId="22D515A4">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①网络关键设备和网络安全专用产品 </w:t>
            </w:r>
          </w:p>
          <w:p w14:paraId="255916B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安全认证证书；②网络关键设备安全检 </w:t>
            </w:r>
          </w:p>
          <w:p w14:paraId="1B1D9AF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测证书、网络安全专用产品安全检测证 </w:t>
            </w:r>
          </w:p>
          <w:p w14:paraId="1F473F26">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书；③计算机信息系统安全专用产品销 </w:t>
            </w:r>
          </w:p>
          <w:p w14:paraId="67ECECD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售许可证；④中国网信网或工业和信息 </w:t>
            </w:r>
          </w:p>
          <w:p w14:paraId="3852363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化部网站或公安部网站或国家认证认 </w:t>
            </w:r>
          </w:p>
          <w:p w14:paraId="02549E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可监督管理委员会网站公布的认证、检 </w:t>
            </w:r>
          </w:p>
          <w:p w14:paraId="0884348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测结果（提供公布安全认证、安全检测 </w:t>
            </w:r>
          </w:p>
          <w:p w14:paraId="160FC40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结果页面网址和安全认证、检测结果截 </w:t>
            </w:r>
          </w:p>
          <w:p w14:paraId="7F495BAD">
            <w:pPr>
              <w:keepNext w:val="0"/>
              <w:keepLines w:val="0"/>
              <w:widowControl/>
              <w:suppressLineNumbers w:val="0"/>
              <w:jc w:val="left"/>
              <w:rPr>
                <w:rFonts w:asciiTheme="majorEastAsia" w:hAnsiTheme="majorEastAsia" w:eastAsiaTheme="majorEastAsia" w:cstheme="maj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图）。</w:t>
            </w:r>
          </w:p>
        </w:tc>
        <w:tc>
          <w:tcPr>
            <w:tcW w:w="1559" w:type="dxa"/>
            <w:vAlign w:val="center"/>
          </w:tcPr>
          <w:p w14:paraId="0DD96FE4">
            <w:pPr>
              <w:pStyle w:val="17"/>
              <w:rPr>
                <w:color w:val="auto"/>
                <w:sz w:val="21"/>
                <w:szCs w:val="21"/>
                <w:highlight w:val="none"/>
              </w:rPr>
            </w:pPr>
          </w:p>
        </w:tc>
        <w:tc>
          <w:tcPr>
            <w:tcW w:w="1560" w:type="dxa"/>
            <w:vAlign w:val="center"/>
          </w:tcPr>
          <w:p w14:paraId="6F117EDD">
            <w:pPr>
              <w:snapToGrid w:val="0"/>
              <w:spacing w:line="400" w:lineRule="exact"/>
              <w:rPr>
                <w:rFonts w:ascii="宋体" w:hAnsi="宋体" w:cs="微软雅黑"/>
                <w:color w:val="auto"/>
                <w:szCs w:val="21"/>
                <w:highlight w:val="none"/>
              </w:rPr>
            </w:pPr>
          </w:p>
        </w:tc>
        <w:tc>
          <w:tcPr>
            <w:tcW w:w="2018" w:type="dxa"/>
            <w:vAlign w:val="center"/>
          </w:tcPr>
          <w:p w14:paraId="5A9EE6CD">
            <w:pPr>
              <w:snapToGrid w:val="0"/>
              <w:spacing w:line="400" w:lineRule="exact"/>
              <w:rPr>
                <w:rFonts w:ascii="宋体" w:hAnsi="宋体" w:cs="微软雅黑"/>
                <w:color w:val="auto"/>
                <w:szCs w:val="21"/>
                <w:highlight w:val="none"/>
              </w:rPr>
            </w:pPr>
          </w:p>
        </w:tc>
      </w:tr>
      <w:tr w14:paraId="7054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52C8EA59">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24</w:t>
            </w:r>
          </w:p>
        </w:tc>
        <w:tc>
          <w:tcPr>
            <w:tcW w:w="3751" w:type="dxa"/>
            <w:tcBorders>
              <w:bottom w:val="single" w:color="auto" w:sz="4" w:space="0"/>
            </w:tcBorders>
            <w:vAlign w:val="center"/>
          </w:tcPr>
          <w:p w14:paraId="3B2E0B85">
            <w:pPr>
              <w:keepNext w:val="0"/>
              <w:keepLines w:val="0"/>
              <w:widowControl/>
              <w:suppressLineNumbers w:val="0"/>
              <w:jc w:val="left"/>
              <w:rPr>
                <w:rFonts w:hint="eastAsia" w:hAnsi="宋体" w:cs="微软雅黑"/>
                <w:bCs/>
                <w:color w:val="auto"/>
                <w:kern w:val="0"/>
                <w:sz w:val="21"/>
                <w:szCs w:val="21"/>
                <w:highlight w:val="none"/>
              </w:rPr>
            </w:pPr>
            <w:r>
              <w:rPr>
                <w:rFonts w:hint="eastAsia" w:ascii="宋体" w:hAnsi="宋体" w:eastAsia="宋体" w:cs="宋体"/>
                <w:color w:val="auto"/>
                <w:kern w:val="0"/>
                <w:sz w:val="20"/>
                <w:szCs w:val="20"/>
                <w:highlight w:val="none"/>
                <w:lang w:val="en-US" w:eastAsia="zh-CN" w:bidi="ar"/>
              </w:rPr>
              <w:t>主要标的信息（备用）</w:t>
            </w:r>
          </w:p>
        </w:tc>
        <w:tc>
          <w:tcPr>
            <w:tcW w:w="1559" w:type="dxa"/>
            <w:vAlign w:val="center"/>
          </w:tcPr>
          <w:p w14:paraId="43C89DBE">
            <w:pPr>
              <w:pStyle w:val="17"/>
              <w:rPr>
                <w:color w:val="auto"/>
                <w:szCs w:val="21"/>
                <w:highlight w:val="none"/>
              </w:rPr>
            </w:pPr>
          </w:p>
        </w:tc>
        <w:tc>
          <w:tcPr>
            <w:tcW w:w="1560" w:type="dxa"/>
            <w:vAlign w:val="center"/>
          </w:tcPr>
          <w:p w14:paraId="77DD7356">
            <w:pPr>
              <w:snapToGrid w:val="0"/>
              <w:spacing w:line="400" w:lineRule="exact"/>
              <w:rPr>
                <w:rFonts w:ascii="宋体" w:hAnsi="宋体" w:cs="微软雅黑"/>
                <w:color w:val="auto"/>
                <w:szCs w:val="21"/>
                <w:highlight w:val="none"/>
              </w:rPr>
            </w:pPr>
          </w:p>
        </w:tc>
        <w:tc>
          <w:tcPr>
            <w:tcW w:w="2018" w:type="dxa"/>
            <w:vAlign w:val="center"/>
          </w:tcPr>
          <w:p w14:paraId="22CA0B2A">
            <w:pPr>
              <w:snapToGrid w:val="0"/>
              <w:spacing w:line="400" w:lineRule="exact"/>
              <w:rPr>
                <w:rFonts w:ascii="宋体" w:hAnsi="宋体" w:cs="微软雅黑"/>
                <w:color w:val="auto"/>
                <w:szCs w:val="21"/>
                <w:highlight w:val="none"/>
              </w:rPr>
            </w:pPr>
          </w:p>
        </w:tc>
      </w:tr>
      <w:tr w14:paraId="294CA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56E2CA74">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2</w:t>
            </w:r>
            <w:r>
              <w:rPr>
                <w:rFonts w:hint="eastAsia" w:ascii="宋体" w:hAnsi="宋体" w:cs="微软雅黑"/>
                <w:color w:val="auto"/>
                <w:szCs w:val="21"/>
                <w:highlight w:val="none"/>
                <w:lang w:val="en-US" w:eastAsia="zh-CN"/>
              </w:rPr>
              <w:t>5</w:t>
            </w:r>
          </w:p>
        </w:tc>
        <w:tc>
          <w:tcPr>
            <w:tcW w:w="3751" w:type="dxa"/>
            <w:tcBorders>
              <w:bottom w:val="single" w:color="auto" w:sz="4" w:space="0"/>
            </w:tcBorders>
            <w:vAlign w:val="center"/>
          </w:tcPr>
          <w:p w14:paraId="4DDEBB03">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lang w:eastAsia="zh-CN"/>
              </w:rPr>
              <w:t>其他</w:t>
            </w:r>
            <w:r>
              <w:rPr>
                <w:rFonts w:hint="eastAsia" w:hAnsi="宋体" w:cs="微软雅黑"/>
                <w:bCs/>
                <w:color w:val="auto"/>
                <w:kern w:val="0"/>
                <w:sz w:val="21"/>
                <w:szCs w:val="21"/>
                <w:highlight w:val="none"/>
              </w:rPr>
              <w:t>资料</w:t>
            </w:r>
          </w:p>
        </w:tc>
        <w:tc>
          <w:tcPr>
            <w:tcW w:w="1559" w:type="dxa"/>
            <w:vAlign w:val="center"/>
          </w:tcPr>
          <w:p w14:paraId="1BF4E8FC">
            <w:pPr>
              <w:pStyle w:val="17"/>
              <w:rPr>
                <w:color w:val="auto"/>
                <w:szCs w:val="21"/>
                <w:highlight w:val="none"/>
              </w:rPr>
            </w:pPr>
          </w:p>
        </w:tc>
        <w:tc>
          <w:tcPr>
            <w:tcW w:w="1560" w:type="dxa"/>
            <w:vAlign w:val="center"/>
          </w:tcPr>
          <w:p w14:paraId="02152D79">
            <w:pPr>
              <w:snapToGrid w:val="0"/>
              <w:spacing w:line="400" w:lineRule="exact"/>
              <w:rPr>
                <w:rFonts w:ascii="宋体" w:hAnsi="宋体" w:cs="微软雅黑"/>
                <w:color w:val="auto"/>
                <w:szCs w:val="21"/>
                <w:highlight w:val="none"/>
              </w:rPr>
            </w:pPr>
          </w:p>
        </w:tc>
        <w:tc>
          <w:tcPr>
            <w:tcW w:w="2018" w:type="dxa"/>
            <w:vAlign w:val="center"/>
          </w:tcPr>
          <w:p w14:paraId="7BB28F61">
            <w:pPr>
              <w:snapToGrid w:val="0"/>
              <w:spacing w:line="400" w:lineRule="exact"/>
              <w:rPr>
                <w:rFonts w:ascii="宋体" w:hAnsi="宋体" w:cs="微软雅黑"/>
                <w:color w:val="auto"/>
                <w:szCs w:val="21"/>
                <w:highlight w:val="none"/>
              </w:rPr>
            </w:pPr>
          </w:p>
        </w:tc>
      </w:tr>
    </w:tbl>
    <w:p w14:paraId="6B925F06">
      <w:pPr>
        <w:pStyle w:val="17"/>
        <w:spacing w:line="360" w:lineRule="auto"/>
        <w:jc w:val="center"/>
        <w:rPr>
          <w:rFonts w:asciiTheme="majorEastAsia" w:hAnsiTheme="majorEastAsia" w:eastAsiaTheme="majorEastAsia"/>
          <w:b/>
          <w:snapToGrid w:val="0"/>
          <w:kern w:val="0"/>
          <w:sz w:val="28"/>
          <w:szCs w:val="28"/>
        </w:rPr>
      </w:pPr>
    </w:p>
    <w:p w14:paraId="1F8D542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310195D6">
      <w:pPr>
        <w:pStyle w:val="17"/>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二、开标一览表</w:t>
      </w:r>
    </w:p>
    <w:p w14:paraId="0CD3972E">
      <w:pPr>
        <w:pStyle w:val="17"/>
        <w:spacing w:line="360" w:lineRule="auto"/>
        <w:jc w:val="center"/>
        <w:rPr>
          <w:rFonts w:asciiTheme="majorEastAsia" w:hAnsiTheme="majorEastAsia" w:eastAsiaTheme="majorEastAsia"/>
          <w:b/>
          <w:snapToGrid w:val="0"/>
          <w:kern w:val="0"/>
          <w:sz w:val="28"/>
          <w:szCs w:val="28"/>
        </w:rPr>
      </w:pPr>
    </w:p>
    <w:p w14:paraId="1AA90547">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4F0F9F1">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1DB3B9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C53B30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30D16B5">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D9795E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9B3FF4">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D09606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4453D69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14272A">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6D61F4C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61BB4CEA">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4B68529C">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28B11AC3">
            <w:pPr>
              <w:autoSpaceDE w:val="0"/>
              <w:autoSpaceDN w:val="0"/>
              <w:adjustRightInd w:val="0"/>
              <w:spacing w:line="480" w:lineRule="exact"/>
              <w:ind w:firstLine="240"/>
              <w:rPr>
                <w:rFonts w:cs="宋体" w:asciiTheme="minorEastAsia" w:hAnsiTheme="minorEastAsia"/>
                <w:szCs w:val="21"/>
                <w:lang w:val="zh-CN"/>
              </w:rPr>
            </w:pPr>
          </w:p>
        </w:tc>
      </w:tr>
      <w:tr w14:paraId="3070AC6F">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E4C0384">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456F33BB">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0708153">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6AA7293F">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B68ED8E">
            <w:pPr>
              <w:autoSpaceDE w:val="0"/>
              <w:autoSpaceDN w:val="0"/>
              <w:adjustRightInd w:val="0"/>
              <w:spacing w:line="480" w:lineRule="exact"/>
              <w:ind w:firstLine="240"/>
              <w:rPr>
                <w:rFonts w:cs="宋体" w:asciiTheme="minorEastAsia" w:hAnsiTheme="minorEastAsia"/>
                <w:szCs w:val="21"/>
                <w:lang w:val="zh-CN"/>
              </w:rPr>
            </w:pPr>
          </w:p>
        </w:tc>
      </w:tr>
    </w:tbl>
    <w:p w14:paraId="5657412E">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65C8B87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日期：年月日</w:t>
      </w:r>
    </w:p>
    <w:p w14:paraId="36CDC4C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注：1</w:t>
      </w:r>
      <w:r>
        <w:rPr>
          <w:rFonts w:hint="eastAsia" w:cs="宋体" w:asciiTheme="minorEastAsia" w:hAnsiTheme="minorEastAsia"/>
          <w:szCs w:val="21"/>
          <w:lang w:val="en-US" w:eastAsia="zh-CN"/>
        </w:rPr>
        <w:t>.</w:t>
      </w:r>
      <w:r>
        <w:rPr>
          <w:rFonts w:hint="eastAsia" w:cs="宋体" w:asciiTheme="minorEastAsia" w:hAnsiTheme="minorEastAsia"/>
          <w:szCs w:val="21"/>
          <w:lang w:val="zh-CN"/>
        </w:rPr>
        <w:t>交付日期指完成该项目的最终时间（日历天）。</w:t>
      </w:r>
    </w:p>
    <w:p w14:paraId="18B73CC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2.如招标公告明确项目交付日期以年为单位，本表应填写完成该项目的年限。</w:t>
      </w:r>
    </w:p>
    <w:p w14:paraId="3582AA02">
      <w:pPr>
        <w:autoSpaceDE w:val="0"/>
        <w:autoSpaceDN w:val="0"/>
        <w:adjustRightInd w:val="0"/>
        <w:spacing w:line="360" w:lineRule="auto"/>
        <w:rPr>
          <w:rFonts w:ascii="宋体" w:cs="宋体"/>
          <w:sz w:val="24"/>
          <w:lang w:val="zh-CN"/>
        </w:rPr>
      </w:pPr>
    </w:p>
    <w:p w14:paraId="5EFD2999">
      <w:pPr>
        <w:autoSpaceDE w:val="0"/>
        <w:autoSpaceDN w:val="0"/>
        <w:adjustRightInd w:val="0"/>
        <w:spacing w:line="360" w:lineRule="auto"/>
        <w:rPr>
          <w:rFonts w:ascii="宋体" w:cs="宋体"/>
          <w:sz w:val="24"/>
          <w:lang w:val="zh-CN"/>
        </w:rPr>
      </w:pPr>
    </w:p>
    <w:p w14:paraId="6C8804C6">
      <w:pPr>
        <w:autoSpaceDE w:val="0"/>
        <w:autoSpaceDN w:val="0"/>
        <w:adjustRightInd w:val="0"/>
        <w:spacing w:line="360" w:lineRule="auto"/>
        <w:rPr>
          <w:rFonts w:ascii="宋体" w:cs="宋体"/>
          <w:sz w:val="24"/>
          <w:lang w:val="zh-CN"/>
        </w:rPr>
      </w:pPr>
    </w:p>
    <w:p w14:paraId="0D8E649B">
      <w:pPr>
        <w:autoSpaceDE w:val="0"/>
        <w:autoSpaceDN w:val="0"/>
        <w:adjustRightInd w:val="0"/>
        <w:spacing w:line="360" w:lineRule="auto"/>
        <w:rPr>
          <w:rFonts w:ascii="宋体" w:cs="宋体"/>
          <w:sz w:val="24"/>
          <w:lang w:val="zh-CN"/>
        </w:rPr>
      </w:pPr>
    </w:p>
    <w:p w14:paraId="25DFE87E">
      <w:pPr>
        <w:autoSpaceDE w:val="0"/>
        <w:autoSpaceDN w:val="0"/>
        <w:adjustRightInd w:val="0"/>
        <w:spacing w:line="360" w:lineRule="auto"/>
        <w:rPr>
          <w:rFonts w:ascii="宋体" w:cs="宋体"/>
          <w:sz w:val="24"/>
          <w:lang w:val="zh-CN"/>
        </w:rPr>
      </w:pPr>
    </w:p>
    <w:p w14:paraId="64695EAD">
      <w:pPr>
        <w:autoSpaceDE w:val="0"/>
        <w:autoSpaceDN w:val="0"/>
        <w:adjustRightInd w:val="0"/>
        <w:spacing w:line="360" w:lineRule="auto"/>
        <w:rPr>
          <w:rFonts w:ascii="宋体" w:cs="宋体"/>
          <w:sz w:val="24"/>
          <w:lang w:val="zh-CN"/>
        </w:rPr>
      </w:pPr>
    </w:p>
    <w:p w14:paraId="1E02EE72">
      <w:pPr>
        <w:autoSpaceDE w:val="0"/>
        <w:autoSpaceDN w:val="0"/>
        <w:adjustRightInd w:val="0"/>
        <w:spacing w:line="360" w:lineRule="auto"/>
        <w:rPr>
          <w:rFonts w:ascii="宋体" w:cs="宋体"/>
          <w:sz w:val="24"/>
          <w:lang w:val="zh-CN"/>
        </w:rPr>
      </w:pPr>
    </w:p>
    <w:p w14:paraId="298DC2A2">
      <w:pPr>
        <w:autoSpaceDE w:val="0"/>
        <w:autoSpaceDN w:val="0"/>
        <w:adjustRightInd w:val="0"/>
        <w:spacing w:line="360" w:lineRule="auto"/>
        <w:rPr>
          <w:rFonts w:ascii="宋体" w:cs="宋体"/>
          <w:sz w:val="24"/>
          <w:lang w:val="zh-CN"/>
        </w:rPr>
      </w:pPr>
    </w:p>
    <w:p w14:paraId="42D3BF6B">
      <w:pPr>
        <w:autoSpaceDE w:val="0"/>
        <w:autoSpaceDN w:val="0"/>
        <w:adjustRightInd w:val="0"/>
        <w:spacing w:line="360" w:lineRule="auto"/>
        <w:rPr>
          <w:rFonts w:ascii="宋体" w:cs="宋体"/>
          <w:sz w:val="24"/>
          <w:lang w:val="zh-CN"/>
        </w:rPr>
      </w:pPr>
    </w:p>
    <w:p w14:paraId="19ECEAF6">
      <w:pPr>
        <w:autoSpaceDE w:val="0"/>
        <w:autoSpaceDN w:val="0"/>
        <w:adjustRightInd w:val="0"/>
        <w:spacing w:line="360" w:lineRule="auto"/>
        <w:rPr>
          <w:rFonts w:ascii="宋体" w:cs="宋体"/>
          <w:sz w:val="24"/>
          <w:lang w:val="zh-CN"/>
        </w:rPr>
      </w:pPr>
    </w:p>
    <w:p w14:paraId="2FC66FDC">
      <w:pPr>
        <w:autoSpaceDE w:val="0"/>
        <w:autoSpaceDN w:val="0"/>
        <w:adjustRightInd w:val="0"/>
        <w:spacing w:line="360" w:lineRule="auto"/>
        <w:rPr>
          <w:rFonts w:cs="黑体" w:asciiTheme="minorEastAsia" w:hAnsiTheme="minorEastAsia"/>
          <w:b/>
          <w:bCs/>
          <w:sz w:val="44"/>
          <w:szCs w:val="44"/>
          <w:lang w:val="zh-CN"/>
        </w:rPr>
      </w:pPr>
    </w:p>
    <w:p w14:paraId="7CD6E36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三、资格审查证明材料</w:t>
      </w:r>
    </w:p>
    <w:p w14:paraId="159EA943">
      <w:pPr>
        <w:pStyle w:val="17"/>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投 标 函</w:t>
      </w:r>
    </w:p>
    <w:p w14:paraId="21A3B95C">
      <w:pPr>
        <w:pStyle w:val="17"/>
        <w:spacing w:line="360" w:lineRule="auto"/>
        <w:jc w:val="center"/>
        <w:rPr>
          <w:rFonts w:asciiTheme="majorEastAsia" w:hAnsiTheme="majorEastAsia" w:eastAsiaTheme="majorEastAsia"/>
          <w:b/>
          <w:snapToGrid w:val="0"/>
          <w:kern w:val="0"/>
          <w:sz w:val="28"/>
          <w:szCs w:val="28"/>
        </w:rPr>
      </w:pPr>
    </w:p>
    <w:p w14:paraId="32FA9831">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7C425028">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_（项目名称、招标编号）采购的招标公告及投标邀请，_______（姓名和职务）被正式授权并代表投标人（投标人名称、地址）提交。</w:t>
      </w:r>
    </w:p>
    <w:p w14:paraId="5065330E">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我方确认收到贵方提供的（项目名称、招标编号）招标文件的全部内容。</w:t>
      </w:r>
    </w:p>
    <w:p w14:paraId="60BE0BE3">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sz w:val="21"/>
          <w:szCs w:val="21"/>
        </w:rPr>
        <w:t>已完全理解并接受招标文件的各项规定和要求及资金支付规定，对招标文件的合理性、合法性不再有异议，</w:t>
      </w:r>
      <w:r>
        <w:rPr>
          <w:rFonts w:hint="eastAsia" w:ascii="宋体" w:hAnsi="宋体"/>
          <w:sz w:val="21"/>
          <w:szCs w:val="21"/>
        </w:rPr>
        <w:t>并承诺在发生争议时不会以对《招标文件》存在误解、不明白的条款为由，对贵中心行使任何法律上的抗辩权。</w:t>
      </w:r>
    </w:p>
    <w:p w14:paraId="443F36B4">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我方已完全明白招标文件的所有条款要求，并申明如下：</w:t>
      </w:r>
    </w:p>
    <w:p w14:paraId="6FBB466E">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一、按招标文件提供的全部货物与相关服务的投标总价详见《开标一览表》。</w:t>
      </w:r>
    </w:p>
    <w:p w14:paraId="11E8B828">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szCs w:val="21"/>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3914D1B">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三、我方明白并同意，在规定的开标日之后，投标有效期之内撤销投标的，则我方承担违背投标承诺的责任追究。</w:t>
      </w:r>
    </w:p>
    <w:p w14:paraId="0C924D85">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四、我方同意按照贵方可能提出的要求而提供与投标有关的任何其它数据、信息或资料。</w:t>
      </w:r>
    </w:p>
    <w:p w14:paraId="7A5D6020">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五、我方理解贵方不一定接受最低投标价或任何贵方可能收到的投标。</w:t>
      </w:r>
    </w:p>
    <w:p w14:paraId="003F1C1F">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六、我方如果中标，将保证履行招标文件及其澄清、修改文件（如果有）中的全部责任和义务，按质、按量、按期完成《项目需求》及《合同书》中的全部任务。</w:t>
      </w:r>
    </w:p>
    <w:p w14:paraId="54A404B4">
      <w:pPr>
        <w:pStyle w:val="25"/>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41B0FFCE">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八、我方投标报价已包含应向知识产权所有权人支付的所有相关税费，并保证采购人在中国使用我方提供的货物时，如有第三方提出侵犯其知识产权主张的，责任由我方承担。 </w:t>
      </w:r>
    </w:p>
    <w:p w14:paraId="1FAB607C">
      <w:pPr>
        <w:pStyle w:val="17"/>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asciiTheme="minorEastAsia" w:hAnsiTheme="minorEastAsia" w:eastAsiaTheme="minorEastAsia" w:cstheme="minorEastAsia"/>
          <w:kern w:val="2"/>
          <w:sz w:val="21"/>
          <w:szCs w:val="21"/>
          <w:lang w:val="en-US" w:eastAsia="zh-CN" w:bidi="ar-SA"/>
        </w:rPr>
        <w:t>中华人民共和国</w:t>
      </w:r>
      <w:r>
        <w:rPr>
          <w:rFonts w:hint="eastAsia" w:cs="Arial" w:asciiTheme="minorEastAsia" w:hAnsiTheme="minorEastAsia" w:eastAsiaTheme="minorEastAsia"/>
          <w:sz w:val="21"/>
          <w:szCs w:val="21"/>
        </w:rPr>
        <w:t>政府采购法》第二十二条规定的条件；承诺如下：</w:t>
      </w:r>
    </w:p>
    <w:p w14:paraId="53F1F97D">
      <w:pPr>
        <w:pStyle w:val="17"/>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5437A6B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我方已依法缴纳了各项税费及社会保险费用，如有需要，可随时向采购人提供近三个月内的相关缴费证明，以便核查。</w:t>
      </w:r>
    </w:p>
    <w:p w14:paraId="72910D7A">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7CEDFEF8">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2A8C55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30AD819F">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以上内容如有虚假或与事实不符的，评审委员会可将</w:t>
      </w:r>
      <w:r>
        <w:rPr>
          <w:rFonts w:hint="eastAsia" w:cs="Arial" w:asciiTheme="minorEastAsia" w:hAnsiTheme="minorEastAsia"/>
          <w:szCs w:val="21"/>
        </w:rPr>
        <w:t>我方做无效投标处理，我方愿意承担相应的法律责任。</w:t>
      </w:r>
    </w:p>
    <w:p w14:paraId="4AF3F8A6">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6C082462">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我方对在本函及投标文件中所作的所有承诺承担法律责任。</w:t>
      </w:r>
    </w:p>
    <w:p w14:paraId="73C6FDF1">
      <w:pPr>
        <w:pStyle w:val="17"/>
        <w:adjustRightInd w:val="0"/>
        <w:snapToGrid w:val="0"/>
        <w:spacing w:line="360" w:lineRule="auto"/>
        <w:rPr>
          <w:rFonts w:asciiTheme="minorEastAsia" w:hAnsiTheme="minorEastAsia" w:eastAsiaTheme="minorEastAsia"/>
          <w:sz w:val="21"/>
          <w:szCs w:val="21"/>
        </w:rPr>
      </w:pPr>
    </w:p>
    <w:p w14:paraId="0F98A844">
      <w:pPr>
        <w:pStyle w:val="17"/>
        <w:adjustRightInd w:val="0"/>
        <w:snapToGrid w:val="0"/>
        <w:spacing w:line="360" w:lineRule="auto"/>
        <w:rPr>
          <w:rFonts w:asciiTheme="minorEastAsia" w:hAnsiTheme="minorEastAsia" w:eastAsiaTheme="minorEastAsia"/>
          <w:sz w:val="21"/>
          <w:szCs w:val="21"/>
        </w:rPr>
      </w:pPr>
    </w:p>
    <w:p w14:paraId="01489364">
      <w:pPr>
        <w:pStyle w:val="17"/>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所有与本招标有关的一切正式往来请寄：</w:t>
      </w:r>
    </w:p>
    <w:p w14:paraId="131DD40C">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地    址：  邮政编码：</w:t>
      </w:r>
    </w:p>
    <w:p w14:paraId="3033BA57">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14:paraId="28B20342">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投标人代表姓名：  职    务：</w:t>
      </w:r>
    </w:p>
    <w:p w14:paraId="2ED57352">
      <w:pPr>
        <w:adjustRightInd w:val="0"/>
        <w:snapToGrid w:val="0"/>
        <w:spacing w:line="360" w:lineRule="auto"/>
        <w:rPr>
          <w:rFonts w:cs="宋体" w:asciiTheme="minorEastAsia" w:hAnsiTheme="minorEastAsia"/>
          <w:szCs w:val="21"/>
          <w:u w:val="single"/>
        </w:rPr>
      </w:pPr>
    </w:p>
    <w:p w14:paraId="4B27DE63">
      <w:pPr>
        <w:adjustRightInd w:val="0"/>
        <w:snapToGrid w:val="0"/>
        <w:spacing w:line="360" w:lineRule="auto"/>
        <w:ind w:firstLine="4305" w:firstLineChars="2050"/>
        <w:rPr>
          <w:rFonts w:cs="宋体" w:asciiTheme="minorEastAsia" w:hAnsiTheme="minorEastAsia"/>
          <w:szCs w:val="21"/>
        </w:rPr>
      </w:pPr>
    </w:p>
    <w:p w14:paraId="2E6DA4FB">
      <w:pPr>
        <w:adjustRightInd w:val="0"/>
        <w:snapToGrid w:val="0"/>
        <w:spacing w:line="360" w:lineRule="auto"/>
        <w:ind w:firstLine="4305" w:firstLineChars="2050"/>
        <w:rPr>
          <w:rFonts w:cs="宋体" w:asciiTheme="minorEastAsia" w:hAnsiTheme="minorEastAsia"/>
          <w:szCs w:val="21"/>
        </w:rPr>
      </w:pPr>
    </w:p>
    <w:p w14:paraId="249D50F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投标人名称（并加盖公章）：</w:t>
      </w:r>
    </w:p>
    <w:p w14:paraId="4F9E5FD4">
      <w:pPr>
        <w:adjustRightInd w:val="0"/>
        <w:snapToGrid w:val="0"/>
        <w:spacing w:line="360" w:lineRule="auto"/>
        <w:ind w:firstLine="4305" w:firstLineChars="2050"/>
        <w:rPr>
          <w:rFonts w:cs="宋体" w:asciiTheme="minorEastAsia" w:hAnsiTheme="minorEastAsia"/>
          <w:szCs w:val="21"/>
        </w:rPr>
      </w:pPr>
    </w:p>
    <w:p w14:paraId="03219C8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日期：年月 日</w:t>
      </w:r>
    </w:p>
    <w:p w14:paraId="7C348473">
      <w:pPr>
        <w:adjustRightInd w:val="0"/>
        <w:snapToGrid w:val="0"/>
        <w:spacing w:line="360" w:lineRule="auto"/>
        <w:ind w:firstLine="4305" w:firstLineChars="2050"/>
        <w:rPr>
          <w:rFonts w:cs="宋体" w:asciiTheme="minorEastAsia" w:hAnsiTheme="minorEastAsia"/>
          <w:szCs w:val="21"/>
        </w:rPr>
      </w:pPr>
    </w:p>
    <w:p w14:paraId="55BF7E14">
      <w:pPr>
        <w:adjustRightInd w:val="0"/>
        <w:snapToGrid w:val="0"/>
        <w:spacing w:line="360" w:lineRule="auto"/>
        <w:rPr>
          <w:rFonts w:cs="宋体" w:asciiTheme="minorEastAsia" w:hAnsiTheme="minorEastAsia"/>
          <w:szCs w:val="21"/>
        </w:rPr>
      </w:pPr>
    </w:p>
    <w:p w14:paraId="044F8D3D">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32A1161F">
      <w:pPr>
        <w:autoSpaceDE w:val="0"/>
        <w:autoSpaceDN w:val="0"/>
        <w:adjustRightInd w:val="0"/>
        <w:spacing w:line="480" w:lineRule="auto"/>
        <w:ind w:firstLine="616" w:firstLineChars="257"/>
        <w:rPr>
          <w:rFonts w:ascii="宋体" w:hAnsi="宋体"/>
          <w:sz w:val="24"/>
          <w:szCs w:val="24"/>
        </w:rPr>
      </w:pPr>
    </w:p>
    <w:p w14:paraId="56D09D1B">
      <w:pPr>
        <w:pStyle w:val="46"/>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445D9B07">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530CC29C">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B936339">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投</w:t>
      </w:r>
      <w:r>
        <w:rPr>
          <w:rFonts w:asciiTheme="minorEastAsia" w:hAnsiTheme="minorEastAsia"/>
          <w:i/>
          <w:snapToGrid w:val="0"/>
          <w:sz w:val="21"/>
          <w:szCs w:val="21"/>
          <w:u w:val="single"/>
        </w:rPr>
        <w:t>标</w:t>
      </w:r>
      <w:r>
        <w:rPr>
          <w:rFonts w:hint="eastAsia" w:asciiTheme="minorEastAsia" w:hAnsiTheme="minorEastAsia"/>
          <w:i/>
          <w:snapToGrid w:val="0"/>
          <w:sz w:val="21"/>
          <w:szCs w:val="21"/>
          <w:u w:val="single"/>
        </w:rPr>
        <w:t>人名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加贵方招</w:t>
      </w:r>
      <w:r>
        <w:rPr>
          <w:rFonts w:asciiTheme="minorEastAsia" w:hAnsiTheme="minorEastAsia"/>
          <w:sz w:val="21"/>
          <w:szCs w:val="21"/>
        </w:rPr>
        <w:t>标编号为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公</w:t>
      </w:r>
      <w:r>
        <w:rPr>
          <w:rFonts w:asciiTheme="minorEastAsia" w:hAnsiTheme="minorEastAsia"/>
          <w:sz w:val="21"/>
          <w:szCs w:val="21"/>
        </w:rPr>
        <w:t>开</w:t>
      </w:r>
      <w:r>
        <w:rPr>
          <w:rFonts w:hint="eastAsia" w:asciiTheme="minorEastAsia" w:hAnsiTheme="minorEastAsia"/>
          <w:sz w:val="21"/>
          <w:szCs w:val="21"/>
        </w:rPr>
        <w:t>招</w:t>
      </w:r>
      <w:r>
        <w:rPr>
          <w:rFonts w:asciiTheme="minorEastAsia" w:hAnsiTheme="minorEastAsia"/>
          <w:sz w:val="21"/>
          <w:szCs w:val="21"/>
        </w:rPr>
        <w:t>标项目</w:t>
      </w:r>
      <w:r>
        <w:rPr>
          <w:rFonts w:hint="eastAsia" w:asciiTheme="minorEastAsia" w:hAnsiTheme="minorEastAsia"/>
          <w:sz w:val="21"/>
          <w:szCs w:val="21"/>
        </w:rPr>
        <w:t>的投</w:t>
      </w:r>
      <w:r>
        <w:rPr>
          <w:rFonts w:asciiTheme="minorEastAsia" w:hAnsiTheme="minorEastAsia"/>
          <w:sz w:val="21"/>
          <w:szCs w:val="21"/>
        </w:rPr>
        <w:t>标报价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的投</w:t>
      </w:r>
      <w:r>
        <w:rPr>
          <w:rFonts w:asciiTheme="minorEastAsia" w:hAnsiTheme="minorEastAsia"/>
          <w:sz w:val="21"/>
          <w:szCs w:val="21"/>
        </w:rPr>
        <w:t>标</w:t>
      </w:r>
      <w:r>
        <w:rPr>
          <w:rFonts w:hint="eastAsia" w:asciiTheme="minorEastAsia" w:hAnsiTheme="minorEastAsia"/>
          <w:sz w:val="21"/>
          <w:szCs w:val="21"/>
        </w:rPr>
        <w:t>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08F2651D">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8BF4886">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40DB9394">
      <w:pPr>
        <w:pStyle w:val="46"/>
        <w:spacing w:line="480" w:lineRule="auto"/>
        <w:ind w:firstLine="472" w:firstLineChars="225"/>
        <w:jc w:val="left"/>
        <w:rPr>
          <w:rFonts w:asciiTheme="minorEastAsia" w:hAnsiTheme="minorEastAsia"/>
          <w:sz w:val="21"/>
          <w:szCs w:val="21"/>
        </w:rPr>
      </w:pPr>
    </w:p>
    <w:p w14:paraId="4BB45ADB">
      <w:pPr>
        <w:pStyle w:val="46"/>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23FA9C12">
      <w:pPr>
        <w:pStyle w:val="46"/>
        <w:spacing w:line="480" w:lineRule="auto"/>
        <w:ind w:left="-538" w:leftChars="-256" w:firstLine="539" w:firstLineChars="257"/>
        <w:jc w:val="center"/>
        <w:rPr>
          <w:rFonts w:asciiTheme="minorEastAsia" w:hAnsiTheme="minorEastAsia"/>
          <w:bCs/>
          <w:sz w:val="21"/>
          <w:szCs w:val="21"/>
        </w:rPr>
      </w:pPr>
    </w:p>
    <w:p w14:paraId="0F25DA4F">
      <w:pPr>
        <w:autoSpaceDE w:val="0"/>
        <w:autoSpaceDN w:val="0"/>
        <w:adjustRightInd w:val="0"/>
        <w:spacing w:line="360" w:lineRule="auto"/>
        <w:ind w:right="-11"/>
        <w:rPr>
          <w:rFonts w:cs="宋体" w:asciiTheme="minorEastAsia" w:hAnsiTheme="minorEastAsia"/>
          <w:szCs w:val="21"/>
          <w:lang w:val="zh-CN"/>
        </w:rPr>
      </w:pPr>
    </w:p>
    <w:p w14:paraId="0647701B">
      <w:pPr>
        <w:spacing w:line="480" w:lineRule="auto"/>
        <w:ind w:firstLine="3937" w:firstLineChars="1875"/>
        <w:rPr>
          <w:rFonts w:cs="Arial" w:asciiTheme="minorEastAsia" w:hAnsiTheme="minorEastAsia"/>
          <w:szCs w:val="21"/>
          <w:u w:val="single"/>
        </w:rPr>
      </w:pPr>
      <w:r>
        <w:rPr>
          <w:rFonts w:hint="eastAsia" w:cs="Arial" w:asciiTheme="minorEastAsia" w:hAnsiTheme="minorEastAsia"/>
          <w:szCs w:val="21"/>
        </w:rPr>
        <w:t>投标人名称（并加盖公章）：</w:t>
      </w:r>
    </w:p>
    <w:p w14:paraId="500FF1D3">
      <w:pPr>
        <w:pStyle w:val="49"/>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95688A6">
      <w:pPr>
        <w:pStyle w:val="48"/>
        <w:spacing w:line="480" w:lineRule="auto"/>
        <w:rPr>
          <w:rFonts w:cs="Arial" w:asciiTheme="minorEastAsia" w:hAnsiTheme="minorEastAsia"/>
          <w:sz w:val="21"/>
          <w:szCs w:val="21"/>
        </w:rPr>
      </w:pPr>
    </w:p>
    <w:p w14:paraId="04D59FEA">
      <w:pPr>
        <w:rPr>
          <w:szCs w:val="21"/>
        </w:rPr>
      </w:pPr>
    </w:p>
    <w:p w14:paraId="69779A2A">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加本招</w:t>
      </w:r>
      <w:r>
        <w:rPr>
          <w:rFonts w:asciiTheme="minorEastAsia" w:hAnsiTheme="minorEastAsia"/>
          <w:bCs/>
          <w:kern w:val="12"/>
          <w:szCs w:val="21"/>
        </w:rPr>
        <w:t>标项目</w:t>
      </w:r>
      <w:r>
        <w:rPr>
          <w:rFonts w:hint="eastAsia" w:asciiTheme="minorEastAsia" w:hAnsiTheme="minorEastAsia"/>
          <w:bCs/>
          <w:kern w:val="12"/>
          <w:szCs w:val="21"/>
        </w:rPr>
        <w:t>投</w:t>
      </w:r>
      <w:r>
        <w:rPr>
          <w:rFonts w:asciiTheme="minorEastAsia" w:hAnsiTheme="minorEastAsia"/>
          <w:bCs/>
          <w:kern w:val="12"/>
          <w:szCs w:val="21"/>
        </w:rPr>
        <w:t>标</w:t>
      </w:r>
      <w:r>
        <w:rPr>
          <w:rFonts w:hint="eastAsia" w:asciiTheme="minorEastAsia" w:hAnsiTheme="minorEastAsia"/>
          <w:bCs/>
          <w:kern w:val="12"/>
          <w:szCs w:val="21"/>
        </w:rPr>
        <w:t>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5017698F">
      <w:pPr>
        <w:spacing w:line="480" w:lineRule="exact"/>
        <w:jc w:val="center"/>
        <w:rPr>
          <w:rFonts w:ascii="宋体" w:hAnsi="宋体"/>
          <w:b/>
          <w:bCs/>
          <w:sz w:val="36"/>
          <w:szCs w:val="36"/>
        </w:rPr>
      </w:pPr>
    </w:p>
    <w:p w14:paraId="0B7EA69C">
      <w:pPr>
        <w:widowControl/>
        <w:jc w:val="left"/>
        <w:rPr>
          <w:rFonts w:ascii="宋体" w:hAnsi="宋体"/>
          <w:b/>
          <w:bCs/>
          <w:sz w:val="24"/>
          <w:szCs w:val="24"/>
        </w:rPr>
      </w:pPr>
      <w:r>
        <w:rPr>
          <w:rFonts w:ascii="宋体" w:hAnsi="宋体"/>
          <w:b/>
          <w:bCs/>
          <w:sz w:val="24"/>
          <w:szCs w:val="24"/>
        </w:rPr>
        <w:br w:type="page"/>
      </w:r>
    </w:p>
    <w:p w14:paraId="10A95F5D">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6C3AB9CE">
      <w:pPr>
        <w:spacing w:line="480" w:lineRule="exact"/>
        <w:jc w:val="center"/>
        <w:rPr>
          <w:rFonts w:ascii="宋体" w:hAnsi="宋体"/>
          <w:b/>
          <w:bCs/>
          <w:sz w:val="36"/>
          <w:szCs w:val="36"/>
        </w:rPr>
      </w:pPr>
    </w:p>
    <w:p w14:paraId="6B62A521">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投标人名称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以我方的名义参加贵方______________________项目的投标活动，并代表我方全权办理针对上述项目的投标、开标、投标文件澄清、签约等一切具体事务和签署相关文件。</w:t>
      </w:r>
    </w:p>
    <w:p w14:paraId="2114848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5AC9C6A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4067B40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37B3318D">
      <w:pPr>
        <w:spacing w:line="480" w:lineRule="auto"/>
        <w:ind w:firstLine="420" w:firstLineChars="200"/>
        <w:rPr>
          <w:rFonts w:asciiTheme="minorEastAsia" w:hAnsiTheme="minorEastAsia"/>
          <w:szCs w:val="21"/>
        </w:rPr>
      </w:pPr>
      <w:r>
        <w:rPr>
          <w:rFonts w:hint="eastAsia" w:asciiTheme="minorEastAsia" w:hAnsiTheme="minorEastAsia"/>
          <w:szCs w:val="21"/>
        </w:rPr>
        <w:t xml:space="preserve">投标人名称： </w:t>
      </w:r>
      <w:r>
        <w:rPr>
          <w:rFonts w:hint="eastAsia" w:asciiTheme="minorEastAsia" w:hAnsiTheme="minorEastAsia"/>
          <w:szCs w:val="21"/>
          <w:u w:val="single"/>
        </w:rPr>
        <w:t xml:space="preserve">       （全称）       </w:t>
      </w:r>
      <w:r>
        <w:rPr>
          <w:rFonts w:hint="eastAsia" w:asciiTheme="minorEastAsia" w:hAnsiTheme="minorEastAsia"/>
          <w:szCs w:val="21"/>
        </w:rPr>
        <w:t xml:space="preserve"> （盖单位公章）</w:t>
      </w:r>
    </w:p>
    <w:p w14:paraId="0DD27219">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 （签字或加盖名章）</w:t>
      </w:r>
    </w:p>
    <w:p w14:paraId="5AF36AC9">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155D210D">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1894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84EC1DE">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A6DFDCC">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552D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29F466F">
            <w:pPr>
              <w:jc w:val="center"/>
              <w:rPr>
                <w:rFonts w:asciiTheme="minorEastAsia" w:hAnsiTheme="minorEastAsia"/>
                <w:szCs w:val="21"/>
              </w:rPr>
            </w:pPr>
            <w:bookmarkStart w:id="7" w:name="_资格证明文件"/>
            <w:bookmarkEnd w:id="7"/>
            <w:bookmarkStart w:id="8" w:name="_Toc364329026"/>
            <w:r>
              <w:rPr>
                <w:rFonts w:hint="eastAsia" w:asciiTheme="minorEastAsia" w:hAnsiTheme="minorEastAsia"/>
                <w:szCs w:val="21"/>
              </w:rPr>
              <w:t>法定代表人（单位负责人）授权代表身份证</w:t>
            </w:r>
          </w:p>
          <w:p w14:paraId="005C20A4">
            <w:pPr>
              <w:jc w:val="center"/>
              <w:rPr>
                <w:rFonts w:asciiTheme="minorEastAsia" w:hAnsiTheme="minorEastAsia"/>
                <w:szCs w:val="21"/>
              </w:rPr>
            </w:pPr>
            <w:r>
              <w:rPr>
                <w:rFonts w:hint="eastAsia" w:asciiTheme="minorEastAsia" w:hAnsiTheme="minorEastAsia"/>
                <w:szCs w:val="21"/>
              </w:rPr>
              <w:t>（正面）</w:t>
            </w:r>
            <w:bookmarkEnd w:id="8"/>
          </w:p>
        </w:tc>
        <w:tc>
          <w:tcPr>
            <w:tcW w:w="4492" w:type="dxa"/>
            <w:gridSpan w:val="2"/>
            <w:vAlign w:val="center"/>
          </w:tcPr>
          <w:p w14:paraId="1231B578">
            <w:pPr>
              <w:jc w:val="center"/>
              <w:rPr>
                <w:rFonts w:asciiTheme="minorEastAsia" w:hAnsiTheme="minorEastAsia"/>
                <w:szCs w:val="21"/>
              </w:rPr>
            </w:pPr>
            <w:bookmarkStart w:id="9" w:name="_Toc364329027"/>
            <w:r>
              <w:rPr>
                <w:rFonts w:hint="eastAsia" w:asciiTheme="minorEastAsia" w:hAnsiTheme="minorEastAsia"/>
                <w:szCs w:val="21"/>
              </w:rPr>
              <w:t>法定代表人（单位负责人）授权代表身份证</w:t>
            </w:r>
          </w:p>
          <w:p w14:paraId="3A9E655C">
            <w:pPr>
              <w:jc w:val="center"/>
              <w:rPr>
                <w:rFonts w:asciiTheme="minorEastAsia" w:hAnsiTheme="minorEastAsia"/>
                <w:szCs w:val="21"/>
              </w:rPr>
            </w:pPr>
            <w:r>
              <w:rPr>
                <w:rFonts w:hint="eastAsia" w:asciiTheme="minorEastAsia" w:hAnsiTheme="minorEastAsia"/>
                <w:szCs w:val="21"/>
              </w:rPr>
              <w:t>（反面）</w:t>
            </w:r>
            <w:bookmarkEnd w:id="9"/>
          </w:p>
        </w:tc>
      </w:tr>
    </w:tbl>
    <w:p w14:paraId="751515C6">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投标承诺函</w:t>
      </w:r>
    </w:p>
    <w:p w14:paraId="6B437623">
      <w:pPr>
        <w:autoSpaceDE w:val="0"/>
        <w:autoSpaceDN w:val="0"/>
        <w:snapToGrid w:val="0"/>
        <w:spacing w:line="360" w:lineRule="auto"/>
        <w:jc w:val="center"/>
        <w:rPr>
          <w:rFonts w:ascii="宋体" w:hAnsi="宋体"/>
          <w:b/>
          <w:bCs/>
          <w:sz w:val="24"/>
          <w:szCs w:val="24"/>
        </w:rPr>
      </w:pPr>
    </w:p>
    <w:p w14:paraId="6DC37633">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13E8A21B">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____年____月____日________</w:t>
      </w:r>
      <w:r>
        <w:rPr>
          <w:rFonts w:hint="eastAsia" w:cs="宋体" w:asciiTheme="minorEastAsia" w:hAnsiTheme="minorEastAsia"/>
          <w:i/>
          <w:szCs w:val="21"/>
          <w:u w:val="single"/>
          <w:lang w:val="zh-CN"/>
        </w:rPr>
        <w:t>（招标编号、项目名称）</w:t>
      </w:r>
      <w:r>
        <w:rPr>
          <w:rFonts w:hint="eastAsia" w:cs="宋体" w:asciiTheme="minorEastAsia" w:hAnsiTheme="minorEastAsia"/>
          <w:szCs w:val="21"/>
          <w:lang w:val="zh-CN"/>
        </w:rPr>
        <w:t>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投标</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04008B0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一、在投标有效期内撤销投标文件；</w:t>
      </w:r>
    </w:p>
    <w:p w14:paraId="49545FF2">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二、在投标文件中提供虚假材料；</w:t>
      </w:r>
    </w:p>
    <w:p w14:paraId="18FF9A29">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三、除因不可抗力或招标文件认可的情形以外，中标后不与采购人签订合同；</w:t>
      </w:r>
    </w:p>
    <w:p w14:paraId="3FDEE2A4">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四、与采购人、其他投标人或者采购代理机构恶意串通；</w:t>
      </w:r>
    </w:p>
    <w:p w14:paraId="54FD2D6B">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五、法律法规及本招标文件规定的其他严重违法行为。</w:t>
      </w:r>
    </w:p>
    <w:p w14:paraId="0ECD70FF">
      <w:pPr>
        <w:rPr>
          <w:sz w:val="28"/>
          <w:szCs w:val="28"/>
          <w:u w:val="single"/>
        </w:rPr>
      </w:pPr>
    </w:p>
    <w:p w14:paraId="20677208">
      <w:pPr>
        <w:rPr>
          <w:sz w:val="28"/>
          <w:szCs w:val="28"/>
          <w:u w:val="single"/>
        </w:rPr>
      </w:pPr>
    </w:p>
    <w:p w14:paraId="354BCCF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投标人名称（并加盖公章）：　　　　　　　　　</w:t>
      </w:r>
    </w:p>
    <w:p w14:paraId="486D054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7310B3CE">
      <w:pPr>
        <w:autoSpaceDE w:val="0"/>
        <w:autoSpaceDN w:val="0"/>
        <w:adjustRightInd w:val="0"/>
        <w:spacing w:line="360" w:lineRule="auto"/>
        <w:jc w:val="center"/>
        <w:outlineLvl w:val="0"/>
        <w:rPr>
          <w:rFonts w:hAnsi="宋体" w:eastAsia="宋体"/>
          <w:b/>
          <w:snapToGrid w:val="0"/>
          <w:kern w:val="0"/>
          <w:sz w:val="36"/>
          <w:szCs w:val="36"/>
        </w:rPr>
      </w:pPr>
    </w:p>
    <w:p w14:paraId="5A05A207">
      <w:pPr>
        <w:autoSpaceDE w:val="0"/>
        <w:autoSpaceDN w:val="0"/>
        <w:adjustRightInd w:val="0"/>
        <w:spacing w:line="360" w:lineRule="auto"/>
        <w:jc w:val="center"/>
        <w:rPr>
          <w:rFonts w:ascii="宋体" w:cs="宋体"/>
          <w:szCs w:val="21"/>
          <w:lang w:val="zh-CN"/>
        </w:rPr>
      </w:pPr>
    </w:p>
    <w:p w14:paraId="21684946">
      <w:pPr>
        <w:autoSpaceDE w:val="0"/>
        <w:autoSpaceDN w:val="0"/>
        <w:adjustRightInd w:val="0"/>
        <w:spacing w:line="360" w:lineRule="auto"/>
        <w:jc w:val="center"/>
        <w:rPr>
          <w:rFonts w:ascii="宋体" w:cs="宋体"/>
          <w:szCs w:val="21"/>
          <w:lang w:val="zh-CN"/>
        </w:rPr>
      </w:pPr>
    </w:p>
    <w:p w14:paraId="2F179C00">
      <w:pPr>
        <w:autoSpaceDE w:val="0"/>
        <w:autoSpaceDN w:val="0"/>
        <w:adjustRightInd w:val="0"/>
        <w:spacing w:line="360" w:lineRule="auto"/>
        <w:jc w:val="center"/>
        <w:rPr>
          <w:rFonts w:ascii="宋体" w:cs="宋体"/>
          <w:szCs w:val="21"/>
          <w:lang w:val="zh-CN"/>
        </w:rPr>
      </w:pPr>
    </w:p>
    <w:p w14:paraId="49C52767">
      <w:pPr>
        <w:autoSpaceDE w:val="0"/>
        <w:autoSpaceDN w:val="0"/>
        <w:adjustRightInd w:val="0"/>
        <w:spacing w:line="360" w:lineRule="auto"/>
        <w:jc w:val="center"/>
        <w:rPr>
          <w:rFonts w:ascii="宋体" w:cs="宋体"/>
          <w:szCs w:val="21"/>
          <w:lang w:val="zh-CN"/>
        </w:rPr>
      </w:pPr>
    </w:p>
    <w:p w14:paraId="7A28571B">
      <w:pPr>
        <w:autoSpaceDE w:val="0"/>
        <w:autoSpaceDN w:val="0"/>
        <w:adjustRightInd w:val="0"/>
        <w:spacing w:line="360" w:lineRule="auto"/>
        <w:jc w:val="center"/>
        <w:rPr>
          <w:rFonts w:ascii="宋体" w:cs="宋体"/>
          <w:szCs w:val="21"/>
          <w:lang w:val="zh-CN"/>
        </w:rPr>
      </w:pPr>
    </w:p>
    <w:p w14:paraId="18B46E27">
      <w:pPr>
        <w:autoSpaceDE w:val="0"/>
        <w:autoSpaceDN w:val="0"/>
        <w:adjustRightInd w:val="0"/>
        <w:spacing w:line="360" w:lineRule="auto"/>
        <w:ind w:right="-11"/>
        <w:rPr>
          <w:rFonts w:ascii="宋体" w:cs="宋体"/>
          <w:szCs w:val="21"/>
          <w:lang w:val="zh-CN"/>
        </w:rPr>
      </w:pPr>
    </w:p>
    <w:p w14:paraId="030A1645">
      <w:pPr>
        <w:autoSpaceDE w:val="0"/>
        <w:autoSpaceDN w:val="0"/>
        <w:adjustRightInd w:val="0"/>
        <w:spacing w:line="360" w:lineRule="auto"/>
        <w:jc w:val="center"/>
        <w:rPr>
          <w:rFonts w:cs="宋体" w:asciiTheme="minorEastAsia" w:hAnsiTheme="minorEastAsia"/>
          <w:sz w:val="24"/>
          <w:szCs w:val="24"/>
          <w:lang w:val="zh-CN"/>
        </w:rPr>
      </w:pPr>
    </w:p>
    <w:p w14:paraId="37BBF651">
      <w:pPr>
        <w:autoSpaceDE w:val="0"/>
        <w:autoSpaceDN w:val="0"/>
        <w:adjustRightInd w:val="0"/>
        <w:spacing w:line="360" w:lineRule="auto"/>
        <w:jc w:val="center"/>
        <w:rPr>
          <w:rFonts w:cs="宋体" w:asciiTheme="minorEastAsia" w:hAnsiTheme="minorEastAsia"/>
          <w:sz w:val="24"/>
          <w:szCs w:val="24"/>
          <w:lang w:val="zh-CN"/>
        </w:rPr>
      </w:pPr>
    </w:p>
    <w:p w14:paraId="2E27797A">
      <w:pPr>
        <w:spacing w:line="360" w:lineRule="auto"/>
        <w:jc w:val="center"/>
        <w:rPr>
          <w:rFonts w:ascii="宋体" w:hAnsi="宋体"/>
          <w:b/>
          <w:bCs/>
          <w:sz w:val="24"/>
          <w:szCs w:val="24"/>
        </w:rPr>
      </w:pPr>
      <w:r>
        <w:rPr>
          <w:rFonts w:hint="eastAsia" w:ascii="宋体" w:hAnsi="宋体"/>
          <w:b/>
          <w:bCs/>
          <w:sz w:val="24"/>
          <w:szCs w:val="24"/>
        </w:rPr>
        <w:t>3.5禹州市政府采购供应商信用承诺函</w:t>
      </w:r>
    </w:p>
    <w:p w14:paraId="7B91DBFF">
      <w:pPr>
        <w:rPr>
          <w:rFonts w:cs="宋体" w:asciiTheme="minorEastAsia" w:hAnsiTheme="minorEastAsia"/>
          <w:szCs w:val="21"/>
          <w:lang w:val="zh-CN"/>
        </w:rPr>
      </w:pPr>
    </w:p>
    <w:p w14:paraId="455E8B3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0AC1B2D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18CF4FD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BBCB35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26658CB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4FB5E6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FFBA53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F6B17B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61350BE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2D8D9F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330E3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1FBD4F6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3A28D64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12F7E9D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1111E25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6A4F83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563A86C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Theme="minorEastAsia" w:hAnsiTheme="minorEastAsia" w:eastAsiaTheme="minorEastAsia" w:cstheme="minorEastAsia"/>
          <w:kern w:val="2"/>
          <w:sz w:val="21"/>
          <w:szCs w:val="21"/>
          <w:lang w:val="en-US" w:eastAsia="zh-CN" w:bidi="ar-SA"/>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51B8A5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517CB5C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r>
        <w:rPr>
          <w:rFonts w:hint="eastAsia" w:cs="宋体" w:asciiTheme="minorEastAsia" w:hAnsiTheme="minorEastAsia"/>
          <w:szCs w:val="21"/>
          <w:lang w:val="zh-CN"/>
        </w:rPr>
        <w:t>：</w:t>
      </w:r>
    </w:p>
    <w:p w14:paraId="3E90111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559E4BA9">
      <w:pPr>
        <w:rPr>
          <w:rFonts w:cs="宋体" w:asciiTheme="minorEastAsia" w:hAnsiTheme="minorEastAsia"/>
          <w:szCs w:val="21"/>
          <w:lang w:val="zh-CN"/>
        </w:rPr>
      </w:pPr>
    </w:p>
    <w:p w14:paraId="363BC290">
      <w:pPr>
        <w:rPr>
          <w:rFonts w:ascii="仿宋" w:hAnsi="仿宋" w:eastAsia="仿宋" w:cs="华文仿宋"/>
          <w:szCs w:val="21"/>
        </w:rPr>
      </w:pPr>
    </w:p>
    <w:p w14:paraId="46187B10">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72267FC0">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2BEA4DF6">
      <w:pPr>
        <w:rPr>
          <w:rFonts w:ascii="仿宋" w:hAnsi="仿宋" w:eastAsia="仿宋"/>
          <w:sz w:val="32"/>
          <w:szCs w:val="32"/>
        </w:rPr>
      </w:pPr>
    </w:p>
    <w:p w14:paraId="6F56305F">
      <w:pPr>
        <w:rPr>
          <w:rFonts w:ascii="仿宋" w:hAnsi="仿宋" w:eastAsia="仿宋"/>
          <w:sz w:val="32"/>
          <w:szCs w:val="32"/>
        </w:rPr>
      </w:pPr>
    </w:p>
    <w:p w14:paraId="39A414BD">
      <w:pPr>
        <w:rPr>
          <w:rFonts w:ascii="仿宋" w:hAnsi="仿宋" w:eastAsia="仿宋"/>
          <w:sz w:val="32"/>
          <w:szCs w:val="32"/>
        </w:rPr>
      </w:pPr>
    </w:p>
    <w:p w14:paraId="0023A595">
      <w:pPr>
        <w:rPr>
          <w:rFonts w:ascii="仿宋" w:hAnsi="仿宋" w:eastAsia="仿宋"/>
          <w:sz w:val="32"/>
          <w:szCs w:val="32"/>
        </w:rPr>
      </w:pPr>
    </w:p>
    <w:p w14:paraId="20DB1E69">
      <w:pPr>
        <w:rPr>
          <w:rFonts w:ascii="仿宋" w:hAnsi="仿宋" w:eastAsia="仿宋"/>
          <w:sz w:val="32"/>
          <w:szCs w:val="32"/>
        </w:rPr>
      </w:pPr>
    </w:p>
    <w:p w14:paraId="0F228377">
      <w:pPr>
        <w:pStyle w:val="3"/>
        <w:rPr>
          <w:rFonts w:ascii="宋体" w:cs="宋体"/>
          <w:sz w:val="24"/>
          <w:lang w:val="zh-CN"/>
        </w:rPr>
      </w:pPr>
    </w:p>
    <w:p w14:paraId="654C5B20">
      <w:pPr>
        <w:pStyle w:val="3"/>
        <w:rPr>
          <w:rFonts w:ascii="宋体" w:cs="宋体"/>
          <w:sz w:val="24"/>
          <w:lang w:val="zh-CN"/>
        </w:rPr>
      </w:pPr>
    </w:p>
    <w:p w14:paraId="5CE32BD6">
      <w:pPr>
        <w:pStyle w:val="3"/>
        <w:rPr>
          <w:rFonts w:ascii="宋体" w:cs="宋体"/>
          <w:sz w:val="24"/>
          <w:lang w:val="zh-CN"/>
        </w:rPr>
      </w:pPr>
    </w:p>
    <w:p w14:paraId="707894DC">
      <w:pPr>
        <w:spacing w:line="360" w:lineRule="auto"/>
        <w:rPr>
          <w:rFonts w:ascii="宋体" w:hAnsi="宋体"/>
          <w:b/>
          <w:bCs/>
          <w:sz w:val="24"/>
          <w:szCs w:val="24"/>
        </w:rPr>
      </w:pPr>
    </w:p>
    <w:p w14:paraId="009F29AE">
      <w:pPr>
        <w:spacing w:line="360" w:lineRule="auto"/>
        <w:jc w:val="center"/>
        <w:rPr>
          <w:rFonts w:hint="eastAsia"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6</w:t>
      </w:r>
      <w:r>
        <w:rPr>
          <w:rFonts w:hint="eastAsia" w:ascii="宋体" w:hAnsi="宋体"/>
          <w:b/>
          <w:bCs/>
          <w:sz w:val="24"/>
          <w:szCs w:val="24"/>
        </w:rPr>
        <w:t>投标人提供与参加本项目投标的其他供应商之间，单位负责人不为同一人并且不存在直接控股、管理关系承诺函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7</w:t>
      </w:r>
      <w:r>
        <w:rPr>
          <w:rFonts w:hint="eastAsia" w:ascii="宋体" w:hAnsi="宋体"/>
          <w:b/>
          <w:bCs/>
          <w:sz w:val="24"/>
          <w:szCs w:val="24"/>
        </w:rPr>
        <w:t>投标人提供未为本项目提供整体设计、规范编制或者项目管理、监理、检测等服务承诺函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8 </w:t>
      </w:r>
      <w:r>
        <w:rPr>
          <w:rFonts w:hint="eastAsia" w:ascii="宋体" w:hAnsi="宋体"/>
          <w:b/>
          <w:bCs/>
          <w:sz w:val="24"/>
          <w:szCs w:val="24"/>
        </w:rPr>
        <w:t xml:space="preserve">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w:t>
      </w:r>
      <w:r>
        <w:rPr>
          <w:rFonts w:hint="eastAsia" w:cs="黑体" w:asciiTheme="minorEastAsia" w:hAnsiTheme="minorEastAsia"/>
          <w:b/>
          <w:bCs/>
          <w:sz w:val="28"/>
          <w:szCs w:val="28"/>
          <w:lang w:val="en-US" w:eastAsia="zh-CN"/>
        </w:rPr>
        <w:t>符合性</w:t>
      </w:r>
      <w:r>
        <w:rPr>
          <w:rFonts w:hint="eastAsia" w:cs="黑体" w:asciiTheme="minorEastAsia" w:hAnsiTheme="minorEastAsia"/>
          <w:b/>
          <w:bCs/>
          <w:sz w:val="28"/>
          <w:szCs w:val="28"/>
          <w:lang w:val="zh-CN"/>
        </w:rPr>
        <w:t>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12"/>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12"/>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12"/>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12"/>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12"/>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12"/>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12"/>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12"/>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12"/>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12"/>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12"/>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1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1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1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12"/>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1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1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1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12"/>
              <w:spacing w:line="360" w:lineRule="auto"/>
              <w:rPr>
                <w:rFonts w:ascii="宋体" w:hAnsi="宋体" w:eastAsia="宋体" w:cs="Times New Roman"/>
                <w:sz w:val="21"/>
                <w:szCs w:val="21"/>
              </w:rPr>
            </w:pPr>
          </w:p>
        </w:tc>
        <w:tc>
          <w:tcPr>
            <w:tcW w:w="3579" w:type="dxa"/>
            <w:vAlign w:val="center"/>
          </w:tcPr>
          <w:p w14:paraId="6BE38495">
            <w:pPr>
              <w:pStyle w:val="12"/>
              <w:spacing w:line="360" w:lineRule="auto"/>
              <w:rPr>
                <w:rFonts w:ascii="宋体" w:hAnsi="宋体" w:eastAsia="宋体" w:cs="Times New Roman"/>
                <w:sz w:val="21"/>
                <w:szCs w:val="21"/>
              </w:rPr>
            </w:pPr>
          </w:p>
        </w:tc>
        <w:tc>
          <w:tcPr>
            <w:tcW w:w="1440" w:type="dxa"/>
            <w:vAlign w:val="center"/>
          </w:tcPr>
          <w:p w14:paraId="587EAB21">
            <w:pPr>
              <w:pStyle w:val="12"/>
              <w:spacing w:line="360" w:lineRule="auto"/>
              <w:rPr>
                <w:rFonts w:ascii="宋体" w:hAnsi="宋体" w:eastAsia="宋体" w:cs="Times New Roman"/>
                <w:sz w:val="21"/>
                <w:szCs w:val="21"/>
              </w:rPr>
            </w:pPr>
          </w:p>
        </w:tc>
        <w:tc>
          <w:tcPr>
            <w:tcW w:w="1706" w:type="dxa"/>
            <w:vAlign w:val="center"/>
          </w:tcPr>
          <w:p w14:paraId="22315D90">
            <w:pPr>
              <w:pStyle w:val="12"/>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1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12"/>
              <w:spacing w:line="360" w:lineRule="auto"/>
              <w:rPr>
                <w:rFonts w:ascii="宋体" w:hAnsi="宋体" w:eastAsia="宋体" w:cs="Times New Roman"/>
                <w:sz w:val="21"/>
                <w:szCs w:val="21"/>
              </w:rPr>
            </w:pPr>
          </w:p>
        </w:tc>
        <w:tc>
          <w:tcPr>
            <w:tcW w:w="3579" w:type="dxa"/>
            <w:vAlign w:val="center"/>
          </w:tcPr>
          <w:p w14:paraId="19532459">
            <w:pPr>
              <w:pStyle w:val="12"/>
              <w:spacing w:line="360" w:lineRule="auto"/>
              <w:rPr>
                <w:rFonts w:ascii="宋体" w:hAnsi="宋体" w:eastAsia="宋体" w:cs="Times New Roman"/>
                <w:sz w:val="21"/>
                <w:szCs w:val="21"/>
              </w:rPr>
            </w:pPr>
          </w:p>
        </w:tc>
        <w:tc>
          <w:tcPr>
            <w:tcW w:w="1440" w:type="dxa"/>
            <w:vAlign w:val="center"/>
          </w:tcPr>
          <w:p w14:paraId="74A3CD0B">
            <w:pPr>
              <w:pStyle w:val="12"/>
              <w:spacing w:line="360" w:lineRule="auto"/>
              <w:rPr>
                <w:rFonts w:ascii="宋体" w:hAnsi="宋体" w:eastAsia="宋体" w:cs="Times New Roman"/>
                <w:sz w:val="21"/>
                <w:szCs w:val="21"/>
              </w:rPr>
            </w:pPr>
          </w:p>
        </w:tc>
        <w:tc>
          <w:tcPr>
            <w:tcW w:w="1706" w:type="dxa"/>
            <w:vAlign w:val="center"/>
          </w:tcPr>
          <w:p w14:paraId="07BBCB1A">
            <w:pPr>
              <w:pStyle w:val="12"/>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1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12"/>
              <w:spacing w:line="360" w:lineRule="auto"/>
              <w:rPr>
                <w:rFonts w:ascii="宋体" w:hAnsi="宋体" w:eastAsia="宋体" w:cs="Times New Roman"/>
                <w:sz w:val="21"/>
                <w:szCs w:val="21"/>
              </w:rPr>
            </w:pPr>
          </w:p>
        </w:tc>
        <w:tc>
          <w:tcPr>
            <w:tcW w:w="3579" w:type="dxa"/>
            <w:vAlign w:val="center"/>
          </w:tcPr>
          <w:p w14:paraId="609A503B">
            <w:pPr>
              <w:pStyle w:val="12"/>
              <w:spacing w:line="360" w:lineRule="auto"/>
              <w:rPr>
                <w:rFonts w:ascii="宋体" w:hAnsi="宋体" w:eastAsia="宋体" w:cs="Times New Roman"/>
                <w:sz w:val="21"/>
                <w:szCs w:val="21"/>
              </w:rPr>
            </w:pPr>
          </w:p>
        </w:tc>
        <w:tc>
          <w:tcPr>
            <w:tcW w:w="1440" w:type="dxa"/>
            <w:vAlign w:val="center"/>
          </w:tcPr>
          <w:p w14:paraId="1A21A8E6">
            <w:pPr>
              <w:pStyle w:val="12"/>
              <w:spacing w:line="360" w:lineRule="auto"/>
              <w:rPr>
                <w:rFonts w:ascii="宋体" w:hAnsi="宋体" w:eastAsia="宋体" w:cs="Times New Roman"/>
                <w:sz w:val="21"/>
                <w:szCs w:val="21"/>
              </w:rPr>
            </w:pPr>
          </w:p>
        </w:tc>
        <w:tc>
          <w:tcPr>
            <w:tcW w:w="1706" w:type="dxa"/>
            <w:vAlign w:val="center"/>
          </w:tcPr>
          <w:p w14:paraId="1AF7E261">
            <w:pPr>
              <w:pStyle w:val="12"/>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1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12" w:type="dxa"/>
            <w:vAlign w:val="center"/>
          </w:tcPr>
          <w:p w14:paraId="59C49E00">
            <w:pPr>
              <w:pStyle w:val="1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12"/>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12"/>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12"/>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12"/>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12"/>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12"/>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12"/>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12"/>
              <w:spacing w:line="360" w:lineRule="auto"/>
              <w:rPr>
                <w:rFonts w:ascii="宋体" w:hAnsi="宋体" w:eastAsia="宋体" w:cs="Times New Roman"/>
                <w:sz w:val="21"/>
                <w:szCs w:val="21"/>
              </w:rPr>
            </w:pPr>
          </w:p>
        </w:tc>
        <w:tc>
          <w:tcPr>
            <w:tcW w:w="814" w:type="pct"/>
            <w:vAlign w:val="center"/>
          </w:tcPr>
          <w:p w14:paraId="51DC7484">
            <w:pPr>
              <w:pStyle w:val="12"/>
              <w:spacing w:line="360" w:lineRule="auto"/>
              <w:rPr>
                <w:rFonts w:ascii="宋体" w:hAnsi="宋体" w:eastAsia="宋体" w:cs="Times New Roman"/>
                <w:sz w:val="21"/>
                <w:szCs w:val="21"/>
              </w:rPr>
            </w:pPr>
          </w:p>
        </w:tc>
        <w:tc>
          <w:tcPr>
            <w:tcW w:w="665" w:type="pct"/>
          </w:tcPr>
          <w:p w14:paraId="62A1160F">
            <w:pPr>
              <w:pStyle w:val="12"/>
              <w:spacing w:line="360" w:lineRule="auto"/>
              <w:rPr>
                <w:rFonts w:ascii="宋体" w:hAnsi="宋体" w:eastAsia="宋体" w:cs="Times New Roman"/>
                <w:sz w:val="21"/>
                <w:szCs w:val="21"/>
              </w:rPr>
            </w:pPr>
          </w:p>
        </w:tc>
        <w:tc>
          <w:tcPr>
            <w:tcW w:w="884" w:type="pct"/>
          </w:tcPr>
          <w:p w14:paraId="621A2FA7">
            <w:pPr>
              <w:pStyle w:val="12"/>
              <w:spacing w:line="360" w:lineRule="auto"/>
              <w:rPr>
                <w:rFonts w:ascii="宋体" w:hAnsi="宋体" w:eastAsia="宋体" w:cs="Times New Roman"/>
                <w:sz w:val="21"/>
                <w:szCs w:val="21"/>
              </w:rPr>
            </w:pPr>
          </w:p>
        </w:tc>
        <w:tc>
          <w:tcPr>
            <w:tcW w:w="858" w:type="pct"/>
          </w:tcPr>
          <w:p w14:paraId="30F1839F">
            <w:pPr>
              <w:pStyle w:val="12"/>
              <w:spacing w:line="360" w:lineRule="auto"/>
              <w:rPr>
                <w:rFonts w:ascii="宋体" w:hAnsi="宋体" w:eastAsia="宋体" w:cs="Times New Roman"/>
                <w:sz w:val="21"/>
                <w:szCs w:val="21"/>
              </w:rPr>
            </w:pPr>
          </w:p>
        </w:tc>
        <w:tc>
          <w:tcPr>
            <w:tcW w:w="760" w:type="pct"/>
          </w:tcPr>
          <w:p w14:paraId="1F59D518">
            <w:pPr>
              <w:pStyle w:val="12"/>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12"/>
              <w:spacing w:line="360" w:lineRule="auto"/>
              <w:rPr>
                <w:rFonts w:ascii="宋体" w:hAnsi="宋体" w:eastAsia="宋体" w:cs="Times New Roman"/>
                <w:sz w:val="21"/>
                <w:szCs w:val="21"/>
              </w:rPr>
            </w:pPr>
          </w:p>
        </w:tc>
        <w:tc>
          <w:tcPr>
            <w:tcW w:w="814" w:type="pct"/>
            <w:vAlign w:val="center"/>
          </w:tcPr>
          <w:p w14:paraId="6DCDD4C5">
            <w:pPr>
              <w:pStyle w:val="12"/>
              <w:spacing w:line="360" w:lineRule="auto"/>
              <w:rPr>
                <w:rFonts w:ascii="宋体" w:hAnsi="宋体" w:eastAsia="宋体" w:cs="Times New Roman"/>
                <w:sz w:val="21"/>
                <w:szCs w:val="21"/>
              </w:rPr>
            </w:pPr>
          </w:p>
        </w:tc>
        <w:tc>
          <w:tcPr>
            <w:tcW w:w="665" w:type="pct"/>
          </w:tcPr>
          <w:p w14:paraId="7DB7A326">
            <w:pPr>
              <w:pStyle w:val="12"/>
              <w:spacing w:line="360" w:lineRule="auto"/>
              <w:rPr>
                <w:rFonts w:ascii="宋体" w:hAnsi="宋体" w:eastAsia="宋体" w:cs="Times New Roman"/>
                <w:sz w:val="21"/>
                <w:szCs w:val="21"/>
              </w:rPr>
            </w:pPr>
          </w:p>
        </w:tc>
        <w:tc>
          <w:tcPr>
            <w:tcW w:w="884" w:type="pct"/>
          </w:tcPr>
          <w:p w14:paraId="2F998864">
            <w:pPr>
              <w:pStyle w:val="12"/>
              <w:spacing w:line="360" w:lineRule="auto"/>
              <w:rPr>
                <w:rFonts w:ascii="宋体" w:hAnsi="宋体" w:eastAsia="宋体" w:cs="Times New Roman"/>
                <w:sz w:val="21"/>
                <w:szCs w:val="21"/>
              </w:rPr>
            </w:pPr>
          </w:p>
        </w:tc>
        <w:tc>
          <w:tcPr>
            <w:tcW w:w="858" w:type="pct"/>
          </w:tcPr>
          <w:p w14:paraId="0E071A88">
            <w:pPr>
              <w:pStyle w:val="12"/>
              <w:spacing w:line="360" w:lineRule="auto"/>
              <w:rPr>
                <w:rFonts w:ascii="宋体" w:hAnsi="宋体" w:eastAsia="宋体" w:cs="Times New Roman"/>
                <w:sz w:val="21"/>
                <w:szCs w:val="21"/>
              </w:rPr>
            </w:pPr>
          </w:p>
        </w:tc>
        <w:tc>
          <w:tcPr>
            <w:tcW w:w="760" w:type="pct"/>
          </w:tcPr>
          <w:p w14:paraId="779FC184">
            <w:pPr>
              <w:pStyle w:val="12"/>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1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12"/>
              <w:spacing w:line="360" w:lineRule="auto"/>
              <w:rPr>
                <w:rFonts w:ascii="宋体" w:hAnsi="宋体" w:eastAsia="宋体" w:cs="Times New Roman"/>
                <w:sz w:val="21"/>
                <w:szCs w:val="21"/>
              </w:rPr>
            </w:pPr>
          </w:p>
        </w:tc>
        <w:tc>
          <w:tcPr>
            <w:tcW w:w="814" w:type="pct"/>
            <w:vAlign w:val="center"/>
          </w:tcPr>
          <w:p w14:paraId="3D5E031F">
            <w:pPr>
              <w:pStyle w:val="12"/>
              <w:spacing w:line="360" w:lineRule="auto"/>
              <w:rPr>
                <w:rFonts w:ascii="宋体" w:hAnsi="宋体" w:eastAsia="宋体" w:cs="Times New Roman"/>
                <w:sz w:val="21"/>
                <w:szCs w:val="21"/>
              </w:rPr>
            </w:pPr>
          </w:p>
        </w:tc>
        <w:tc>
          <w:tcPr>
            <w:tcW w:w="665" w:type="pct"/>
          </w:tcPr>
          <w:p w14:paraId="1571D391">
            <w:pPr>
              <w:pStyle w:val="12"/>
              <w:spacing w:line="360" w:lineRule="auto"/>
              <w:rPr>
                <w:rFonts w:ascii="宋体" w:hAnsi="宋体" w:eastAsia="宋体" w:cs="Times New Roman"/>
                <w:sz w:val="21"/>
                <w:szCs w:val="21"/>
              </w:rPr>
            </w:pPr>
          </w:p>
        </w:tc>
        <w:tc>
          <w:tcPr>
            <w:tcW w:w="884" w:type="pct"/>
          </w:tcPr>
          <w:p w14:paraId="13C3F957">
            <w:pPr>
              <w:pStyle w:val="12"/>
              <w:spacing w:line="360" w:lineRule="auto"/>
              <w:rPr>
                <w:rFonts w:ascii="宋体" w:hAnsi="宋体" w:eastAsia="宋体" w:cs="Times New Roman"/>
                <w:sz w:val="21"/>
                <w:szCs w:val="21"/>
              </w:rPr>
            </w:pPr>
          </w:p>
        </w:tc>
        <w:tc>
          <w:tcPr>
            <w:tcW w:w="858" w:type="pct"/>
          </w:tcPr>
          <w:p w14:paraId="6D5EC009">
            <w:pPr>
              <w:pStyle w:val="12"/>
              <w:spacing w:line="360" w:lineRule="auto"/>
              <w:rPr>
                <w:rFonts w:ascii="宋体" w:hAnsi="宋体" w:eastAsia="宋体" w:cs="Times New Roman"/>
                <w:sz w:val="21"/>
                <w:szCs w:val="21"/>
              </w:rPr>
            </w:pPr>
          </w:p>
        </w:tc>
        <w:tc>
          <w:tcPr>
            <w:tcW w:w="760" w:type="pct"/>
          </w:tcPr>
          <w:p w14:paraId="27F805C0">
            <w:pPr>
              <w:pStyle w:val="12"/>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12"/>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12"/>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12"/>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12"/>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12"/>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12"/>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12"/>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12"/>
              <w:spacing w:line="360" w:lineRule="auto"/>
              <w:rPr>
                <w:rFonts w:ascii="宋体" w:hAnsi="宋体" w:eastAsia="宋体" w:cs="Times New Roman"/>
                <w:sz w:val="21"/>
                <w:szCs w:val="21"/>
              </w:rPr>
            </w:pPr>
          </w:p>
        </w:tc>
        <w:tc>
          <w:tcPr>
            <w:tcW w:w="814" w:type="pct"/>
            <w:vAlign w:val="center"/>
          </w:tcPr>
          <w:p w14:paraId="02C32D16">
            <w:pPr>
              <w:pStyle w:val="12"/>
              <w:spacing w:line="360" w:lineRule="auto"/>
              <w:rPr>
                <w:rFonts w:ascii="宋体" w:hAnsi="宋体" w:eastAsia="宋体" w:cs="Times New Roman"/>
                <w:sz w:val="21"/>
                <w:szCs w:val="21"/>
              </w:rPr>
            </w:pPr>
          </w:p>
        </w:tc>
        <w:tc>
          <w:tcPr>
            <w:tcW w:w="665" w:type="pct"/>
          </w:tcPr>
          <w:p w14:paraId="6EEEC2EE">
            <w:pPr>
              <w:pStyle w:val="12"/>
              <w:spacing w:line="360" w:lineRule="auto"/>
              <w:rPr>
                <w:rFonts w:ascii="宋体" w:hAnsi="宋体" w:eastAsia="宋体" w:cs="Times New Roman"/>
                <w:sz w:val="21"/>
                <w:szCs w:val="21"/>
              </w:rPr>
            </w:pPr>
          </w:p>
        </w:tc>
        <w:tc>
          <w:tcPr>
            <w:tcW w:w="884" w:type="pct"/>
          </w:tcPr>
          <w:p w14:paraId="458AEE36">
            <w:pPr>
              <w:pStyle w:val="12"/>
              <w:spacing w:line="360" w:lineRule="auto"/>
              <w:rPr>
                <w:rFonts w:ascii="宋体" w:hAnsi="宋体" w:eastAsia="宋体" w:cs="Times New Roman"/>
                <w:sz w:val="21"/>
                <w:szCs w:val="21"/>
              </w:rPr>
            </w:pPr>
          </w:p>
        </w:tc>
        <w:tc>
          <w:tcPr>
            <w:tcW w:w="858" w:type="pct"/>
          </w:tcPr>
          <w:p w14:paraId="5F919222">
            <w:pPr>
              <w:pStyle w:val="12"/>
              <w:spacing w:line="360" w:lineRule="auto"/>
              <w:rPr>
                <w:rFonts w:ascii="宋体" w:hAnsi="宋体" w:eastAsia="宋体" w:cs="Times New Roman"/>
                <w:sz w:val="21"/>
                <w:szCs w:val="21"/>
              </w:rPr>
            </w:pPr>
          </w:p>
        </w:tc>
        <w:tc>
          <w:tcPr>
            <w:tcW w:w="760" w:type="pct"/>
          </w:tcPr>
          <w:p w14:paraId="0691C10A">
            <w:pPr>
              <w:pStyle w:val="12"/>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12"/>
              <w:spacing w:line="360" w:lineRule="auto"/>
              <w:rPr>
                <w:rFonts w:ascii="宋体" w:hAnsi="宋体" w:eastAsia="宋体" w:cs="Times New Roman"/>
                <w:sz w:val="21"/>
                <w:szCs w:val="21"/>
              </w:rPr>
            </w:pPr>
          </w:p>
        </w:tc>
        <w:tc>
          <w:tcPr>
            <w:tcW w:w="814" w:type="pct"/>
            <w:vAlign w:val="center"/>
          </w:tcPr>
          <w:p w14:paraId="723FDDF8">
            <w:pPr>
              <w:pStyle w:val="12"/>
              <w:spacing w:line="360" w:lineRule="auto"/>
              <w:rPr>
                <w:rFonts w:ascii="宋体" w:hAnsi="宋体" w:eastAsia="宋体" w:cs="Times New Roman"/>
                <w:sz w:val="21"/>
                <w:szCs w:val="21"/>
              </w:rPr>
            </w:pPr>
          </w:p>
        </w:tc>
        <w:tc>
          <w:tcPr>
            <w:tcW w:w="665" w:type="pct"/>
          </w:tcPr>
          <w:p w14:paraId="422145C6">
            <w:pPr>
              <w:pStyle w:val="12"/>
              <w:spacing w:line="360" w:lineRule="auto"/>
              <w:rPr>
                <w:rFonts w:ascii="宋体" w:hAnsi="宋体" w:eastAsia="宋体" w:cs="Times New Roman"/>
                <w:sz w:val="21"/>
                <w:szCs w:val="21"/>
              </w:rPr>
            </w:pPr>
          </w:p>
        </w:tc>
        <w:tc>
          <w:tcPr>
            <w:tcW w:w="884" w:type="pct"/>
          </w:tcPr>
          <w:p w14:paraId="256302B1">
            <w:pPr>
              <w:pStyle w:val="12"/>
              <w:spacing w:line="360" w:lineRule="auto"/>
              <w:rPr>
                <w:rFonts w:ascii="宋体" w:hAnsi="宋体" w:eastAsia="宋体" w:cs="Times New Roman"/>
                <w:sz w:val="21"/>
                <w:szCs w:val="21"/>
              </w:rPr>
            </w:pPr>
          </w:p>
        </w:tc>
        <w:tc>
          <w:tcPr>
            <w:tcW w:w="858" w:type="pct"/>
          </w:tcPr>
          <w:p w14:paraId="477793E6">
            <w:pPr>
              <w:pStyle w:val="12"/>
              <w:spacing w:line="360" w:lineRule="auto"/>
              <w:rPr>
                <w:rFonts w:ascii="宋体" w:hAnsi="宋体" w:eastAsia="宋体" w:cs="Times New Roman"/>
                <w:sz w:val="21"/>
                <w:szCs w:val="21"/>
              </w:rPr>
            </w:pPr>
          </w:p>
        </w:tc>
        <w:tc>
          <w:tcPr>
            <w:tcW w:w="760" w:type="pct"/>
          </w:tcPr>
          <w:p w14:paraId="0B8493E5">
            <w:pPr>
              <w:pStyle w:val="12"/>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1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12"/>
              <w:spacing w:line="360" w:lineRule="auto"/>
              <w:rPr>
                <w:rFonts w:ascii="宋体" w:hAnsi="宋体" w:eastAsia="宋体" w:cs="Times New Roman"/>
                <w:sz w:val="21"/>
                <w:szCs w:val="21"/>
              </w:rPr>
            </w:pPr>
          </w:p>
        </w:tc>
        <w:tc>
          <w:tcPr>
            <w:tcW w:w="814" w:type="pct"/>
            <w:vAlign w:val="center"/>
          </w:tcPr>
          <w:p w14:paraId="74C13E84">
            <w:pPr>
              <w:pStyle w:val="12"/>
              <w:spacing w:line="360" w:lineRule="auto"/>
              <w:rPr>
                <w:rFonts w:ascii="宋体" w:hAnsi="宋体" w:eastAsia="宋体" w:cs="Times New Roman"/>
                <w:sz w:val="21"/>
                <w:szCs w:val="21"/>
              </w:rPr>
            </w:pPr>
          </w:p>
        </w:tc>
        <w:tc>
          <w:tcPr>
            <w:tcW w:w="665" w:type="pct"/>
          </w:tcPr>
          <w:p w14:paraId="0EE31D6C">
            <w:pPr>
              <w:pStyle w:val="12"/>
              <w:spacing w:line="360" w:lineRule="auto"/>
              <w:rPr>
                <w:rFonts w:ascii="宋体" w:hAnsi="宋体" w:eastAsia="宋体" w:cs="Times New Roman"/>
                <w:sz w:val="21"/>
                <w:szCs w:val="21"/>
              </w:rPr>
            </w:pPr>
          </w:p>
        </w:tc>
        <w:tc>
          <w:tcPr>
            <w:tcW w:w="884" w:type="pct"/>
          </w:tcPr>
          <w:p w14:paraId="119F68FA">
            <w:pPr>
              <w:pStyle w:val="12"/>
              <w:spacing w:line="360" w:lineRule="auto"/>
              <w:rPr>
                <w:rFonts w:ascii="宋体" w:hAnsi="宋体" w:eastAsia="宋体" w:cs="Times New Roman"/>
                <w:sz w:val="21"/>
                <w:szCs w:val="21"/>
              </w:rPr>
            </w:pPr>
          </w:p>
        </w:tc>
        <w:tc>
          <w:tcPr>
            <w:tcW w:w="858" w:type="pct"/>
          </w:tcPr>
          <w:p w14:paraId="679D98E0">
            <w:pPr>
              <w:pStyle w:val="12"/>
              <w:spacing w:line="360" w:lineRule="auto"/>
              <w:rPr>
                <w:rFonts w:ascii="宋体" w:hAnsi="宋体" w:eastAsia="宋体" w:cs="Times New Roman"/>
                <w:sz w:val="21"/>
                <w:szCs w:val="21"/>
              </w:rPr>
            </w:pPr>
          </w:p>
        </w:tc>
        <w:tc>
          <w:tcPr>
            <w:tcW w:w="760" w:type="pct"/>
          </w:tcPr>
          <w:p w14:paraId="3B16CC48">
            <w:pPr>
              <w:pStyle w:val="12"/>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8</w:t>
      </w:r>
      <w:r>
        <w:rPr>
          <w:rFonts w:hint="eastAsia" w:ascii="宋体" w:hAnsi="宋体"/>
          <w:b/>
          <w:bCs/>
          <w:sz w:val="24"/>
          <w:szCs w:val="24"/>
        </w:rPr>
        <w:t xml:space="preserve">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12"/>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12"/>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12"/>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12"/>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12"/>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12"/>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12"/>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12"/>
              <w:spacing w:line="360" w:lineRule="auto"/>
              <w:rPr>
                <w:rFonts w:ascii="宋体" w:hAnsi="宋体" w:eastAsia="宋体" w:cs="Times New Roman"/>
                <w:sz w:val="21"/>
                <w:szCs w:val="21"/>
              </w:rPr>
            </w:pPr>
          </w:p>
        </w:tc>
        <w:tc>
          <w:tcPr>
            <w:tcW w:w="814" w:type="pct"/>
            <w:vAlign w:val="center"/>
          </w:tcPr>
          <w:p w14:paraId="3F1D3D64">
            <w:pPr>
              <w:pStyle w:val="12"/>
              <w:spacing w:line="360" w:lineRule="auto"/>
              <w:rPr>
                <w:rFonts w:ascii="宋体" w:hAnsi="宋体" w:eastAsia="宋体" w:cs="Times New Roman"/>
                <w:sz w:val="21"/>
                <w:szCs w:val="21"/>
              </w:rPr>
            </w:pPr>
          </w:p>
        </w:tc>
        <w:tc>
          <w:tcPr>
            <w:tcW w:w="665" w:type="pct"/>
          </w:tcPr>
          <w:p w14:paraId="4A3550F0">
            <w:pPr>
              <w:pStyle w:val="12"/>
              <w:spacing w:line="360" w:lineRule="auto"/>
              <w:rPr>
                <w:rFonts w:ascii="宋体" w:hAnsi="宋体" w:eastAsia="宋体" w:cs="Times New Roman"/>
                <w:sz w:val="21"/>
                <w:szCs w:val="21"/>
              </w:rPr>
            </w:pPr>
          </w:p>
        </w:tc>
        <w:tc>
          <w:tcPr>
            <w:tcW w:w="884" w:type="pct"/>
          </w:tcPr>
          <w:p w14:paraId="1E6A429C">
            <w:pPr>
              <w:pStyle w:val="12"/>
              <w:spacing w:line="360" w:lineRule="auto"/>
              <w:rPr>
                <w:rFonts w:ascii="宋体" w:hAnsi="宋体" w:eastAsia="宋体" w:cs="Times New Roman"/>
                <w:sz w:val="21"/>
                <w:szCs w:val="21"/>
              </w:rPr>
            </w:pPr>
          </w:p>
        </w:tc>
        <w:tc>
          <w:tcPr>
            <w:tcW w:w="858" w:type="pct"/>
          </w:tcPr>
          <w:p w14:paraId="605B6D65">
            <w:pPr>
              <w:pStyle w:val="12"/>
              <w:spacing w:line="360" w:lineRule="auto"/>
              <w:rPr>
                <w:rFonts w:ascii="宋体" w:hAnsi="宋体" w:eastAsia="宋体" w:cs="Times New Roman"/>
                <w:sz w:val="21"/>
                <w:szCs w:val="21"/>
              </w:rPr>
            </w:pPr>
          </w:p>
        </w:tc>
        <w:tc>
          <w:tcPr>
            <w:tcW w:w="760" w:type="pct"/>
          </w:tcPr>
          <w:p w14:paraId="6F1F61DC">
            <w:pPr>
              <w:pStyle w:val="12"/>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12"/>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12"/>
              <w:spacing w:line="360" w:lineRule="auto"/>
              <w:rPr>
                <w:rFonts w:ascii="宋体" w:hAnsi="宋体" w:eastAsia="宋体" w:cs="Times New Roman"/>
                <w:sz w:val="21"/>
                <w:szCs w:val="21"/>
              </w:rPr>
            </w:pPr>
          </w:p>
        </w:tc>
        <w:tc>
          <w:tcPr>
            <w:tcW w:w="814" w:type="pct"/>
            <w:vAlign w:val="center"/>
          </w:tcPr>
          <w:p w14:paraId="016A9A5B">
            <w:pPr>
              <w:pStyle w:val="12"/>
              <w:spacing w:line="360" w:lineRule="auto"/>
              <w:rPr>
                <w:rFonts w:ascii="宋体" w:hAnsi="宋体" w:eastAsia="宋体" w:cs="Times New Roman"/>
                <w:sz w:val="21"/>
                <w:szCs w:val="21"/>
              </w:rPr>
            </w:pPr>
          </w:p>
        </w:tc>
        <w:tc>
          <w:tcPr>
            <w:tcW w:w="665" w:type="pct"/>
          </w:tcPr>
          <w:p w14:paraId="05004B4F">
            <w:pPr>
              <w:pStyle w:val="12"/>
              <w:spacing w:line="360" w:lineRule="auto"/>
              <w:rPr>
                <w:rFonts w:ascii="宋体" w:hAnsi="宋体" w:eastAsia="宋体" w:cs="Times New Roman"/>
                <w:sz w:val="21"/>
                <w:szCs w:val="21"/>
              </w:rPr>
            </w:pPr>
          </w:p>
        </w:tc>
        <w:tc>
          <w:tcPr>
            <w:tcW w:w="884" w:type="pct"/>
          </w:tcPr>
          <w:p w14:paraId="1B64F57E">
            <w:pPr>
              <w:pStyle w:val="12"/>
              <w:spacing w:line="360" w:lineRule="auto"/>
              <w:rPr>
                <w:rFonts w:ascii="宋体" w:hAnsi="宋体" w:eastAsia="宋体" w:cs="Times New Roman"/>
                <w:sz w:val="21"/>
                <w:szCs w:val="21"/>
              </w:rPr>
            </w:pPr>
          </w:p>
        </w:tc>
        <w:tc>
          <w:tcPr>
            <w:tcW w:w="858" w:type="pct"/>
          </w:tcPr>
          <w:p w14:paraId="1DAF397A">
            <w:pPr>
              <w:pStyle w:val="12"/>
              <w:spacing w:line="360" w:lineRule="auto"/>
              <w:rPr>
                <w:rFonts w:ascii="宋体" w:hAnsi="宋体" w:eastAsia="宋体" w:cs="Times New Roman"/>
                <w:sz w:val="21"/>
                <w:szCs w:val="21"/>
              </w:rPr>
            </w:pPr>
          </w:p>
        </w:tc>
        <w:tc>
          <w:tcPr>
            <w:tcW w:w="760" w:type="pct"/>
          </w:tcPr>
          <w:p w14:paraId="05168403">
            <w:pPr>
              <w:pStyle w:val="12"/>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1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12"/>
              <w:spacing w:line="360" w:lineRule="auto"/>
              <w:rPr>
                <w:rFonts w:ascii="宋体" w:hAnsi="宋体" w:eastAsia="宋体" w:cs="Times New Roman"/>
                <w:sz w:val="21"/>
                <w:szCs w:val="21"/>
              </w:rPr>
            </w:pPr>
          </w:p>
        </w:tc>
        <w:tc>
          <w:tcPr>
            <w:tcW w:w="814" w:type="pct"/>
            <w:vAlign w:val="center"/>
          </w:tcPr>
          <w:p w14:paraId="0E4A8A62">
            <w:pPr>
              <w:pStyle w:val="12"/>
              <w:spacing w:line="360" w:lineRule="auto"/>
              <w:rPr>
                <w:rFonts w:ascii="宋体" w:hAnsi="宋体" w:eastAsia="宋体" w:cs="Times New Roman"/>
                <w:sz w:val="21"/>
                <w:szCs w:val="21"/>
              </w:rPr>
            </w:pPr>
          </w:p>
        </w:tc>
        <w:tc>
          <w:tcPr>
            <w:tcW w:w="665" w:type="pct"/>
          </w:tcPr>
          <w:p w14:paraId="2221091E">
            <w:pPr>
              <w:pStyle w:val="12"/>
              <w:spacing w:line="360" w:lineRule="auto"/>
              <w:rPr>
                <w:rFonts w:ascii="宋体" w:hAnsi="宋体" w:eastAsia="宋体" w:cs="Times New Roman"/>
                <w:sz w:val="21"/>
                <w:szCs w:val="21"/>
              </w:rPr>
            </w:pPr>
          </w:p>
        </w:tc>
        <w:tc>
          <w:tcPr>
            <w:tcW w:w="884" w:type="pct"/>
          </w:tcPr>
          <w:p w14:paraId="3FDA271B">
            <w:pPr>
              <w:pStyle w:val="12"/>
              <w:spacing w:line="360" w:lineRule="auto"/>
              <w:rPr>
                <w:rFonts w:ascii="宋体" w:hAnsi="宋体" w:eastAsia="宋体" w:cs="Times New Roman"/>
                <w:sz w:val="21"/>
                <w:szCs w:val="21"/>
              </w:rPr>
            </w:pPr>
          </w:p>
        </w:tc>
        <w:tc>
          <w:tcPr>
            <w:tcW w:w="858" w:type="pct"/>
          </w:tcPr>
          <w:p w14:paraId="5EE86661">
            <w:pPr>
              <w:pStyle w:val="12"/>
              <w:spacing w:line="360" w:lineRule="auto"/>
              <w:rPr>
                <w:rFonts w:ascii="宋体" w:hAnsi="宋体" w:eastAsia="宋体" w:cs="Times New Roman"/>
                <w:sz w:val="21"/>
                <w:szCs w:val="21"/>
              </w:rPr>
            </w:pPr>
          </w:p>
        </w:tc>
        <w:tc>
          <w:tcPr>
            <w:tcW w:w="760" w:type="pct"/>
          </w:tcPr>
          <w:p w14:paraId="2A6A54E6">
            <w:pPr>
              <w:pStyle w:val="12"/>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167497C6">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lang w:val="en-US" w:eastAsia="zh-CN"/>
        </w:rPr>
        <w:t>4.9</w:t>
      </w:r>
      <w:r>
        <w:rPr>
          <w:rFonts w:hint="eastAsia" w:ascii="宋体" w:hAnsi="宋体"/>
          <w:b/>
          <w:bCs/>
          <w:sz w:val="24"/>
          <w:szCs w:val="24"/>
        </w:rPr>
        <w:t xml:space="preserve"> </w:t>
      </w:r>
      <w:r>
        <w:rPr>
          <w:rFonts w:ascii="宋体" w:hAnsi="宋体"/>
          <w:b/>
          <w:bCs/>
          <w:sz w:val="24"/>
          <w:szCs w:val="24"/>
        </w:rPr>
        <w:t>中小企业声明函（货物）</w:t>
      </w:r>
    </w:p>
    <w:p w14:paraId="6D3717EE">
      <w:pPr>
        <w:spacing w:line="360" w:lineRule="auto"/>
        <w:jc w:val="center"/>
        <w:rPr>
          <w:rFonts w:ascii="宋体" w:hAnsi="宋体"/>
          <w:b/>
          <w:bCs/>
          <w:szCs w:val="21"/>
        </w:rPr>
      </w:pPr>
    </w:p>
    <w:p w14:paraId="13B9444C">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6489791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3AA662FE">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36D5A4F5">
      <w:pPr>
        <w:spacing w:line="360" w:lineRule="auto"/>
        <w:ind w:firstLine="707" w:firstLineChars="337"/>
        <w:jc w:val="left"/>
      </w:pPr>
      <w:r>
        <w:t xml:space="preserve">…… </w:t>
      </w:r>
    </w:p>
    <w:p w14:paraId="7A9E8B0A">
      <w:pPr>
        <w:spacing w:line="360" w:lineRule="auto"/>
        <w:ind w:firstLine="707" w:firstLineChars="337"/>
        <w:jc w:val="left"/>
      </w:pPr>
      <w:r>
        <w:t>以上企业，不属于大企业的分支机构，不存在控股股东为大企业的情形，也不存在与大企业的负责人为同一人的情形。</w:t>
      </w:r>
    </w:p>
    <w:p w14:paraId="522A7408">
      <w:pPr>
        <w:spacing w:line="360" w:lineRule="auto"/>
        <w:ind w:firstLine="707" w:firstLineChars="337"/>
        <w:jc w:val="left"/>
      </w:pPr>
      <w:r>
        <w:t>本企业对上述声明内容的真实性负责。如有虚假，将依法承担相应责任。</w:t>
      </w:r>
    </w:p>
    <w:p w14:paraId="556422D5">
      <w:pPr>
        <w:spacing w:line="360" w:lineRule="auto"/>
        <w:ind w:firstLine="707" w:firstLineChars="337"/>
        <w:jc w:val="left"/>
      </w:pPr>
    </w:p>
    <w:p w14:paraId="7AC920F7">
      <w:pPr>
        <w:spacing w:line="360" w:lineRule="auto"/>
        <w:ind w:firstLine="707" w:firstLineChars="337"/>
        <w:jc w:val="left"/>
      </w:pPr>
    </w:p>
    <w:p w14:paraId="289CA276">
      <w:pPr>
        <w:spacing w:line="480" w:lineRule="auto"/>
        <w:ind w:firstLine="5957" w:firstLineChars="2837"/>
        <w:jc w:val="left"/>
      </w:pPr>
      <w:r>
        <w:t>企业名称（盖章）：</w:t>
      </w:r>
    </w:p>
    <w:p w14:paraId="563B3B6C">
      <w:pPr>
        <w:spacing w:line="480" w:lineRule="auto"/>
        <w:ind w:firstLine="5957" w:firstLineChars="2837"/>
        <w:jc w:val="left"/>
        <w:rPr>
          <w:rFonts w:cs="Arial" w:asciiTheme="minorEastAsia" w:hAnsiTheme="minorEastAsia"/>
          <w:szCs w:val="21"/>
        </w:rPr>
      </w:pPr>
      <w:r>
        <w:t>日期：</w:t>
      </w:r>
    </w:p>
    <w:p w14:paraId="720B8D9F">
      <w:pPr>
        <w:spacing w:line="480" w:lineRule="auto"/>
        <w:ind w:left="4358" w:leftChars="2075"/>
        <w:rPr>
          <w:rFonts w:cs="Arial" w:asciiTheme="minorEastAsia" w:hAnsiTheme="minorEastAsia"/>
          <w:szCs w:val="21"/>
        </w:rPr>
      </w:pPr>
    </w:p>
    <w:p w14:paraId="6DA8B314">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5E5DDCD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lang w:eastAsia="zh-CN"/>
        </w:rPr>
        <w:t>1.</w:t>
      </w:r>
      <w:r>
        <w:t>从业人员、营业收入、资产总额填报上一年度数据，无上一年度数据的新成立企业可不填报。</w:t>
      </w:r>
    </w:p>
    <w:p w14:paraId="6DC09FBA">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lang w:eastAsia="zh-CN"/>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198AD450">
      <w:pPr>
        <w:widowControl/>
        <w:spacing w:before="100" w:beforeAutospacing="1" w:after="100" w:afterAutospacing="1" w:line="360" w:lineRule="auto"/>
        <w:contextualSpacing/>
        <w:jc w:val="left"/>
        <w:rPr>
          <w:rFonts w:ascii="宋体" w:hAnsi="宋体" w:cs="Arial"/>
          <w:kern w:val="0"/>
          <w:szCs w:val="21"/>
        </w:rPr>
      </w:pPr>
    </w:p>
    <w:p w14:paraId="5CD7E23F">
      <w:pPr>
        <w:widowControl/>
        <w:jc w:val="left"/>
        <w:rPr>
          <w:rFonts w:ascii="宋体" w:hAnsi="宋体"/>
          <w:b/>
          <w:bCs/>
          <w:sz w:val="24"/>
          <w:szCs w:val="24"/>
        </w:rPr>
      </w:pPr>
      <w:r>
        <w:rPr>
          <w:rFonts w:ascii="宋体" w:hAnsi="宋体"/>
          <w:b/>
          <w:bCs/>
          <w:sz w:val="24"/>
          <w:szCs w:val="24"/>
        </w:rPr>
        <w:br w:type="page"/>
      </w:r>
    </w:p>
    <w:p w14:paraId="0F13B04C">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lang w:val="en-US" w:eastAsia="zh-CN"/>
        </w:rPr>
        <w:t xml:space="preserve">4.10 </w:t>
      </w:r>
      <w:r>
        <w:rPr>
          <w:rFonts w:hint="eastAsia" w:ascii="宋体" w:hAnsi="宋体"/>
          <w:b/>
          <w:bCs/>
          <w:sz w:val="24"/>
          <w:szCs w:val="24"/>
        </w:rPr>
        <w:t>残疾人福利性单位声明函</w:t>
      </w:r>
    </w:p>
    <w:p w14:paraId="14362727">
      <w:pPr>
        <w:spacing w:line="360" w:lineRule="auto"/>
        <w:rPr>
          <w:rFonts w:ascii="宋体" w:hAnsi="宋体"/>
          <w:szCs w:val="21"/>
        </w:rPr>
      </w:pPr>
    </w:p>
    <w:p w14:paraId="1E923D36">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F48E014">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8689FD8">
      <w:pPr>
        <w:spacing w:line="360" w:lineRule="auto"/>
        <w:rPr>
          <w:rFonts w:ascii="宋体" w:hAnsi="宋体"/>
          <w:szCs w:val="21"/>
        </w:rPr>
      </w:pPr>
    </w:p>
    <w:p w14:paraId="31301E98">
      <w:pPr>
        <w:spacing w:line="360" w:lineRule="auto"/>
        <w:rPr>
          <w:rFonts w:ascii="宋体" w:hAnsi="宋体"/>
          <w:szCs w:val="21"/>
        </w:rPr>
      </w:pPr>
    </w:p>
    <w:p w14:paraId="0184AA40">
      <w:pPr>
        <w:spacing w:line="360" w:lineRule="auto"/>
        <w:rPr>
          <w:rFonts w:ascii="宋体" w:hAnsi="宋体"/>
          <w:szCs w:val="21"/>
        </w:rPr>
      </w:pPr>
    </w:p>
    <w:p w14:paraId="4EDF9985">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6A048571">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3AA0CF8A">
      <w:pP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br w:type="page"/>
      </w:r>
    </w:p>
    <w:p w14:paraId="4E4300A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4.11关于符合本国产品标准的声明函</w:t>
      </w:r>
    </w:p>
    <w:p w14:paraId="61EE5B7D">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46D5493A">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5B1F102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政策的通知》（国办发〔2025〕34 号）的规定，本公司（单位）提供的以下产品属于本国产品。 </w:t>
      </w:r>
    </w:p>
    <w:p w14:paraId="3A17A6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具体情况如下： </w:t>
      </w:r>
    </w:p>
    <w:p w14:paraId="60A17A0E">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1，生产厂为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2，厂址为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 xml:space="preserve">的中国境内生 </w:t>
      </w:r>
    </w:p>
    <w:p w14:paraId="6F2EC331">
      <w:pPr>
        <w:keepNext w:val="0"/>
        <w:keepLines w:val="0"/>
        <w:widowControl/>
        <w:suppressLineNumbers w:val="0"/>
        <w:jc w:val="left"/>
        <w:rPr>
          <w:color w:val="auto"/>
          <w:highlight w:val="none"/>
          <w:u w:val="single"/>
        </w:rPr>
      </w:pPr>
      <w:r>
        <w:rPr>
          <w:rFonts w:hint="eastAsia" w:ascii="宋体" w:hAnsi="宋体" w:eastAsia="宋体" w:cs="宋体"/>
          <w:color w:val="auto"/>
          <w:kern w:val="0"/>
          <w:sz w:val="20"/>
          <w:szCs w:val="20"/>
          <w:highlight w:val="none"/>
          <w:lang w:val="en-US" w:eastAsia="zh-CN" w:bidi="ar"/>
        </w:rPr>
        <w:t>产的组件成本占比≥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的（关键组件）4 在中国境内生产。</w:t>
      </w:r>
      <w:r>
        <w:rPr>
          <w:rFonts w:hint="eastAsia" w:ascii="宋体" w:hAnsi="宋体" w:eastAsia="宋体" w:cs="宋体"/>
          <w:color w:val="auto"/>
          <w:kern w:val="0"/>
          <w:sz w:val="20"/>
          <w:szCs w:val="20"/>
          <w:highlight w:val="none"/>
          <w:u w:val="single"/>
          <w:lang w:val="en-US" w:eastAsia="zh-CN" w:bidi="ar"/>
        </w:rPr>
        <w:t xml:space="preserve">（产品名 </w:t>
      </w:r>
    </w:p>
    <w:p w14:paraId="5374E6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称 1）</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5 在中国境内完成。 </w:t>
      </w:r>
    </w:p>
    <w:p w14:paraId="0B9DEE2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2.</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的中国境内生产的 </w:t>
      </w:r>
    </w:p>
    <w:p w14:paraId="5BEA0D05">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（关键组件）</w:t>
      </w:r>
      <w:r>
        <w:rPr>
          <w:rFonts w:hint="eastAsia" w:ascii="宋体" w:hAnsi="宋体" w:eastAsia="宋体" w:cs="宋体"/>
          <w:color w:val="auto"/>
          <w:kern w:val="0"/>
          <w:sz w:val="20"/>
          <w:szCs w:val="20"/>
          <w:highlight w:val="none"/>
          <w:lang w:val="en-US" w:eastAsia="zh-CN" w:bidi="ar"/>
        </w:rPr>
        <w:t>在中国境内生产。</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 </w:t>
      </w:r>
    </w:p>
    <w:p w14:paraId="6F8B304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在中国境内完成。 </w:t>
      </w:r>
    </w:p>
    <w:p w14:paraId="42ED4A8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DCCB61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5E87D739">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4E0EAEEB">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日期：   年   月   日   </w:t>
      </w:r>
    </w:p>
    <w:p w14:paraId="204C12A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5D2169F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1.产品如有型号，请在“产品名称”栏一并填写。 </w:t>
      </w:r>
    </w:p>
    <w:p w14:paraId="6BE4AFE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2.生产厂名与厂址应与生产厂营业执照载明的相关信息保持一致。 </w:t>
      </w:r>
    </w:p>
    <w:p w14:paraId="14D6028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3.该产品的中国境内生产的组件成本占比相关要求实施前，“规定比例”栏可不填，下同。 </w:t>
      </w:r>
    </w:p>
    <w:p w14:paraId="7B20C4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4.该产品的关键组件要求实施前，“关键组件”栏可不填，下同。 </w:t>
      </w:r>
    </w:p>
    <w:p w14:paraId="25E44D9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5.该产品的关键工序要求实施前，“关键工序”栏可不填，下同。</w:t>
      </w:r>
      <w:r>
        <w:rPr>
          <w:rFonts w:ascii="Calibri" w:hAnsi="Calibri" w:eastAsia="宋体" w:cs="Calibri"/>
          <w:color w:val="auto"/>
          <w:kern w:val="0"/>
          <w:sz w:val="18"/>
          <w:szCs w:val="18"/>
          <w:highlight w:val="none"/>
          <w:lang w:val="en-US" w:eastAsia="zh-CN" w:bidi="ar"/>
        </w:rPr>
        <w:t xml:space="preserve"> </w:t>
      </w:r>
    </w:p>
    <w:p w14:paraId="32E069C5">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7B4F6618">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3BB2FF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6995B542">
      <w:pP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br w:type="page"/>
      </w:r>
    </w:p>
    <w:p w14:paraId="472E4A11">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4.12 关于产品成本的声明函</w:t>
      </w:r>
    </w:p>
    <w:p w14:paraId="3F32D296">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FA77A75">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019095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政策的通知》（国办发〔2025〕34 号）的规定，本公司参加</w:t>
      </w:r>
      <w:r>
        <w:rPr>
          <w:rFonts w:hint="eastAsia" w:ascii="宋体" w:hAnsi="宋体" w:eastAsia="宋体" w:cs="宋体"/>
          <w:color w:val="auto"/>
          <w:kern w:val="0"/>
          <w:sz w:val="20"/>
          <w:szCs w:val="20"/>
          <w:highlight w:val="none"/>
          <w:u w:val="single"/>
          <w:lang w:val="en-US" w:eastAsia="zh-CN" w:bidi="ar"/>
        </w:rPr>
        <w:t>（单位名称）</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（项目名称）</w:t>
      </w:r>
      <w:r>
        <w:rPr>
          <w:rFonts w:hint="eastAsia" w:ascii="宋体" w:hAnsi="宋体" w:eastAsia="宋体" w:cs="宋体"/>
          <w:color w:val="auto"/>
          <w:kern w:val="0"/>
          <w:sz w:val="20"/>
          <w:szCs w:val="20"/>
          <w:highlight w:val="none"/>
          <w:lang w:val="en-US" w:eastAsia="zh-CN" w:bidi="ar"/>
        </w:rPr>
        <w:t xml:space="preserve">采购活 </w:t>
      </w:r>
    </w:p>
    <w:p w14:paraId="04C8F2A0">
      <w:pPr>
        <w:keepNext w:val="0"/>
        <w:keepLines w:val="0"/>
        <w:widowControl/>
        <w:suppressLineNumbers w:val="0"/>
        <w:jc w:val="left"/>
        <w:rPr>
          <w:rFonts w:hint="eastAsia" w:ascii="宋体" w:hAnsi="宋体" w:eastAsia="宋体" w:cs="宋体"/>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动，为本项目</w:t>
      </w:r>
      <w:r>
        <w:rPr>
          <w:rFonts w:hint="eastAsia" w:ascii="宋体" w:hAnsi="宋体" w:eastAsia="宋体" w:cs="宋体"/>
          <w:color w:val="auto"/>
          <w:kern w:val="0"/>
          <w:sz w:val="20"/>
          <w:szCs w:val="20"/>
          <w:highlight w:val="none"/>
          <w:u w:val="single"/>
          <w:lang w:val="en-US" w:eastAsia="zh-CN" w:bidi="ar"/>
        </w:rPr>
        <w:t>（采购包或标段）</w:t>
      </w:r>
      <w:r>
        <w:rPr>
          <w:rFonts w:hint="eastAsia" w:ascii="宋体" w:hAnsi="宋体" w:eastAsia="宋体" w:cs="宋体"/>
          <w:color w:val="auto"/>
          <w:kern w:val="0"/>
          <w:sz w:val="20"/>
          <w:szCs w:val="20"/>
          <w:highlight w:val="none"/>
          <w:lang w:val="en-US" w:eastAsia="zh-CN" w:bidi="ar"/>
        </w:rPr>
        <w:t>提供的全部产品（采购清单中的货物）总报价为（大写）：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u w:val="none"/>
          <w:lang w:val="en-US" w:eastAsia="zh-CN" w:bidi="ar"/>
        </w:rPr>
        <w:t>万</w:t>
      </w:r>
    </w:p>
    <w:p w14:paraId="1106F4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元。其中：符合本国产品标准的产品成本之和为（大写）：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万元，全部产品成本之和为（大</w:t>
      </w:r>
    </w:p>
    <w:p w14:paraId="2E4169D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万元。 </w:t>
      </w:r>
    </w:p>
    <w:p w14:paraId="5BC7571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符合本国产品标准的产品成本之和占全部产品成本之和的比例为 %。 </w:t>
      </w:r>
    </w:p>
    <w:p w14:paraId="6453CD1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0582A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6AA91BD7">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544CF2F8">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675858A2">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1EB9B61A">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     日期：   年   月   日 </w:t>
      </w:r>
    </w:p>
    <w:p w14:paraId="0666702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6CB78B1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 符合本国产品标准的产品成本之 </w:t>
      </w:r>
    </w:p>
    <w:p w14:paraId="5FE612E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和÷全部产品成本之和×100</w:t>
      </w:r>
    </w:p>
    <w:p w14:paraId="3135210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742631F">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1CD53723">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5EA32BD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0730975">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A8D98E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C8AC9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70F1CE7E">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B236E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3AF3EC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6288B6F">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19EFD0FF">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p>
    <w:p w14:paraId="60B142CB">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五、主要标的信息（备用）</w:t>
      </w:r>
    </w:p>
    <w:p w14:paraId="09C6C0A8">
      <w:pPr>
        <w:keepNext w:val="0"/>
        <w:keepLines w:val="0"/>
        <w:widowControl/>
        <w:numPr>
          <w:ilvl w:val="0"/>
          <w:numId w:val="0"/>
        </w:numPr>
        <w:suppressLineNumbers w:val="0"/>
        <w:jc w:val="both"/>
        <w:rPr>
          <w:rFonts w:hint="eastAsia" w:ascii="宋体" w:hAnsi="宋体" w:eastAsia="宋体" w:cs="宋体"/>
          <w:b/>
          <w:bCs/>
          <w:color w:val="auto"/>
          <w:kern w:val="0"/>
          <w:sz w:val="28"/>
          <w:szCs w:val="28"/>
          <w:highlight w:val="none"/>
          <w:lang w:val="en-US" w:eastAsia="zh-CN" w:bidi="ar"/>
        </w:rPr>
      </w:pPr>
    </w:p>
    <w:tbl>
      <w:tblPr>
        <w:tblStyle w:val="26"/>
        <w:tblW w:w="43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725"/>
        <w:gridCol w:w="1440"/>
        <w:gridCol w:w="1412"/>
        <w:gridCol w:w="1551"/>
        <w:gridCol w:w="1256"/>
      </w:tblGrid>
      <w:tr w14:paraId="6DD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330" w:type="pct"/>
            <w:shd w:val="clear" w:color="auto" w:fill="F1F1F1" w:themeFill="background1" w:themeFillShade="F2"/>
            <w:vAlign w:val="center"/>
          </w:tcPr>
          <w:p w14:paraId="343613B5">
            <w:pPr>
              <w:pStyle w:val="12"/>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90" w:type="pct"/>
            <w:shd w:val="clear" w:color="auto" w:fill="F1F1F1" w:themeFill="background1" w:themeFillShade="F2"/>
            <w:vAlign w:val="center"/>
          </w:tcPr>
          <w:p w14:paraId="6B1DCA65">
            <w:pPr>
              <w:pStyle w:val="12"/>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910" w:type="pct"/>
            <w:shd w:val="clear" w:color="auto" w:fill="F1F1F1" w:themeFill="background1" w:themeFillShade="F2"/>
            <w:vAlign w:val="center"/>
          </w:tcPr>
          <w:p w14:paraId="744C7FC8">
            <w:pPr>
              <w:pStyle w:val="1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品牌</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如有</w:t>
            </w:r>
            <w:r>
              <w:rPr>
                <w:rFonts w:hint="eastAsia" w:ascii="宋体" w:hAnsi="宋体" w:eastAsia="宋体" w:cs="宋体"/>
                <w:b/>
                <w:bCs/>
                <w:color w:val="auto"/>
                <w:sz w:val="21"/>
                <w:szCs w:val="21"/>
                <w:highlight w:val="none"/>
                <w:lang w:eastAsia="zh-CN"/>
              </w:rPr>
              <w:t>）</w:t>
            </w:r>
          </w:p>
        </w:tc>
        <w:tc>
          <w:tcPr>
            <w:tcW w:w="892" w:type="pct"/>
            <w:shd w:val="clear" w:color="auto" w:fill="F1F1F1" w:themeFill="background1" w:themeFillShade="F2"/>
            <w:vAlign w:val="center"/>
          </w:tcPr>
          <w:p w14:paraId="4349B165">
            <w:pPr>
              <w:pStyle w:val="12"/>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规格</w:t>
            </w:r>
            <w:r>
              <w:rPr>
                <w:rFonts w:hint="eastAsia" w:ascii="宋体" w:hAnsi="宋体" w:eastAsia="宋体" w:cs="宋体"/>
                <w:b/>
                <w:bCs/>
                <w:color w:val="auto"/>
                <w:sz w:val="21"/>
                <w:szCs w:val="21"/>
                <w:highlight w:val="none"/>
              </w:rPr>
              <w:t>型号</w:t>
            </w:r>
          </w:p>
        </w:tc>
        <w:tc>
          <w:tcPr>
            <w:tcW w:w="980" w:type="pct"/>
            <w:shd w:val="clear" w:color="auto" w:fill="F1F1F1" w:themeFill="background1" w:themeFillShade="F2"/>
            <w:vAlign w:val="center"/>
          </w:tcPr>
          <w:p w14:paraId="638AB856">
            <w:pPr>
              <w:pStyle w:val="1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数量</w:t>
            </w:r>
          </w:p>
        </w:tc>
        <w:tc>
          <w:tcPr>
            <w:tcW w:w="794" w:type="pct"/>
            <w:shd w:val="clear" w:color="auto" w:fill="F1F1F1" w:themeFill="background1" w:themeFillShade="F2"/>
            <w:vAlign w:val="center"/>
          </w:tcPr>
          <w:p w14:paraId="552B4DC5">
            <w:pPr>
              <w:pStyle w:val="12"/>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单价</w:t>
            </w:r>
          </w:p>
        </w:tc>
      </w:tr>
      <w:tr w14:paraId="75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6DD8A726">
            <w:pPr>
              <w:pStyle w:val="12"/>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090" w:type="pct"/>
            <w:vAlign w:val="center"/>
          </w:tcPr>
          <w:p w14:paraId="2983789D">
            <w:pPr>
              <w:pStyle w:val="12"/>
              <w:spacing w:line="360" w:lineRule="auto"/>
              <w:rPr>
                <w:rFonts w:ascii="宋体" w:hAnsi="宋体" w:eastAsia="宋体" w:cs="Times New Roman"/>
                <w:color w:val="auto"/>
                <w:sz w:val="21"/>
                <w:szCs w:val="21"/>
                <w:highlight w:val="none"/>
              </w:rPr>
            </w:pPr>
          </w:p>
        </w:tc>
        <w:tc>
          <w:tcPr>
            <w:tcW w:w="910" w:type="pct"/>
            <w:vAlign w:val="center"/>
          </w:tcPr>
          <w:p w14:paraId="0EDED2E4">
            <w:pPr>
              <w:pStyle w:val="12"/>
              <w:spacing w:line="360" w:lineRule="auto"/>
              <w:rPr>
                <w:rFonts w:ascii="宋体" w:hAnsi="宋体" w:eastAsia="宋体" w:cs="Times New Roman"/>
                <w:color w:val="auto"/>
                <w:sz w:val="21"/>
                <w:szCs w:val="21"/>
                <w:highlight w:val="none"/>
              </w:rPr>
            </w:pPr>
          </w:p>
        </w:tc>
        <w:tc>
          <w:tcPr>
            <w:tcW w:w="892" w:type="pct"/>
          </w:tcPr>
          <w:p w14:paraId="208445EA">
            <w:pPr>
              <w:pStyle w:val="12"/>
              <w:spacing w:line="360" w:lineRule="auto"/>
              <w:rPr>
                <w:rFonts w:ascii="宋体" w:hAnsi="宋体" w:eastAsia="宋体" w:cs="Times New Roman"/>
                <w:color w:val="auto"/>
                <w:sz w:val="21"/>
                <w:szCs w:val="21"/>
                <w:highlight w:val="none"/>
              </w:rPr>
            </w:pPr>
          </w:p>
        </w:tc>
        <w:tc>
          <w:tcPr>
            <w:tcW w:w="980" w:type="pct"/>
          </w:tcPr>
          <w:p w14:paraId="04DC0089">
            <w:pPr>
              <w:pStyle w:val="12"/>
              <w:spacing w:line="360" w:lineRule="auto"/>
              <w:rPr>
                <w:rFonts w:ascii="宋体" w:hAnsi="宋体" w:eastAsia="宋体" w:cs="Times New Roman"/>
                <w:color w:val="auto"/>
                <w:sz w:val="21"/>
                <w:szCs w:val="21"/>
                <w:highlight w:val="none"/>
              </w:rPr>
            </w:pPr>
          </w:p>
        </w:tc>
        <w:tc>
          <w:tcPr>
            <w:tcW w:w="794" w:type="pct"/>
          </w:tcPr>
          <w:p w14:paraId="530CC678">
            <w:pPr>
              <w:pStyle w:val="12"/>
              <w:spacing w:line="360" w:lineRule="auto"/>
              <w:rPr>
                <w:rFonts w:ascii="宋体" w:hAnsi="宋体" w:eastAsia="宋体" w:cs="Times New Roman"/>
                <w:color w:val="auto"/>
                <w:sz w:val="21"/>
                <w:szCs w:val="21"/>
                <w:highlight w:val="none"/>
              </w:rPr>
            </w:pPr>
          </w:p>
        </w:tc>
      </w:tr>
      <w:tr w14:paraId="78B5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351C8EB8">
            <w:pPr>
              <w:pStyle w:val="12"/>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090" w:type="pct"/>
            <w:vAlign w:val="center"/>
          </w:tcPr>
          <w:p w14:paraId="0BFFA195">
            <w:pPr>
              <w:pStyle w:val="12"/>
              <w:spacing w:line="360" w:lineRule="auto"/>
              <w:rPr>
                <w:rFonts w:ascii="宋体" w:hAnsi="宋体" w:eastAsia="宋体" w:cs="Times New Roman"/>
                <w:color w:val="auto"/>
                <w:sz w:val="21"/>
                <w:szCs w:val="21"/>
                <w:highlight w:val="none"/>
              </w:rPr>
            </w:pPr>
          </w:p>
        </w:tc>
        <w:tc>
          <w:tcPr>
            <w:tcW w:w="910" w:type="pct"/>
            <w:vAlign w:val="center"/>
          </w:tcPr>
          <w:p w14:paraId="1D15A937">
            <w:pPr>
              <w:pStyle w:val="12"/>
              <w:spacing w:line="360" w:lineRule="auto"/>
              <w:rPr>
                <w:rFonts w:ascii="宋体" w:hAnsi="宋体" w:eastAsia="宋体" w:cs="Times New Roman"/>
                <w:color w:val="auto"/>
                <w:sz w:val="21"/>
                <w:szCs w:val="21"/>
                <w:highlight w:val="none"/>
              </w:rPr>
            </w:pPr>
          </w:p>
        </w:tc>
        <w:tc>
          <w:tcPr>
            <w:tcW w:w="892" w:type="pct"/>
          </w:tcPr>
          <w:p w14:paraId="14A832FD">
            <w:pPr>
              <w:pStyle w:val="12"/>
              <w:spacing w:line="360" w:lineRule="auto"/>
              <w:rPr>
                <w:rFonts w:ascii="宋体" w:hAnsi="宋体" w:eastAsia="宋体" w:cs="Times New Roman"/>
                <w:color w:val="auto"/>
                <w:sz w:val="21"/>
                <w:szCs w:val="21"/>
                <w:highlight w:val="none"/>
              </w:rPr>
            </w:pPr>
          </w:p>
        </w:tc>
        <w:tc>
          <w:tcPr>
            <w:tcW w:w="980" w:type="pct"/>
          </w:tcPr>
          <w:p w14:paraId="230CD644">
            <w:pPr>
              <w:pStyle w:val="12"/>
              <w:spacing w:line="360" w:lineRule="auto"/>
              <w:rPr>
                <w:rFonts w:ascii="宋体" w:hAnsi="宋体" w:eastAsia="宋体" w:cs="Times New Roman"/>
                <w:color w:val="auto"/>
                <w:sz w:val="21"/>
                <w:szCs w:val="21"/>
                <w:highlight w:val="none"/>
              </w:rPr>
            </w:pPr>
          </w:p>
        </w:tc>
        <w:tc>
          <w:tcPr>
            <w:tcW w:w="794" w:type="pct"/>
          </w:tcPr>
          <w:p w14:paraId="61293F80">
            <w:pPr>
              <w:pStyle w:val="12"/>
              <w:spacing w:line="360" w:lineRule="auto"/>
              <w:rPr>
                <w:rFonts w:ascii="宋体" w:hAnsi="宋体" w:eastAsia="宋体" w:cs="Times New Roman"/>
                <w:color w:val="auto"/>
                <w:sz w:val="21"/>
                <w:szCs w:val="21"/>
                <w:highlight w:val="none"/>
              </w:rPr>
            </w:pPr>
          </w:p>
        </w:tc>
      </w:tr>
      <w:tr w14:paraId="1555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7132A63A">
            <w:pPr>
              <w:pStyle w:val="12"/>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2C976966">
            <w:pPr>
              <w:pStyle w:val="12"/>
              <w:spacing w:line="360" w:lineRule="auto"/>
              <w:rPr>
                <w:rFonts w:ascii="宋体" w:hAnsi="宋体" w:eastAsia="宋体" w:cs="Times New Roman"/>
                <w:color w:val="auto"/>
                <w:sz w:val="21"/>
                <w:szCs w:val="21"/>
                <w:highlight w:val="none"/>
              </w:rPr>
            </w:pPr>
          </w:p>
        </w:tc>
        <w:tc>
          <w:tcPr>
            <w:tcW w:w="910" w:type="pct"/>
            <w:vAlign w:val="center"/>
          </w:tcPr>
          <w:p w14:paraId="2137BCA3">
            <w:pPr>
              <w:pStyle w:val="12"/>
              <w:spacing w:line="360" w:lineRule="auto"/>
              <w:rPr>
                <w:rFonts w:ascii="宋体" w:hAnsi="宋体" w:eastAsia="宋体" w:cs="Times New Roman"/>
                <w:color w:val="auto"/>
                <w:sz w:val="21"/>
                <w:szCs w:val="21"/>
                <w:highlight w:val="none"/>
              </w:rPr>
            </w:pPr>
          </w:p>
        </w:tc>
        <w:tc>
          <w:tcPr>
            <w:tcW w:w="892" w:type="pct"/>
          </w:tcPr>
          <w:p w14:paraId="70C46430">
            <w:pPr>
              <w:pStyle w:val="12"/>
              <w:spacing w:line="360" w:lineRule="auto"/>
              <w:rPr>
                <w:rFonts w:ascii="宋体" w:hAnsi="宋体" w:eastAsia="宋体" w:cs="Times New Roman"/>
                <w:color w:val="auto"/>
                <w:sz w:val="21"/>
                <w:szCs w:val="21"/>
                <w:highlight w:val="none"/>
              </w:rPr>
            </w:pPr>
          </w:p>
        </w:tc>
        <w:tc>
          <w:tcPr>
            <w:tcW w:w="980" w:type="pct"/>
          </w:tcPr>
          <w:p w14:paraId="60DF9B4B">
            <w:pPr>
              <w:pStyle w:val="12"/>
              <w:spacing w:line="360" w:lineRule="auto"/>
              <w:rPr>
                <w:rFonts w:ascii="宋体" w:hAnsi="宋体" w:eastAsia="宋体" w:cs="Times New Roman"/>
                <w:color w:val="auto"/>
                <w:sz w:val="21"/>
                <w:szCs w:val="21"/>
                <w:highlight w:val="none"/>
              </w:rPr>
            </w:pPr>
          </w:p>
        </w:tc>
        <w:tc>
          <w:tcPr>
            <w:tcW w:w="794" w:type="pct"/>
          </w:tcPr>
          <w:p w14:paraId="4C2F2EB8">
            <w:pPr>
              <w:pStyle w:val="12"/>
              <w:spacing w:line="360" w:lineRule="auto"/>
              <w:rPr>
                <w:rFonts w:ascii="宋体" w:hAnsi="宋体" w:eastAsia="宋体" w:cs="Times New Roman"/>
                <w:color w:val="auto"/>
                <w:sz w:val="21"/>
                <w:szCs w:val="21"/>
                <w:highlight w:val="none"/>
              </w:rPr>
            </w:pPr>
          </w:p>
        </w:tc>
      </w:tr>
    </w:tbl>
    <w:p w14:paraId="656250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EA419C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说明： </w:t>
      </w:r>
    </w:p>
    <w:p w14:paraId="72BE7AD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1.按照《财政部办公厅关于印发﹤政府采购公告和公示信息格式规范（2020年版）﹥》（财 </w:t>
      </w:r>
    </w:p>
    <w:p w14:paraId="6B919AF2">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办库〔2020〕50号）要求，中标公告须包含主要标的信息。如投标人未提供该表造成中标后无法 </w:t>
      </w:r>
    </w:p>
    <w:p w14:paraId="6F1796D0">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发布中标公告的，投标人承担相关责任。 </w:t>
      </w:r>
    </w:p>
    <w:p w14:paraId="67190845">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2.此表不涉及评标委员会评审内容。 </w:t>
      </w:r>
    </w:p>
    <w:p w14:paraId="1E670D30">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1499154D">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47A4DF4">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0443FEB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65E3EDEF">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2169F5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17EBC8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838DF6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7F73C1">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投标人（并加盖公章）：</w:t>
      </w:r>
    </w:p>
    <w:p w14:paraId="1BC8FFD1">
      <w:pPr>
        <w:autoSpaceDE w:val="0"/>
        <w:autoSpaceDN w:val="0"/>
        <w:adjustRightInd w:val="0"/>
        <w:spacing w:line="360" w:lineRule="auto"/>
        <w:jc w:val="both"/>
        <w:outlineLvl w:val="1"/>
        <w:rPr>
          <w:rFonts w:hint="eastAsia" w:cs="黑体" w:asciiTheme="minorEastAsia" w:hAnsiTheme="minorEastAsia"/>
          <w:b/>
          <w:bCs/>
          <w:color w:val="auto"/>
          <w:sz w:val="28"/>
          <w:szCs w:val="28"/>
          <w:highlight w:val="none"/>
          <w:lang w:val="zh-CN"/>
        </w:rPr>
      </w:pPr>
    </w:p>
    <w:p w14:paraId="3BE55D37">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020F5C9">
      <w:pPr>
        <w:pStyle w:val="4"/>
        <w:ind w:left="0" w:leftChars="0" w:firstLine="0" w:firstLineChars="0"/>
        <w:rPr>
          <w:lang w:val="zh-CN"/>
        </w:rPr>
      </w:pPr>
    </w:p>
    <w:p w14:paraId="7290AD4F">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0A89AA9C">
      <w:pPr>
        <w:autoSpaceDE w:val="0"/>
        <w:autoSpaceDN w:val="0"/>
        <w:adjustRightInd w:val="0"/>
        <w:spacing w:line="480" w:lineRule="auto"/>
        <w:rPr>
          <w:rFonts w:cs="宋体" w:asciiTheme="minorEastAsia" w:hAnsiTheme="minorEastAsia"/>
          <w:sz w:val="24"/>
          <w:szCs w:val="24"/>
          <w:lang w:val="zh-CN"/>
        </w:rPr>
      </w:pPr>
    </w:p>
    <w:p w14:paraId="2D9ED4B0">
      <w:pPr>
        <w:autoSpaceDE w:val="0"/>
        <w:autoSpaceDN w:val="0"/>
        <w:adjustRightInd w:val="0"/>
        <w:spacing w:line="480" w:lineRule="auto"/>
        <w:rPr>
          <w:rFonts w:cs="宋体" w:asciiTheme="minorEastAsia" w:hAnsiTheme="minorEastAsia"/>
          <w:sz w:val="24"/>
          <w:szCs w:val="24"/>
          <w:lang w:val="zh-CN"/>
        </w:rPr>
      </w:pPr>
    </w:p>
    <w:p w14:paraId="2DCF7128">
      <w:pPr>
        <w:spacing w:line="360" w:lineRule="auto"/>
        <w:jc w:val="both"/>
        <w:rPr>
          <w:rFonts w:ascii="宋体" w:hAnsi="宋体"/>
          <w:b/>
          <w:bCs/>
          <w:sz w:val="28"/>
          <w:szCs w:val="28"/>
        </w:rPr>
      </w:pPr>
    </w:p>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C94162-7821-4E55-826B-9872517ADD06}"/>
  </w:font>
  <w:font w:name="黑体">
    <w:panose1 w:val="02010609060101010101"/>
    <w:charset w:val="86"/>
    <w:family w:val="auto"/>
    <w:pitch w:val="default"/>
    <w:sig w:usb0="800002BF" w:usb1="38CF7CFA" w:usb2="00000016" w:usb3="00000000" w:csb0="00040001" w:csb1="00000000"/>
    <w:embedRegular r:id="rId2" w:fontKey="{408A7659-C12B-4514-B85E-937C6E92B942}"/>
  </w:font>
  <w:font w:name="Courier New">
    <w:panose1 w:val="02070309020205020404"/>
    <w:charset w:val="01"/>
    <w:family w:val="modern"/>
    <w:pitch w:val="default"/>
    <w:sig w:usb0="E0002EFF" w:usb1="C0007843" w:usb2="00000009" w:usb3="00000000" w:csb0="400001FF" w:csb1="FFFF0000"/>
    <w:embedRegular r:id="rId3" w:fontKey="{C4049AA0-772A-4E98-B041-6B1CD98E407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2125C315-E2FC-441F-8B06-93B0BE82053A}"/>
  </w:font>
  <w:font w:name="仿宋_GB2312">
    <w:panose1 w:val="02010609030101010101"/>
    <w:charset w:val="86"/>
    <w:family w:val="modern"/>
    <w:pitch w:val="default"/>
    <w:sig w:usb0="00000001" w:usb1="080E0000" w:usb2="00000000" w:usb3="00000000" w:csb0="00040000" w:csb1="00000000"/>
    <w:embedRegular r:id="rId5" w:fontKey="{52FEC005-E942-4C41-B3B0-DF6F72F7B18B}"/>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简隶书">
    <w:altName w:val="黑体"/>
    <w:panose1 w:val="00000000000000000000"/>
    <w:charset w:val="86"/>
    <w:family w:val="auto"/>
    <w:pitch w:val="default"/>
    <w:sig w:usb0="00000000" w:usb1="00000000" w:usb2="00000010" w:usb3="00000000" w:csb0="00040000" w:csb1="00000000"/>
    <w:embedRegular r:id="rId6" w:fontKey="{AC4ACC13-5C51-4F98-A5C5-286C2CC355B1}"/>
  </w:font>
  <w:font w:name="仿宋">
    <w:panose1 w:val="02010609060101010101"/>
    <w:charset w:val="86"/>
    <w:family w:val="modern"/>
    <w:pitch w:val="default"/>
    <w:sig w:usb0="800002BF" w:usb1="38CF7CFA" w:usb2="00000016" w:usb3="00000000" w:csb0="00040001" w:csb1="00000000"/>
    <w:embedRegular r:id="rId7" w:fontKey="{3B83B30C-A63A-40F5-867F-C6E22DC80B8E}"/>
  </w:font>
  <w:font w:name="Helvetica">
    <w:altName w:val="Arial"/>
    <w:panose1 w:val="020B0504020202030204"/>
    <w:charset w:val="00"/>
    <w:family w:val="swiss"/>
    <w:pitch w:val="default"/>
    <w:sig w:usb0="00000000" w:usb1="00000000" w:usb2="00000000" w:usb3="00000000" w:csb0="00000093" w:csb1="00000000"/>
    <w:embedRegular r:id="rId8" w:fontKey="{22ED10E3-14C6-44FF-BFCA-02850D0C6962}"/>
  </w:font>
  <w:font w:name="新宋体">
    <w:panose1 w:val="02010609030101010101"/>
    <w:charset w:val="86"/>
    <w:family w:val="modern"/>
    <w:pitch w:val="default"/>
    <w:sig w:usb0="00000203" w:usb1="288F0000" w:usb2="00000006" w:usb3="00000000" w:csb0="00040001" w:csb1="00000000"/>
    <w:embedRegular r:id="rId9" w:fontKey="{48BCA16C-19F8-4B20-B219-AE96C96CA4B2}"/>
  </w:font>
  <w:font w:name="微软雅黑">
    <w:panose1 w:val="020B0503020204020204"/>
    <w:charset w:val="86"/>
    <w:family w:val="roman"/>
    <w:pitch w:val="default"/>
    <w:sig w:usb0="80000287" w:usb1="2ACF3C50" w:usb2="00000016" w:usb3="00000000" w:csb0="0004001F" w:csb1="00000000"/>
    <w:embedRegular r:id="rId10" w:fontKey="{EDAD3F4F-C123-4A37-9968-23B5C73CE77B}"/>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embedRegular r:id="rId11" w:fontKey="{74820F75-2D8D-4F5E-812F-40D80958D12C}"/>
  </w:font>
  <w:font w:name="楷体">
    <w:panose1 w:val="02010609060101010101"/>
    <w:charset w:val="86"/>
    <w:family w:val="modern"/>
    <w:pitch w:val="default"/>
    <w:sig w:usb0="800002BF" w:usb1="38CF7CFA" w:usb2="00000016" w:usb3="00000000" w:csb0="00040001" w:csb1="00000000"/>
    <w:embedRegular r:id="rId12" w:fontKey="{1AD2A483-395A-4679-A904-524D7E29E46C}"/>
  </w:font>
  <w:font w:name="MS Mincho">
    <w:panose1 w:val="02020609040205080304"/>
    <w:charset w:val="80"/>
    <w:family w:val="modern"/>
    <w:pitch w:val="default"/>
    <w:sig w:usb0="A00002BF" w:usb1="68C7FCFB" w:usb2="00000010" w:usb3="00000000" w:csb0="4002009F" w:csb1="DFD70000"/>
    <w:embedRegular r:id="rId13" w:fontKey="{8C096C1D-74EB-419B-8C13-D8B3A577B6B1}"/>
  </w:font>
  <w:font w:name="华文仿宋">
    <w:panose1 w:val="02010600040101010101"/>
    <w:charset w:val="86"/>
    <w:family w:val="auto"/>
    <w:pitch w:val="default"/>
    <w:sig w:usb0="00000287" w:usb1="080F0000" w:usb2="00000000" w:usb3="00000000" w:csb0="0004009F" w:csb1="DFD70000"/>
    <w:embedRegular r:id="rId14" w:fontKey="{40735498-4928-4609-AA62-F98D306D6844}"/>
  </w:font>
  <w:font w:name="WPSEMBED1">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7F94A">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61958F67">
                          <w:pPr>
                            <w:pStyle w:val="2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i6WFNAAAAADAQAADwAAAAAAAAABACAAAAAiAAAAZHJzL2Rvd25yZXYueG1sUEsB&#10;AhQAFAAAAAgAh07iQANH64v9AQAADwQAAA4AAAAAAAAAAQAgAAAAHwEAAGRycy9lMm9Eb2MueG1s&#10;UEsFBgAAAAAGAAYAWQEAAI4FAAAAAA==&#10;">
              <v:fill on="f" focussize="0,0"/>
              <v:stroke on="f"/>
              <v:imagedata o:title=""/>
              <o:lock v:ext="edit" aspectratio="f"/>
              <v:textbox inset="0mm,0mm,0mm,0mm" style="mso-fit-shape-to-text:t;">
                <w:txbxContent>
                  <w:p w14:paraId="61958F67">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705C5"/>
    <w:multiLevelType w:val="singleLevel"/>
    <w:tmpl w:val="E8F705C5"/>
    <w:lvl w:ilvl="0" w:tentative="0">
      <w:start w:val="2"/>
      <w:numFmt w:val="decimal"/>
      <w:suff w:val="nothing"/>
      <w:lvlText w:val="（%1）"/>
      <w:lvlJc w:val="left"/>
    </w:lvl>
  </w:abstractNum>
  <w:abstractNum w:abstractNumId="1">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pStyle w:val="9"/>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1"/>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5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C536185"/>
    <w:multiLevelType w:val="multilevel"/>
    <w:tmpl w:val="1C536185"/>
    <w:lvl w:ilvl="0" w:tentative="0">
      <w:start w:val="1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
    <w:nsid w:val="2BC85BF7"/>
    <w:multiLevelType w:val="multilevel"/>
    <w:tmpl w:val="2BC85BF7"/>
    <w:lvl w:ilvl="0" w:tentative="0">
      <w:start w:val="1"/>
      <w:numFmt w:val="decimal"/>
      <w:lvlText w:val="3.3.%1"/>
      <w:lvlJc w:val="left"/>
      <w:pPr>
        <w:ind w:left="422" w:hanging="420"/>
      </w:pPr>
      <w:rPr>
        <w:rFonts w:hint="eastAsia"/>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7">
    <w:nsid w:val="31E5674F"/>
    <w:multiLevelType w:val="multilevel"/>
    <w:tmpl w:val="31E5674F"/>
    <w:lvl w:ilvl="0" w:tentative="0">
      <w:start w:val="1"/>
      <w:numFmt w:val="decimal"/>
      <w:lvlText w:val="3.6.%1"/>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DF61B3A"/>
    <w:multiLevelType w:val="multilevel"/>
    <w:tmpl w:val="4DF61B3A"/>
    <w:lvl w:ilvl="0" w:tentative="0">
      <w:start w:val="1"/>
      <w:numFmt w:val="japaneseCounting"/>
      <w:lvlText w:val="第%1章"/>
      <w:lvlJc w:val="left"/>
      <w:pPr>
        <w:ind w:left="4320" w:hanging="1605"/>
      </w:pPr>
      <w:rPr>
        <w:rFonts w:hint="default"/>
      </w:rPr>
    </w:lvl>
    <w:lvl w:ilvl="1" w:tentative="0">
      <w:start w:val="1"/>
      <w:numFmt w:val="lowerLetter"/>
      <w:lvlText w:val="%2)"/>
      <w:lvlJc w:val="left"/>
      <w:pPr>
        <w:ind w:left="3555" w:hanging="420"/>
      </w:pPr>
    </w:lvl>
    <w:lvl w:ilvl="2" w:tentative="0">
      <w:start w:val="1"/>
      <w:numFmt w:val="lowerRoman"/>
      <w:lvlText w:val="%3."/>
      <w:lvlJc w:val="right"/>
      <w:pPr>
        <w:ind w:left="3975" w:hanging="420"/>
      </w:pPr>
    </w:lvl>
    <w:lvl w:ilvl="3" w:tentative="0">
      <w:start w:val="1"/>
      <w:numFmt w:val="decimal"/>
      <w:lvlText w:val="%4."/>
      <w:lvlJc w:val="left"/>
      <w:pPr>
        <w:ind w:left="4395" w:hanging="420"/>
      </w:pPr>
    </w:lvl>
    <w:lvl w:ilvl="4" w:tentative="0">
      <w:start w:val="1"/>
      <w:numFmt w:val="lowerLetter"/>
      <w:lvlText w:val="%5)"/>
      <w:lvlJc w:val="left"/>
      <w:pPr>
        <w:ind w:left="4815" w:hanging="420"/>
      </w:pPr>
    </w:lvl>
    <w:lvl w:ilvl="5" w:tentative="0">
      <w:start w:val="1"/>
      <w:numFmt w:val="lowerRoman"/>
      <w:lvlText w:val="%6."/>
      <w:lvlJc w:val="right"/>
      <w:pPr>
        <w:ind w:left="5235" w:hanging="420"/>
      </w:pPr>
    </w:lvl>
    <w:lvl w:ilvl="6" w:tentative="0">
      <w:start w:val="1"/>
      <w:numFmt w:val="decimal"/>
      <w:lvlText w:val="%7."/>
      <w:lvlJc w:val="left"/>
      <w:pPr>
        <w:ind w:left="5655" w:hanging="420"/>
      </w:pPr>
    </w:lvl>
    <w:lvl w:ilvl="7" w:tentative="0">
      <w:start w:val="1"/>
      <w:numFmt w:val="lowerLetter"/>
      <w:lvlText w:val="%8)"/>
      <w:lvlJc w:val="left"/>
      <w:pPr>
        <w:ind w:left="6075" w:hanging="420"/>
      </w:pPr>
    </w:lvl>
    <w:lvl w:ilvl="8" w:tentative="0">
      <w:start w:val="1"/>
      <w:numFmt w:val="lowerRoman"/>
      <w:lvlText w:val="%9."/>
      <w:lvlJc w:val="right"/>
      <w:pPr>
        <w:ind w:left="6495" w:hanging="420"/>
      </w:pPr>
    </w:lvl>
  </w:abstractNum>
  <w:abstractNum w:abstractNumId="9">
    <w:nsid w:val="59F817E8"/>
    <w:multiLevelType w:val="singleLevel"/>
    <w:tmpl w:val="59F817E8"/>
    <w:lvl w:ilvl="0" w:tentative="0">
      <w:start w:val="1"/>
      <w:numFmt w:val="chineseCounting"/>
      <w:pStyle w:val="55"/>
      <w:suff w:val="nothing"/>
      <w:lvlText w:val="%1、"/>
      <w:lvlJc w:val="left"/>
    </w:lvl>
  </w:abstractNum>
  <w:abstractNum w:abstractNumId="10">
    <w:nsid w:val="5C561646"/>
    <w:multiLevelType w:val="multilevel"/>
    <w:tmpl w:val="5C561646"/>
    <w:lvl w:ilvl="0" w:tentative="0">
      <w:start w:val="2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18035B4"/>
    <w:multiLevelType w:val="multilevel"/>
    <w:tmpl w:val="618035B4"/>
    <w:lvl w:ilvl="0" w:tentative="0">
      <w:start w:val="7"/>
      <w:numFmt w:val="decimal"/>
      <w:lvlText w:val="3. %1 "/>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DBDE24C"/>
    <w:multiLevelType w:val="singleLevel"/>
    <w:tmpl w:val="6DBDE24C"/>
    <w:lvl w:ilvl="0" w:tentative="0">
      <w:start w:val="6"/>
      <w:numFmt w:val="decimal"/>
      <w:suff w:val="nothing"/>
      <w:lvlText w:val="（%1）"/>
      <w:lvlJc w:val="left"/>
    </w:lvl>
  </w:abstractNum>
  <w:abstractNum w:abstractNumId="14">
    <w:nsid w:val="74AC8E91"/>
    <w:multiLevelType w:val="multilevel"/>
    <w:tmpl w:val="74AC8E91"/>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5">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16">
    <w:nsid w:val="7B3910BC"/>
    <w:multiLevelType w:val="multilevel"/>
    <w:tmpl w:val="7B3910BC"/>
    <w:lvl w:ilvl="0" w:tentative="0">
      <w:start w:val="1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9"/>
  </w:num>
  <w:num w:numId="4">
    <w:abstractNumId w:val="8"/>
  </w:num>
  <w:num w:numId="5">
    <w:abstractNumId w:val="14"/>
  </w:num>
  <w:num w:numId="6">
    <w:abstractNumId w:val="5"/>
  </w:num>
  <w:num w:numId="7">
    <w:abstractNumId w:val="12"/>
  </w:num>
  <w:num w:numId="8">
    <w:abstractNumId w:val="6"/>
  </w:num>
  <w:num w:numId="9">
    <w:abstractNumId w:val="7"/>
  </w:num>
  <w:num w:numId="10">
    <w:abstractNumId w:val="11"/>
  </w:num>
  <w:num w:numId="11">
    <w:abstractNumId w:val="3"/>
  </w:num>
  <w:num w:numId="12">
    <w:abstractNumId w:val="4"/>
  </w:num>
  <w:num w:numId="13">
    <w:abstractNumId w:val="16"/>
  </w:num>
  <w:num w:numId="14">
    <w:abstractNumId w:val="10"/>
  </w:num>
  <w:num w:numId="15">
    <w:abstractNumId w:val="1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A955C2"/>
    <w:rsid w:val="000019B0"/>
    <w:rsid w:val="00005193"/>
    <w:rsid w:val="00005E59"/>
    <w:rsid w:val="000067F7"/>
    <w:rsid w:val="0000762E"/>
    <w:rsid w:val="0001005B"/>
    <w:rsid w:val="0001503A"/>
    <w:rsid w:val="00021B1B"/>
    <w:rsid w:val="0002390B"/>
    <w:rsid w:val="0002486A"/>
    <w:rsid w:val="00030573"/>
    <w:rsid w:val="00031724"/>
    <w:rsid w:val="0003316E"/>
    <w:rsid w:val="00043C89"/>
    <w:rsid w:val="0004704B"/>
    <w:rsid w:val="00055F76"/>
    <w:rsid w:val="00062865"/>
    <w:rsid w:val="00066DB8"/>
    <w:rsid w:val="000719E0"/>
    <w:rsid w:val="00074CFC"/>
    <w:rsid w:val="00082BFE"/>
    <w:rsid w:val="000852C0"/>
    <w:rsid w:val="00085367"/>
    <w:rsid w:val="00085B7C"/>
    <w:rsid w:val="00091AA2"/>
    <w:rsid w:val="00093DD4"/>
    <w:rsid w:val="00097B58"/>
    <w:rsid w:val="000A0F2A"/>
    <w:rsid w:val="000A655B"/>
    <w:rsid w:val="000A7BA4"/>
    <w:rsid w:val="000B06C8"/>
    <w:rsid w:val="000B458E"/>
    <w:rsid w:val="000B5488"/>
    <w:rsid w:val="000C0B7C"/>
    <w:rsid w:val="000C0D09"/>
    <w:rsid w:val="000C4635"/>
    <w:rsid w:val="000C6642"/>
    <w:rsid w:val="000D701D"/>
    <w:rsid w:val="000E20C1"/>
    <w:rsid w:val="000E2BB7"/>
    <w:rsid w:val="000F5F2C"/>
    <w:rsid w:val="00101197"/>
    <w:rsid w:val="00110323"/>
    <w:rsid w:val="0011064D"/>
    <w:rsid w:val="00110776"/>
    <w:rsid w:val="001121A8"/>
    <w:rsid w:val="001210D8"/>
    <w:rsid w:val="001219A0"/>
    <w:rsid w:val="001223FF"/>
    <w:rsid w:val="001260AF"/>
    <w:rsid w:val="001261BA"/>
    <w:rsid w:val="0013339A"/>
    <w:rsid w:val="00135915"/>
    <w:rsid w:val="0013773C"/>
    <w:rsid w:val="00140D4A"/>
    <w:rsid w:val="00142362"/>
    <w:rsid w:val="0014473A"/>
    <w:rsid w:val="00145BEE"/>
    <w:rsid w:val="0014672D"/>
    <w:rsid w:val="00151967"/>
    <w:rsid w:val="001527C8"/>
    <w:rsid w:val="0015641F"/>
    <w:rsid w:val="00157527"/>
    <w:rsid w:val="00161B9E"/>
    <w:rsid w:val="001671D4"/>
    <w:rsid w:val="0017088D"/>
    <w:rsid w:val="00174765"/>
    <w:rsid w:val="00174D32"/>
    <w:rsid w:val="00181F92"/>
    <w:rsid w:val="00186162"/>
    <w:rsid w:val="001877B3"/>
    <w:rsid w:val="001A6450"/>
    <w:rsid w:val="001B0BC8"/>
    <w:rsid w:val="001B5936"/>
    <w:rsid w:val="001C04A6"/>
    <w:rsid w:val="001C5D9B"/>
    <w:rsid w:val="001D0D47"/>
    <w:rsid w:val="001D46C6"/>
    <w:rsid w:val="001D7FE9"/>
    <w:rsid w:val="001E1827"/>
    <w:rsid w:val="001E1D52"/>
    <w:rsid w:val="001E7FF7"/>
    <w:rsid w:val="001F5CCE"/>
    <w:rsid w:val="001F5EC9"/>
    <w:rsid w:val="001F6B5B"/>
    <w:rsid w:val="001F6E0E"/>
    <w:rsid w:val="00200EE5"/>
    <w:rsid w:val="002018B1"/>
    <w:rsid w:val="002077DC"/>
    <w:rsid w:val="00221033"/>
    <w:rsid w:val="00225A91"/>
    <w:rsid w:val="00245D09"/>
    <w:rsid w:val="00247A03"/>
    <w:rsid w:val="00250347"/>
    <w:rsid w:val="0026329F"/>
    <w:rsid w:val="00266FE0"/>
    <w:rsid w:val="00271421"/>
    <w:rsid w:val="00275783"/>
    <w:rsid w:val="00284E4F"/>
    <w:rsid w:val="00291601"/>
    <w:rsid w:val="002923A5"/>
    <w:rsid w:val="00296423"/>
    <w:rsid w:val="002A5022"/>
    <w:rsid w:val="002A57A5"/>
    <w:rsid w:val="002A69C8"/>
    <w:rsid w:val="002A7086"/>
    <w:rsid w:val="002A7DE8"/>
    <w:rsid w:val="002B2DC3"/>
    <w:rsid w:val="002B343D"/>
    <w:rsid w:val="002B4184"/>
    <w:rsid w:val="002B43F5"/>
    <w:rsid w:val="002B4562"/>
    <w:rsid w:val="002B4FE5"/>
    <w:rsid w:val="002B57DB"/>
    <w:rsid w:val="002B613D"/>
    <w:rsid w:val="002C1F51"/>
    <w:rsid w:val="002C3BA9"/>
    <w:rsid w:val="002D22A0"/>
    <w:rsid w:val="002D63DB"/>
    <w:rsid w:val="002F2477"/>
    <w:rsid w:val="002F37A8"/>
    <w:rsid w:val="002F6D86"/>
    <w:rsid w:val="002F7B53"/>
    <w:rsid w:val="0031334E"/>
    <w:rsid w:val="0031558C"/>
    <w:rsid w:val="00317E88"/>
    <w:rsid w:val="0032262D"/>
    <w:rsid w:val="00322BFC"/>
    <w:rsid w:val="00325FC8"/>
    <w:rsid w:val="00331A67"/>
    <w:rsid w:val="00335F02"/>
    <w:rsid w:val="00341412"/>
    <w:rsid w:val="00343DC3"/>
    <w:rsid w:val="003450BD"/>
    <w:rsid w:val="0035062D"/>
    <w:rsid w:val="003515AF"/>
    <w:rsid w:val="00352FD2"/>
    <w:rsid w:val="00353E56"/>
    <w:rsid w:val="00354107"/>
    <w:rsid w:val="00360063"/>
    <w:rsid w:val="00360D45"/>
    <w:rsid w:val="003615F3"/>
    <w:rsid w:val="003740C8"/>
    <w:rsid w:val="0037479D"/>
    <w:rsid w:val="00374DEC"/>
    <w:rsid w:val="003762C5"/>
    <w:rsid w:val="003812E1"/>
    <w:rsid w:val="00384F93"/>
    <w:rsid w:val="00386ECD"/>
    <w:rsid w:val="00391455"/>
    <w:rsid w:val="00392509"/>
    <w:rsid w:val="00396B78"/>
    <w:rsid w:val="003A0781"/>
    <w:rsid w:val="003A2250"/>
    <w:rsid w:val="003B0849"/>
    <w:rsid w:val="003B0E5A"/>
    <w:rsid w:val="003B27D3"/>
    <w:rsid w:val="003C25D6"/>
    <w:rsid w:val="003C265B"/>
    <w:rsid w:val="003C2D4C"/>
    <w:rsid w:val="003C5E63"/>
    <w:rsid w:val="003D3029"/>
    <w:rsid w:val="003D5B97"/>
    <w:rsid w:val="003D5E5D"/>
    <w:rsid w:val="003D6558"/>
    <w:rsid w:val="003D7355"/>
    <w:rsid w:val="003E2203"/>
    <w:rsid w:val="003E25B5"/>
    <w:rsid w:val="003E2CF4"/>
    <w:rsid w:val="003E2F38"/>
    <w:rsid w:val="003F01D8"/>
    <w:rsid w:val="003F42FB"/>
    <w:rsid w:val="004008FC"/>
    <w:rsid w:val="00401D49"/>
    <w:rsid w:val="004125C6"/>
    <w:rsid w:val="004142BC"/>
    <w:rsid w:val="004173DF"/>
    <w:rsid w:val="00417AE4"/>
    <w:rsid w:val="00425C55"/>
    <w:rsid w:val="0042623D"/>
    <w:rsid w:val="0042623E"/>
    <w:rsid w:val="004355F3"/>
    <w:rsid w:val="00437178"/>
    <w:rsid w:val="00437274"/>
    <w:rsid w:val="0044631B"/>
    <w:rsid w:val="00450C3C"/>
    <w:rsid w:val="00452029"/>
    <w:rsid w:val="00454B3A"/>
    <w:rsid w:val="004562A8"/>
    <w:rsid w:val="00456522"/>
    <w:rsid w:val="00456809"/>
    <w:rsid w:val="00463817"/>
    <w:rsid w:val="0046559B"/>
    <w:rsid w:val="00470B31"/>
    <w:rsid w:val="00470F5A"/>
    <w:rsid w:val="00475CC1"/>
    <w:rsid w:val="004763F8"/>
    <w:rsid w:val="00476A53"/>
    <w:rsid w:val="0048657D"/>
    <w:rsid w:val="00490D74"/>
    <w:rsid w:val="00494638"/>
    <w:rsid w:val="00497576"/>
    <w:rsid w:val="004A72BC"/>
    <w:rsid w:val="004B031B"/>
    <w:rsid w:val="004B1433"/>
    <w:rsid w:val="004B2614"/>
    <w:rsid w:val="004B2E5A"/>
    <w:rsid w:val="004B668E"/>
    <w:rsid w:val="004C07D4"/>
    <w:rsid w:val="004C47BF"/>
    <w:rsid w:val="004E016E"/>
    <w:rsid w:val="004E1676"/>
    <w:rsid w:val="004E4818"/>
    <w:rsid w:val="004F4B43"/>
    <w:rsid w:val="004F5402"/>
    <w:rsid w:val="004F6C06"/>
    <w:rsid w:val="004F742E"/>
    <w:rsid w:val="00507941"/>
    <w:rsid w:val="005102AE"/>
    <w:rsid w:val="00510F11"/>
    <w:rsid w:val="00511C69"/>
    <w:rsid w:val="005136C2"/>
    <w:rsid w:val="00515ACF"/>
    <w:rsid w:val="00515DCF"/>
    <w:rsid w:val="00521550"/>
    <w:rsid w:val="00523A81"/>
    <w:rsid w:val="00526728"/>
    <w:rsid w:val="00534A62"/>
    <w:rsid w:val="00537BC1"/>
    <w:rsid w:val="00541303"/>
    <w:rsid w:val="005456D2"/>
    <w:rsid w:val="00550C25"/>
    <w:rsid w:val="00550D34"/>
    <w:rsid w:val="005512A0"/>
    <w:rsid w:val="00554703"/>
    <w:rsid w:val="005573BE"/>
    <w:rsid w:val="00557D15"/>
    <w:rsid w:val="0056006B"/>
    <w:rsid w:val="00562851"/>
    <w:rsid w:val="00562D37"/>
    <w:rsid w:val="005645FA"/>
    <w:rsid w:val="00564C20"/>
    <w:rsid w:val="00566A68"/>
    <w:rsid w:val="0057154E"/>
    <w:rsid w:val="00574B52"/>
    <w:rsid w:val="00576EE5"/>
    <w:rsid w:val="00584191"/>
    <w:rsid w:val="00585C77"/>
    <w:rsid w:val="00585F73"/>
    <w:rsid w:val="00591FE9"/>
    <w:rsid w:val="00594D22"/>
    <w:rsid w:val="00595024"/>
    <w:rsid w:val="005A3BD5"/>
    <w:rsid w:val="005A7DA9"/>
    <w:rsid w:val="005B0ECE"/>
    <w:rsid w:val="005B5AEE"/>
    <w:rsid w:val="005B5E55"/>
    <w:rsid w:val="005B70AD"/>
    <w:rsid w:val="005C36BF"/>
    <w:rsid w:val="005C5A33"/>
    <w:rsid w:val="005D02C8"/>
    <w:rsid w:val="005D51FF"/>
    <w:rsid w:val="005E140E"/>
    <w:rsid w:val="005E2EB4"/>
    <w:rsid w:val="005F00E9"/>
    <w:rsid w:val="005F20B0"/>
    <w:rsid w:val="00600B9B"/>
    <w:rsid w:val="00607496"/>
    <w:rsid w:val="00607DE3"/>
    <w:rsid w:val="006103BD"/>
    <w:rsid w:val="006135EE"/>
    <w:rsid w:val="0061419A"/>
    <w:rsid w:val="00616F06"/>
    <w:rsid w:val="006170AE"/>
    <w:rsid w:val="0062412C"/>
    <w:rsid w:val="00631508"/>
    <w:rsid w:val="006325E6"/>
    <w:rsid w:val="00636AAD"/>
    <w:rsid w:val="006377E5"/>
    <w:rsid w:val="0064000F"/>
    <w:rsid w:val="00644568"/>
    <w:rsid w:val="00644E64"/>
    <w:rsid w:val="0064732B"/>
    <w:rsid w:val="00660EF4"/>
    <w:rsid w:val="0066795B"/>
    <w:rsid w:val="006705D1"/>
    <w:rsid w:val="00671B08"/>
    <w:rsid w:val="006720EC"/>
    <w:rsid w:val="00672146"/>
    <w:rsid w:val="00681D6E"/>
    <w:rsid w:val="0068257C"/>
    <w:rsid w:val="00683E55"/>
    <w:rsid w:val="00686DB4"/>
    <w:rsid w:val="00691AB0"/>
    <w:rsid w:val="00692008"/>
    <w:rsid w:val="0069744B"/>
    <w:rsid w:val="006A79FB"/>
    <w:rsid w:val="006B42F0"/>
    <w:rsid w:val="006C247C"/>
    <w:rsid w:val="006C690F"/>
    <w:rsid w:val="006C79FF"/>
    <w:rsid w:val="006D0CB8"/>
    <w:rsid w:val="006D32E9"/>
    <w:rsid w:val="006D513D"/>
    <w:rsid w:val="006D7D4D"/>
    <w:rsid w:val="006E005D"/>
    <w:rsid w:val="006E2152"/>
    <w:rsid w:val="006E2316"/>
    <w:rsid w:val="006E2D88"/>
    <w:rsid w:val="006E31FA"/>
    <w:rsid w:val="006E7815"/>
    <w:rsid w:val="006F2CA9"/>
    <w:rsid w:val="006F63BF"/>
    <w:rsid w:val="006F6CD9"/>
    <w:rsid w:val="006F7BEE"/>
    <w:rsid w:val="00700D60"/>
    <w:rsid w:val="007020DA"/>
    <w:rsid w:val="0070414D"/>
    <w:rsid w:val="007060F2"/>
    <w:rsid w:val="00715FDF"/>
    <w:rsid w:val="00720A57"/>
    <w:rsid w:val="00721C78"/>
    <w:rsid w:val="00723357"/>
    <w:rsid w:val="007302C5"/>
    <w:rsid w:val="00737AFE"/>
    <w:rsid w:val="00737F38"/>
    <w:rsid w:val="0074067C"/>
    <w:rsid w:val="00746CEA"/>
    <w:rsid w:val="00747F48"/>
    <w:rsid w:val="00751E61"/>
    <w:rsid w:val="00752B8A"/>
    <w:rsid w:val="007553FB"/>
    <w:rsid w:val="00765AF2"/>
    <w:rsid w:val="00771828"/>
    <w:rsid w:val="0077284D"/>
    <w:rsid w:val="0077324A"/>
    <w:rsid w:val="007819DB"/>
    <w:rsid w:val="00786062"/>
    <w:rsid w:val="0078628A"/>
    <w:rsid w:val="00791C13"/>
    <w:rsid w:val="007944B5"/>
    <w:rsid w:val="007A1004"/>
    <w:rsid w:val="007A14CC"/>
    <w:rsid w:val="007A4D71"/>
    <w:rsid w:val="007B1F5A"/>
    <w:rsid w:val="007C58F6"/>
    <w:rsid w:val="007C5BA1"/>
    <w:rsid w:val="007F2012"/>
    <w:rsid w:val="007F2A1A"/>
    <w:rsid w:val="007F7E58"/>
    <w:rsid w:val="008003B1"/>
    <w:rsid w:val="00800F3D"/>
    <w:rsid w:val="00803EFE"/>
    <w:rsid w:val="0080419B"/>
    <w:rsid w:val="0080744C"/>
    <w:rsid w:val="0081197D"/>
    <w:rsid w:val="0082078C"/>
    <w:rsid w:val="00821D24"/>
    <w:rsid w:val="00825076"/>
    <w:rsid w:val="00830B83"/>
    <w:rsid w:val="0084292F"/>
    <w:rsid w:val="008442F5"/>
    <w:rsid w:val="00844425"/>
    <w:rsid w:val="00844CFF"/>
    <w:rsid w:val="008479C6"/>
    <w:rsid w:val="00850406"/>
    <w:rsid w:val="00850B17"/>
    <w:rsid w:val="00852B8D"/>
    <w:rsid w:val="00853F01"/>
    <w:rsid w:val="00857EF3"/>
    <w:rsid w:val="00870428"/>
    <w:rsid w:val="00874F3C"/>
    <w:rsid w:val="00876267"/>
    <w:rsid w:val="00880A98"/>
    <w:rsid w:val="00886347"/>
    <w:rsid w:val="00891ADA"/>
    <w:rsid w:val="008954C1"/>
    <w:rsid w:val="00896781"/>
    <w:rsid w:val="008B2536"/>
    <w:rsid w:val="008B30ED"/>
    <w:rsid w:val="008B4873"/>
    <w:rsid w:val="008C1FC2"/>
    <w:rsid w:val="008C45D9"/>
    <w:rsid w:val="008C70F7"/>
    <w:rsid w:val="008D15FD"/>
    <w:rsid w:val="008D1B3F"/>
    <w:rsid w:val="008D6FD5"/>
    <w:rsid w:val="008E1B72"/>
    <w:rsid w:val="008E22B0"/>
    <w:rsid w:val="008E65D4"/>
    <w:rsid w:val="008F0514"/>
    <w:rsid w:val="009044FC"/>
    <w:rsid w:val="00905274"/>
    <w:rsid w:val="00911F61"/>
    <w:rsid w:val="009145B3"/>
    <w:rsid w:val="00914B9F"/>
    <w:rsid w:val="00921EED"/>
    <w:rsid w:val="0092644B"/>
    <w:rsid w:val="009270C9"/>
    <w:rsid w:val="009336FD"/>
    <w:rsid w:val="00933ECF"/>
    <w:rsid w:val="00934E0C"/>
    <w:rsid w:val="00940491"/>
    <w:rsid w:val="009420E0"/>
    <w:rsid w:val="009444BC"/>
    <w:rsid w:val="009529DE"/>
    <w:rsid w:val="00952F7A"/>
    <w:rsid w:val="0095307E"/>
    <w:rsid w:val="00954850"/>
    <w:rsid w:val="00956E92"/>
    <w:rsid w:val="00960ED5"/>
    <w:rsid w:val="00971122"/>
    <w:rsid w:val="009754D6"/>
    <w:rsid w:val="00980981"/>
    <w:rsid w:val="00981F2E"/>
    <w:rsid w:val="00985DC8"/>
    <w:rsid w:val="00986F47"/>
    <w:rsid w:val="0098731E"/>
    <w:rsid w:val="009A0911"/>
    <w:rsid w:val="009A1993"/>
    <w:rsid w:val="009B1A9B"/>
    <w:rsid w:val="009B5542"/>
    <w:rsid w:val="009C12AB"/>
    <w:rsid w:val="009C4547"/>
    <w:rsid w:val="009C7334"/>
    <w:rsid w:val="009D52B9"/>
    <w:rsid w:val="009D5989"/>
    <w:rsid w:val="009D7E32"/>
    <w:rsid w:val="009E082E"/>
    <w:rsid w:val="009E5DAD"/>
    <w:rsid w:val="009E66B0"/>
    <w:rsid w:val="009F285D"/>
    <w:rsid w:val="009F384B"/>
    <w:rsid w:val="009F56D9"/>
    <w:rsid w:val="00A01093"/>
    <w:rsid w:val="00A02702"/>
    <w:rsid w:val="00A05F45"/>
    <w:rsid w:val="00A06138"/>
    <w:rsid w:val="00A1315B"/>
    <w:rsid w:val="00A158BB"/>
    <w:rsid w:val="00A15E63"/>
    <w:rsid w:val="00A313C6"/>
    <w:rsid w:val="00A3153E"/>
    <w:rsid w:val="00A33115"/>
    <w:rsid w:val="00A36A7A"/>
    <w:rsid w:val="00A372D4"/>
    <w:rsid w:val="00A40BF0"/>
    <w:rsid w:val="00A46AAB"/>
    <w:rsid w:val="00A47CBC"/>
    <w:rsid w:val="00A5355D"/>
    <w:rsid w:val="00A571EA"/>
    <w:rsid w:val="00A57BCC"/>
    <w:rsid w:val="00A613AB"/>
    <w:rsid w:val="00A62E96"/>
    <w:rsid w:val="00A6705F"/>
    <w:rsid w:val="00A67370"/>
    <w:rsid w:val="00A7155C"/>
    <w:rsid w:val="00A75BE8"/>
    <w:rsid w:val="00A768D5"/>
    <w:rsid w:val="00A819A9"/>
    <w:rsid w:val="00A84AFE"/>
    <w:rsid w:val="00A9198F"/>
    <w:rsid w:val="00A955C2"/>
    <w:rsid w:val="00A95716"/>
    <w:rsid w:val="00A959A8"/>
    <w:rsid w:val="00AA18C8"/>
    <w:rsid w:val="00AA1DDA"/>
    <w:rsid w:val="00AA5D85"/>
    <w:rsid w:val="00AA6DE7"/>
    <w:rsid w:val="00AB1340"/>
    <w:rsid w:val="00AB1BE5"/>
    <w:rsid w:val="00AB284A"/>
    <w:rsid w:val="00AB64A7"/>
    <w:rsid w:val="00AC0EE8"/>
    <w:rsid w:val="00AC4291"/>
    <w:rsid w:val="00AC768D"/>
    <w:rsid w:val="00AD0F7D"/>
    <w:rsid w:val="00AD546E"/>
    <w:rsid w:val="00AF5E4C"/>
    <w:rsid w:val="00AF608C"/>
    <w:rsid w:val="00AF6D55"/>
    <w:rsid w:val="00B001C6"/>
    <w:rsid w:val="00B04987"/>
    <w:rsid w:val="00B1187E"/>
    <w:rsid w:val="00B1733D"/>
    <w:rsid w:val="00B20DF7"/>
    <w:rsid w:val="00B33085"/>
    <w:rsid w:val="00B37B6C"/>
    <w:rsid w:val="00B4349C"/>
    <w:rsid w:val="00B46D1A"/>
    <w:rsid w:val="00B50A76"/>
    <w:rsid w:val="00B537BD"/>
    <w:rsid w:val="00B54F8C"/>
    <w:rsid w:val="00B61B65"/>
    <w:rsid w:val="00B63AB7"/>
    <w:rsid w:val="00B6576E"/>
    <w:rsid w:val="00B6669E"/>
    <w:rsid w:val="00B75774"/>
    <w:rsid w:val="00B76A87"/>
    <w:rsid w:val="00B82013"/>
    <w:rsid w:val="00B84765"/>
    <w:rsid w:val="00B85C40"/>
    <w:rsid w:val="00B9068C"/>
    <w:rsid w:val="00B91A5A"/>
    <w:rsid w:val="00BA1A55"/>
    <w:rsid w:val="00BA1D6A"/>
    <w:rsid w:val="00BA3AD8"/>
    <w:rsid w:val="00BA3C25"/>
    <w:rsid w:val="00BB218F"/>
    <w:rsid w:val="00BC3757"/>
    <w:rsid w:val="00BD6B08"/>
    <w:rsid w:val="00BD7DDB"/>
    <w:rsid w:val="00BE0E94"/>
    <w:rsid w:val="00BE1238"/>
    <w:rsid w:val="00BE347F"/>
    <w:rsid w:val="00BE7BF7"/>
    <w:rsid w:val="00BF1EA5"/>
    <w:rsid w:val="00BF4170"/>
    <w:rsid w:val="00BF68B0"/>
    <w:rsid w:val="00C00A53"/>
    <w:rsid w:val="00C0331F"/>
    <w:rsid w:val="00C041E1"/>
    <w:rsid w:val="00C06F62"/>
    <w:rsid w:val="00C10587"/>
    <w:rsid w:val="00C118FD"/>
    <w:rsid w:val="00C248C6"/>
    <w:rsid w:val="00C327E0"/>
    <w:rsid w:val="00C3322C"/>
    <w:rsid w:val="00C355B6"/>
    <w:rsid w:val="00C36D8D"/>
    <w:rsid w:val="00C37638"/>
    <w:rsid w:val="00C40A71"/>
    <w:rsid w:val="00C47970"/>
    <w:rsid w:val="00C52377"/>
    <w:rsid w:val="00C53C98"/>
    <w:rsid w:val="00C64E51"/>
    <w:rsid w:val="00C656E1"/>
    <w:rsid w:val="00C67512"/>
    <w:rsid w:val="00C83E60"/>
    <w:rsid w:val="00C87C62"/>
    <w:rsid w:val="00C90864"/>
    <w:rsid w:val="00C90CE6"/>
    <w:rsid w:val="00C9179D"/>
    <w:rsid w:val="00C93FA4"/>
    <w:rsid w:val="00C95B81"/>
    <w:rsid w:val="00C9605A"/>
    <w:rsid w:val="00CA3092"/>
    <w:rsid w:val="00CA6C5D"/>
    <w:rsid w:val="00CB07CB"/>
    <w:rsid w:val="00CB486E"/>
    <w:rsid w:val="00CC10CA"/>
    <w:rsid w:val="00CC65A1"/>
    <w:rsid w:val="00CD01AA"/>
    <w:rsid w:val="00CD5897"/>
    <w:rsid w:val="00CE268B"/>
    <w:rsid w:val="00CE3274"/>
    <w:rsid w:val="00CE4CAB"/>
    <w:rsid w:val="00CE6F0C"/>
    <w:rsid w:val="00CF186C"/>
    <w:rsid w:val="00D000F5"/>
    <w:rsid w:val="00D033EF"/>
    <w:rsid w:val="00D07DAD"/>
    <w:rsid w:val="00D07F6E"/>
    <w:rsid w:val="00D12130"/>
    <w:rsid w:val="00D24F6E"/>
    <w:rsid w:val="00D25406"/>
    <w:rsid w:val="00D2620D"/>
    <w:rsid w:val="00D27188"/>
    <w:rsid w:val="00D401AD"/>
    <w:rsid w:val="00D45EBD"/>
    <w:rsid w:val="00D60EA7"/>
    <w:rsid w:val="00D77F59"/>
    <w:rsid w:val="00D82A24"/>
    <w:rsid w:val="00D837B0"/>
    <w:rsid w:val="00D849E9"/>
    <w:rsid w:val="00D85871"/>
    <w:rsid w:val="00D90E84"/>
    <w:rsid w:val="00DA1661"/>
    <w:rsid w:val="00DA44C0"/>
    <w:rsid w:val="00DA644E"/>
    <w:rsid w:val="00DA78EE"/>
    <w:rsid w:val="00DB4E0D"/>
    <w:rsid w:val="00DC3A48"/>
    <w:rsid w:val="00DC3AF4"/>
    <w:rsid w:val="00DC3D5A"/>
    <w:rsid w:val="00DC5952"/>
    <w:rsid w:val="00DC6E45"/>
    <w:rsid w:val="00DD16DD"/>
    <w:rsid w:val="00DD1C65"/>
    <w:rsid w:val="00DD25EC"/>
    <w:rsid w:val="00DD5DA3"/>
    <w:rsid w:val="00DD70B6"/>
    <w:rsid w:val="00DE1709"/>
    <w:rsid w:val="00DE3C44"/>
    <w:rsid w:val="00DE43B7"/>
    <w:rsid w:val="00DE65AF"/>
    <w:rsid w:val="00E07B62"/>
    <w:rsid w:val="00E1037B"/>
    <w:rsid w:val="00E10B25"/>
    <w:rsid w:val="00E176CC"/>
    <w:rsid w:val="00E2064B"/>
    <w:rsid w:val="00E23886"/>
    <w:rsid w:val="00E27FD9"/>
    <w:rsid w:val="00E30398"/>
    <w:rsid w:val="00E308FD"/>
    <w:rsid w:val="00E31971"/>
    <w:rsid w:val="00E367B5"/>
    <w:rsid w:val="00E40071"/>
    <w:rsid w:val="00E405CF"/>
    <w:rsid w:val="00E4251C"/>
    <w:rsid w:val="00E439B5"/>
    <w:rsid w:val="00E458EF"/>
    <w:rsid w:val="00E525DC"/>
    <w:rsid w:val="00E539D0"/>
    <w:rsid w:val="00E53F54"/>
    <w:rsid w:val="00E555C0"/>
    <w:rsid w:val="00E6345A"/>
    <w:rsid w:val="00E654AD"/>
    <w:rsid w:val="00E6582A"/>
    <w:rsid w:val="00E6589D"/>
    <w:rsid w:val="00E73258"/>
    <w:rsid w:val="00E7574E"/>
    <w:rsid w:val="00E77BF1"/>
    <w:rsid w:val="00E77DAB"/>
    <w:rsid w:val="00E82130"/>
    <w:rsid w:val="00E832C1"/>
    <w:rsid w:val="00E84B16"/>
    <w:rsid w:val="00E9016F"/>
    <w:rsid w:val="00E92193"/>
    <w:rsid w:val="00E92F97"/>
    <w:rsid w:val="00E94269"/>
    <w:rsid w:val="00E96905"/>
    <w:rsid w:val="00EA0189"/>
    <w:rsid w:val="00EA2676"/>
    <w:rsid w:val="00EA37E1"/>
    <w:rsid w:val="00EA4DF9"/>
    <w:rsid w:val="00EB487B"/>
    <w:rsid w:val="00EC126D"/>
    <w:rsid w:val="00EC2705"/>
    <w:rsid w:val="00EC4A10"/>
    <w:rsid w:val="00EC57F2"/>
    <w:rsid w:val="00EC7BEB"/>
    <w:rsid w:val="00ED31D4"/>
    <w:rsid w:val="00ED5055"/>
    <w:rsid w:val="00ED7AA8"/>
    <w:rsid w:val="00EE05EB"/>
    <w:rsid w:val="00EE5544"/>
    <w:rsid w:val="00EE7AEA"/>
    <w:rsid w:val="00EE7FAE"/>
    <w:rsid w:val="00EF2F71"/>
    <w:rsid w:val="00EF4A1C"/>
    <w:rsid w:val="00F01A9F"/>
    <w:rsid w:val="00F05EA4"/>
    <w:rsid w:val="00F12510"/>
    <w:rsid w:val="00F148A0"/>
    <w:rsid w:val="00F14EC4"/>
    <w:rsid w:val="00F22ADA"/>
    <w:rsid w:val="00F321F5"/>
    <w:rsid w:val="00F334D5"/>
    <w:rsid w:val="00F35892"/>
    <w:rsid w:val="00F36540"/>
    <w:rsid w:val="00F50016"/>
    <w:rsid w:val="00F50C3A"/>
    <w:rsid w:val="00F5151B"/>
    <w:rsid w:val="00F57FD7"/>
    <w:rsid w:val="00F604C2"/>
    <w:rsid w:val="00F64FE5"/>
    <w:rsid w:val="00F66334"/>
    <w:rsid w:val="00F857E5"/>
    <w:rsid w:val="00F870B9"/>
    <w:rsid w:val="00F90838"/>
    <w:rsid w:val="00F9257E"/>
    <w:rsid w:val="00F96AEB"/>
    <w:rsid w:val="00FA01A6"/>
    <w:rsid w:val="00FA12D3"/>
    <w:rsid w:val="00FA3274"/>
    <w:rsid w:val="00FA3F32"/>
    <w:rsid w:val="00FB425F"/>
    <w:rsid w:val="00FC47DB"/>
    <w:rsid w:val="00FC75C3"/>
    <w:rsid w:val="00FC7D3C"/>
    <w:rsid w:val="00FD5735"/>
    <w:rsid w:val="00FE5508"/>
    <w:rsid w:val="00FF3801"/>
    <w:rsid w:val="00FF67E6"/>
    <w:rsid w:val="00FF761C"/>
    <w:rsid w:val="00FF7CF6"/>
    <w:rsid w:val="011253ED"/>
    <w:rsid w:val="01C25065"/>
    <w:rsid w:val="01C901A1"/>
    <w:rsid w:val="01F22F53"/>
    <w:rsid w:val="031916EB"/>
    <w:rsid w:val="03DA48E8"/>
    <w:rsid w:val="03E300E1"/>
    <w:rsid w:val="04270E0A"/>
    <w:rsid w:val="044C5A83"/>
    <w:rsid w:val="046705E4"/>
    <w:rsid w:val="046A5D09"/>
    <w:rsid w:val="048F26F0"/>
    <w:rsid w:val="05025C1D"/>
    <w:rsid w:val="05F32EAD"/>
    <w:rsid w:val="06CA569A"/>
    <w:rsid w:val="083E3ACA"/>
    <w:rsid w:val="08856DEC"/>
    <w:rsid w:val="08B35707"/>
    <w:rsid w:val="08D4468A"/>
    <w:rsid w:val="090624B6"/>
    <w:rsid w:val="091A3C1E"/>
    <w:rsid w:val="09231402"/>
    <w:rsid w:val="0931771D"/>
    <w:rsid w:val="0962344F"/>
    <w:rsid w:val="096B4234"/>
    <w:rsid w:val="09885036"/>
    <w:rsid w:val="09AC2E40"/>
    <w:rsid w:val="0A0E4795"/>
    <w:rsid w:val="0A2A6CA9"/>
    <w:rsid w:val="0A474359"/>
    <w:rsid w:val="0B8415DD"/>
    <w:rsid w:val="0BA63302"/>
    <w:rsid w:val="0BC00DEE"/>
    <w:rsid w:val="0C220F90"/>
    <w:rsid w:val="0C3A12BC"/>
    <w:rsid w:val="0C566AD6"/>
    <w:rsid w:val="0C581540"/>
    <w:rsid w:val="0CB75678"/>
    <w:rsid w:val="0CFC2425"/>
    <w:rsid w:val="0D9832DA"/>
    <w:rsid w:val="0DBC68F4"/>
    <w:rsid w:val="0E986DE4"/>
    <w:rsid w:val="0F1B4855"/>
    <w:rsid w:val="0FB5290C"/>
    <w:rsid w:val="0FCC70AF"/>
    <w:rsid w:val="1074231F"/>
    <w:rsid w:val="107A5AAB"/>
    <w:rsid w:val="10B31D1B"/>
    <w:rsid w:val="110D0E88"/>
    <w:rsid w:val="11186A50"/>
    <w:rsid w:val="11553800"/>
    <w:rsid w:val="121865DB"/>
    <w:rsid w:val="12357CAB"/>
    <w:rsid w:val="12944BC2"/>
    <w:rsid w:val="1331207B"/>
    <w:rsid w:val="141B2E31"/>
    <w:rsid w:val="143D301F"/>
    <w:rsid w:val="14DC75FE"/>
    <w:rsid w:val="15264327"/>
    <w:rsid w:val="15316332"/>
    <w:rsid w:val="15455322"/>
    <w:rsid w:val="15793835"/>
    <w:rsid w:val="157E5495"/>
    <w:rsid w:val="15F5735F"/>
    <w:rsid w:val="161D68B6"/>
    <w:rsid w:val="16227A29"/>
    <w:rsid w:val="16431E4A"/>
    <w:rsid w:val="1661013C"/>
    <w:rsid w:val="167D1103"/>
    <w:rsid w:val="16970417"/>
    <w:rsid w:val="16AA50D4"/>
    <w:rsid w:val="16D25811"/>
    <w:rsid w:val="16E923AF"/>
    <w:rsid w:val="176B61BA"/>
    <w:rsid w:val="17A15BB1"/>
    <w:rsid w:val="17E92EF4"/>
    <w:rsid w:val="1823063E"/>
    <w:rsid w:val="183A5092"/>
    <w:rsid w:val="183F6F1A"/>
    <w:rsid w:val="1867397D"/>
    <w:rsid w:val="18972950"/>
    <w:rsid w:val="18C33D65"/>
    <w:rsid w:val="18DC27B5"/>
    <w:rsid w:val="191630B7"/>
    <w:rsid w:val="19AA220F"/>
    <w:rsid w:val="1A096BAE"/>
    <w:rsid w:val="1A0B3949"/>
    <w:rsid w:val="1A684442"/>
    <w:rsid w:val="1A941EE3"/>
    <w:rsid w:val="1AA50C28"/>
    <w:rsid w:val="1B1955C5"/>
    <w:rsid w:val="1B2606DC"/>
    <w:rsid w:val="1B3A75C2"/>
    <w:rsid w:val="1BBB78F3"/>
    <w:rsid w:val="1C161DDD"/>
    <w:rsid w:val="1CB82E95"/>
    <w:rsid w:val="1CC2188C"/>
    <w:rsid w:val="1D091942"/>
    <w:rsid w:val="1D1F774C"/>
    <w:rsid w:val="1D37200B"/>
    <w:rsid w:val="1E9B21D3"/>
    <w:rsid w:val="1F953171"/>
    <w:rsid w:val="1F980D5B"/>
    <w:rsid w:val="1FA80CFB"/>
    <w:rsid w:val="1FFB1A16"/>
    <w:rsid w:val="20883F9D"/>
    <w:rsid w:val="208C60E8"/>
    <w:rsid w:val="21063D13"/>
    <w:rsid w:val="220723F8"/>
    <w:rsid w:val="227F3079"/>
    <w:rsid w:val="22BE570A"/>
    <w:rsid w:val="22C2681B"/>
    <w:rsid w:val="23151041"/>
    <w:rsid w:val="232E3CB7"/>
    <w:rsid w:val="23B138FF"/>
    <w:rsid w:val="24B228BF"/>
    <w:rsid w:val="24C0322E"/>
    <w:rsid w:val="25890B41"/>
    <w:rsid w:val="258A17FF"/>
    <w:rsid w:val="25DC5E46"/>
    <w:rsid w:val="26B50445"/>
    <w:rsid w:val="27980351"/>
    <w:rsid w:val="27B83638"/>
    <w:rsid w:val="28702A7B"/>
    <w:rsid w:val="290C664E"/>
    <w:rsid w:val="296D3B57"/>
    <w:rsid w:val="298E0913"/>
    <w:rsid w:val="299A22BA"/>
    <w:rsid w:val="2A10729A"/>
    <w:rsid w:val="2A5102BF"/>
    <w:rsid w:val="2A6C4E48"/>
    <w:rsid w:val="2A7F5840"/>
    <w:rsid w:val="2A8D1693"/>
    <w:rsid w:val="2AD01380"/>
    <w:rsid w:val="2B133847"/>
    <w:rsid w:val="2B5041D5"/>
    <w:rsid w:val="2B9B5E5B"/>
    <w:rsid w:val="2BE20EF7"/>
    <w:rsid w:val="2C2051E2"/>
    <w:rsid w:val="2C4031E8"/>
    <w:rsid w:val="2CA82F72"/>
    <w:rsid w:val="2CB43D74"/>
    <w:rsid w:val="2CCF04B2"/>
    <w:rsid w:val="2D0A51B9"/>
    <w:rsid w:val="2D7E1439"/>
    <w:rsid w:val="2D8001A8"/>
    <w:rsid w:val="2DD1025A"/>
    <w:rsid w:val="2DE04B48"/>
    <w:rsid w:val="2E12228E"/>
    <w:rsid w:val="2E267B1B"/>
    <w:rsid w:val="2E486B91"/>
    <w:rsid w:val="2E5127F4"/>
    <w:rsid w:val="2E6438A6"/>
    <w:rsid w:val="2E8C7BEE"/>
    <w:rsid w:val="3038636F"/>
    <w:rsid w:val="30E43EF4"/>
    <w:rsid w:val="313257C4"/>
    <w:rsid w:val="31BE28A4"/>
    <w:rsid w:val="31CB0113"/>
    <w:rsid w:val="32140715"/>
    <w:rsid w:val="330837C0"/>
    <w:rsid w:val="338D3F3C"/>
    <w:rsid w:val="34773C21"/>
    <w:rsid w:val="34AE4B4D"/>
    <w:rsid w:val="34B86CDC"/>
    <w:rsid w:val="34C359EA"/>
    <w:rsid w:val="34C363D4"/>
    <w:rsid w:val="34D65F64"/>
    <w:rsid w:val="35305866"/>
    <w:rsid w:val="35584035"/>
    <w:rsid w:val="356279A7"/>
    <w:rsid w:val="35985E39"/>
    <w:rsid w:val="35CF2CF9"/>
    <w:rsid w:val="369E361B"/>
    <w:rsid w:val="36F71FBF"/>
    <w:rsid w:val="370A55C3"/>
    <w:rsid w:val="37371251"/>
    <w:rsid w:val="37461944"/>
    <w:rsid w:val="37810825"/>
    <w:rsid w:val="37DF39F5"/>
    <w:rsid w:val="38261B78"/>
    <w:rsid w:val="38486485"/>
    <w:rsid w:val="38E2156D"/>
    <w:rsid w:val="3A2D05C6"/>
    <w:rsid w:val="3A2D6018"/>
    <w:rsid w:val="3AB2788B"/>
    <w:rsid w:val="3ACC4283"/>
    <w:rsid w:val="3B364DC3"/>
    <w:rsid w:val="3BAC5024"/>
    <w:rsid w:val="3C143001"/>
    <w:rsid w:val="3C163B20"/>
    <w:rsid w:val="3C484AFF"/>
    <w:rsid w:val="3C837DA1"/>
    <w:rsid w:val="3CCE71EB"/>
    <w:rsid w:val="3DA05553"/>
    <w:rsid w:val="3E032A55"/>
    <w:rsid w:val="3E2B6D80"/>
    <w:rsid w:val="3F032F65"/>
    <w:rsid w:val="3F3423F7"/>
    <w:rsid w:val="3F404F15"/>
    <w:rsid w:val="405C071D"/>
    <w:rsid w:val="407D0E43"/>
    <w:rsid w:val="41214BFD"/>
    <w:rsid w:val="416722D4"/>
    <w:rsid w:val="4175699C"/>
    <w:rsid w:val="41C80230"/>
    <w:rsid w:val="423D7815"/>
    <w:rsid w:val="426C1EA8"/>
    <w:rsid w:val="430F4FD8"/>
    <w:rsid w:val="43394480"/>
    <w:rsid w:val="433F58BD"/>
    <w:rsid w:val="440C749E"/>
    <w:rsid w:val="44F03307"/>
    <w:rsid w:val="45264EFE"/>
    <w:rsid w:val="45B10E25"/>
    <w:rsid w:val="45BB732B"/>
    <w:rsid w:val="46157AF3"/>
    <w:rsid w:val="46184820"/>
    <w:rsid w:val="47152B0E"/>
    <w:rsid w:val="472C783A"/>
    <w:rsid w:val="4731435F"/>
    <w:rsid w:val="4776609A"/>
    <w:rsid w:val="483376F0"/>
    <w:rsid w:val="489029A5"/>
    <w:rsid w:val="48BF5CAC"/>
    <w:rsid w:val="48CB0B60"/>
    <w:rsid w:val="48FE4B4A"/>
    <w:rsid w:val="492445A0"/>
    <w:rsid w:val="49457555"/>
    <w:rsid w:val="49556C38"/>
    <w:rsid w:val="49865F45"/>
    <w:rsid w:val="498D564D"/>
    <w:rsid w:val="498F18F2"/>
    <w:rsid w:val="49B753DA"/>
    <w:rsid w:val="4A371923"/>
    <w:rsid w:val="4A547DF1"/>
    <w:rsid w:val="4A5E47CC"/>
    <w:rsid w:val="4AD807FC"/>
    <w:rsid w:val="4B7B3F78"/>
    <w:rsid w:val="4BA324B8"/>
    <w:rsid w:val="4BC0573E"/>
    <w:rsid w:val="4BD62F94"/>
    <w:rsid w:val="4BFB7EB1"/>
    <w:rsid w:val="4C9C7C83"/>
    <w:rsid w:val="4CA566E2"/>
    <w:rsid w:val="4CA95AE3"/>
    <w:rsid w:val="4CC748AA"/>
    <w:rsid w:val="4CCB5089"/>
    <w:rsid w:val="4CF67967"/>
    <w:rsid w:val="4DDE00FE"/>
    <w:rsid w:val="4E1E2CE2"/>
    <w:rsid w:val="4E320449"/>
    <w:rsid w:val="4E541DA0"/>
    <w:rsid w:val="4F1575AC"/>
    <w:rsid w:val="4F520F78"/>
    <w:rsid w:val="4F52414B"/>
    <w:rsid w:val="4F5518FD"/>
    <w:rsid w:val="4FC21359"/>
    <w:rsid w:val="4FDE723D"/>
    <w:rsid w:val="50060376"/>
    <w:rsid w:val="50180E15"/>
    <w:rsid w:val="50B52C6C"/>
    <w:rsid w:val="50B653EC"/>
    <w:rsid w:val="510936E3"/>
    <w:rsid w:val="5139664E"/>
    <w:rsid w:val="51622DF4"/>
    <w:rsid w:val="516E79EA"/>
    <w:rsid w:val="523A167B"/>
    <w:rsid w:val="535770C4"/>
    <w:rsid w:val="5382777D"/>
    <w:rsid w:val="5407551C"/>
    <w:rsid w:val="543A3192"/>
    <w:rsid w:val="546D46C5"/>
    <w:rsid w:val="547E6784"/>
    <w:rsid w:val="54DD089B"/>
    <w:rsid w:val="55687945"/>
    <w:rsid w:val="556C60B3"/>
    <w:rsid w:val="55776067"/>
    <w:rsid w:val="557B0928"/>
    <w:rsid w:val="55A5668D"/>
    <w:rsid w:val="55DF4BE8"/>
    <w:rsid w:val="56CE5812"/>
    <w:rsid w:val="57482A8C"/>
    <w:rsid w:val="583D0117"/>
    <w:rsid w:val="5863102B"/>
    <w:rsid w:val="58C14000"/>
    <w:rsid w:val="5A2A0665"/>
    <w:rsid w:val="5A6E2809"/>
    <w:rsid w:val="5BA504AD"/>
    <w:rsid w:val="5BFD0917"/>
    <w:rsid w:val="5C234CA4"/>
    <w:rsid w:val="5C7731D7"/>
    <w:rsid w:val="5CB16A5F"/>
    <w:rsid w:val="5D216923"/>
    <w:rsid w:val="5D812854"/>
    <w:rsid w:val="5E062304"/>
    <w:rsid w:val="5E065D78"/>
    <w:rsid w:val="5E1C6F3C"/>
    <w:rsid w:val="5E437FD7"/>
    <w:rsid w:val="5E921830"/>
    <w:rsid w:val="5EE36EBB"/>
    <w:rsid w:val="5EEA69D0"/>
    <w:rsid w:val="5F216D98"/>
    <w:rsid w:val="5F585836"/>
    <w:rsid w:val="5F985F5C"/>
    <w:rsid w:val="5F9960AE"/>
    <w:rsid w:val="5FC87CCA"/>
    <w:rsid w:val="60335C18"/>
    <w:rsid w:val="60344497"/>
    <w:rsid w:val="60AD27CE"/>
    <w:rsid w:val="60B3541A"/>
    <w:rsid w:val="60FB422E"/>
    <w:rsid w:val="61204131"/>
    <w:rsid w:val="6124725C"/>
    <w:rsid w:val="615941F6"/>
    <w:rsid w:val="61BB7373"/>
    <w:rsid w:val="61C816F1"/>
    <w:rsid w:val="622F00B1"/>
    <w:rsid w:val="625F6A4A"/>
    <w:rsid w:val="62747537"/>
    <w:rsid w:val="62DD052C"/>
    <w:rsid w:val="62E63416"/>
    <w:rsid w:val="636E5628"/>
    <w:rsid w:val="63780255"/>
    <w:rsid w:val="642D09F0"/>
    <w:rsid w:val="64371EBE"/>
    <w:rsid w:val="6486294B"/>
    <w:rsid w:val="64C542B7"/>
    <w:rsid w:val="65331F2B"/>
    <w:rsid w:val="653F662A"/>
    <w:rsid w:val="657A6961"/>
    <w:rsid w:val="65A454F8"/>
    <w:rsid w:val="66B5531C"/>
    <w:rsid w:val="66FE5777"/>
    <w:rsid w:val="67160C48"/>
    <w:rsid w:val="671771FC"/>
    <w:rsid w:val="67281E0C"/>
    <w:rsid w:val="674F751F"/>
    <w:rsid w:val="676C502C"/>
    <w:rsid w:val="67A47A17"/>
    <w:rsid w:val="67BD26DA"/>
    <w:rsid w:val="68033E77"/>
    <w:rsid w:val="69317154"/>
    <w:rsid w:val="6A115085"/>
    <w:rsid w:val="6ADB0595"/>
    <w:rsid w:val="6B1945A6"/>
    <w:rsid w:val="6B661540"/>
    <w:rsid w:val="6BA53BB1"/>
    <w:rsid w:val="6BAC13E3"/>
    <w:rsid w:val="6BDB26A0"/>
    <w:rsid w:val="6BE26B06"/>
    <w:rsid w:val="6C88312E"/>
    <w:rsid w:val="6D1D3ECD"/>
    <w:rsid w:val="6DBD6FD0"/>
    <w:rsid w:val="6DEE183F"/>
    <w:rsid w:val="6E1416F9"/>
    <w:rsid w:val="6E4057A2"/>
    <w:rsid w:val="6EAC65A4"/>
    <w:rsid w:val="6EF13547"/>
    <w:rsid w:val="6EFA464C"/>
    <w:rsid w:val="6F0F625F"/>
    <w:rsid w:val="6F4162E7"/>
    <w:rsid w:val="6F965421"/>
    <w:rsid w:val="6F9953BF"/>
    <w:rsid w:val="6F9B73DA"/>
    <w:rsid w:val="6FBC1868"/>
    <w:rsid w:val="7048676C"/>
    <w:rsid w:val="70A738AF"/>
    <w:rsid w:val="70AE5B34"/>
    <w:rsid w:val="70FC7F1F"/>
    <w:rsid w:val="711B38F2"/>
    <w:rsid w:val="713A5FB0"/>
    <w:rsid w:val="717464AB"/>
    <w:rsid w:val="719170B1"/>
    <w:rsid w:val="71935E4E"/>
    <w:rsid w:val="719941B8"/>
    <w:rsid w:val="71A36DE5"/>
    <w:rsid w:val="71D35C97"/>
    <w:rsid w:val="72634A61"/>
    <w:rsid w:val="72952A32"/>
    <w:rsid w:val="730E4B34"/>
    <w:rsid w:val="73282033"/>
    <w:rsid w:val="74350E97"/>
    <w:rsid w:val="75BF1D13"/>
    <w:rsid w:val="75D34832"/>
    <w:rsid w:val="76442519"/>
    <w:rsid w:val="77077643"/>
    <w:rsid w:val="77A973CD"/>
    <w:rsid w:val="77D870BC"/>
    <w:rsid w:val="77DF669D"/>
    <w:rsid w:val="78433288"/>
    <w:rsid w:val="78436C2C"/>
    <w:rsid w:val="786D5FFA"/>
    <w:rsid w:val="78B17060"/>
    <w:rsid w:val="79161E4E"/>
    <w:rsid w:val="793E5020"/>
    <w:rsid w:val="79480EFC"/>
    <w:rsid w:val="79B63FB9"/>
    <w:rsid w:val="79BF208B"/>
    <w:rsid w:val="79CE0777"/>
    <w:rsid w:val="79F95EA5"/>
    <w:rsid w:val="7A28432B"/>
    <w:rsid w:val="7B1B3F73"/>
    <w:rsid w:val="7BCF5443"/>
    <w:rsid w:val="7C312F0B"/>
    <w:rsid w:val="7C4C0B30"/>
    <w:rsid w:val="7C9C5B48"/>
    <w:rsid w:val="7CB61980"/>
    <w:rsid w:val="7D2C5C84"/>
    <w:rsid w:val="7D3E74C4"/>
    <w:rsid w:val="7E2D1F10"/>
    <w:rsid w:val="7FDE43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heading 1"/>
    <w:basedOn w:val="1"/>
    <w:next w:val="1"/>
    <w:link w:val="33"/>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6"/>
    <w:link w:val="3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0">
    <w:name w:val="heading 3"/>
    <w:basedOn w:val="1"/>
    <w:next w:val="1"/>
    <w:link w:val="35"/>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1">
    <w:name w:val="heading 4"/>
    <w:basedOn w:val="1"/>
    <w:next w:val="1"/>
    <w:link w:val="3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57"/>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6"/>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61"/>
    <w:qFormat/>
    <w:uiPriority w:val="0"/>
    <w:pPr>
      <w:adjustRightInd w:val="0"/>
      <w:spacing w:after="120" w:line="360" w:lineRule="atLeast"/>
      <w:ind w:left="420" w:leftChars="200"/>
      <w:jc w:val="left"/>
      <w:textAlignment w:val="baseline"/>
    </w:pPr>
    <w:rPr>
      <w:sz w:val="24"/>
    </w:r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2">
    <w:name w:val="caption"/>
    <w:basedOn w:val="1"/>
    <w:next w:val="1"/>
    <w:qFormat/>
    <w:uiPriority w:val="0"/>
    <w:rPr>
      <w:rFonts w:ascii="Arial" w:hAnsi="Arial" w:eastAsia="黑体" w:cs="Arial"/>
      <w:sz w:val="20"/>
      <w:szCs w:val="20"/>
    </w:rPr>
  </w:style>
  <w:style w:type="paragraph" w:styleId="13">
    <w:name w:val="index 5"/>
    <w:basedOn w:val="1"/>
    <w:next w:val="1"/>
    <w:unhideWhenUsed/>
    <w:qFormat/>
    <w:uiPriority w:val="99"/>
    <w:pPr>
      <w:ind w:left="800" w:leftChars="800"/>
    </w:pPr>
  </w:style>
  <w:style w:type="paragraph" w:styleId="14">
    <w:name w:val="Body Text 3"/>
    <w:basedOn w:val="1"/>
    <w:link w:val="52"/>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37"/>
    <w:qFormat/>
    <w:uiPriority w:val="0"/>
    <w:rPr>
      <w:rFonts w:eastAsia="宋体"/>
      <w:sz w:val="24"/>
    </w:rPr>
  </w:style>
  <w:style w:type="paragraph" w:styleId="18">
    <w:name w:val="Date"/>
    <w:basedOn w:val="1"/>
    <w:next w:val="1"/>
    <w:link w:val="38"/>
    <w:unhideWhenUsed/>
    <w:qFormat/>
    <w:uiPriority w:val="99"/>
    <w:pPr>
      <w:ind w:left="100" w:leftChars="2500"/>
    </w:pPr>
  </w:style>
  <w:style w:type="paragraph" w:styleId="19">
    <w:name w:val="Balloon Text"/>
    <w:basedOn w:val="1"/>
    <w:link w:val="63"/>
    <w:semiHidden/>
    <w:unhideWhenUsed/>
    <w:qFormat/>
    <w:uiPriority w:val="99"/>
    <w:rPr>
      <w:sz w:val="18"/>
      <w:szCs w:val="18"/>
    </w:rPr>
  </w:style>
  <w:style w:type="paragraph" w:styleId="20">
    <w:name w:val="footer"/>
    <w:basedOn w:val="1"/>
    <w:link w:val="39"/>
    <w:unhideWhenUsed/>
    <w:qFormat/>
    <w:uiPriority w:val="99"/>
    <w:pPr>
      <w:tabs>
        <w:tab w:val="center" w:pos="4153"/>
        <w:tab w:val="right" w:pos="8306"/>
      </w:tabs>
      <w:snapToGrid w:val="0"/>
      <w:jc w:val="left"/>
    </w:pPr>
    <w:rPr>
      <w:sz w:val="18"/>
      <w:szCs w:val="18"/>
    </w:rPr>
  </w:style>
  <w:style w:type="paragraph" w:styleId="21">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line="480" w:lineRule="auto"/>
      <w:ind w:right="357"/>
    </w:pPr>
    <w:rPr>
      <w:szCs w:val="20"/>
    </w:r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qFormat/>
    <w:uiPriority w:val="99"/>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800080" w:themeColor="followedHyperlink"/>
      <w:u w:val="single"/>
      <w14:textFill>
        <w14:solidFill>
          <w14:schemeClr w14:val="folHlink"/>
        </w14:solidFill>
      </w14:textFill>
    </w:rPr>
  </w:style>
  <w:style w:type="character" w:styleId="31">
    <w:name w:val="Hyperlink"/>
    <w:basedOn w:val="28"/>
    <w:unhideWhenUsed/>
    <w:qFormat/>
    <w:uiPriority w:val="0"/>
    <w:rPr>
      <w:color w:val="0000FF"/>
      <w:u w:val="single"/>
    </w:rPr>
  </w:style>
  <w:style w:type="paragraph" w:customStyle="1" w:styleId="32">
    <w:name w:val="表格文字"/>
    <w:basedOn w:val="1"/>
    <w:next w:val="3"/>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3">
    <w:name w:val="标题 1 Char"/>
    <w:basedOn w:val="28"/>
    <w:link w:val="8"/>
    <w:qFormat/>
    <w:uiPriority w:val="0"/>
    <w:rPr>
      <w:rFonts w:ascii="Calibri" w:hAnsi="Calibri" w:eastAsia="宋体" w:cs="Times New Roman"/>
      <w:b/>
      <w:bCs/>
      <w:kern w:val="44"/>
      <w:sz w:val="44"/>
      <w:szCs w:val="44"/>
    </w:rPr>
  </w:style>
  <w:style w:type="character" w:customStyle="1" w:styleId="34">
    <w:name w:val="标题 2 Char"/>
    <w:basedOn w:val="28"/>
    <w:link w:val="9"/>
    <w:qFormat/>
    <w:uiPriority w:val="0"/>
    <w:rPr>
      <w:rFonts w:ascii="Arial" w:hAnsi="Arial" w:eastAsia="黑体" w:cs="Times New Roman"/>
      <w:b/>
      <w:bCs/>
      <w:sz w:val="32"/>
      <w:szCs w:val="32"/>
    </w:rPr>
  </w:style>
  <w:style w:type="character" w:customStyle="1" w:styleId="35">
    <w:name w:val="标题 3 Char"/>
    <w:basedOn w:val="28"/>
    <w:link w:val="10"/>
    <w:qFormat/>
    <w:uiPriority w:val="0"/>
    <w:rPr>
      <w:rFonts w:ascii="宋体" w:hAnsi="宋体" w:eastAsia="宋体" w:cs="Times New Roman"/>
      <w:b/>
      <w:color w:val="000000"/>
      <w:kern w:val="0"/>
      <w:sz w:val="24"/>
      <w:szCs w:val="20"/>
      <w:lang w:val="en-GB"/>
    </w:rPr>
  </w:style>
  <w:style w:type="character" w:customStyle="1" w:styleId="36">
    <w:name w:val="标题 4 Char"/>
    <w:basedOn w:val="28"/>
    <w:link w:val="11"/>
    <w:qFormat/>
    <w:uiPriority w:val="0"/>
    <w:rPr>
      <w:rFonts w:ascii="Arial" w:hAnsi="Arial" w:eastAsia="黑体" w:cs="Times New Roman"/>
      <w:b/>
      <w:bCs/>
      <w:sz w:val="28"/>
      <w:szCs w:val="28"/>
    </w:rPr>
  </w:style>
  <w:style w:type="character" w:customStyle="1" w:styleId="37">
    <w:name w:val="纯文本 Char"/>
    <w:basedOn w:val="28"/>
    <w:link w:val="17"/>
    <w:qFormat/>
    <w:uiPriority w:val="0"/>
    <w:rPr>
      <w:rFonts w:eastAsia="宋体"/>
      <w:sz w:val="24"/>
    </w:rPr>
  </w:style>
  <w:style w:type="character" w:customStyle="1" w:styleId="38">
    <w:name w:val="日期 Char"/>
    <w:basedOn w:val="28"/>
    <w:link w:val="18"/>
    <w:qFormat/>
    <w:uiPriority w:val="99"/>
  </w:style>
  <w:style w:type="character" w:customStyle="1" w:styleId="39">
    <w:name w:val="页脚 Char"/>
    <w:basedOn w:val="28"/>
    <w:link w:val="20"/>
    <w:qFormat/>
    <w:uiPriority w:val="99"/>
    <w:rPr>
      <w:sz w:val="18"/>
      <w:szCs w:val="18"/>
    </w:rPr>
  </w:style>
  <w:style w:type="character" w:customStyle="1" w:styleId="40">
    <w:name w:val="页眉 Char"/>
    <w:basedOn w:val="28"/>
    <w:link w:val="21"/>
    <w:qFormat/>
    <w:uiPriority w:val="99"/>
    <w:rPr>
      <w:sz w:val="18"/>
      <w:szCs w:val="18"/>
    </w:rPr>
  </w:style>
  <w:style w:type="character" w:customStyle="1" w:styleId="41">
    <w:name w:val="纯文本 Char1"/>
    <w:qFormat/>
    <w:uiPriority w:val="0"/>
    <w:rPr>
      <w:rFonts w:eastAsia="宋体"/>
      <w:sz w:val="24"/>
    </w:rPr>
  </w:style>
  <w:style w:type="paragraph" w:customStyle="1" w:styleId="4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3">
    <w:name w:val="列出段落1"/>
    <w:basedOn w:val="1"/>
    <w:qFormat/>
    <w:uiPriority w:val="0"/>
    <w:pPr>
      <w:ind w:firstLine="420" w:firstLineChars="200"/>
    </w:pPr>
  </w:style>
  <w:style w:type="paragraph" w:styleId="44">
    <w:name w:val="List Paragraph"/>
    <w:basedOn w:val="1"/>
    <w:unhideWhenUsed/>
    <w:qFormat/>
    <w:uiPriority w:val="99"/>
    <w:pPr>
      <w:ind w:firstLine="420" w:firstLineChars="200"/>
    </w:pPr>
  </w:style>
  <w:style w:type="character" w:customStyle="1" w:styleId="45">
    <w:name w:val="正文文本缩进 Char Char"/>
    <w:link w:val="46"/>
    <w:qFormat/>
    <w:uiPriority w:val="0"/>
    <w:rPr>
      <w:rFonts w:ascii="宋体"/>
      <w:sz w:val="24"/>
    </w:rPr>
  </w:style>
  <w:style w:type="paragraph" w:customStyle="1" w:styleId="46">
    <w:name w:val="正文文本缩进1"/>
    <w:basedOn w:val="1"/>
    <w:link w:val="45"/>
    <w:qFormat/>
    <w:uiPriority w:val="0"/>
    <w:pPr>
      <w:spacing w:line="360" w:lineRule="auto"/>
      <w:ind w:firstLine="480" w:firstLineChars="200"/>
    </w:pPr>
    <w:rPr>
      <w:rFonts w:ascii="宋体"/>
      <w:sz w:val="24"/>
    </w:rPr>
  </w:style>
  <w:style w:type="character" w:customStyle="1" w:styleId="47">
    <w:name w:val="日期 Char Char"/>
    <w:link w:val="48"/>
    <w:qFormat/>
    <w:uiPriority w:val="0"/>
    <w:rPr>
      <w:sz w:val="24"/>
    </w:rPr>
  </w:style>
  <w:style w:type="paragraph" w:customStyle="1" w:styleId="48">
    <w:name w:val="日期1"/>
    <w:basedOn w:val="1"/>
    <w:next w:val="1"/>
    <w:link w:val="47"/>
    <w:qFormat/>
    <w:uiPriority w:val="0"/>
    <w:rPr>
      <w:sz w:val="24"/>
    </w:rPr>
  </w:style>
  <w:style w:type="paragraph" w:customStyle="1" w:styleId="49">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0">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1">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2">
    <w:name w:val="正文文本 3 Char"/>
    <w:basedOn w:val="28"/>
    <w:link w:val="14"/>
    <w:qFormat/>
    <w:uiPriority w:val="0"/>
    <w:rPr>
      <w:rFonts w:ascii="Times New Roman" w:hAnsi="Times New Roman" w:eastAsia="宋体" w:cs="Times New Roman"/>
      <w:color w:val="FF0000"/>
      <w:sz w:val="24"/>
      <w:szCs w:val="24"/>
    </w:rPr>
  </w:style>
  <w:style w:type="character" w:customStyle="1" w:styleId="53">
    <w:name w:val="edittexttarea"/>
    <w:basedOn w:val="28"/>
    <w:qFormat/>
    <w:uiPriority w:val="0"/>
  </w:style>
  <w:style w:type="paragraph" w:customStyle="1" w:styleId="54">
    <w:name w:val="样式 标题 1 + 四号 居中 段前: 12 磅 段后: 12 磅 行距: 单倍行距"/>
    <w:basedOn w:val="8"/>
    <w:qFormat/>
    <w:uiPriority w:val="0"/>
    <w:pPr>
      <w:spacing w:before="240" w:after="240" w:line="240" w:lineRule="auto"/>
      <w:ind w:left="-288"/>
      <w:jc w:val="center"/>
    </w:pPr>
    <w:rPr>
      <w:rFonts w:cs="宋体"/>
      <w:sz w:val="28"/>
      <w:szCs w:val="20"/>
    </w:rPr>
  </w:style>
  <w:style w:type="paragraph" w:customStyle="1" w:styleId="5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56">
    <w:name w:val="正文文本 Char"/>
    <w:basedOn w:val="28"/>
    <w:link w:val="3"/>
    <w:qFormat/>
    <w:uiPriority w:val="99"/>
  </w:style>
  <w:style w:type="character" w:customStyle="1" w:styleId="57">
    <w:name w:val="正文首行缩进 Char"/>
    <w:basedOn w:val="56"/>
    <w:link w:val="2"/>
    <w:qFormat/>
    <w:uiPriority w:val="0"/>
    <w:rPr>
      <w:rFonts w:ascii="宋体" w:hAnsi="Times New Roman" w:eastAsia="宋体" w:cs="Times New Roman"/>
      <w:kern w:val="0"/>
      <w:sz w:val="34"/>
      <w:szCs w:val="20"/>
    </w:rPr>
  </w:style>
  <w:style w:type="character" w:customStyle="1" w:styleId="58">
    <w:name w:val="HTML 预设格式 Char"/>
    <w:basedOn w:val="28"/>
    <w:semiHidden/>
    <w:qFormat/>
    <w:uiPriority w:val="99"/>
    <w:rPr>
      <w:rFonts w:ascii="宋体" w:hAnsi="宋体" w:eastAsia="宋体" w:cs="宋体"/>
      <w:kern w:val="0"/>
      <w:sz w:val="24"/>
      <w:szCs w:val="24"/>
    </w:rPr>
  </w:style>
  <w:style w:type="character" w:customStyle="1" w:styleId="59">
    <w:name w:val="HTML 预设格式 Char1"/>
    <w:basedOn w:val="28"/>
    <w:link w:val="24"/>
    <w:semiHidden/>
    <w:qFormat/>
    <w:uiPriority w:val="99"/>
    <w:rPr>
      <w:rFonts w:ascii="Courier New" w:hAnsi="Courier New" w:cs="Courier New"/>
      <w:sz w:val="20"/>
      <w:szCs w:val="20"/>
    </w:rPr>
  </w:style>
  <w:style w:type="character" w:customStyle="1" w:styleId="60">
    <w:name w:val="正文文本缩进 Char"/>
    <w:qFormat/>
    <w:uiPriority w:val="0"/>
    <w:rPr>
      <w:sz w:val="24"/>
    </w:rPr>
  </w:style>
  <w:style w:type="character" w:customStyle="1" w:styleId="61">
    <w:name w:val="正文文本缩进 Char1"/>
    <w:basedOn w:val="28"/>
    <w:link w:val="5"/>
    <w:semiHidden/>
    <w:qFormat/>
    <w:uiPriority w:val="99"/>
  </w:style>
  <w:style w:type="character" w:customStyle="1" w:styleId="62">
    <w:name w:val="批注框文本 Char"/>
    <w:basedOn w:val="28"/>
    <w:semiHidden/>
    <w:qFormat/>
    <w:uiPriority w:val="99"/>
    <w:rPr>
      <w:sz w:val="18"/>
      <w:szCs w:val="18"/>
    </w:rPr>
  </w:style>
  <w:style w:type="character" w:customStyle="1" w:styleId="63">
    <w:name w:val="批注框文本 Char1"/>
    <w:basedOn w:val="28"/>
    <w:link w:val="19"/>
    <w:semiHidden/>
    <w:qFormat/>
    <w:uiPriority w:val="99"/>
    <w:rPr>
      <w:sz w:val="18"/>
      <w:szCs w:val="18"/>
    </w:rPr>
  </w:style>
  <w:style w:type="paragraph" w:customStyle="1" w:styleId="64">
    <w:name w:val="Table Paragraph"/>
    <w:basedOn w:val="1"/>
    <w:qFormat/>
    <w:uiPriority w:val="1"/>
    <w:rPr>
      <w:rFonts w:ascii="Arial Unicode MS" w:hAnsi="Arial Unicode MS" w:eastAsia="Arial Unicode MS" w:cs="Arial Unicode MS"/>
      <w:lang w:val="zh-CN" w:bidi="zh-CN"/>
    </w:rPr>
  </w:style>
  <w:style w:type="paragraph" w:customStyle="1" w:styleId="65">
    <w:name w:val="*正文"/>
    <w:basedOn w:val="1"/>
    <w:qFormat/>
    <w:uiPriority w:val="0"/>
    <w:pPr>
      <w:keepNext/>
      <w:keepLines/>
      <w:spacing w:line="360" w:lineRule="auto"/>
      <w:ind w:firstLine="200" w:firstLineChars="200"/>
    </w:pPr>
    <w:rPr>
      <w:rFonts w:ascii="宋体" w:hAnsi="宋体" w:eastAsia="宋体" w:cs="Times New Roman"/>
      <w:szCs w:val="24"/>
    </w:rPr>
  </w:style>
  <w:style w:type="paragraph" w:customStyle="1" w:styleId="66">
    <w:name w:val="style4"/>
    <w:basedOn w:val="1"/>
    <w:next w:val="1"/>
    <w:qFormat/>
    <w:uiPriority w:val="0"/>
    <w:pPr>
      <w:widowControl/>
      <w:spacing w:before="280" w:after="280"/>
    </w:pPr>
    <w:rPr>
      <w:rFonts w:ascii="宋体" w:hAnsi="Times New Roman" w:eastAsia="宋体" w:cs="Times New Roman"/>
      <w:sz w:val="18"/>
      <w:szCs w:val="24"/>
    </w:rPr>
  </w:style>
  <w:style w:type="character" w:customStyle="1" w:styleId="67">
    <w:name w:val="NormalCharacter"/>
    <w:semiHidden/>
    <w:qFormat/>
    <w:uiPriority w:val="0"/>
  </w:style>
  <w:style w:type="paragraph" w:customStyle="1" w:styleId="68">
    <w:name w:val="正文 New New New New"/>
    <w:qFormat/>
    <w:uiPriority w:val="0"/>
    <w:pPr>
      <w:widowControl w:val="0"/>
      <w:jc w:val="both"/>
    </w:pPr>
    <w:rPr>
      <w:rFonts w:ascii="Times New Roman" w:hAnsi="Times New Roman" w:eastAsia="宋体" w:cs="Times New Roman"/>
      <w:szCs w:val="24"/>
      <w:lang w:val="en-US" w:eastAsia="zh-CN" w:bidi="ar-SA"/>
    </w:rPr>
  </w:style>
  <w:style w:type="character" w:customStyle="1" w:styleId="69">
    <w:name w:val="font11"/>
    <w:basedOn w:val="28"/>
    <w:qFormat/>
    <w:uiPriority w:val="0"/>
    <w:rPr>
      <w:rFonts w:hint="eastAsia" w:ascii="宋体" w:hAnsi="宋体" w:eastAsia="宋体" w:cs="宋体"/>
      <w:color w:val="000000"/>
      <w:sz w:val="18"/>
      <w:szCs w:val="18"/>
      <w:u w:val="none"/>
    </w:rPr>
  </w:style>
  <w:style w:type="paragraph" w:customStyle="1" w:styleId="70">
    <w:name w:val="_Style 13"/>
    <w:qFormat/>
    <w:uiPriority w:val="0"/>
    <w:pPr>
      <w:spacing w:before="120" w:after="120" w:line="288" w:lineRule="auto"/>
      <w:ind w:left="0"/>
      <w:jc w:val="left"/>
    </w:pPr>
    <w:rPr>
      <w:rFonts w:ascii="Arial" w:hAnsi="Arial" w:eastAsia="等线" w:cs="Arial"/>
      <w:sz w:val="22"/>
      <w:szCs w:val="22"/>
    </w:rPr>
  </w:style>
  <w:style w:type="paragraph" w:customStyle="1" w:styleId="71">
    <w:name w:val="正文 A"/>
    <w:next w:val="72"/>
    <w:qFormat/>
    <w:uiPriority w:val="0"/>
    <w:pPr>
      <w:widowControl w:val="0"/>
      <w:jc w:val="both"/>
    </w:pPr>
    <w:rPr>
      <w:rFonts w:ascii="Calibri" w:hAnsi="Calibri" w:eastAsia="Calibri" w:cs="Calibri"/>
      <w:color w:val="000000"/>
      <w:kern w:val="2"/>
      <w:sz w:val="21"/>
      <w:szCs w:val="21"/>
      <w:lang w:val="en-US" w:eastAsia="zh-CN" w:bidi="ar-SA"/>
    </w:rPr>
  </w:style>
  <w:style w:type="paragraph" w:styleId="72">
    <w:name w:val="No Spacing"/>
    <w:qFormat/>
    <w:uiPriority w:val="0"/>
    <w:pPr>
      <w:widowControl w:val="0"/>
      <w:spacing w:line="400" w:lineRule="exact"/>
      <w:jc w:val="both"/>
    </w:pPr>
    <w:rPr>
      <w:rFonts w:ascii="Calibri" w:hAnsi="Calibri" w:eastAsia="Calibri" w:cs="Calibri"/>
      <w:color w:val="000000"/>
      <w:kern w:val="2"/>
      <w:sz w:val="24"/>
      <w:szCs w:val="24"/>
      <w:lang w:val="en-US" w:eastAsia="zh-CN" w:bidi="ar-SA"/>
    </w:rPr>
  </w:style>
  <w:style w:type="paragraph" w:customStyle="1" w:styleId="73">
    <w:name w:val="无间隔1"/>
    <w:basedOn w:val="74"/>
    <w:qFormat/>
    <w:uiPriority w:val="99"/>
    <w:pPr>
      <w:spacing w:line="400" w:lineRule="exact"/>
    </w:pPr>
  </w:style>
  <w:style w:type="paragraph" w:customStyle="1" w:styleId="74">
    <w:name w:val="正文_0"/>
    <w:next w:val="7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ddac9276-7084-4f44-865b-a294ecce168c</errorID>
      <errorWord>.</errorWord>
      <group>L1_Format</group>
      <groupName>格式问题</groupName>
      <ability>L2_HalfPunc_CN</ability>
      <abilityName>全半角问题</abilityName>
      <candidateList>
        <item>。</item>
      </candidateList>
      <explain>文本全半角错误。</explain>
      <paraID>6F4E829C</paraID>
      <start>76</start>
      <end>77</end>
      <status>unmodified</status>
      <modifiedWord/>
      <trackRevisions>false</trackRevisions>
    </reviewItem>
    <reviewItem>
      <errorID>0163e833-e74b-4c93-b93a-47315ae5dfe7</errorID>
      <errorWord>.</errorWord>
      <group>L1_Format</group>
      <groupName>格式问题</groupName>
      <ability>L2_HalfPunc_CN</ability>
      <abilityName>全半角问题</abilityName>
      <candidateList>
        <item>。</item>
      </candidateList>
      <explain>文本全半角错误。</explain>
      <paraID>17A95A70</paraID>
      <start>68</start>
      <end>69</end>
      <status>unmodified</status>
      <modifiedWord/>
      <trackRevisions>false</trackRevisions>
    </reviewItem>
    <reviewItem>
      <errorID>a840d0f0-3954-484a-8c27-3a3ec461dca2</errorID>
      <errorWord>.</errorWord>
      <group>L1_Format</group>
      <groupName>格式问题</groupName>
      <ability>L2_HalfPunc_CN</ability>
      <abilityName>全半角问题</abilityName>
      <candidateList>
        <item>。</item>
      </candidateList>
      <explain>文本全半角错误。</explain>
      <paraID>17A95A70</paraID>
      <start>75</start>
      <end>76</end>
      <status>unmodified</status>
      <modifiedWord/>
      <trackRevisions>false</trackRevisions>
    </reviewItem>
    <reviewItem>
      <errorID>8ca6b04e-62d6-4c4f-bfb2-d80ae84a06c4</errorID>
      <errorWord>,</errorWord>
      <group>L1_Format</group>
      <groupName>格式问题</groupName>
      <ability>L2_HalfPunc_CN</ability>
      <abilityName>全半角问题</abilityName>
      <candidateList>
        <item>，</item>
      </candidateList>
      <explain>文本全半角错误。</explain>
      <paraID>17A95A70</paraID>
      <start>83</start>
      <end>84</end>
      <status>unmodified</status>
      <modifiedWord/>
      <trackRevisions>false</trackRevisions>
    </reviewItem>
    <reviewItem>
      <errorID>a63d00fa-639e-4911-9769-7b81c32da94e</errorID>
      <errorWord>“.</errorWord>
      <group>L1_Punc</group>
      <groupName>标点问题</groupName>
      <ability>L2_Punc_CN</ability>
      <abilityName>标点符号问题</abilityName>
      <candidateList>
        <item>“</item>
      </candidateList>
      <explain/>
      <paraID>17A95A70</paraID>
      <start>91</start>
      <end>93</end>
      <status>unmodified</status>
      <modifiedWord/>
      <trackRevisions>false</trackRevisions>
    </reviewItem>
    <reviewItem>
      <errorID>ffa2fc55-9727-4351-996d-04cb55850f52</errorID>
      <errorWord>，</errorWord>
      <group>L1_Word</group>
      <groupName>字词问题</groupName>
      <ability>L2_Typo</ability>
      <abilityName>字词错误</abilityName>
      <candidateList>
        <item>，可</item>
      </candidateList>
      <explain/>
      <paraID>3001F250</paraID>
      <start>51</start>
      <end>52</end>
      <status>unmodified</status>
      <modifiedWord/>
      <trackRevisions>false</trackRevisions>
    </reviewItem>
    <reviewItem>
      <errorID>e1a0522c-af14-4299-93fa-eea60bafb91b</errorID>
      <errorWord>微处理机</errorWord>
      <group>L1_Word</group>
      <groupName>字词问题</groupName>
      <ability>L2_Typo</ability>
      <abilityName>字词错误</abilityName>
      <candidateList>
        <item>微处理器</item>
      </candidateList>
      <explain/>
      <paraID> 33B52B4</paraID>
      <start>12</start>
      <end>16</end>
      <status>unmodified</status>
      <modifiedWord/>
      <trackRevisions>false</trackRevisions>
    </reviewItem>
    <reviewItem>
      <errorID>e16a3987-e1b9-4193-a432-b7491e15b173</errorID>
      <errorWord>噪音</errorWord>
      <group>L1_Word</group>
      <groupName>字词问题</groupName>
      <ability>L2_Alias</ability>
      <abilityName>也作/曾用词</abilityName>
      <candidateList>
        <item>噪声</item>
      </candidateList>
      <explain>词汇[噪音]为不规范表述或旧称，其规范书面表述为[噪声]。</explain>
      <paraID>78B8B658</paraID>
      <start>3</start>
      <end>5</end>
      <status>unmodified</status>
      <modifiedWord/>
      <trackRevisions>false</trackRevisions>
    </reviewItem>
    <reviewItem>
      <errorID>f0b40ec1-a56a-4542-a7da-5fe425c5598f</errorID>
      <errorWord>文件的</errorWord>
      <group>L1_Word</group>
      <groupName>字词问题</groupName>
      <ability>L2_Typo</ability>
      <abilityName>字词错误</abilityName>
      <candidateList>
        <item>文件</item>
      </candidateList>
      <explain/>
      <paraID>127ECC0B</paraID>
      <start>9</start>
      <end>12</end>
      <status>unmodified</status>
      <modifiedWord/>
      <trackRevisions>false</trackRevisions>
    </reviewItem>
    <reviewItem>
      <errorID>867e6d3e-cf5d-488e-b135-f909eb51ffa1</errorID>
      <errorWord>.</errorWord>
      <group>L1_Format</group>
      <groupName>格式问题</groupName>
      <ability>L2_HalfPunc_CN</ability>
      <abilityName>全半角问题</abilityName>
      <candidateList>
        <item>。</item>
      </candidateList>
      <explain>文本全半角错误。</explain>
      <paraID> 61769B4</paraID>
      <start>86</start>
      <end>87</end>
      <status>unmodified</status>
      <modifiedWord/>
      <trackRevisions>false</trackRevisions>
    </reviewItem>
    <reviewItem>
      <errorID>6f863c13-6ecf-403e-928f-9dcae9ca67f8</errorID>
      <errorWord>.</errorWord>
      <group>L1_Format</group>
      <groupName>格式问题</groupName>
      <ability>L2_HalfPunc_CN</ability>
      <abilityName>全半角问题</abilityName>
      <candidateList>
        <item>。</item>
      </candidateList>
      <explain>文本全半角错误。</explain>
      <paraID>3E1D2864</paraID>
      <start>35</start>
      <end>36</end>
      <status>unmodified</status>
      <modifiedWord/>
      <trackRevisions>false</trackRevisions>
    </reviewItem>
    <reviewItem>
      <errorID>c3b5c267-147e-47c1-bceb-2bd57d341c9b</errorID>
      <errorWord>“.</errorWord>
      <group>L1_Punc</group>
      <groupName>标点问题</groupName>
      <ability>L2_Punc_CN</ability>
      <abilityName>标点符号问题</abilityName>
      <candidateList>
        <item>“</item>
      </candidateList>
      <explain/>
      <paraID>2C117AD5</paraID>
      <start>49</start>
      <end>51</end>
      <status>unmodified</status>
      <modifiedWord/>
      <trackRevisions>false</trackRevisions>
    </reviewItem>
    <reviewItem>
      <errorID>3e49c978-51c1-4ed8-b761-da0a76695222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439FBDA0</paraID>
      <start>0</start>
      <end>2</end>
      <status>modified</status>
      <modifiedWord>3.</modifiedWord>
      <trackRevisions>false</trackRevisions>
    </reviewItem>
    <reviewItem>
      <errorID>ac1ec324-32df-479a-b752-a64798b44be6</errorID>
      <errorWord>所必须的</errorWord>
      <group>L1_Word</group>
      <groupName>字词问题</groupName>
      <ability>L2_Typo</ability>
      <abilityName>字词错误</abilityName>
      <candidateList>
        <item>所必需的</item>
      </candidateList>
      <explain/>
      <paraID>15060FB8</paraID>
      <start>6</start>
      <end>10</end>
      <status>unmodified</status>
      <modifiedWord/>
      <trackRevisions>false</trackRevisions>
    </reviewItem>
    <reviewItem>
      <errorID>8fe2942a-aa3b-4aa9-b6e4-1330b3e14d7b</errorID>
      <errorWord>所必须的</errorWord>
      <group>L1_Word</group>
      <groupName>字词问题</groupName>
      <ability>L2_Typo</ability>
      <abilityName>字词错误</abilityName>
      <candidateList>
        <item>所必需的</item>
      </candidateList>
      <explain/>
      <paraID>44D06AEA</paraID>
      <start>11</start>
      <end>15</end>
      <status>unmodified</status>
      <modifiedWord/>
      <trackRevisions>false</trackRevisions>
    </reviewItem>
    <reviewItem>
      <errorID>e4e93960-5571-411c-a1ad-be5eebee6094</errorID>
      <errorWord>，</errorWord>
      <group>L1_Word</group>
      <groupName>字词问题</groupName>
      <ability>L2_Typo</ability>
      <abilityName>字词错误</abilityName>
      <candidateList>
        <item>，以</item>
      </candidateList>
      <explain/>
      <paraID>49778EEC</paraID>
      <start>180</start>
      <end>181</end>
      <status>unmodified</status>
      <modifiedWord/>
      <trackRevisions>false</trackRevisions>
    </reviewItem>
    <reviewItem>
      <errorID>a1baccdf-24a8-4b1a-b5f6-5e67ab80731b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18</start>
      <end>21</end>
      <status>unmodified</status>
      <modifiedWord/>
      <trackRevisions>false</trackRevisions>
    </reviewItem>
    <reviewItem>
      <errorID>3d5c8be6-aa44-4f66-81c0-b75fc61ff4d0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25</start>
      <end>28</end>
      <status>unmodified</status>
      <modifiedWord/>
      <trackRevisions>false</trackRevisions>
    </reviewItem>
    <reviewItem>
      <errorID>060b4a75-8d78-4415-afce-af43a95e1fe5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66</start>
      <end>69</end>
      <status>unmodified</status>
      <modifiedWord/>
      <trackRevisions>false</trackRevisions>
    </reviewItem>
    <reviewItem>
      <errorID>62085743-a8dc-4dcb-bd32-33f4c54c4ba2</errorID>
      <errorWord>其它</errorWord>
      <group>L1_Word</group>
      <groupName>字词问题</groupName>
      <ability>L2_Alias</ability>
      <abilityName>也作/曾用词</abilityName>
      <candidateList>
        <item>其他</item>
      </candidateList>
      <explain>词汇[其它]为不规范表述或旧称，其规范书面表述为[其他]。</explain>
      <paraID>1C738AEB</paraID>
      <start>20</start>
      <end>22</end>
      <status>unmodified</status>
      <modifiedWord/>
      <trackRevisions>false</trackRevisions>
    </reviewItem>
    <reviewItem>
      <errorID>e51bdef2-a049-4cbf-885c-e46913810873</errorID>
      <errorWord>.</errorWord>
      <group>L1_Format</group>
      <groupName>格式问题</groupName>
      <ability>L2_HalfPunc_CN</ability>
      <abilityName>全半角问题</abilityName>
      <candidateList>
        <item>。</item>
      </candidateList>
      <explain>文本全半角错误。</explain>
      <paraID> B6EF80B</paraID>
      <start>104</start>
      <end>105</end>
      <status>unmodified</status>
      <modifiedWord/>
      <trackRevisions>false</trackRevisions>
    </reviewItem>
    <reviewItem>
      <errorID>e69b2ff5-8d46-4863-8ad3-78ec6c7d0b3a</errorID>
      <errorWord>.</errorWord>
      <group>L1_Format</group>
      <groupName>格式问题</groupName>
      <ability>L2_HalfPunc_CN</ability>
      <abilityName>全半角问题</abilityName>
      <candidateList>
        <item>。</item>
      </candidateList>
      <explain>文本全半角错误。</explain>
      <paraID> B6EF80B</paraID>
      <start>111</start>
      <end>112</end>
      <status>unmodified</status>
      <modifiedWord/>
      <trackRevisions>false</trackRevisions>
    </reviewItem>
    <reviewItem>
      <errorID>302900be-6f09-49bb-9210-dd6f448a8bbc</errorID>
      <errorWord>,</errorWord>
      <group>L1_Format</group>
      <groupName>格式问题</groupName>
      <ability>L2_HalfPunc_CN</ability>
      <abilityName>全半角问题</abilityName>
      <candidateList>
        <item>，</item>
      </candidateList>
      <explain>文本全半角错误。</explain>
      <paraID> B6EF80B</paraID>
      <start>119</start>
      <end>120</end>
      <status>unmodified</status>
      <modifiedWord/>
      <trackRevisions>false</trackRevisions>
    </reviewItem>
    <reviewItem>
      <errorID>bad29670-e1fd-4c71-bd9c-db574827c797</errorID>
      <errorWord>“.</errorWord>
      <group>L1_Punc</group>
      <groupName>标点问题</groupName>
      <ability>L2_Punc_CN</ability>
      <abilityName>标点符号问题</abilityName>
      <candidateList>
        <item>“</item>
      </candidateList>
      <explain/>
      <paraID> B6EF80B</paraID>
      <start>127</start>
      <end>129</end>
      <status>unmodified</status>
      <modifiedWord/>
      <trackRevisions>false</trackRevisions>
    </reviewItem>
    <reviewItem>
      <errorID>0e1c1509-0bec-4309-825f-d42e1fb17816</errorID>
      <errorWord>.</errorWord>
      <group>L1_Format</group>
      <groupName>格式问题</groupName>
      <ability>L2_HalfPunc_CN</ability>
      <abilityName>全半角问题</abilityName>
      <candidateList>
        <item>。</item>
      </candidateList>
      <explain>文本全半角错误。</explain>
      <paraID>43E534AB</paraID>
      <start>50</start>
      <end>51</end>
      <status>unmodified</status>
      <modifiedWord/>
      <trackRevisions>false</trackRevisions>
    </reviewItem>
    <reviewItem>
      <errorID>2787a1cf-4645-48a4-9e72-991a15898ebe</errorID>
      <errorWord>第26条</errorWord>
      <group>L1_Knowledge</group>
      <groupName>知识性问题</groupName>
      <ability>L2_Knowledge</ability>
      <abilityName>其他知识</abilityName>
      <candidateList>
        <item>第二十六条</item>
      </candidateList>
      <explain>法律条目书写应使用汉字数字，不使用阿拉伯数字。</explain>
      <paraID>5900DA9E</paraID>
      <start>38</start>
      <end>42</end>
      <status>unmodified</status>
      <modifiedWord/>
      <trackRevisions>false</trackRevisions>
    </reviewItem>
    <reviewItem>
      <errorID>7544c371-936b-4a01-b7bd-20f44e9a5401</errorID>
      <errorWord>路</errorWord>
      <group>L1_Word</group>
      <groupName>字词问题</groupName>
      <ability>L2_Typo</ability>
      <abilityName>字词错误</abilityName>
      <candidateList>
        <item>路与</item>
      </candidateList>
      <explain/>
      <paraID>428B183B</paraID>
      <start>11</start>
      <end>12</end>
      <status>unmodified</status>
      <modifiedWord/>
      <trackRevisions>false</trackRevisions>
    </reviewItem>
    <reviewItem>
      <errorID>7098edbb-5e86-4f5a-b83e-d9d887045f9e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4CFD3FB0</paraID>
      <start>9</start>
      <end>12</end>
      <status>unmodified</status>
      <modifiedWord/>
      <trackRevisions>false</trackRevisions>
    </reviewItem>
    <reviewItem>
      <errorID>9945d17d-7c65-4adb-8d34-300acfb9b25c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456C019B</paraID>
      <start>9</start>
      <end>12</end>
      <status>unmodified</status>
      <modifiedWord/>
      <trackRevisions>false</trackRevisions>
    </reviewItem>
    <reviewItem>
      <errorID>150ea541-827d-4984-ad8e-c4eeeaef291a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1F463E6A</paraID>
      <start>8</start>
      <end>11</end>
      <status>unmodified</status>
      <modifiedWord/>
      <trackRevisions>false</trackRevisions>
    </reviewItem>
    <reviewItem>
      <errorID>98939b23-dbc3-4772-81cf-3fe203456428</errorID>
      <errorWord>上监狱管理局</errorWord>
      <group>L1_Knowledge</group>
      <groupName>知识性问题</groupName>
      <ability>L2_Organization</ability>
      <abilityName>机构检查</abilityName>
      <candidateList>
        <item>上海市监狱管理局</item>
      </candidateList>
      <explain>机关单位全简称表述错误</explain>
      <paraID>4B468D36</paraID>
      <start>44</start>
      <end>50</end>
      <status>unmodified</status>
      <modifiedWord/>
      <trackRevisions>false</trackRevisions>
    </reviewItem>
    <reviewItem>
      <errorID>6b27bcae-e1ba-4bfc-b1f7-747a2db00097</errorID>
      <errorWord>详实</errorWord>
      <group>L1_Word</group>
      <groupName>字词问题</groupName>
      <ability>L2_Typo</ability>
      <abilityName>字词错误</abilityName>
      <candidateList>
        <item>翔实</item>
      </candidateList>
      <explain>存在发音相同字词的误用。</explain>
      <paraID>31CC561D</paraID>
      <start>26</start>
      <end>28</end>
      <status>unmodified</status>
      <modifiedWord/>
      <trackRevisions>false</trackRevisions>
    </reviewItem>
    <reviewItem>
      <errorID>226c395d-2104-427f-8aab-d36a04692f11</errorID>
      <errorWord>-</errorWord>
      <group>L1_Format</group>
      <groupName>格式问题</groupName>
      <ability>L2_HalfPunc_CN</ability>
      <abilityName>全半角问题</abilityName>
      <candidateList>
        <item>－</item>
      </candidateList>
      <explain>文本全半角错误。</explain>
      <paraID>5ACE28B6</paraID>
      <start>20</start>
      <end>21</end>
      <status>unmodified</status>
      <modifiedWord/>
      <trackRevisions>false</trackRevisions>
    </reviewItem>
    <reviewItem>
      <errorID>08d0d5ef-e660-4160-b547-8efc79ce930b</errorID>
      <errorWord>-</errorWord>
      <group>L1_Format</group>
      <groupName>格式问题</groupName>
      <ability>L2_HalfPunc_CN</ability>
      <abilityName>全半角问题</abilityName>
      <candidateList>
        <item>－</item>
      </candidateList>
      <explain>文本全半角错误。</explain>
      <paraID>5ACE28B6</paraID>
      <start>25</start>
      <end>26</end>
      <status>unmodified</status>
      <modifiedWord/>
      <trackRevisions>false</trackRevisions>
    </reviewItem>
    <reviewItem>
      <errorID>2d9dd0b4-0964-4f99-a804-e7c538cc6aed</errorID>
      <errorWord>-</errorWord>
      <group>L1_Format</group>
      <groupName>格式问题</groupName>
      <ability>L2_HalfPunc_CN</ability>
      <abilityName>全半角问题</abilityName>
      <candidateList>
        <item>－</item>
      </candidateList>
      <explain>文本全半角错误。</explain>
      <paraID>5ACE28B6</paraID>
      <start>28</start>
      <end>29</end>
      <status>unmodified</status>
      <modifiedWord/>
      <trackRevisions>false</trackRevisions>
    </reviewItem>
    <reviewItem>
      <errorID>932ff2e0-1563-4e47-a457-b0497e78cc47</errorID>
      <errorWord>，</errorWord>
      <group>L1_Word</group>
      <groupName>字词问题</groupName>
      <ability>L2_Typo</ability>
      <abilityName>字词错误</abilityName>
      <candidateList>
        <item>，并</item>
      </candidateList>
      <explain/>
      <paraID>399C4447</paraID>
      <start>53</start>
      <end>54</end>
      <status>unmodified</status>
      <modifiedWord/>
      <trackRevisions>false</trackRevisions>
    </reviewItem>
    <reviewItem>
      <errorID>2e7f507f-ccd0-4ce4-90f1-ad0bdefc57dc</errorID>
      <errorWord>签定的</errorWord>
      <group>L1_Word</group>
      <groupName>字词问题</groupName>
      <ability>L2_Typo</ability>
      <abilityName>字词错误</abilityName>
      <candidateList>
        <item>签订的</item>
      </candidateList>
      <explain/>
      <paraID>12F3116C</paraID>
      <start>19</start>
      <end>22</end>
      <status>unmodified</status>
      <modifiedWord/>
      <trackRevisions>false</trackRevisions>
    </reviewItem>
    <reviewItem>
      <errorID>80c37e19-fffd-463d-9921-bdc40e6250db</errorID>
      <errorWord>签定合同</errorWord>
      <group>L1_Word</group>
      <groupName>字词问题</groupName>
      <ability>L2_Typo</ability>
      <abilityName>字词错误</abilityName>
      <candidateList>
        <item>签订合同</item>
      </candidateList>
      <explain/>
      <paraID>7A206FA5</paraID>
      <start>2</start>
      <end>6</end>
      <status>unmodified</status>
      <modifiedWord/>
      <trackRevisions>false</trackRevisions>
    </reviewItem>
    <reviewItem>
      <errorID>5b9254b0-549f-49de-b5b7-2f933a3d1547</errorID>
      <errorWord>法律、法规</errorWord>
      <group>L1_Word</group>
      <groupName>字词问题</groupName>
      <ability>L2_Typo</ability>
      <abilityName>字词错误</abilityName>
      <candidateList>
        <item>法律法规</item>
      </candidateList>
      <explain/>
      <paraID>21537113</paraID>
      <start>22</start>
      <end>27</end>
      <status>unmodified</status>
      <modifiedWord/>
      <trackRevisions>false</trackRevisions>
    </reviewItem>
    <reviewItem>
      <errorID>cb8e3227-bff6-4c5c-93b9-a9909b4920d6</errorID>
      <errorWord>法律、法规</errorWord>
      <group>L1_Word</group>
      <groupName>字词问题</groupName>
      <ability>L2_Typo</ability>
      <abilityName>字词错误</abilityName>
      <candidateList>
        <item>法律法规</item>
      </candidateList>
      <explain/>
      <paraID>292B572B</paraID>
      <start>23</start>
      <end>28</end>
      <status>unmodified</status>
      <modifiedWord/>
      <trackRevisions>false</trackRevisions>
    </reviewItem>
    <reviewItem>
      <errorID>c28c0e8d-ceb9-4957-82a7-b6e01c74f8ad</errorID>
      <errorWord>法律、法规</errorWord>
      <group>L1_Word</group>
      <groupName>字词问题</groupName>
      <ability>L2_Typo</ability>
      <abilityName>字词错误</abilityName>
      <candidateList>
        <item>法律法规</item>
      </candidateList>
      <explain/>
      <paraID>292B572B</paraID>
      <start>68</start>
      <end>73</end>
      <status>unmodified</status>
      <modifiedWord/>
      <trackRevisions>false</trackRevisions>
    </reviewItem>
    <reviewItem>
      <errorID>d4e244d8-c1b9-4038-b150-cfc2ca74d7aa</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C924D85</paraID>
      <start>28</start>
      <end>32</end>
      <status>unmodified</status>
      <modifiedWord/>
      <trackRevisions>false</trackRevisions>
    </reviewItem>
    <reviewItem>
      <errorID>fbe98c60-7403-4ba3-a01d-384f822d94ee</errorID>
      <errorWord>做</errorWord>
      <group>L1_Word</group>
      <groupName>字词问题</groupName>
      <ability>L2_Typo</ability>
      <abilityName>字词错误</abilityName>
      <candidateList>
        <item>作</item>
      </candidateList>
      <explain/>
      <paraID>30AD819F</paraID>
      <start>25</start>
      <end>26</end>
      <status>unmodified</status>
      <modifiedWord/>
      <trackRevisions>false</trackRevisions>
    </reviewItem>
    <reviewItem>
      <errorID>ba1c47d1-5247-473b-8415-968e55e580ae</errorID>
      <errorWord>参加本招标</errorWord>
      <group>L1_Word</group>
      <groupName>字词问题</groupName>
      <ability>L2_Typo</ability>
      <abilityName>字词错误</abilityName>
      <candidateList>
        <item>参加本次招标</item>
      </candidateList>
      <explain/>
      <paraID>69779A2A</paraID>
      <start>15</start>
      <end>20</end>
      <status>unmodified</status>
      <modifiedWord/>
      <trackRevisions>false</trackRevisions>
    </reviewItem>
    <reviewItem>
      <errorID>45e19d26-a9ac-4704-a054-cbef8d284b5e</errorID>
      <errorWord>七</errorWord>
      <group>L1_Word</group>
      <groupName>字词问题</groupName>
      <ability>L2_Typo</ability>
      <abilityName>字词错误</abilityName>
      <candidateList>
        <item>七条</item>
      </candidateList>
      <explain/>
      <paraID>563A86C4</paraID>
      <start>107</start>
      <end>108</end>
      <status>unmodified</status>
      <modifiedWord/>
      <trackRevisions>false</trackRevisions>
    </reviewItem>
    <reviewItem>
      <errorID>04382805-c989-4f48-9c44-2f1c2ca155f6</errorID>
      <errorWord>、或</errorWord>
      <group>L1_Word</group>
      <groupName>字词问题</groupName>
      <ability>L2_Typo</ability>
      <abilityName>字词错误</abilityName>
      <candidateList>
        <item>或</item>
      </candidateList>
      <explain/>
      <paraID>517CB5C8</paraID>
      <start>12</start>
      <end>14</end>
      <status>unmodified</status>
      <modifiedWord/>
      <trackRevisions>false</trackRevisions>
    </reviewItem>
    <reviewItem>
      <errorID>87cd7c58-f420-4ad0-be88-ec23fa114931</errorID>
      <errorWord>活</errorWord>
      <group>L1_Word</group>
      <groupName>字词问题</groupName>
      <ability>L2_Typo</ability>
      <abilityName>字词错误</abilityName>
      <candidateList>
        <item>活动</item>
      </candidateList>
      <explain/>
      <paraID> 1909569</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39045b-d459-47fe-8ba6-0e6ea6da6f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23667</Words>
  <Characters>25384</Characters>
  <Lines>301</Lines>
  <Paragraphs>84</Paragraphs>
  <TotalTime>16</TotalTime>
  <ScaleCrop>false</ScaleCrop>
  <LinksUpToDate>false</LinksUpToDate>
  <CharactersWithSpaces>25707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2022-07-07T01:18:00Z</dcterms:created>
  <dc:creator>许昌市公共资源交易中心:孟莉</dc:creator>
  <cp:lastModifiedBy>ffxqming</cp:lastModifiedBy>
  <cp:lastPrinted>2024-11-26T02:50:00Z</cp:lastPrinted>
  <dcterms:modified xsi:type="dcterms:W3CDTF">2026-08-24T07:23:49Z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4EE924393AEC4695830411B1509A2030_13</vt:lpwstr>
  </property>
  <property fmtid="{D5CDD505-2E9C-101B-9397-08002B2CF9AE}" pid="4" name="KSOTemplateDocerSaveRecord">
    <vt:lpwstr>eyJoZGlkIjoiZjFmZWIzNDg2MmIzZjExOTIzMmViNTBmYTMwYTk0ZWYiLCJ1c2VySWQiOiIxMTYxNjI0MjMzIn0=</vt:lpwstr>
  </property>
</Properties>
</file>