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E618E">
      <w:pPr>
        <w:pStyle w:val="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30"/>
          <w:szCs w:val="30"/>
          <w:highlight w:val="none"/>
          <w:lang w:val="en-US"/>
        </w:rPr>
      </w:pPr>
      <w:r>
        <w:rPr>
          <w:rFonts w:hint="eastAsia" w:asciiTheme="minorEastAsia" w:hAnsiTheme="minorEastAsia" w:eastAsiaTheme="minorEastAsia" w:cstheme="minorEastAsia"/>
          <w:b/>
          <w:bCs/>
          <w:color w:val="auto"/>
          <w:sz w:val="30"/>
          <w:szCs w:val="30"/>
          <w:highlight w:val="none"/>
        </w:rPr>
        <w:t>YZCG-</w:t>
      </w:r>
      <w:r>
        <w:rPr>
          <w:rFonts w:hint="eastAsia" w:asciiTheme="minorEastAsia" w:hAnsiTheme="minorEastAsia" w:eastAsiaTheme="minorEastAsia" w:cstheme="minorEastAsia"/>
          <w:b/>
          <w:bCs/>
          <w:color w:val="auto"/>
          <w:sz w:val="30"/>
          <w:szCs w:val="30"/>
          <w:highlight w:val="none"/>
          <w:lang w:eastAsia="zh-CN"/>
        </w:rPr>
        <w:t>DL</w:t>
      </w:r>
      <w:r>
        <w:rPr>
          <w:rFonts w:hint="eastAsia" w:asciiTheme="minorEastAsia" w:hAnsiTheme="minorEastAsia" w:cstheme="minorEastAsia"/>
          <w:b/>
          <w:bCs/>
          <w:color w:val="auto"/>
          <w:sz w:val="30"/>
          <w:szCs w:val="30"/>
          <w:highlight w:val="none"/>
          <w:lang w:val="en-US" w:eastAsia="zh-CN"/>
        </w:rPr>
        <w:t>C</w:t>
      </w:r>
      <w:r>
        <w:rPr>
          <w:rFonts w:hint="eastAsia" w:asciiTheme="minorEastAsia" w:hAnsiTheme="minorEastAsia" w:eastAsiaTheme="minorEastAsia" w:cstheme="minorEastAsia"/>
          <w:b/>
          <w:bCs/>
          <w:color w:val="auto"/>
          <w:sz w:val="30"/>
          <w:szCs w:val="30"/>
          <w:highlight w:val="none"/>
          <w:lang w:eastAsia="zh-CN"/>
        </w:rPr>
        <w:t>202</w:t>
      </w:r>
      <w:r>
        <w:rPr>
          <w:rFonts w:hint="eastAsia" w:asciiTheme="minorEastAsia" w:hAnsiTheme="minorEastAsia" w:eastAsiaTheme="minorEastAsia" w:cstheme="minorEastAsia"/>
          <w:b/>
          <w:bCs/>
          <w:color w:val="auto"/>
          <w:sz w:val="30"/>
          <w:szCs w:val="30"/>
          <w:highlight w:val="none"/>
          <w:lang w:val="en-US" w:eastAsia="zh-CN"/>
        </w:rPr>
        <w:t>6</w:t>
      </w:r>
      <w:r>
        <w:rPr>
          <w:rFonts w:hint="eastAsia" w:asciiTheme="minorEastAsia" w:hAnsiTheme="minorEastAsia" w:cstheme="minorEastAsia"/>
          <w:b/>
          <w:bCs/>
          <w:color w:val="auto"/>
          <w:sz w:val="30"/>
          <w:szCs w:val="30"/>
          <w:highlight w:val="none"/>
          <w:lang w:val="en-US" w:eastAsia="zh-CN"/>
        </w:rPr>
        <w:t>089</w:t>
      </w:r>
      <w:r>
        <w:rPr>
          <w:rFonts w:hint="eastAsia" w:asciiTheme="minorEastAsia" w:hAnsiTheme="minorEastAsia" w:eastAsiaTheme="minorEastAsia" w:cstheme="minorEastAsia"/>
          <w:b/>
          <w:bCs/>
          <w:color w:val="auto"/>
          <w:sz w:val="30"/>
          <w:szCs w:val="30"/>
          <w:highlight w:val="none"/>
          <w:lang w:val="en-US" w:eastAsia="zh-CN"/>
        </w:rPr>
        <w:t xml:space="preserve"> </w:t>
      </w:r>
      <w:r>
        <w:rPr>
          <w:rFonts w:hint="eastAsia" w:asciiTheme="minorEastAsia" w:hAnsiTheme="minorEastAsia" w:eastAsiaTheme="minorEastAsia" w:cstheme="minorEastAsia"/>
          <w:b/>
          <w:bCs/>
          <w:color w:val="auto"/>
          <w:kern w:val="2"/>
          <w:sz w:val="30"/>
          <w:szCs w:val="30"/>
          <w:highlight w:val="none"/>
          <w:lang w:val="en-US" w:eastAsia="zh-CN" w:bidi="ar-SA"/>
        </w:rPr>
        <w:t>禹州市自然资源和规划局2026年补充耕地土壤污染状况调查项目竞争性磋商</w:t>
      </w:r>
      <w:r>
        <w:rPr>
          <w:rFonts w:hint="eastAsia" w:asciiTheme="minorEastAsia" w:hAnsiTheme="minorEastAsia" w:eastAsiaTheme="minorEastAsia" w:cstheme="minorEastAsia"/>
          <w:b/>
          <w:bCs/>
          <w:color w:val="auto"/>
          <w:sz w:val="30"/>
          <w:szCs w:val="30"/>
          <w:highlight w:val="none"/>
          <w:lang w:val="en-US" w:eastAsia="zh-CN"/>
        </w:rPr>
        <w:t>公告</w:t>
      </w:r>
    </w:p>
    <w:p w14:paraId="158AC951">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6"/>
          <w:sz w:val="28"/>
          <w:szCs w:val="28"/>
          <w:highlight w:val="none"/>
          <w:lang w:eastAsia="zh-CN"/>
        </w:rPr>
        <w:t>项目概况</w:t>
      </w:r>
    </w:p>
    <w:p w14:paraId="0859EB7E">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right="0" w:firstLine="508"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val="en-US" w:eastAsia="zh-CN"/>
        </w:rPr>
        <w:t>禹州市自然资源和规划局2026年补充耕地土壤污染状况调查项目</w:t>
      </w:r>
      <w:r>
        <w:rPr>
          <w:rFonts w:hint="eastAsia" w:ascii="宋体" w:hAnsi="宋体" w:eastAsia="宋体" w:cs="宋体"/>
          <w:color w:val="auto"/>
          <w:spacing w:val="9"/>
          <w:sz w:val="24"/>
          <w:szCs w:val="24"/>
          <w:highlight w:val="none"/>
          <w:lang w:eastAsia="zh-CN"/>
        </w:rPr>
        <w:t>的潜在供应商使用</w:t>
      </w:r>
      <w:r>
        <w:rPr>
          <w:rFonts w:hint="eastAsia" w:ascii="宋体" w:hAnsi="宋体" w:eastAsia="宋体" w:cs="宋体"/>
          <w:color w:val="auto"/>
          <w:sz w:val="24"/>
          <w:szCs w:val="24"/>
          <w:highlight w:val="none"/>
          <w:lang w:eastAsia="zh-CN"/>
        </w:rPr>
        <w:t>CA</w:t>
      </w:r>
      <w:r>
        <w:rPr>
          <w:rFonts w:hint="eastAsia" w:ascii="宋体" w:hAnsi="宋体" w:eastAsia="宋体" w:cs="宋体"/>
          <w:color w:val="auto"/>
          <w:spacing w:val="10"/>
          <w:sz w:val="24"/>
          <w:szCs w:val="24"/>
          <w:highlight w:val="none"/>
          <w:lang w:eastAsia="zh-CN"/>
        </w:rPr>
        <w:t>数字证书或移动数字证书登录“全国公共资源交易平</w:t>
      </w:r>
      <w:r>
        <w:rPr>
          <w:rFonts w:hint="eastAsia" w:ascii="宋体" w:hAnsi="宋体" w:eastAsia="宋体" w:cs="宋体"/>
          <w:color w:val="auto"/>
          <w:spacing w:val="9"/>
          <w:sz w:val="24"/>
          <w:szCs w:val="24"/>
          <w:highlight w:val="none"/>
          <w:lang w:eastAsia="zh-CN"/>
        </w:rPr>
        <w:t>台（河南省·许昌市）”（下文所述</w:t>
      </w:r>
      <w:r>
        <w:rPr>
          <w:rFonts w:hint="eastAsia" w:ascii="宋体" w:hAnsi="宋体" w:eastAsia="宋体" w:cs="宋体"/>
          <w:color w:val="auto"/>
          <w:spacing w:val="7"/>
          <w:sz w:val="24"/>
          <w:szCs w:val="24"/>
          <w:highlight w:val="none"/>
          <w:lang w:eastAsia="zh-CN"/>
        </w:rPr>
        <w:t>“全国公共资源交易平台（河南省·许昌市）”的地址均为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"https://ggzy.xuchang.gov.cn"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https</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ggzy</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xuchang</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gov</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6"/>
          <w:sz w:val="24"/>
          <w:szCs w:val="24"/>
          <w:highlight w:val="none"/>
          <w:lang w:eastAsia="zh-CN"/>
        </w:rPr>
        <w:t>的“供应商”登录入口免费获取本项目采购文件。获取</w:t>
      </w:r>
      <w:r>
        <w:rPr>
          <w:rFonts w:hint="eastAsia" w:ascii="宋体" w:hAnsi="宋体" w:eastAsia="宋体" w:cs="宋体"/>
          <w:color w:val="auto"/>
          <w:spacing w:val="6"/>
          <w:sz w:val="24"/>
          <w:szCs w:val="24"/>
          <w:highlight w:val="none"/>
          <w:lang w:val="en-US" w:eastAsia="zh-CN"/>
        </w:rPr>
        <w:t>采购</w:t>
      </w:r>
      <w:r>
        <w:rPr>
          <w:rFonts w:hint="eastAsia" w:ascii="宋体" w:hAnsi="宋体" w:eastAsia="宋体" w:cs="宋体"/>
          <w:color w:val="auto"/>
          <w:spacing w:val="6"/>
          <w:sz w:val="24"/>
          <w:szCs w:val="24"/>
          <w:highlight w:val="none"/>
          <w:lang w:eastAsia="zh-CN"/>
        </w:rPr>
        <w:t>文件，并</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于</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2026年9月21日</w:t>
      </w:r>
      <w:r>
        <w:rPr>
          <w:rFonts w:hint="eastAsia" w:ascii="宋体" w:hAnsi="宋体" w:eastAsia="宋体" w:cs="宋体"/>
          <w:color w:val="000000" w:themeColor="text1"/>
          <w:sz w:val="24"/>
          <w:szCs w:val="24"/>
          <w:highlight w:val="none"/>
          <w:lang w:eastAsia="zh-CN"/>
          <w14:textFill>
            <w14:solidFill>
              <w14:schemeClr w14:val="tx1"/>
            </w14:solidFill>
          </w14:textFill>
        </w:rPr>
        <w:t>08时30分</w:t>
      </w:r>
      <w:r>
        <w:rPr>
          <w:rFonts w:hint="eastAsia" w:ascii="宋体" w:hAnsi="宋体" w:eastAsia="宋体" w:cs="宋体"/>
          <w:color w:val="auto"/>
          <w:spacing w:val="7"/>
          <w:sz w:val="24"/>
          <w:szCs w:val="24"/>
          <w:highlight w:val="none"/>
          <w:lang w:eastAsia="zh-CN"/>
        </w:rPr>
        <w:t>（北京时间）前递交响应文件。</w:t>
      </w:r>
    </w:p>
    <w:p w14:paraId="7CABE3B0">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8"/>
          <w:sz w:val="28"/>
          <w:szCs w:val="28"/>
          <w:highlight w:val="none"/>
          <w:lang w:eastAsia="zh-CN"/>
        </w:rPr>
        <w:t>一、项目基本情况</w:t>
      </w:r>
    </w:p>
    <w:p w14:paraId="105E5A29">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08"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lang w:eastAsia="zh-CN"/>
        </w:rPr>
        <w:t>1.项目编号：</w:t>
      </w:r>
      <w:r>
        <w:rPr>
          <w:rFonts w:hint="eastAsia" w:ascii="宋体" w:hAnsi="宋体" w:eastAsia="宋体" w:cs="宋体"/>
          <w:color w:val="000000" w:themeColor="text1"/>
          <w:sz w:val="24"/>
          <w:szCs w:val="24"/>
          <w:highlight w:val="none"/>
          <w:lang w:eastAsia="zh-CN"/>
          <w14:textFill>
            <w14:solidFill>
              <w14:schemeClr w14:val="tx1"/>
            </w14:solidFill>
          </w14:textFill>
        </w:rPr>
        <w:t>YZCG-DLC20260</w:t>
      </w:r>
      <w:r>
        <w:rPr>
          <w:rFonts w:hint="eastAsia" w:ascii="宋体" w:hAnsi="宋体" w:eastAsia="宋体" w:cs="宋体"/>
          <w:color w:val="000000" w:themeColor="text1"/>
          <w:sz w:val="24"/>
          <w:szCs w:val="24"/>
          <w:highlight w:val="none"/>
          <w:lang w:val="en-US" w:eastAsia="zh-CN"/>
          <w14:textFill>
            <w14:solidFill>
              <w14:schemeClr w14:val="tx1"/>
            </w14:solidFill>
          </w14:textFill>
        </w:rPr>
        <w:t>89</w:t>
      </w:r>
    </w:p>
    <w:p w14:paraId="3B234AB4">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08" w:firstLineChars="200"/>
        <w:textAlignment w:val="baseline"/>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eastAsia="zh-CN"/>
        </w:rPr>
        <w:t>2.项目名称：</w:t>
      </w:r>
      <w:r>
        <w:rPr>
          <w:rFonts w:hint="eastAsia" w:ascii="宋体" w:hAnsi="宋体" w:eastAsia="宋体" w:cs="宋体"/>
          <w:color w:val="auto"/>
          <w:spacing w:val="7"/>
          <w:sz w:val="24"/>
          <w:szCs w:val="24"/>
          <w:highlight w:val="none"/>
          <w:lang w:val="en-US" w:eastAsia="zh-CN"/>
        </w:rPr>
        <w:t>禹州市自然资源和规划局2026年补充耕地土壤污染状况调查项目</w:t>
      </w:r>
    </w:p>
    <w:p w14:paraId="143CA3EA">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08" w:firstLineChars="200"/>
        <w:textAlignment w:val="baseline"/>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3.采购方式：竞争性磋商</w:t>
      </w:r>
    </w:p>
    <w:p w14:paraId="7568F44A">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4.预算金额：</w:t>
      </w:r>
      <w:r>
        <w:rPr>
          <w:rFonts w:hint="eastAsia" w:ascii="宋体" w:hAnsi="宋体" w:eastAsia="宋体" w:cs="宋体"/>
          <w:color w:val="auto"/>
          <w:spacing w:val="5"/>
          <w:sz w:val="24"/>
          <w:szCs w:val="24"/>
          <w:highlight w:val="none"/>
          <w:lang w:val="en-US" w:eastAsia="zh-CN"/>
        </w:rPr>
        <w:t>1320960</w:t>
      </w:r>
      <w:r>
        <w:rPr>
          <w:rFonts w:hint="eastAsia" w:ascii="宋体" w:hAnsi="宋体" w:eastAsia="宋体" w:cs="宋体"/>
          <w:color w:val="auto"/>
          <w:spacing w:val="5"/>
          <w:sz w:val="24"/>
          <w:szCs w:val="24"/>
          <w:highlight w:val="none"/>
          <w:lang w:eastAsia="zh-CN"/>
        </w:rPr>
        <w:t>.00元</w:t>
      </w:r>
    </w:p>
    <w:p w14:paraId="3A08D7E1">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最高限价：</w:t>
      </w:r>
      <w:r>
        <w:rPr>
          <w:rFonts w:hint="eastAsia" w:ascii="宋体" w:hAnsi="宋体" w:eastAsia="宋体" w:cs="宋体"/>
          <w:color w:val="auto"/>
          <w:spacing w:val="5"/>
          <w:sz w:val="24"/>
          <w:szCs w:val="24"/>
          <w:highlight w:val="none"/>
          <w:lang w:val="en-US" w:eastAsia="zh-CN"/>
        </w:rPr>
        <w:t>1320960</w:t>
      </w:r>
      <w:r>
        <w:rPr>
          <w:rFonts w:hint="eastAsia" w:ascii="宋体" w:hAnsi="宋体" w:eastAsia="宋体" w:cs="宋体"/>
          <w:color w:val="auto"/>
          <w:spacing w:val="5"/>
          <w:sz w:val="24"/>
          <w:szCs w:val="24"/>
          <w:highlight w:val="none"/>
          <w:lang w:eastAsia="zh-CN"/>
        </w:rPr>
        <w:t>.00</w:t>
      </w:r>
      <w:r>
        <w:rPr>
          <w:rFonts w:hint="eastAsia" w:ascii="宋体" w:hAnsi="宋体" w:eastAsia="宋体" w:cs="宋体"/>
          <w:color w:val="auto"/>
          <w:spacing w:val="5"/>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其中第一标段</w:t>
      </w:r>
      <w:r>
        <w:rPr>
          <w:rFonts w:hint="eastAsia" w:ascii="宋体" w:hAnsi="宋体" w:eastAsia="宋体" w:cs="宋体"/>
          <w:color w:val="auto"/>
          <w:sz w:val="24"/>
          <w:szCs w:val="24"/>
          <w:highlight w:val="none"/>
          <w:lang w:val="en-US" w:eastAsia="zh-CN"/>
        </w:rPr>
        <w:t>330240.00元；第二标段330240.00元；第三标段330240.00元；第四标段330240.00元)</w:t>
      </w:r>
      <w:r>
        <w:rPr>
          <w:rFonts w:hint="eastAsia" w:ascii="宋体" w:hAnsi="宋体" w:eastAsia="宋体" w:cs="宋体"/>
          <w:color w:val="auto"/>
          <w:sz w:val="24"/>
          <w:szCs w:val="24"/>
          <w:highlight w:val="none"/>
        </w:rPr>
        <w:t>。</w:t>
      </w:r>
    </w:p>
    <w:tbl>
      <w:tblPr>
        <w:tblStyle w:val="9"/>
        <w:tblpPr w:leftFromText="180" w:rightFromText="180" w:vertAnchor="text" w:horzAnchor="page" w:tblpX="1028" w:tblpY="85"/>
        <w:tblOverlap w:val="never"/>
        <w:tblW w:w="997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972"/>
        <w:gridCol w:w="1667"/>
        <w:gridCol w:w="1859"/>
        <w:gridCol w:w="1995"/>
        <w:gridCol w:w="1877"/>
      </w:tblGrid>
      <w:tr w14:paraId="7ABF6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606" w:type="dxa"/>
            <w:vAlign w:val="center"/>
          </w:tcPr>
          <w:p w14:paraId="65F4934A">
            <w:pPr>
              <w:pStyle w:val="7"/>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972" w:type="dxa"/>
            <w:vAlign w:val="center"/>
          </w:tcPr>
          <w:p w14:paraId="4C4E05A7">
            <w:pPr>
              <w:pStyle w:val="7"/>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包号</w:t>
            </w:r>
          </w:p>
        </w:tc>
        <w:tc>
          <w:tcPr>
            <w:tcW w:w="1667" w:type="dxa"/>
            <w:vAlign w:val="center"/>
          </w:tcPr>
          <w:p w14:paraId="53832C01">
            <w:pPr>
              <w:pStyle w:val="7"/>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包名称</w:t>
            </w:r>
          </w:p>
        </w:tc>
        <w:tc>
          <w:tcPr>
            <w:tcW w:w="1859" w:type="dxa"/>
            <w:vAlign w:val="center"/>
          </w:tcPr>
          <w:p w14:paraId="3EC5C02C">
            <w:pPr>
              <w:pStyle w:val="7"/>
              <w:keepNext w:val="0"/>
              <w:keepLines w:val="0"/>
              <w:pageBreakBefore w:val="0"/>
              <w:widowControl/>
              <w:shd w:val="clear"/>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包预算（元）</w:t>
            </w:r>
          </w:p>
        </w:tc>
        <w:tc>
          <w:tcPr>
            <w:tcW w:w="1995" w:type="dxa"/>
            <w:vAlign w:val="center"/>
          </w:tcPr>
          <w:p w14:paraId="5B11E851">
            <w:pPr>
              <w:pStyle w:val="7"/>
              <w:keepNext w:val="0"/>
              <w:keepLines w:val="0"/>
              <w:pageBreakBefore w:val="0"/>
              <w:widowControl/>
              <w:shd w:val="clear"/>
              <w:kinsoku w:val="0"/>
              <w:wordWrap/>
              <w:overflowPunct/>
              <w:topLinePunct w:val="0"/>
              <w:autoSpaceDE w:val="0"/>
              <w:autoSpaceDN w:val="0"/>
              <w:bidi w:val="0"/>
              <w:adjustRightInd w:val="0"/>
              <w:snapToGrid w:val="0"/>
              <w:spacing w:before="14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包最高限价</w:t>
            </w:r>
            <w:r>
              <w:rPr>
                <w:rFonts w:hint="eastAsia" w:ascii="宋体" w:hAnsi="宋体" w:eastAsia="宋体" w:cs="宋体"/>
                <w:color w:val="auto"/>
                <w:spacing w:val="-1"/>
                <w:sz w:val="24"/>
                <w:szCs w:val="24"/>
                <w:highlight w:val="none"/>
              </w:rPr>
              <w:t>（元）</w:t>
            </w:r>
          </w:p>
        </w:tc>
        <w:tc>
          <w:tcPr>
            <w:tcW w:w="1877" w:type="dxa"/>
            <w:vAlign w:val="center"/>
          </w:tcPr>
          <w:p w14:paraId="65DFB80B">
            <w:pPr>
              <w:pStyle w:val="7"/>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是否专门面向</w:t>
            </w:r>
          </w:p>
          <w:p w14:paraId="590A49D6">
            <w:pPr>
              <w:pStyle w:val="7"/>
              <w:keepNext w:val="0"/>
              <w:keepLines w:val="0"/>
              <w:pageBreakBefore w:val="0"/>
              <w:widowControl/>
              <w:shd w:val="clear"/>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中小企业</w:t>
            </w:r>
          </w:p>
        </w:tc>
      </w:tr>
      <w:tr w14:paraId="4784F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606" w:type="dxa"/>
            <w:vAlign w:val="center"/>
          </w:tcPr>
          <w:p w14:paraId="1C8B5E99">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1972" w:type="dxa"/>
            <w:vAlign w:val="center"/>
          </w:tcPr>
          <w:p w14:paraId="29B8D273">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12"/>
              <w:jc w:val="center"/>
              <w:textAlignment w:val="baseline"/>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position w:val="1"/>
                <w:sz w:val="24"/>
                <w:szCs w:val="24"/>
                <w:highlight w:val="none"/>
                <w:lang w:eastAsia="zh-CN"/>
                <w14:textFill>
                  <w14:solidFill>
                    <w14:schemeClr w14:val="tx1"/>
                  </w14:solidFill>
                </w14:textFill>
              </w:rPr>
              <w:t>YZCG-DLC2026</w:t>
            </w:r>
            <w:r>
              <w:rPr>
                <w:rFonts w:hint="eastAsia" w:cs="宋体"/>
                <w:color w:val="000000" w:themeColor="text1"/>
                <w:position w:val="1"/>
                <w:sz w:val="24"/>
                <w:szCs w:val="24"/>
                <w:highlight w:val="none"/>
                <w:lang w:val="en-US" w:eastAsia="zh-CN"/>
                <w14:textFill>
                  <w14:solidFill>
                    <w14:schemeClr w14:val="tx1"/>
                  </w14:solidFill>
                </w14:textFill>
              </w:rPr>
              <w:t>089</w:t>
            </w:r>
          </w:p>
        </w:tc>
        <w:tc>
          <w:tcPr>
            <w:tcW w:w="1667" w:type="dxa"/>
            <w:vAlign w:val="center"/>
          </w:tcPr>
          <w:p w14:paraId="326E4877">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0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第一标段</w:t>
            </w:r>
          </w:p>
        </w:tc>
        <w:tc>
          <w:tcPr>
            <w:tcW w:w="1859" w:type="dxa"/>
            <w:vAlign w:val="center"/>
          </w:tcPr>
          <w:p w14:paraId="4BDECA08">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995" w:type="dxa"/>
            <w:vAlign w:val="center"/>
          </w:tcPr>
          <w:p w14:paraId="3CF975B7">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877" w:type="dxa"/>
            <w:vAlign w:val="center"/>
          </w:tcPr>
          <w:p w14:paraId="4925BB08">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34"/>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是</w:t>
            </w:r>
          </w:p>
        </w:tc>
      </w:tr>
      <w:tr w14:paraId="5489B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606" w:type="dxa"/>
            <w:vAlign w:val="center"/>
          </w:tcPr>
          <w:p w14:paraId="384B4940">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jc w:val="center"/>
              <w:textAlignment w:val="baseline"/>
              <w:rPr>
                <w:rFonts w:hint="eastAsia" w:ascii="宋体" w:hAnsi="宋体" w:eastAsia="宋体" w:cs="宋体"/>
                <w:color w:val="auto"/>
                <w:position w:val="1"/>
                <w:sz w:val="24"/>
                <w:szCs w:val="24"/>
                <w:highlight w:val="none"/>
                <w:lang w:val="en-US" w:eastAsia="zh-CN"/>
              </w:rPr>
            </w:pPr>
            <w:r>
              <w:rPr>
                <w:rFonts w:hint="eastAsia" w:ascii="宋体" w:hAnsi="宋体" w:eastAsia="宋体" w:cs="宋体"/>
                <w:color w:val="auto"/>
                <w:position w:val="1"/>
                <w:sz w:val="24"/>
                <w:szCs w:val="24"/>
                <w:highlight w:val="none"/>
                <w:lang w:val="en-US" w:eastAsia="zh-CN"/>
              </w:rPr>
              <w:t>2</w:t>
            </w:r>
          </w:p>
        </w:tc>
        <w:tc>
          <w:tcPr>
            <w:tcW w:w="1972" w:type="dxa"/>
            <w:vAlign w:val="center"/>
          </w:tcPr>
          <w:p w14:paraId="37309B80">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12"/>
              <w:jc w:val="center"/>
              <w:textAlignment w:val="baseline"/>
              <w:rPr>
                <w:rFonts w:hint="default" w:ascii="宋体" w:hAnsi="宋体" w:eastAsia="宋体" w:cs="宋体"/>
                <w:color w:val="000000" w:themeColor="text1"/>
                <w:position w:val="1"/>
                <w:sz w:val="24"/>
                <w:szCs w:val="24"/>
                <w:highlight w:val="none"/>
                <w:lang w:val="en-US" w:eastAsia="zh-CN"/>
                <w14:textFill>
                  <w14:solidFill>
                    <w14:schemeClr w14:val="tx1"/>
                  </w14:solidFill>
                </w14:textFill>
              </w:rPr>
            </w:pPr>
            <w:r>
              <w:rPr>
                <w:rFonts w:hint="eastAsia" w:ascii="宋体" w:hAnsi="宋体" w:eastAsia="宋体" w:cs="宋体"/>
                <w:color w:val="000000" w:themeColor="text1"/>
                <w:position w:val="1"/>
                <w:sz w:val="24"/>
                <w:szCs w:val="24"/>
                <w:highlight w:val="none"/>
                <w:lang w:eastAsia="zh-CN"/>
                <w14:textFill>
                  <w14:solidFill>
                    <w14:schemeClr w14:val="tx1"/>
                  </w14:solidFill>
                </w14:textFill>
              </w:rPr>
              <w:t>YZCG-DLC2026</w:t>
            </w:r>
            <w:r>
              <w:rPr>
                <w:rFonts w:hint="eastAsia" w:cs="宋体"/>
                <w:color w:val="000000" w:themeColor="text1"/>
                <w:position w:val="1"/>
                <w:sz w:val="24"/>
                <w:szCs w:val="24"/>
                <w:highlight w:val="none"/>
                <w:lang w:val="en-US" w:eastAsia="zh-CN"/>
                <w14:textFill>
                  <w14:solidFill>
                    <w14:schemeClr w14:val="tx1"/>
                  </w14:solidFill>
                </w14:textFill>
              </w:rPr>
              <w:t>089</w:t>
            </w:r>
          </w:p>
        </w:tc>
        <w:tc>
          <w:tcPr>
            <w:tcW w:w="1667" w:type="dxa"/>
            <w:vAlign w:val="center"/>
          </w:tcPr>
          <w:p w14:paraId="3B255D64">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06"/>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7"/>
                <w:sz w:val="24"/>
                <w:szCs w:val="24"/>
                <w:highlight w:val="none"/>
                <w:lang w:val="en-US" w:eastAsia="zh-CN"/>
              </w:rPr>
              <w:t>二</w:t>
            </w:r>
            <w:r>
              <w:rPr>
                <w:rFonts w:hint="eastAsia" w:ascii="宋体" w:hAnsi="宋体" w:eastAsia="宋体" w:cs="宋体"/>
                <w:color w:val="auto"/>
                <w:spacing w:val="7"/>
                <w:sz w:val="24"/>
                <w:szCs w:val="24"/>
                <w:highlight w:val="none"/>
              </w:rPr>
              <w:t>标段</w:t>
            </w:r>
          </w:p>
        </w:tc>
        <w:tc>
          <w:tcPr>
            <w:tcW w:w="1859" w:type="dxa"/>
            <w:vAlign w:val="center"/>
          </w:tcPr>
          <w:p w14:paraId="3C8AA478">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995" w:type="dxa"/>
            <w:vAlign w:val="center"/>
          </w:tcPr>
          <w:p w14:paraId="4E4FECC1">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877" w:type="dxa"/>
            <w:vAlign w:val="center"/>
          </w:tcPr>
          <w:p w14:paraId="785D7968">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34"/>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r>
      <w:tr w14:paraId="7ADFE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606" w:type="dxa"/>
            <w:vAlign w:val="center"/>
          </w:tcPr>
          <w:p w14:paraId="7E5BDF6E">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jc w:val="center"/>
              <w:textAlignment w:val="baseline"/>
              <w:rPr>
                <w:rFonts w:hint="eastAsia" w:ascii="宋体" w:hAnsi="宋体" w:eastAsia="宋体" w:cs="宋体"/>
                <w:color w:val="auto"/>
                <w:position w:val="1"/>
                <w:sz w:val="24"/>
                <w:szCs w:val="24"/>
                <w:highlight w:val="none"/>
                <w:lang w:val="en-US" w:eastAsia="zh-CN"/>
              </w:rPr>
            </w:pPr>
            <w:r>
              <w:rPr>
                <w:rFonts w:hint="eastAsia" w:ascii="宋体" w:hAnsi="宋体" w:eastAsia="宋体" w:cs="宋体"/>
                <w:color w:val="auto"/>
                <w:position w:val="1"/>
                <w:sz w:val="24"/>
                <w:szCs w:val="24"/>
                <w:highlight w:val="none"/>
                <w:lang w:val="en-US" w:eastAsia="zh-CN"/>
              </w:rPr>
              <w:t>3</w:t>
            </w:r>
          </w:p>
        </w:tc>
        <w:tc>
          <w:tcPr>
            <w:tcW w:w="1972" w:type="dxa"/>
            <w:vAlign w:val="center"/>
          </w:tcPr>
          <w:p w14:paraId="7AC78E98">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12"/>
              <w:jc w:val="center"/>
              <w:textAlignment w:val="baseline"/>
              <w:rPr>
                <w:rFonts w:hint="default" w:ascii="宋体" w:hAnsi="宋体" w:eastAsia="宋体" w:cs="宋体"/>
                <w:color w:val="000000" w:themeColor="text1"/>
                <w:position w:val="1"/>
                <w:sz w:val="24"/>
                <w:szCs w:val="24"/>
                <w:highlight w:val="none"/>
                <w:lang w:val="en-US" w:eastAsia="zh-CN"/>
                <w14:textFill>
                  <w14:solidFill>
                    <w14:schemeClr w14:val="tx1"/>
                  </w14:solidFill>
                </w14:textFill>
              </w:rPr>
            </w:pPr>
            <w:r>
              <w:rPr>
                <w:rFonts w:hint="eastAsia" w:ascii="宋体" w:hAnsi="宋体" w:eastAsia="宋体" w:cs="宋体"/>
                <w:color w:val="000000" w:themeColor="text1"/>
                <w:position w:val="1"/>
                <w:sz w:val="24"/>
                <w:szCs w:val="24"/>
                <w:highlight w:val="none"/>
                <w:lang w:eastAsia="zh-CN"/>
                <w14:textFill>
                  <w14:solidFill>
                    <w14:schemeClr w14:val="tx1"/>
                  </w14:solidFill>
                </w14:textFill>
              </w:rPr>
              <w:t>YZCG-DLC2026</w:t>
            </w:r>
            <w:r>
              <w:rPr>
                <w:rFonts w:hint="eastAsia" w:cs="宋体"/>
                <w:color w:val="000000" w:themeColor="text1"/>
                <w:position w:val="1"/>
                <w:sz w:val="24"/>
                <w:szCs w:val="24"/>
                <w:highlight w:val="none"/>
                <w:lang w:val="en-US" w:eastAsia="zh-CN"/>
                <w14:textFill>
                  <w14:solidFill>
                    <w14:schemeClr w14:val="tx1"/>
                  </w14:solidFill>
                </w14:textFill>
              </w:rPr>
              <w:t>089</w:t>
            </w:r>
          </w:p>
        </w:tc>
        <w:tc>
          <w:tcPr>
            <w:tcW w:w="1667" w:type="dxa"/>
            <w:vAlign w:val="center"/>
          </w:tcPr>
          <w:p w14:paraId="1B988D79">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06"/>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7"/>
                <w:sz w:val="24"/>
                <w:szCs w:val="24"/>
                <w:highlight w:val="none"/>
                <w:lang w:val="en-US" w:eastAsia="zh-CN"/>
              </w:rPr>
              <w:t>三</w:t>
            </w:r>
            <w:r>
              <w:rPr>
                <w:rFonts w:hint="eastAsia" w:ascii="宋体" w:hAnsi="宋体" w:eastAsia="宋体" w:cs="宋体"/>
                <w:color w:val="auto"/>
                <w:spacing w:val="7"/>
                <w:sz w:val="24"/>
                <w:szCs w:val="24"/>
                <w:highlight w:val="none"/>
              </w:rPr>
              <w:t>标段</w:t>
            </w:r>
          </w:p>
        </w:tc>
        <w:tc>
          <w:tcPr>
            <w:tcW w:w="1859" w:type="dxa"/>
            <w:vAlign w:val="center"/>
          </w:tcPr>
          <w:p w14:paraId="48310CD5">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995" w:type="dxa"/>
            <w:vAlign w:val="center"/>
          </w:tcPr>
          <w:p w14:paraId="0ED0186B">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877" w:type="dxa"/>
            <w:vAlign w:val="center"/>
          </w:tcPr>
          <w:p w14:paraId="65DD165C">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34"/>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r>
      <w:tr w14:paraId="5AD45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606" w:type="dxa"/>
            <w:vAlign w:val="center"/>
          </w:tcPr>
          <w:p w14:paraId="56A70F5D">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jc w:val="center"/>
              <w:textAlignment w:val="baseline"/>
              <w:rPr>
                <w:rFonts w:hint="eastAsia" w:ascii="宋体" w:hAnsi="宋体" w:eastAsia="宋体" w:cs="宋体"/>
                <w:color w:val="auto"/>
                <w:position w:val="1"/>
                <w:sz w:val="24"/>
                <w:szCs w:val="24"/>
                <w:highlight w:val="none"/>
                <w:lang w:val="en-US" w:eastAsia="zh-CN"/>
              </w:rPr>
            </w:pPr>
            <w:r>
              <w:rPr>
                <w:rFonts w:hint="eastAsia" w:ascii="宋体" w:hAnsi="宋体" w:eastAsia="宋体" w:cs="宋体"/>
                <w:color w:val="auto"/>
                <w:position w:val="1"/>
                <w:sz w:val="24"/>
                <w:szCs w:val="24"/>
                <w:highlight w:val="none"/>
                <w:lang w:val="en-US" w:eastAsia="zh-CN"/>
              </w:rPr>
              <w:t>4</w:t>
            </w:r>
          </w:p>
        </w:tc>
        <w:tc>
          <w:tcPr>
            <w:tcW w:w="1972" w:type="dxa"/>
            <w:vAlign w:val="center"/>
          </w:tcPr>
          <w:p w14:paraId="70F0B4CC">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12"/>
              <w:jc w:val="center"/>
              <w:textAlignment w:val="baseline"/>
              <w:rPr>
                <w:rFonts w:hint="default" w:ascii="宋体" w:hAnsi="宋体" w:eastAsia="宋体" w:cs="宋体"/>
                <w:color w:val="000000" w:themeColor="text1"/>
                <w:position w:val="1"/>
                <w:sz w:val="24"/>
                <w:szCs w:val="24"/>
                <w:highlight w:val="none"/>
                <w:lang w:val="en-US" w:eastAsia="zh-CN"/>
                <w14:textFill>
                  <w14:solidFill>
                    <w14:schemeClr w14:val="tx1"/>
                  </w14:solidFill>
                </w14:textFill>
              </w:rPr>
            </w:pPr>
            <w:r>
              <w:rPr>
                <w:rFonts w:hint="eastAsia" w:ascii="宋体" w:hAnsi="宋体" w:eastAsia="宋体" w:cs="宋体"/>
                <w:color w:val="000000" w:themeColor="text1"/>
                <w:position w:val="1"/>
                <w:sz w:val="24"/>
                <w:szCs w:val="24"/>
                <w:highlight w:val="none"/>
                <w:lang w:eastAsia="zh-CN"/>
                <w14:textFill>
                  <w14:solidFill>
                    <w14:schemeClr w14:val="tx1"/>
                  </w14:solidFill>
                </w14:textFill>
              </w:rPr>
              <w:t>YZCG-DLC2026</w:t>
            </w:r>
            <w:r>
              <w:rPr>
                <w:rFonts w:hint="eastAsia" w:cs="宋体"/>
                <w:color w:val="000000" w:themeColor="text1"/>
                <w:position w:val="1"/>
                <w:sz w:val="24"/>
                <w:szCs w:val="24"/>
                <w:highlight w:val="none"/>
                <w:lang w:val="en-US" w:eastAsia="zh-CN"/>
                <w14:textFill>
                  <w14:solidFill>
                    <w14:schemeClr w14:val="tx1"/>
                  </w14:solidFill>
                </w14:textFill>
              </w:rPr>
              <w:t>089</w:t>
            </w:r>
          </w:p>
        </w:tc>
        <w:tc>
          <w:tcPr>
            <w:tcW w:w="1667" w:type="dxa"/>
            <w:vAlign w:val="center"/>
          </w:tcPr>
          <w:p w14:paraId="6BDF8FF7">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06"/>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7"/>
                <w:sz w:val="24"/>
                <w:szCs w:val="24"/>
                <w:highlight w:val="none"/>
                <w:lang w:val="en-US" w:eastAsia="zh-CN"/>
              </w:rPr>
              <w:t>四</w:t>
            </w:r>
            <w:r>
              <w:rPr>
                <w:rFonts w:hint="eastAsia" w:ascii="宋体" w:hAnsi="宋体" w:eastAsia="宋体" w:cs="宋体"/>
                <w:color w:val="auto"/>
                <w:spacing w:val="7"/>
                <w:sz w:val="24"/>
                <w:szCs w:val="24"/>
                <w:highlight w:val="none"/>
              </w:rPr>
              <w:t>标段</w:t>
            </w:r>
          </w:p>
        </w:tc>
        <w:tc>
          <w:tcPr>
            <w:tcW w:w="1859" w:type="dxa"/>
            <w:vAlign w:val="center"/>
          </w:tcPr>
          <w:p w14:paraId="68ED68F8">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995" w:type="dxa"/>
            <w:vAlign w:val="center"/>
          </w:tcPr>
          <w:p w14:paraId="1EB41712">
            <w:pPr>
              <w:keepNext w:val="0"/>
              <w:keepLines w:val="0"/>
              <w:pageBreakBefore w:val="0"/>
              <w:widowControl/>
              <w:suppressLineNumbers w:val="0"/>
              <w:wordWrap/>
              <w:overflowPunct/>
              <w:topLinePunct w:val="0"/>
              <w:bidi w:val="0"/>
              <w:spacing w:line="520" w:lineRule="exact"/>
              <w:jc w:val="center"/>
              <w:textAlignment w:val="center"/>
              <w:rPr>
                <w:rFonts w:hint="eastAsia" w:ascii="宋体" w:hAnsi="宋体" w:eastAsia="宋体" w:cs="宋体"/>
                <w:color w:val="auto"/>
                <w:spacing w:val="5"/>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330240.00</w:t>
            </w:r>
          </w:p>
        </w:tc>
        <w:tc>
          <w:tcPr>
            <w:tcW w:w="1877" w:type="dxa"/>
            <w:vAlign w:val="center"/>
          </w:tcPr>
          <w:p w14:paraId="6F7B06BA">
            <w:pPr>
              <w:keepNext w:val="0"/>
              <w:keepLines w:val="0"/>
              <w:pageBreakBefore w:val="0"/>
              <w:widowControl/>
              <w:shd w:val="clear"/>
              <w:kinsoku w:val="0"/>
              <w:wordWrap/>
              <w:overflowPunct/>
              <w:topLinePunct w:val="0"/>
              <w:autoSpaceDE w:val="0"/>
              <w:autoSpaceDN w:val="0"/>
              <w:bidi w:val="0"/>
              <w:adjustRightInd w:val="0"/>
              <w:snapToGrid w:val="0"/>
              <w:spacing w:before="210" w:line="520" w:lineRule="exact"/>
              <w:ind w:left="334"/>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r>
    </w:tbl>
    <w:p w14:paraId="1F16E899">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p>
    <w:p w14:paraId="0EFC1A0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p>
    <w:p w14:paraId="53B7C0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val="en-US" w:eastAsia="zh-CN"/>
        </w:rPr>
        <w:t>5.</w:t>
      </w:r>
      <w:r>
        <w:rPr>
          <w:rFonts w:hint="eastAsia" w:ascii="宋体" w:hAnsi="宋体" w:eastAsia="宋体" w:cs="宋体"/>
          <w:color w:val="auto"/>
          <w:spacing w:val="9"/>
          <w:sz w:val="24"/>
          <w:szCs w:val="24"/>
          <w:highlight w:val="none"/>
          <w:lang w:eastAsia="zh-CN"/>
        </w:rPr>
        <w:t>采购需求（包括但不限于标的的名称、数量、简要技术需求或服务要求等</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z w:val="24"/>
          <w:szCs w:val="24"/>
          <w:highlight w:val="none"/>
          <w:lang w:val="zh-CN" w:eastAsia="zh-CN"/>
        </w:rPr>
        <w:t>完成</w:t>
      </w:r>
      <w:r>
        <w:rPr>
          <w:rFonts w:hint="eastAsia" w:ascii="宋体" w:hAnsi="宋体" w:eastAsia="宋体" w:cs="宋体"/>
          <w:color w:val="auto"/>
          <w:spacing w:val="7"/>
          <w:sz w:val="24"/>
          <w:szCs w:val="24"/>
          <w:highlight w:val="none"/>
          <w:lang w:val="en-US" w:eastAsia="zh-CN"/>
        </w:rPr>
        <w:t>禹州市自然资源和规划局2026年补充耕地土壤污染状况调查项目</w:t>
      </w:r>
      <w:r>
        <w:rPr>
          <w:rFonts w:hint="eastAsia" w:ascii="宋体" w:hAnsi="宋体" w:eastAsia="宋体" w:cs="宋体"/>
          <w:color w:val="auto"/>
          <w:sz w:val="24"/>
          <w:szCs w:val="24"/>
          <w:highlight w:val="none"/>
          <w:lang w:val="zh-CN" w:eastAsia="zh-CN"/>
        </w:rPr>
        <w:t>，并提交相关成果报告，具体内容详见磋商文件第二章‘采购需求’。</w:t>
      </w:r>
    </w:p>
    <w:p w14:paraId="4B54CEF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6.</w:t>
      </w:r>
      <w:r>
        <w:rPr>
          <w:rFonts w:hint="eastAsia" w:ascii="宋体" w:hAnsi="宋体" w:eastAsia="宋体" w:cs="宋体"/>
          <w:color w:val="auto"/>
          <w:spacing w:val="5"/>
          <w:sz w:val="24"/>
          <w:szCs w:val="24"/>
          <w:highlight w:val="none"/>
          <w:lang w:eastAsia="zh-CN"/>
        </w:rPr>
        <w:t>合同履行期限：合同签订之后</w:t>
      </w:r>
      <w:r>
        <w:rPr>
          <w:rFonts w:hint="eastAsia" w:ascii="宋体" w:hAnsi="宋体" w:eastAsia="宋体" w:cs="宋体"/>
          <w:color w:val="auto"/>
          <w:spacing w:val="5"/>
          <w:sz w:val="24"/>
          <w:szCs w:val="24"/>
          <w:highlight w:val="none"/>
          <w:lang w:val="en-US" w:eastAsia="zh-CN"/>
        </w:rPr>
        <w:t>15</w:t>
      </w:r>
      <w:r>
        <w:rPr>
          <w:rFonts w:hint="eastAsia" w:ascii="宋体" w:hAnsi="宋体" w:eastAsia="宋体" w:cs="宋体"/>
          <w:color w:val="auto"/>
          <w:spacing w:val="5"/>
          <w:sz w:val="24"/>
          <w:szCs w:val="24"/>
          <w:highlight w:val="none"/>
          <w:lang w:eastAsia="zh-CN"/>
        </w:rPr>
        <w:t>日内完成成果编制并通过验收。</w:t>
      </w:r>
    </w:p>
    <w:p w14:paraId="0F940E2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7.</w:t>
      </w:r>
      <w:r>
        <w:rPr>
          <w:rFonts w:hint="eastAsia" w:ascii="宋体" w:hAnsi="宋体" w:eastAsia="宋体" w:cs="宋体"/>
          <w:color w:val="auto"/>
          <w:spacing w:val="5"/>
          <w:sz w:val="24"/>
          <w:szCs w:val="24"/>
          <w:highlight w:val="none"/>
          <w:lang w:eastAsia="zh-CN"/>
        </w:rPr>
        <w:t>服务要求：符合国家、省、市相关规定及行业要求。</w:t>
      </w:r>
    </w:p>
    <w:p w14:paraId="3DEED74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8.</w:t>
      </w:r>
      <w:r>
        <w:rPr>
          <w:rFonts w:hint="eastAsia" w:ascii="宋体" w:hAnsi="宋体" w:eastAsia="宋体" w:cs="宋体"/>
          <w:color w:val="auto"/>
          <w:spacing w:val="5"/>
          <w:sz w:val="24"/>
          <w:szCs w:val="24"/>
          <w:highlight w:val="none"/>
          <w:lang w:eastAsia="zh-CN"/>
        </w:rPr>
        <w:t>履行地点：禹州市</w:t>
      </w:r>
      <w:r>
        <w:rPr>
          <w:rFonts w:hint="eastAsia" w:ascii="宋体" w:hAnsi="宋体" w:eastAsia="宋体" w:cs="宋体"/>
          <w:color w:val="auto"/>
          <w:sz w:val="24"/>
          <w:szCs w:val="24"/>
          <w:highlight w:val="none"/>
          <w:lang w:val="zh-CN" w:eastAsia="zh-CN"/>
        </w:rPr>
        <w:t>。</w:t>
      </w:r>
    </w:p>
    <w:p w14:paraId="0EC505E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val="en-US" w:eastAsia="zh-CN"/>
        </w:rPr>
        <w:t>9.</w:t>
      </w:r>
      <w:r>
        <w:rPr>
          <w:rFonts w:hint="eastAsia" w:ascii="宋体" w:hAnsi="宋体" w:eastAsia="宋体" w:cs="宋体"/>
          <w:color w:val="auto"/>
          <w:spacing w:val="8"/>
          <w:sz w:val="24"/>
          <w:szCs w:val="24"/>
          <w:highlight w:val="none"/>
          <w:lang w:eastAsia="zh-CN"/>
        </w:rPr>
        <w:t>本项目是否接受联合体投标：否</w:t>
      </w:r>
      <w:bookmarkStart w:id="0" w:name="_GoBack"/>
      <w:bookmarkEnd w:id="0"/>
    </w:p>
    <w:p w14:paraId="37810DBF">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val="en-US" w:eastAsia="zh-CN"/>
        </w:rPr>
        <w:t>10.</w:t>
      </w:r>
      <w:r>
        <w:rPr>
          <w:rFonts w:hint="eastAsia" w:ascii="宋体" w:hAnsi="宋体" w:eastAsia="宋体" w:cs="宋体"/>
          <w:color w:val="auto"/>
          <w:spacing w:val="8"/>
          <w:sz w:val="24"/>
          <w:szCs w:val="24"/>
          <w:highlight w:val="none"/>
          <w:lang w:eastAsia="zh-CN"/>
        </w:rPr>
        <w:t>是否接受进口产品：否</w:t>
      </w:r>
    </w:p>
    <w:p w14:paraId="6CF91826">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lang w:eastAsia="zh-CN"/>
        </w:rPr>
        <w:t>11.是否专门面向中小企业：</w:t>
      </w:r>
      <w:r>
        <w:rPr>
          <w:rFonts w:hint="eastAsia" w:ascii="宋体" w:hAnsi="宋体" w:eastAsia="宋体" w:cs="宋体"/>
          <w:color w:val="auto"/>
          <w:spacing w:val="8"/>
          <w:sz w:val="24"/>
          <w:szCs w:val="24"/>
          <w:highlight w:val="none"/>
          <w:lang w:val="en-US" w:eastAsia="zh-CN"/>
        </w:rPr>
        <w:t>是</w:t>
      </w:r>
    </w:p>
    <w:p w14:paraId="2B2059C0">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3"/>
          <w:sz w:val="28"/>
          <w:szCs w:val="28"/>
          <w:highlight w:val="none"/>
          <w:lang w:eastAsia="zh-CN"/>
        </w:rPr>
        <w:t>二、申请人资格要求：</w:t>
      </w:r>
    </w:p>
    <w:p w14:paraId="131FDC9D">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1.满足《中华人民共和国政府采购法》第二十二条规定。</w:t>
      </w:r>
    </w:p>
    <w:p w14:paraId="485F3FE9">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2.落实政府采购政策满足的资格要求：</w:t>
      </w:r>
    </w:p>
    <w:p w14:paraId="3C10AD0A">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7"/>
          <w:sz w:val="24"/>
          <w:szCs w:val="24"/>
          <w:highlight w:val="none"/>
          <w:lang w:eastAsia="zh-CN"/>
        </w:rPr>
        <w:t>本项目落实节约能源、保护环境、扶持不发达地区和少数民族地区、促进中小企业、监</w:t>
      </w:r>
      <w:r>
        <w:rPr>
          <w:rFonts w:hint="eastAsia" w:ascii="宋体" w:hAnsi="宋体" w:eastAsia="宋体" w:cs="宋体"/>
          <w:color w:val="auto"/>
          <w:spacing w:val="9"/>
          <w:sz w:val="24"/>
          <w:szCs w:val="24"/>
          <w:highlight w:val="none"/>
          <w:lang w:eastAsia="zh-CN"/>
        </w:rPr>
        <w:t>狱企业发展等政府采购政策。</w:t>
      </w:r>
    </w:p>
    <w:p w14:paraId="75850051">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left="0" w:firstLine="512" w:firstLineChars="200"/>
        <w:textAlignment w:val="baseline"/>
        <w:rPr>
          <w:rFonts w:hint="default"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lang w:eastAsia="zh-CN"/>
        </w:rPr>
        <w:t>本项目</w:t>
      </w:r>
      <w:r>
        <w:rPr>
          <w:rFonts w:hint="eastAsia" w:ascii="宋体" w:hAnsi="宋体" w:eastAsia="宋体" w:cs="宋体"/>
          <w:color w:val="auto"/>
          <w:spacing w:val="8"/>
          <w:sz w:val="24"/>
          <w:szCs w:val="24"/>
          <w:highlight w:val="none"/>
          <w:lang w:val="en-US" w:eastAsia="zh-CN"/>
        </w:rPr>
        <w:t>的特定资格要求</w:t>
      </w:r>
      <w:r>
        <w:rPr>
          <w:rFonts w:hint="eastAsia" w:ascii="宋体" w:hAnsi="宋体" w:eastAsia="宋体" w:cs="宋体"/>
          <w:color w:val="auto"/>
          <w:spacing w:val="8"/>
          <w:sz w:val="24"/>
          <w:szCs w:val="24"/>
          <w:highlight w:val="none"/>
          <w:lang w:eastAsia="zh-CN"/>
        </w:rPr>
        <w:t>：供应商须具备相关行政主管部门颁发的有效的检验检测机构资质认定证书。</w:t>
      </w:r>
    </w:p>
    <w:p w14:paraId="562688E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pacing w:val="8"/>
          <w:sz w:val="28"/>
          <w:szCs w:val="28"/>
          <w:highlight w:val="none"/>
          <w:lang w:eastAsia="zh-CN"/>
          <w14:textFill>
            <w14:solidFill>
              <w14:schemeClr w14:val="tx1"/>
            </w14:solidFill>
          </w14:textFill>
        </w:rPr>
        <w:t>三、获取采购文件</w:t>
      </w:r>
    </w:p>
    <w:p w14:paraId="1F5EA6B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snapToGrid w:val="0"/>
          <w:color w:val="000000" w:themeColor="text1"/>
          <w:position w:val="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1.时间：</w:t>
      </w:r>
      <w:r>
        <w:rPr>
          <w:rFonts w:hint="eastAsia" w:ascii="宋体" w:hAnsi="宋体" w:eastAsia="宋体" w:cs="宋体"/>
          <w:snapToGrid w:val="0"/>
          <w:color w:val="000000" w:themeColor="text1"/>
          <w:position w:val="1"/>
          <w:sz w:val="24"/>
          <w:szCs w:val="24"/>
          <w:highlight w:val="none"/>
          <w:lang w:val="en-US" w:eastAsia="zh-CN" w:bidi="ar-SA"/>
          <w14:textFill>
            <w14:solidFill>
              <w14:schemeClr w14:val="tx1"/>
            </w14:solidFill>
          </w14:textFill>
        </w:rPr>
        <w:t>2026年9月10日至2026年9月21日，每天上午00:00至12:00，下午12:01至23:59（北京时间，法定节假日除外）</w:t>
      </w:r>
    </w:p>
    <w:p w14:paraId="0D2F6992">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2.地点：磋商响应截止时间前均可登录《全国公共资源交易平台（河南省·许昌市）》（下文所述“全国公共资源交易平台（河南省•许昌市）”的地址均为</w:t>
      </w:r>
      <w:r>
        <w:rPr>
          <w:rFonts w:hint="eastAsia" w:ascii="宋体" w:hAnsi="宋体" w:eastAsia="宋体" w:cs="宋体"/>
          <w:color w:val="auto"/>
          <w:sz w:val="24"/>
          <w:szCs w:val="24"/>
          <w:highlight w:val="none"/>
          <w:lang w:eastAsia="zh-CN"/>
        </w:rPr>
        <w:fldChar w:fldCharType="begin"/>
      </w:r>
      <w:r>
        <w:rPr>
          <w:rFonts w:hint="eastAsia" w:ascii="宋体" w:hAnsi="宋体" w:eastAsia="宋体" w:cs="宋体"/>
          <w:color w:val="auto"/>
          <w:sz w:val="24"/>
          <w:szCs w:val="24"/>
          <w:highlight w:val="none"/>
          <w:lang w:eastAsia="zh-CN"/>
        </w:rPr>
        <w:instrText xml:space="preserve"> HYPERLINK "https://ggzy.xuchang.gov.cn" </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lang w:eastAsia="zh-CN"/>
        </w:rPr>
        <w:t>https://ggzy.xuchang.gov.cn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z w:val="24"/>
          <w:szCs w:val="24"/>
          <w:highlight w:val="none"/>
          <w:lang w:eastAsia="zh-CN"/>
        </w:rPr>
        <w:t>）“供应商登录”入口自行免费下载竞争性磋商文件。</w:t>
      </w:r>
    </w:p>
    <w:p w14:paraId="6EF1AF6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3.方式：网上自行下载</w:t>
      </w:r>
    </w:p>
    <w:p w14:paraId="48E2C015">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4.售价：0元</w:t>
      </w:r>
    </w:p>
    <w:p w14:paraId="3DEFD25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四、响应文件提交</w:t>
      </w:r>
    </w:p>
    <w:p w14:paraId="34658FAD">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snapToGrid w:val="0"/>
          <w:color w:val="000000" w:themeColor="text1"/>
          <w:position w:val="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1.截止时间：</w:t>
      </w:r>
      <w:r>
        <w:rPr>
          <w:rFonts w:hint="eastAsia" w:ascii="宋体" w:hAnsi="宋体" w:eastAsia="宋体" w:cs="宋体"/>
          <w:snapToGrid w:val="0"/>
          <w:color w:val="000000" w:themeColor="text1"/>
          <w:position w:val="1"/>
          <w:sz w:val="24"/>
          <w:szCs w:val="24"/>
          <w:highlight w:val="none"/>
          <w:lang w:val="en-US" w:eastAsia="zh-CN" w:bidi="ar-SA"/>
          <w14:textFill>
            <w14:solidFill>
              <w14:schemeClr w14:val="tx1"/>
            </w14:solidFill>
          </w14:textFill>
        </w:rPr>
        <w:t>2026年9月21日08时30分（北京时间）</w:t>
      </w:r>
    </w:p>
    <w:p w14:paraId="3745B68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2.地点：本项目为全流程电子化交易项目，供应商须提交电子响应文件。</w:t>
      </w:r>
    </w:p>
    <w:p w14:paraId="0878AC0B">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186CE8A8">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五、响应文件开启</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p>
    <w:p w14:paraId="2526338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1.时间：</w:t>
      </w:r>
      <w:r>
        <w:rPr>
          <w:rFonts w:hint="eastAsia" w:ascii="宋体" w:hAnsi="宋体" w:eastAsia="宋体" w:cs="宋体"/>
          <w:snapToGrid w:val="0"/>
          <w:color w:val="000000" w:themeColor="text1"/>
          <w:position w:val="1"/>
          <w:sz w:val="24"/>
          <w:szCs w:val="24"/>
          <w:highlight w:val="none"/>
          <w:lang w:val="en-US" w:eastAsia="zh-CN" w:bidi="ar-SA"/>
          <w14:textFill>
            <w14:solidFill>
              <w14:schemeClr w14:val="tx1"/>
            </w14:solidFill>
          </w14:textFill>
        </w:rPr>
        <w:t>2026年9月21日08时30分（北京时间）</w:t>
      </w:r>
    </w:p>
    <w:p w14:paraId="02C03330">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地点：供应商进入“全国公共资源交易平台（河南省•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421F22DF">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六、发布公告的媒介及公告期限</w:t>
      </w:r>
    </w:p>
    <w:p w14:paraId="693A59A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本次公告在《河南省政府采购网》</w:t>
      </w:r>
      <w:r>
        <w:rPr>
          <w:rFonts w:hint="eastAsia" w:ascii="宋体" w:hAnsi="宋体" w:eastAsia="宋体" w:cs="宋体"/>
          <w:color w:val="auto"/>
          <w:sz w:val="24"/>
          <w:szCs w:val="24"/>
          <w:highlight w:val="none"/>
        </w:rPr>
        <w:t>《许昌市政府采购网》</w:t>
      </w:r>
      <w:r>
        <w:rPr>
          <w:rFonts w:hint="eastAsia" w:ascii="宋体" w:hAnsi="宋体" w:eastAsia="宋体" w:cs="宋体"/>
          <w:color w:val="auto"/>
          <w:sz w:val="24"/>
          <w:szCs w:val="24"/>
          <w:highlight w:val="none"/>
          <w:lang w:val="zh-CN" w:eastAsia="zh-CN"/>
        </w:rPr>
        <w:t>《全国公共资源交易平台（河南省·许昌市）》上发布。公告期限为三个工作日。</w:t>
      </w:r>
    </w:p>
    <w:p w14:paraId="1E635A1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七、其他补充事宜</w:t>
      </w:r>
    </w:p>
    <w:p w14:paraId="648358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1.监督单位：禹州市政府采购监督管理办公室</w:t>
      </w:r>
    </w:p>
    <w:p w14:paraId="1DEAF3A6">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2.电话：0374-8112523</w:t>
      </w:r>
    </w:p>
    <w:p w14:paraId="0723BE9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480" w:firstLineChars="200"/>
        <w:textAlignment w:val="baseline"/>
        <w:rPr>
          <w:rFonts w:hint="default" w:ascii="宋体" w:hAnsi="宋体" w:eastAsia="宋体" w:cs="宋体"/>
          <w:snapToGrid w:val="0"/>
          <w:color w:val="0000FF"/>
          <w:position w:val="1"/>
          <w:sz w:val="24"/>
          <w:szCs w:val="24"/>
          <w:highlight w:val="none"/>
          <w:lang w:val="en-US" w:eastAsia="zh-CN" w:bidi="ar-SA"/>
        </w:rPr>
      </w:pPr>
      <w:r>
        <w:rPr>
          <w:rFonts w:hint="eastAsia" w:ascii="宋体" w:hAnsi="宋体" w:eastAsia="宋体" w:cs="宋体"/>
          <w:color w:val="auto"/>
          <w:sz w:val="24"/>
          <w:szCs w:val="24"/>
          <w:highlight w:val="none"/>
          <w:lang w:eastAsia="zh-CN"/>
        </w:rPr>
        <w:t>3.项目编号以本磋商文件中的采购编号为准，采购编号：</w:t>
      </w:r>
      <w:r>
        <w:rPr>
          <w:rFonts w:hint="eastAsia" w:ascii="宋体" w:hAnsi="宋体" w:eastAsia="宋体" w:cs="宋体"/>
          <w:b w:val="0"/>
          <w:bCs w:val="0"/>
          <w:snapToGrid w:val="0"/>
          <w:color w:val="000000" w:themeColor="text1"/>
          <w:position w:val="1"/>
          <w:sz w:val="24"/>
          <w:szCs w:val="24"/>
          <w:highlight w:val="none"/>
          <w:lang w:val="en-US" w:eastAsia="zh-CN" w:bidi="ar-SA"/>
          <w14:textFill>
            <w14:solidFill>
              <w14:schemeClr w14:val="tx1"/>
            </w14:solidFill>
          </w14:textFill>
        </w:rPr>
        <w:t>YZCG-DLC2026089</w:t>
      </w:r>
    </w:p>
    <w:p w14:paraId="2F3D508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textAlignment w:val="baseline"/>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八、凡对本次招标提出询问，请按照以下方式联系</w:t>
      </w:r>
    </w:p>
    <w:p w14:paraId="488BC8DA">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 xml:space="preserve">1.采购人信息 </w:t>
      </w:r>
    </w:p>
    <w:p w14:paraId="59BCA5FB">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en-US" w:eastAsia="zh-CN"/>
        </w:rPr>
        <w:t>名称</w:t>
      </w:r>
      <w:r>
        <w:rPr>
          <w:rFonts w:hint="eastAsia" w:ascii="宋体" w:hAnsi="宋体" w:eastAsia="宋体" w:cs="宋体"/>
          <w:color w:val="auto"/>
          <w:spacing w:val="9"/>
          <w:sz w:val="24"/>
          <w:szCs w:val="24"/>
          <w:highlight w:val="none"/>
          <w:lang w:val="zh-CN" w:eastAsia="zh-CN"/>
        </w:rPr>
        <w:t>：禹州市自然资源和规划局</w:t>
      </w:r>
    </w:p>
    <w:p w14:paraId="5FBA5A9D">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地址：禹州市禹王大道东段103号</w:t>
      </w:r>
    </w:p>
    <w:p w14:paraId="2742BBF7">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联系人：</w:t>
      </w:r>
      <w:r>
        <w:rPr>
          <w:rFonts w:hint="eastAsia" w:ascii="宋体" w:hAnsi="宋体" w:eastAsia="宋体" w:cs="宋体"/>
          <w:color w:val="auto"/>
          <w:spacing w:val="9"/>
          <w:sz w:val="24"/>
          <w:szCs w:val="24"/>
          <w:highlight w:val="none"/>
          <w:lang w:val="en-US" w:eastAsia="zh-CN"/>
        </w:rPr>
        <w:t>陈先生</w:t>
      </w:r>
    </w:p>
    <w:p w14:paraId="52DDE5E6">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snapToGrid w:val="0"/>
          <w:color w:val="auto"/>
          <w:spacing w:val="9"/>
          <w:sz w:val="24"/>
          <w:szCs w:val="24"/>
          <w:highlight w:val="none"/>
          <w:lang w:val="en-US" w:eastAsia="zh-CN" w:bidi="ar-SA"/>
        </w:rPr>
      </w:pPr>
      <w:r>
        <w:rPr>
          <w:rFonts w:hint="eastAsia" w:ascii="宋体" w:hAnsi="宋体" w:eastAsia="宋体" w:cs="宋体"/>
          <w:color w:val="auto"/>
          <w:spacing w:val="9"/>
          <w:sz w:val="24"/>
          <w:szCs w:val="24"/>
          <w:highlight w:val="none"/>
          <w:lang w:val="zh-CN" w:eastAsia="zh-CN"/>
        </w:rPr>
        <w:t>联系电话：</w:t>
      </w:r>
      <w:r>
        <w:rPr>
          <w:rFonts w:hint="eastAsia" w:ascii="宋体" w:hAnsi="宋体" w:eastAsia="宋体" w:cs="宋体"/>
          <w:snapToGrid w:val="0"/>
          <w:color w:val="auto"/>
          <w:spacing w:val="9"/>
          <w:sz w:val="24"/>
          <w:szCs w:val="24"/>
          <w:highlight w:val="none"/>
          <w:lang w:val="zh-CN" w:eastAsia="zh-CN" w:bidi="ar-SA"/>
        </w:rPr>
        <w:t>18803990098</w:t>
      </w:r>
    </w:p>
    <w:p w14:paraId="6B8C6239">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采购代理机构信息</w:t>
      </w:r>
    </w:p>
    <w:p w14:paraId="19F0E52A">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名称：</w:t>
      </w:r>
      <w:r>
        <w:rPr>
          <w:rFonts w:hint="eastAsia" w:ascii="宋体" w:hAnsi="宋体" w:eastAsia="宋体" w:cs="宋体"/>
          <w:color w:val="auto"/>
          <w:sz w:val="24"/>
          <w:szCs w:val="24"/>
          <w:highlight w:val="none"/>
          <w:lang w:val="en-US" w:eastAsia="en-US"/>
        </w:rPr>
        <w:t>锐驰项目管理有限公司</w:t>
      </w:r>
    </w:p>
    <w:p w14:paraId="07ACC15F">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地址：</w:t>
      </w:r>
      <w:r>
        <w:rPr>
          <w:rFonts w:hint="eastAsia" w:ascii="宋体" w:hAnsi="宋体" w:eastAsia="宋体" w:cs="宋体"/>
          <w:color w:val="auto"/>
          <w:sz w:val="24"/>
          <w:szCs w:val="24"/>
          <w:highlight w:val="none"/>
          <w:lang w:val="en-US" w:eastAsia="en-US"/>
        </w:rPr>
        <w:t>禹州市恒达阳光城御园中街</w:t>
      </w:r>
    </w:p>
    <w:p w14:paraId="6C45B479">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联系人：</w:t>
      </w:r>
      <w:r>
        <w:rPr>
          <w:rFonts w:hint="eastAsia" w:ascii="宋体" w:hAnsi="宋体" w:eastAsia="宋体" w:cs="宋体"/>
          <w:color w:val="auto"/>
          <w:spacing w:val="9"/>
          <w:sz w:val="24"/>
          <w:szCs w:val="24"/>
          <w:highlight w:val="none"/>
          <w:lang w:val="en-US" w:eastAsia="zh-CN"/>
        </w:rPr>
        <w:t>刘女士</w:t>
      </w:r>
    </w:p>
    <w:p w14:paraId="5E4FA3F1">
      <w:pPr>
        <w:keepNext w:val="0"/>
        <w:keepLines w:val="0"/>
        <w:pageBreakBefore w:val="0"/>
        <w:widowControl/>
        <w:shd w:val="clea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联系方式：</w:t>
      </w:r>
      <w:r>
        <w:rPr>
          <w:rFonts w:hint="eastAsia" w:ascii="宋体" w:hAnsi="宋体" w:eastAsia="宋体" w:cs="宋体"/>
          <w:color w:val="auto"/>
          <w:sz w:val="24"/>
          <w:szCs w:val="24"/>
          <w:highlight w:val="none"/>
          <w:lang w:val="en-US" w:eastAsia="en-US"/>
        </w:rPr>
        <w:t>18039991161</w:t>
      </w:r>
    </w:p>
    <w:p w14:paraId="58E5DC5C">
      <w:pPr>
        <w:keepNext w:val="0"/>
        <w:keepLines w:val="0"/>
        <w:pageBreakBefore w:val="0"/>
        <w:wordWrap/>
        <w:overflowPunct/>
        <w:topLinePunct w:val="0"/>
        <w:bidi w:val="0"/>
        <w:spacing w:line="520" w:lineRule="exact"/>
        <w:rPr>
          <w:rFonts w:hint="eastAsia" w:asciiTheme="minorEastAsia" w:hAnsiTheme="minorEastAsia" w:eastAsiaTheme="minorEastAsia" w:cstheme="minorEastAsia"/>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80B956"/>
    <w:multiLevelType w:val="singleLevel"/>
    <w:tmpl w:val="6980B95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B39FD"/>
    <w:rsid w:val="0AE65A61"/>
    <w:rsid w:val="0EC93FD5"/>
    <w:rsid w:val="1BCA4CC3"/>
    <w:rsid w:val="210B39FD"/>
    <w:rsid w:val="3BA62820"/>
    <w:rsid w:val="400748A9"/>
    <w:rsid w:val="5DBA7948"/>
    <w:rsid w:val="64413475"/>
    <w:rsid w:val="65A16BD6"/>
    <w:rsid w:val="6C9D4628"/>
    <w:rsid w:val="70D86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after="120" w:afterLines="0" w:afterAutospacing="0"/>
    </w:pPr>
  </w:style>
  <w:style w:type="character" w:styleId="6">
    <w:name w:val="Hyperlink"/>
    <w:basedOn w:val="5"/>
    <w:unhideWhenUsed/>
    <w:qFormat/>
    <w:uiPriority w:val="0"/>
    <w:rPr>
      <w:color w:val="000000"/>
      <w:u w:val="none"/>
    </w:r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character" w:customStyle="1" w:styleId="8">
    <w:name w:val="NormalCharacter"/>
    <w:qFormat/>
    <w:uiPriority w:val="0"/>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41148dec-49dc-400a-97e4-24866fd738f1</errorID>
      <errorWord>)</errorWord>
      <group>L1_Format</group>
      <groupName>格式问题</groupName>
      <ability>L2_HalfPunc_CN</ability>
      <abilityName>全半角问题</abilityName>
      <candidateList>
        <item>）</item>
      </candidateList>
      <explain>文本全半角错误。</explain>
      <paraID>3A08D7E1</paraID>
      <start>78</start>
      <end>79</end>
      <status>ignored</status>
      <modifiedWord/>
      <trackRevisions>false</trackRevisions>
    </reviewItem>
    <reviewItem>
      <errorID>dc827543-9f9c-4103-b7c8-112659083385</errorID>
      <errorWord>日至2026年</errorWord>
      <group>L1_Word</group>
      <groupName>字词问题</groupName>
      <ability>L2_Typo</ability>
      <abilityName>字词错误</abilityName>
      <candidateList>
        <item>日起至2026年</item>
      </candidateList>
      <explain/>
      <paraID>1F5EA6BD</paraID>
      <start>14</start>
      <end>21</end>
      <status>ignored</status>
      <modifiedWord/>
      <trackRevisions>false</trackRevisions>
    </reviewItem>
  </reviewItems>
  <config/>
</contractReview>
</file>

<file path=customXml/itemProps1.xml><?xml version="1.0" encoding="utf-8"?>
<ds:datastoreItem xmlns:ds="http://schemas.openxmlformats.org/officeDocument/2006/customXml" ds:itemID="{f6d66328-6b8e-48ed-b704-39630425ca6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1491</Words>
  <Characters>1878</Characters>
  <Lines>0</Lines>
  <Paragraphs>0</Paragraphs>
  <TotalTime>21</TotalTime>
  <ScaleCrop>false</ScaleCrop>
  <LinksUpToDate>false</LinksUpToDate>
  <CharactersWithSpaces>1883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2026-09-07T03:49:00Z</dcterms:created>
  <dc:creator>陕西方得项目管理有限公司:杨春明</dc:creator>
  <cp:lastModifiedBy>Administrator</cp:lastModifiedBy>
  <cp:lastPrinted>2026-09-09T09:14:00Z</cp:lastPrinted>
  <dcterms:modified xsi:type="dcterms:W3CDTF">2026-09-10T08:31:13Z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894E4703598F4EF2A67959A577BBCD70_11</vt:lpwstr>
  </property>
  <property fmtid="{D5CDD505-2E9C-101B-9397-08002B2CF9AE}" pid="4" name="KSOTemplateDocerSaveRecord">
    <vt:lpwstr>eyJoZGlkIjoiNDMwNzgzZWM1ZDE1ZTNlMWYzNTk1OWY0ZGM5YzdjZGQifQ==</vt:lpwstr>
  </property>
</Properties>
</file>