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324DE">
      <w:pPr>
        <w:jc w:val="center"/>
        <w:rPr>
          <w:rFonts w:hint="eastAsia" w:ascii="宋体" w:hAnsi="宋体" w:cs="宋体"/>
          <w:b/>
          <w:color w:val="auto"/>
          <w:sz w:val="52"/>
          <w:szCs w:val="52"/>
          <w:highlight w:val="none"/>
          <w:lang w:eastAsia="zh-CN"/>
        </w:rPr>
      </w:pPr>
    </w:p>
    <w:p w14:paraId="7C6731D3">
      <w:pPr>
        <w:pStyle w:val="3"/>
        <w:rPr>
          <w:rFonts w:hint="eastAsia"/>
          <w:lang w:eastAsia="zh-CN"/>
        </w:rPr>
      </w:pPr>
    </w:p>
    <w:p w14:paraId="7DEE60B8">
      <w:pPr>
        <w:pStyle w:val="114"/>
        <w:jc w:val="center"/>
        <w:rPr>
          <w:color w:val="auto"/>
          <w:sz w:val="24"/>
          <w:szCs w:val="32"/>
          <w:highlight w:val="none"/>
        </w:rPr>
      </w:pPr>
      <w:r>
        <w:rPr>
          <w:rFonts w:hint="eastAsia" w:ascii="宋体" w:hAnsi="宋体" w:cs="宋体"/>
          <w:b/>
          <w:color w:val="auto"/>
          <w:sz w:val="52"/>
          <w:szCs w:val="52"/>
          <w:highlight w:val="none"/>
          <w:lang w:eastAsia="zh-CN"/>
        </w:rPr>
        <w:t>新县国土空间规划中绿化造林空间适宜性评价项目</w:t>
      </w:r>
    </w:p>
    <w:p w14:paraId="586A4CDD">
      <w:pPr>
        <w:spacing w:before="120" w:beforeLines="50" w:after="120" w:afterLines="50" w:line="160" w:lineRule="atLeast"/>
        <w:jc w:val="center"/>
        <w:rPr>
          <w:rFonts w:hint="eastAsia" w:ascii="宋体" w:hAnsi="宋体"/>
          <w:b/>
          <w:color w:val="auto"/>
          <w:spacing w:val="20"/>
          <w:sz w:val="72"/>
          <w:szCs w:val="72"/>
          <w:highlight w:val="none"/>
        </w:rPr>
      </w:pPr>
    </w:p>
    <w:p w14:paraId="6C6BFB59">
      <w:pPr>
        <w:spacing w:before="120" w:beforeLines="50" w:after="120" w:afterLines="50" w:line="160" w:lineRule="atLeast"/>
        <w:jc w:val="center"/>
        <w:rPr>
          <w:rFonts w:hint="eastAsia" w:ascii="宋体" w:hAnsi="宋体"/>
          <w:b/>
          <w:color w:val="auto"/>
          <w:spacing w:val="20"/>
          <w:sz w:val="72"/>
          <w:szCs w:val="72"/>
          <w:highlight w:val="none"/>
        </w:rPr>
      </w:pPr>
    </w:p>
    <w:p w14:paraId="377DF9FF">
      <w:pPr>
        <w:spacing w:before="120" w:beforeLines="50" w:after="120" w:afterLines="50" w:line="160" w:lineRule="atLeast"/>
        <w:jc w:val="center"/>
        <w:rPr>
          <w:rFonts w:hint="eastAsia" w:ascii="宋体" w:hAnsi="宋体"/>
          <w:b/>
          <w:color w:val="auto"/>
          <w:spacing w:val="20"/>
          <w:sz w:val="72"/>
          <w:szCs w:val="72"/>
          <w:highlight w:val="none"/>
        </w:rPr>
      </w:pPr>
      <w:r>
        <w:rPr>
          <w:rFonts w:hint="eastAsia" w:ascii="宋体" w:hAnsi="宋体"/>
          <w:b/>
          <w:color w:val="auto"/>
          <w:spacing w:val="20"/>
          <w:sz w:val="72"/>
          <w:szCs w:val="72"/>
          <w:highlight w:val="none"/>
        </w:rPr>
        <w:t>竞争性磋商文件</w:t>
      </w:r>
    </w:p>
    <w:p w14:paraId="27B329A7">
      <w:pPr>
        <w:pStyle w:val="2"/>
        <w:rPr>
          <w:color w:val="auto"/>
          <w:highlight w:val="none"/>
        </w:rPr>
      </w:pPr>
    </w:p>
    <w:p w14:paraId="6476B0C9">
      <w:pPr>
        <w:pStyle w:val="53"/>
        <w:ind w:firstLine="1687"/>
        <w:rPr>
          <w:color w:val="auto"/>
          <w:highlight w:val="none"/>
        </w:rPr>
      </w:pPr>
    </w:p>
    <w:p w14:paraId="2917B65E">
      <w:pPr>
        <w:spacing w:line="720" w:lineRule="auto"/>
        <w:jc w:val="center"/>
        <w:rPr>
          <w:rFonts w:ascii="宋体" w:hAnsi="宋体" w:cs="宋体"/>
          <w:b/>
          <w:color w:val="auto"/>
          <w:sz w:val="32"/>
          <w:szCs w:val="32"/>
          <w:highlight w:val="none"/>
        </w:rPr>
      </w:pPr>
    </w:p>
    <w:p w14:paraId="526FE355">
      <w:pPr>
        <w:pStyle w:val="52"/>
        <w:ind w:firstLine="0" w:firstLineChars="0"/>
        <w:jc w:val="center"/>
        <w:rPr>
          <w:color w:val="auto"/>
          <w:highlight w:val="none"/>
        </w:rPr>
      </w:pPr>
    </w:p>
    <w:p w14:paraId="5E814D6B">
      <w:pPr>
        <w:pStyle w:val="53"/>
        <w:ind w:left="0" w:leftChars="0" w:firstLine="0" w:firstLineChars="0"/>
        <w:jc w:val="center"/>
        <w:rPr>
          <w:color w:val="auto"/>
          <w:highlight w:val="none"/>
        </w:rPr>
      </w:pPr>
    </w:p>
    <w:p w14:paraId="2576997E">
      <w:pPr>
        <w:jc w:val="center"/>
        <w:rPr>
          <w:color w:val="auto"/>
          <w:highlight w:val="none"/>
        </w:rPr>
      </w:pPr>
    </w:p>
    <w:p w14:paraId="62984FD7">
      <w:pPr>
        <w:pStyle w:val="52"/>
        <w:ind w:firstLine="0" w:firstLineChars="0"/>
        <w:jc w:val="center"/>
        <w:rPr>
          <w:color w:val="auto"/>
          <w:highlight w:val="none"/>
        </w:rPr>
      </w:pPr>
    </w:p>
    <w:p w14:paraId="06F934AC">
      <w:pPr>
        <w:pStyle w:val="8"/>
        <w:jc w:val="center"/>
        <w:rPr>
          <w:color w:val="auto"/>
          <w:highlight w:val="none"/>
        </w:rPr>
      </w:pPr>
    </w:p>
    <w:p w14:paraId="0BC52653">
      <w:pPr>
        <w:pStyle w:val="52"/>
        <w:ind w:firstLine="0" w:firstLineChars="0"/>
        <w:rPr>
          <w:color w:val="auto"/>
          <w:highlight w:val="none"/>
        </w:rPr>
      </w:pPr>
    </w:p>
    <w:p w14:paraId="3A4A651F">
      <w:pPr>
        <w:pStyle w:val="8"/>
        <w:rPr>
          <w:color w:val="auto"/>
          <w:highlight w:val="none"/>
        </w:rPr>
      </w:pPr>
    </w:p>
    <w:p w14:paraId="262B28E9">
      <w:pPr>
        <w:pStyle w:val="8"/>
        <w:rPr>
          <w:color w:val="auto"/>
          <w:highlight w:val="none"/>
        </w:rPr>
      </w:pPr>
    </w:p>
    <w:p w14:paraId="198F38F5">
      <w:pPr>
        <w:keepNext w:val="0"/>
        <w:keepLines w:val="0"/>
        <w:pageBreakBefore w:val="0"/>
        <w:widowControl w:val="0"/>
        <w:kinsoku/>
        <w:wordWrap/>
        <w:overflowPunct/>
        <w:topLinePunct w:val="0"/>
        <w:autoSpaceDE/>
        <w:autoSpaceDN/>
        <w:bidi w:val="0"/>
        <w:adjustRightInd/>
        <w:snapToGrid/>
        <w:spacing w:line="480" w:lineRule="auto"/>
        <w:ind w:firstLine="1807" w:firstLineChars="500"/>
        <w:textAlignment w:val="auto"/>
        <w:rPr>
          <w:rFonts w:hint="eastAsia" w:ascii="宋体" w:hAnsi="宋体" w:cs="宋体"/>
          <w:b/>
          <w:color w:val="auto"/>
          <w:sz w:val="36"/>
          <w:szCs w:val="36"/>
          <w:highlight w:val="none"/>
          <w:lang w:eastAsia="zh-CN"/>
        </w:rPr>
      </w:pPr>
      <w:r>
        <w:rPr>
          <w:rFonts w:hint="eastAsia" w:ascii="宋体" w:hAnsi="宋体" w:cs="宋体"/>
          <w:b/>
          <w:color w:val="auto"/>
          <w:sz w:val="36"/>
          <w:szCs w:val="36"/>
          <w:highlight w:val="none"/>
        </w:rPr>
        <w:t>采   购   人：</w:t>
      </w:r>
      <w:r>
        <w:rPr>
          <w:rFonts w:hint="eastAsia" w:ascii="宋体" w:hAnsi="宋体" w:cs="宋体"/>
          <w:b/>
          <w:color w:val="auto"/>
          <w:sz w:val="36"/>
          <w:szCs w:val="36"/>
          <w:highlight w:val="none"/>
          <w:lang w:eastAsia="zh-CN"/>
        </w:rPr>
        <w:t>新县林业局</w:t>
      </w:r>
    </w:p>
    <w:p w14:paraId="46BB06AB">
      <w:pPr>
        <w:keepNext w:val="0"/>
        <w:keepLines w:val="0"/>
        <w:pageBreakBefore w:val="0"/>
        <w:widowControl w:val="0"/>
        <w:kinsoku/>
        <w:wordWrap/>
        <w:overflowPunct/>
        <w:topLinePunct w:val="0"/>
        <w:autoSpaceDE/>
        <w:autoSpaceDN/>
        <w:bidi w:val="0"/>
        <w:adjustRightInd/>
        <w:snapToGrid/>
        <w:spacing w:line="480" w:lineRule="auto"/>
        <w:ind w:firstLine="1807" w:firstLineChars="500"/>
        <w:textAlignment w:val="auto"/>
        <w:rPr>
          <w:rFonts w:hint="eastAsia" w:ascii="宋体" w:hAnsi="宋体" w:cs="宋体"/>
          <w:b/>
          <w:color w:val="auto"/>
          <w:sz w:val="36"/>
          <w:szCs w:val="36"/>
          <w:highlight w:val="none"/>
          <w:lang w:val="en-US" w:eastAsia="zh-CN"/>
        </w:rPr>
      </w:pPr>
      <w:r>
        <w:rPr>
          <w:rFonts w:hint="eastAsia" w:ascii="宋体" w:hAnsi="宋体" w:cs="宋体"/>
          <w:b/>
          <w:color w:val="auto"/>
          <w:sz w:val="36"/>
          <w:szCs w:val="36"/>
          <w:highlight w:val="none"/>
        </w:rPr>
        <w:t>采购代理机构：</w:t>
      </w:r>
      <w:r>
        <w:rPr>
          <w:rFonts w:hint="eastAsia" w:ascii="宋体" w:hAnsi="宋体" w:cs="宋体"/>
          <w:b/>
          <w:color w:val="auto"/>
          <w:sz w:val="36"/>
          <w:szCs w:val="36"/>
          <w:highlight w:val="none"/>
          <w:lang w:val="en-US" w:eastAsia="zh-CN"/>
        </w:rPr>
        <w:t>汇龙工程咨询有限公司</w:t>
      </w:r>
    </w:p>
    <w:p w14:paraId="1AE68AA6">
      <w:pPr>
        <w:keepNext w:val="0"/>
        <w:keepLines w:val="0"/>
        <w:pageBreakBefore w:val="0"/>
        <w:widowControl w:val="0"/>
        <w:kinsoku/>
        <w:wordWrap/>
        <w:overflowPunct/>
        <w:topLinePunct w:val="0"/>
        <w:autoSpaceDE/>
        <w:autoSpaceDN/>
        <w:bidi w:val="0"/>
        <w:adjustRightInd/>
        <w:snapToGrid/>
        <w:spacing w:line="480" w:lineRule="auto"/>
        <w:ind w:firstLine="1807" w:firstLineChars="500"/>
        <w:textAlignment w:val="auto"/>
        <w:rPr>
          <w:rFonts w:ascii="宋体" w:hAnsi="宋体" w:cs="宋体"/>
          <w:b/>
          <w:color w:val="auto"/>
          <w:sz w:val="36"/>
          <w:szCs w:val="36"/>
          <w:highlight w:val="none"/>
        </w:rPr>
      </w:pPr>
      <w:r>
        <w:rPr>
          <w:rFonts w:hint="eastAsia" w:ascii="宋体" w:hAnsi="宋体" w:cs="宋体"/>
          <w:b/>
          <w:color w:val="auto"/>
          <w:sz w:val="36"/>
          <w:szCs w:val="36"/>
          <w:highlight w:val="none"/>
        </w:rPr>
        <w:t>日        期：二〇二</w:t>
      </w:r>
      <w:r>
        <w:rPr>
          <w:rFonts w:hint="eastAsia" w:ascii="宋体" w:hAnsi="宋体" w:cs="宋体"/>
          <w:b/>
          <w:color w:val="auto"/>
          <w:sz w:val="36"/>
          <w:szCs w:val="36"/>
          <w:highlight w:val="none"/>
          <w:lang w:val="en-US" w:eastAsia="zh-CN"/>
        </w:rPr>
        <w:t>六</w:t>
      </w:r>
      <w:r>
        <w:rPr>
          <w:rFonts w:hint="eastAsia" w:ascii="宋体" w:hAnsi="宋体" w:cs="宋体"/>
          <w:b/>
          <w:color w:val="auto"/>
          <w:sz w:val="36"/>
          <w:szCs w:val="36"/>
          <w:highlight w:val="none"/>
        </w:rPr>
        <w:t>年</w:t>
      </w:r>
      <w:r>
        <w:rPr>
          <w:rFonts w:hint="eastAsia" w:ascii="宋体" w:hAnsi="宋体" w:cs="宋体"/>
          <w:b/>
          <w:color w:val="auto"/>
          <w:sz w:val="36"/>
          <w:szCs w:val="36"/>
          <w:highlight w:val="none"/>
          <w:lang w:val="en-US" w:eastAsia="zh-CN"/>
        </w:rPr>
        <w:t>七</w:t>
      </w:r>
      <w:r>
        <w:rPr>
          <w:rFonts w:hint="eastAsia" w:ascii="宋体" w:hAnsi="宋体" w:cs="宋体"/>
          <w:b/>
          <w:color w:val="auto"/>
          <w:sz w:val="36"/>
          <w:szCs w:val="36"/>
          <w:highlight w:val="none"/>
        </w:rPr>
        <w:t>月</w:t>
      </w:r>
    </w:p>
    <w:p w14:paraId="7023F50E">
      <w:pPr>
        <w:keepNext w:val="0"/>
        <w:keepLines w:val="0"/>
        <w:pageBreakBefore w:val="0"/>
        <w:widowControl w:val="0"/>
        <w:kinsoku/>
        <w:wordWrap/>
        <w:overflowPunct/>
        <w:topLinePunct w:val="0"/>
        <w:autoSpaceDE/>
        <w:autoSpaceDN/>
        <w:bidi w:val="0"/>
        <w:adjustRightInd/>
        <w:snapToGrid/>
        <w:spacing w:line="480" w:lineRule="auto"/>
        <w:textAlignment w:val="auto"/>
        <w:rPr>
          <w:rFonts w:ascii="宋体" w:hAnsi="宋体"/>
          <w:b/>
          <w:color w:val="auto"/>
          <w:sz w:val="40"/>
          <w:szCs w:val="40"/>
          <w:highlight w:val="none"/>
        </w:rPr>
        <w:sectPr>
          <w:headerReference r:id="rId4" w:type="first"/>
          <w:footerReference r:id="rId6" w:type="first"/>
          <w:headerReference r:id="rId3" w:type="default"/>
          <w:footerReference r:id="rId5" w:type="default"/>
          <w:pgSz w:w="11905" w:h="16838"/>
          <w:pgMar w:top="1247" w:right="1134" w:bottom="1247" w:left="1047" w:header="850" w:footer="720" w:gutter="0"/>
          <w:pgNumType w:fmt="decimal" w:chapStyle="1"/>
          <w:cols w:space="720" w:num="1"/>
          <w:docGrid w:linePitch="306" w:charSpace="0"/>
        </w:sectPr>
      </w:pPr>
    </w:p>
    <w:p w14:paraId="41033FAE">
      <w:pPr>
        <w:spacing w:line="400" w:lineRule="exact"/>
        <w:jc w:val="center"/>
        <w:rPr>
          <w:rFonts w:ascii="宋体" w:hAnsi="宋体"/>
          <w:b/>
          <w:color w:val="auto"/>
          <w:sz w:val="36"/>
          <w:szCs w:val="36"/>
          <w:highlight w:val="none"/>
        </w:rPr>
      </w:pPr>
      <w:r>
        <w:rPr>
          <w:rFonts w:hint="eastAsia" w:ascii="宋体" w:hAnsi="宋体"/>
          <w:b/>
          <w:color w:val="auto"/>
          <w:sz w:val="36"/>
          <w:szCs w:val="36"/>
          <w:highlight w:val="none"/>
        </w:rPr>
        <w:t>目    录</w:t>
      </w:r>
    </w:p>
    <w:p w14:paraId="11DD13CF">
      <w:pPr>
        <w:pStyle w:val="35"/>
        <w:tabs>
          <w:tab w:val="right" w:leader="dot" w:pos="9526"/>
        </w:tabs>
        <w:spacing w:line="600" w:lineRule="auto"/>
        <w:rPr>
          <w:rFonts w:ascii="宋体" w:hAnsi="宋体"/>
          <w:b/>
          <w:caps/>
          <w:color w:val="auto"/>
          <w:sz w:val="28"/>
          <w:szCs w:val="28"/>
          <w:highlight w:val="none"/>
        </w:rPr>
      </w:pPr>
      <w:r>
        <w:rPr>
          <w:rFonts w:ascii="宋体" w:hAnsi="宋体"/>
          <w:b/>
          <w:caps/>
          <w:color w:val="auto"/>
          <w:sz w:val="28"/>
          <w:szCs w:val="28"/>
          <w:highlight w:val="none"/>
        </w:rPr>
        <w:fldChar w:fldCharType="begin"/>
      </w:r>
      <w:r>
        <w:rPr>
          <w:rFonts w:ascii="宋体" w:hAnsi="宋体"/>
          <w:b/>
          <w:caps/>
          <w:color w:val="auto"/>
          <w:sz w:val="28"/>
          <w:szCs w:val="28"/>
          <w:highlight w:val="none"/>
        </w:rPr>
        <w:instrText xml:space="preserve"> TOC \o "1-2" \h \z \u </w:instrText>
      </w:r>
      <w:r>
        <w:rPr>
          <w:rFonts w:ascii="宋体" w:hAnsi="宋体"/>
          <w:b/>
          <w:caps/>
          <w:color w:val="auto"/>
          <w:sz w:val="28"/>
          <w:szCs w:val="28"/>
          <w:highlight w:val="none"/>
        </w:rPr>
        <w:fldChar w:fldCharType="separate"/>
      </w:r>
      <w:r>
        <w:rPr>
          <w:color w:val="auto"/>
          <w:highlight w:val="none"/>
        </w:rPr>
        <w:fldChar w:fldCharType="begin"/>
      </w:r>
      <w:r>
        <w:rPr>
          <w:color w:val="auto"/>
          <w:highlight w:val="none"/>
        </w:rPr>
        <w:instrText xml:space="preserve"> HYPERLINK \l "_Toc12611" </w:instrText>
      </w:r>
      <w:r>
        <w:rPr>
          <w:color w:val="auto"/>
          <w:highlight w:val="none"/>
        </w:rPr>
        <w:fldChar w:fldCharType="separate"/>
      </w:r>
      <w:r>
        <w:rPr>
          <w:rFonts w:hint="eastAsia" w:ascii="宋体" w:hAnsi="宋体"/>
          <w:b/>
          <w:caps/>
          <w:color w:val="auto"/>
          <w:sz w:val="28"/>
          <w:szCs w:val="28"/>
          <w:highlight w:val="none"/>
        </w:rPr>
        <w:t>第一章 竞争性磋商公告</w:t>
      </w:r>
      <w:r>
        <w:rPr>
          <w:rFonts w:ascii="宋体" w:hAnsi="宋体"/>
          <w:b/>
          <w:caps/>
          <w:color w:val="auto"/>
          <w:sz w:val="28"/>
          <w:szCs w:val="28"/>
          <w:highlight w:val="none"/>
        </w:rPr>
        <w:tab/>
      </w:r>
      <w:r>
        <w:rPr>
          <w:rFonts w:hint="eastAsia" w:ascii="宋体" w:hAnsi="宋体"/>
          <w:b/>
          <w:caps/>
          <w:color w:val="auto"/>
          <w:sz w:val="28"/>
          <w:szCs w:val="28"/>
          <w:highlight w:val="none"/>
        </w:rPr>
        <w:t>4</w:t>
      </w:r>
      <w:r>
        <w:rPr>
          <w:rFonts w:hint="eastAsia" w:ascii="宋体" w:hAnsi="宋体"/>
          <w:b/>
          <w:caps/>
          <w:color w:val="auto"/>
          <w:sz w:val="28"/>
          <w:szCs w:val="28"/>
          <w:highlight w:val="none"/>
        </w:rPr>
        <w:fldChar w:fldCharType="end"/>
      </w:r>
    </w:p>
    <w:p w14:paraId="39C24306">
      <w:pPr>
        <w:pStyle w:val="35"/>
        <w:tabs>
          <w:tab w:val="right" w:leader="dot" w:pos="9526"/>
        </w:tabs>
        <w:spacing w:line="600" w:lineRule="auto"/>
        <w:rPr>
          <w:rFonts w:ascii="宋体" w:hAnsi="宋体"/>
          <w:b/>
          <w:caps/>
          <w:color w:val="auto"/>
          <w:sz w:val="28"/>
          <w:szCs w:val="28"/>
          <w:highlight w:val="none"/>
        </w:rPr>
      </w:pPr>
      <w:r>
        <w:rPr>
          <w:color w:val="auto"/>
          <w:highlight w:val="none"/>
        </w:rPr>
        <w:fldChar w:fldCharType="begin"/>
      </w:r>
      <w:r>
        <w:rPr>
          <w:color w:val="auto"/>
          <w:highlight w:val="none"/>
        </w:rPr>
        <w:instrText xml:space="preserve"> HYPERLINK \l "_Toc9735" </w:instrText>
      </w:r>
      <w:r>
        <w:rPr>
          <w:color w:val="auto"/>
          <w:highlight w:val="none"/>
        </w:rPr>
        <w:fldChar w:fldCharType="separate"/>
      </w:r>
      <w:r>
        <w:rPr>
          <w:rFonts w:hint="eastAsia" w:ascii="宋体" w:hAnsi="宋体"/>
          <w:b/>
          <w:caps/>
          <w:color w:val="auto"/>
          <w:sz w:val="28"/>
          <w:szCs w:val="28"/>
          <w:highlight w:val="none"/>
        </w:rPr>
        <w:t>第二章 供应商须知</w:t>
      </w:r>
      <w:r>
        <w:rPr>
          <w:rFonts w:ascii="宋体" w:hAnsi="宋体"/>
          <w:b/>
          <w:caps/>
          <w:color w:val="auto"/>
          <w:sz w:val="28"/>
          <w:szCs w:val="28"/>
          <w:highlight w:val="none"/>
        </w:rPr>
        <w:tab/>
      </w:r>
      <w:r>
        <w:rPr>
          <w:rFonts w:ascii="宋体" w:hAnsi="宋体"/>
          <w:b/>
          <w:caps/>
          <w:color w:val="auto"/>
          <w:sz w:val="28"/>
          <w:szCs w:val="28"/>
          <w:highlight w:val="none"/>
        </w:rPr>
        <w:fldChar w:fldCharType="end"/>
      </w:r>
      <w:r>
        <w:rPr>
          <w:rFonts w:hint="eastAsia" w:ascii="宋体" w:hAnsi="宋体"/>
          <w:b/>
          <w:caps/>
          <w:color w:val="auto"/>
          <w:sz w:val="28"/>
          <w:szCs w:val="28"/>
          <w:highlight w:val="none"/>
        </w:rPr>
        <w:t>8</w:t>
      </w:r>
    </w:p>
    <w:p w14:paraId="3E13810A">
      <w:pPr>
        <w:pStyle w:val="35"/>
        <w:tabs>
          <w:tab w:val="right" w:leader="dot" w:pos="9526"/>
        </w:tabs>
        <w:spacing w:line="600" w:lineRule="auto"/>
        <w:rPr>
          <w:rFonts w:ascii="宋体" w:hAnsi="宋体"/>
          <w:b/>
          <w:caps/>
          <w:color w:val="auto"/>
          <w:sz w:val="28"/>
          <w:szCs w:val="28"/>
          <w:highlight w:val="none"/>
        </w:rPr>
      </w:pPr>
      <w:r>
        <w:rPr>
          <w:color w:val="auto"/>
          <w:highlight w:val="none"/>
        </w:rPr>
        <w:fldChar w:fldCharType="begin"/>
      </w:r>
      <w:r>
        <w:rPr>
          <w:color w:val="auto"/>
          <w:highlight w:val="none"/>
        </w:rPr>
        <w:instrText xml:space="preserve"> HYPERLINK \l "_Toc12661" </w:instrText>
      </w:r>
      <w:r>
        <w:rPr>
          <w:color w:val="auto"/>
          <w:highlight w:val="none"/>
        </w:rPr>
        <w:fldChar w:fldCharType="separate"/>
      </w:r>
      <w:r>
        <w:rPr>
          <w:rFonts w:hint="eastAsia" w:ascii="宋体" w:hAnsi="宋体"/>
          <w:b/>
          <w:caps/>
          <w:color w:val="auto"/>
          <w:sz w:val="28"/>
          <w:szCs w:val="28"/>
          <w:highlight w:val="none"/>
        </w:rPr>
        <w:t>第三章 评标办法（综合评分法）</w:t>
      </w:r>
      <w:r>
        <w:rPr>
          <w:rFonts w:ascii="宋体" w:hAnsi="宋体"/>
          <w:b/>
          <w:caps/>
          <w:color w:val="auto"/>
          <w:sz w:val="28"/>
          <w:szCs w:val="28"/>
          <w:highlight w:val="none"/>
        </w:rPr>
        <w:tab/>
      </w:r>
      <w:r>
        <w:rPr>
          <w:rFonts w:ascii="宋体" w:hAnsi="宋体"/>
          <w:b/>
          <w:caps/>
          <w:color w:val="auto"/>
          <w:sz w:val="28"/>
          <w:szCs w:val="28"/>
          <w:highlight w:val="none"/>
        </w:rPr>
        <w:fldChar w:fldCharType="begin"/>
      </w:r>
      <w:r>
        <w:rPr>
          <w:rFonts w:ascii="宋体" w:hAnsi="宋体"/>
          <w:b/>
          <w:caps/>
          <w:color w:val="auto"/>
          <w:sz w:val="28"/>
          <w:szCs w:val="28"/>
          <w:highlight w:val="none"/>
        </w:rPr>
        <w:instrText xml:space="preserve"> PAGEREF _Toc12661 </w:instrText>
      </w:r>
      <w:r>
        <w:rPr>
          <w:rFonts w:ascii="宋体" w:hAnsi="宋体"/>
          <w:b/>
          <w:caps/>
          <w:color w:val="auto"/>
          <w:sz w:val="28"/>
          <w:szCs w:val="28"/>
          <w:highlight w:val="none"/>
        </w:rPr>
        <w:fldChar w:fldCharType="separate"/>
      </w:r>
      <w:r>
        <w:rPr>
          <w:rFonts w:ascii="宋体" w:hAnsi="宋体"/>
          <w:b/>
          <w:caps/>
          <w:color w:val="auto"/>
          <w:sz w:val="28"/>
          <w:szCs w:val="28"/>
          <w:highlight w:val="none"/>
        </w:rPr>
        <w:t>21</w:t>
      </w:r>
      <w:r>
        <w:rPr>
          <w:rFonts w:ascii="宋体" w:hAnsi="宋体"/>
          <w:b/>
          <w:caps/>
          <w:color w:val="auto"/>
          <w:sz w:val="28"/>
          <w:szCs w:val="28"/>
          <w:highlight w:val="none"/>
        </w:rPr>
        <w:fldChar w:fldCharType="end"/>
      </w:r>
      <w:r>
        <w:rPr>
          <w:rFonts w:ascii="宋体" w:hAnsi="宋体"/>
          <w:b/>
          <w:caps/>
          <w:color w:val="auto"/>
          <w:sz w:val="28"/>
          <w:szCs w:val="28"/>
          <w:highlight w:val="none"/>
        </w:rPr>
        <w:fldChar w:fldCharType="end"/>
      </w:r>
    </w:p>
    <w:p w14:paraId="31EE3FD2">
      <w:pPr>
        <w:pStyle w:val="35"/>
        <w:tabs>
          <w:tab w:val="right" w:leader="dot" w:pos="9526"/>
        </w:tabs>
        <w:spacing w:line="600" w:lineRule="auto"/>
        <w:rPr>
          <w:rFonts w:hint="eastAsia" w:ascii="宋体" w:hAnsi="宋体" w:eastAsia="宋体"/>
          <w:b/>
          <w:caps/>
          <w:color w:val="auto"/>
          <w:sz w:val="28"/>
          <w:szCs w:val="28"/>
          <w:highlight w:val="none"/>
          <w:lang w:val="en-US" w:eastAsia="zh-CN"/>
        </w:rPr>
      </w:pPr>
      <w:r>
        <w:rPr>
          <w:color w:val="auto"/>
          <w:highlight w:val="none"/>
        </w:rPr>
        <w:fldChar w:fldCharType="begin"/>
      </w:r>
      <w:r>
        <w:rPr>
          <w:color w:val="auto"/>
          <w:highlight w:val="none"/>
        </w:rPr>
        <w:instrText xml:space="preserve"> HYPERLINK \l "_Toc1542" </w:instrText>
      </w:r>
      <w:r>
        <w:rPr>
          <w:color w:val="auto"/>
          <w:highlight w:val="none"/>
        </w:rPr>
        <w:fldChar w:fldCharType="separate"/>
      </w:r>
      <w:r>
        <w:rPr>
          <w:rFonts w:hint="eastAsia" w:ascii="宋体" w:hAnsi="宋体"/>
          <w:b/>
          <w:caps/>
          <w:color w:val="auto"/>
          <w:sz w:val="28"/>
          <w:szCs w:val="28"/>
          <w:highlight w:val="none"/>
        </w:rPr>
        <w:t>第四章 合同主要条款及格式</w:t>
      </w:r>
      <w:r>
        <w:rPr>
          <w:rFonts w:ascii="宋体" w:hAnsi="宋体"/>
          <w:b/>
          <w:caps/>
          <w:color w:val="auto"/>
          <w:sz w:val="28"/>
          <w:szCs w:val="28"/>
          <w:highlight w:val="none"/>
        </w:rPr>
        <w:tab/>
      </w:r>
      <w:r>
        <w:rPr>
          <w:rFonts w:ascii="宋体" w:hAnsi="宋体"/>
          <w:b/>
          <w:caps/>
          <w:color w:val="auto"/>
          <w:sz w:val="28"/>
          <w:szCs w:val="28"/>
          <w:highlight w:val="none"/>
        </w:rPr>
        <w:fldChar w:fldCharType="end"/>
      </w:r>
      <w:r>
        <w:rPr>
          <w:rFonts w:hint="eastAsia" w:ascii="宋体" w:hAnsi="宋体"/>
          <w:b/>
          <w:caps/>
          <w:color w:val="auto"/>
          <w:sz w:val="28"/>
          <w:szCs w:val="28"/>
          <w:highlight w:val="none"/>
        </w:rPr>
        <w:t>2</w:t>
      </w:r>
      <w:r>
        <w:rPr>
          <w:rFonts w:hint="eastAsia" w:ascii="宋体" w:hAnsi="宋体"/>
          <w:b/>
          <w:caps/>
          <w:color w:val="auto"/>
          <w:sz w:val="28"/>
          <w:szCs w:val="28"/>
          <w:highlight w:val="none"/>
          <w:lang w:val="en-US" w:eastAsia="zh-CN"/>
        </w:rPr>
        <w:t>8</w:t>
      </w:r>
    </w:p>
    <w:p w14:paraId="714890EC">
      <w:pPr>
        <w:pStyle w:val="35"/>
        <w:tabs>
          <w:tab w:val="right" w:leader="dot" w:pos="9526"/>
        </w:tabs>
        <w:spacing w:line="600" w:lineRule="auto"/>
        <w:rPr>
          <w:rFonts w:hint="default" w:ascii="宋体" w:hAnsi="宋体" w:eastAsia="宋体"/>
          <w:b/>
          <w:caps/>
          <w:color w:val="auto"/>
          <w:sz w:val="28"/>
          <w:szCs w:val="28"/>
          <w:highlight w:val="none"/>
          <w:lang w:val="en-US" w:eastAsia="zh-CN"/>
        </w:rPr>
      </w:pPr>
      <w:r>
        <w:rPr>
          <w:color w:val="auto"/>
          <w:highlight w:val="none"/>
        </w:rPr>
        <w:fldChar w:fldCharType="begin"/>
      </w:r>
      <w:r>
        <w:rPr>
          <w:color w:val="auto"/>
          <w:highlight w:val="none"/>
        </w:rPr>
        <w:instrText xml:space="preserve"> HYPERLINK \l "_Toc15720" </w:instrText>
      </w:r>
      <w:r>
        <w:rPr>
          <w:color w:val="auto"/>
          <w:highlight w:val="none"/>
        </w:rPr>
        <w:fldChar w:fldCharType="separate"/>
      </w:r>
      <w:r>
        <w:rPr>
          <w:rFonts w:hint="eastAsia" w:ascii="宋体" w:hAnsi="宋体"/>
          <w:b/>
          <w:caps/>
          <w:color w:val="auto"/>
          <w:sz w:val="28"/>
          <w:szCs w:val="28"/>
          <w:highlight w:val="none"/>
        </w:rPr>
        <w:t>第五章 采购内容及项目要求</w:t>
      </w:r>
      <w:r>
        <w:rPr>
          <w:rFonts w:ascii="宋体" w:hAnsi="宋体"/>
          <w:b/>
          <w:caps/>
          <w:color w:val="auto"/>
          <w:sz w:val="28"/>
          <w:szCs w:val="28"/>
          <w:highlight w:val="none"/>
        </w:rPr>
        <w:tab/>
      </w:r>
      <w:r>
        <w:rPr>
          <w:rFonts w:ascii="宋体" w:hAnsi="宋体"/>
          <w:b/>
          <w:caps/>
          <w:color w:val="auto"/>
          <w:sz w:val="28"/>
          <w:szCs w:val="28"/>
          <w:highlight w:val="none"/>
        </w:rPr>
        <w:fldChar w:fldCharType="end"/>
      </w:r>
      <w:r>
        <w:rPr>
          <w:rFonts w:hint="eastAsia" w:ascii="宋体" w:hAnsi="宋体"/>
          <w:b/>
          <w:caps/>
          <w:color w:val="auto"/>
          <w:sz w:val="28"/>
          <w:szCs w:val="28"/>
          <w:highlight w:val="none"/>
          <w:lang w:val="en-US" w:eastAsia="zh-CN"/>
        </w:rPr>
        <w:t>34</w:t>
      </w:r>
    </w:p>
    <w:p w14:paraId="38ACF67D">
      <w:pPr>
        <w:pStyle w:val="35"/>
        <w:tabs>
          <w:tab w:val="right" w:leader="dot" w:pos="9526"/>
        </w:tabs>
        <w:spacing w:line="600" w:lineRule="auto"/>
        <w:rPr>
          <w:rFonts w:hint="eastAsia" w:ascii="宋体" w:hAnsi="宋体" w:eastAsia="宋体"/>
          <w:b/>
          <w:caps/>
          <w:color w:val="auto"/>
          <w:sz w:val="28"/>
          <w:szCs w:val="28"/>
          <w:highlight w:val="none"/>
          <w:lang w:val="en-US" w:eastAsia="zh-CN"/>
        </w:rPr>
      </w:pPr>
      <w:r>
        <w:rPr>
          <w:color w:val="auto"/>
          <w:highlight w:val="none"/>
        </w:rPr>
        <w:fldChar w:fldCharType="begin"/>
      </w:r>
      <w:r>
        <w:rPr>
          <w:color w:val="auto"/>
          <w:highlight w:val="none"/>
        </w:rPr>
        <w:instrText xml:space="preserve"> HYPERLINK \l "_Toc15720" </w:instrText>
      </w:r>
      <w:r>
        <w:rPr>
          <w:color w:val="auto"/>
          <w:highlight w:val="none"/>
        </w:rPr>
        <w:fldChar w:fldCharType="separate"/>
      </w:r>
      <w:r>
        <w:rPr>
          <w:rFonts w:hint="eastAsia" w:ascii="宋体" w:hAnsi="宋体"/>
          <w:b/>
          <w:caps/>
          <w:color w:val="auto"/>
          <w:sz w:val="28"/>
          <w:szCs w:val="28"/>
          <w:highlight w:val="none"/>
        </w:rPr>
        <w:t>第六章 响应文件格式</w:t>
      </w:r>
      <w:r>
        <w:rPr>
          <w:rFonts w:ascii="宋体" w:hAnsi="宋体"/>
          <w:b/>
          <w:caps/>
          <w:color w:val="auto"/>
          <w:sz w:val="28"/>
          <w:szCs w:val="28"/>
          <w:highlight w:val="none"/>
        </w:rPr>
        <w:tab/>
      </w:r>
      <w:r>
        <w:rPr>
          <w:rFonts w:hint="eastAsia" w:ascii="宋体" w:hAnsi="宋体"/>
          <w:b/>
          <w:caps/>
          <w:color w:val="auto"/>
          <w:sz w:val="28"/>
          <w:szCs w:val="28"/>
          <w:highlight w:val="none"/>
        </w:rPr>
        <w:t>3</w:t>
      </w:r>
      <w:r>
        <w:rPr>
          <w:rFonts w:hint="eastAsia" w:ascii="宋体" w:hAnsi="宋体"/>
          <w:b/>
          <w:caps/>
          <w:color w:val="auto"/>
          <w:sz w:val="28"/>
          <w:szCs w:val="28"/>
          <w:highlight w:val="none"/>
        </w:rPr>
        <w:fldChar w:fldCharType="end"/>
      </w:r>
      <w:r>
        <w:rPr>
          <w:rFonts w:ascii="宋体" w:hAnsi="宋体"/>
          <w:b/>
          <w:caps/>
          <w:color w:val="auto"/>
          <w:sz w:val="28"/>
          <w:szCs w:val="28"/>
          <w:highlight w:val="none"/>
        </w:rPr>
        <w:fldChar w:fldCharType="end"/>
      </w:r>
      <w:r>
        <w:rPr>
          <w:rFonts w:hint="eastAsia" w:ascii="宋体" w:hAnsi="宋体"/>
          <w:b/>
          <w:caps/>
          <w:color w:val="auto"/>
          <w:sz w:val="28"/>
          <w:szCs w:val="28"/>
          <w:highlight w:val="none"/>
          <w:lang w:val="en-US" w:eastAsia="zh-CN"/>
        </w:rPr>
        <w:t>5</w:t>
      </w:r>
    </w:p>
    <w:p w14:paraId="7000A237">
      <w:pPr>
        <w:pStyle w:val="35"/>
        <w:tabs>
          <w:tab w:val="right" w:leader="dot" w:pos="9526"/>
        </w:tabs>
        <w:spacing w:line="600" w:lineRule="auto"/>
        <w:rPr>
          <w:rFonts w:ascii="宋体" w:hAnsi="宋体"/>
          <w:b/>
          <w:caps/>
          <w:color w:val="auto"/>
          <w:sz w:val="28"/>
          <w:szCs w:val="28"/>
          <w:highlight w:val="none"/>
        </w:rPr>
      </w:pPr>
    </w:p>
    <w:p w14:paraId="4BD6F874">
      <w:pPr>
        <w:pStyle w:val="421"/>
        <w:jc w:val="center"/>
        <w:rPr>
          <w:rFonts w:cs="微软雅黑"/>
          <w:bCs/>
          <w:color w:val="auto"/>
          <w:spacing w:val="14"/>
          <w:sz w:val="44"/>
          <w:szCs w:val="44"/>
          <w:highlight w:val="none"/>
        </w:rPr>
        <w:sectPr>
          <w:headerReference r:id="rId7" w:type="default"/>
          <w:footerReference r:id="rId8" w:type="default"/>
          <w:pgSz w:w="11905" w:h="16838"/>
          <w:pgMar w:top="1247" w:right="1134" w:bottom="1247" w:left="1247" w:header="850" w:footer="720" w:gutter="0"/>
          <w:pgNumType w:fmt="decimal" w:start="1" w:chapStyle="1"/>
          <w:cols w:space="720" w:num="1"/>
          <w:docGrid w:linePitch="380" w:charSpace="0"/>
        </w:sectPr>
      </w:pPr>
      <w:bookmarkStart w:id="0" w:name="_Toc414956948"/>
      <w:bookmarkStart w:id="1" w:name="_Toc12611"/>
    </w:p>
    <w:p w14:paraId="3E2FF963">
      <w:pPr>
        <w:pStyle w:val="421"/>
        <w:jc w:val="center"/>
        <w:rPr>
          <w:rFonts w:cs="微软雅黑"/>
          <w:bCs/>
          <w:color w:val="auto"/>
          <w:spacing w:val="14"/>
          <w:sz w:val="44"/>
          <w:szCs w:val="44"/>
          <w:highlight w:val="none"/>
        </w:rPr>
      </w:pPr>
      <w:r>
        <w:rPr>
          <w:rFonts w:hint="eastAsia" w:cs="微软雅黑"/>
          <w:bCs/>
          <w:color w:val="auto"/>
          <w:spacing w:val="14"/>
          <w:sz w:val="44"/>
          <w:szCs w:val="44"/>
          <w:highlight w:val="none"/>
        </w:rPr>
        <w:t>特别提示</w:t>
      </w:r>
    </w:p>
    <w:p w14:paraId="118BD59B">
      <w:pPr>
        <w:spacing w:line="500" w:lineRule="exact"/>
        <w:rPr>
          <w:rFonts w:ascii="仿宋" w:hAnsi="仿宋" w:eastAsia="仿宋" w:cs="仿宋"/>
          <w:b/>
          <w:bCs/>
          <w:color w:val="auto"/>
          <w:sz w:val="24"/>
          <w:highlight w:val="none"/>
          <w:u w:val="double"/>
        </w:rPr>
      </w:pPr>
      <w:r>
        <w:rPr>
          <w:rFonts w:hint="eastAsia" w:ascii="仿宋" w:hAnsi="仿宋" w:eastAsia="仿宋" w:cs="仿宋"/>
          <w:b/>
          <w:bCs/>
          <w:color w:val="auto"/>
          <w:sz w:val="24"/>
          <w:highlight w:val="none"/>
          <w:u w:val="double"/>
        </w:rPr>
        <w:t>一、供应商（供应商）注册</w:t>
      </w:r>
    </w:p>
    <w:p w14:paraId="43315C26">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凡有意参加本项目的供应商（供应商），请登录“全国公共资源交易平台（河南省·信阳市）（https://ggzyjy.xinyang.gov.cn/）”网站进行交易主体自主注册，按网站公告通知有关要求填报企业信息并上传有关原件扫描件至诚信库，不需携带原件到信阳市公共资源交易中心进行审核。供应商（供应商）应对所上传材料的真实性、合法性、有效性负责，其上传的信息将全部对外公示，接受社会监督。</w:t>
      </w:r>
    </w:p>
    <w:p w14:paraId="2D158988">
      <w:pPr>
        <w:spacing w:line="500" w:lineRule="exact"/>
        <w:rPr>
          <w:rFonts w:ascii="仿宋" w:hAnsi="仿宋" w:eastAsia="仿宋" w:cs="仿宋"/>
          <w:b/>
          <w:bCs/>
          <w:color w:val="auto"/>
          <w:sz w:val="24"/>
          <w:highlight w:val="none"/>
          <w:u w:val="double"/>
        </w:rPr>
      </w:pPr>
      <w:r>
        <w:rPr>
          <w:rFonts w:hint="eastAsia" w:ascii="仿宋" w:hAnsi="仿宋" w:eastAsia="仿宋" w:cs="仿宋"/>
          <w:b/>
          <w:bCs/>
          <w:color w:val="auto"/>
          <w:sz w:val="24"/>
          <w:highlight w:val="none"/>
          <w:u w:val="double"/>
        </w:rPr>
        <w:t>二、办理CA数字证书</w:t>
      </w:r>
    </w:p>
    <w:p w14:paraId="3F44F0DF">
      <w:pPr>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14:paraId="1FB2F482">
      <w:pPr>
        <w:spacing w:line="500" w:lineRule="exact"/>
        <w:rPr>
          <w:rFonts w:ascii="仿宋" w:hAnsi="仿宋" w:eastAsia="仿宋" w:cs="仿宋"/>
          <w:b/>
          <w:bCs/>
          <w:color w:val="auto"/>
          <w:sz w:val="24"/>
          <w:highlight w:val="none"/>
          <w:u w:val="double"/>
        </w:rPr>
      </w:pPr>
      <w:r>
        <w:rPr>
          <w:rFonts w:hint="eastAsia" w:ascii="仿宋" w:hAnsi="仿宋" w:eastAsia="仿宋" w:cs="仿宋"/>
          <w:b/>
          <w:bCs/>
          <w:color w:val="auto"/>
          <w:sz w:val="24"/>
          <w:highlight w:val="none"/>
          <w:u w:val="double"/>
        </w:rPr>
        <w:t>三、招标（采购）文件获取方式</w:t>
      </w:r>
    </w:p>
    <w:p w14:paraId="014F0927">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供应商）凭CA数字证书登录会员系统后，即可按网上提示免费下载招标（采购）文件及资料（操作程序详见信阳市公共资源交易中心网站下载中心栏目里供应商操作手册）。磋商文件(*.XYZF格式)下载后需使用“信阳市响应文件制作工具软件”打开（该工具软件可在“全国公共资源交易平台（河南省·信阳市）（https://ggzyjy.xinyang.gov.cn/）”网站下载中心栏目内下载或在磋商文件领取页面下载）。</w:t>
      </w:r>
    </w:p>
    <w:p w14:paraId="5BFAC462">
      <w:pPr>
        <w:tabs>
          <w:tab w:val="left" w:pos="0"/>
        </w:tabs>
        <w:spacing w:line="500" w:lineRule="exact"/>
        <w:rPr>
          <w:rFonts w:ascii="仿宋" w:hAnsi="仿宋" w:eastAsia="仿宋" w:cs="仿宋"/>
          <w:b/>
          <w:bCs/>
          <w:color w:val="auto"/>
          <w:sz w:val="24"/>
          <w:highlight w:val="none"/>
          <w:u w:val="double"/>
        </w:rPr>
      </w:pPr>
      <w:r>
        <w:rPr>
          <w:rFonts w:hint="eastAsia" w:ascii="仿宋" w:hAnsi="仿宋" w:eastAsia="仿宋" w:cs="仿宋"/>
          <w:b/>
          <w:bCs/>
          <w:color w:val="auto"/>
          <w:sz w:val="24"/>
          <w:highlight w:val="none"/>
          <w:u w:val="double"/>
        </w:rPr>
        <w:t>四、投标（响应）文件制作</w:t>
      </w:r>
    </w:p>
    <w:p w14:paraId="2EBD0D1F">
      <w:pPr>
        <w:tabs>
          <w:tab w:val="left" w:pos="0"/>
        </w:tabs>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投标（响应）文件应使用信阳市公共资源交易系统响应文件制作专用工具软件编制，投标（响应）文件格式为“*.XYTF”。</w:t>
      </w:r>
    </w:p>
    <w:p w14:paraId="0E3072AD">
      <w:pPr>
        <w:tabs>
          <w:tab w:val="left" w:pos="0"/>
        </w:tabs>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供应商（供应商）须在投标（响应）文件递交截止时间前制作并提交。</w:t>
      </w:r>
    </w:p>
    <w:p w14:paraId="352BDFE1">
      <w:pPr>
        <w:pStyle w:val="8"/>
        <w:spacing w:line="5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double"/>
        </w:rPr>
        <w:t>五、投标（响应）文件的签字和盖章要求</w:t>
      </w:r>
    </w:p>
    <w:p w14:paraId="4273C76F">
      <w:pPr>
        <w:adjustRightInd w:val="0"/>
        <w:snapToGrid w:val="0"/>
        <w:spacing w:line="5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1、响应文件（响应）格式中所有要求供应商（供应商）加盖公章的地方都须加盖供应商（供应商）的 CA 印章。</w:t>
      </w:r>
    </w:p>
    <w:p w14:paraId="02953A1E">
      <w:pPr>
        <w:adjustRightInd w:val="0"/>
        <w:snapToGrid w:val="0"/>
        <w:spacing w:line="500" w:lineRule="exact"/>
        <w:ind w:left="-126" w:leftChars="-60" w:firstLine="600" w:firstLineChars="250"/>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2、响应文件（响应）格式中所有要求法定代表人或其委托代理人签字或盖章的地方</w:t>
      </w:r>
      <w:r>
        <w:rPr>
          <w:rFonts w:hint="eastAsia" w:ascii="仿宋" w:hAnsi="仿宋" w:eastAsia="仿宋" w:cs="仿宋"/>
          <w:b/>
          <w:bCs/>
          <w:color w:val="auto"/>
          <w:sz w:val="24"/>
          <w:highlight w:val="none"/>
        </w:rPr>
        <w:t>（不含授权委托书委托人签字）</w:t>
      </w:r>
      <w:r>
        <w:rPr>
          <w:rFonts w:hint="eastAsia" w:ascii="仿宋" w:hAnsi="仿宋" w:eastAsia="仿宋" w:cs="仿宋"/>
          <w:color w:val="auto"/>
          <w:sz w:val="24"/>
          <w:highlight w:val="none"/>
        </w:rPr>
        <w:t>都须加盖法定代表人</w:t>
      </w:r>
      <w:r>
        <w:rPr>
          <w:rFonts w:hint="eastAsia" w:ascii="仿宋" w:hAnsi="仿宋" w:eastAsia="仿宋" w:cs="仿宋"/>
          <w:b/>
          <w:bCs/>
          <w:color w:val="auto"/>
          <w:sz w:val="24"/>
          <w:highlight w:val="none"/>
        </w:rPr>
        <w:t>CA 印章。</w:t>
      </w:r>
    </w:p>
    <w:p w14:paraId="7A46F941">
      <w:pPr>
        <w:pStyle w:val="8"/>
        <w:spacing w:line="500" w:lineRule="exact"/>
        <w:rPr>
          <w:rFonts w:ascii="仿宋" w:hAnsi="仿宋" w:eastAsia="仿宋" w:cs="仿宋"/>
          <w:b/>
          <w:bCs/>
          <w:color w:val="auto"/>
          <w:sz w:val="24"/>
          <w:szCs w:val="24"/>
          <w:highlight w:val="none"/>
          <w:u w:val="double"/>
        </w:rPr>
      </w:pPr>
      <w:r>
        <w:rPr>
          <w:rFonts w:hint="eastAsia" w:ascii="仿宋" w:hAnsi="仿宋" w:eastAsia="仿宋" w:cs="仿宋"/>
          <w:b/>
          <w:bCs/>
          <w:color w:val="auto"/>
          <w:sz w:val="24"/>
          <w:szCs w:val="24"/>
          <w:highlight w:val="none"/>
          <w:u w:val="double"/>
        </w:rPr>
        <w:t>六、响应文件份数</w:t>
      </w:r>
    </w:p>
    <w:p w14:paraId="4CEF8D16">
      <w:pPr>
        <w:adjustRightInd w:val="0"/>
        <w:snapToGrid w:val="0"/>
        <w:spacing w:line="5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加密的电子投标（响应）文件壹份（*.XYTF 格式，在会员系统指定位置上传）</w:t>
      </w:r>
    </w:p>
    <w:p w14:paraId="64C42608">
      <w:pPr>
        <w:pStyle w:val="8"/>
        <w:spacing w:line="500" w:lineRule="exact"/>
        <w:rPr>
          <w:rFonts w:ascii="仿宋" w:hAnsi="仿宋" w:eastAsia="仿宋" w:cs="仿宋"/>
          <w:b/>
          <w:bCs/>
          <w:color w:val="auto"/>
          <w:sz w:val="24"/>
          <w:szCs w:val="24"/>
          <w:highlight w:val="none"/>
          <w:u w:val="double"/>
        </w:rPr>
      </w:pPr>
      <w:r>
        <w:rPr>
          <w:rFonts w:hint="eastAsia" w:ascii="仿宋" w:hAnsi="仿宋" w:eastAsia="仿宋" w:cs="仿宋"/>
          <w:b/>
          <w:bCs/>
          <w:color w:val="auto"/>
          <w:sz w:val="24"/>
          <w:szCs w:val="24"/>
          <w:highlight w:val="none"/>
          <w:u w:val="double"/>
        </w:rPr>
        <w:t>七、投标（响应）文件的递交</w:t>
      </w:r>
    </w:p>
    <w:p w14:paraId="2266DD5E">
      <w:pPr>
        <w:adjustRightInd w:val="0"/>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1、电子投标（响应）文件的递交</w:t>
      </w:r>
    </w:p>
    <w:p w14:paraId="2F97DF4D">
      <w:pPr>
        <w:spacing w:line="5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各投标（供应商）人应在投标截止时间前上传加密的电子投标（响应）文件（*.XYTF）到会员系统的指定位置。上传的电子响应文件应使用供应商CA数字证书认证并加密。上传时必须得到交易系统“上传成功”的确认回复后方为上传成功。请供应商（供应商）在上传前务必认真检查上传投标（响应）文件是否完整、正确。</w:t>
      </w:r>
    </w:p>
    <w:p w14:paraId="5836FB51">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2、本项目采用“不见面开标”交易方式，不见面开标大厅网址为 https://ggzyjy.xinyang.gov.cn/BidOpening，供应商无需寄送和递交非加密的电子响应文件，无需到现场参加开标会议，无需到达现场提交原件资料。</w:t>
      </w:r>
    </w:p>
    <w:p w14:paraId="36AB9DF8">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供应商应当在投标截止时间前，使用供应商CA数字证书登录不见面开标大厅，在线签到并准时参加开标活动，并在规定时间内完成响应文件解密、答疑澄清等。</w:t>
      </w:r>
    </w:p>
    <w:p w14:paraId="61FCCAB5">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逾期解密或者没有准时在线参加开标活动导致的一切后果供应商自行承担。</w:t>
      </w:r>
    </w:p>
    <w:p w14:paraId="68E90503">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不见面开标服务的具体事宜，请查阅信阳市公共资源交易中心网站首页—下载中心—信阳市不见面开标大厅系统操作手册 。</w:t>
      </w:r>
    </w:p>
    <w:p w14:paraId="22696C50">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特别提示：供应商在线签到时，应如实准确的填写授权委托人的联系电话，开标当天请务必保证电话保持畅通。</w:t>
      </w:r>
    </w:p>
    <w:p w14:paraId="5CFB4ED0">
      <w:pPr>
        <w:spacing w:line="500" w:lineRule="exact"/>
        <w:rPr>
          <w:rFonts w:ascii="仿宋" w:hAnsi="仿宋" w:eastAsia="仿宋" w:cs="仿宋"/>
          <w:b/>
          <w:bCs/>
          <w:color w:val="auto"/>
          <w:sz w:val="24"/>
          <w:highlight w:val="none"/>
          <w:u w:val="double"/>
        </w:rPr>
      </w:pPr>
      <w:r>
        <w:rPr>
          <w:rFonts w:hint="eastAsia" w:ascii="仿宋" w:hAnsi="仿宋" w:eastAsia="仿宋" w:cs="仿宋"/>
          <w:b/>
          <w:bCs/>
          <w:color w:val="auto"/>
          <w:sz w:val="24"/>
          <w:highlight w:val="none"/>
          <w:u w:val="double"/>
        </w:rPr>
        <w:t>八、澄清与变更</w:t>
      </w:r>
    </w:p>
    <w:p w14:paraId="6BD3D372">
      <w:pPr>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如有疑问，以书面形式（包括信函、电报、传真等可以有形表现所载内容的形式），要求采购人（采购人）对招标（采购）文件予以澄清。澄清或修改的内容在信阳市公共资源交易系统“变更公告”或“答疑文件”菜单进行发布，供应商（供应商）应在投标（响应）文件递交截止时间前及时查看澄清或修改内容，因供应商（采购人）未及时查看而造成的后果自负。</w:t>
      </w:r>
    </w:p>
    <w:p w14:paraId="11C439FF">
      <w:pPr>
        <w:widowControl/>
        <w:spacing w:line="500" w:lineRule="exact"/>
        <w:jc w:val="left"/>
        <w:rPr>
          <w:rFonts w:ascii="仿宋" w:hAnsi="仿宋" w:eastAsia="仿宋" w:cs="仿宋"/>
          <w:b/>
          <w:bCs/>
          <w:color w:val="auto"/>
          <w:sz w:val="24"/>
          <w:highlight w:val="none"/>
          <w:u w:val="double"/>
        </w:rPr>
      </w:pPr>
      <w:r>
        <w:rPr>
          <w:rFonts w:hint="eastAsia" w:ascii="仿宋" w:hAnsi="仿宋" w:eastAsia="仿宋" w:cs="仿宋"/>
          <w:b/>
          <w:bCs/>
          <w:color w:val="auto"/>
          <w:sz w:val="24"/>
          <w:highlight w:val="none"/>
          <w:u w:val="double"/>
        </w:rPr>
        <w:t xml:space="preserve">九、其他注意事项 </w:t>
      </w:r>
    </w:p>
    <w:p w14:paraId="51B87521">
      <w:pPr>
        <w:widowControl/>
        <w:spacing w:line="500" w:lineRule="exact"/>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1、供应商编制投标文件时，涉及的营业执照、资质、获奖、社保、纳税等固定内容可从交易中心主体信用信息中已登记的信息中选取。 </w:t>
      </w:r>
    </w:p>
    <w:p w14:paraId="29D77F02">
      <w:pPr>
        <w:widowControl/>
        <w:spacing w:line="500" w:lineRule="exact"/>
        <w:jc w:val="left"/>
        <w:rPr>
          <w:rFonts w:ascii="仿宋" w:hAnsi="仿宋" w:eastAsia="仿宋" w:cs="仿宋"/>
          <w:color w:val="auto"/>
          <w:sz w:val="24"/>
          <w:highlight w:val="none"/>
        </w:rPr>
      </w:pPr>
      <w:r>
        <w:rPr>
          <w:rFonts w:hint="eastAsia" w:ascii="仿宋" w:hAnsi="仿宋" w:eastAsia="仿宋" w:cs="仿宋"/>
          <w:color w:val="auto"/>
          <w:sz w:val="24"/>
          <w:highlight w:val="none"/>
        </w:rPr>
        <w:t>2、供应商编制响应文件时，涉及营业执照、资质、业绩、获奖、人员、财务、社保、纳税、各类证书等内容，</w:t>
      </w:r>
      <w:r>
        <w:rPr>
          <w:rFonts w:hint="eastAsia" w:ascii="仿宋" w:hAnsi="仿宋" w:eastAsia="仿宋" w:cs="仿宋"/>
          <w:b/>
          <w:bCs/>
          <w:color w:val="auto"/>
          <w:sz w:val="24"/>
          <w:highlight w:val="none"/>
          <w:u w:val="single"/>
        </w:rPr>
        <w:t>须扫描编制在响应文件内。</w:t>
      </w:r>
      <w:r>
        <w:rPr>
          <w:rFonts w:hint="eastAsia" w:ascii="仿宋" w:hAnsi="仿宋" w:eastAsia="仿宋" w:cs="仿宋"/>
          <w:color w:val="auto"/>
          <w:sz w:val="24"/>
          <w:highlight w:val="none"/>
        </w:rPr>
        <w:t>评委评审只需依法对响应文件进行评审，</w:t>
      </w:r>
      <w:r>
        <w:rPr>
          <w:rFonts w:hint="eastAsia" w:ascii="仿宋" w:hAnsi="仿宋" w:eastAsia="仿宋" w:cs="仿宋"/>
          <w:b/>
          <w:bCs/>
          <w:color w:val="auto"/>
          <w:sz w:val="24"/>
          <w:highlight w:val="none"/>
          <w:u w:val="single"/>
        </w:rPr>
        <w:t>并以响应文件的响应为唯一评审依据，不再比对主体信用信息</w:t>
      </w:r>
      <w:r>
        <w:rPr>
          <w:rFonts w:hint="eastAsia" w:ascii="仿宋" w:hAnsi="仿宋" w:eastAsia="仿宋" w:cs="仿宋"/>
          <w:color w:val="auto"/>
          <w:sz w:val="24"/>
          <w:highlight w:val="none"/>
        </w:rPr>
        <w:t>。</w:t>
      </w:r>
    </w:p>
    <w:p w14:paraId="0F54E2C0">
      <w:pPr>
        <w:widowControl/>
        <w:spacing w:line="500" w:lineRule="exact"/>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、响应文件中的扫描件，在确保清晰的前提下，每张最好控制在 500kb 内,生成的加密电子响应文件最好不要超过50MB。</w:t>
      </w:r>
    </w:p>
    <w:p w14:paraId="52007765">
      <w:pPr>
        <w:widowControl/>
        <w:spacing w:line="500" w:lineRule="exact"/>
        <w:jc w:val="left"/>
        <w:rPr>
          <w:rFonts w:ascii="仿宋" w:hAnsi="仿宋" w:eastAsia="仿宋" w:cs="仿宋"/>
          <w:color w:val="auto"/>
          <w:sz w:val="24"/>
          <w:highlight w:val="none"/>
        </w:rPr>
      </w:pPr>
      <w:r>
        <w:rPr>
          <w:rFonts w:hint="eastAsia" w:ascii="仿宋" w:hAnsi="仿宋" w:eastAsia="仿宋" w:cs="仿宋"/>
          <w:color w:val="auto"/>
          <w:sz w:val="24"/>
          <w:highlight w:val="none"/>
        </w:rPr>
        <w:t>十、特别提醒</w:t>
      </w:r>
    </w:p>
    <w:p w14:paraId="40CFB58F">
      <w:pPr>
        <w:widowControl/>
        <w:spacing w:line="500" w:lineRule="exact"/>
        <w:ind w:firstLine="480" w:firstLineChars="200"/>
        <w:jc w:val="left"/>
        <w:rPr>
          <w:rFonts w:ascii="宋体" w:hAnsi="宋体" w:cs="仿宋"/>
          <w:color w:val="auto"/>
          <w:highlight w:val="none"/>
        </w:rPr>
      </w:pPr>
      <w:r>
        <w:rPr>
          <w:rFonts w:hint="eastAsia" w:ascii="仿宋" w:hAnsi="仿宋" w:eastAsia="仿宋" w:cs="仿宋"/>
          <w:color w:val="auto"/>
          <w:sz w:val="24"/>
          <w:highlight w:val="none"/>
        </w:rPr>
        <w:t>招标（响应）文件与此内容不符的，以此内容为准。</w:t>
      </w:r>
    </w:p>
    <w:p w14:paraId="1DBB73EE">
      <w:pPr>
        <w:widowControl/>
        <w:spacing w:line="5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供应商因信阳市电子招投标交易平台问题无法上传加密电子响应文件时，请在工作时间与交易中心联系。</w:t>
      </w:r>
    </w:p>
    <w:p w14:paraId="3F1444D3">
      <w:pPr>
        <w:widowControl/>
        <w:spacing w:line="5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信阳市公共资源交易中心</w:t>
      </w:r>
    </w:p>
    <w:p w14:paraId="4D2A0710">
      <w:pPr>
        <w:widowControl/>
        <w:spacing w:line="50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地    址：信阳市羊山新区百花中路（市博物馆正对面）</w:t>
      </w:r>
    </w:p>
    <w:p w14:paraId="49B70BBC">
      <w:pPr>
        <w:widowControl/>
        <w:spacing w:line="500" w:lineRule="exact"/>
        <w:ind w:firstLine="480" w:firstLineChars="200"/>
        <w:jc w:val="left"/>
        <w:rPr>
          <w:rFonts w:ascii="仿宋" w:hAnsi="仿宋" w:eastAsia="仿宋" w:cs="仿宋"/>
          <w:color w:val="auto"/>
          <w:sz w:val="24"/>
          <w:highlight w:val="none"/>
        </w:rPr>
        <w:sectPr>
          <w:footerReference r:id="rId9" w:type="default"/>
          <w:pgSz w:w="11905" w:h="16838"/>
          <w:pgMar w:top="1247" w:right="1134" w:bottom="1247" w:left="1247" w:header="850" w:footer="720" w:gutter="0"/>
          <w:pgNumType w:fmt="decimal" w:start="1" w:chapStyle="1"/>
          <w:cols w:space="720" w:num="1"/>
          <w:docGrid w:linePitch="380" w:charSpace="0"/>
        </w:sectPr>
      </w:pPr>
    </w:p>
    <w:p w14:paraId="014C660D">
      <w:pPr>
        <w:keepNext/>
        <w:spacing w:line="336" w:lineRule="auto"/>
        <w:jc w:val="center"/>
        <w:outlineLvl w:val="0"/>
        <w:rPr>
          <w:rFonts w:ascii="宋体" w:hAnsi="宋体"/>
          <w:b/>
          <w:bCs/>
          <w:color w:val="auto"/>
          <w:sz w:val="10"/>
          <w:szCs w:val="10"/>
          <w:highlight w:val="none"/>
        </w:rPr>
      </w:pPr>
      <w:r>
        <w:rPr>
          <w:rFonts w:hint="eastAsia" w:ascii="宋体" w:hAnsi="宋体"/>
          <w:b/>
          <w:bCs/>
          <w:color w:val="auto"/>
          <w:sz w:val="32"/>
          <w:szCs w:val="32"/>
          <w:highlight w:val="none"/>
        </w:rPr>
        <w:t>第一章 竞争性磋商公告</w:t>
      </w:r>
    </w:p>
    <w:p w14:paraId="6FFCF6AA">
      <w:pPr>
        <w:spacing w:line="336" w:lineRule="auto"/>
        <w:jc w:val="center"/>
        <w:rPr>
          <w:rFonts w:ascii="宋体" w:hAnsi="宋体"/>
          <w:b/>
          <w:bCs/>
          <w:color w:val="auto"/>
          <w:sz w:val="30"/>
          <w:szCs w:val="30"/>
          <w:highlight w:val="none"/>
        </w:rPr>
      </w:pPr>
      <w:r>
        <w:rPr>
          <w:rFonts w:hint="eastAsia" w:ascii="宋体" w:hAnsi="宋体"/>
          <w:b/>
          <w:bCs/>
          <w:color w:val="auto"/>
          <w:sz w:val="30"/>
          <w:szCs w:val="30"/>
          <w:highlight w:val="none"/>
          <w:lang w:eastAsia="zh-CN"/>
        </w:rPr>
        <w:t>新县国土空间规划中绿化造林空间适宜性评价项目</w:t>
      </w:r>
      <w:r>
        <w:rPr>
          <w:rFonts w:hint="eastAsia" w:ascii="宋体" w:hAnsi="宋体"/>
          <w:b/>
          <w:bCs/>
          <w:color w:val="auto"/>
          <w:sz w:val="30"/>
          <w:szCs w:val="30"/>
          <w:highlight w:val="none"/>
        </w:rPr>
        <w:t>竞争性磋商公告</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0"/>
      </w:tblGrid>
      <w:tr w14:paraId="27BE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9460" w:type="dxa"/>
          </w:tcPr>
          <w:p w14:paraId="72CFBE28">
            <w:pPr>
              <w:autoSpaceDE w:val="0"/>
              <w:autoSpaceDN w:val="0"/>
              <w:spacing w:line="400" w:lineRule="exact"/>
              <w:ind w:firstLine="422" w:firstLineChars="200"/>
              <w:jc w:val="left"/>
              <w:rPr>
                <w:rFonts w:hint="eastAsia" w:ascii="宋体" w:hAnsi="宋体" w:cs="宋体"/>
                <w:b/>
                <w:bCs/>
                <w:color w:val="auto"/>
                <w:highlight w:val="none"/>
                <w:lang w:val="zh-CN" w:bidi="zh-CN"/>
              </w:rPr>
            </w:pPr>
            <w:r>
              <w:rPr>
                <w:rFonts w:hint="eastAsia" w:ascii="宋体" w:hAnsi="宋体" w:cs="宋体"/>
                <w:b/>
                <w:bCs/>
                <w:color w:val="auto"/>
                <w:highlight w:val="none"/>
                <w:lang w:val="zh-CN" w:bidi="zh-CN"/>
              </w:rPr>
              <w:t>项目概况</w:t>
            </w:r>
          </w:p>
          <w:p w14:paraId="4ACAAB33">
            <w:pPr>
              <w:autoSpaceDE w:val="0"/>
              <w:autoSpaceDN w:val="0"/>
              <w:spacing w:line="400" w:lineRule="exact"/>
              <w:ind w:firstLine="420" w:firstLineChars="200"/>
              <w:jc w:val="left"/>
              <w:rPr>
                <w:rFonts w:ascii="宋体" w:hAnsi="宋体" w:cs="宋体"/>
                <w:color w:val="auto"/>
                <w:highlight w:val="none"/>
                <w:lang w:val="zh-CN" w:bidi="zh-CN"/>
              </w:rPr>
            </w:pPr>
            <w:r>
              <w:rPr>
                <w:rFonts w:hint="eastAsia" w:ascii="宋体" w:hAnsi="宋体" w:cs="宋体"/>
                <w:color w:val="auto"/>
                <w:highlight w:val="none"/>
                <w:lang w:val="zh-CN" w:eastAsia="zh-CN" w:bidi="zh-CN"/>
              </w:rPr>
              <w:t>新县国土空间规划中绿化造林空间适宜性评价项目</w:t>
            </w:r>
            <w:r>
              <w:rPr>
                <w:rFonts w:hint="eastAsia" w:ascii="宋体" w:hAnsi="宋体" w:cs="宋体"/>
                <w:color w:val="auto"/>
                <w:highlight w:val="none"/>
                <w:lang w:val="zh-CN" w:bidi="zh-CN"/>
              </w:rPr>
              <w:t>的潜在</w:t>
            </w:r>
            <w:r>
              <w:rPr>
                <w:rFonts w:hint="eastAsia" w:ascii="宋体" w:hAnsi="宋体" w:cs="宋体"/>
                <w:color w:val="auto"/>
                <w:highlight w:val="none"/>
                <w:lang w:val="zh-CN" w:eastAsia="zh-CN" w:bidi="zh-CN"/>
              </w:rPr>
              <w:t>供应商登录</w:t>
            </w:r>
            <w:r>
              <w:rPr>
                <w:rFonts w:hint="eastAsia" w:ascii="宋体" w:hAnsi="宋体" w:cs="宋体"/>
                <w:color w:val="auto"/>
                <w:highlight w:val="none"/>
                <w:lang w:val="zh-CN" w:bidi="zh-CN"/>
              </w:rPr>
              <w:t>“全国公共资源交易平台（河南省·新县）（https://ggzyjy.xinyang.gov.cn/）”网站，凭办理的企业身份认证锁（CA数字证书）</w:t>
            </w:r>
            <w:r>
              <w:rPr>
                <w:rFonts w:hint="eastAsia" w:ascii="宋体" w:hAnsi="宋体" w:cs="宋体"/>
                <w:color w:val="auto"/>
                <w:highlight w:val="none"/>
                <w:lang w:val="zh-CN" w:eastAsia="zh-CN" w:bidi="zh-CN"/>
              </w:rPr>
              <w:t>登录</w:t>
            </w:r>
            <w:r>
              <w:rPr>
                <w:rFonts w:hint="eastAsia" w:ascii="宋体" w:hAnsi="宋体" w:cs="宋体"/>
                <w:color w:val="auto"/>
                <w:highlight w:val="none"/>
                <w:lang w:val="zh-CN" w:bidi="zh-CN"/>
              </w:rPr>
              <w:t>会员系统进行网上投标”获取招标文件，并于</w:t>
            </w:r>
            <w:r>
              <w:rPr>
                <w:rFonts w:hint="eastAsia" w:ascii="宋体" w:hAnsi="宋体" w:cs="宋体"/>
                <w:color w:val="auto"/>
                <w:highlight w:val="none"/>
                <w:lang w:val="zh-CN" w:eastAsia="zh-CN" w:bidi="zh-CN"/>
              </w:rPr>
              <w:t>2026</w:t>
            </w:r>
            <w:r>
              <w:rPr>
                <w:rFonts w:hint="eastAsia" w:ascii="宋体" w:hAnsi="宋体" w:cs="宋体"/>
                <w:color w:val="auto"/>
                <w:highlight w:val="none"/>
                <w:lang w:val="zh-CN" w:bidi="zh-CN"/>
              </w:rPr>
              <w:t>年</w:t>
            </w:r>
            <w:r>
              <w:rPr>
                <w:rFonts w:hint="eastAsia" w:ascii="宋体" w:hAnsi="宋体" w:cs="宋体"/>
                <w:color w:val="auto"/>
                <w:highlight w:val="none"/>
                <w:lang w:val="en-US" w:eastAsia="zh-CN" w:bidi="zh-CN"/>
              </w:rPr>
              <w:t>8</w:t>
            </w:r>
            <w:r>
              <w:rPr>
                <w:rFonts w:hint="eastAsia" w:ascii="宋体" w:hAnsi="宋体" w:cs="宋体"/>
                <w:color w:val="auto"/>
                <w:highlight w:val="none"/>
                <w:lang w:val="zh-CN" w:bidi="zh-CN"/>
              </w:rPr>
              <w:t>月</w:t>
            </w:r>
            <w:r>
              <w:rPr>
                <w:rFonts w:hint="eastAsia" w:ascii="宋体" w:hAnsi="宋体" w:cs="宋体"/>
                <w:color w:val="auto"/>
                <w:highlight w:val="none"/>
                <w:lang w:val="en-US" w:eastAsia="zh-CN" w:bidi="zh-CN"/>
              </w:rPr>
              <w:t>5</w:t>
            </w:r>
            <w:r>
              <w:rPr>
                <w:rFonts w:hint="eastAsia" w:ascii="宋体" w:hAnsi="宋体" w:cs="宋体"/>
                <w:color w:val="auto"/>
                <w:highlight w:val="none"/>
                <w:lang w:val="zh-CN" w:eastAsia="zh-CN" w:bidi="zh-CN"/>
              </w:rPr>
              <w:t xml:space="preserve"> </w:t>
            </w:r>
            <w:r>
              <w:rPr>
                <w:rFonts w:hint="eastAsia" w:ascii="宋体" w:hAnsi="宋体" w:cs="宋体"/>
                <w:color w:val="auto"/>
                <w:highlight w:val="none"/>
                <w:lang w:val="zh-CN" w:bidi="zh-CN"/>
              </w:rPr>
              <w:t>日9时00分（北京时间）前递交投标文件。</w:t>
            </w:r>
          </w:p>
        </w:tc>
      </w:tr>
      <w:bookmarkEnd w:id="0"/>
      <w:bookmarkEnd w:id="1"/>
    </w:tbl>
    <w:p w14:paraId="62D6ED3F">
      <w:pPr>
        <w:numPr>
          <w:ilvl w:val="0"/>
          <w:numId w:val="1"/>
        </w:numPr>
        <w:spacing w:line="400" w:lineRule="exact"/>
        <w:rPr>
          <w:rFonts w:ascii="宋体" w:hAnsi="宋体" w:cs="宋体"/>
          <w:b/>
          <w:color w:val="auto"/>
          <w:highlight w:val="none"/>
        </w:rPr>
      </w:pPr>
      <w:bookmarkStart w:id="2" w:name="_Toc414956949"/>
      <w:r>
        <w:rPr>
          <w:rFonts w:hint="eastAsia" w:ascii="宋体" w:hAnsi="宋体" w:cs="宋体"/>
          <w:b/>
          <w:color w:val="auto"/>
          <w:highlight w:val="none"/>
        </w:rPr>
        <w:t>项目基本情况</w:t>
      </w:r>
    </w:p>
    <w:p w14:paraId="4753C2E3">
      <w:pPr>
        <w:numPr>
          <w:ilvl w:val="0"/>
          <w:numId w:val="0"/>
        </w:numPr>
        <w:spacing w:line="400" w:lineRule="exact"/>
        <w:ind w:firstLine="420" w:firstLineChars="200"/>
        <w:rPr>
          <w:rFonts w:hint="default" w:ascii="宋体" w:hAnsi="宋体" w:eastAsia="宋体" w:cs="宋体"/>
          <w:bCs/>
          <w:color w:val="auto"/>
          <w:highlight w:val="none"/>
          <w:lang w:val="en-US" w:eastAsia="zh-CN"/>
        </w:rPr>
      </w:pPr>
      <w:r>
        <w:rPr>
          <w:rFonts w:hint="eastAsia" w:ascii="宋体" w:hAnsi="宋体" w:cs="宋体"/>
          <w:bCs/>
          <w:color w:val="auto"/>
          <w:highlight w:val="none"/>
          <w:lang w:val="en-US" w:eastAsia="zh-CN"/>
        </w:rPr>
        <w:t>1.</w:t>
      </w:r>
      <w:r>
        <w:rPr>
          <w:rFonts w:hint="eastAsia" w:ascii="宋体" w:hAnsi="宋体" w:cs="宋体"/>
          <w:bCs/>
          <w:color w:val="auto"/>
          <w:highlight w:val="none"/>
        </w:rPr>
        <w:t>项目编号：</w:t>
      </w:r>
      <w:r>
        <w:rPr>
          <w:rFonts w:hint="eastAsia" w:ascii="宋体" w:hAnsi="宋体" w:cs="宋体"/>
          <w:bCs/>
          <w:color w:val="auto"/>
          <w:highlight w:val="none"/>
          <w:lang w:eastAsia="zh-CN"/>
        </w:rPr>
        <w:t>新财磋商</w:t>
      </w:r>
      <w:r>
        <w:rPr>
          <w:rFonts w:hint="eastAsia" w:ascii="宋体" w:hAnsi="宋体" w:cs="宋体"/>
          <w:bCs/>
          <w:color w:val="auto"/>
          <w:highlight w:val="none"/>
          <w:lang w:val="en-US" w:eastAsia="zh-CN"/>
        </w:rPr>
        <w:t>采购</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w:t>
      </w:r>
      <w:r>
        <w:rPr>
          <w:rFonts w:hint="eastAsia" w:ascii="宋体" w:hAnsi="宋体" w:cs="宋体"/>
          <w:bCs/>
          <w:color w:val="auto"/>
          <w:highlight w:val="none"/>
          <w:lang w:val="en-US" w:eastAsia="zh-CN"/>
        </w:rPr>
        <w:t>63</w:t>
      </w:r>
    </w:p>
    <w:p w14:paraId="307F322A">
      <w:pPr>
        <w:spacing w:line="400" w:lineRule="exact"/>
        <w:ind w:firstLine="420" w:firstLineChars="200"/>
        <w:rPr>
          <w:rFonts w:hint="eastAsia" w:ascii="宋体" w:hAnsi="宋体" w:cs="宋体"/>
          <w:bCs/>
          <w:color w:val="auto"/>
          <w:highlight w:val="none"/>
          <w:lang w:eastAsia="zh-CN"/>
        </w:rPr>
      </w:pPr>
      <w:r>
        <w:rPr>
          <w:rFonts w:hint="eastAsia" w:ascii="宋体" w:hAnsi="宋体" w:cs="宋体"/>
          <w:bCs/>
          <w:color w:val="auto"/>
          <w:highlight w:val="none"/>
          <w:lang w:val="en-US" w:eastAsia="zh-CN"/>
        </w:rPr>
        <w:t>2.</w:t>
      </w:r>
      <w:r>
        <w:rPr>
          <w:rFonts w:hint="eastAsia" w:ascii="宋体" w:hAnsi="宋体" w:cs="宋体"/>
          <w:bCs/>
          <w:color w:val="auto"/>
          <w:highlight w:val="none"/>
        </w:rPr>
        <w:t>项目名称：</w:t>
      </w:r>
      <w:r>
        <w:rPr>
          <w:rFonts w:hint="eastAsia" w:ascii="宋体" w:hAnsi="宋体" w:cs="宋体"/>
          <w:bCs/>
          <w:color w:val="auto"/>
          <w:highlight w:val="none"/>
          <w:lang w:eastAsia="zh-CN"/>
        </w:rPr>
        <w:t>新县国土空间规划中绿化造林空间适宜性评价项目</w:t>
      </w:r>
      <w:r>
        <w:rPr>
          <w:rFonts w:hint="eastAsia" w:ascii="宋体" w:hAnsi="宋体" w:cs="宋体"/>
          <w:bCs/>
          <w:color w:val="auto"/>
          <w:highlight w:val="none"/>
          <w:lang w:eastAsia="zh-CN"/>
        </w:rPr>
        <w:tab/>
      </w:r>
    </w:p>
    <w:p w14:paraId="5E242F91">
      <w:pPr>
        <w:spacing w:line="400" w:lineRule="exact"/>
        <w:ind w:firstLine="420" w:firstLineChars="200"/>
        <w:rPr>
          <w:rFonts w:ascii="宋体" w:hAnsi="宋体" w:cs="宋体"/>
          <w:bCs/>
          <w:color w:val="auto"/>
          <w:highlight w:val="none"/>
        </w:rPr>
      </w:pPr>
      <w:r>
        <w:rPr>
          <w:rFonts w:hint="eastAsia" w:ascii="宋体" w:hAnsi="宋体" w:cs="宋体"/>
          <w:bCs/>
          <w:color w:val="auto"/>
          <w:highlight w:val="none"/>
        </w:rPr>
        <w:t>3.采购方式：竞争性磋商</w:t>
      </w:r>
    </w:p>
    <w:p w14:paraId="2F120D10">
      <w:pPr>
        <w:spacing w:line="400" w:lineRule="exact"/>
        <w:ind w:firstLine="420" w:firstLineChars="200"/>
        <w:rPr>
          <w:rFonts w:ascii="宋体" w:hAnsi="宋体" w:cs="宋体"/>
          <w:bCs/>
          <w:color w:val="auto"/>
          <w:highlight w:val="none"/>
        </w:rPr>
      </w:pPr>
      <w:r>
        <w:rPr>
          <w:rFonts w:hint="eastAsia" w:ascii="宋体" w:hAnsi="宋体" w:cs="宋体"/>
          <w:bCs/>
          <w:color w:val="auto"/>
          <w:highlight w:val="none"/>
        </w:rPr>
        <w:t>4.预算金额：</w:t>
      </w:r>
      <w:r>
        <w:rPr>
          <w:rFonts w:hint="eastAsia" w:ascii="宋体" w:hAnsi="宋体" w:cs="宋体"/>
          <w:color w:val="auto"/>
          <w:highlight w:val="none"/>
          <w:lang w:eastAsia="zh-CN"/>
        </w:rPr>
        <w:t>575926.16元</w:t>
      </w:r>
    </w:p>
    <w:p w14:paraId="258B3FAA">
      <w:pPr>
        <w:spacing w:line="400" w:lineRule="exact"/>
        <w:ind w:firstLine="630" w:firstLineChars="300"/>
        <w:rPr>
          <w:rFonts w:ascii="宋体" w:hAnsi="宋体" w:cs="宋体"/>
          <w:color w:val="auto"/>
          <w:highlight w:val="none"/>
          <w:lang w:bidi="zh-CN"/>
        </w:rPr>
      </w:pPr>
      <w:r>
        <w:rPr>
          <w:rFonts w:hint="eastAsia" w:ascii="宋体" w:hAnsi="宋体" w:cs="宋体"/>
          <w:bCs/>
          <w:color w:val="auto"/>
          <w:highlight w:val="none"/>
        </w:rPr>
        <w:t>最高限价：</w:t>
      </w:r>
      <w:r>
        <w:rPr>
          <w:rFonts w:hint="eastAsia" w:ascii="宋体" w:hAnsi="宋体" w:cs="宋体"/>
          <w:bCs/>
          <w:color w:val="auto"/>
          <w:highlight w:val="none"/>
          <w:lang w:eastAsia="zh-CN"/>
        </w:rPr>
        <w:t>575926.16元</w:t>
      </w:r>
    </w:p>
    <w:tbl>
      <w:tblPr>
        <w:tblStyle w:val="54"/>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760"/>
        <w:gridCol w:w="3417"/>
        <w:gridCol w:w="1899"/>
        <w:gridCol w:w="1757"/>
      </w:tblGrid>
      <w:tr w14:paraId="61F6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45" w:type="dxa"/>
            <w:vAlign w:val="center"/>
          </w:tcPr>
          <w:p w14:paraId="5A4638AC">
            <w:pPr>
              <w:spacing w:line="400" w:lineRule="exact"/>
              <w:jc w:val="center"/>
              <w:rPr>
                <w:rFonts w:ascii="宋体" w:hAnsi="宋体" w:cs="宋体"/>
                <w:color w:val="auto"/>
                <w:highlight w:val="none"/>
              </w:rPr>
            </w:pPr>
            <w:r>
              <w:rPr>
                <w:rFonts w:hint="eastAsia" w:ascii="宋体" w:hAnsi="宋体" w:cs="宋体"/>
                <w:color w:val="auto"/>
                <w:highlight w:val="none"/>
              </w:rPr>
              <w:t>序号</w:t>
            </w:r>
          </w:p>
        </w:tc>
        <w:tc>
          <w:tcPr>
            <w:tcW w:w="1760" w:type="dxa"/>
            <w:vAlign w:val="center"/>
          </w:tcPr>
          <w:p w14:paraId="08BA5CD7">
            <w:pPr>
              <w:spacing w:line="400" w:lineRule="exact"/>
              <w:jc w:val="center"/>
              <w:rPr>
                <w:rFonts w:ascii="宋体" w:hAnsi="宋体" w:cs="宋体"/>
                <w:color w:val="auto"/>
                <w:highlight w:val="none"/>
              </w:rPr>
            </w:pPr>
            <w:r>
              <w:rPr>
                <w:rFonts w:hint="eastAsia" w:ascii="宋体" w:hAnsi="宋体" w:cs="宋体"/>
                <w:color w:val="auto"/>
                <w:highlight w:val="none"/>
              </w:rPr>
              <w:t>包号</w:t>
            </w:r>
          </w:p>
        </w:tc>
        <w:tc>
          <w:tcPr>
            <w:tcW w:w="3417" w:type="dxa"/>
            <w:vAlign w:val="center"/>
          </w:tcPr>
          <w:p w14:paraId="63277202">
            <w:pPr>
              <w:spacing w:line="400" w:lineRule="exact"/>
              <w:jc w:val="center"/>
              <w:rPr>
                <w:rFonts w:ascii="宋体" w:hAnsi="宋体" w:cs="宋体"/>
                <w:color w:val="auto"/>
                <w:highlight w:val="none"/>
              </w:rPr>
            </w:pPr>
            <w:r>
              <w:rPr>
                <w:rFonts w:hint="eastAsia" w:ascii="宋体" w:hAnsi="宋体" w:cs="宋体"/>
                <w:color w:val="auto"/>
                <w:highlight w:val="none"/>
              </w:rPr>
              <w:t>包名称</w:t>
            </w:r>
          </w:p>
        </w:tc>
        <w:tc>
          <w:tcPr>
            <w:tcW w:w="1899" w:type="dxa"/>
            <w:vAlign w:val="center"/>
          </w:tcPr>
          <w:p w14:paraId="1D40C13C">
            <w:pPr>
              <w:spacing w:line="400" w:lineRule="exact"/>
              <w:jc w:val="center"/>
              <w:rPr>
                <w:rFonts w:ascii="宋体" w:hAnsi="宋体" w:cs="宋体"/>
                <w:color w:val="auto"/>
                <w:highlight w:val="none"/>
              </w:rPr>
            </w:pPr>
            <w:r>
              <w:rPr>
                <w:rFonts w:hint="eastAsia" w:ascii="宋体" w:hAnsi="宋体" w:cs="宋体"/>
                <w:color w:val="auto"/>
                <w:highlight w:val="none"/>
              </w:rPr>
              <w:t>包预算（元）</w:t>
            </w:r>
          </w:p>
        </w:tc>
        <w:tc>
          <w:tcPr>
            <w:tcW w:w="1757" w:type="dxa"/>
            <w:vAlign w:val="center"/>
          </w:tcPr>
          <w:p w14:paraId="4EB9317E">
            <w:pPr>
              <w:spacing w:line="400" w:lineRule="exact"/>
              <w:jc w:val="center"/>
              <w:rPr>
                <w:rFonts w:ascii="宋体" w:hAnsi="宋体" w:cs="宋体"/>
                <w:color w:val="auto"/>
                <w:highlight w:val="none"/>
              </w:rPr>
            </w:pPr>
            <w:r>
              <w:rPr>
                <w:rFonts w:hint="eastAsia" w:ascii="宋体" w:hAnsi="宋体" w:cs="宋体"/>
                <w:color w:val="auto"/>
                <w:highlight w:val="none"/>
              </w:rPr>
              <w:t>包最高限价（元）</w:t>
            </w:r>
          </w:p>
        </w:tc>
      </w:tr>
      <w:tr w14:paraId="5A42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5" w:type="dxa"/>
            <w:vAlign w:val="center"/>
          </w:tcPr>
          <w:p w14:paraId="7F6F7770">
            <w:pPr>
              <w:spacing w:line="400" w:lineRule="exact"/>
              <w:jc w:val="center"/>
              <w:rPr>
                <w:rFonts w:ascii="宋体" w:hAnsi="宋体" w:cs="宋体"/>
                <w:color w:val="auto"/>
                <w:highlight w:val="none"/>
              </w:rPr>
            </w:pPr>
            <w:r>
              <w:rPr>
                <w:rFonts w:hint="eastAsia" w:ascii="宋体" w:hAnsi="宋体" w:cs="宋体"/>
                <w:color w:val="auto"/>
                <w:highlight w:val="none"/>
              </w:rPr>
              <w:t>1</w:t>
            </w:r>
          </w:p>
        </w:tc>
        <w:tc>
          <w:tcPr>
            <w:tcW w:w="1760" w:type="dxa"/>
            <w:vAlign w:val="center"/>
          </w:tcPr>
          <w:p w14:paraId="0A2C5EE3">
            <w:pPr>
              <w:numPr>
                <w:ilvl w:val="0"/>
                <w:numId w:val="0"/>
              </w:numPr>
              <w:spacing w:line="400" w:lineRule="exact"/>
              <w:jc w:val="center"/>
              <w:rPr>
                <w:rFonts w:hint="default" w:ascii="宋体" w:hAnsi="宋体" w:eastAsia="宋体" w:cs="宋体"/>
                <w:color w:val="auto"/>
                <w:highlight w:val="none"/>
                <w:lang w:val="en-US" w:eastAsia="zh-CN"/>
              </w:rPr>
            </w:pPr>
            <w:r>
              <w:rPr>
                <w:rFonts w:hint="eastAsia" w:ascii="宋体" w:hAnsi="宋体" w:cs="宋体"/>
                <w:bCs/>
                <w:color w:val="auto"/>
                <w:highlight w:val="none"/>
                <w:lang w:eastAsia="zh-CN"/>
              </w:rPr>
              <w:t>新财磋商</w:t>
            </w:r>
            <w:r>
              <w:rPr>
                <w:rFonts w:hint="eastAsia" w:ascii="宋体" w:hAnsi="宋体" w:cs="宋体"/>
                <w:bCs/>
                <w:color w:val="auto"/>
                <w:highlight w:val="none"/>
                <w:lang w:val="en-US" w:eastAsia="zh-CN"/>
              </w:rPr>
              <w:t>采购</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w:t>
            </w:r>
            <w:r>
              <w:rPr>
                <w:rFonts w:hint="eastAsia" w:ascii="宋体" w:hAnsi="宋体" w:cs="宋体"/>
                <w:bCs/>
                <w:color w:val="auto"/>
                <w:highlight w:val="none"/>
                <w:lang w:val="en-US" w:eastAsia="zh-CN"/>
              </w:rPr>
              <w:t>63</w:t>
            </w:r>
          </w:p>
        </w:tc>
        <w:tc>
          <w:tcPr>
            <w:tcW w:w="3417" w:type="dxa"/>
            <w:vAlign w:val="center"/>
          </w:tcPr>
          <w:p w14:paraId="0FB32D1A">
            <w:pPr>
              <w:spacing w:line="400" w:lineRule="exact"/>
              <w:jc w:val="center"/>
              <w:rPr>
                <w:rFonts w:hint="eastAsia" w:ascii="宋体" w:hAnsi="宋体" w:eastAsia="宋体" w:cs="宋体"/>
                <w:color w:val="auto"/>
                <w:highlight w:val="none"/>
                <w:lang w:eastAsia="zh-CN"/>
              </w:rPr>
            </w:pPr>
            <w:r>
              <w:rPr>
                <w:rFonts w:hint="eastAsia" w:ascii="宋体" w:hAnsi="宋体" w:cs="宋体"/>
                <w:bCs/>
                <w:color w:val="auto"/>
                <w:highlight w:val="none"/>
                <w:lang w:eastAsia="zh-CN"/>
              </w:rPr>
              <w:t>新县国土空间规划中绿化造林空间适宜性评价项目</w:t>
            </w:r>
            <w:r>
              <w:rPr>
                <w:rFonts w:hint="eastAsia" w:ascii="宋体" w:hAnsi="宋体" w:cs="宋体"/>
                <w:bCs/>
                <w:color w:val="auto"/>
                <w:highlight w:val="none"/>
                <w:lang w:eastAsia="zh-CN"/>
              </w:rPr>
              <w:tab/>
            </w:r>
          </w:p>
        </w:tc>
        <w:tc>
          <w:tcPr>
            <w:tcW w:w="1899" w:type="dxa"/>
            <w:vAlign w:val="center"/>
          </w:tcPr>
          <w:p w14:paraId="2FB02A17">
            <w:pPr>
              <w:spacing w:line="400" w:lineRule="exact"/>
              <w:jc w:val="center"/>
              <w:rPr>
                <w:rFonts w:hint="eastAsia" w:ascii="宋体" w:hAnsi="宋体" w:eastAsia="宋体" w:cs="宋体"/>
                <w:color w:val="auto"/>
                <w:highlight w:val="none"/>
                <w:lang w:eastAsia="zh-CN"/>
              </w:rPr>
            </w:pPr>
            <w:r>
              <w:rPr>
                <w:rFonts w:hint="eastAsia" w:ascii="宋体" w:hAnsi="宋体" w:cs="宋体"/>
                <w:bCs/>
                <w:color w:val="auto"/>
                <w:highlight w:val="none"/>
                <w:lang w:eastAsia="zh-CN"/>
              </w:rPr>
              <w:t>575926.16</w:t>
            </w:r>
          </w:p>
        </w:tc>
        <w:tc>
          <w:tcPr>
            <w:tcW w:w="1757" w:type="dxa"/>
            <w:vAlign w:val="center"/>
          </w:tcPr>
          <w:p w14:paraId="7BFC35CC">
            <w:pPr>
              <w:spacing w:line="400" w:lineRule="exact"/>
              <w:jc w:val="center"/>
              <w:rPr>
                <w:rFonts w:ascii="宋体" w:hAnsi="宋体" w:cs="宋体"/>
                <w:color w:val="auto"/>
                <w:highlight w:val="none"/>
              </w:rPr>
            </w:pPr>
            <w:r>
              <w:rPr>
                <w:rFonts w:hint="eastAsia" w:ascii="宋体" w:hAnsi="宋体" w:cs="宋体"/>
                <w:bCs/>
                <w:color w:val="auto"/>
                <w:highlight w:val="none"/>
                <w:lang w:eastAsia="zh-CN"/>
              </w:rPr>
              <w:t>575926.16</w:t>
            </w:r>
            <w:r>
              <w:rPr>
                <w:rFonts w:hint="eastAsia" w:ascii="宋体" w:hAnsi="宋体" w:cs="宋体"/>
                <w:bCs/>
                <w:color w:val="auto"/>
                <w:highlight w:val="none"/>
              </w:rPr>
              <w:t xml:space="preserve"> </w:t>
            </w:r>
          </w:p>
        </w:tc>
      </w:tr>
    </w:tbl>
    <w:p w14:paraId="28365BED">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5.采购需求：</w:t>
      </w:r>
    </w:p>
    <w:p w14:paraId="1CD9B5EE">
      <w:pPr>
        <w:widowControl/>
        <w:spacing w:line="400" w:lineRule="exact"/>
        <w:ind w:firstLine="420"/>
        <w:jc w:val="left"/>
        <w:rPr>
          <w:rFonts w:hint="eastAsia" w:ascii="宋体" w:hAnsi="宋体" w:cs="宋体"/>
          <w:color w:val="auto"/>
          <w:highlight w:val="none"/>
          <w:lang w:val="en-US" w:eastAsia="zh-CN"/>
        </w:rPr>
      </w:pPr>
      <w:r>
        <w:rPr>
          <w:rFonts w:hint="eastAsia" w:ascii="宋体" w:hAnsi="宋体" w:cs="宋体"/>
          <w:color w:val="auto"/>
          <w:highlight w:val="none"/>
        </w:rPr>
        <w:t>5.1采购内容</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新县国土空间规划中绿化造林空间适宜性评价工作主要内容包括:前期准备、野外调查、内业整理等。具体详见文件第五章采购需求。</w:t>
      </w:r>
    </w:p>
    <w:p w14:paraId="3A64817E">
      <w:pPr>
        <w:widowControl/>
        <w:spacing w:line="400" w:lineRule="exact"/>
        <w:ind w:firstLine="420"/>
        <w:jc w:val="left"/>
        <w:rPr>
          <w:rFonts w:hint="eastAsia" w:ascii="宋体" w:hAnsi="宋体" w:eastAsia="宋体" w:cs="宋体"/>
          <w:color w:val="auto"/>
          <w:highlight w:val="none"/>
          <w:lang w:eastAsia="zh-CN"/>
        </w:rPr>
      </w:pPr>
      <w:r>
        <w:rPr>
          <w:rFonts w:hint="eastAsia" w:ascii="宋体" w:hAnsi="宋体" w:cs="宋体"/>
          <w:color w:val="auto"/>
          <w:highlight w:val="none"/>
        </w:rPr>
        <w:t>5.2</w:t>
      </w:r>
      <w:r>
        <w:rPr>
          <w:rFonts w:hint="eastAsia" w:ascii="宋体" w:hAnsi="宋体" w:cs="宋体"/>
          <w:color w:val="auto"/>
          <w:highlight w:val="none"/>
          <w:lang w:eastAsia="zh-CN"/>
        </w:rPr>
        <w:t>服务期限</w:t>
      </w:r>
      <w:r>
        <w:rPr>
          <w:rFonts w:hint="eastAsia" w:ascii="宋体" w:hAnsi="宋体" w:cs="宋体"/>
          <w:color w:val="auto"/>
          <w:highlight w:val="none"/>
        </w:rPr>
        <w:t>：</w:t>
      </w:r>
      <w:r>
        <w:rPr>
          <w:rFonts w:hint="eastAsia" w:ascii="宋体" w:hAnsi="宋体" w:cs="宋体"/>
          <w:color w:val="auto"/>
          <w:highlight w:val="none"/>
          <w:lang w:val="en-US" w:eastAsia="zh-CN"/>
        </w:rPr>
        <w:t>自合同签订后 30 日历天内完成并提交全部成果，具体以上级部门要求的时间节点为准。</w:t>
      </w:r>
    </w:p>
    <w:p w14:paraId="57D4F5F2">
      <w:pPr>
        <w:widowControl/>
        <w:spacing w:line="400" w:lineRule="exact"/>
        <w:ind w:firstLine="420"/>
        <w:jc w:val="left"/>
        <w:rPr>
          <w:rFonts w:hint="eastAsia" w:ascii="宋体" w:hAnsi="宋体" w:cs="宋体"/>
          <w:color w:val="auto"/>
          <w:highlight w:val="none"/>
          <w:lang w:val="en-US" w:eastAsia="zh-CN"/>
        </w:rPr>
      </w:pPr>
      <w:r>
        <w:rPr>
          <w:rFonts w:hint="eastAsia" w:ascii="宋体" w:hAnsi="宋体" w:cs="宋体"/>
          <w:color w:val="auto"/>
          <w:highlight w:val="none"/>
        </w:rPr>
        <w:t>5.3质量要求：</w:t>
      </w:r>
      <w:r>
        <w:rPr>
          <w:rFonts w:hint="eastAsia" w:ascii="宋体" w:hAnsi="宋体" w:cs="宋体"/>
          <w:color w:val="auto"/>
          <w:highlight w:val="none"/>
          <w:lang w:val="en-US" w:eastAsia="zh-CN"/>
        </w:rPr>
        <w:t>符合国家、地方及行业现行相关标准和规定，项目成果通过上级部门组织的评审验收。</w:t>
      </w:r>
    </w:p>
    <w:p w14:paraId="5FC14306">
      <w:pPr>
        <w:widowControl/>
        <w:spacing w:line="400" w:lineRule="exact"/>
        <w:ind w:firstLine="42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5.4标包划分：本次采购共分为一个包。</w:t>
      </w:r>
    </w:p>
    <w:p w14:paraId="5C5C8EB7">
      <w:pPr>
        <w:widowControl/>
        <w:spacing w:line="400" w:lineRule="exact"/>
        <w:ind w:firstLine="420"/>
        <w:jc w:val="left"/>
        <w:rPr>
          <w:rFonts w:ascii="宋体" w:hAnsi="宋体" w:cs="宋体"/>
          <w:color w:val="auto"/>
          <w:highlight w:val="none"/>
        </w:rPr>
      </w:pPr>
      <w:r>
        <w:rPr>
          <w:rFonts w:hint="eastAsia" w:ascii="宋体" w:hAnsi="宋体" w:cs="宋体"/>
          <w:color w:val="auto"/>
          <w:highlight w:val="none"/>
        </w:rPr>
        <w:t>6.合同履行期限</w:t>
      </w:r>
      <w:r>
        <w:rPr>
          <w:rFonts w:hint="eastAsia" w:ascii="宋体" w:hAnsi="宋体" w:cs="宋体"/>
          <w:color w:val="auto"/>
          <w:highlight w:val="none"/>
          <w:lang w:eastAsia="zh-CN"/>
        </w:rPr>
        <w:t>：</w:t>
      </w:r>
      <w:r>
        <w:rPr>
          <w:rFonts w:hint="eastAsia" w:ascii="宋体" w:hAnsi="宋体" w:cs="宋体"/>
          <w:color w:val="auto"/>
          <w:highlight w:val="none"/>
        </w:rPr>
        <w:t>同服务期限</w:t>
      </w:r>
      <w:r>
        <w:rPr>
          <w:rFonts w:hint="eastAsia" w:ascii="宋体" w:hAnsi="宋体" w:cs="宋体"/>
          <w:color w:val="auto"/>
          <w:highlight w:val="none"/>
          <w:lang w:eastAsia="zh-CN"/>
        </w:rPr>
        <w:t>。</w:t>
      </w:r>
    </w:p>
    <w:p w14:paraId="1298008B">
      <w:pPr>
        <w:widowControl/>
        <w:spacing w:line="400" w:lineRule="exact"/>
        <w:ind w:firstLine="420"/>
        <w:jc w:val="left"/>
        <w:rPr>
          <w:rFonts w:ascii="宋体" w:hAnsi="宋体" w:cs="宋体"/>
          <w:color w:val="auto"/>
          <w:highlight w:val="none"/>
        </w:rPr>
      </w:pPr>
      <w:r>
        <w:rPr>
          <w:rFonts w:hint="eastAsia" w:ascii="宋体" w:hAnsi="宋体" w:cs="宋体"/>
          <w:color w:val="auto"/>
          <w:highlight w:val="none"/>
        </w:rPr>
        <w:t>7.本项目是否接受联合体投标：否</w:t>
      </w:r>
      <w:r>
        <w:rPr>
          <w:rFonts w:hint="eastAsia" w:ascii="宋体" w:hAnsi="宋体" w:cs="宋体"/>
          <w:color w:val="auto"/>
          <w:highlight w:val="none"/>
          <w:lang w:eastAsia="zh-CN"/>
        </w:rPr>
        <w:t>。</w:t>
      </w:r>
    </w:p>
    <w:p w14:paraId="261E7334">
      <w:pPr>
        <w:pStyle w:val="52"/>
        <w:spacing w:after="0" w:line="400" w:lineRule="exact"/>
        <w:ind w:left="420" w:leftChars="200" w:firstLine="0" w:firstLineChars="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8.是否接受进口产品：否</w:t>
      </w:r>
      <w:r>
        <w:rPr>
          <w:rFonts w:hint="eastAsia" w:ascii="宋体" w:hAnsi="宋体" w:cs="宋体"/>
          <w:color w:val="auto"/>
          <w:highlight w:val="none"/>
          <w:lang w:eastAsia="zh-CN"/>
        </w:rPr>
        <w:t>。</w:t>
      </w:r>
    </w:p>
    <w:p w14:paraId="0294DECB">
      <w:pPr>
        <w:pStyle w:val="52"/>
        <w:spacing w:after="0" w:line="400" w:lineRule="exact"/>
        <w:ind w:left="420" w:leftChars="200" w:firstLine="0" w:firstLineChars="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9.是否专门面向中小企业：</w:t>
      </w:r>
      <w:r>
        <w:rPr>
          <w:rFonts w:hint="eastAsia" w:ascii="宋体" w:hAnsi="宋体" w:cs="宋体"/>
          <w:color w:val="auto"/>
          <w:szCs w:val="21"/>
          <w:highlight w:val="none"/>
          <w:lang w:val="en-US" w:eastAsia="zh-CN"/>
        </w:rPr>
        <w:t>否</w:t>
      </w:r>
      <w:r>
        <w:rPr>
          <w:rFonts w:hint="eastAsia" w:ascii="宋体" w:hAnsi="宋体" w:cs="宋体"/>
          <w:color w:val="auto"/>
          <w:highlight w:val="none"/>
          <w:lang w:eastAsia="zh-CN"/>
        </w:rPr>
        <w:t>。</w:t>
      </w:r>
    </w:p>
    <w:p w14:paraId="00B4658F">
      <w:pPr>
        <w:spacing w:line="400" w:lineRule="exact"/>
        <w:rPr>
          <w:rFonts w:ascii="宋体" w:hAnsi="宋体" w:cs="宋体"/>
          <w:b/>
          <w:bCs/>
          <w:color w:val="auto"/>
          <w:highlight w:val="none"/>
        </w:rPr>
      </w:pPr>
      <w:r>
        <w:rPr>
          <w:rFonts w:hint="eastAsia" w:ascii="宋体" w:hAnsi="宋体" w:cs="宋体"/>
          <w:b/>
          <w:bCs/>
          <w:color w:val="auto"/>
          <w:highlight w:val="none"/>
        </w:rPr>
        <w:t xml:space="preserve">二、申请人的资格要求： </w:t>
      </w:r>
    </w:p>
    <w:p w14:paraId="146475AF">
      <w:pPr>
        <w:widowControl/>
        <w:spacing w:line="400" w:lineRule="exact"/>
        <w:ind w:firstLine="420"/>
        <w:jc w:val="left"/>
        <w:rPr>
          <w:rFonts w:ascii="宋体" w:hAnsi="宋体" w:cs="宋体"/>
          <w:color w:val="auto"/>
          <w:highlight w:val="none"/>
        </w:rPr>
      </w:pPr>
      <w:r>
        <w:rPr>
          <w:rFonts w:hint="eastAsia" w:ascii="宋体" w:hAnsi="宋体" w:cs="宋体"/>
          <w:color w:val="auto"/>
          <w:highlight w:val="none"/>
        </w:rPr>
        <w:t>1.满足《中华人民共和国政府采购法》第二十二条规定。</w:t>
      </w:r>
    </w:p>
    <w:p w14:paraId="556B9D9A">
      <w:pPr>
        <w:widowControl/>
        <w:spacing w:line="400" w:lineRule="exact"/>
        <w:ind w:firstLine="420"/>
        <w:jc w:val="left"/>
        <w:rPr>
          <w:rFonts w:hint="eastAsia" w:ascii="宋体" w:hAnsi="宋体" w:cs="宋体"/>
          <w:color w:val="auto"/>
          <w:highlight w:val="none"/>
        </w:rPr>
      </w:pPr>
      <w:r>
        <w:rPr>
          <w:rFonts w:hint="eastAsia" w:ascii="宋体" w:hAnsi="宋体" w:cs="宋体"/>
          <w:color w:val="auto"/>
          <w:highlight w:val="none"/>
        </w:rPr>
        <w:t>2.落实政府采购政策满足的资格要求：</w:t>
      </w:r>
      <w:r>
        <w:rPr>
          <w:rFonts w:hint="eastAsia" w:ascii="宋体" w:hAnsi="宋体" w:cs="宋体"/>
          <w:color w:val="auto"/>
          <w:highlight w:val="none"/>
          <w:lang w:val="en-US" w:eastAsia="zh-CN"/>
        </w:rPr>
        <w:t>本项目非专门面向中小企业采购【该项目符合《政府采购促进中小企业发展管理办法》（财库【2020】46号）第六条第3款之规定：按照本办法规定预留采购份额无法确保充分供应、充分竞争，或者存在可能影响政府采购目标实现的情形；】。本项目落实节约能源、保护环境、扶持不发达地区和少数民族地区、促进中小微企业、监狱企业及残疾人福利性单位发展等政府采购政策。</w:t>
      </w:r>
    </w:p>
    <w:p w14:paraId="1DB8C099">
      <w:pPr>
        <w:widowControl/>
        <w:spacing w:line="400" w:lineRule="exact"/>
        <w:ind w:firstLine="420"/>
        <w:jc w:val="left"/>
        <w:rPr>
          <w:rFonts w:ascii="宋体" w:hAnsi="宋体" w:cs="宋体"/>
          <w:color w:val="auto"/>
          <w:highlight w:val="none"/>
        </w:rPr>
      </w:pPr>
      <w:r>
        <w:rPr>
          <w:rFonts w:hint="eastAsia" w:ascii="宋体" w:hAnsi="宋体" w:cs="宋体"/>
          <w:color w:val="auto"/>
          <w:highlight w:val="none"/>
        </w:rPr>
        <w:t>3.本项目的特定资格要求：</w:t>
      </w:r>
    </w:p>
    <w:p w14:paraId="20637590">
      <w:pPr>
        <w:widowControl/>
        <w:spacing w:line="400" w:lineRule="exact"/>
        <w:ind w:firstLine="42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3.1供应商应具有行政主管部门颁发的林业调查规划设计乙级(含)以上或土地规划乙级(含)以上资质；</w:t>
      </w:r>
    </w:p>
    <w:p w14:paraId="52F8AC92">
      <w:pPr>
        <w:widowControl/>
        <w:spacing w:line="400" w:lineRule="exact"/>
        <w:ind w:firstLine="42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3.2拟派项目负责人须具有相关专业中级工程师(含)以上职称证书。应为本单位正式员工，提供本单位为其缴纳的社会保险证明(以社会保障部门出具的社保证明或社保中心网页截图为准)；</w:t>
      </w:r>
    </w:p>
    <w:p w14:paraId="19730FD6">
      <w:pPr>
        <w:widowControl/>
        <w:spacing w:line="400" w:lineRule="exact"/>
        <w:ind w:firstLine="420"/>
        <w:jc w:val="left"/>
        <w:rPr>
          <w:rFonts w:hint="eastAsia" w:ascii="宋体" w:hAnsi="宋体" w:cs="宋体"/>
          <w:color w:val="auto"/>
          <w:highlight w:val="none"/>
        </w:rPr>
      </w:pPr>
      <w:r>
        <w:rPr>
          <w:rFonts w:hint="eastAsia" w:ascii="宋体" w:hAnsi="宋体" w:cs="宋体"/>
          <w:color w:val="auto"/>
          <w:highlight w:val="none"/>
          <w:lang w:val="en-US" w:eastAsia="zh-CN"/>
        </w:rPr>
        <w:t>3.3</w:t>
      </w:r>
      <w:r>
        <w:rPr>
          <w:rFonts w:hint="eastAsia" w:ascii="宋体" w:hAnsi="宋体" w:cs="宋体"/>
          <w:color w:val="auto"/>
          <w:highlight w:val="none"/>
        </w:rPr>
        <w:t>根据《关于在政府采购活动中查询及使用信用记录有关问题的通知》财库[2016]125号文件和豫财购【2016】15号文件的规定，供应商应提供“信用中国”网站（www.creditchina.gov.cn）查询“失信被执行人”、“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2230ECE2">
      <w:pPr>
        <w:widowControl/>
        <w:spacing w:line="400" w:lineRule="exact"/>
        <w:ind w:firstLine="420"/>
        <w:jc w:val="left"/>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4.</w:t>
      </w:r>
      <w:r>
        <w:rPr>
          <w:rFonts w:hint="eastAsia" w:ascii="宋体" w:hAnsi="宋体" w:cs="宋体"/>
          <w:color w:val="auto"/>
          <w:highlight w:val="none"/>
        </w:rPr>
        <w:t>单位负责人为同一人或者存在直接控股、管理关系的不同单位，不得同时参加同一合同项下的政府采购活动（提供“国家企业信用信息公示系统”中公示的公司基本信息、股东信息及股权变更信息等内容）。</w:t>
      </w:r>
    </w:p>
    <w:p w14:paraId="563933DF">
      <w:pPr>
        <w:widowControl/>
        <w:spacing w:line="400" w:lineRule="exact"/>
        <w:ind w:firstLine="42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其他说明：本项目适用无感投标（详见下述要求）。</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一）在本项目政府采购活动中，供应商在投标（响应）时，可对照资格要求进行自主核对，确定符合资格要求的，政府采购项目对供应商资格全面实行免承诺“无感投标”，潜在供应商无需书面承诺符合参与政府采购活动的资格条件，无需书面承诺没有税收缴纳、社会保障等方面的失信记录，无需再提供相关财务状况、缴纳税收和社会保障资金等证明材料，由供应商自我评估符合政府采购有关规定、采购文件有关要求及以下证明材料等条件后即可参加投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br w:type="textWrapping"/>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lang w:val="en-US" w:eastAsia="zh-CN"/>
        </w:rPr>
        <w:t>（1）具有独立承担民事责任的能力（提供有效的营业执照）；</w:t>
      </w:r>
    </w:p>
    <w:p w14:paraId="3630677B">
      <w:pPr>
        <w:widowControl/>
        <w:spacing w:line="400" w:lineRule="exact"/>
        <w:ind w:firstLine="42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（2）具有良好的商业信誉和健全的财务会计制度（提供2025年度财务审计报告，成立不足1年的，提供其基本开户银行出具的资信证明）；</w:t>
      </w:r>
    </w:p>
    <w:p w14:paraId="6C0654D5">
      <w:pPr>
        <w:widowControl/>
        <w:spacing w:line="400" w:lineRule="exact"/>
        <w:ind w:firstLine="42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（3）具有履行合同所必需的设备和专业技术能力（提供书面声明，格式自拟）；</w:t>
      </w:r>
    </w:p>
    <w:p w14:paraId="3E339F12">
      <w:pPr>
        <w:widowControl/>
        <w:spacing w:line="400" w:lineRule="exact"/>
        <w:ind w:firstLine="42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（4）具有依法缴纳税收和社会保障资金的良好记录（提供2026年1月1日以来连续3个月依法缴纳税收和社会保障资金的证明材料，依法免税或不需要缴纳社会保障资金的供应商，应提供相应证明文件）；</w:t>
      </w:r>
    </w:p>
    <w:p w14:paraId="1BCF922C">
      <w:pPr>
        <w:widowControl/>
        <w:spacing w:line="400" w:lineRule="exact"/>
        <w:ind w:firstLine="42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（5）参加本次政府采购活动前三年内，在经营活动中没有重大违法记录（供应商自行承诺）；</w:t>
      </w:r>
    </w:p>
    <w:p w14:paraId="26B2CB7A">
      <w:pPr>
        <w:widowControl/>
        <w:spacing w:line="400" w:lineRule="exact"/>
        <w:ind w:firstLine="42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（6）法律、行政法规规定的其他条件；</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（二）投标人在中标（成交）后，应将上述由信用承诺书替代的证明材料提交采购人（采购代理机构）核验，经核验无误后，由采购人发出中标（成交）通知书。</w:t>
      </w:r>
    </w:p>
    <w:p w14:paraId="184BFD25">
      <w:pPr>
        <w:widowControl/>
        <w:spacing w:line="400" w:lineRule="exact"/>
        <w:jc w:val="left"/>
        <w:rPr>
          <w:rFonts w:ascii="宋体" w:hAnsi="宋体" w:cs="宋体"/>
          <w:b/>
          <w:bCs/>
          <w:color w:val="auto"/>
          <w:highlight w:val="none"/>
        </w:rPr>
      </w:pPr>
      <w:r>
        <w:rPr>
          <w:rFonts w:hint="eastAsia" w:ascii="宋体" w:hAnsi="宋体" w:cs="宋体"/>
          <w:b/>
          <w:bCs/>
          <w:color w:val="auto"/>
          <w:highlight w:val="none"/>
        </w:rPr>
        <w:t>三、获取竞争性磋商文件</w:t>
      </w:r>
    </w:p>
    <w:p w14:paraId="3B4D1F8A">
      <w:pPr>
        <w:pStyle w:val="48"/>
        <w:spacing w:before="0" w:beforeAutospacing="0" w:after="0" w:afterAutospacing="0" w:line="400" w:lineRule="exact"/>
        <w:ind w:firstLine="420" w:firstLineChars="200"/>
        <w:jc w:val="both"/>
        <w:rPr>
          <w:rFonts w:cs="宋体"/>
          <w:color w:val="auto"/>
          <w:sz w:val="21"/>
          <w:szCs w:val="21"/>
          <w:highlight w:val="none"/>
        </w:rPr>
      </w:pPr>
      <w:r>
        <w:rPr>
          <w:rFonts w:hint="eastAsia" w:cs="宋体"/>
          <w:color w:val="auto"/>
          <w:sz w:val="21"/>
          <w:szCs w:val="21"/>
          <w:highlight w:val="none"/>
          <w:shd w:val="clear" w:color="auto" w:fill="FFFFFF"/>
        </w:rPr>
        <w:t>1.时间：</w:t>
      </w:r>
      <w:r>
        <w:rPr>
          <w:rFonts w:hint="eastAsia" w:cs="宋体"/>
          <w:color w:val="auto"/>
          <w:kern w:val="2"/>
          <w:sz w:val="21"/>
          <w:szCs w:val="21"/>
          <w:highlight w:val="none"/>
        </w:rPr>
        <w:t>202</w:t>
      </w:r>
      <w:r>
        <w:rPr>
          <w:rFonts w:hint="eastAsia" w:cs="宋体"/>
          <w:color w:val="auto"/>
          <w:kern w:val="2"/>
          <w:sz w:val="21"/>
          <w:szCs w:val="21"/>
          <w:highlight w:val="none"/>
          <w:lang w:val="en-US" w:eastAsia="zh-CN"/>
        </w:rPr>
        <w:t>6</w:t>
      </w:r>
      <w:r>
        <w:rPr>
          <w:rFonts w:hint="eastAsia" w:cs="宋体"/>
          <w:color w:val="auto"/>
          <w:kern w:val="2"/>
          <w:sz w:val="21"/>
          <w:szCs w:val="21"/>
          <w:highlight w:val="none"/>
        </w:rPr>
        <w:t>年</w:t>
      </w:r>
      <w:r>
        <w:rPr>
          <w:rFonts w:hint="eastAsia" w:cs="宋体"/>
          <w:color w:val="auto"/>
          <w:kern w:val="2"/>
          <w:sz w:val="21"/>
          <w:szCs w:val="21"/>
          <w:highlight w:val="none"/>
          <w:lang w:val="en-US" w:eastAsia="zh-CN"/>
        </w:rPr>
        <w:t>7</w:t>
      </w:r>
      <w:r>
        <w:rPr>
          <w:rFonts w:hint="eastAsia" w:cs="宋体"/>
          <w:color w:val="auto"/>
          <w:kern w:val="2"/>
          <w:sz w:val="21"/>
          <w:szCs w:val="21"/>
          <w:highlight w:val="none"/>
        </w:rPr>
        <w:t>月</w:t>
      </w:r>
      <w:r>
        <w:rPr>
          <w:rFonts w:hint="eastAsia" w:cs="宋体"/>
          <w:color w:val="auto"/>
          <w:kern w:val="2"/>
          <w:sz w:val="21"/>
          <w:szCs w:val="21"/>
          <w:highlight w:val="none"/>
          <w:lang w:val="en-US" w:eastAsia="zh-CN"/>
        </w:rPr>
        <w:t>24</w:t>
      </w:r>
      <w:r>
        <w:rPr>
          <w:rFonts w:hint="eastAsia" w:cs="宋体"/>
          <w:color w:val="auto"/>
          <w:kern w:val="2"/>
          <w:sz w:val="21"/>
          <w:szCs w:val="21"/>
          <w:highlight w:val="none"/>
        </w:rPr>
        <w:t>日00时00分至202</w:t>
      </w:r>
      <w:r>
        <w:rPr>
          <w:rFonts w:hint="eastAsia" w:cs="宋体"/>
          <w:color w:val="auto"/>
          <w:kern w:val="2"/>
          <w:sz w:val="21"/>
          <w:szCs w:val="21"/>
          <w:highlight w:val="none"/>
          <w:lang w:val="en-US" w:eastAsia="zh-CN"/>
        </w:rPr>
        <w:t>6</w:t>
      </w:r>
      <w:r>
        <w:rPr>
          <w:rFonts w:hint="eastAsia" w:cs="宋体"/>
          <w:color w:val="auto"/>
          <w:kern w:val="2"/>
          <w:sz w:val="21"/>
          <w:szCs w:val="21"/>
          <w:highlight w:val="none"/>
        </w:rPr>
        <w:t>年</w:t>
      </w:r>
      <w:r>
        <w:rPr>
          <w:rFonts w:hint="eastAsia" w:cs="宋体"/>
          <w:color w:val="auto"/>
          <w:kern w:val="2"/>
          <w:sz w:val="21"/>
          <w:szCs w:val="21"/>
          <w:highlight w:val="none"/>
          <w:lang w:val="en-US" w:eastAsia="zh-CN"/>
        </w:rPr>
        <w:t>7</w:t>
      </w:r>
      <w:r>
        <w:rPr>
          <w:rFonts w:hint="eastAsia" w:cs="宋体"/>
          <w:color w:val="auto"/>
          <w:kern w:val="2"/>
          <w:sz w:val="21"/>
          <w:szCs w:val="21"/>
          <w:highlight w:val="none"/>
        </w:rPr>
        <w:t>月</w:t>
      </w:r>
      <w:r>
        <w:rPr>
          <w:rFonts w:hint="eastAsia" w:cs="宋体"/>
          <w:color w:val="auto"/>
          <w:kern w:val="2"/>
          <w:sz w:val="21"/>
          <w:szCs w:val="21"/>
          <w:highlight w:val="none"/>
          <w:lang w:val="en-US" w:eastAsia="zh-CN"/>
        </w:rPr>
        <w:t>30</w:t>
      </w:r>
      <w:r>
        <w:rPr>
          <w:rFonts w:hint="eastAsia" w:cs="宋体"/>
          <w:color w:val="auto"/>
          <w:kern w:val="2"/>
          <w:sz w:val="21"/>
          <w:szCs w:val="21"/>
          <w:highlight w:val="none"/>
        </w:rPr>
        <w:t>日23时59分（</w:t>
      </w:r>
      <w:r>
        <w:rPr>
          <w:rFonts w:hint="eastAsia" w:cs="宋体"/>
          <w:color w:val="auto"/>
          <w:sz w:val="21"/>
          <w:szCs w:val="21"/>
          <w:highlight w:val="none"/>
          <w:shd w:val="clear" w:color="auto" w:fill="FFFFFF"/>
        </w:rPr>
        <w:t>北京时间）；</w:t>
      </w:r>
    </w:p>
    <w:p w14:paraId="750BF7C4">
      <w:pPr>
        <w:pStyle w:val="48"/>
        <w:spacing w:before="0" w:beforeAutospacing="0" w:after="0" w:afterAutospacing="0" w:line="400" w:lineRule="exact"/>
        <w:ind w:firstLine="420" w:firstLineChars="200"/>
        <w:jc w:val="both"/>
        <w:rPr>
          <w:rFonts w:cs="宋体"/>
          <w:color w:val="auto"/>
          <w:sz w:val="21"/>
          <w:szCs w:val="21"/>
          <w:highlight w:val="none"/>
        </w:rPr>
      </w:pPr>
      <w:r>
        <w:rPr>
          <w:rFonts w:hint="eastAsia" w:cs="宋体"/>
          <w:color w:val="auto"/>
          <w:sz w:val="21"/>
          <w:szCs w:val="21"/>
          <w:highlight w:val="none"/>
          <w:shd w:val="clear" w:color="auto" w:fill="FFFFFF"/>
        </w:rPr>
        <w:t>2.地点：登录“全国公共资源交易平台（河南省·信阳市）（https://ggzyjy.xinyang.gov.cn/）”网站，凭办理的企业身份认证锁（CA数字证书）登录会员系统进行网上投标；</w:t>
      </w:r>
    </w:p>
    <w:p w14:paraId="531FE3B8">
      <w:pPr>
        <w:pStyle w:val="48"/>
        <w:spacing w:before="0" w:beforeAutospacing="0" w:after="0" w:afterAutospacing="0" w:line="400" w:lineRule="exact"/>
        <w:ind w:firstLine="420" w:firstLineChars="200"/>
        <w:jc w:val="both"/>
        <w:rPr>
          <w:rFonts w:cs="宋体"/>
          <w:color w:val="auto"/>
          <w:sz w:val="21"/>
          <w:szCs w:val="21"/>
          <w:highlight w:val="none"/>
        </w:rPr>
      </w:pPr>
      <w:r>
        <w:rPr>
          <w:rFonts w:hint="eastAsia" w:cs="宋体"/>
          <w:color w:val="auto"/>
          <w:sz w:val="21"/>
          <w:szCs w:val="21"/>
          <w:highlight w:val="none"/>
          <w:shd w:val="clear" w:color="auto" w:fill="FFFFFF"/>
        </w:rPr>
        <w:t>3.方式：</w:t>
      </w:r>
    </w:p>
    <w:p w14:paraId="7C59753C">
      <w:pPr>
        <w:pStyle w:val="48"/>
        <w:spacing w:before="0" w:beforeAutospacing="0" w:after="0" w:afterAutospacing="0" w:line="400" w:lineRule="exact"/>
        <w:ind w:firstLine="420" w:firstLineChars="200"/>
        <w:jc w:val="both"/>
        <w:rPr>
          <w:rFonts w:cs="宋体"/>
          <w:color w:val="auto"/>
          <w:sz w:val="21"/>
          <w:szCs w:val="21"/>
          <w:highlight w:val="none"/>
          <w:shd w:val="clear" w:color="auto" w:fill="FFFFFF"/>
        </w:rPr>
      </w:pPr>
      <w:r>
        <w:rPr>
          <w:rFonts w:hint="eastAsia" w:cs="宋体"/>
          <w:color w:val="auto"/>
          <w:sz w:val="21"/>
          <w:szCs w:val="21"/>
          <w:highlight w:val="none"/>
          <w:shd w:val="clear" w:color="auto" w:fill="FFFFFF"/>
        </w:rPr>
        <w:t>3.1供应商注册：投标企业首先登录“全国公共资源交易平台（河南省·信阳市）（https://ggzyjy.xinyang.gov.cn/）”网站进行交易主体注册，按网站公告通知有关要求填报企业信息并上传有关原件扫描件至诚信库，不需携带原件到信阳市公共资源交易中心进行审核。供应商应对所上传材料的真实性、合法性、有效性负责，其上传的信息将全部对外公示，接受社会监督。</w:t>
      </w:r>
    </w:p>
    <w:p w14:paraId="5CDEDE0B">
      <w:pPr>
        <w:pStyle w:val="48"/>
        <w:spacing w:before="0" w:beforeAutospacing="0" w:after="0" w:afterAutospacing="0" w:line="400" w:lineRule="exact"/>
        <w:ind w:firstLine="420" w:firstLineChars="200"/>
        <w:jc w:val="both"/>
        <w:rPr>
          <w:rFonts w:cs="宋体"/>
          <w:color w:val="auto"/>
          <w:sz w:val="21"/>
          <w:szCs w:val="21"/>
          <w:highlight w:val="none"/>
          <w:shd w:val="clear" w:color="auto" w:fill="FFFFFF"/>
        </w:rPr>
      </w:pPr>
      <w:r>
        <w:rPr>
          <w:rFonts w:hint="eastAsia" w:cs="宋体"/>
          <w:color w:val="auto"/>
          <w:sz w:val="21"/>
          <w:szCs w:val="21"/>
          <w:highlight w:val="none"/>
          <w:shd w:val="clear" w:color="auto" w:fill="FFFFFF"/>
        </w:rPr>
        <w:t>3.2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14:paraId="1DD9A360">
      <w:pPr>
        <w:pStyle w:val="48"/>
        <w:spacing w:before="0" w:beforeAutospacing="0" w:after="0" w:afterAutospacing="0" w:line="400" w:lineRule="exact"/>
        <w:ind w:firstLine="420" w:firstLineChars="200"/>
        <w:jc w:val="both"/>
        <w:rPr>
          <w:rFonts w:cs="宋体"/>
          <w:color w:val="auto"/>
          <w:sz w:val="21"/>
          <w:szCs w:val="21"/>
          <w:highlight w:val="none"/>
          <w:shd w:val="clear" w:color="auto" w:fill="FFFFFF"/>
        </w:rPr>
      </w:pPr>
      <w:r>
        <w:rPr>
          <w:rFonts w:hint="eastAsia" w:cs="宋体"/>
          <w:color w:val="auto"/>
          <w:sz w:val="21"/>
          <w:szCs w:val="21"/>
          <w:highlight w:val="none"/>
          <w:shd w:val="clear" w:color="auto" w:fill="FFFFFF"/>
        </w:rPr>
        <w:t>3.3竞争性磋商文件获取方式：供应商凭CA数字证书登录会员系统后，即可按网上提示免费下载竞争性磋商文件及资料（操作程序详见信阳市公共资源交易中心网站下载中心栏目里供应商操作手册）。竞争性磋商文件(*.XYZF格式)下载后需使用“信阳市响应文件制作工具软件”打开（该工具软件可在“全国公共资源交易平台（河南省·信阳市）（https://ggzyjy.xinyang.gov.cn/）”网站下载中心栏目内下载或在竞争性磋商文件领取页面下载）。</w:t>
      </w:r>
    </w:p>
    <w:p w14:paraId="2F489204">
      <w:pPr>
        <w:pStyle w:val="48"/>
        <w:spacing w:before="0" w:beforeAutospacing="0" w:after="0" w:afterAutospacing="0" w:line="400" w:lineRule="exact"/>
        <w:ind w:firstLine="420" w:firstLineChars="200"/>
        <w:jc w:val="both"/>
        <w:rPr>
          <w:rFonts w:cs="宋体"/>
          <w:color w:val="auto"/>
          <w:sz w:val="21"/>
          <w:szCs w:val="21"/>
          <w:highlight w:val="none"/>
          <w:shd w:val="clear" w:color="auto" w:fill="FFFFFF"/>
        </w:rPr>
      </w:pPr>
      <w:r>
        <w:rPr>
          <w:rFonts w:hint="eastAsia" w:cs="宋体"/>
          <w:color w:val="auto"/>
          <w:sz w:val="21"/>
          <w:szCs w:val="21"/>
          <w:highlight w:val="none"/>
          <w:shd w:val="clear" w:color="auto" w:fill="FFFFFF"/>
        </w:rPr>
        <w:t>3.4请供应商下载竞争性磋商文件后及时关注系统业务菜单（“答疑澄清文件领取”，“控制价文件领取”）内该项目是否有新的答疑澄清文件或控制价文件。如有请直接下载，不再另行通知。</w:t>
      </w:r>
    </w:p>
    <w:p w14:paraId="0223F097">
      <w:pPr>
        <w:pStyle w:val="48"/>
        <w:spacing w:before="0" w:beforeAutospacing="0" w:after="0" w:afterAutospacing="0" w:line="400" w:lineRule="exact"/>
        <w:ind w:firstLine="420" w:firstLineChars="200"/>
        <w:jc w:val="both"/>
        <w:rPr>
          <w:rFonts w:cs="宋体"/>
          <w:color w:val="auto"/>
          <w:sz w:val="21"/>
          <w:szCs w:val="21"/>
          <w:highlight w:val="none"/>
        </w:rPr>
      </w:pPr>
      <w:r>
        <w:rPr>
          <w:rFonts w:hint="eastAsia" w:cs="宋体"/>
          <w:color w:val="auto"/>
          <w:sz w:val="21"/>
          <w:szCs w:val="21"/>
          <w:highlight w:val="none"/>
          <w:shd w:val="clear" w:color="auto" w:fill="FFFFFF"/>
        </w:rPr>
        <w:t>4.售价：竞争性磋商文件售价0元。</w:t>
      </w:r>
    </w:p>
    <w:p w14:paraId="4C4D02C5">
      <w:pPr>
        <w:widowControl/>
        <w:spacing w:line="400" w:lineRule="exact"/>
        <w:jc w:val="left"/>
        <w:rPr>
          <w:rFonts w:ascii="宋体" w:hAnsi="宋体" w:cs="宋体"/>
          <w:b/>
          <w:bCs/>
          <w:color w:val="auto"/>
          <w:highlight w:val="none"/>
        </w:rPr>
      </w:pPr>
      <w:r>
        <w:rPr>
          <w:rFonts w:hint="eastAsia" w:ascii="宋体" w:hAnsi="宋体" w:cs="宋体"/>
          <w:b/>
          <w:bCs/>
          <w:color w:val="auto"/>
          <w:highlight w:val="none"/>
        </w:rPr>
        <w:t xml:space="preserve">四、响应文件的提交 </w:t>
      </w:r>
    </w:p>
    <w:p w14:paraId="57449E95">
      <w:pPr>
        <w:pStyle w:val="28"/>
        <w:spacing w:line="400" w:lineRule="exact"/>
        <w:ind w:firstLine="420" w:firstLineChars="200"/>
        <w:rPr>
          <w:rFonts w:hAnsi="宋体" w:cs="宋体"/>
          <w:bCs/>
          <w:color w:val="auto"/>
          <w:kern w:val="2"/>
          <w:sz w:val="21"/>
          <w:szCs w:val="21"/>
          <w:highlight w:val="none"/>
        </w:rPr>
      </w:pPr>
      <w:r>
        <w:rPr>
          <w:rFonts w:hint="eastAsia" w:hAnsi="宋体" w:cs="宋体"/>
          <w:bCs/>
          <w:color w:val="auto"/>
          <w:kern w:val="2"/>
          <w:sz w:val="21"/>
          <w:szCs w:val="21"/>
          <w:highlight w:val="none"/>
        </w:rPr>
        <w:t>1.时间：202</w:t>
      </w:r>
      <w:r>
        <w:rPr>
          <w:rFonts w:hint="eastAsia" w:hAnsi="宋体" w:cs="宋体"/>
          <w:bCs/>
          <w:color w:val="auto"/>
          <w:kern w:val="2"/>
          <w:sz w:val="21"/>
          <w:szCs w:val="21"/>
          <w:highlight w:val="none"/>
          <w:lang w:val="en-US" w:eastAsia="zh-CN"/>
        </w:rPr>
        <w:t>6</w:t>
      </w:r>
      <w:r>
        <w:rPr>
          <w:rFonts w:hint="eastAsia" w:hAnsi="宋体" w:cs="宋体"/>
          <w:bCs/>
          <w:color w:val="auto"/>
          <w:kern w:val="2"/>
          <w:sz w:val="21"/>
          <w:szCs w:val="21"/>
          <w:highlight w:val="none"/>
        </w:rPr>
        <w:t>年</w:t>
      </w:r>
      <w:r>
        <w:rPr>
          <w:rFonts w:hint="eastAsia" w:hAnsi="宋体" w:cs="宋体"/>
          <w:bCs/>
          <w:color w:val="auto"/>
          <w:kern w:val="2"/>
          <w:sz w:val="21"/>
          <w:szCs w:val="21"/>
          <w:highlight w:val="none"/>
          <w:lang w:val="en-US" w:eastAsia="zh-CN"/>
        </w:rPr>
        <w:t xml:space="preserve">8 </w:t>
      </w:r>
      <w:r>
        <w:rPr>
          <w:rFonts w:hint="eastAsia" w:hAnsi="宋体" w:cs="宋体"/>
          <w:bCs/>
          <w:color w:val="auto"/>
          <w:kern w:val="2"/>
          <w:sz w:val="21"/>
          <w:szCs w:val="21"/>
          <w:highlight w:val="none"/>
        </w:rPr>
        <w:t>月</w:t>
      </w:r>
      <w:r>
        <w:rPr>
          <w:rFonts w:hint="eastAsia" w:hAnsi="宋体" w:cs="宋体"/>
          <w:bCs/>
          <w:color w:val="auto"/>
          <w:kern w:val="2"/>
          <w:sz w:val="21"/>
          <w:szCs w:val="21"/>
          <w:highlight w:val="none"/>
          <w:lang w:val="en-US" w:eastAsia="zh-CN"/>
        </w:rPr>
        <w:t xml:space="preserve">5 </w:t>
      </w:r>
      <w:r>
        <w:rPr>
          <w:rFonts w:hint="eastAsia" w:hAnsi="宋体" w:cs="宋体"/>
          <w:bCs/>
          <w:color w:val="auto"/>
          <w:kern w:val="2"/>
          <w:sz w:val="21"/>
          <w:szCs w:val="21"/>
          <w:highlight w:val="none"/>
        </w:rPr>
        <w:t>日</w:t>
      </w:r>
      <w:r>
        <w:rPr>
          <w:rFonts w:hint="eastAsia" w:hAnsi="宋体" w:cs="宋体"/>
          <w:bCs/>
          <w:color w:val="auto"/>
          <w:kern w:val="2"/>
          <w:sz w:val="21"/>
          <w:szCs w:val="21"/>
          <w:highlight w:val="none"/>
          <w:lang w:val="en-US" w:eastAsia="zh-CN"/>
        </w:rPr>
        <w:t>9</w:t>
      </w:r>
      <w:r>
        <w:rPr>
          <w:rFonts w:hint="eastAsia" w:hAnsi="宋体" w:cs="宋体"/>
          <w:bCs/>
          <w:color w:val="auto"/>
          <w:kern w:val="2"/>
          <w:sz w:val="21"/>
          <w:szCs w:val="21"/>
          <w:highlight w:val="none"/>
        </w:rPr>
        <w:t>时</w:t>
      </w:r>
      <w:r>
        <w:rPr>
          <w:rFonts w:hint="eastAsia" w:hAnsi="宋体" w:cs="宋体"/>
          <w:bCs/>
          <w:color w:val="auto"/>
          <w:kern w:val="2"/>
          <w:sz w:val="21"/>
          <w:szCs w:val="21"/>
          <w:highlight w:val="none"/>
          <w:lang w:val="en-US" w:eastAsia="zh-CN"/>
        </w:rPr>
        <w:t>0</w:t>
      </w:r>
      <w:r>
        <w:rPr>
          <w:rFonts w:hint="eastAsia" w:hAnsi="宋体" w:cs="宋体"/>
          <w:bCs/>
          <w:color w:val="auto"/>
          <w:kern w:val="2"/>
          <w:sz w:val="21"/>
          <w:szCs w:val="21"/>
          <w:highlight w:val="none"/>
        </w:rPr>
        <w:t>0分（北京时间）。</w:t>
      </w:r>
    </w:p>
    <w:p w14:paraId="1AFB65BD">
      <w:pPr>
        <w:pStyle w:val="28"/>
        <w:spacing w:line="400" w:lineRule="exact"/>
        <w:ind w:firstLine="420" w:firstLineChars="200"/>
        <w:rPr>
          <w:rFonts w:hAnsi="宋体" w:cs="宋体"/>
          <w:bCs/>
          <w:color w:val="auto"/>
          <w:kern w:val="2"/>
          <w:sz w:val="21"/>
          <w:szCs w:val="21"/>
          <w:highlight w:val="none"/>
        </w:rPr>
      </w:pPr>
      <w:r>
        <w:rPr>
          <w:rFonts w:hint="eastAsia" w:hAnsi="宋体" w:cs="宋体"/>
          <w:bCs/>
          <w:color w:val="auto"/>
          <w:kern w:val="2"/>
          <w:sz w:val="21"/>
          <w:szCs w:val="21"/>
          <w:highlight w:val="none"/>
        </w:rPr>
        <w:t>2.电子响应文件的递交</w:t>
      </w:r>
    </w:p>
    <w:p w14:paraId="5453E7F0">
      <w:pPr>
        <w:pStyle w:val="28"/>
        <w:spacing w:line="400" w:lineRule="exact"/>
        <w:ind w:firstLine="420" w:firstLineChars="200"/>
        <w:rPr>
          <w:rFonts w:hAnsi="宋体" w:cs="宋体"/>
          <w:bCs/>
          <w:color w:val="auto"/>
          <w:kern w:val="2"/>
          <w:sz w:val="21"/>
          <w:szCs w:val="21"/>
          <w:highlight w:val="none"/>
        </w:rPr>
      </w:pPr>
      <w:r>
        <w:rPr>
          <w:rFonts w:hint="eastAsia" w:hAnsi="宋体" w:cs="宋体"/>
          <w:bCs/>
          <w:color w:val="auto"/>
          <w:kern w:val="2"/>
          <w:sz w:val="21"/>
          <w:szCs w:val="21"/>
          <w:highlight w:val="none"/>
        </w:rPr>
        <w:t>各供应商应在投标文件递交截止时间前上传加密的电子投标文件（*.XYTF）到会员系统的指定位置。上传的电子投标文件应使用供应商CA数字证书认证并加密。上传时必须得到交易系统“上传成功”的确认回复后方为上传成功。请供应商在上传前务必认真检查上传投标文件是否完整、正确。</w:t>
      </w:r>
    </w:p>
    <w:p w14:paraId="7790187E">
      <w:pPr>
        <w:pStyle w:val="28"/>
        <w:spacing w:line="400" w:lineRule="exact"/>
        <w:ind w:firstLine="420" w:firstLineChars="200"/>
        <w:rPr>
          <w:rFonts w:hAnsi="宋体" w:cs="宋体"/>
          <w:bCs/>
          <w:color w:val="auto"/>
          <w:kern w:val="2"/>
          <w:sz w:val="21"/>
          <w:szCs w:val="21"/>
          <w:highlight w:val="none"/>
        </w:rPr>
      </w:pPr>
      <w:r>
        <w:rPr>
          <w:rFonts w:hint="eastAsia" w:hAnsi="宋体" w:cs="宋体"/>
          <w:bCs/>
          <w:color w:val="auto"/>
          <w:kern w:val="2"/>
          <w:sz w:val="21"/>
          <w:szCs w:val="21"/>
          <w:highlight w:val="none"/>
        </w:rPr>
        <w:t>3.除电子投标文件外，不再接受任何纸质文件、资料原件等。</w:t>
      </w:r>
    </w:p>
    <w:p w14:paraId="52F97111">
      <w:pPr>
        <w:pStyle w:val="28"/>
        <w:spacing w:line="400" w:lineRule="exact"/>
        <w:ind w:firstLine="420" w:firstLineChars="200"/>
        <w:rPr>
          <w:rFonts w:hAnsi="宋体" w:cs="宋体"/>
          <w:bCs/>
          <w:color w:val="auto"/>
          <w:kern w:val="2"/>
          <w:sz w:val="21"/>
          <w:szCs w:val="21"/>
          <w:highlight w:val="none"/>
        </w:rPr>
      </w:pPr>
      <w:r>
        <w:rPr>
          <w:rFonts w:hint="eastAsia" w:hAnsi="宋体" w:cs="宋体"/>
          <w:bCs/>
          <w:color w:val="auto"/>
          <w:kern w:val="2"/>
          <w:sz w:val="21"/>
          <w:szCs w:val="21"/>
          <w:highlight w:val="none"/>
        </w:rPr>
        <w:t>4.本项目评标以电子投标文件为依据。加密电子投标文件逾期上传，采购人不予受理。</w:t>
      </w:r>
    </w:p>
    <w:p w14:paraId="097B951A">
      <w:pPr>
        <w:pStyle w:val="28"/>
        <w:spacing w:line="400" w:lineRule="exact"/>
        <w:rPr>
          <w:rFonts w:hAnsi="宋体" w:cs="宋体"/>
          <w:b/>
          <w:color w:val="auto"/>
          <w:kern w:val="2"/>
          <w:sz w:val="21"/>
          <w:szCs w:val="21"/>
          <w:highlight w:val="none"/>
        </w:rPr>
      </w:pPr>
      <w:r>
        <w:rPr>
          <w:rFonts w:hint="eastAsia" w:hAnsi="宋体" w:cs="宋体"/>
          <w:b/>
          <w:color w:val="auto"/>
          <w:kern w:val="2"/>
          <w:sz w:val="21"/>
          <w:szCs w:val="21"/>
          <w:highlight w:val="none"/>
        </w:rPr>
        <w:t>五</w:t>
      </w:r>
      <w:r>
        <w:rPr>
          <w:rFonts w:hint="eastAsia" w:hAnsi="宋体" w:cs="宋体"/>
          <w:b/>
          <w:bCs/>
          <w:color w:val="auto"/>
          <w:sz w:val="21"/>
          <w:szCs w:val="21"/>
          <w:highlight w:val="none"/>
        </w:rPr>
        <w:t>、</w:t>
      </w:r>
      <w:r>
        <w:rPr>
          <w:rFonts w:hint="eastAsia" w:hAnsi="宋体" w:cs="宋体"/>
          <w:b/>
          <w:color w:val="auto"/>
          <w:kern w:val="2"/>
          <w:sz w:val="21"/>
          <w:szCs w:val="21"/>
          <w:highlight w:val="none"/>
        </w:rPr>
        <w:t>响应文件的开启</w:t>
      </w:r>
    </w:p>
    <w:p w14:paraId="51525F59">
      <w:pPr>
        <w:pStyle w:val="28"/>
        <w:spacing w:line="400" w:lineRule="exact"/>
        <w:ind w:firstLine="420"/>
        <w:rPr>
          <w:rFonts w:hAnsi="宋体" w:cs="宋体"/>
          <w:bCs/>
          <w:color w:val="auto"/>
          <w:kern w:val="2"/>
          <w:sz w:val="21"/>
          <w:szCs w:val="21"/>
          <w:highlight w:val="none"/>
        </w:rPr>
      </w:pPr>
      <w:r>
        <w:rPr>
          <w:rFonts w:hint="eastAsia" w:hAnsi="宋体" w:cs="宋体"/>
          <w:bCs/>
          <w:color w:val="auto"/>
          <w:kern w:val="2"/>
          <w:sz w:val="21"/>
          <w:szCs w:val="21"/>
          <w:highlight w:val="none"/>
        </w:rPr>
        <w:t>1.时间：202</w:t>
      </w:r>
      <w:r>
        <w:rPr>
          <w:rFonts w:hint="eastAsia" w:hAnsi="宋体" w:cs="宋体"/>
          <w:bCs/>
          <w:color w:val="auto"/>
          <w:kern w:val="2"/>
          <w:sz w:val="21"/>
          <w:szCs w:val="21"/>
          <w:highlight w:val="none"/>
          <w:lang w:val="en-US" w:eastAsia="zh-CN"/>
        </w:rPr>
        <w:t>6</w:t>
      </w:r>
      <w:r>
        <w:rPr>
          <w:rFonts w:hint="eastAsia" w:hAnsi="宋体" w:cs="宋体"/>
          <w:bCs/>
          <w:color w:val="auto"/>
          <w:kern w:val="2"/>
          <w:sz w:val="21"/>
          <w:szCs w:val="21"/>
          <w:highlight w:val="none"/>
        </w:rPr>
        <w:t>年</w:t>
      </w:r>
      <w:r>
        <w:rPr>
          <w:rFonts w:hint="eastAsia" w:hAnsi="宋体" w:cs="宋体"/>
          <w:bCs/>
          <w:color w:val="auto"/>
          <w:kern w:val="2"/>
          <w:sz w:val="21"/>
          <w:szCs w:val="21"/>
          <w:highlight w:val="none"/>
          <w:lang w:val="en-US" w:eastAsia="zh-CN"/>
        </w:rPr>
        <w:t xml:space="preserve"> 8 </w:t>
      </w:r>
      <w:r>
        <w:rPr>
          <w:rFonts w:hint="eastAsia" w:hAnsi="宋体" w:cs="宋体"/>
          <w:bCs/>
          <w:color w:val="auto"/>
          <w:kern w:val="2"/>
          <w:sz w:val="21"/>
          <w:szCs w:val="21"/>
          <w:highlight w:val="none"/>
        </w:rPr>
        <w:t>月</w:t>
      </w:r>
      <w:r>
        <w:rPr>
          <w:rFonts w:hint="eastAsia" w:hAnsi="宋体" w:cs="宋体"/>
          <w:bCs/>
          <w:color w:val="auto"/>
          <w:kern w:val="2"/>
          <w:sz w:val="21"/>
          <w:szCs w:val="21"/>
          <w:highlight w:val="none"/>
          <w:lang w:val="en-US" w:eastAsia="zh-CN"/>
        </w:rPr>
        <w:t xml:space="preserve">5 </w:t>
      </w:r>
      <w:r>
        <w:rPr>
          <w:rFonts w:hint="eastAsia" w:hAnsi="宋体" w:cs="宋体"/>
          <w:bCs/>
          <w:color w:val="auto"/>
          <w:kern w:val="2"/>
          <w:sz w:val="21"/>
          <w:szCs w:val="21"/>
          <w:highlight w:val="none"/>
        </w:rPr>
        <w:t>日9时</w:t>
      </w:r>
      <w:r>
        <w:rPr>
          <w:rFonts w:hint="eastAsia" w:hAnsi="宋体" w:cs="宋体"/>
          <w:bCs/>
          <w:color w:val="auto"/>
          <w:kern w:val="2"/>
          <w:sz w:val="21"/>
          <w:szCs w:val="21"/>
          <w:highlight w:val="none"/>
          <w:lang w:val="en-US" w:eastAsia="zh-CN"/>
        </w:rPr>
        <w:t>0</w:t>
      </w:r>
      <w:r>
        <w:rPr>
          <w:rFonts w:hint="eastAsia" w:hAnsi="宋体" w:cs="宋体"/>
          <w:bCs/>
          <w:color w:val="auto"/>
          <w:kern w:val="2"/>
          <w:sz w:val="21"/>
          <w:szCs w:val="21"/>
          <w:highlight w:val="none"/>
        </w:rPr>
        <w:t>0分（北京时间）。</w:t>
      </w:r>
    </w:p>
    <w:p w14:paraId="03B4127C">
      <w:pPr>
        <w:pStyle w:val="28"/>
        <w:spacing w:line="400" w:lineRule="exact"/>
        <w:ind w:firstLine="420"/>
        <w:rPr>
          <w:rFonts w:hint="eastAsia" w:hAnsi="宋体" w:cs="宋体"/>
          <w:bCs/>
          <w:color w:val="auto"/>
          <w:kern w:val="2"/>
          <w:sz w:val="21"/>
          <w:szCs w:val="21"/>
          <w:highlight w:val="none"/>
        </w:rPr>
      </w:pPr>
      <w:r>
        <w:rPr>
          <w:rFonts w:hint="eastAsia" w:hAnsi="宋体" w:cs="宋体"/>
          <w:bCs/>
          <w:color w:val="auto"/>
          <w:kern w:val="2"/>
          <w:sz w:val="21"/>
          <w:szCs w:val="21"/>
          <w:highlight w:val="none"/>
        </w:rPr>
        <w:t>2.地点：新县公共资源交易中心</w:t>
      </w:r>
      <w:r>
        <w:rPr>
          <w:rFonts w:hint="eastAsia" w:hAnsi="宋体" w:cs="宋体"/>
          <w:bCs/>
          <w:color w:val="auto"/>
          <w:kern w:val="2"/>
          <w:sz w:val="21"/>
          <w:szCs w:val="21"/>
          <w:highlight w:val="none"/>
          <w:lang w:val="en-US" w:eastAsia="zh-CN"/>
        </w:rPr>
        <w:t>不见面</w:t>
      </w:r>
      <w:r>
        <w:rPr>
          <w:rFonts w:hint="eastAsia" w:hAnsi="宋体" w:cs="宋体"/>
          <w:bCs/>
          <w:color w:val="auto"/>
          <w:kern w:val="2"/>
          <w:sz w:val="21"/>
          <w:szCs w:val="21"/>
          <w:highlight w:val="none"/>
        </w:rPr>
        <w:t>开标</w:t>
      </w:r>
      <w:r>
        <w:rPr>
          <w:rFonts w:hint="eastAsia" w:hAnsi="宋体" w:cs="宋体"/>
          <w:bCs/>
          <w:color w:val="auto"/>
          <w:kern w:val="2"/>
          <w:sz w:val="21"/>
          <w:szCs w:val="21"/>
          <w:highlight w:val="none"/>
          <w:lang w:val="en-US" w:eastAsia="zh-CN"/>
        </w:rPr>
        <w:t xml:space="preserve"> 2 厅</w:t>
      </w:r>
      <w:r>
        <w:rPr>
          <w:rFonts w:hint="eastAsia" w:hAnsi="宋体" w:cs="宋体"/>
          <w:bCs/>
          <w:color w:val="auto"/>
          <w:kern w:val="2"/>
          <w:sz w:val="21"/>
          <w:szCs w:val="21"/>
          <w:highlight w:val="none"/>
        </w:rPr>
        <w:t>。</w:t>
      </w:r>
    </w:p>
    <w:p w14:paraId="587766CD">
      <w:pPr>
        <w:pStyle w:val="28"/>
        <w:spacing w:line="400" w:lineRule="exact"/>
        <w:rPr>
          <w:rFonts w:hint="eastAsia" w:hAnsi="宋体" w:cs="宋体"/>
          <w:b/>
          <w:bCs/>
          <w:color w:val="auto"/>
          <w:sz w:val="21"/>
          <w:szCs w:val="21"/>
          <w:highlight w:val="none"/>
        </w:rPr>
      </w:pPr>
      <w:r>
        <w:rPr>
          <w:rFonts w:hint="eastAsia" w:hAnsi="宋体" w:cs="宋体"/>
          <w:b/>
          <w:bCs/>
          <w:color w:val="auto"/>
          <w:sz w:val="21"/>
          <w:szCs w:val="21"/>
          <w:highlight w:val="none"/>
        </w:rPr>
        <w:t>六、公告发布媒介及公告期限</w:t>
      </w:r>
    </w:p>
    <w:p w14:paraId="6AB4E7F5">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本次竞争性磋商公告在《河南省政府采购网》、</w:t>
      </w:r>
      <w:r>
        <w:rPr>
          <w:rFonts w:hint="eastAsia" w:ascii="宋体" w:hAnsi="宋体" w:cs="宋体"/>
          <w:color w:val="auto"/>
          <w:highlight w:val="none"/>
          <w:lang w:eastAsia="zh-CN"/>
        </w:rPr>
        <w:t>《全国公共资源交易平台（河南省·</w:t>
      </w:r>
      <w:r>
        <w:rPr>
          <w:rFonts w:hint="eastAsia" w:ascii="宋体" w:hAnsi="宋体" w:cs="宋体"/>
          <w:color w:val="auto"/>
          <w:highlight w:val="none"/>
          <w:lang w:val="en-US" w:eastAsia="zh-CN"/>
        </w:rPr>
        <w:t>新县</w:t>
      </w:r>
      <w:r>
        <w:rPr>
          <w:rFonts w:hint="eastAsia" w:ascii="宋体" w:hAnsi="宋体" w:cs="宋体"/>
          <w:color w:val="auto"/>
          <w:highlight w:val="none"/>
          <w:lang w:eastAsia="zh-CN"/>
        </w:rPr>
        <w:t>）》</w:t>
      </w:r>
      <w:r>
        <w:rPr>
          <w:rFonts w:hint="eastAsia" w:ascii="宋体" w:hAnsi="宋体" w:cs="宋体"/>
          <w:color w:val="auto"/>
          <w:highlight w:val="none"/>
        </w:rPr>
        <w:t>上发布。 公告期限为五个工作日。</w:t>
      </w:r>
    </w:p>
    <w:p w14:paraId="4EA847C6">
      <w:pPr>
        <w:pStyle w:val="52"/>
        <w:spacing w:after="0" w:line="400" w:lineRule="exact"/>
        <w:ind w:firstLine="0" w:firstLineChars="0"/>
        <w:rPr>
          <w:rFonts w:ascii="宋体" w:hAnsi="宋体" w:cs="宋体"/>
          <w:b/>
          <w:color w:val="auto"/>
          <w:szCs w:val="21"/>
          <w:highlight w:val="none"/>
          <w:shd w:val="clear" w:color="auto" w:fill="FFFFFF"/>
        </w:rPr>
      </w:pPr>
      <w:r>
        <w:rPr>
          <w:rFonts w:hint="eastAsia" w:ascii="宋体" w:hAnsi="宋体" w:cs="宋体"/>
          <w:b/>
          <w:color w:val="auto"/>
          <w:szCs w:val="21"/>
          <w:highlight w:val="none"/>
          <w:shd w:val="clear" w:color="auto" w:fill="FFFFFF"/>
        </w:rPr>
        <w:t>七</w:t>
      </w:r>
      <w:r>
        <w:rPr>
          <w:rFonts w:hint="eastAsia" w:ascii="宋体" w:hAnsi="宋体" w:cs="宋体"/>
          <w:b/>
          <w:color w:val="auto"/>
          <w:szCs w:val="21"/>
          <w:highlight w:val="none"/>
        </w:rPr>
        <w:t>、</w:t>
      </w:r>
      <w:r>
        <w:rPr>
          <w:rFonts w:hint="eastAsia" w:ascii="宋体" w:hAnsi="宋体" w:cs="宋体"/>
          <w:b/>
          <w:color w:val="auto"/>
          <w:szCs w:val="21"/>
          <w:highlight w:val="none"/>
          <w:shd w:val="clear" w:color="auto" w:fill="FFFFFF"/>
        </w:rPr>
        <w:t>其他补充事宜</w:t>
      </w:r>
    </w:p>
    <w:p w14:paraId="36416BF0">
      <w:pPr>
        <w:pStyle w:val="48"/>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cs="宋体"/>
          <w:color w:val="auto"/>
          <w:sz w:val="21"/>
          <w:szCs w:val="21"/>
          <w:highlight w:val="none"/>
        </w:rPr>
      </w:pPr>
      <w:r>
        <w:rPr>
          <w:rFonts w:hint="eastAsia" w:cs="宋体"/>
          <w:color w:val="auto"/>
          <w:sz w:val="21"/>
          <w:szCs w:val="21"/>
          <w:highlight w:val="none"/>
          <w:shd w:val="clear" w:color="auto" w:fill="FFFFFF"/>
        </w:rPr>
        <w:t>1.本项目采用“不见面开标”交易方式，不见面开标大厅网址为https://ggzyjy.xinyang.gov.cn/BidOpening，供应商无需寄送和递交非加密的电子响应文件，无需到现场参加开标会议，无需到达现场提交原件资料。</w:t>
      </w:r>
    </w:p>
    <w:p w14:paraId="372C6034">
      <w:pPr>
        <w:pStyle w:val="48"/>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cs="宋体"/>
          <w:color w:val="auto"/>
          <w:sz w:val="21"/>
          <w:szCs w:val="21"/>
          <w:highlight w:val="none"/>
        </w:rPr>
      </w:pPr>
      <w:r>
        <w:rPr>
          <w:rFonts w:hint="eastAsia" w:cs="宋体"/>
          <w:color w:val="auto"/>
          <w:sz w:val="21"/>
          <w:szCs w:val="21"/>
          <w:highlight w:val="none"/>
          <w:shd w:val="clear" w:color="auto" w:fill="FFFFFF"/>
        </w:rPr>
        <w:t>2.供应商应当在投标截止时间前，使用供应商CA数字证书登录不见面开标大厅，在线签到并准时参加开标活动，并在规定时间内完成响应文件解密、答疑澄清等。</w:t>
      </w:r>
    </w:p>
    <w:p w14:paraId="1787D0D0">
      <w:pPr>
        <w:pStyle w:val="48"/>
        <w:spacing w:before="0" w:beforeAutospacing="0" w:after="0" w:afterAutospacing="0" w:line="400" w:lineRule="exact"/>
        <w:ind w:firstLine="420" w:firstLineChars="200"/>
        <w:jc w:val="both"/>
        <w:rPr>
          <w:rFonts w:cs="宋体"/>
          <w:color w:val="auto"/>
          <w:sz w:val="21"/>
          <w:szCs w:val="21"/>
          <w:highlight w:val="none"/>
        </w:rPr>
      </w:pPr>
      <w:r>
        <w:rPr>
          <w:rFonts w:hint="eastAsia" w:cs="宋体"/>
          <w:color w:val="auto"/>
          <w:sz w:val="21"/>
          <w:szCs w:val="21"/>
          <w:highlight w:val="none"/>
          <w:shd w:val="clear" w:color="auto" w:fill="FFFFFF"/>
        </w:rPr>
        <w:t>3.逾期解密或者没有准时在线参加开标活动导致的一切后果供应商自行承担。</w:t>
      </w:r>
    </w:p>
    <w:p w14:paraId="5D19586F">
      <w:pPr>
        <w:pStyle w:val="48"/>
        <w:spacing w:before="0" w:beforeAutospacing="0" w:after="0" w:afterAutospacing="0" w:line="400" w:lineRule="exact"/>
        <w:ind w:firstLine="420" w:firstLineChars="200"/>
        <w:jc w:val="both"/>
        <w:rPr>
          <w:rFonts w:hint="eastAsia" w:cs="宋体"/>
          <w:color w:val="auto"/>
          <w:sz w:val="21"/>
          <w:szCs w:val="21"/>
          <w:highlight w:val="none"/>
          <w:shd w:val="clear" w:color="auto" w:fill="FFFFFF"/>
        </w:rPr>
      </w:pPr>
      <w:r>
        <w:rPr>
          <w:rFonts w:hint="eastAsia" w:cs="宋体"/>
          <w:color w:val="auto"/>
          <w:sz w:val="21"/>
          <w:szCs w:val="21"/>
          <w:highlight w:val="none"/>
          <w:shd w:val="clear" w:color="auto" w:fill="FFFFFF"/>
        </w:rPr>
        <w:t>4.不见面开标服务的具体事宜，请查阅信阳市公共资源交易中心网站首页—下载中心—信阳市不见面开标大厅系统操作手册 。</w:t>
      </w:r>
    </w:p>
    <w:p w14:paraId="32B7DCB8">
      <w:pPr>
        <w:pStyle w:val="48"/>
        <w:spacing w:before="0" w:beforeAutospacing="0" w:after="0" w:afterAutospacing="0" w:line="400" w:lineRule="exact"/>
        <w:ind w:firstLine="420" w:firstLineChars="200"/>
        <w:jc w:val="both"/>
        <w:rPr>
          <w:rFonts w:hint="eastAsia" w:cs="宋体"/>
          <w:color w:val="auto"/>
          <w:sz w:val="21"/>
          <w:szCs w:val="21"/>
          <w:highlight w:val="none"/>
          <w:shd w:val="clear" w:color="auto" w:fill="FFFFFF"/>
          <w:lang w:val="en-US" w:eastAsia="zh-CN"/>
        </w:rPr>
      </w:pPr>
      <w:r>
        <w:rPr>
          <w:rFonts w:hint="eastAsia" w:cs="宋体"/>
          <w:color w:val="auto"/>
          <w:sz w:val="21"/>
          <w:szCs w:val="21"/>
          <w:highlight w:val="none"/>
          <w:shd w:val="clear" w:color="auto" w:fill="FFFFFF"/>
          <w:lang w:val="en-US" w:eastAsia="zh-CN"/>
        </w:rPr>
        <w:t>5</w:t>
      </w:r>
      <w:r>
        <w:rPr>
          <w:rFonts w:hint="eastAsia" w:cs="宋体"/>
          <w:color w:val="auto"/>
          <w:sz w:val="21"/>
          <w:szCs w:val="21"/>
          <w:highlight w:val="none"/>
          <w:shd w:val="clear" w:color="auto" w:fill="FFFFFF"/>
        </w:rPr>
        <w:t>.</w:t>
      </w:r>
      <w:r>
        <w:rPr>
          <w:rFonts w:hint="eastAsia" w:cs="宋体"/>
          <w:color w:val="auto"/>
          <w:sz w:val="21"/>
          <w:szCs w:val="21"/>
          <w:highlight w:val="none"/>
          <w:shd w:val="clear" w:color="auto" w:fill="FFFFFF"/>
          <w:lang w:val="en-US" w:eastAsia="zh-CN"/>
        </w:rPr>
        <w:t>本次招标实行电子招投标，实行远程异地评标。</w:t>
      </w:r>
    </w:p>
    <w:p w14:paraId="74D8E640">
      <w:pPr>
        <w:pStyle w:val="48"/>
        <w:spacing w:before="0" w:beforeAutospacing="0" w:after="0" w:afterAutospacing="0" w:line="400" w:lineRule="exact"/>
        <w:ind w:firstLine="420" w:firstLineChars="200"/>
        <w:jc w:val="both"/>
        <w:rPr>
          <w:rFonts w:cs="宋体"/>
          <w:color w:val="auto"/>
          <w:sz w:val="21"/>
          <w:szCs w:val="21"/>
          <w:highlight w:val="none"/>
          <w:shd w:val="clear" w:color="auto" w:fill="FFFFFF"/>
        </w:rPr>
      </w:pPr>
      <w:r>
        <w:rPr>
          <w:rFonts w:hint="eastAsia" w:cs="宋体"/>
          <w:color w:val="auto"/>
          <w:sz w:val="21"/>
          <w:szCs w:val="21"/>
          <w:highlight w:val="none"/>
          <w:shd w:val="clear" w:color="auto" w:fill="FFFFFF"/>
          <w:lang w:val="en-US" w:eastAsia="zh-CN"/>
        </w:rPr>
        <w:t>6.本项目代理服务费按照“豫招协〔2023〕002号”收费标准收取,</w:t>
      </w:r>
    </w:p>
    <w:p w14:paraId="4E8CA9CE">
      <w:pPr>
        <w:adjustRightInd w:val="0"/>
        <w:snapToGrid w:val="0"/>
        <w:spacing w:line="400" w:lineRule="exact"/>
        <w:ind w:firstLine="422" w:firstLineChars="200"/>
        <w:jc w:val="left"/>
        <w:rPr>
          <w:rFonts w:ascii="宋体" w:hAnsi="宋体" w:cs="宋体"/>
          <w:b/>
          <w:bCs/>
          <w:color w:val="auto"/>
          <w:highlight w:val="none"/>
          <w:shd w:val="clear" w:color="auto" w:fill="FFFFFF"/>
        </w:rPr>
      </w:pPr>
      <w:r>
        <w:rPr>
          <w:rFonts w:hint="eastAsia" w:ascii="宋体" w:hAnsi="宋体" w:cs="宋体"/>
          <w:b/>
          <w:bCs/>
          <w:color w:val="auto"/>
          <w:highlight w:val="none"/>
          <w:shd w:val="clear" w:color="auto" w:fill="FFFFFF"/>
        </w:rPr>
        <w:t>特别提示：供应商在线签到时，应如实准确的填写授权委托人的联系电话，开标当天请务必保证电话保持畅通。</w:t>
      </w:r>
    </w:p>
    <w:p w14:paraId="7C6F4493">
      <w:pPr>
        <w:numPr>
          <w:ilvl w:val="0"/>
          <w:numId w:val="0"/>
        </w:numPr>
        <w:adjustRightInd w:val="0"/>
        <w:snapToGrid w:val="0"/>
        <w:spacing w:line="400" w:lineRule="exact"/>
        <w:ind w:firstLine="420" w:firstLineChars="200"/>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7.监督单位：新县财政局政府采购办</w:t>
      </w:r>
    </w:p>
    <w:p w14:paraId="618BB4D9">
      <w:pPr>
        <w:numPr>
          <w:ilvl w:val="0"/>
          <w:numId w:val="0"/>
        </w:numPr>
        <w:adjustRightInd w:val="0"/>
        <w:snapToGrid w:val="0"/>
        <w:spacing w:line="400" w:lineRule="exact"/>
        <w:ind w:firstLine="420" w:firstLineChars="200"/>
        <w:jc w:val="left"/>
        <w:rPr>
          <w:rFonts w:hint="eastAsia" w:ascii="宋体" w:hAnsi="宋体" w:cs="宋体"/>
          <w:color w:val="auto"/>
          <w:highlight w:val="none"/>
          <w:lang w:eastAsia="zh-CN"/>
        </w:rPr>
      </w:pPr>
      <w:r>
        <w:rPr>
          <w:rFonts w:hint="eastAsia" w:ascii="宋体" w:hAnsi="宋体" w:eastAsia="宋体" w:cs="宋体"/>
          <w:color w:val="auto"/>
          <w:highlight w:val="none"/>
          <w:lang w:val="en-US" w:eastAsia="zh-CN"/>
        </w:rPr>
        <w:t>联系方式：0376-2980510</w:t>
      </w:r>
    </w:p>
    <w:p w14:paraId="76BF83EC">
      <w:pPr>
        <w:spacing w:line="400" w:lineRule="exact"/>
        <w:rPr>
          <w:rFonts w:ascii="宋体" w:hAnsi="宋体" w:cs="宋体"/>
          <w:b/>
          <w:color w:val="auto"/>
          <w:highlight w:val="none"/>
        </w:rPr>
      </w:pPr>
      <w:r>
        <w:rPr>
          <w:rFonts w:hint="eastAsia" w:ascii="宋体" w:hAnsi="宋体" w:cs="宋体"/>
          <w:b/>
          <w:color w:val="auto"/>
          <w:highlight w:val="none"/>
        </w:rPr>
        <w:t>八、凡对本次招标提出询问，请按照以下方式联系：</w:t>
      </w:r>
    </w:p>
    <w:p w14:paraId="4DBC4019">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1.采购人信息</w:t>
      </w:r>
    </w:p>
    <w:p w14:paraId="143F9BC2">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采 购 人：新县林业局</w:t>
      </w:r>
    </w:p>
    <w:p w14:paraId="0A30DDC4">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地    址：新县城关潢河北路</w:t>
      </w:r>
    </w:p>
    <w:p w14:paraId="052FAE88">
      <w:pPr>
        <w:pStyle w:val="48"/>
        <w:spacing w:before="0" w:beforeAutospacing="0" w:after="0" w:afterAutospacing="0" w:line="400" w:lineRule="exact"/>
        <w:ind w:firstLine="420" w:firstLineChars="200"/>
        <w:jc w:val="both"/>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联 系 人：付先生</w:t>
      </w:r>
    </w:p>
    <w:p w14:paraId="3DF60213">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联系方式：18624958275</w:t>
      </w:r>
    </w:p>
    <w:p w14:paraId="2EC2CFCC">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2.采购代理机构信息</w:t>
      </w:r>
    </w:p>
    <w:p w14:paraId="0E731B82">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名    称：汇龙工程咨询有限公司</w:t>
      </w:r>
    </w:p>
    <w:p w14:paraId="4DF8A2E6">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地    址：郑州市高新区冬青街46号3号楼6楼</w:t>
      </w:r>
    </w:p>
    <w:p w14:paraId="03F65DDA">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联系人：陈女士</w:t>
      </w:r>
    </w:p>
    <w:p w14:paraId="0D4BD99D">
      <w:pPr>
        <w:pStyle w:val="48"/>
        <w:spacing w:before="0" w:beforeAutospacing="0" w:after="0" w:afterAutospacing="0" w:line="400" w:lineRule="exact"/>
        <w:ind w:firstLine="420" w:firstLineChars="200"/>
        <w:jc w:val="both"/>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联系方式：17596911122</w:t>
      </w:r>
    </w:p>
    <w:p w14:paraId="46C92E9E">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3.项目联系方式</w:t>
      </w:r>
    </w:p>
    <w:p w14:paraId="6487BB79">
      <w:pPr>
        <w:pStyle w:val="48"/>
        <w:spacing w:before="0" w:beforeAutospacing="0" w:after="0" w:afterAutospacing="0" w:line="400" w:lineRule="exact"/>
        <w:ind w:firstLine="420" w:firstLineChars="200"/>
        <w:jc w:val="both"/>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项目联系人：陈女士</w:t>
      </w:r>
    </w:p>
    <w:p w14:paraId="5F674830">
      <w:pPr>
        <w:pStyle w:val="48"/>
        <w:spacing w:before="0" w:beforeAutospacing="0" w:after="0" w:afterAutospacing="0" w:line="400" w:lineRule="exact"/>
        <w:ind w:firstLine="420" w:firstLineChars="200"/>
        <w:jc w:val="both"/>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联系方式：17596911122</w:t>
      </w:r>
    </w:p>
    <w:p w14:paraId="7B2BE936">
      <w:pPr>
        <w:pStyle w:val="48"/>
        <w:spacing w:before="0" w:beforeAutospacing="0" w:after="0" w:afterAutospacing="0" w:line="400" w:lineRule="exact"/>
        <w:ind w:firstLine="420" w:firstLineChars="200"/>
        <w:jc w:val="both"/>
        <w:rPr>
          <w:rFonts w:hint="default" w:ascii="宋体" w:hAnsi="宋体" w:eastAsia="宋体" w:cs="宋体"/>
          <w:color w:val="auto"/>
          <w:sz w:val="21"/>
          <w:szCs w:val="21"/>
          <w:highlight w:val="none"/>
          <w:shd w:val="clear" w:color="auto" w:fill="FFFFFF"/>
          <w:lang w:val="en-US" w:eastAsia="zh-CN"/>
        </w:rPr>
      </w:pPr>
    </w:p>
    <w:p w14:paraId="579DFDD4">
      <w:pPr>
        <w:pStyle w:val="48"/>
        <w:spacing w:before="0" w:beforeAutospacing="0" w:after="0" w:afterAutospacing="0" w:line="400" w:lineRule="exact"/>
        <w:ind w:firstLine="420" w:firstLineChars="200"/>
        <w:jc w:val="both"/>
        <w:rPr>
          <w:rFonts w:hint="eastAsia" w:cs="宋体"/>
          <w:color w:val="auto"/>
          <w:sz w:val="21"/>
          <w:szCs w:val="21"/>
          <w:highlight w:val="none"/>
          <w:shd w:val="clear" w:color="auto" w:fill="FFFFFF"/>
        </w:rPr>
      </w:pPr>
    </w:p>
    <w:p w14:paraId="275AE22E">
      <w:pPr>
        <w:keepNext/>
        <w:spacing w:line="360" w:lineRule="auto"/>
        <w:jc w:val="center"/>
        <w:outlineLvl w:val="0"/>
        <w:rPr>
          <w:rFonts w:ascii="宋体" w:hAnsi="宋体"/>
          <w:b/>
          <w:bCs/>
          <w:color w:val="auto"/>
          <w:sz w:val="32"/>
          <w:szCs w:val="32"/>
          <w:highlight w:val="none"/>
        </w:rPr>
      </w:pPr>
      <w:bookmarkStart w:id="3" w:name="_Toc9735"/>
      <w:r>
        <w:rPr>
          <w:rFonts w:hint="eastAsia" w:ascii="宋体" w:hAnsi="宋体"/>
          <w:b/>
          <w:bCs/>
          <w:color w:val="auto"/>
          <w:sz w:val="32"/>
          <w:szCs w:val="32"/>
          <w:highlight w:val="none"/>
        </w:rPr>
        <w:br w:type="page"/>
      </w:r>
      <w:r>
        <w:rPr>
          <w:rFonts w:hint="eastAsia" w:ascii="宋体" w:hAnsi="宋体"/>
          <w:b/>
          <w:bCs/>
          <w:color w:val="auto"/>
          <w:sz w:val="32"/>
          <w:szCs w:val="32"/>
          <w:highlight w:val="none"/>
        </w:rPr>
        <w:t>第二章 供应商须知</w:t>
      </w:r>
    </w:p>
    <w:p w14:paraId="2AE987C9">
      <w:pPr>
        <w:keepNext/>
        <w:keepLines/>
        <w:spacing w:line="360" w:lineRule="auto"/>
        <w:jc w:val="center"/>
        <w:outlineLvl w:val="1"/>
        <w:rPr>
          <w:rFonts w:ascii="宋体" w:hAnsi="宋体"/>
          <w:b/>
          <w:bCs/>
          <w:color w:val="auto"/>
          <w:sz w:val="32"/>
          <w:szCs w:val="32"/>
          <w:highlight w:val="none"/>
        </w:rPr>
      </w:pPr>
      <w:r>
        <w:rPr>
          <w:rFonts w:hint="eastAsia" w:ascii="宋体" w:hAnsi="宋体"/>
          <w:b/>
          <w:color w:val="auto"/>
          <w:sz w:val="24"/>
          <w:szCs w:val="24"/>
          <w:highlight w:val="none"/>
        </w:rPr>
        <w:t>供应商须知前附表</w:t>
      </w:r>
    </w:p>
    <w:bookmarkEnd w:id="2"/>
    <w:bookmarkEnd w:id="3"/>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1913"/>
        <w:gridCol w:w="6909"/>
      </w:tblGrid>
      <w:tr w14:paraId="162F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920" w:type="dxa"/>
            <w:vAlign w:val="bottom"/>
          </w:tcPr>
          <w:p w14:paraId="402A0559">
            <w:pPr>
              <w:autoSpaceDE w:val="0"/>
              <w:autoSpaceDN w:val="0"/>
              <w:adjustRightInd w:val="0"/>
              <w:spacing w:line="380" w:lineRule="exact"/>
              <w:jc w:val="center"/>
              <w:rPr>
                <w:rFonts w:ascii="宋体" w:hAnsi="宋体" w:cs="宋体"/>
                <w:b/>
                <w:color w:val="auto"/>
                <w:kern w:val="0"/>
                <w:highlight w:val="none"/>
              </w:rPr>
            </w:pPr>
            <w:bookmarkStart w:id="4" w:name="_Toc244935163"/>
            <w:bookmarkStart w:id="5" w:name="_Toc244934194"/>
            <w:r>
              <w:rPr>
                <w:rFonts w:hint="eastAsia" w:ascii="宋体" w:hAnsi="宋体" w:cs="宋体"/>
                <w:b/>
                <w:color w:val="auto"/>
                <w:kern w:val="0"/>
                <w:highlight w:val="none"/>
              </w:rPr>
              <w:t>条款号</w:t>
            </w:r>
          </w:p>
        </w:tc>
        <w:tc>
          <w:tcPr>
            <w:tcW w:w="1913" w:type="dxa"/>
            <w:vAlign w:val="bottom"/>
          </w:tcPr>
          <w:p w14:paraId="03F4DE35">
            <w:pPr>
              <w:autoSpaceDE w:val="0"/>
              <w:autoSpaceDN w:val="0"/>
              <w:adjustRightInd w:val="0"/>
              <w:spacing w:line="380" w:lineRule="exact"/>
              <w:jc w:val="center"/>
              <w:rPr>
                <w:rFonts w:ascii="宋体" w:hAnsi="宋体" w:cs="宋体"/>
                <w:b/>
                <w:color w:val="auto"/>
                <w:kern w:val="0"/>
                <w:highlight w:val="none"/>
              </w:rPr>
            </w:pPr>
            <w:r>
              <w:rPr>
                <w:rFonts w:hint="eastAsia" w:ascii="宋体" w:hAnsi="宋体" w:cs="宋体"/>
                <w:b/>
                <w:color w:val="auto"/>
                <w:kern w:val="0"/>
                <w:highlight w:val="none"/>
              </w:rPr>
              <w:t>条 款 名 称</w:t>
            </w:r>
          </w:p>
        </w:tc>
        <w:tc>
          <w:tcPr>
            <w:tcW w:w="6909" w:type="dxa"/>
            <w:vAlign w:val="bottom"/>
          </w:tcPr>
          <w:p w14:paraId="37A6ABA7">
            <w:pPr>
              <w:autoSpaceDE w:val="0"/>
              <w:autoSpaceDN w:val="0"/>
              <w:adjustRightInd w:val="0"/>
              <w:spacing w:line="380" w:lineRule="exact"/>
              <w:jc w:val="center"/>
              <w:rPr>
                <w:rFonts w:ascii="宋体" w:hAnsi="宋体" w:cs="宋体"/>
                <w:b/>
                <w:color w:val="auto"/>
                <w:kern w:val="0"/>
                <w:highlight w:val="none"/>
              </w:rPr>
            </w:pPr>
            <w:r>
              <w:rPr>
                <w:rFonts w:hint="eastAsia" w:ascii="宋体" w:hAnsi="宋体" w:cs="宋体"/>
                <w:b/>
                <w:color w:val="auto"/>
                <w:kern w:val="0"/>
                <w:highlight w:val="none"/>
              </w:rPr>
              <w:t>编 列 内 容</w:t>
            </w:r>
          </w:p>
        </w:tc>
      </w:tr>
      <w:tr w14:paraId="054F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920" w:type="dxa"/>
            <w:vAlign w:val="center"/>
          </w:tcPr>
          <w:p w14:paraId="0C95A106">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1.1.2</w:t>
            </w:r>
          </w:p>
        </w:tc>
        <w:tc>
          <w:tcPr>
            <w:tcW w:w="1913" w:type="dxa"/>
            <w:vAlign w:val="center"/>
          </w:tcPr>
          <w:p w14:paraId="7590324D">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采购人</w:t>
            </w:r>
          </w:p>
        </w:tc>
        <w:tc>
          <w:tcPr>
            <w:tcW w:w="6909" w:type="dxa"/>
            <w:vAlign w:val="center"/>
          </w:tcPr>
          <w:p w14:paraId="48BA461A">
            <w:pPr>
              <w:spacing w:line="380" w:lineRule="exact"/>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采 购 人：新县林业局</w:t>
            </w:r>
          </w:p>
          <w:p w14:paraId="0A36F0BF">
            <w:pPr>
              <w:spacing w:line="380" w:lineRule="exact"/>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地    址：新县城关潢河北路</w:t>
            </w:r>
          </w:p>
          <w:p w14:paraId="5BDB2D6D">
            <w:pPr>
              <w:spacing w:line="380" w:lineRule="exact"/>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联 系 人：付先生</w:t>
            </w:r>
          </w:p>
          <w:p w14:paraId="64EB748F">
            <w:pPr>
              <w:spacing w:line="380" w:lineRule="exact"/>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val="en-US" w:eastAsia="zh-CN"/>
              </w:rPr>
              <w:t>联系方式：18624958275</w:t>
            </w:r>
          </w:p>
        </w:tc>
      </w:tr>
      <w:tr w14:paraId="1EEB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20" w:type="dxa"/>
            <w:vAlign w:val="center"/>
          </w:tcPr>
          <w:p w14:paraId="51DBEC29">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1.1.3</w:t>
            </w:r>
          </w:p>
        </w:tc>
        <w:tc>
          <w:tcPr>
            <w:tcW w:w="1913" w:type="dxa"/>
            <w:vAlign w:val="center"/>
          </w:tcPr>
          <w:p w14:paraId="0096B0A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采购代理机构</w:t>
            </w:r>
          </w:p>
        </w:tc>
        <w:tc>
          <w:tcPr>
            <w:tcW w:w="6909" w:type="dxa"/>
          </w:tcPr>
          <w:p w14:paraId="37A93CAA">
            <w:pPr>
              <w:spacing w:line="380" w:lineRule="exact"/>
              <w:rPr>
                <w:rFonts w:hint="eastAsia" w:ascii="宋体" w:hAnsi="宋体" w:cs="宋体"/>
                <w:color w:val="auto"/>
                <w:kern w:val="0"/>
                <w:highlight w:val="none"/>
                <w:lang w:val="en-US" w:eastAsia="zh-CN"/>
              </w:rPr>
            </w:pPr>
            <w:r>
              <w:rPr>
                <w:rFonts w:hint="eastAsia" w:ascii="宋体" w:hAnsi="宋体" w:cs="宋体"/>
                <w:color w:val="auto"/>
                <w:kern w:val="0"/>
                <w:highlight w:val="none"/>
                <w:lang w:val="en-US" w:eastAsia="zh-CN"/>
              </w:rPr>
              <w:t>采购代理机构：汇龙工程咨询有限公司</w:t>
            </w:r>
          </w:p>
          <w:p w14:paraId="35F4D79C">
            <w:pPr>
              <w:spacing w:line="380" w:lineRule="exact"/>
              <w:rPr>
                <w:rFonts w:hint="eastAsia" w:ascii="宋体" w:hAnsi="宋体" w:cs="宋体"/>
                <w:color w:val="auto"/>
                <w:kern w:val="0"/>
                <w:highlight w:val="none"/>
                <w:lang w:val="en-US" w:eastAsia="zh-CN"/>
              </w:rPr>
            </w:pPr>
            <w:r>
              <w:rPr>
                <w:rFonts w:hint="eastAsia" w:ascii="宋体" w:hAnsi="宋体" w:cs="宋体"/>
                <w:color w:val="auto"/>
                <w:kern w:val="0"/>
                <w:highlight w:val="none"/>
                <w:lang w:val="en-US" w:eastAsia="zh-CN"/>
              </w:rPr>
              <w:t>地    址：郑州市高新区冬青街46号3号楼6楼</w:t>
            </w:r>
          </w:p>
          <w:p w14:paraId="49E4290F">
            <w:pPr>
              <w:spacing w:line="380" w:lineRule="exact"/>
              <w:rPr>
                <w:rFonts w:hint="eastAsia" w:ascii="宋体" w:hAnsi="宋体" w:cs="宋体"/>
                <w:color w:val="auto"/>
                <w:kern w:val="0"/>
                <w:highlight w:val="none"/>
                <w:lang w:val="en-US" w:eastAsia="zh-CN"/>
              </w:rPr>
            </w:pPr>
            <w:r>
              <w:rPr>
                <w:rFonts w:hint="eastAsia" w:ascii="宋体" w:hAnsi="宋体" w:cs="宋体"/>
                <w:color w:val="auto"/>
                <w:kern w:val="0"/>
                <w:highlight w:val="none"/>
                <w:lang w:val="en-US" w:eastAsia="zh-CN"/>
              </w:rPr>
              <w:t>联系人：陈女士</w:t>
            </w:r>
          </w:p>
          <w:p w14:paraId="41961DAD">
            <w:pPr>
              <w:spacing w:line="380" w:lineRule="exact"/>
              <w:rPr>
                <w:rFonts w:ascii="宋体" w:hAnsi="宋体" w:cs="宋体"/>
                <w:color w:val="auto"/>
                <w:kern w:val="0"/>
                <w:highlight w:val="none"/>
              </w:rPr>
            </w:pPr>
            <w:r>
              <w:rPr>
                <w:rFonts w:hint="eastAsia" w:ascii="宋体" w:hAnsi="宋体" w:cs="宋体"/>
                <w:color w:val="auto"/>
                <w:kern w:val="0"/>
                <w:highlight w:val="none"/>
                <w:lang w:val="en-US" w:eastAsia="zh-CN"/>
              </w:rPr>
              <w:t>联系方式：17596911122</w:t>
            </w:r>
          </w:p>
        </w:tc>
      </w:tr>
      <w:tr w14:paraId="0CDE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20" w:type="dxa"/>
            <w:vAlign w:val="center"/>
          </w:tcPr>
          <w:p w14:paraId="57CC005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1.1.4</w:t>
            </w:r>
          </w:p>
        </w:tc>
        <w:tc>
          <w:tcPr>
            <w:tcW w:w="1913" w:type="dxa"/>
            <w:vAlign w:val="center"/>
          </w:tcPr>
          <w:p w14:paraId="1AA17D6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项目名称</w:t>
            </w:r>
          </w:p>
        </w:tc>
        <w:tc>
          <w:tcPr>
            <w:tcW w:w="6909" w:type="dxa"/>
            <w:vAlign w:val="center"/>
          </w:tcPr>
          <w:p w14:paraId="6CE5CC06">
            <w:pPr>
              <w:spacing w:line="380" w:lineRule="exact"/>
              <w:rPr>
                <w:rFonts w:hint="eastAsia" w:ascii="宋体" w:hAnsi="宋体" w:eastAsia="宋体" w:cs="宋体"/>
                <w:color w:val="auto"/>
                <w:kern w:val="0"/>
                <w:highlight w:val="none"/>
                <w:lang w:eastAsia="zh-CN"/>
              </w:rPr>
            </w:pPr>
            <w:r>
              <w:rPr>
                <w:rFonts w:hint="eastAsia" w:ascii="宋体" w:hAnsi="宋体" w:cs="宋体"/>
                <w:color w:val="auto"/>
                <w:kern w:val="0"/>
                <w:highlight w:val="none"/>
                <w:lang w:eastAsia="zh-CN"/>
              </w:rPr>
              <w:t>新县国土空间规划中绿化造林空间适宜性评价项目</w:t>
            </w:r>
            <w:r>
              <w:rPr>
                <w:rFonts w:hint="eastAsia" w:ascii="宋体" w:hAnsi="宋体" w:cs="宋体"/>
                <w:color w:val="auto"/>
                <w:kern w:val="0"/>
                <w:highlight w:val="none"/>
                <w:lang w:eastAsia="zh-CN"/>
              </w:rPr>
              <w:tab/>
            </w:r>
          </w:p>
        </w:tc>
      </w:tr>
      <w:tr w14:paraId="136D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920" w:type="dxa"/>
            <w:vAlign w:val="center"/>
          </w:tcPr>
          <w:p w14:paraId="3F82A275">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1.1.5</w:t>
            </w:r>
          </w:p>
        </w:tc>
        <w:tc>
          <w:tcPr>
            <w:tcW w:w="1913" w:type="dxa"/>
            <w:vAlign w:val="center"/>
          </w:tcPr>
          <w:p w14:paraId="3DB546AD">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标段划分及</w:t>
            </w:r>
          </w:p>
          <w:p w14:paraId="60B38B88">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highlight w:val="none"/>
              </w:rPr>
              <w:t>最高限价</w:t>
            </w:r>
          </w:p>
        </w:tc>
        <w:tc>
          <w:tcPr>
            <w:tcW w:w="6909" w:type="dxa"/>
            <w:vAlign w:val="center"/>
          </w:tcPr>
          <w:p w14:paraId="7561D98E">
            <w:pPr>
              <w:autoSpaceDE w:val="0"/>
              <w:autoSpaceDN w:val="0"/>
              <w:adjustRightInd w:val="0"/>
              <w:spacing w:line="380" w:lineRule="exact"/>
              <w:rPr>
                <w:rFonts w:ascii="宋体" w:hAnsi="宋体" w:cs="宋体"/>
                <w:color w:val="auto"/>
                <w:highlight w:val="none"/>
              </w:rPr>
            </w:pPr>
            <w:r>
              <w:rPr>
                <w:rFonts w:hint="eastAsia" w:ascii="宋体" w:hAnsi="宋体" w:cs="宋体"/>
                <w:color w:val="auto"/>
                <w:highlight w:val="none"/>
              </w:rPr>
              <w:t>标段划分：共分为一个标段</w:t>
            </w:r>
          </w:p>
          <w:p w14:paraId="19AB55AC">
            <w:pPr>
              <w:autoSpaceDE w:val="0"/>
              <w:autoSpaceDN w:val="0"/>
              <w:adjustRightInd w:val="0"/>
              <w:spacing w:line="380" w:lineRule="exact"/>
              <w:rPr>
                <w:rFonts w:hint="default" w:ascii="宋体" w:hAnsi="宋体" w:cs="宋体"/>
                <w:b/>
                <w:bCs/>
                <w:color w:val="auto"/>
                <w:kern w:val="0"/>
                <w:highlight w:val="none"/>
                <w:lang w:val="en-US"/>
              </w:rPr>
            </w:pPr>
            <w:r>
              <w:rPr>
                <w:rFonts w:hint="eastAsia" w:ascii="宋体" w:hAnsi="宋体" w:cs="宋体"/>
                <w:color w:val="auto"/>
                <w:highlight w:val="none"/>
              </w:rPr>
              <w:t>最高限价：</w:t>
            </w:r>
            <w:r>
              <w:rPr>
                <w:rFonts w:hint="eastAsia" w:ascii="宋体" w:hAnsi="宋体" w:cs="宋体"/>
                <w:bCs/>
                <w:color w:val="auto"/>
                <w:highlight w:val="none"/>
                <w:lang w:eastAsia="zh-CN"/>
              </w:rPr>
              <w:t>575926.16</w:t>
            </w:r>
            <w:r>
              <w:rPr>
                <w:rFonts w:hint="eastAsia" w:ascii="宋体" w:hAnsi="宋体" w:cs="宋体"/>
                <w:bCs/>
                <w:color w:val="auto"/>
                <w:highlight w:val="none"/>
                <w:lang w:val="en-US" w:eastAsia="zh-CN"/>
              </w:rPr>
              <w:t>元</w:t>
            </w:r>
            <w:r>
              <w:rPr>
                <w:rFonts w:hint="eastAsia" w:ascii="宋体" w:hAnsi="宋体" w:cs="宋体"/>
                <w:color w:val="auto"/>
                <w:kern w:val="0"/>
                <w:highlight w:val="none"/>
                <w:lang w:val="en-US" w:eastAsia="zh-CN"/>
              </w:rPr>
              <w:t>。</w:t>
            </w:r>
          </w:p>
          <w:p w14:paraId="63275477">
            <w:pPr>
              <w:autoSpaceDE w:val="0"/>
              <w:autoSpaceDN w:val="0"/>
              <w:adjustRightInd w:val="0"/>
              <w:spacing w:line="380" w:lineRule="exact"/>
              <w:rPr>
                <w:rFonts w:ascii="宋体" w:hAnsi="宋体" w:cs="宋体"/>
                <w:color w:val="auto"/>
                <w:kern w:val="0"/>
                <w:highlight w:val="none"/>
              </w:rPr>
            </w:pPr>
            <w:r>
              <w:rPr>
                <w:rFonts w:hint="eastAsia" w:ascii="宋体" w:hAnsi="宋体" w:cs="宋体"/>
                <w:b/>
                <w:bCs/>
                <w:color w:val="auto"/>
                <w:highlight w:val="none"/>
              </w:rPr>
              <w:t>注：</w:t>
            </w:r>
            <w:r>
              <w:rPr>
                <w:rFonts w:hint="eastAsia" w:ascii="宋体" w:hAnsi="宋体" w:cs="宋体"/>
                <w:b/>
                <w:bCs/>
                <w:color w:val="auto"/>
                <w:kern w:val="0"/>
                <w:highlight w:val="none"/>
              </w:rPr>
              <w:t>供应商报价不得超出最高限价，否则投标无效。</w:t>
            </w:r>
          </w:p>
        </w:tc>
      </w:tr>
      <w:tr w14:paraId="064C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20" w:type="dxa"/>
            <w:vAlign w:val="center"/>
          </w:tcPr>
          <w:p w14:paraId="4BBC1829">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1.1.6</w:t>
            </w:r>
          </w:p>
        </w:tc>
        <w:tc>
          <w:tcPr>
            <w:tcW w:w="1913" w:type="dxa"/>
            <w:vAlign w:val="center"/>
          </w:tcPr>
          <w:p w14:paraId="10134109">
            <w:pPr>
              <w:autoSpaceDE w:val="0"/>
              <w:autoSpaceDN w:val="0"/>
              <w:adjustRightInd w:val="0"/>
              <w:spacing w:line="380" w:lineRule="exact"/>
              <w:ind w:right="35"/>
              <w:jc w:val="center"/>
              <w:rPr>
                <w:rFonts w:ascii="宋体" w:hAnsi="宋体" w:cs="宋体"/>
                <w:color w:val="auto"/>
                <w:spacing w:val="1"/>
                <w:kern w:val="0"/>
                <w:highlight w:val="none"/>
              </w:rPr>
            </w:pPr>
            <w:r>
              <w:rPr>
                <w:rFonts w:hint="eastAsia" w:ascii="宋体" w:hAnsi="宋体" w:cs="宋体"/>
                <w:color w:val="auto"/>
                <w:kern w:val="0"/>
                <w:highlight w:val="none"/>
              </w:rPr>
              <w:t>采购方式</w:t>
            </w:r>
          </w:p>
        </w:tc>
        <w:tc>
          <w:tcPr>
            <w:tcW w:w="6909" w:type="dxa"/>
            <w:vAlign w:val="center"/>
          </w:tcPr>
          <w:p w14:paraId="14EEA527">
            <w:pPr>
              <w:autoSpaceDE w:val="0"/>
              <w:autoSpaceDN w:val="0"/>
              <w:adjustRightInd w:val="0"/>
              <w:spacing w:line="380" w:lineRule="exact"/>
              <w:rPr>
                <w:rFonts w:ascii="宋体" w:hAnsi="宋体" w:cs="宋体"/>
                <w:color w:val="auto"/>
                <w:spacing w:val="1"/>
                <w:kern w:val="0"/>
                <w:highlight w:val="none"/>
              </w:rPr>
            </w:pPr>
            <w:r>
              <w:rPr>
                <w:rFonts w:hint="eastAsia" w:ascii="宋体" w:hAnsi="宋体" w:cs="宋体"/>
                <w:color w:val="auto"/>
                <w:spacing w:val="1"/>
                <w:kern w:val="0"/>
                <w:highlight w:val="none"/>
              </w:rPr>
              <w:t>竞争性磋商</w:t>
            </w:r>
          </w:p>
        </w:tc>
      </w:tr>
      <w:tr w14:paraId="7D41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0" w:type="dxa"/>
            <w:vAlign w:val="center"/>
          </w:tcPr>
          <w:p w14:paraId="2CC6C8C7">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1.2.1</w:t>
            </w:r>
          </w:p>
        </w:tc>
        <w:tc>
          <w:tcPr>
            <w:tcW w:w="1913" w:type="dxa"/>
            <w:vAlign w:val="center"/>
          </w:tcPr>
          <w:p w14:paraId="2D8DB59D">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资金来源及</w:t>
            </w:r>
          </w:p>
          <w:p w14:paraId="2C4F8E08">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落实情况</w:t>
            </w:r>
          </w:p>
        </w:tc>
        <w:tc>
          <w:tcPr>
            <w:tcW w:w="6909" w:type="dxa"/>
            <w:vAlign w:val="center"/>
          </w:tcPr>
          <w:p w14:paraId="0294AE47">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财政资金，已落实</w:t>
            </w:r>
          </w:p>
        </w:tc>
      </w:tr>
      <w:tr w14:paraId="7F66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20" w:type="dxa"/>
            <w:vAlign w:val="center"/>
          </w:tcPr>
          <w:p w14:paraId="21766A66">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1.2.2</w:t>
            </w:r>
          </w:p>
        </w:tc>
        <w:tc>
          <w:tcPr>
            <w:tcW w:w="1913" w:type="dxa"/>
            <w:vAlign w:val="center"/>
          </w:tcPr>
          <w:p w14:paraId="72F1D1F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出资比例</w:t>
            </w:r>
          </w:p>
        </w:tc>
        <w:tc>
          <w:tcPr>
            <w:tcW w:w="6909" w:type="dxa"/>
            <w:vAlign w:val="center"/>
          </w:tcPr>
          <w:p w14:paraId="54A4D6B1">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100%</w:t>
            </w:r>
          </w:p>
        </w:tc>
      </w:tr>
      <w:tr w14:paraId="7C40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20" w:type="dxa"/>
            <w:vAlign w:val="center"/>
          </w:tcPr>
          <w:p w14:paraId="35EB9218">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1.3.1</w:t>
            </w:r>
          </w:p>
        </w:tc>
        <w:tc>
          <w:tcPr>
            <w:tcW w:w="1913" w:type="dxa"/>
            <w:vAlign w:val="center"/>
          </w:tcPr>
          <w:p w14:paraId="0053590E">
            <w:pPr>
              <w:spacing w:line="380" w:lineRule="exact"/>
              <w:jc w:val="center"/>
              <w:rPr>
                <w:rFonts w:ascii="宋体" w:hAnsi="宋体" w:cs="宋体"/>
                <w:color w:val="auto"/>
                <w:kern w:val="0"/>
                <w:highlight w:val="none"/>
              </w:rPr>
            </w:pPr>
            <w:r>
              <w:rPr>
                <w:rFonts w:hint="eastAsia" w:ascii="宋体" w:hAnsi="宋体" w:cs="宋体"/>
                <w:color w:val="auto"/>
                <w:kern w:val="0"/>
                <w:highlight w:val="none"/>
              </w:rPr>
              <w:t>采购内容</w:t>
            </w:r>
          </w:p>
        </w:tc>
        <w:tc>
          <w:tcPr>
            <w:tcW w:w="6909" w:type="dxa"/>
            <w:vAlign w:val="center"/>
          </w:tcPr>
          <w:p w14:paraId="280DD99B">
            <w:pPr>
              <w:widowControl/>
              <w:spacing w:line="400" w:lineRule="exact"/>
              <w:jc w:val="left"/>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val="en-US" w:eastAsia="zh-CN"/>
              </w:rPr>
              <w:t>新县国土空间规划中绿化造林空间适宜性评价工作主要内容包括:前期准备、野外调查、内业整理等。具体详见文件第五章采购需求。</w:t>
            </w:r>
          </w:p>
        </w:tc>
      </w:tr>
      <w:tr w14:paraId="35CA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20" w:type="dxa"/>
            <w:vAlign w:val="center"/>
          </w:tcPr>
          <w:p w14:paraId="6FFB726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1.3.2</w:t>
            </w:r>
          </w:p>
        </w:tc>
        <w:tc>
          <w:tcPr>
            <w:tcW w:w="1913" w:type="dxa"/>
            <w:vAlign w:val="center"/>
          </w:tcPr>
          <w:p w14:paraId="76419E5F">
            <w:pPr>
              <w:spacing w:line="380" w:lineRule="exact"/>
              <w:jc w:val="center"/>
              <w:rPr>
                <w:rFonts w:ascii="宋体" w:hAnsi="宋体" w:cs="宋体"/>
                <w:color w:val="auto"/>
                <w:kern w:val="0"/>
                <w:highlight w:val="none"/>
              </w:rPr>
            </w:pPr>
            <w:r>
              <w:rPr>
                <w:rFonts w:hint="eastAsia" w:ascii="宋体" w:hAnsi="宋体" w:cs="宋体"/>
                <w:color w:val="auto"/>
                <w:highlight w:val="none"/>
              </w:rPr>
              <w:t>质量要求</w:t>
            </w:r>
          </w:p>
        </w:tc>
        <w:tc>
          <w:tcPr>
            <w:tcW w:w="6909" w:type="dxa"/>
            <w:vAlign w:val="center"/>
          </w:tcPr>
          <w:p w14:paraId="29BA3CD0">
            <w:pPr>
              <w:spacing w:line="380" w:lineRule="exact"/>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val="en-US" w:eastAsia="zh-CN"/>
              </w:rPr>
              <w:t>符合国家、地方及行业现行相关标准和规定，项目成果通过上级部门组织的评审验收。</w:t>
            </w:r>
          </w:p>
        </w:tc>
      </w:tr>
      <w:tr w14:paraId="5F07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20" w:type="dxa"/>
            <w:vAlign w:val="center"/>
          </w:tcPr>
          <w:p w14:paraId="588DAAA6">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1.3.3</w:t>
            </w:r>
          </w:p>
        </w:tc>
        <w:tc>
          <w:tcPr>
            <w:tcW w:w="1913" w:type="dxa"/>
            <w:vAlign w:val="center"/>
          </w:tcPr>
          <w:p w14:paraId="38F2D39E">
            <w:pPr>
              <w:autoSpaceDE w:val="0"/>
              <w:autoSpaceDN w:val="0"/>
              <w:adjustRightInd w:val="0"/>
              <w:spacing w:line="380" w:lineRule="exact"/>
              <w:jc w:val="center"/>
              <w:rPr>
                <w:rFonts w:hint="eastAsia" w:ascii="宋体" w:hAnsi="宋体" w:eastAsia="宋体" w:cs="宋体"/>
                <w:color w:val="auto"/>
                <w:highlight w:val="none"/>
                <w:lang w:eastAsia="zh-CN"/>
              </w:rPr>
            </w:pPr>
            <w:r>
              <w:rPr>
                <w:rFonts w:hint="eastAsia" w:ascii="宋体" w:hAnsi="宋体" w:cs="宋体"/>
                <w:color w:val="auto"/>
                <w:kern w:val="0"/>
                <w:highlight w:val="none"/>
                <w:lang w:eastAsia="zh-CN"/>
              </w:rPr>
              <w:t>服务期限</w:t>
            </w:r>
          </w:p>
        </w:tc>
        <w:tc>
          <w:tcPr>
            <w:tcW w:w="6909" w:type="dxa"/>
            <w:vAlign w:val="center"/>
          </w:tcPr>
          <w:p w14:paraId="5D3830BA">
            <w:pPr>
              <w:spacing w:line="380" w:lineRule="exact"/>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val="en-US" w:eastAsia="zh-CN"/>
              </w:rPr>
              <w:t>自合同签订后 30 日历天内完成并提交全部成果，具体以上级部门要求的时间节点为准。</w:t>
            </w:r>
          </w:p>
        </w:tc>
      </w:tr>
      <w:tr w14:paraId="75A7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0" w:type="dxa"/>
            <w:tcBorders>
              <w:top w:val="single" w:color="auto" w:sz="4" w:space="0"/>
            </w:tcBorders>
            <w:vAlign w:val="center"/>
          </w:tcPr>
          <w:p w14:paraId="66995B7D">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1.4.1</w:t>
            </w:r>
          </w:p>
        </w:tc>
        <w:tc>
          <w:tcPr>
            <w:tcW w:w="1913" w:type="dxa"/>
            <w:tcBorders>
              <w:top w:val="single" w:color="auto" w:sz="4" w:space="0"/>
            </w:tcBorders>
            <w:vAlign w:val="center"/>
          </w:tcPr>
          <w:p w14:paraId="582DEB12">
            <w:pPr>
              <w:spacing w:line="380" w:lineRule="exact"/>
              <w:jc w:val="center"/>
              <w:rPr>
                <w:rFonts w:ascii="宋体" w:hAnsi="宋体" w:cs="宋体"/>
                <w:color w:val="auto"/>
                <w:kern w:val="0"/>
                <w:highlight w:val="none"/>
              </w:rPr>
            </w:pPr>
            <w:r>
              <w:rPr>
                <w:rFonts w:hint="eastAsia" w:ascii="宋体" w:hAnsi="宋体" w:cs="宋体"/>
                <w:color w:val="auto"/>
                <w:kern w:val="0"/>
                <w:highlight w:val="none"/>
              </w:rPr>
              <w:t>供应商资格要求</w:t>
            </w:r>
          </w:p>
        </w:tc>
        <w:tc>
          <w:tcPr>
            <w:tcW w:w="6909" w:type="dxa"/>
            <w:tcBorders>
              <w:top w:val="single" w:color="auto" w:sz="4" w:space="0"/>
            </w:tcBorders>
            <w:vAlign w:val="center"/>
          </w:tcPr>
          <w:p w14:paraId="7658BEEA">
            <w:pPr>
              <w:spacing w:line="360" w:lineRule="auto"/>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1.满足《中华人民共和国政府采购法》第二十二条规定。</w:t>
            </w:r>
          </w:p>
          <w:p w14:paraId="1BC12311">
            <w:pPr>
              <w:spacing w:line="360" w:lineRule="auto"/>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2.落实政府采购政策满足的资格要求：</w:t>
            </w:r>
            <w:r>
              <w:rPr>
                <w:rFonts w:hint="eastAsia" w:ascii="宋体" w:hAnsi="宋体" w:cs="宋体"/>
                <w:b w:val="0"/>
                <w:bCs w:val="0"/>
                <w:color w:val="auto"/>
                <w:highlight w:val="none"/>
                <w:lang w:val="en-US" w:eastAsia="zh-CN"/>
              </w:rPr>
              <w:t>本项目非专门面向中小企业采购【该项目符合《政府采购促进中小企业发展管理办法》（财库【2020】46号）第六条第3款之规定：按照本办法规定预留采购份额无法确保充分供应、充分竞争，或者存在可能影响政府采购目标实现的情形；】。本项目落实节约能源、保护环境、扶持不发达地区和少数民族地区、促进中小微企业、监狱企业及残疾人福利性单位发展等政府采购政策。</w:t>
            </w:r>
          </w:p>
          <w:p w14:paraId="486B6BAB">
            <w:pPr>
              <w:spacing w:line="360" w:lineRule="auto"/>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3.本项目的特定资格要求：</w:t>
            </w:r>
          </w:p>
          <w:p w14:paraId="02A5650F">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3.1供应商应具有行政主管部门颁发的林业调查规划设计乙级(含)以上或土地规划乙级(含)以上资质；</w:t>
            </w:r>
          </w:p>
          <w:p w14:paraId="05C3F8CE">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3.2拟派项目负责人须具有相关专业中级工程师(含)以上职称证书。应为本单位正式员工，提供本单位为其缴纳的社会保险证明(以社会保障部门出具的社保证明或社保中心网页截图为准)；</w:t>
            </w:r>
          </w:p>
          <w:p w14:paraId="3120C1DC">
            <w:pPr>
              <w:spacing w:line="360" w:lineRule="auto"/>
              <w:rPr>
                <w:rFonts w:hint="eastAsia" w:ascii="宋体" w:hAnsi="宋体" w:cs="宋体"/>
                <w:b w:val="0"/>
                <w:bCs w:val="0"/>
                <w:color w:val="auto"/>
                <w:highlight w:val="none"/>
                <w:lang w:eastAsia="zh-CN"/>
              </w:rPr>
            </w:pPr>
            <w:r>
              <w:rPr>
                <w:rFonts w:hint="eastAsia" w:ascii="宋体" w:hAnsi="宋体" w:cs="宋体"/>
                <w:b w:val="0"/>
                <w:bCs w:val="0"/>
                <w:color w:val="auto"/>
                <w:highlight w:val="none"/>
                <w:lang w:val="en-US" w:eastAsia="zh-CN"/>
              </w:rPr>
              <w:t>3.3</w:t>
            </w:r>
            <w:r>
              <w:rPr>
                <w:rFonts w:hint="eastAsia" w:ascii="宋体" w:hAnsi="宋体" w:cs="宋体"/>
                <w:b w:val="0"/>
                <w:bCs w:val="0"/>
                <w:color w:val="auto"/>
                <w:highlight w:val="none"/>
                <w:lang w:eastAsia="zh-CN"/>
              </w:rPr>
              <w:t>根据《关于在政府采购活动中查询及使用信用记录有关问题的通知》财库[2016]125号文件和豫财购【2016】15号文件的规定，供应商应提供“信用中国”网站（www.creditchina.gov.cn）查询“失信被执行人”、“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64A66456">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lang w:eastAsia="zh-CN"/>
              </w:rPr>
              <w:t>单位负责人为同一人或者存在直接控股、管理关系的不同单位，不得同时参加同一合同项下的政府采购活动（提供“国家企业信用信息公示系统”中公示的公司基本信息、股东信息及股权变更信息等内容）。</w:t>
            </w:r>
          </w:p>
          <w:p w14:paraId="149DE507">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5.</w:t>
            </w:r>
            <w:r>
              <w:rPr>
                <w:rFonts w:hint="eastAsia" w:ascii="宋体" w:hAnsi="宋体" w:cs="宋体"/>
                <w:b w:val="0"/>
                <w:bCs w:val="0"/>
                <w:color w:val="auto"/>
                <w:highlight w:val="none"/>
                <w:lang w:eastAsia="zh-CN"/>
              </w:rPr>
              <w:t>其他说明：本项目适用无感投标（详见下述要求）。</w:t>
            </w:r>
            <w:r>
              <w:rPr>
                <w:rFonts w:hint="eastAsia" w:ascii="宋体" w:hAnsi="宋体" w:cs="宋体"/>
                <w:b w:val="0"/>
                <w:bCs w:val="0"/>
                <w:color w:val="auto"/>
                <w:highlight w:val="none"/>
                <w:lang w:eastAsia="zh-CN"/>
              </w:rPr>
              <w:br w:type="textWrapping"/>
            </w:r>
            <w:r>
              <w:rPr>
                <w:rFonts w:hint="eastAsia" w:ascii="宋体" w:hAnsi="宋体" w:cs="宋体"/>
                <w:b w:val="0"/>
                <w:bCs w:val="0"/>
                <w:color w:val="auto"/>
                <w:highlight w:val="none"/>
                <w:lang w:eastAsia="zh-CN"/>
              </w:rPr>
              <w:t>（一）在本项目政府采购活动中，供应商在投标（响应）时，可对照资格要求进行自主核对，确定符合资格要求的，政府采购项目对供应商资格全面实行免承诺“无感投标”，潜在供应商无需书面承诺符合参与政府采购活动的资格条件，无需书面承诺没有税收缴纳、社会保障等方面的失信记录，无需再提供相关财务状况、缴纳税收和社会保障资金等证明材料，由供应商自我评估符合政府采购有关规定、采购文件有关要求及以下证明材料等条件后即可参加投标；</w:t>
            </w:r>
            <w:r>
              <w:rPr>
                <w:rFonts w:hint="eastAsia" w:ascii="宋体" w:hAnsi="宋体" w:cs="宋体"/>
                <w:b w:val="0"/>
                <w:bCs w:val="0"/>
                <w:color w:val="auto"/>
                <w:highlight w:val="none"/>
                <w:lang w:eastAsia="zh-CN"/>
              </w:rPr>
              <w:br w:type="textWrapping"/>
            </w:r>
            <w:r>
              <w:rPr>
                <w:rFonts w:hint="eastAsia" w:ascii="宋体" w:hAnsi="宋体" w:cs="宋体"/>
                <w:b w:val="0"/>
                <w:bCs w:val="0"/>
                <w:color w:val="auto"/>
                <w:highlight w:val="none"/>
                <w:lang w:val="en-US" w:eastAsia="zh-CN"/>
              </w:rPr>
              <w:t>（1）具有独立承担民事责任的能力（提供有效的营业执照）；</w:t>
            </w:r>
          </w:p>
          <w:p w14:paraId="59227AE1">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（2）具有良好的商业信誉和健全的财务会计制度（提供2025年度财务审计报告，成立不足1年的，提供其基本开户银行出具的资信证明）；</w:t>
            </w:r>
          </w:p>
          <w:p w14:paraId="073E3AB7">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（3）具有履行合同所必需的设备和专业技术能力（提供书面声明，格式自拟）；</w:t>
            </w:r>
          </w:p>
          <w:p w14:paraId="142C5E1E">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（4）具有依法缴纳税收和社会保障资金的良好记录（提供2026年1月1日以来连续3个月依法缴纳税收和社会保障资金的证明材料，依法免税或不需要缴纳社会保障资金的供应商，应提供相应证明文件）；</w:t>
            </w:r>
          </w:p>
          <w:p w14:paraId="232B1CCD">
            <w:pPr>
              <w:spacing w:line="360" w:lineRule="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（5）参加本次政府采购活动前三年内，在经营活动中没有重大违法记录（供应商自行承诺）；</w:t>
            </w:r>
          </w:p>
          <w:p w14:paraId="6424B72E">
            <w:pPr>
              <w:spacing w:line="360" w:lineRule="auto"/>
              <w:rPr>
                <w:rFonts w:hint="eastAsia" w:ascii="宋体" w:hAnsi="宋体" w:cs="宋体"/>
                <w:b w:val="0"/>
                <w:bCs w:val="0"/>
                <w:color w:val="auto"/>
                <w:highlight w:val="none"/>
                <w:lang w:eastAsia="zh-CN"/>
              </w:rPr>
            </w:pPr>
            <w:r>
              <w:rPr>
                <w:rFonts w:hint="eastAsia" w:ascii="宋体" w:hAnsi="宋体" w:cs="宋体"/>
                <w:b w:val="0"/>
                <w:bCs w:val="0"/>
                <w:color w:val="auto"/>
                <w:highlight w:val="none"/>
                <w:lang w:val="en-US" w:eastAsia="zh-CN"/>
              </w:rPr>
              <w:t>（6）法律、行政法规规定的其他条件；</w:t>
            </w:r>
            <w:r>
              <w:rPr>
                <w:rFonts w:hint="eastAsia" w:ascii="宋体" w:hAnsi="宋体" w:cs="宋体"/>
                <w:b w:val="0"/>
                <w:bCs w:val="0"/>
                <w:color w:val="auto"/>
                <w:highlight w:val="none"/>
                <w:lang w:eastAsia="zh-CN"/>
              </w:rPr>
              <w:br w:type="textWrapping"/>
            </w:r>
            <w:r>
              <w:rPr>
                <w:rFonts w:hint="eastAsia" w:ascii="宋体" w:hAnsi="宋体" w:cs="宋体"/>
                <w:b w:val="0"/>
                <w:bCs w:val="0"/>
                <w:color w:val="auto"/>
                <w:highlight w:val="none"/>
                <w:lang w:eastAsia="zh-CN"/>
              </w:rPr>
              <w:t>（二）投标人在中标（成交）后，应将上述由信用承诺书替代的证明材料提交采购人（采购代理机构）核验，经核验无误后，由采购人发出中标（成交）通知书。</w:t>
            </w:r>
          </w:p>
        </w:tc>
      </w:tr>
      <w:tr w14:paraId="44DA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20" w:type="dxa"/>
            <w:vAlign w:val="center"/>
          </w:tcPr>
          <w:p w14:paraId="3CD570A5">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1.4.2</w:t>
            </w:r>
          </w:p>
        </w:tc>
        <w:tc>
          <w:tcPr>
            <w:tcW w:w="1913" w:type="dxa"/>
            <w:vAlign w:val="center"/>
          </w:tcPr>
          <w:p w14:paraId="41B9A9F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是否接受联合体</w:t>
            </w:r>
          </w:p>
          <w:p w14:paraId="74E23178">
            <w:pPr>
              <w:autoSpaceDE w:val="0"/>
              <w:autoSpaceDN w:val="0"/>
              <w:adjustRightInd w:val="0"/>
              <w:spacing w:line="380" w:lineRule="exact"/>
              <w:jc w:val="center"/>
              <w:rPr>
                <w:rFonts w:ascii="宋体" w:hAnsi="宋体" w:cs="宋体"/>
                <w:color w:val="auto"/>
                <w:spacing w:val="-12"/>
                <w:kern w:val="0"/>
                <w:highlight w:val="none"/>
              </w:rPr>
            </w:pPr>
            <w:r>
              <w:rPr>
                <w:rFonts w:hint="eastAsia" w:ascii="宋体" w:hAnsi="宋体" w:cs="宋体"/>
                <w:color w:val="auto"/>
                <w:kern w:val="0"/>
                <w:highlight w:val="none"/>
              </w:rPr>
              <w:t>投标</w:t>
            </w:r>
          </w:p>
        </w:tc>
        <w:tc>
          <w:tcPr>
            <w:tcW w:w="6909" w:type="dxa"/>
            <w:vAlign w:val="center"/>
          </w:tcPr>
          <w:p w14:paraId="44653108">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不接受</w:t>
            </w:r>
          </w:p>
        </w:tc>
      </w:tr>
      <w:tr w14:paraId="7FA7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20" w:type="dxa"/>
            <w:vAlign w:val="center"/>
          </w:tcPr>
          <w:p w14:paraId="7CDC9CE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1.5</w:t>
            </w:r>
          </w:p>
        </w:tc>
        <w:tc>
          <w:tcPr>
            <w:tcW w:w="1913" w:type="dxa"/>
            <w:vAlign w:val="center"/>
          </w:tcPr>
          <w:p w14:paraId="5E4E1F4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highlight w:val="none"/>
              </w:rPr>
              <w:t>付款方式</w:t>
            </w:r>
          </w:p>
        </w:tc>
        <w:tc>
          <w:tcPr>
            <w:tcW w:w="6909" w:type="dxa"/>
            <w:vAlign w:val="center"/>
          </w:tcPr>
          <w:p w14:paraId="32FDB00A">
            <w:pPr>
              <w:autoSpaceDE w:val="0"/>
              <w:autoSpaceDN w:val="0"/>
              <w:adjustRightInd w:val="0"/>
              <w:spacing w:line="380" w:lineRule="exact"/>
              <w:rPr>
                <w:rFonts w:ascii="宋体" w:hAnsi="宋体" w:cs="宋体"/>
                <w:color w:val="auto"/>
                <w:highlight w:val="none"/>
              </w:rPr>
            </w:pPr>
            <w:r>
              <w:rPr>
                <w:rFonts w:hint="eastAsia" w:ascii="宋体" w:hAnsi="宋体" w:cs="宋体"/>
                <w:color w:val="auto"/>
                <w:highlight w:val="none"/>
              </w:rPr>
              <w:t>双方在签订合同时另行约定</w:t>
            </w:r>
          </w:p>
        </w:tc>
      </w:tr>
      <w:tr w14:paraId="34E9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20" w:type="dxa"/>
            <w:vAlign w:val="center"/>
          </w:tcPr>
          <w:p w14:paraId="762BDD03">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1.10</w:t>
            </w:r>
          </w:p>
        </w:tc>
        <w:tc>
          <w:tcPr>
            <w:tcW w:w="1913" w:type="dxa"/>
            <w:vAlign w:val="center"/>
          </w:tcPr>
          <w:p w14:paraId="5EB4F47C">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投标预备会</w:t>
            </w:r>
          </w:p>
        </w:tc>
        <w:tc>
          <w:tcPr>
            <w:tcW w:w="6909" w:type="dxa"/>
            <w:vAlign w:val="center"/>
          </w:tcPr>
          <w:p w14:paraId="13460D80">
            <w:pPr>
              <w:autoSpaceDE w:val="0"/>
              <w:autoSpaceDN w:val="0"/>
              <w:adjustRightInd w:val="0"/>
              <w:spacing w:line="380" w:lineRule="exact"/>
              <w:rPr>
                <w:rFonts w:ascii="宋体" w:hAnsi="宋体" w:cs="宋体"/>
                <w:color w:val="auto"/>
                <w:spacing w:val="-6"/>
                <w:kern w:val="0"/>
                <w:highlight w:val="none"/>
              </w:rPr>
            </w:pPr>
            <w:r>
              <w:rPr>
                <w:rFonts w:hint="eastAsia" w:ascii="宋体" w:hAnsi="宋体" w:cs="宋体"/>
                <w:color w:val="auto"/>
                <w:spacing w:val="-6"/>
                <w:kern w:val="0"/>
                <w:highlight w:val="none"/>
              </w:rPr>
              <w:t>采购人不再统一组织投标预备会。</w:t>
            </w:r>
          </w:p>
        </w:tc>
      </w:tr>
      <w:tr w14:paraId="426A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20" w:type="dxa"/>
            <w:vAlign w:val="center"/>
          </w:tcPr>
          <w:p w14:paraId="4E8C787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1.11</w:t>
            </w:r>
          </w:p>
        </w:tc>
        <w:tc>
          <w:tcPr>
            <w:tcW w:w="1913" w:type="dxa"/>
            <w:vAlign w:val="center"/>
          </w:tcPr>
          <w:p w14:paraId="7F1D849E">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偏离</w:t>
            </w:r>
          </w:p>
        </w:tc>
        <w:tc>
          <w:tcPr>
            <w:tcW w:w="6909" w:type="dxa"/>
            <w:vAlign w:val="center"/>
          </w:tcPr>
          <w:p w14:paraId="2679F88E">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highlight w:val="none"/>
              </w:rPr>
              <w:t>不允许</w:t>
            </w:r>
          </w:p>
        </w:tc>
      </w:tr>
      <w:tr w14:paraId="7834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20" w:type="dxa"/>
            <w:vAlign w:val="center"/>
          </w:tcPr>
          <w:p w14:paraId="55A16C3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2.2.1</w:t>
            </w:r>
          </w:p>
        </w:tc>
        <w:tc>
          <w:tcPr>
            <w:tcW w:w="1913" w:type="dxa"/>
            <w:vAlign w:val="center"/>
          </w:tcPr>
          <w:p w14:paraId="1FD9EA67">
            <w:pPr>
              <w:autoSpaceDE w:val="0"/>
              <w:autoSpaceDN w:val="0"/>
              <w:adjustRightInd w:val="0"/>
              <w:spacing w:line="380" w:lineRule="exact"/>
              <w:jc w:val="center"/>
              <w:rPr>
                <w:rFonts w:ascii="宋体" w:hAnsi="宋体" w:cs="宋体"/>
                <w:color w:val="auto"/>
                <w:spacing w:val="-6"/>
                <w:kern w:val="0"/>
                <w:highlight w:val="none"/>
              </w:rPr>
            </w:pPr>
            <w:r>
              <w:rPr>
                <w:rFonts w:hint="eastAsia" w:ascii="宋体" w:hAnsi="宋体" w:cs="宋体"/>
                <w:color w:val="auto"/>
                <w:spacing w:val="-6"/>
                <w:kern w:val="0"/>
                <w:highlight w:val="none"/>
              </w:rPr>
              <w:t>供应商提出问题的截止时间</w:t>
            </w:r>
          </w:p>
        </w:tc>
        <w:tc>
          <w:tcPr>
            <w:tcW w:w="6909" w:type="dxa"/>
            <w:vAlign w:val="center"/>
          </w:tcPr>
          <w:p w14:paraId="01357121">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highlight w:val="none"/>
              </w:rPr>
              <w:t>递交响应文件的截止之日5日前</w:t>
            </w:r>
          </w:p>
        </w:tc>
      </w:tr>
      <w:tr w14:paraId="3552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20" w:type="dxa"/>
            <w:vAlign w:val="center"/>
          </w:tcPr>
          <w:p w14:paraId="598D316E">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2.2.2</w:t>
            </w:r>
          </w:p>
        </w:tc>
        <w:tc>
          <w:tcPr>
            <w:tcW w:w="1913" w:type="dxa"/>
            <w:vAlign w:val="center"/>
          </w:tcPr>
          <w:p w14:paraId="632D54FD">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采购人书面澄清的时间</w:t>
            </w:r>
          </w:p>
        </w:tc>
        <w:tc>
          <w:tcPr>
            <w:tcW w:w="6909" w:type="dxa"/>
            <w:vAlign w:val="center"/>
          </w:tcPr>
          <w:p w14:paraId="4133AA9F">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highlight w:val="none"/>
              </w:rPr>
              <w:t>递交响应文件的截止之日5日前</w:t>
            </w:r>
          </w:p>
        </w:tc>
      </w:tr>
      <w:tr w14:paraId="1184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0" w:type="dxa"/>
            <w:vAlign w:val="center"/>
          </w:tcPr>
          <w:p w14:paraId="383A246A">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2.2.3</w:t>
            </w:r>
          </w:p>
        </w:tc>
        <w:tc>
          <w:tcPr>
            <w:tcW w:w="1913" w:type="dxa"/>
          </w:tcPr>
          <w:p w14:paraId="20850620">
            <w:pPr>
              <w:adjustRightInd w:val="0"/>
              <w:snapToGrid w:val="0"/>
              <w:spacing w:line="380" w:lineRule="exact"/>
              <w:jc w:val="center"/>
              <w:rPr>
                <w:rFonts w:ascii="宋体" w:hAnsi="宋体" w:cs="宋体"/>
                <w:color w:val="auto"/>
                <w:kern w:val="0"/>
                <w:highlight w:val="none"/>
              </w:rPr>
            </w:pPr>
            <w:r>
              <w:rPr>
                <w:rFonts w:hint="eastAsia" w:ascii="宋体" w:hAnsi="宋体" w:cs="宋体"/>
                <w:color w:val="auto"/>
                <w:highlight w:val="none"/>
              </w:rPr>
              <w:t>供应商要求澄清竞争性磋商文件的截止时间</w:t>
            </w:r>
          </w:p>
        </w:tc>
        <w:tc>
          <w:tcPr>
            <w:tcW w:w="6909" w:type="dxa"/>
            <w:vAlign w:val="center"/>
          </w:tcPr>
          <w:p w14:paraId="7A895FC1">
            <w:pPr>
              <w:adjustRightInd w:val="0"/>
              <w:snapToGrid w:val="0"/>
              <w:spacing w:line="380" w:lineRule="exact"/>
              <w:rPr>
                <w:rFonts w:ascii="宋体" w:hAnsi="宋体" w:cs="宋体"/>
                <w:color w:val="auto"/>
                <w:highlight w:val="none"/>
              </w:rPr>
            </w:pPr>
            <w:r>
              <w:rPr>
                <w:rFonts w:hint="eastAsia" w:ascii="宋体" w:hAnsi="宋体" w:cs="宋体"/>
                <w:color w:val="auto"/>
                <w:highlight w:val="none"/>
              </w:rPr>
              <w:t>投标截止时间5日前</w:t>
            </w:r>
          </w:p>
        </w:tc>
      </w:tr>
      <w:tr w14:paraId="4B68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20" w:type="dxa"/>
            <w:tcBorders>
              <w:bottom w:val="single" w:color="auto" w:sz="4" w:space="0"/>
            </w:tcBorders>
            <w:vAlign w:val="center"/>
          </w:tcPr>
          <w:p w14:paraId="4F5AD443">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3.1</w:t>
            </w:r>
          </w:p>
        </w:tc>
        <w:tc>
          <w:tcPr>
            <w:tcW w:w="1913" w:type="dxa"/>
            <w:tcBorders>
              <w:bottom w:val="single" w:color="auto" w:sz="4" w:space="0"/>
            </w:tcBorders>
            <w:vAlign w:val="center"/>
          </w:tcPr>
          <w:p w14:paraId="28316512">
            <w:pPr>
              <w:autoSpaceDE w:val="0"/>
              <w:autoSpaceDN w:val="0"/>
              <w:adjustRightInd w:val="0"/>
              <w:spacing w:line="380" w:lineRule="exact"/>
              <w:jc w:val="center"/>
              <w:rPr>
                <w:rFonts w:ascii="宋体" w:hAnsi="宋体" w:cs="宋体"/>
                <w:color w:val="auto"/>
                <w:spacing w:val="-6"/>
                <w:kern w:val="0"/>
                <w:highlight w:val="none"/>
              </w:rPr>
            </w:pPr>
            <w:r>
              <w:rPr>
                <w:rFonts w:hint="eastAsia" w:ascii="宋体" w:hAnsi="宋体" w:cs="宋体"/>
                <w:color w:val="auto"/>
                <w:spacing w:val="-6"/>
                <w:kern w:val="0"/>
                <w:highlight w:val="none"/>
              </w:rPr>
              <w:t>构成响应文件的</w:t>
            </w:r>
          </w:p>
          <w:p w14:paraId="65CE8928">
            <w:pPr>
              <w:autoSpaceDE w:val="0"/>
              <w:autoSpaceDN w:val="0"/>
              <w:adjustRightInd w:val="0"/>
              <w:spacing w:line="380" w:lineRule="exact"/>
              <w:jc w:val="center"/>
              <w:rPr>
                <w:rFonts w:ascii="宋体" w:hAnsi="宋体" w:cs="宋体"/>
                <w:color w:val="auto"/>
                <w:spacing w:val="-6"/>
                <w:kern w:val="0"/>
                <w:highlight w:val="none"/>
              </w:rPr>
            </w:pPr>
            <w:r>
              <w:rPr>
                <w:rFonts w:hint="eastAsia" w:ascii="宋体" w:hAnsi="宋体" w:cs="宋体"/>
                <w:color w:val="auto"/>
                <w:spacing w:val="-6"/>
                <w:kern w:val="0"/>
                <w:highlight w:val="none"/>
              </w:rPr>
              <w:t>其他材料</w:t>
            </w:r>
          </w:p>
        </w:tc>
        <w:tc>
          <w:tcPr>
            <w:tcW w:w="6909" w:type="dxa"/>
            <w:tcBorders>
              <w:bottom w:val="single" w:color="auto" w:sz="4" w:space="0"/>
            </w:tcBorders>
            <w:vAlign w:val="center"/>
          </w:tcPr>
          <w:p w14:paraId="502561FF">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按竞争性磋商文件要求</w:t>
            </w:r>
          </w:p>
        </w:tc>
      </w:tr>
      <w:tr w14:paraId="2846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0" w:type="dxa"/>
            <w:vAlign w:val="center"/>
          </w:tcPr>
          <w:p w14:paraId="5DCBA890">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3.3.1</w:t>
            </w:r>
          </w:p>
        </w:tc>
        <w:tc>
          <w:tcPr>
            <w:tcW w:w="1913" w:type="dxa"/>
            <w:vAlign w:val="center"/>
          </w:tcPr>
          <w:p w14:paraId="6540794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磋商有效期</w:t>
            </w:r>
          </w:p>
        </w:tc>
        <w:tc>
          <w:tcPr>
            <w:tcW w:w="6909" w:type="dxa"/>
            <w:vAlign w:val="center"/>
          </w:tcPr>
          <w:p w14:paraId="280AA4CB">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60日历天（从投标截止之日算起）</w:t>
            </w:r>
          </w:p>
        </w:tc>
      </w:tr>
      <w:tr w14:paraId="61F2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20" w:type="dxa"/>
            <w:vAlign w:val="center"/>
          </w:tcPr>
          <w:p w14:paraId="5913CE43">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3.4</w:t>
            </w:r>
          </w:p>
        </w:tc>
        <w:tc>
          <w:tcPr>
            <w:tcW w:w="1913" w:type="dxa"/>
            <w:vAlign w:val="center"/>
          </w:tcPr>
          <w:p w14:paraId="16AB2B7C">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投标保证金</w:t>
            </w:r>
          </w:p>
        </w:tc>
        <w:tc>
          <w:tcPr>
            <w:tcW w:w="6909" w:type="dxa"/>
            <w:vAlign w:val="center"/>
          </w:tcPr>
          <w:p w14:paraId="18282FDF">
            <w:pPr>
              <w:snapToGrid w:val="0"/>
              <w:spacing w:line="380" w:lineRule="exact"/>
              <w:rPr>
                <w:rFonts w:ascii="宋体" w:hAnsi="宋体" w:cs="宋体"/>
                <w:color w:val="auto"/>
                <w:highlight w:val="none"/>
              </w:rPr>
            </w:pPr>
            <w:r>
              <w:rPr>
                <w:rFonts w:hint="eastAsia" w:ascii="宋体" w:hAnsi="宋体" w:cs="宋体"/>
                <w:color w:val="auto"/>
                <w:kern w:val="0"/>
                <w:highlight w:val="none"/>
              </w:rPr>
              <w:t>无</w:t>
            </w:r>
          </w:p>
        </w:tc>
      </w:tr>
      <w:tr w14:paraId="1007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920" w:type="dxa"/>
            <w:vAlign w:val="center"/>
          </w:tcPr>
          <w:p w14:paraId="2C30658C">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3.5.3</w:t>
            </w:r>
          </w:p>
        </w:tc>
        <w:tc>
          <w:tcPr>
            <w:tcW w:w="1913" w:type="dxa"/>
            <w:vAlign w:val="center"/>
          </w:tcPr>
          <w:p w14:paraId="59D175AA">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响应文件签字和盖章要求</w:t>
            </w:r>
          </w:p>
        </w:tc>
        <w:tc>
          <w:tcPr>
            <w:tcW w:w="6909" w:type="dxa"/>
            <w:vAlign w:val="center"/>
          </w:tcPr>
          <w:p w14:paraId="188D72A8">
            <w:pPr>
              <w:widowControl/>
              <w:wordWrap w:val="0"/>
              <w:spacing w:line="380" w:lineRule="exact"/>
              <w:jc w:val="left"/>
              <w:textAlignment w:val="bottom"/>
              <w:rPr>
                <w:rFonts w:hint="eastAsia" w:ascii="宋体" w:hAnsi="宋体" w:eastAsia="宋体" w:cs="宋体"/>
                <w:color w:val="auto"/>
                <w:highlight w:val="none"/>
                <w:lang w:eastAsia="zh-CN"/>
              </w:rPr>
            </w:pPr>
            <w:r>
              <w:rPr>
                <w:rFonts w:hint="eastAsia" w:ascii="宋体" w:hAnsi="宋体" w:cs="宋体"/>
                <w:color w:val="auto"/>
                <w:highlight w:val="none"/>
              </w:rPr>
              <w:t>签字和盖章的要求应符合第六章响应文件格式相应要求</w:t>
            </w:r>
            <w:r>
              <w:rPr>
                <w:rFonts w:hint="eastAsia" w:ascii="宋体" w:hAnsi="宋体" w:cs="宋体"/>
                <w:color w:val="auto"/>
                <w:highlight w:val="none"/>
                <w:lang w:eastAsia="zh-CN"/>
              </w:rPr>
              <w:t>，其中“法定代表人电子签名”是指法定代表人的电子签名或电子章。</w:t>
            </w:r>
          </w:p>
        </w:tc>
      </w:tr>
      <w:tr w14:paraId="0BF4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20" w:type="dxa"/>
            <w:vAlign w:val="center"/>
          </w:tcPr>
          <w:p w14:paraId="29A3DA6D">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3.5.4</w:t>
            </w:r>
          </w:p>
        </w:tc>
        <w:tc>
          <w:tcPr>
            <w:tcW w:w="1913" w:type="dxa"/>
            <w:vAlign w:val="center"/>
          </w:tcPr>
          <w:p w14:paraId="2CCC1DBE">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响应文件份数</w:t>
            </w:r>
          </w:p>
        </w:tc>
        <w:tc>
          <w:tcPr>
            <w:tcW w:w="6909" w:type="dxa"/>
            <w:vAlign w:val="center"/>
          </w:tcPr>
          <w:p w14:paraId="52BFF1D3">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加密的电子响应文件壹份（*.XYTF 格式，在会员系统指定位置上传）</w:t>
            </w:r>
          </w:p>
        </w:tc>
      </w:tr>
      <w:tr w14:paraId="2ECF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20" w:type="dxa"/>
            <w:vAlign w:val="center"/>
          </w:tcPr>
          <w:p w14:paraId="10CD2E8D">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4.1.1</w:t>
            </w:r>
          </w:p>
        </w:tc>
        <w:tc>
          <w:tcPr>
            <w:tcW w:w="1913" w:type="dxa"/>
            <w:vAlign w:val="center"/>
          </w:tcPr>
          <w:p w14:paraId="0828CD08">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递交响应文件</w:t>
            </w:r>
          </w:p>
          <w:p w14:paraId="2E2E2403">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截止时间</w:t>
            </w:r>
          </w:p>
        </w:tc>
        <w:tc>
          <w:tcPr>
            <w:tcW w:w="6909" w:type="dxa"/>
            <w:vAlign w:val="center"/>
          </w:tcPr>
          <w:p w14:paraId="00B51DCB">
            <w:pPr>
              <w:autoSpaceDE w:val="0"/>
              <w:autoSpaceDN w:val="0"/>
              <w:adjustRightInd w:val="0"/>
              <w:spacing w:line="380" w:lineRule="exact"/>
              <w:jc w:val="left"/>
              <w:rPr>
                <w:rFonts w:ascii="宋体" w:hAnsi="宋体" w:cs="宋体"/>
                <w:color w:val="auto"/>
                <w:kern w:val="0"/>
                <w:highlight w:val="none"/>
              </w:rPr>
            </w:pPr>
            <w:r>
              <w:rPr>
                <w:rFonts w:hint="eastAsia" w:ascii="宋体" w:hAnsi="宋体" w:cs="宋体"/>
                <w:color w:val="auto"/>
                <w:kern w:val="0"/>
                <w:highlight w:val="none"/>
              </w:rPr>
              <w:t>截止时间：</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 xml:space="preserve"> 8</w:t>
            </w:r>
            <w:r>
              <w:rPr>
                <w:rFonts w:hint="eastAsia" w:ascii="宋体" w:hAnsi="宋体" w:cs="宋体"/>
                <w:bCs/>
                <w:color w:val="auto"/>
                <w:highlight w:val="none"/>
              </w:rPr>
              <w:t>月</w:t>
            </w:r>
            <w:r>
              <w:rPr>
                <w:rFonts w:hint="eastAsia" w:ascii="宋体" w:hAnsi="宋体" w:cs="宋体"/>
                <w:bCs/>
                <w:color w:val="auto"/>
                <w:highlight w:val="none"/>
                <w:lang w:val="en-US" w:eastAsia="zh-CN"/>
              </w:rPr>
              <w:t xml:space="preserve">5 </w:t>
            </w:r>
            <w:r>
              <w:rPr>
                <w:rFonts w:hint="eastAsia" w:ascii="宋体" w:hAnsi="宋体" w:cs="宋体"/>
                <w:bCs/>
                <w:color w:val="auto"/>
                <w:highlight w:val="none"/>
              </w:rPr>
              <w:t>日9时</w:t>
            </w:r>
            <w:r>
              <w:rPr>
                <w:rFonts w:hint="eastAsia" w:ascii="宋体" w:hAnsi="宋体" w:cs="宋体"/>
                <w:bCs/>
                <w:color w:val="auto"/>
                <w:highlight w:val="none"/>
                <w:lang w:val="en-US" w:eastAsia="zh-CN"/>
              </w:rPr>
              <w:t>0</w:t>
            </w:r>
            <w:r>
              <w:rPr>
                <w:rFonts w:hint="eastAsia" w:ascii="宋体" w:hAnsi="宋体" w:cs="宋体"/>
                <w:bCs/>
                <w:color w:val="auto"/>
                <w:highlight w:val="none"/>
              </w:rPr>
              <w:t>0分</w:t>
            </w:r>
          </w:p>
        </w:tc>
      </w:tr>
      <w:tr w14:paraId="2ABC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920" w:type="dxa"/>
            <w:vAlign w:val="center"/>
          </w:tcPr>
          <w:p w14:paraId="68EECB56">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4.2.3</w:t>
            </w:r>
          </w:p>
        </w:tc>
        <w:tc>
          <w:tcPr>
            <w:tcW w:w="1913" w:type="dxa"/>
            <w:vAlign w:val="center"/>
          </w:tcPr>
          <w:p w14:paraId="3B55BE2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是否退还投标</w:t>
            </w:r>
          </w:p>
          <w:p w14:paraId="34E8F23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文件</w:t>
            </w:r>
          </w:p>
        </w:tc>
        <w:tc>
          <w:tcPr>
            <w:tcW w:w="6909" w:type="dxa"/>
            <w:vAlign w:val="center"/>
          </w:tcPr>
          <w:p w14:paraId="4F710B70">
            <w:pPr>
              <w:autoSpaceDE w:val="0"/>
              <w:autoSpaceDN w:val="0"/>
              <w:adjustRightInd w:val="0"/>
              <w:spacing w:line="380" w:lineRule="exact"/>
              <w:jc w:val="left"/>
              <w:rPr>
                <w:rFonts w:ascii="宋体" w:hAnsi="宋体" w:cs="宋体"/>
                <w:color w:val="auto"/>
                <w:kern w:val="0"/>
                <w:highlight w:val="none"/>
              </w:rPr>
            </w:pPr>
            <w:r>
              <w:rPr>
                <w:rFonts w:hint="eastAsia" w:ascii="宋体" w:hAnsi="宋体" w:cs="宋体"/>
                <w:color w:val="auto"/>
                <w:kern w:val="0"/>
                <w:highlight w:val="none"/>
              </w:rPr>
              <w:t>否</w:t>
            </w:r>
          </w:p>
        </w:tc>
      </w:tr>
      <w:tr w14:paraId="19FC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0" w:type="dxa"/>
            <w:vAlign w:val="center"/>
          </w:tcPr>
          <w:p w14:paraId="07192936">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5.1</w:t>
            </w:r>
          </w:p>
        </w:tc>
        <w:tc>
          <w:tcPr>
            <w:tcW w:w="1913" w:type="dxa"/>
            <w:vAlign w:val="center"/>
          </w:tcPr>
          <w:p w14:paraId="04CF885F">
            <w:pPr>
              <w:autoSpaceDE w:val="0"/>
              <w:autoSpaceDN w:val="0"/>
              <w:adjustRightInd w:val="0"/>
              <w:spacing w:line="380" w:lineRule="exact"/>
              <w:jc w:val="center"/>
              <w:rPr>
                <w:rFonts w:ascii="宋体" w:hAnsi="宋体" w:cs="宋体"/>
                <w:color w:val="auto"/>
                <w:kern w:val="0"/>
                <w:highlight w:val="yellow"/>
              </w:rPr>
            </w:pPr>
            <w:r>
              <w:rPr>
                <w:rFonts w:hint="eastAsia" w:ascii="宋体" w:hAnsi="宋体" w:cs="宋体"/>
                <w:color w:val="auto"/>
                <w:kern w:val="0"/>
                <w:highlight w:val="none"/>
              </w:rPr>
              <w:t>开标时间</w:t>
            </w:r>
          </w:p>
        </w:tc>
        <w:tc>
          <w:tcPr>
            <w:tcW w:w="6909" w:type="dxa"/>
            <w:vAlign w:val="center"/>
          </w:tcPr>
          <w:p w14:paraId="2D58A213">
            <w:pPr>
              <w:autoSpaceDE w:val="0"/>
              <w:autoSpaceDN w:val="0"/>
              <w:adjustRightInd w:val="0"/>
              <w:spacing w:line="380" w:lineRule="exact"/>
              <w:jc w:val="left"/>
              <w:rPr>
                <w:rFonts w:ascii="宋体" w:hAnsi="宋体" w:cs="宋体"/>
                <w:color w:val="auto"/>
                <w:kern w:val="0"/>
                <w:highlight w:val="none"/>
              </w:rPr>
            </w:pPr>
            <w:r>
              <w:rPr>
                <w:rFonts w:hint="eastAsia" w:ascii="宋体" w:hAnsi="宋体" w:cs="宋体"/>
                <w:color w:val="auto"/>
                <w:kern w:val="0"/>
                <w:highlight w:val="none"/>
              </w:rPr>
              <w:t>开标时间：</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 xml:space="preserve"> 8 </w:t>
            </w:r>
            <w:r>
              <w:rPr>
                <w:rFonts w:hint="eastAsia" w:ascii="宋体" w:hAnsi="宋体" w:cs="宋体"/>
                <w:bCs/>
                <w:color w:val="auto"/>
                <w:highlight w:val="none"/>
              </w:rPr>
              <w:t>月</w:t>
            </w:r>
            <w:r>
              <w:rPr>
                <w:rFonts w:hint="eastAsia" w:ascii="宋体" w:hAnsi="宋体" w:cs="宋体"/>
                <w:bCs/>
                <w:color w:val="auto"/>
                <w:highlight w:val="none"/>
                <w:lang w:val="en-US" w:eastAsia="zh-CN"/>
              </w:rPr>
              <w:t xml:space="preserve"> 5 </w:t>
            </w:r>
            <w:r>
              <w:rPr>
                <w:rFonts w:hint="eastAsia" w:ascii="宋体" w:hAnsi="宋体" w:cs="宋体"/>
                <w:bCs/>
                <w:color w:val="auto"/>
                <w:highlight w:val="none"/>
              </w:rPr>
              <w:t>日9时</w:t>
            </w:r>
            <w:r>
              <w:rPr>
                <w:rFonts w:hint="eastAsia" w:ascii="宋体" w:hAnsi="宋体" w:cs="宋体"/>
                <w:bCs/>
                <w:color w:val="auto"/>
                <w:highlight w:val="none"/>
                <w:lang w:val="en-US" w:eastAsia="zh-CN"/>
              </w:rPr>
              <w:t>0</w:t>
            </w:r>
            <w:r>
              <w:rPr>
                <w:rFonts w:hint="eastAsia" w:ascii="宋体" w:hAnsi="宋体" w:cs="宋体"/>
                <w:bCs/>
                <w:color w:val="auto"/>
                <w:highlight w:val="none"/>
              </w:rPr>
              <w:t>0分</w:t>
            </w:r>
          </w:p>
        </w:tc>
      </w:tr>
      <w:tr w14:paraId="1E91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20" w:type="dxa"/>
            <w:vAlign w:val="center"/>
          </w:tcPr>
          <w:p w14:paraId="103FB881">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 xml:space="preserve">5.2 </w:t>
            </w:r>
          </w:p>
        </w:tc>
        <w:tc>
          <w:tcPr>
            <w:tcW w:w="1913" w:type="dxa"/>
            <w:vAlign w:val="center"/>
          </w:tcPr>
          <w:p w14:paraId="5DCCA7E1">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开标程序</w:t>
            </w:r>
          </w:p>
        </w:tc>
        <w:tc>
          <w:tcPr>
            <w:tcW w:w="6909" w:type="dxa"/>
            <w:vAlign w:val="center"/>
          </w:tcPr>
          <w:p w14:paraId="0F44A1BD">
            <w:pPr>
              <w:spacing w:line="380" w:lineRule="exact"/>
              <w:rPr>
                <w:rFonts w:ascii="宋体" w:hAnsi="宋体" w:cs="宋体"/>
                <w:bCs/>
                <w:color w:val="auto"/>
                <w:highlight w:val="none"/>
              </w:rPr>
            </w:pPr>
            <w:r>
              <w:rPr>
                <w:rFonts w:hint="eastAsia" w:ascii="宋体" w:hAnsi="宋体" w:cs="宋体"/>
                <w:bCs/>
                <w:color w:val="auto"/>
                <w:highlight w:val="none"/>
              </w:rPr>
              <w:t>1.各供应商应在投标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04445022">
            <w:pPr>
              <w:spacing w:line="380" w:lineRule="exact"/>
              <w:rPr>
                <w:rFonts w:ascii="宋体" w:hAnsi="宋体" w:cs="宋体"/>
                <w:b/>
                <w:color w:val="auto"/>
                <w:highlight w:val="none"/>
              </w:rPr>
            </w:pPr>
            <w:r>
              <w:rPr>
                <w:rFonts w:hint="eastAsia" w:ascii="宋体" w:hAnsi="宋体" w:cs="宋体"/>
                <w:b/>
                <w:color w:val="auto"/>
                <w:highlight w:val="none"/>
              </w:rPr>
              <w:t>加密电子响应文件逾期上传，采购人不予受理</w:t>
            </w:r>
          </w:p>
          <w:p w14:paraId="5C947BC1">
            <w:pPr>
              <w:spacing w:line="380" w:lineRule="exact"/>
              <w:rPr>
                <w:rFonts w:ascii="宋体" w:hAnsi="宋体" w:cs="宋体"/>
                <w:bCs/>
                <w:color w:val="auto"/>
                <w:highlight w:val="none"/>
              </w:rPr>
            </w:pPr>
            <w:r>
              <w:rPr>
                <w:rFonts w:hint="eastAsia" w:ascii="宋体" w:hAnsi="宋体" w:cs="宋体"/>
                <w:bCs/>
                <w:color w:val="auto"/>
                <w:highlight w:val="none"/>
              </w:rPr>
              <w:t>2.本项目采用“不见面开标”交易方式，不见面开标大厅网址为</w:t>
            </w:r>
            <w:r>
              <w:rPr>
                <w:rFonts w:hint="eastAsia" w:ascii="宋体" w:hAnsi="宋体" w:cs="宋体"/>
                <w:color w:val="auto"/>
                <w:highlight w:val="none"/>
                <w:shd w:val="clear" w:color="auto" w:fill="FFFFFF"/>
              </w:rPr>
              <w:t>https://ggzyjy.xinyang.gov.cn/BidOpening</w:t>
            </w:r>
            <w:r>
              <w:rPr>
                <w:rFonts w:hint="eastAsia" w:ascii="宋体" w:hAnsi="宋体" w:cs="宋体"/>
                <w:bCs/>
                <w:color w:val="auto"/>
                <w:highlight w:val="none"/>
              </w:rPr>
              <w:t>，供应商无需寄送和递交非加密的电子响应文件，无需到现场参加开标会议，无需到达现场提交原件资料。</w:t>
            </w:r>
          </w:p>
          <w:p w14:paraId="26923441">
            <w:pPr>
              <w:spacing w:line="380" w:lineRule="exact"/>
              <w:ind w:firstLine="315" w:firstLineChars="150"/>
              <w:rPr>
                <w:rFonts w:ascii="宋体" w:hAnsi="宋体" w:cs="宋体"/>
                <w:bCs/>
                <w:color w:val="auto"/>
                <w:highlight w:val="none"/>
              </w:rPr>
            </w:pPr>
            <w:r>
              <w:rPr>
                <w:rFonts w:hint="eastAsia" w:ascii="宋体" w:hAnsi="宋体" w:cs="宋体"/>
                <w:bCs/>
                <w:color w:val="auto"/>
                <w:highlight w:val="none"/>
              </w:rPr>
              <w:t>供应商应当在投标截止时间前，使用供应商CA数字证书登录不见面开标大厅，在线签到并准时参加开标活动，并在规定时间内完成响应文件解密、答疑澄清等。</w:t>
            </w:r>
          </w:p>
          <w:p w14:paraId="2E02B2BC">
            <w:pPr>
              <w:spacing w:line="380" w:lineRule="exact"/>
              <w:ind w:firstLine="315" w:firstLineChars="150"/>
              <w:rPr>
                <w:rFonts w:ascii="宋体" w:hAnsi="宋体" w:cs="宋体"/>
                <w:bCs/>
                <w:color w:val="auto"/>
                <w:highlight w:val="none"/>
              </w:rPr>
            </w:pPr>
            <w:r>
              <w:rPr>
                <w:rFonts w:hint="eastAsia" w:ascii="宋体" w:hAnsi="宋体" w:cs="宋体"/>
                <w:bCs/>
                <w:color w:val="auto"/>
                <w:highlight w:val="none"/>
              </w:rPr>
              <w:t>逾期解密或者没有准时在线参加开标活动导致的一切后果供应商自行承担。</w:t>
            </w:r>
          </w:p>
          <w:p w14:paraId="0A624DB0">
            <w:pPr>
              <w:spacing w:line="380" w:lineRule="exact"/>
              <w:ind w:firstLine="315" w:firstLineChars="150"/>
              <w:rPr>
                <w:rFonts w:ascii="宋体" w:hAnsi="宋体" w:cs="宋体"/>
                <w:bCs/>
                <w:color w:val="auto"/>
                <w:highlight w:val="none"/>
              </w:rPr>
            </w:pPr>
            <w:r>
              <w:rPr>
                <w:rFonts w:hint="eastAsia" w:ascii="宋体" w:hAnsi="宋体" w:cs="宋体"/>
                <w:bCs/>
                <w:color w:val="auto"/>
                <w:highlight w:val="none"/>
              </w:rPr>
              <w:t>不见面开标服务的具体事宜，请查阅信阳市公共资源交易中心网站首页—下载中心—信阳市不见面开标大厅系统操作手册 。</w:t>
            </w:r>
          </w:p>
          <w:p w14:paraId="55CA8FD4">
            <w:pPr>
              <w:spacing w:line="380" w:lineRule="exact"/>
              <w:ind w:firstLine="316" w:firstLineChars="150"/>
              <w:rPr>
                <w:rFonts w:ascii="宋体" w:hAnsi="宋体" w:cs="宋体"/>
                <w:color w:val="auto"/>
                <w:kern w:val="0"/>
                <w:highlight w:val="none"/>
              </w:rPr>
            </w:pPr>
            <w:r>
              <w:rPr>
                <w:rFonts w:hint="eastAsia" w:ascii="宋体" w:hAnsi="宋体" w:cs="宋体"/>
                <w:b/>
                <w:color w:val="auto"/>
                <w:highlight w:val="none"/>
              </w:rPr>
              <w:t>特别提示：供应商在线签到时，应如实准确的填写授权委托人的联系电话，开标当天请务必保证电话保持畅通。</w:t>
            </w:r>
          </w:p>
        </w:tc>
      </w:tr>
      <w:tr w14:paraId="441F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20" w:type="dxa"/>
            <w:vAlign w:val="center"/>
          </w:tcPr>
          <w:p w14:paraId="23CF7238">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 xml:space="preserve">6.1 </w:t>
            </w:r>
          </w:p>
        </w:tc>
        <w:tc>
          <w:tcPr>
            <w:tcW w:w="1913" w:type="dxa"/>
            <w:vAlign w:val="center"/>
          </w:tcPr>
          <w:p w14:paraId="7F40D716">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磋商小组的</w:t>
            </w:r>
          </w:p>
          <w:p w14:paraId="32D6DA9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组建</w:t>
            </w:r>
          </w:p>
        </w:tc>
        <w:tc>
          <w:tcPr>
            <w:tcW w:w="6909" w:type="dxa"/>
            <w:vAlign w:val="center"/>
          </w:tcPr>
          <w:p w14:paraId="20D08712">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磋商小组构成：</w:t>
            </w:r>
            <w:r>
              <w:rPr>
                <w:rFonts w:hint="eastAsia" w:ascii="宋体" w:hAnsi="宋体" w:cs="宋体"/>
                <w:color w:val="auto"/>
                <w:kern w:val="0"/>
                <w:highlight w:val="none"/>
                <w:u w:val="single"/>
              </w:rPr>
              <w:t xml:space="preserve"> 3 </w:t>
            </w:r>
            <w:r>
              <w:rPr>
                <w:rFonts w:hint="eastAsia" w:ascii="宋体" w:hAnsi="宋体" w:cs="宋体"/>
                <w:color w:val="auto"/>
                <w:kern w:val="0"/>
                <w:highlight w:val="none"/>
              </w:rPr>
              <w:t>人，其中业主评委</w:t>
            </w:r>
            <w:r>
              <w:rPr>
                <w:rFonts w:hint="eastAsia" w:ascii="宋体" w:hAnsi="宋体" w:cs="宋体"/>
                <w:color w:val="auto"/>
                <w:kern w:val="0"/>
                <w:highlight w:val="none"/>
                <w:u w:val="single"/>
              </w:rPr>
              <w:t xml:space="preserve"> 1 </w:t>
            </w:r>
            <w:r>
              <w:rPr>
                <w:rFonts w:hint="eastAsia" w:ascii="宋体" w:hAnsi="宋体" w:cs="宋体"/>
                <w:color w:val="auto"/>
                <w:kern w:val="0"/>
                <w:highlight w:val="none"/>
              </w:rPr>
              <w:t>人，专家</w:t>
            </w:r>
            <w:r>
              <w:rPr>
                <w:rFonts w:hint="eastAsia" w:ascii="宋体" w:hAnsi="宋体" w:cs="宋体"/>
                <w:color w:val="auto"/>
                <w:kern w:val="0"/>
                <w:highlight w:val="none"/>
                <w:u w:val="single"/>
              </w:rPr>
              <w:t xml:space="preserve"> 2 </w:t>
            </w:r>
            <w:r>
              <w:rPr>
                <w:rFonts w:hint="eastAsia" w:ascii="宋体" w:hAnsi="宋体" w:cs="宋体"/>
                <w:color w:val="auto"/>
                <w:kern w:val="0"/>
                <w:highlight w:val="none"/>
              </w:rPr>
              <w:t>人。专家从政府采购专家库中随机抽取。</w:t>
            </w:r>
          </w:p>
        </w:tc>
      </w:tr>
      <w:tr w14:paraId="6F94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20" w:type="dxa"/>
            <w:vAlign w:val="center"/>
          </w:tcPr>
          <w:p w14:paraId="09B3AD90">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7.1</w:t>
            </w:r>
          </w:p>
        </w:tc>
        <w:tc>
          <w:tcPr>
            <w:tcW w:w="1913" w:type="dxa"/>
            <w:vAlign w:val="center"/>
          </w:tcPr>
          <w:p w14:paraId="1AE17840">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是否授权磋商小组确定成交人</w:t>
            </w:r>
          </w:p>
        </w:tc>
        <w:tc>
          <w:tcPr>
            <w:tcW w:w="6909" w:type="dxa"/>
            <w:vAlign w:val="center"/>
          </w:tcPr>
          <w:p w14:paraId="62709C01">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否，推荐3名成交候选人。</w:t>
            </w:r>
          </w:p>
        </w:tc>
      </w:tr>
      <w:tr w14:paraId="2A70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20" w:type="dxa"/>
            <w:vAlign w:val="center"/>
          </w:tcPr>
          <w:p w14:paraId="158C601C">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7.3.1</w:t>
            </w:r>
          </w:p>
        </w:tc>
        <w:tc>
          <w:tcPr>
            <w:tcW w:w="1913" w:type="dxa"/>
            <w:vAlign w:val="center"/>
          </w:tcPr>
          <w:p w14:paraId="1280A63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履约担保</w:t>
            </w:r>
          </w:p>
        </w:tc>
        <w:tc>
          <w:tcPr>
            <w:tcW w:w="6909" w:type="dxa"/>
            <w:vAlign w:val="center"/>
          </w:tcPr>
          <w:p w14:paraId="1280F261">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不要求</w:t>
            </w:r>
          </w:p>
        </w:tc>
      </w:tr>
      <w:tr w14:paraId="3A12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20" w:type="dxa"/>
            <w:vAlign w:val="center"/>
          </w:tcPr>
          <w:p w14:paraId="376722D2">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7.3.2</w:t>
            </w:r>
          </w:p>
        </w:tc>
        <w:tc>
          <w:tcPr>
            <w:tcW w:w="1913" w:type="dxa"/>
            <w:vAlign w:val="center"/>
          </w:tcPr>
          <w:p w14:paraId="624D0C7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分包/转包</w:t>
            </w:r>
          </w:p>
        </w:tc>
        <w:tc>
          <w:tcPr>
            <w:tcW w:w="6909" w:type="dxa"/>
            <w:vAlign w:val="center"/>
          </w:tcPr>
          <w:p w14:paraId="73485B84">
            <w:pPr>
              <w:autoSpaceDE w:val="0"/>
              <w:autoSpaceDN w:val="0"/>
              <w:adjustRightInd w:val="0"/>
              <w:spacing w:line="380" w:lineRule="exact"/>
              <w:rPr>
                <w:rFonts w:ascii="宋体" w:hAnsi="宋体" w:cs="宋体"/>
                <w:color w:val="auto"/>
                <w:kern w:val="0"/>
                <w:highlight w:val="none"/>
              </w:rPr>
            </w:pPr>
            <w:r>
              <w:rPr>
                <w:rFonts w:hint="eastAsia" w:ascii="宋体" w:hAnsi="宋体" w:cs="宋体"/>
                <w:color w:val="auto"/>
                <w:kern w:val="0"/>
                <w:highlight w:val="none"/>
              </w:rPr>
              <w:t>不允许转包和分包</w:t>
            </w:r>
          </w:p>
        </w:tc>
      </w:tr>
      <w:tr w14:paraId="0DF3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20" w:type="dxa"/>
            <w:vAlign w:val="center"/>
          </w:tcPr>
          <w:p w14:paraId="4B7393FD">
            <w:pPr>
              <w:autoSpaceDE w:val="0"/>
              <w:autoSpaceDN w:val="0"/>
              <w:adjustRightInd w:val="0"/>
              <w:spacing w:line="380" w:lineRule="exact"/>
              <w:jc w:val="center"/>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lang w:val="en-US" w:eastAsia="zh-CN"/>
              </w:rPr>
              <w:t>7.4</w:t>
            </w:r>
          </w:p>
        </w:tc>
        <w:tc>
          <w:tcPr>
            <w:tcW w:w="1913" w:type="dxa"/>
            <w:vAlign w:val="center"/>
          </w:tcPr>
          <w:p w14:paraId="7A920C6E">
            <w:pPr>
              <w:spacing w:line="500" w:lineRule="exact"/>
              <w:ind w:firstLine="0" w:firstLineChars="0"/>
              <w:rPr>
                <w:rFonts w:hint="eastAsia" w:ascii="宋体" w:hAnsi="宋体" w:cs="宋体"/>
                <w:color w:val="auto"/>
                <w:kern w:val="0"/>
                <w:highlight w:val="none"/>
              </w:rPr>
            </w:pPr>
            <w:r>
              <w:rPr>
                <w:rFonts w:hint="eastAsia" w:ascii="宋体" w:hAnsi="宋体" w:eastAsia="宋体" w:cs="宋体"/>
                <w:color w:val="auto"/>
                <w:sz w:val="24"/>
                <w:szCs w:val="24"/>
              </w:rPr>
              <w:t>解释权</w:t>
            </w:r>
          </w:p>
        </w:tc>
        <w:tc>
          <w:tcPr>
            <w:tcW w:w="6909" w:type="dxa"/>
            <w:vAlign w:val="center"/>
          </w:tcPr>
          <w:p w14:paraId="15A76DE1">
            <w:pPr>
              <w:spacing w:line="500" w:lineRule="exact"/>
              <w:ind w:firstLine="0" w:firstLineChars="0"/>
              <w:rPr>
                <w:rFonts w:hint="eastAsia" w:ascii="宋体" w:hAnsi="宋体" w:cs="宋体"/>
                <w:color w:val="auto"/>
                <w:kern w:val="0"/>
                <w:highlight w:val="none"/>
              </w:rPr>
            </w:pPr>
            <w:r>
              <w:rPr>
                <w:rFonts w:hint="eastAsia" w:ascii="宋体" w:hAnsi="宋体" w:eastAsia="宋体" w:cs="宋体"/>
                <w:color w:val="auto"/>
                <w:kern w:val="0"/>
                <w:highlight w:val="none"/>
              </w:rPr>
              <w:t>构成本</w:t>
            </w:r>
            <w:r>
              <w:rPr>
                <w:rFonts w:hint="eastAsia" w:ascii="宋体" w:hAnsi="宋体" w:eastAsia="宋体" w:cs="宋体"/>
                <w:color w:val="auto"/>
                <w:kern w:val="0"/>
                <w:highlight w:val="none"/>
                <w:lang w:val="en-US" w:eastAsia="zh-CN"/>
              </w:rPr>
              <w:t>磋商</w:t>
            </w:r>
            <w:r>
              <w:rPr>
                <w:rFonts w:hint="eastAsia" w:ascii="宋体" w:hAnsi="宋体" w:eastAsia="宋体" w:cs="宋体"/>
                <w:color w:val="auto"/>
                <w:kern w:val="0"/>
                <w:highlight w:val="none"/>
              </w:rPr>
              <w:t>文件的各个组成文件应互为解释，互为说明；如有不明确或不一致，按</w:t>
            </w:r>
            <w:r>
              <w:rPr>
                <w:rFonts w:hint="eastAsia" w:ascii="宋体" w:hAnsi="宋体" w:eastAsia="宋体" w:cs="宋体"/>
                <w:color w:val="auto"/>
                <w:kern w:val="0"/>
                <w:highlight w:val="none"/>
                <w:lang w:val="en-US" w:eastAsia="zh-CN"/>
              </w:rPr>
              <w:t>竞争性磋商</w:t>
            </w:r>
            <w:r>
              <w:rPr>
                <w:rFonts w:hint="eastAsia" w:ascii="宋体" w:hAnsi="宋体" w:eastAsia="宋体" w:cs="宋体"/>
                <w:color w:val="auto"/>
                <w:kern w:val="0"/>
                <w:highlight w:val="none"/>
              </w:rPr>
              <w:t>公告、供应商须知、评审办法、</w:t>
            </w:r>
            <w:r>
              <w:rPr>
                <w:rFonts w:hint="eastAsia" w:ascii="宋体" w:hAnsi="宋体" w:eastAsia="宋体" w:cs="宋体"/>
                <w:color w:val="auto"/>
                <w:kern w:val="0"/>
                <w:highlight w:val="none"/>
                <w:lang w:val="en-US" w:eastAsia="zh-CN"/>
              </w:rPr>
              <w:t>磋商</w:t>
            </w:r>
            <w:r>
              <w:rPr>
                <w:rFonts w:hint="eastAsia" w:ascii="宋体" w:hAnsi="宋体" w:eastAsia="宋体" w:cs="宋体"/>
                <w:color w:val="auto"/>
                <w:kern w:val="0"/>
                <w:highlight w:val="none"/>
              </w:rPr>
              <w:t>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01BF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20" w:type="dxa"/>
            <w:vAlign w:val="center"/>
          </w:tcPr>
          <w:p w14:paraId="591A3020">
            <w:pPr>
              <w:autoSpaceDE w:val="0"/>
              <w:autoSpaceDN w:val="0"/>
              <w:adjustRightInd w:val="0"/>
              <w:spacing w:line="380" w:lineRule="exact"/>
              <w:jc w:val="center"/>
              <w:rPr>
                <w:rFonts w:hint="default" w:ascii="宋体" w:hAnsi="宋体" w:cs="宋体"/>
                <w:color w:val="auto"/>
                <w:kern w:val="0"/>
                <w:highlight w:val="none"/>
                <w:lang w:val="en-US" w:eastAsia="zh-CN"/>
              </w:rPr>
            </w:pPr>
            <w:r>
              <w:rPr>
                <w:rFonts w:hint="eastAsia" w:ascii="宋体" w:hAnsi="宋体" w:cs="宋体"/>
                <w:color w:val="auto"/>
                <w:kern w:val="0"/>
                <w:highlight w:val="none"/>
                <w:lang w:val="en-US" w:eastAsia="zh-CN"/>
              </w:rPr>
              <w:t>7.5</w:t>
            </w:r>
          </w:p>
        </w:tc>
        <w:tc>
          <w:tcPr>
            <w:tcW w:w="1913" w:type="dxa"/>
            <w:vAlign w:val="center"/>
          </w:tcPr>
          <w:p w14:paraId="3983EF6F">
            <w:pPr>
              <w:spacing w:line="500" w:lineRule="exact"/>
              <w:ind w:firstLine="0" w:firstLineChars="0"/>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河南省政府采购合同融资政策告知函</w:t>
            </w:r>
          </w:p>
          <w:p w14:paraId="5A03FE67">
            <w:pPr>
              <w:spacing w:line="500" w:lineRule="exact"/>
              <w:ind w:firstLine="0" w:firstLineChars="0"/>
              <w:rPr>
                <w:rFonts w:hint="eastAsia" w:ascii="宋体" w:hAnsi="宋体" w:eastAsia="宋体" w:cs="宋体"/>
                <w:color w:val="auto"/>
                <w:kern w:val="0"/>
                <w:highlight w:val="none"/>
                <w:lang w:val="en-US" w:eastAsia="zh-CN"/>
              </w:rPr>
            </w:pPr>
          </w:p>
        </w:tc>
        <w:tc>
          <w:tcPr>
            <w:tcW w:w="6909" w:type="dxa"/>
            <w:vAlign w:val="center"/>
          </w:tcPr>
          <w:p w14:paraId="68C79D2D">
            <w:pPr>
              <w:spacing w:line="500" w:lineRule="exact"/>
              <w:ind w:firstLine="0" w:firstLineChars="0"/>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各供应商：</w:t>
            </w:r>
          </w:p>
          <w:p w14:paraId="2257E273">
            <w:pPr>
              <w:spacing w:line="500" w:lineRule="exact"/>
              <w:ind w:firstLine="0" w:firstLineChars="0"/>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欢迎贵公司参与河南省政府采购活动！</w:t>
            </w:r>
          </w:p>
          <w:p w14:paraId="368EE6AB">
            <w:pPr>
              <w:spacing w:line="500" w:lineRule="exact"/>
              <w:ind w:firstLine="0" w:firstLineChars="0"/>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9FC96F8">
            <w:pPr>
              <w:spacing w:line="500" w:lineRule="exact"/>
              <w:ind w:firstLine="0" w:firstLineChars="0"/>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贷款渠道和提供贷款的金融机构，可在河南省政府采购网“河南省政府采购合同融资平台”查询联系。政策解读网址：http://www.hngp.gov.cn/henan/content?infoId=1601449567470800&amp;channelCode=H6016</w:t>
            </w:r>
          </w:p>
        </w:tc>
      </w:tr>
      <w:tr w14:paraId="1CBF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0" w:type="dxa"/>
            <w:vAlign w:val="center"/>
          </w:tcPr>
          <w:p w14:paraId="4DA218CB">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w:t>
            </w:r>
          </w:p>
        </w:tc>
        <w:tc>
          <w:tcPr>
            <w:tcW w:w="1913" w:type="dxa"/>
            <w:vAlign w:val="center"/>
          </w:tcPr>
          <w:p w14:paraId="4FF5ECAF">
            <w:pPr>
              <w:autoSpaceDE w:val="0"/>
              <w:autoSpaceDN w:val="0"/>
              <w:adjustRightInd w:val="0"/>
              <w:spacing w:line="380" w:lineRule="exact"/>
              <w:jc w:val="center"/>
              <w:rPr>
                <w:rFonts w:ascii="宋体" w:hAnsi="宋体" w:cs="宋体"/>
                <w:color w:val="auto"/>
                <w:kern w:val="0"/>
                <w:highlight w:val="none"/>
              </w:rPr>
            </w:pPr>
            <w:r>
              <w:rPr>
                <w:rFonts w:hint="eastAsia" w:ascii="宋体" w:hAnsi="宋体" w:cs="宋体"/>
                <w:color w:val="auto"/>
                <w:kern w:val="0"/>
                <w:highlight w:val="none"/>
              </w:rPr>
              <w:t>其他说明</w:t>
            </w:r>
          </w:p>
        </w:tc>
        <w:tc>
          <w:tcPr>
            <w:tcW w:w="6909" w:type="dxa"/>
            <w:vAlign w:val="center"/>
          </w:tcPr>
          <w:p w14:paraId="24E55E41">
            <w:pPr>
              <w:numPr>
                <w:ilvl w:val="0"/>
                <w:numId w:val="2"/>
              </w:numPr>
              <w:autoSpaceDE w:val="0"/>
              <w:autoSpaceDN w:val="0"/>
              <w:adjustRightInd w:val="0"/>
              <w:spacing w:line="400" w:lineRule="exact"/>
              <w:rPr>
                <w:rFonts w:hint="eastAsia" w:ascii="宋体" w:hAnsi="宋体" w:cs="仿宋_GB2312"/>
                <w:b/>
                <w:bCs/>
                <w:color w:val="auto"/>
                <w:kern w:val="0"/>
                <w:highlight w:val="none"/>
              </w:rPr>
            </w:pPr>
            <w:r>
              <w:rPr>
                <w:rFonts w:hint="eastAsia" w:ascii="宋体" w:hAnsi="宋体" w:cs="宋体"/>
                <w:color w:val="auto"/>
                <w:kern w:val="0"/>
                <w:highlight w:val="none"/>
              </w:rPr>
              <w:t>招标代理服务费：</w:t>
            </w:r>
            <w:r>
              <w:rPr>
                <w:rFonts w:hint="eastAsia" w:ascii="宋体" w:hAnsi="宋体" w:cs="仿宋_GB2312"/>
                <w:b/>
                <w:bCs/>
                <w:color w:val="auto"/>
                <w:kern w:val="0"/>
                <w:highlight w:val="none"/>
              </w:rPr>
              <w:t>参照《河南省招标代理服务收费指导意见》豫招协【2023】002号文件的规定标准收取代理费，在领取成交通知书前向采购代理机构一次性支付。</w:t>
            </w:r>
            <w:r>
              <w:rPr>
                <w:rFonts w:hint="eastAsia" w:ascii="宋体" w:hAnsi="宋体" w:cs="仿宋_GB2312"/>
                <w:b/>
                <w:bCs/>
                <w:color w:val="auto"/>
                <w:kern w:val="0"/>
                <w:highlight w:val="none"/>
                <w:lang w:val="en-US" w:eastAsia="zh-CN"/>
              </w:rPr>
              <w:t>代理费：9790.00元。</w:t>
            </w:r>
          </w:p>
          <w:p w14:paraId="0E782F73">
            <w:pPr>
              <w:numPr>
                <w:ilvl w:val="0"/>
                <w:numId w:val="2"/>
              </w:numPr>
              <w:autoSpaceDE w:val="0"/>
              <w:autoSpaceDN w:val="0"/>
              <w:adjustRightInd w:val="0"/>
              <w:spacing w:line="400" w:lineRule="exact"/>
              <w:rPr>
                <w:rFonts w:hint="eastAsia" w:ascii="宋体" w:hAnsi="宋体" w:cs="仿宋_GB2312"/>
                <w:b/>
                <w:bCs/>
                <w:color w:val="auto"/>
                <w:kern w:val="0"/>
                <w:highlight w:val="none"/>
              </w:rPr>
            </w:pPr>
            <w:r>
              <w:rPr>
                <w:rFonts w:hint="eastAsia" w:ascii="宋体" w:hAnsi="宋体" w:cs="仿宋_GB2312"/>
                <w:b/>
                <w:bCs/>
                <w:color w:val="auto"/>
                <w:kern w:val="0"/>
                <w:highlight w:val="none"/>
              </w:rPr>
              <w:t>收费标准：</w:t>
            </w:r>
            <w:r>
              <w:rPr>
                <w:rFonts w:hint="eastAsia" w:ascii="宋体" w:hAnsi="宋体" w:cs="仿宋_GB2312"/>
                <w:b/>
                <w:bCs/>
                <w:color w:val="auto"/>
                <w:kern w:val="0"/>
                <w:highlight w:val="none"/>
                <w:lang w:val="en-US" w:eastAsia="zh-CN"/>
              </w:rPr>
              <w:t xml:space="preserve">   </w:t>
            </w:r>
          </w:p>
          <w:p w14:paraId="4BEC3702">
            <w:pPr>
              <w:numPr>
                <w:ilvl w:val="0"/>
                <w:numId w:val="0"/>
              </w:numPr>
              <w:autoSpaceDE w:val="0"/>
              <w:autoSpaceDN w:val="0"/>
              <w:adjustRightInd w:val="0"/>
              <w:spacing w:line="400" w:lineRule="exact"/>
              <w:rPr>
                <w:rFonts w:hint="eastAsia" w:ascii="宋体" w:hAnsi="宋体" w:cs="仿宋_GB2312"/>
                <w:b/>
                <w:bCs/>
                <w:color w:val="auto"/>
                <w:kern w:val="0"/>
                <w:highlight w:val="none"/>
              </w:rPr>
            </w:pPr>
            <w:r>
              <w:rPr>
                <w:rFonts w:hint="eastAsia" w:ascii="宋体" w:hAnsi="宋体" w:cs="仿宋_GB2312"/>
                <w:b/>
                <w:bCs/>
                <w:color w:val="auto"/>
                <w:kern w:val="0"/>
                <w:highlight w:val="none"/>
              </w:rPr>
              <w:t xml:space="preserve">预算金额的100万（含）以下部分费率为1.7%； </w:t>
            </w:r>
          </w:p>
          <w:p w14:paraId="573628BB">
            <w:pPr>
              <w:numPr>
                <w:ilvl w:val="0"/>
                <w:numId w:val="0"/>
              </w:numPr>
              <w:autoSpaceDE w:val="0"/>
              <w:autoSpaceDN w:val="0"/>
              <w:adjustRightInd w:val="0"/>
              <w:spacing w:line="400" w:lineRule="exact"/>
              <w:rPr>
                <w:rFonts w:hint="eastAsia" w:ascii="宋体" w:hAnsi="宋体" w:cs="仿宋_GB2312"/>
                <w:b/>
                <w:bCs/>
                <w:color w:val="auto"/>
                <w:kern w:val="0"/>
                <w:highlight w:val="none"/>
              </w:rPr>
            </w:pPr>
            <w:r>
              <w:rPr>
                <w:rFonts w:hint="eastAsia" w:ascii="宋体" w:hAnsi="宋体" w:cs="仿宋_GB2312"/>
                <w:b/>
                <w:bCs/>
                <w:color w:val="auto"/>
                <w:kern w:val="0"/>
                <w:highlight w:val="none"/>
              </w:rPr>
              <w:t xml:space="preserve">预算金额的100万以上－500万（含）部分费率为1.2%； </w:t>
            </w:r>
          </w:p>
          <w:p w14:paraId="71B21854">
            <w:pPr>
              <w:numPr>
                <w:ilvl w:val="0"/>
                <w:numId w:val="0"/>
              </w:numPr>
              <w:autoSpaceDE w:val="0"/>
              <w:autoSpaceDN w:val="0"/>
              <w:adjustRightInd w:val="0"/>
              <w:spacing w:line="400" w:lineRule="exact"/>
              <w:rPr>
                <w:rFonts w:hint="eastAsia" w:ascii="宋体" w:hAnsi="宋体" w:cs="仿宋_GB2312"/>
                <w:b/>
                <w:bCs/>
                <w:color w:val="auto"/>
                <w:kern w:val="0"/>
                <w:highlight w:val="none"/>
              </w:rPr>
            </w:pPr>
            <w:r>
              <w:rPr>
                <w:rFonts w:hint="eastAsia" w:ascii="宋体" w:hAnsi="宋体" w:cs="仿宋_GB2312"/>
                <w:b/>
                <w:bCs/>
                <w:color w:val="auto"/>
                <w:kern w:val="0"/>
                <w:highlight w:val="none"/>
              </w:rPr>
              <w:t xml:space="preserve">预算金额的500万以上－1000万（含）部分费率为0.8%； </w:t>
            </w:r>
          </w:p>
          <w:p w14:paraId="5F78B3BC">
            <w:pPr>
              <w:numPr>
                <w:ilvl w:val="0"/>
                <w:numId w:val="0"/>
              </w:numPr>
              <w:autoSpaceDE w:val="0"/>
              <w:autoSpaceDN w:val="0"/>
              <w:adjustRightInd w:val="0"/>
              <w:spacing w:line="400" w:lineRule="exact"/>
              <w:rPr>
                <w:rFonts w:ascii="宋体" w:hAnsi="宋体" w:cs="宋体"/>
                <w:color w:val="auto"/>
                <w:highlight w:val="none"/>
              </w:rPr>
            </w:pPr>
            <w:r>
              <w:rPr>
                <w:rFonts w:hint="eastAsia" w:ascii="宋体" w:hAnsi="宋体" w:cs="仿宋_GB2312"/>
                <w:b/>
                <w:bCs/>
                <w:color w:val="auto"/>
                <w:kern w:val="0"/>
                <w:highlight w:val="none"/>
              </w:rPr>
              <w:t xml:space="preserve">预算金额的1000万以上－5000万（含）部分费率为0.5%。 </w:t>
            </w:r>
            <w:r>
              <w:rPr>
                <w:rFonts w:hint="eastAsia" w:ascii="宋体" w:hAnsi="宋体" w:cs="宋体"/>
                <w:color w:val="auto"/>
                <w:kern w:val="0"/>
                <w:highlight w:val="none"/>
              </w:rPr>
              <w:t xml:space="preserve"> </w:t>
            </w:r>
            <w:r>
              <w:rPr>
                <w:rFonts w:hint="eastAsia" w:ascii="宋体" w:hAnsi="宋体" w:cs="宋体"/>
                <w:color w:val="auto"/>
                <w:highlight w:val="none"/>
              </w:rPr>
              <w:t xml:space="preserve">  </w:t>
            </w:r>
          </w:p>
          <w:p w14:paraId="4A5A878C">
            <w:pPr>
              <w:widowControl/>
              <w:spacing w:line="380" w:lineRule="exact"/>
              <w:jc w:val="left"/>
              <w:rPr>
                <w:rFonts w:ascii="宋体" w:hAnsi="宋体" w:cs="宋体"/>
                <w:b/>
                <w:bCs/>
                <w:color w:val="auto"/>
                <w:highlight w:val="none"/>
                <w:u w:val="single"/>
              </w:rPr>
            </w:pPr>
            <w:r>
              <w:rPr>
                <w:rFonts w:hint="eastAsia" w:ascii="宋体" w:hAnsi="宋体" w:cs="宋体"/>
                <w:color w:val="auto"/>
                <w:highlight w:val="none"/>
                <w:lang w:val="en-US" w:eastAsia="zh-CN"/>
              </w:rPr>
              <w:t>3</w:t>
            </w:r>
            <w:r>
              <w:rPr>
                <w:rFonts w:hint="eastAsia" w:ascii="宋体" w:hAnsi="宋体" w:cs="宋体"/>
                <w:color w:val="auto"/>
                <w:highlight w:val="none"/>
              </w:rPr>
              <w:t>、供应商编制响应文件时，涉及营业执照、资质、业绩、获奖、人员、财务、社保、纳税、各类证书等（如有）内容</w:t>
            </w:r>
            <w:r>
              <w:rPr>
                <w:rFonts w:hint="eastAsia" w:ascii="宋体" w:hAnsi="宋体" w:cs="宋体"/>
                <w:b/>
                <w:bCs/>
                <w:color w:val="auto"/>
                <w:highlight w:val="none"/>
                <w:u w:val="single"/>
              </w:rPr>
              <w:t>，须扫描编制在响应文件内</w:t>
            </w:r>
            <w:r>
              <w:rPr>
                <w:rFonts w:hint="eastAsia" w:ascii="宋体" w:hAnsi="宋体" w:cs="宋体"/>
                <w:color w:val="auto"/>
                <w:highlight w:val="none"/>
              </w:rPr>
              <w:t>。评委评审只需依法对响应文件进行评审，</w:t>
            </w:r>
            <w:r>
              <w:rPr>
                <w:rFonts w:hint="eastAsia" w:ascii="宋体" w:hAnsi="宋体" w:cs="宋体"/>
                <w:b/>
                <w:bCs/>
                <w:color w:val="auto"/>
                <w:highlight w:val="none"/>
                <w:u w:val="single"/>
              </w:rPr>
              <w:t>并以响应文件的响应为唯一评审依据，不再比对主体信用信息。</w:t>
            </w:r>
          </w:p>
          <w:p w14:paraId="3FA60E0E">
            <w:pPr>
              <w:widowControl/>
              <w:spacing w:line="380" w:lineRule="exact"/>
              <w:jc w:val="left"/>
              <w:rPr>
                <w:rFonts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、响应文件中的扫描件，在确保清晰的前提下，每张最好控制在500kb 内,生成的加密电子响应文件最好不要超过50MB。</w:t>
            </w:r>
          </w:p>
          <w:p w14:paraId="52DF9A1E">
            <w:pPr>
              <w:spacing w:line="380" w:lineRule="exact"/>
              <w:rPr>
                <w:rFonts w:ascii="宋体" w:hAnsi="宋体" w:cs="宋体"/>
                <w:color w:val="auto"/>
                <w:highlight w:val="none"/>
              </w:rPr>
            </w:pPr>
            <w:r>
              <w:rPr>
                <w:rFonts w:hint="eastAsia" w:ascii="宋体" w:hAnsi="宋体" w:cs="宋体"/>
                <w:color w:val="auto"/>
                <w:highlight w:val="none"/>
              </w:rPr>
              <w:t>本项目评标以电子响应文件为依据，未在磋商截止时间前上传电子响应文件的供应商，视为自动放弃其投标。</w:t>
            </w:r>
          </w:p>
          <w:p w14:paraId="39A93181">
            <w:pPr>
              <w:keepNext w:val="0"/>
              <w:keepLines w:val="0"/>
              <w:pageBreakBefore w:val="0"/>
              <w:kinsoku/>
              <w:wordWrap/>
              <w:overflowPunct/>
              <w:bidi w:val="0"/>
              <w:spacing w:line="36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本项目不要求逐页签字盖章，但</w:t>
            </w:r>
            <w:r>
              <w:rPr>
                <w:rFonts w:hint="eastAsia" w:ascii="宋体" w:hAnsi="宋体"/>
                <w:color w:val="auto"/>
                <w:szCs w:val="21"/>
                <w:highlight w:val="none"/>
                <w:lang w:val="en-US" w:eastAsia="zh-CN"/>
              </w:rPr>
              <w:t>磋商</w:t>
            </w:r>
            <w:r>
              <w:rPr>
                <w:rFonts w:hint="eastAsia" w:ascii="宋体" w:hAnsi="宋体"/>
                <w:color w:val="auto"/>
                <w:szCs w:val="21"/>
                <w:highlight w:val="none"/>
              </w:rPr>
              <w:t>文件中注明签字或盖章的地方应按照要求签字或盖章以保证该项资料的有效性，否则</w:t>
            </w:r>
            <w:r>
              <w:rPr>
                <w:rFonts w:hint="eastAsia" w:ascii="宋体" w:hAnsi="宋体"/>
                <w:color w:val="auto"/>
                <w:szCs w:val="21"/>
                <w:highlight w:val="none"/>
                <w:lang w:val="en-US" w:eastAsia="zh-CN"/>
              </w:rPr>
              <w:t>磋商小组</w:t>
            </w:r>
            <w:r>
              <w:rPr>
                <w:rFonts w:hint="eastAsia" w:ascii="宋体" w:hAnsi="宋体"/>
                <w:color w:val="auto"/>
                <w:szCs w:val="21"/>
                <w:highlight w:val="none"/>
              </w:rPr>
              <w:t>有权利对该项资料不予认可。根据《中华人民共和国电子签名法》第十四条规定：可靠的电子签名与手写签名或者盖章具有同等的法律效力。</w:t>
            </w:r>
          </w:p>
          <w:p w14:paraId="4D9F3A04">
            <w:pPr>
              <w:spacing w:line="380" w:lineRule="exact"/>
              <w:rPr>
                <w:rFonts w:ascii="宋体" w:hAnsi="宋体" w:cs="宋体"/>
                <w:color w:val="auto"/>
                <w:highlight w:val="none"/>
              </w:rPr>
            </w:pPr>
            <w:r>
              <w:rPr>
                <w:rFonts w:hint="eastAsia" w:ascii="宋体" w:hAnsi="宋体" w:cs="宋体"/>
                <w:b/>
                <w:bCs/>
                <w:color w:val="auto"/>
                <w:highlight w:val="none"/>
                <w:lang w:val="en-US" w:eastAsia="zh-CN"/>
              </w:rPr>
              <w:t>6</w:t>
            </w:r>
            <w:r>
              <w:rPr>
                <w:rFonts w:hint="eastAsia" w:ascii="宋体" w:hAnsi="宋体" w:cs="宋体"/>
                <w:b/>
                <w:bCs/>
                <w:color w:val="auto"/>
                <w:highlight w:val="none"/>
              </w:rPr>
              <w:t xml:space="preserve">、本项目所属行业：其他未列明行业  </w:t>
            </w:r>
            <w:r>
              <w:rPr>
                <w:rFonts w:hint="eastAsia" w:ascii="宋体" w:hAnsi="宋体" w:cs="宋体"/>
                <w:bCs/>
                <w:color w:val="auto"/>
                <w:highlight w:val="none"/>
              </w:rPr>
              <w:t xml:space="preserve">   </w:t>
            </w:r>
          </w:p>
        </w:tc>
      </w:tr>
    </w:tbl>
    <w:p w14:paraId="080F22A1">
      <w:pPr>
        <w:keepNext/>
        <w:keepLines/>
        <w:spacing w:line="400" w:lineRule="exact"/>
        <w:outlineLvl w:val="1"/>
        <w:rPr>
          <w:rFonts w:ascii="宋体" w:hAnsi="宋体" w:cs="宋体"/>
          <w:b/>
          <w:color w:val="auto"/>
          <w:highlight w:val="none"/>
        </w:rPr>
      </w:pPr>
      <w:bookmarkStart w:id="6" w:name="_Toc414956951"/>
      <w:bookmarkStart w:id="7" w:name="_Toc13616"/>
      <w:r>
        <w:rPr>
          <w:rFonts w:hint="eastAsia" w:ascii="宋体" w:hAnsi="宋体" w:cs="宋体"/>
          <w:b/>
          <w:color w:val="auto"/>
          <w:highlight w:val="none"/>
        </w:rPr>
        <w:t>1.总则</w:t>
      </w:r>
      <w:bookmarkEnd w:id="4"/>
      <w:bookmarkEnd w:id="5"/>
      <w:bookmarkEnd w:id="6"/>
      <w:bookmarkEnd w:id="7"/>
    </w:p>
    <w:p w14:paraId="60B79EA7">
      <w:pPr>
        <w:widowControl/>
        <w:numPr>
          <w:ilvl w:val="1"/>
          <w:numId w:val="3"/>
        </w:numPr>
        <w:spacing w:line="400" w:lineRule="exact"/>
        <w:jc w:val="left"/>
        <w:rPr>
          <w:rFonts w:ascii="宋体" w:hAnsi="宋体" w:cs="宋体"/>
          <w:b/>
          <w:color w:val="auto"/>
          <w:highlight w:val="none"/>
        </w:rPr>
      </w:pPr>
      <w:r>
        <w:rPr>
          <w:rFonts w:hint="eastAsia" w:ascii="宋体" w:hAnsi="宋体" w:cs="宋体"/>
          <w:b/>
          <w:color w:val="auto"/>
          <w:highlight w:val="none"/>
        </w:rPr>
        <w:t>项目概况</w:t>
      </w:r>
      <w:r>
        <w:rPr>
          <w:rFonts w:hint="eastAsia" w:ascii="宋体" w:hAnsi="宋体" w:cs="宋体"/>
          <w:b/>
          <w:color w:val="auto"/>
          <w:highlight w:val="none"/>
        </w:rPr>
        <w:tab/>
      </w:r>
    </w:p>
    <w:p w14:paraId="445B0D85">
      <w:pPr>
        <w:widowControl/>
        <w:numPr>
          <w:ilvl w:val="2"/>
          <w:numId w:val="3"/>
        </w:numPr>
        <w:tabs>
          <w:tab w:val="left" w:pos="350"/>
        </w:tabs>
        <w:spacing w:line="400" w:lineRule="exact"/>
        <w:jc w:val="left"/>
        <w:rPr>
          <w:rFonts w:hint="eastAsia" w:ascii="宋体" w:hAnsi="宋体" w:cs="宋体"/>
          <w:color w:val="auto"/>
          <w:highlight w:val="none"/>
        </w:rPr>
      </w:pPr>
      <w:r>
        <w:rPr>
          <w:rFonts w:hint="eastAsia" w:ascii="宋体" w:hAnsi="宋体" w:cs="宋体"/>
          <w:color w:val="auto"/>
          <w:highlight w:val="none"/>
        </w:rPr>
        <w:t>根据《中华人民共和国政府采购法》等有关法律、法规和规章的规定，编制本项目磋商文件。</w:t>
      </w:r>
    </w:p>
    <w:p w14:paraId="06B3AB78">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采购人：见供应商须知前附表。</w:t>
      </w:r>
    </w:p>
    <w:p w14:paraId="561B9A32">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采购代理机构：见供应商须知前附表。</w:t>
      </w:r>
    </w:p>
    <w:p w14:paraId="34CD9747">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项目名称：见供应商须知前附表。</w:t>
      </w:r>
    </w:p>
    <w:p w14:paraId="7BD0F180">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标段划分及最高限价：见供应商须知前附表。</w:t>
      </w:r>
    </w:p>
    <w:p w14:paraId="58B073AA">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spacing w:val="1"/>
          <w:kern w:val="0"/>
          <w:highlight w:val="none"/>
        </w:rPr>
        <w:t>采购方式</w:t>
      </w:r>
      <w:r>
        <w:rPr>
          <w:rFonts w:hint="eastAsia" w:ascii="宋体" w:hAnsi="宋体" w:cs="宋体"/>
          <w:color w:val="auto"/>
          <w:highlight w:val="none"/>
        </w:rPr>
        <w:t>：见供应商须知前附表。</w:t>
      </w:r>
    </w:p>
    <w:p w14:paraId="462BB081">
      <w:pPr>
        <w:widowControl/>
        <w:numPr>
          <w:ilvl w:val="1"/>
          <w:numId w:val="3"/>
        </w:numPr>
        <w:spacing w:line="400" w:lineRule="exact"/>
        <w:jc w:val="left"/>
        <w:rPr>
          <w:rFonts w:ascii="宋体" w:hAnsi="宋体" w:cs="宋体"/>
          <w:b/>
          <w:color w:val="auto"/>
          <w:highlight w:val="none"/>
        </w:rPr>
      </w:pPr>
      <w:r>
        <w:rPr>
          <w:rFonts w:hint="eastAsia" w:ascii="宋体" w:hAnsi="宋体" w:cs="宋体"/>
          <w:b/>
          <w:color w:val="auto"/>
          <w:highlight w:val="none"/>
        </w:rPr>
        <w:t>资金来源、落实情况、</w:t>
      </w:r>
      <w:r>
        <w:rPr>
          <w:rFonts w:hint="eastAsia" w:ascii="宋体" w:hAnsi="宋体" w:cs="宋体"/>
          <w:b/>
          <w:bCs/>
          <w:color w:val="auto"/>
          <w:highlight w:val="none"/>
        </w:rPr>
        <w:t>出资比例</w:t>
      </w:r>
    </w:p>
    <w:p w14:paraId="0A963A46">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资金来源及落实情况：见供应商须知前附表。</w:t>
      </w:r>
    </w:p>
    <w:p w14:paraId="5A0D13B0">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出资比例：见供应商须知前附表。</w:t>
      </w:r>
    </w:p>
    <w:p w14:paraId="6CC6D678">
      <w:pPr>
        <w:widowControl/>
        <w:numPr>
          <w:ilvl w:val="1"/>
          <w:numId w:val="3"/>
        </w:numPr>
        <w:spacing w:line="400" w:lineRule="exact"/>
        <w:jc w:val="left"/>
        <w:rPr>
          <w:rFonts w:ascii="宋体" w:hAnsi="宋体" w:cs="宋体"/>
          <w:b/>
          <w:color w:val="auto"/>
          <w:highlight w:val="none"/>
        </w:rPr>
      </w:pPr>
      <w:r>
        <w:rPr>
          <w:rFonts w:hint="eastAsia" w:ascii="宋体" w:hAnsi="宋体" w:cs="宋体"/>
          <w:b/>
          <w:color w:val="auto"/>
          <w:highlight w:val="none"/>
        </w:rPr>
        <w:t>采购内容、质量要求、</w:t>
      </w:r>
      <w:r>
        <w:rPr>
          <w:rFonts w:hint="eastAsia" w:ascii="宋体" w:hAnsi="宋体" w:cs="宋体"/>
          <w:b/>
          <w:color w:val="auto"/>
          <w:highlight w:val="none"/>
          <w:lang w:eastAsia="zh-CN"/>
        </w:rPr>
        <w:t>服务期限</w:t>
      </w:r>
    </w:p>
    <w:p w14:paraId="2DDF15D2">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采购内容：见供应商须知前附表。</w:t>
      </w:r>
    </w:p>
    <w:p w14:paraId="0ED7F194">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质量要求：见供应商须知前附表。</w:t>
      </w:r>
    </w:p>
    <w:p w14:paraId="37836AB6">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lang w:eastAsia="zh-CN"/>
        </w:rPr>
        <w:t>服务期限</w:t>
      </w:r>
      <w:r>
        <w:rPr>
          <w:rFonts w:hint="eastAsia" w:ascii="宋体" w:hAnsi="宋体" w:cs="宋体"/>
          <w:color w:val="auto"/>
          <w:highlight w:val="none"/>
        </w:rPr>
        <w:t>：见供应商须知前附表。</w:t>
      </w:r>
    </w:p>
    <w:p w14:paraId="2724CE83">
      <w:pPr>
        <w:widowControl/>
        <w:numPr>
          <w:ilvl w:val="1"/>
          <w:numId w:val="3"/>
        </w:numPr>
        <w:spacing w:line="400" w:lineRule="exact"/>
        <w:jc w:val="left"/>
        <w:rPr>
          <w:rFonts w:ascii="宋体" w:hAnsi="宋体" w:cs="宋体"/>
          <w:b/>
          <w:color w:val="auto"/>
          <w:highlight w:val="none"/>
        </w:rPr>
      </w:pPr>
      <w:r>
        <w:rPr>
          <w:rFonts w:hint="eastAsia" w:ascii="宋体" w:hAnsi="宋体" w:cs="宋体"/>
          <w:b/>
          <w:color w:val="auto"/>
          <w:highlight w:val="none"/>
        </w:rPr>
        <w:t xml:space="preserve">供应商资格要求 </w:t>
      </w:r>
    </w:p>
    <w:p w14:paraId="33B4DEB1">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供应商资格要求：见供应商须知前附表。</w:t>
      </w:r>
    </w:p>
    <w:p w14:paraId="7DED043D">
      <w:pPr>
        <w:widowControl/>
        <w:numPr>
          <w:ilvl w:val="2"/>
          <w:numId w:val="3"/>
        </w:numPr>
        <w:tabs>
          <w:tab w:val="left" w:pos="350"/>
        </w:tabs>
        <w:spacing w:line="400" w:lineRule="exact"/>
        <w:jc w:val="left"/>
        <w:rPr>
          <w:rFonts w:ascii="宋体" w:hAnsi="宋体" w:cs="宋体"/>
          <w:color w:val="auto"/>
          <w:highlight w:val="none"/>
        </w:rPr>
      </w:pPr>
      <w:r>
        <w:rPr>
          <w:rFonts w:hint="eastAsia" w:ascii="宋体" w:hAnsi="宋体" w:cs="宋体"/>
          <w:color w:val="auto"/>
          <w:highlight w:val="none"/>
        </w:rPr>
        <w:t>是否接受联合体投标：见供应商须知前附表。</w:t>
      </w:r>
    </w:p>
    <w:p w14:paraId="07CDDA93">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 1.4.3  供应商不得存在下列情形之一：</w:t>
      </w:r>
    </w:p>
    <w:p w14:paraId="52E5ECE7">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w:t>
      </w:r>
      <w:r>
        <w:rPr>
          <w:rFonts w:hint="eastAsia" w:ascii="宋体" w:hAnsi="宋体" w:cs="宋体"/>
          <w:color w:val="auto"/>
          <w:highlight w:val="none"/>
        </w:rPr>
        <w:t>）为本项目前期准备提供咨询服务的；</w:t>
      </w:r>
    </w:p>
    <w:p w14:paraId="6D96B79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）为本项目提供采购代理机构服务的；</w:t>
      </w:r>
    </w:p>
    <w:p w14:paraId="64EB8DE3">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3</w:t>
      </w:r>
      <w:r>
        <w:rPr>
          <w:rFonts w:hint="eastAsia" w:ascii="宋体" w:hAnsi="宋体" w:cs="宋体"/>
          <w:color w:val="auto"/>
          <w:highlight w:val="none"/>
        </w:rPr>
        <w:t>）与本项目的采购代理机构同为一个法定代表人的；</w:t>
      </w:r>
    </w:p>
    <w:p w14:paraId="54002A45">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4</w:t>
      </w:r>
      <w:r>
        <w:rPr>
          <w:rFonts w:hint="eastAsia" w:ascii="宋体" w:hAnsi="宋体" w:cs="宋体"/>
          <w:color w:val="auto"/>
          <w:highlight w:val="none"/>
        </w:rPr>
        <w:t>）与本项目的采购代理机构相互控股或参股的；</w:t>
      </w:r>
    </w:p>
    <w:p w14:paraId="10D20AA1">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5</w:t>
      </w:r>
      <w:r>
        <w:rPr>
          <w:rFonts w:hint="eastAsia" w:ascii="宋体" w:hAnsi="宋体" w:cs="宋体"/>
          <w:color w:val="auto"/>
          <w:highlight w:val="none"/>
        </w:rPr>
        <w:t>）与本项目的采购代理机构相互任职或工作的；</w:t>
      </w:r>
    </w:p>
    <w:p w14:paraId="3492A4E4">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6</w:t>
      </w:r>
      <w:r>
        <w:rPr>
          <w:rFonts w:hint="eastAsia" w:ascii="宋体" w:hAnsi="宋体" w:cs="宋体"/>
          <w:color w:val="auto"/>
          <w:highlight w:val="none"/>
        </w:rPr>
        <w:t>）被责令停业的；</w:t>
      </w:r>
    </w:p>
    <w:p w14:paraId="1D725037">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7</w:t>
      </w:r>
      <w:r>
        <w:rPr>
          <w:rFonts w:hint="eastAsia" w:ascii="宋体" w:hAnsi="宋体" w:cs="宋体"/>
          <w:color w:val="auto"/>
          <w:highlight w:val="none"/>
        </w:rPr>
        <w:t>）被暂停或取消投标资格的；</w:t>
      </w:r>
    </w:p>
    <w:p w14:paraId="027ED2A2">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9</w:t>
      </w:r>
      <w:r>
        <w:rPr>
          <w:rFonts w:hint="eastAsia" w:ascii="宋体" w:hAnsi="宋体" w:cs="宋体"/>
          <w:color w:val="auto"/>
          <w:highlight w:val="none"/>
        </w:rPr>
        <w:t>）财产被接管或冻结的；</w:t>
      </w:r>
    </w:p>
    <w:p w14:paraId="001D6BB9">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9</w:t>
      </w:r>
      <w:r>
        <w:rPr>
          <w:rFonts w:hint="eastAsia" w:ascii="宋体" w:hAnsi="宋体" w:cs="宋体"/>
          <w:color w:val="auto"/>
          <w:highlight w:val="none"/>
        </w:rPr>
        <w:t>）在最近三年内有骗取成交或严重违约情况的。</w:t>
      </w:r>
    </w:p>
    <w:p w14:paraId="03A8997B">
      <w:pPr>
        <w:widowControl/>
        <w:tabs>
          <w:tab w:val="left" w:pos="0"/>
        </w:tabs>
        <w:spacing w:line="400" w:lineRule="exact"/>
        <w:ind w:left="-2" w:leftChars="-1" w:firstLine="2"/>
        <w:jc w:val="left"/>
        <w:rPr>
          <w:rFonts w:ascii="宋体" w:hAnsi="宋体" w:cs="宋体"/>
          <w:b/>
          <w:color w:val="auto"/>
          <w:highlight w:val="none"/>
        </w:rPr>
      </w:pPr>
      <w:bookmarkStart w:id="8" w:name="_Toc297211670"/>
      <w:r>
        <w:rPr>
          <w:rFonts w:hint="eastAsia" w:ascii="宋体" w:hAnsi="宋体" w:cs="宋体"/>
          <w:b/>
          <w:color w:val="auto"/>
          <w:highlight w:val="none"/>
        </w:rPr>
        <w:t>1.5 付款方式</w:t>
      </w:r>
      <w:bookmarkEnd w:id="8"/>
    </w:p>
    <w:p w14:paraId="359160A3">
      <w:pPr>
        <w:widowControl/>
        <w:spacing w:line="400" w:lineRule="exact"/>
        <w:ind w:firstLine="411" w:firstLineChars="196"/>
        <w:jc w:val="left"/>
        <w:rPr>
          <w:rFonts w:ascii="宋体" w:hAnsi="宋体" w:cs="宋体"/>
          <w:color w:val="auto"/>
          <w:highlight w:val="none"/>
        </w:rPr>
      </w:pPr>
      <w:r>
        <w:rPr>
          <w:rFonts w:hint="eastAsia" w:ascii="宋体" w:hAnsi="宋体" w:cs="宋体"/>
          <w:color w:val="auto"/>
          <w:highlight w:val="none"/>
        </w:rPr>
        <w:t>见第四章合同条款及供应商须知前附表。</w:t>
      </w:r>
    </w:p>
    <w:p w14:paraId="24DF5613">
      <w:pPr>
        <w:widowControl/>
        <w:numPr>
          <w:ilvl w:val="1"/>
          <w:numId w:val="4"/>
        </w:numPr>
        <w:spacing w:line="400" w:lineRule="exact"/>
        <w:jc w:val="left"/>
        <w:rPr>
          <w:rFonts w:ascii="宋体" w:hAnsi="宋体" w:cs="宋体"/>
          <w:b/>
          <w:color w:val="auto"/>
          <w:highlight w:val="none"/>
        </w:rPr>
      </w:pPr>
      <w:r>
        <w:rPr>
          <w:rFonts w:hint="eastAsia" w:ascii="宋体" w:hAnsi="宋体" w:cs="宋体"/>
          <w:b/>
          <w:color w:val="auto"/>
          <w:highlight w:val="none"/>
        </w:rPr>
        <w:t xml:space="preserve"> 费用承担</w:t>
      </w:r>
    </w:p>
    <w:p w14:paraId="0068E21E">
      <w:pPr>
        <w:widowControl/>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供应商准备和参加投标活动发生的费用自理。</w:t>
      </w:r>
    </w:p>
    <w:p w14:paraId="27356D4C">
      <w:pPr>
        <w:widowControl/>
        <w:numPr>
          <w:ilvl w:val="1"/>
          <w:numId w:val="4"/>
        </w:numPr>
        <w:spacing w:line="400" w:lineRule="exact"/>
        <w:jc w:val="left"/>
        <w:rPr>
          <w:rFonts w:ascii="宋体" w:hAnsi="宋体" w:cs="宋体"/>
          <w:b/>
          <w:color w:val="auto"/>
          <w:highlight w:val="none"/>
        </w:rPr>
      </w:pPr>
      <w:r>
        <w:rPr>
          <w:rFonts w:hint="eastAsia" w:ascii="宋体" w:hAnsi="宋体" w:cs="宋体"/>
          <w:b/>
          <w:color w:val="auto"/>
          <w:highlight w:val="none"/>
        </w:rPr>
        <w:t xml:space="preserve"> 保密</w:t>
      </w:r>
    </w:p>
    <w:p w14:paraId="1E375479">
      <w:pPr>
        <w:widowControl/>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参与招标投标活动的各方应对竞争性磋商文件和响应文件中的商业和技术等秘密保密，违者应对由此造成的后果承担法律责任。</w:t>
      </w:r>
    </w:p>
    <w:p w14:paraId="00206C00">
      <w:pPr>
        <w:widowControl/>
        <w:numPr>
          <w:ilvl w:val="1"/>
          <w:numId w:val="4"/>
        </w:numPr>
        <w:spacing w:line="400" w:lineRule="exact"/>
        <w:jc w:val="left"/>
        <w:rPr>
          <w:rFonts w:ascii="宋体" w:hAnsi="宋体" w:cs="宋体"/>
          <w:b/>
          <w:color w:val="auto"/>
          <w:highlight w:val="none"/>
        </w:rPr>
      </w:pPr>
      <w:r>
        <w:rPr>
          <w:rFonts w:hint="eastAsia" w:ascii="宋体" w:hAnsi="宋体" w:cs="宋体"/>
          <w:b/>
          <w:color w:val="auto"/>
          <w:highlight w:val="none"/>
        </w:rPr>
        <w:t>语言文字</w:t>
      </w:r>
    </w:p>
    <w:p w14:paraId="01775E1D">
      <w:pPr>
        <w:widowControl/>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除专用术语外，与招标投标有关的语言均使用中文。必要时专用术语应附有中文注释。</w:t>
      </w:r>
    </w:p>
    <w:p w14:paraId="29020F34">
      <w:pPr>
        <w:widowControl/>
        <w:numPr>
          <w:ilvl w:val="1"/>
          <w:numId w:val="4"/>
        </w:numPr>
        <w:spacing w:line="400" w:lineRule="exact"/>
        <w:jc w:val="left"/>
        <w:rPr>
          <w:rFonts w:ascii="宋体" w:hAnsi="宋体" w:cs="宋体"/>
          <w:b/>
          <w:color w:val="auto"/>
          <w:highlight w:val="none"/>
        </w:rPr>
      </w:pPr>
      <w:r>
        <w:rPr>
          <w:rFonts w:hint="eastAsia" w:ascii="宋体" w:hAnsi="宋体" w:cs="宋体"/>
          <w:b/>
          <w:color w:val="auto"/>
          <w:highlight w:val="none"/>
        </w:rPr>
        <w:t>计量单位</w:t>
      </w:r>
    </w:p>
    <w:p w14:paraId="768BEF3B">
      <w:pPr>
        <w:widowControl/>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所有计量均采用中华人民共和国法定计量单位。</w:t>
      </w:r>
    </w:p>
    <w:p w14:paraId="711CA65F">
      <w:pPr>
        <w:spacing w:line="400" w:lineRule="exact"/>
        <w:rPr>
          <w:rFonts w:ascii="宋体" w:hAnsi="宋体" w:cs="宋体"/>
          <w:b/>
          <w:color w:val="auto"/>
          <w:highlight w:val="none"/>
        </w:rPr>
      </w:pPr>
      <w:bookmarkStart w:id="9" w:name="_Toc191983616"/>
      <w:bookmarkStart w:id="10" w:name="_Toc234213529"/>
      <w:bookmarkStart w:id="11" w:name="_Toc414956952"/>
      <w:bookmarkStart w:id="12" w:name="_Toc244934195"/>
      <w:bookmarkStart w:id="13" w:name="_Toc244935164"/>
      <w:r>
        <w:rPr>
          <w:rFonts w:hint="eastAsia" w:ascii="宋体" w:hAnsi="宋体" w:cs="宋体"/>
          <w:b/>
          <w:color w:val="auto"/>
          <w:highlight w:val="none"/>
        </w:rPr>
        <w:t>1.10 投标预备会</w:t>
      </w:r>
    </w:p>
    <w:p w14:paraId="72676098">
      <w:pPr>
        <w:spacing w:line="400" w:lineRule="exact"/>
        <w:ind w:firstLine="411" w:firstLineChars="196"/>
        <w:rPr>
          <w:rFonts w:ascii="宋体" w:hAnsi="宋体" w:cs="宋体"/>
          <w:color w:val="auto"/>
          <w:highlight w:val="none"/>
        </w:rPr>
      </w:pPr>
      <w:r>
        <w:rPr>
          <w:rFonts w:hint="eastAsia" w:ascii="宋体" w:hAnsi="宋体" w:cs="宋体"/>
          <w:color w:val="auto"/>
          <w:highlight w:val="none"/>
        </w:rPr>
        <w:t>见供应商须知前附表。</w:t>
      </w:r>
    </w:p>
    <w:p w14:paraId="63A6BBDD">
      <w:pPr>
        <w:widowControl/>
        <w:spacing w:line="400" w:lineRule="exact"/>
        <w:jc w:val="left"/>
        <w:rPr>
          <w:rFonts w:ascii="宋体" w:hAnsi="宋体" w:cs="宋体"/>
          <w:b/>
          <w:color w:val="auto"/>
          <w:highlight w:val="none"/>
        </w:rPr>
      </w:pPr>
      <w:r>
        <w:rPr>
          <w:rFonts w:hint="eastAsia" w:ascii="宋体" w:hAnsi="宋体" w:cs="宋体"/>
          <w:b/>
          <w:color w:val="auto"/>
          <w:highlight w:val="none"/>
        </w:rPr>
        <w:t>1.11偏离</w:t>
      </w:r>
    </w:p>
    <w:p w14:paraId="11B354B6">
      <w:pPr>
        <w:widowControl/>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见供应商须知前附表。</w:t>
      </w:r>
    </w:p>
    <w:p w14:paraId="6DD32FFF">
      <w:pPr>
        <w:keepNext/>
        <w:keepLines/>
        <w:spacing w:line="400" w:lineRule="exact"/>
        <w:outlineLvl w:val="1"/>
        <w:rPr>
          <w:rFonts w:ascii="宋体" w:hAnsi="宋体" w:cs="宋体"/>
          <w:b/>
          <w:color w:val="auto"/>
          <w:highlight w:val="none"/>
        </w:rPr>
      </w:pPr>
      <w:bookmarkStart w:id="14" w:name="_Toc20473"/>
      <w:r>
        <w:rPr>
          <w:rFonts w:hint="eastAsia" w:ascii="宋体" w:hAnsi="宋体" w:cs="宋体"/>
          <w:b/>
          <w:color w:val="auto"/>
          <w:highlight w:val="none"/>
        </w:rPr>
        <w:t xml:space="preserve">2. </w:t>
      </w:r>
      <w:bookmarkEnd w:id="9"/>
      <w:bookmarkEnd w:id="10"/>
      <w:bookmarkEnd w:id="11"/>
      <w:bookmarkEnd w:id="12"/>
      <w:bookmarkEnd w:id="13"/>
      <w:bookmarkEnd w:id="14"/>
      <w:r>
        <w:rPr>
          <w:rFonts w:hint="eastAsia" w:ascii="宋体" w:hAnsi="宋体" w:cs="宋体"/>
          <w:b/>
          <w:color w:val="auto"/>
          <w:highlight w:val="none"/>
        </w:rPr>
        <w:t>竞争性磋商文件</w:t>
      </w:r>
    </w:p>
    <w:p w14:paraId="3B791827">
      <w:pPr>
        <w:spacing w:line="400" w:lineRule="exact"/>
        <w:rPr>
          <w:rFonts w:ascii="宋体" w:hAnsi="宋体" w:cs="宋体"/>
          <w:b/>
          <w:color w:val="auto"/>
          <w:highlight w:val="none"/>
        </w:rPr>
      </w:pPr>
      <w:bookmarkStart w:id="15" w:name="_Toc297211672"/>
      <w:r>
        <w:rPr>
          <w:rFonts w:hint="eastAsia" w:ascii="宋体" w:hAnsi="宋体" w:cs="宋体"/>
          <w:b/>
          <w:color w:val="auto"/>
          <w:highlight w:val="none"/>
        </w:rPr>
        <w:t>2.1 竞争性磋商文件的组成</w:t>
      </w:r>
      <w:bookmarkEnd w:id="15"/>
    </w:p>
    <w:p w14:paraId="2438CE3B">
      <w:pPr>
        <w:widowControl/>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本竞争性磋商文件包括：</w:t>
      </w:r>
    </w:p>
    <w:p w14:paraId="530CAA0A">
      <w:pPr>
        <w:widowControl/>
        <w:numPr>
          <w:ilvl w:val="0"/>
          <w:numId w:val="5"/>
        </w:numPr>
        <w:tabs>
          <w:tab w:val="left" w:pos="525"/>
        </w:tabs>
        <w:spacing w:line="400" w:lineRule="exact"/>
        <w:ind w:left="525" w:hanging="105"/>
        <w:jc w:val="left"/>
        <w:rPr>
          <w:rFonts w:ascii="宋体" w:hAnsi="宋体" w:cs="宋体"/>
          <w:color w:val="auto"/>
          <w:highlight w:val="none"/>
        </w:rPr>
      </w:pPr>
      <w:r>
        <w:rPr>
          <w:rFonts w:hint="eastAsia" w:ascii="宋体" w:hAnsi="宋体" w:cs="宋体"/>
          <w:color w:val="auto"/>
          <w:highlight w:val="none"/>
        </w:rPr>
        <w:t>竞争性磋商公告；</w:t>
      </w:r>
    </w:p>
    <w:p w14:paraId="6F082884">
      <w:pPr>
        <w:widowControl/>
        <w:numPr>
          <w:ilvl w:val="0"/>
          <w:numId w:val="5"/>
        </w:numPr>
        <w:tabs>
          <w:tab w:val="left" w:pos="525"/>
        </w:tabs>
        <w:spacing w:line="400" w:lineRule="exact"/>
        <w:ind w:left="525" w:hanging="105"/>
        <w:jc w:val="left"/>
        <w:rPr>
          <w:rFonts w:ascii="宋体" w:hAnsi="宋体" w:cs="宋体"/>
          <w:color w:val="auto"/>
          <w:highlight w:val="none"/>
        </w:rPr>
      </w:pPr>
      <w:r>
        <w:rPr>
          <w:rFonts w:hint="eastAsia" w:ascii="宋体" w:hAnsi="宋体" w:cs="宋体"/>
          <w:color w:val="auto"/>
          <w:highlight w:val="none"/>
        </w:rPr>
        <w:t>供应商须知；</w:t>
      </w:r>
    </w:p>
    <w:p w14:paraId="05885B44">
      <w:pPr>
        <w:widowControl/>
        <w:numPr>
          <w:ilvl w:val="0"/>
          <w:numId w:val="5"/>
        </w:numPr>
        <w:tabs>
          <w:tab w:val="left" w:pos="525"/>
        </w:tabs>
        <w:spacing w:line="400" w:lineRule="exact"/>
        <w:ind w:left="525" w:hanging="105"/>
        <w:jc w:val="left"/>
        <w:rPr>
          <w:rFonts w:ascii="宋体" w:hAnsi="宋体" w:cs="宋体"/>
          <w:color w:val="auto"/>
          <w:highlight w:val="none"/>
        </w:rPr>
      </w:pPr>
      <w:r>
        <w:rPr>
          <w:rFonts w:hint="eastAsia" w:ascii="宋体" w:hAnsi="宋体" w:cs="宋体"/>
          <w:color w:val="auto"/>
          <w:highlight w:val="none"/>
        </w:rPr>
        <w:t>评标办法；</w:t>
      </w:r>
    </w:p>
    <w:p w14:paraId="3F5B6964">
      <w:pPr>
        <w:widowControl/>
        <w:numPr>
          <w:ilvl w:val="0"/>
          <w:numId w:val="5"/>
        </w:numPr>
        <w:tabs>
          <w:tab w:val="left" w:pos="525"/>
        </w:tabs>
        <w:spacing w:line="400" w:lineRule="exact"/>
        <w:ind w:left="525" w:hanging="105"/>
        <w:jc w:val="left"/>
        <w:rPr>
          <w:rFonts w:ascii="宋体" w:hAnsi="宋体" w:cs="宋体"/>
          <w:color w:val="auto"/>
          <w:highlight w:val="none"/>
        </w:rPr>
      </w:pPr>
      <w:r>
        <w:rPr>
          <w:rFonts w:hint="eastAsia" w:ascii="宋体" w:hAnsi="宋体" w:cs="宋体"/>
          <w:color w:val="auto"/>
          <w:highlight w:val="none"/>
        </w:rPr>
        <w:t>合同主要条款及格式；</w:t>
      </w:r>
    </w:p>
    <w:p w14:paraId="51F0DA04">
      <w:pPr>
        <w:widowControl/>
        <w:numPr>
          <w:ilvl w:val="0"/>
          <w:numId w:val="5"/>
        </w:numPr>
        <w:tabs>
          <w:tab w:val="left" w:pos="525"/>
        </w:tabs>
        <w:spacing w:line="400" w:lineRule="exact"/>
        <w:ind w:left="525" w:hanging="105"/>
        <w:jc w:val="left"/>
        <w:rPr>
          <w:rFonts w:ascii="宋体" w:hAnsi="宋体" w:cs="宋体"/>
          <w:color w:val="auto"/>
          <w:highlight w:val="none"/>
        </w:rPr>
      </w:pPr>
      <w:r>
        <w:rPr>
          <w:rFonts w:hint="eastAsia" w:ascii="宋体" w:hAnsi="宋体" w:cs="宋体"/>
          <w:color w:val="auto"/>
          <w:highlight w:val="none"/>
        </w:rPr>
        <w:t>采购内容及项目要求；</w:t>
      </w:r>
    </w:p>
    <w:p w14:paraId="7E965E15">
      <w:pPr>
        <w:widowControl/>
        <w:numPr>
          <w:ilvl w:val="0"/>
          <w:numId w:val="5"/>
        </w:numPr>
        <w:tabs>
          <w:tab w:val="left" w:pos="525"/>
        </w:tabs>
        <w:spacing w:line="400" w:lineRule="exact"/>
        <w:ind w:left="525" w:hanging="105"/>
        <w:jc w:val="left"/>
        <w:rPr>
          <w:rFonts w:ascii="宋体" w:hAnsi="宋体" w:cs="宋体"/>
          <w:color w:val="auto"/>
          <w:highlight w:val="none"/>
        </w:rPr>
      </w:pPr>
      <w:r>
        <w:rPr>
          <w:rFonts w:hint="eastAsia" w:ascii="宋体" w:hAnsi="宋体" w:cs="宋体"/>
          <w:color w:val="auto"/>
          <w:highlight w:val="none"/>
        </w:rPr>
        <w:t>响应文件格式；</w:t>
      </w:r>
    </w:p>
    <w:p w14:paraId="17382A4F">
      <w:pPr>
        <w:widowControl/>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根据本章第 2.2.1款和第 2.2.2 款对竞争性磋商文件所作的澄清、修改，构成竞争性磋商文件的组成部分。</w:t>
      </w:r>
    </w:p>
    <w:p w14:paraId="69010CAC">
      <w:pPr>
        <w:widowControl/>
        <w:tabs>
          <w:tab w:val="left" w:pos="170"/>
        </w:tabs>
        <w:spacing w:line="400" w:lineRule="exact"/>
        <w:jc w:val="left"/>
        <w:rPr>
          <w:rFonts w:ascii="宋体" w:hAnsi="宋体" w:cs="宋体"/>
          <w:b/>
          <w:color w:val="auto"/>
          <w:highlight w:val="none"/>
        </w:rPr>
      </w:pPr>
      <w:r>
        <w:rPr>
          <w:rFonts w:hint="eastAsia" w:ascii="宋体" w:hAnsi="宋体" w:cs="宋体"/>
          <w:b/>
          <w:color w:val="auto"/>
          <w:highlight w:val="none"/>
        </w:rPr>
        <w:t>2.2 竞争性磋商文件的澄清</w:t>
      </w:r>
    </w:p>
    <w:p w14:paraId="208AA15E">
      <w:pPr>
        <w:spacing w:line="400" w:lineRule="exact"/>
        <w:ind w:firstLine="420" w:firstLineChars="200"/>
        <w:rPr>
          <w:rFonts w:ascii="宋体" w:hAnsi="宋体" w:cs="宋体"/>
          <w:b/>
          <w:bCs/>
          <w:color w:val="auto"/>
          <w:highlight w:val="none"/>
        </w:rPr>
      </w:pPr>
      <w:bookmarkStart w:id="16" w:name="_Toc414956953"/>
      <w:bookmarkStart w:id="17" w:name="_Toc1420"/>
      <w:r>
        <w:rPr>
          <w:rFonts w:hint="eastAsia" w:ascii="宋体" w:hAnsi="宋体" w:cs="宋体"/>
          <w:color w:val="auto"/>
          <w:highlight w:val="none"/>
        </w:rPr>
        <w:t>2.2.1供应商应仔细阅读和检查竞争性磋商文件的全部内容。如发现缺页或附件不全，应及时向采购人提出，以便补齐。</w:t>
      </w:r>
      <w:r>
        <w:rPr>
          <w:rFonts w:hint="eastAsia" w:ascii="宋体" w:hAnsi="宋体" w:cs="宋体"/>
          <w:b/>
          <w:bCs/>
          <w:color w:val="auto"/>
          <w:highlight w:val="none"/>
        </w:rPr>
        <w:t>如有疑问，应在供应商须知前附表规定的时间前以书面形式（包括信函、电报、传真等可以有形表现所载内容的形式，下同），要求采购人对竞争性磋商文件予以澄清。</w:t>
      </w:r>
    </w:p>
    <w:p w14:paraId="19EBE2D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2.2.2 竞争性磋商文件的澄清将在供应商须知前附表规定的投标截止时间5天前在信阳市公共资源交易系统</w:t>
      </w:r>
      <w:r>
        <w:rPr>
          <w:rFonts w:hint="eastAsia" w:ascii="宋体" w:hAnsi="宋体" w:cs="宋体"/>
          <w:b/>
          <w:bCs/>
          <w:color w:val="auto"/>
          <w:highlight w:val="none"/>
        </w:rPr>
        <w:t>“变更公告”或“答疑文件”</w:t>
      </w:r>
      <w:r>
        <w:rPr>
          <w:rFonts w:hint="eastAsia" w:ascii="宋体" w:hAnsi="宋体" w:cs="宋体"/>
          <w:color w:val="auto"/>
          <w:highlight w:val="none"/>
        </w:rPr>
        <w:t>将澄清内容予以发布，但不指明澄清问题的来源。如果澄清的内容可能影响响应文件编制且发出的时间距投标截止时间不足5天，相应延长投标截止时间。</w:t>
      </w:r>
    </w:p>
    <w:p w14:paraId="16AFC880">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供应商应在响应文件递交截止时间前及时查看澄清内容，因供应商未及时查看而造成的后果自负。</w:t>
      </w:r>
    </w:p>
    <w:p w14:paraId="75FA4EB2">
      <w:pPr>
        <w:pStyle w:val="5"/>
        <w:spacing w:line="400" w:lineRule="exact"/>
        <w:rPr>
          <w:rFonts w:ascii="宋体" w:hAnsi="宋体" w:cs="宋体"/>
          <w:color w:val="auto"/>
          <w:sz w:val="21"/>
          <w:szCs w:val="21"/>
          <w:highlight w:val="none"/>
        </w:rPr>
      </w:pPr>
      <w:r>
        <w:rPr>
          <w:rFonts w:hint="eastAsia" w:ascii="宋体" w:hAnsi="宋体" w:cs="宋体"/>
          <w:color w:val="auto"/>
          <w:sz w:val="21"/>
          <w:szCs w:val="21"/>
          <w:highlight w:val="none"/>
        </w:rPr>
        <w:t>2.3 竞争性磋商文件的修改</w:t>
      </w:r>
    </w:p>
    <w:p w14:paraId="104F653E">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2.3.1 在投标截止 在信阳市公共资源交易系统</w:t>
      </w:r>
      <w:r>
        <w:rPr>
          <w:rFonts w:hint="eastAsia" w:ascii="宋体" w:hAnsi="宋体" w:cs="宋体"/>
          <w:b/>
          <w:bCs/>
          <w:color w:val="auto"/>
          <w:highlight w:val="none"/>
        </w:rPr>
        <w:t>“变更公告”或“答疑文件”</w:t>
      </w:r>
      <w:r>
        <w:rPr>
          <w:rFonts w:hint="eastAsia" w:ascii="宋体" w:hAnsi="宋体" w:cs="宋体"/>
          <w:color w:val="auto"/>
          <w:highlight w:val="none"/>
        </w:rPr>
        <w:t>将修改内容予以发布。如果修改的内容可能影响响应文件编制且发出的时间距投标截止时间不足5天，相应延长投标截止时间。</w:t>
      </w:r>
    </w:p>
    <w:p w14:paraId="4C602A37">
      <w:pPr>
        <w:spacing w:line="400" w:lineRule="exact"/>
        <w:ind w:firstLine="420"/>
        <w:rPr>
          <w:rFonts w:ascii="宋体" w:hAnsi="宋体" w:cs="宋体"/>
          <w:color w:val="auto"/>
          <w:highlight w:val="none"/>
        </w:rPr>
      </w:pPr>
      <w:r>
        <w:rPr>
          <w:rFonts w:hint="eastAsia" w:ascii="宋体" w:hAnsi="宋体" w:cs="宋体"/>
          <w:color w:val="auto"/>
          <w:highlight w:val="none"/>
        </w:rPr>
        <w:t>当竞争性磋商文件的澄清、修改、补充等在同一内容的表述上不一致时，以最后在信阳市公共资源交易系统发出的文件为准。</w:t>
      </w:r>
    </w:p>
    <w:p w14:paraId="10933473">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供应商应在响应文件递交截止时间前及时查看修改内容，因供应商未及时查看而造成的后果自负。</w:t>
      </w:r>
    </w:p>
    <w:p w14:paraId="75628339">
      <w:pPr>
        <w:keepNext/>
        <w:keepLines/>
        <w:spacing w:line="400" w:lineRule="exact"/>
        <w:outlineLvl w:val="1"/>
        <w:rPr>
          <w:rFonts w:ascii="宋体" w:hAnsi="宋体" w:cs="宋体"/>
          <w:b/>
          <w:color w:val="auto"/>
          <w:highlight w:val="none"/>
        </w:rPr>
      </w:pPr>
      <w:r>
        <w:rPr>
          <w:rFonts w:hint="eastAsia" w:ascii="宋体" w:hAnsi="宋体" w:cs="宋体"/>
          <w:b/>
          <w:color w:val="auto"/>
          <w:highlight w:val="none"/>
        </w:rPr>
        <w:t xml:space="preserve">3. </w:t>
      </w:r>
      <w:bookmarkEnd w:id="16"/>
      <w:bookmarkEnd w:id="17"/>
      <w:r>
        <w:rPr>
          <w:rFonts w:hint="eastAsia" w:ascii="宋体" w:hAnsi="宋体" w:cs="宋体"/>
          <w:b/>
          <w:color w:val="auto"/>
          <w:highlight w:val="none"/>
        </w:rPr>
        <w:t>响应文件</w:t>
      </w:r>
    </w:p>
    <w:p w14:paraId="7C302127">
      <w:pPr>
        <w:spacing w:line="400" w:lineRule="exact"/>
        <w:rPr>
          <w:rFonts w:ascii="宋体" w:hAnsi="宋体" w:cs="宋体"/>
          <w:b/>
          <w:color w:val="auto"/>
          <w:highlight w:val="none"/>
        </w:rPr>
      </w:pPr>
      <w:r>
        <w:rPr>
          <w:rFonts w:hint="eastAsia" w:ascii="宋体" w:hAnsi="宋体" w:cs="宋体"/>
          <w:b/>
          <w:color w:val="auto"/>
          <w:highlight w:val="none"/>
        </w:rPr>
        <w:t>3.1响应文件的组成</w:t>
      </w:r>
    </w:p>
    <w:p w14:paraId="482EB71B">
      <w:pPr>
        <w:spacing w:line="400" w:lineRule="exact"/>
        <w:ind w:firstLine="420" w:firstLineChars="200"/>
        <w:rPr>
          <w:rFonts w:ascii="宋体" w:hAnsi="宋体" w:cs="宋体"/>
          <w:color w:val="auto"/>
          <w:highlight w:val="none"/>
        </w:rPr>
      </w:pPr>
      <w:bookmarkStart w:id="18" w:name="_Toc297211674"/>
      <w:r>
        <w:rPr>
          <w:rFonts w:hint="eastAsia" w:ascii="宋体" w:hAnsi="宋体" w:cs="宋体"/>
          <w:color w:val="auto"/>
          <w:highlight w:val="none"/>
        </w:rPr>
        <w:t>详见第六章“竞争性磋商响应文件格式。</w:t>
      </w:r>
    </w:p>
    <w:p w14:paraId="739C76CC">
      <w:pPr>
        <w:spacing w:line="400" w:lineRule="exact"/>
        <w:rPr>
          <w:rFonts w:ascii="宋体" w:hAnsi="宋体" w:cs="宋体"/>
          <w:b/>
          <w:color w:val="auto"/>
          <w:highlight w:val="none"/>
        </w:rPr>
      </w:pPr>
      <w:r>
        <w:rPr>
          <w:rFonts w:hint="eastAsia" w:ascii="宋体" w:hAnsi="宋体" w:cs="宋体"/>
          <w:b/>
          <w:color w:val="auto"/>
          <w:highlight w:val="none"/>
        </w:rPr>
        <w:t xml:space="preserve">3.2 </w:t>
      </w:r>
      <w:r>
        <w:rPr>
          <w:rFonts w:hint="eastAsia" w:ascii="宋体" w:hAnsi="宋体" w:cs="宋体"/>
          <w:b/>
          <w:color w:val="auto"/>
          <w:highlight w:val="none"/>
          <w:lang w:val="en-US" w:eastAsia="zh-CN"/>
        </w:rPr>
        <w:t>磋商</w:t>
      </w:r>
      <w:r>
        <w:rPr>
          <w:rFonts w:hint="eastAsia" w:ascii="宋体" w:hAnsi="宋体" w:cs="宋体"/>
          <w:b/>
          <w:color w:val="auto"/>
          <w:highlight w:val="none"/>
        </w:rPr>
        <w:t>报价</w:t>
      </w:r>
      <w:bookmarkEnd w:id="18"/>
    </w:p>
    <w:p w14:paraId="27EC918F">
      <w:pPr>
        <w:spacing w:line="360" w:lineRule="auto"/>
        <w:ind w:firstLine="420"/>
        <w:rPr>
          <w:rFonts w:hint="eastAsia" w:ascii="宋体" w:hAnsi="宋体" w:eastAsia="宋体" w:cs="Times New Roman"/>
          <w:color w:val="auto"/>
          <w:szCs w:val="21"/>
          <w:highlight w:val="none"/>
        </w:rPr>
      </w:pPr>
      <w:bookmarkStart w:id="19" w:name="3.2.4供应商的报价明显低于其他通过符合性审查供应商的报价，有可能影响服务质量"/>
      <w:bookmarkEnd w:id="19"/>
      <w:r>
        <w:rPr>
          <w:rFonts w:hint="eastAsia" w:ascii="宋体" w:hAnsi="宋体" w:eastAsia="宋体" w:cs="Times New Roman"/>
          <w:color w:val="auto"/>
          <w:szCs w:val="21"/>
          <w:highlight w:val="none"/>
        </w:rPr>
        <w:t>3.2.1本项目的磋商报价应按照竞争性磋商文件、补充通知、答疑纪要、现场情况、承包范围，并充分考虑市场风险和国家政策性调整等风险系数，由各响应人根据自身情况，在合理范围内，自主考虑、优惠报价，但不得低于企业成本，分二次报价：第一次报价必须按照竞争性磋商文件的报价格式填报，第二次报价在磋商中填报，第二次报价（不得高于第一次报价）即为最终报价。</w:t>
      </w:r>
    </w:p>
    <w:p w14:paraId="1D50724F">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3.2.2供应商应充分了解该项目的总体情况以及影响磋商报价的其它要素，考虑价格风险因素，成交价在合同实施期内不得调整，同时也不因市场价格变动而调整。</w:t>
      </w:r>
    </w:p>
    <w:p w14:paraId="11E57277">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3.2.3 响应报价表中的大写金额和小写金额不一致的，以大写金额为准。</w:t>
      </w:r>
    </w:p>
    <w:p w14:paraId="44B99D81">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3.2.4供应商的报价明显低于其他通过符合性审查供应商的报价，有可能影质量或者不能诚信履约的，磋商委员会应当要求其在磋商现场（或电子交易系统）合理的时间内提供书面说明（或电子澄清说明文件），必要时提交相关证明材料；供应商不能证明其报价合理性的，磋商委员会应当将其作为无效投标处理。   </w:t>
      </w:r>
    </w:p>
    <w:p w14:paraId="532C59FF">
      <w:pPr>
        <w:spacing w:line="360" w:lineRule="auto"/>
        <w:ind w:firstLine="422"/>
        <w:rPr>
          <w:rFonts w:hint="eastAsia" w:ascii="宋体" w:hAnsi="宋体" w:eastAsia="宋体" w:cs="宋体"/>
          <w:color w:val="auto"/>
          <w:highlight w:val="none"/>
          <w:lang w:val="zh-CN"/>
        </w:rPr>
      </w:pPr>
      <w:r>
        <w:rPr>
          <w:rFonts w:hint="eastAsia" w:ascii="宋体" w:hAnsi="宋体" w:eastAsia="宋体" w:cs="宋体"/>
          <w:b/>
          <w:bCs/>
          <w:color w:val="auto"/>
          <w:szCs w:val="21"/>
          <w:highlight w:val="none"/>
          <w:lang w:val="en-US" w:eastAsia="zh-CN"/>
        </w:rPr>
        <w:t>3.2.5</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val="zh-CN"/>
        </w:rPr>
        <w:t>小型微型企业认定及评标价格评审（非专门面向中小企业适用）</w:t>
      </w:r>
    </w:p>
    <w:tbl>
      <w:tblPr>
        <w:tblStyle w:val="54"/>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3FD8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14:paraId="7D37B3A5">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内容</w:t>
            </w:r>
          </w:p>
        </w:tc>
        <w:tc>
          <w:tcPr>
            <w:tcW w:w="1561" w:type="dxa"/>
            <w:noWrap w:val="0"/>
            <w:vAlign w:val="center"/>
          </w:tcPr>
          <w:p w14:paraId="736CB782">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大型企业</w:t>
            </w:r>
          </w:p>
        </w:tc>
        <w:tc>
          <w:tcPr>
            <w:tcW w:w="1492" w:type="dxa"/>
            <w:noWrap w:val="0"/>
            <w:vAlign w:val="center"/>
          </w:tcPr>
          <w:p w14:paraId="1D054F14">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中型企业</w:t>
            </w:r>
          </w:p>
        </w:tc>
        <w:tc>
          <w:tcPr>
            <w:tcW w:w="2273" w:type="dxa"/>
            <w:noWrap w:val="0"/>
            <w:vAlign w:val="center"/>
          </w:tcPr>
          <w:p w14:paraId="30BEB501">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小型企业</w:t>
            </w:r>
          </w:p>
        </w:tc>
        <w:tc>
          <w:tcPr>
            <w:tcW w:w="2094" w:type="dxa"/>
            <w:noWrap w:val="0"/>
            <w:vAlign w:val="center"/>
          </w:tcPr>
          <w:p w14:paraId="2CC6D446">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微型企业</w:t>
            </w:r>
          </w:p>
        </w:tc>
      </w:tr>
      <w:tr w14:paraId="3300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14:paraId="7C9B250B">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价格=</w:t>
            </w:r>
          </w:p>
        </w:tc>
        <w:tc>
          <w:tcPr>
            <w:tcW w:w="1561" w:type="dxa"/>
            <w:noWrap w:val="0"/>
            <w:vAlign w:val="center"/>
          </w:tcPr>
          <w:p w14:paraId="62245934">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p>
        </w:tc>
        <w:tc>
          <w:tcPr>
            <w:tcW w:w="1492" w:type="dxa"/>
            <w:noWrap w:val="0"/>
            <w:vAlign w:val="center"/>
          </w:tcPr>
          <w:p w14:paraId="056D12E7">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w:t>
            </w:r>
          </w:p>
        </w:tc>
        <w:tc>
          <w:tcPr>
            <w:tcW w:w="2273" w:type="dxa"/>
            <w:noWrap w:val="0"/>
            <w:vAlign w:val="center"/>
          </w:tcPr>
          <w:p w14:paraId="66456DAC">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报价×（1-</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lang w:val="zh-CN"/>
              </w:rPr>
              <w:t>%）</w:t>
            </w:r>
          </w:p>
        </w:tc>
        <w:tc>
          <w:tcPr>
            <w:tcW w:w="2094" w:type="dxa"/>
            <w:noWrap w:val="0"/>
            <w:vAlign w:val="center"/>
          </w:tcPr>
          <w:p w14:paraId="1829E5E0">
            <w:pPr>
              <w:tabs>
                <w:tab w:val="left" w:pos="0"/>
                <w:tab w:val="left" w:pos="1050"/>
              </w:tabs>
              <w:spacing w:line="440" w:lineRule="exact"/>
              <w:ind w:firstLine="365" w:firstLineChars="174"/>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报价×（1-</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lang w:val="zh-CN"/>
              </w:rPr>
              <w:t>%）</w:t>
            </w:r>
          </w:p>
        </w:tc>
      </w:tr>
    </w:tbl>
    <w:p w14:paraId="3C60F482">
      <w:pPr>
        <w:spacing w:line="360" w:lineRule="auto"/>
        <w:ind w:firstLine="42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2.5.</w:t>
      </w: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zh-CN"/>
        </w:rPr>
        <w:t>根据《政府采购促进中小企业发展管理办法》（财库[20</w:t>
      </w:r>
      <w:r>
        <w:rPr>
          <w:rFonts w:hint="eastAsia" w:ascii="宋体" w:hAnsi="宋体" w:eastAsia="宋体" w:cs="Times New Roman"/>
          <w:color w:val="auto"/>
          <w:szCs w:val="21"/>
          <w:highlight w:val="none"/>
        </w:rPr>
        <w:t>20</w:t>
      </w:r>
      <w:r>
        <w:rPr>
          <w:rFonts w:hint="eastAsia" w:ascii="宋体" w:hAnsi="宋体" w:eastAsia="宋体" w:cs="Times New Roman"/>
          <w:color w:val="auto"/>
          <w:szCs w:val="21"/>
          <w:highlight w:val="none"/>
          <w:lang w:val="zh-CN"/>
        </w:rPr>
        <w:t>]</w:t>
      </w:r>
      <w:r>
        <w:rPr>
          <w:rFonts w:hint="eastAsia" w:ascii="宋体" w:hAnsi="宋体" w:eastAsia="宋体" w:cs="Times New Roman"/>
          <w:color w:val="auto"/>
          <w:szCs w:val="21"/>
          <w:highlight w:val="none"/>
        </w:rPr>
        <w:t>46</w:t>
      </w:r>
      <w:r>
        <w:rPr>
          <w:rFonts w:hint="eastAsia" w:ascii="宋体" w:hAnsi="宋体" w:eastAsia="宋体" w:cs="Times New Roman"/>
          <w:color w:val="auto"/>
          <w:szCs w:val="21"/>
          <w:highlight w:val="none"/>
          <w:lang w:val="zh-CN"/>
        </w:rPr>
        <w:t>号）的规定、《工业和信息化部、国家统计局、国家发展和改革委员会、财政部关于印发中小企业划型标准规定的通知》（工信部联企业[</w:t>
      </w:r>
      <w:r>
        <w:rPr>
          <w:rFonts w:hint="eastAsia" w:ascii="宋体" w:hAnsi="宋体" w:eastAsia="宋体" w:cs="Times New Roman"/>
          <w:color w:val="auto"/>
          <w:szCs w:val="21"/>
          <w:highlight w:val="none"/>
        </w:rPr>
        <w:t>20</w:t>
      </w:r>
      <w:r>
        <w:rPr>
          <w:rFonts w:hint="eastAsia" w:ascii="宋体" w:hAnsi="宋体" w:eastAsia="宋体" w:cs="Times New Roman"/>
          <w:color w:val="auto"/>
          <w:szCs w:val="21"/>
          <w:highlight w:val="none"/>
          <w:lang w:val="zh-CN"/>
        </w:rPr>
        <w:t>11]300号）、</w:t>
      </w:r>
      <w:r>
        <w:rPr>
          <w:rFonts w:hint="eastAsia" w:ascii="宋体" w:hAnsi="宋体" w:eastAsia="宋体" w:cs="Times New Roman"/>
          <w:color w:val="auto"/>
          <w:szCs w:val="21"/>
          <w:highlight w:val="none"/>
          <w:lang w:eastAsia="zh-CN"/>
        </w:rPr>
        <w:t>财政部《</w:t>
      </w:r>
      <w:r>
        <w:rPr>
          <w:rFonts w:hint="eastAsia" w:ascii="宋体" w:hAnsi="宋体" w:eastAsia="宋体" w:cs="Times New Roman"/>
          <w:color w:val="auto"/>
          <w:szCs w:val="21"/>
          <w:highlight w:val="none"/>
        </w:rPr>
        <w:t>关于进一步加大政府采购支持中小企业力度的通知</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（财库〔202</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19</w:t>
      </w:r>
      <w:r>
        <w:rPr>
          <w:rFonts w:hint="eastAsia" w:ascii="宋体" w:hAnsi="宋体" w:eastAsia="宋体" w:cs="Times New Roman"/>
          <w:color w:val="auto"/>
          <w:szCs w:val="21"/>
          <w:highlight w:val="none"/>
        </w:rPr>
        <w:t>号）</w:t>
      </w:r>
      <w:r>
        <w:rPr>
          <w:rFonts w:hint="eastAsia" w:ascii="宋体" w:hAnsi="宋体" w:eastAsia="宋体" w:cs="Times New Roman"/>
          <w:color w:val="auto"/>
          <w:szCs w:val="21"/>
          <w:highlight w:val="none"/>
          <w:lang w:val="zh-CN"/>
        </w:rPr>
        <w:t>，对货物服务采购项目，对小型和微型企业的价格给予</w:t>
      </w:r>
      <w:r>
        <w:rPr>
          <w:rFonts w:hint="eastAsia" w:ascii="宋体" w:hAnsi="宋体" w:eastAsia="宋体" w:cs="Times New Roman"/>
          <w:color w:val="auto"/>
          <w:szCs w:val="21"/>
          <w:highlight w:val="none"/>
          <w:lang w:val="en-US" w:eastAsia="zh-CN"/>
        </w:rPr>
        <w:t>10</w:t>
      </w:r>
      <w:r>
        <w:rPr>
          <w:rFonts w:hint="eastAsia" w:ascii="宋体" w:hAnsi="宋体" w:eastAsia="宋体" w:cs="Times New Roman"/>
          <w:color w:val="auto"/>
          <w:szCs w:val="21"/>
          <w:highlight w:val="none"/>
          <w:lang w:val="zh-CN"/>
        </w:rPr>
        <w:t>%</w:t>
      </w:r>
      <w:r>
        <w:rPr>
          <w:rFonts w:hint="eastAsia" w:ascii="宋体" w:hAnsi="宋体" w:eastAsia="宋体" w:cs="Times New Roman"/>
          <w:color w:val="auto"/>
          <w:szCs w:val="21"/>
          <w:highlight w:val="none"/>
          <w:lang w:val="en-US" w:eastAsia="zh-CN"/>
        </w:rPr>
        <w:t>-20%</w:t>
      </w:r>
      <w:r>
        <w:rPr>
          <w:rFonts w:hint="eastAsia" w:ascii="宋体" w:hAnsi="宋体" w:eastAsia="宋体" w:cs="Times New Roman"/>
          <w:color w:val="auto"/>
          <w:szCs w:val="21"/>
          <w:highlight w:val="none"/>
          <w:lang w:val="zh-CN"/>
        </w:rPr>
        <w:t>的扣除，用扣除后的价格参与评审。</w:t>
      </w:r>
      <w:r>
        <w:rPr>
          <w:rFonts w:hint="eastAsia" w:ascii="宋体" w:hAnsi="宋体" w:eastAsia="宋体" w:cs="Times New Roman"/>
          <w:color w:val="auto"/>
          <w:szCs w:val="21"/>
          <w:highlight w:val="none"/>
        </w:rPr>
        <w:t>大中型企业与小微企业组成联合体</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zh-CN"/>
        </w:rPr>
        <w:t>给予</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val="zh-CN"/>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lang w:val="zh-CN"/>
        </w:rPr>
        <w:t>的扣除。</w:t>
      </w:r>
    </w:p>
    <w:p w14:paraId="57F4E0D6">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2.5.</w:t>
      </w:r>
      <w:r>
        <w:rPr>
          <w:rFonts w:hint="eastAsia" w:ascii="宋体" w:hAnsi="宋体" w:eastAsia="宋体" w:cs="Times New Roman"/>
          <w:color w:val="auto"/>
          <w:szCs w:val="21"/>
          <w:highlight w:val="none"/>
        </w:rPr>
        <w:t>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77B151B8">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2.5.</w:t>
      </w:r>
      <w:r>
        <w:rPr>
          <w:rFonts w:hint="eastAsia" w:ascii="宋体" w:hAnsi="宋体" w:eastAsia="宋体" w:cs="Times New Roman"/>
          <w:color w:val="auto"/>
          <w:szCs w:val="21"/>
          <w:highlight w:val="none"/>
        </w:rPr>
        <w:t>3根据财库(2017)141号文件规定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在政府</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残疾人福利性单位视同小型、微型企业</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享受预留份额、评审中价格扣除等促进中小企业发展的政府采购政策。残疾人福利性单位属于小型、微型企业的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不重复享受政策。符合条件的残疾人福利性单位在参加政府采购活动时</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应当提供《残疾人福利性单位声明函》(见</w:t>
      </w:r>
      <w:r>
        <w:rPr>
          <w:rFonts w:hint="eastAsia" w:ascii="宋体" w:hAnsi="宋体" w:eastAsia="宋体" w:cs="Times New Roman"/>
          <w:color w:val="auto"/>
          <w:szCs w:val="21"/>
          <w:highlight w:val="none"/>
          <w:lang w:eastAsia="zh-CN"/>
        </w:rPr>
        <w:t>竞争性磋商响应文件格式</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并对声明的真实性负责。</w:t>
      </w:r>
    </w:p>
    <w:p w14:paraId="282A9AB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注：投标价格为含税价。</w:t>
      </w:r>
    </w:p>
    <w:p w14:paraId="67E6AB18">
      <w:pPr>
        <w:spacing w:line="400" w:lineRule="exact"/>
        <w:rPr>
          <w:rFonts w:ascii="宋体" w:hAnsi="宋体" w:cs="宋体"/>
          <w:b/>
          <w:bCs/>
          <w:color w:val="auto"/>
          <w:highlight w:val="none"/>
        </w:rPr>
      </w:pPr>
      <w:r>
        <w:rPr>
          <w:rFonts w:hint="eastAsia" w:ascii="宋体" w:hAnsi="宋体" w:cs="宋体"/>
          <w:b/>
          <w:bCs/>
          <w:color w:val="auto"/>
          <w:highlight w:val="none"/>
        </w:rPr>
        <w:t>3.3磋商有效期</w:t>
      </w:r>
    </w:p>
    <w:p w14:paraId="7C3754AE">
      <w:pPr>
        <w:widowControl/>
        <w:spacing w:line="400" w:lineRule="exact"/>
        <w:ind w:firstLine="420" w:firstLineChars="200"/>
        <w:jc w:val="left"/>
        <w:rPr>
          <w:rFonts w:ascii="宋体" w:hAnsi="宋体" w:cs="宋体"/>
          <w:color w:val="auto"/>
          <w:highlight w:val="none"/>
        </w:rPr>
      </w:pPr>
      <w:bookmarkStart w:id="20" w:name="_Toc297211675"/>
      <w:r>
        <w:rPr>
          <w:rFonts w:hint="eastAsia" w:ascii="宋体" w:hAnsi="宋体" w:cs="宋体"/>
          <w:color w:val="auto"/>
          <w:highlight w:val="none"/>
        </w:rPr>
        <w:t>3.3.1在供应商须知前附表规定的磋商有效期内，供应商不得要求撤销或修改其响应文件。</w:t>
      </w:r>
    </w:p>
    <w:p w14:paraId="732C028B">
      <w:pPr>
        <w:widowControl/>
        <w:spacing w:line="400" w:lineRule="exact"/>
        <w:ind w:firstLine="399" w:firstLineChars="190"/>
        <w:jc w:val="left"/>
        <w:rPr>
          <w:rFonts w:ascii="宋体" w:hAnsi="宋体" w:cs="宋体"/>
          <w:color w:val="auto"/>
          <w:highlight w:val="none"/>
        </w:rPr>
      </w:pPr>
      <w:r>
        <w:rPr>
          <w:rFonts w:hint="eastAsia" w:ascii="宋体" w:hAnsi="宋体" w:cs="宋体"/>
          <w:color w:val="auto"/>
          <w:highlight w:val="none"/>
        </w:rPr>
        <w:t>3.3.2出现特殊情况需要延长投标有效期的，采购人以书面形式通知所有供应商延长投标有效期。供应商同意延长的，不得要求或被允许修改或撤销其响应文件；供应商拒绝延长的，其投标失效。</w:t>
      </w:r>
    </w:p>
    <w:p w14:paraId="45B1E92A">
      <w:pPr>
        <w:spacing w:line="400" w:lineRule="exact"/>
        <w:rPr>
          <w:rFonts w:ascii="宋体" w:hAnsi="宋体" w:cs="宋体"/>
          <w:b/>
          <w:color w:val="auto"/>
          <w:highlight w:val="none"/>
        </w:rPr>
      </w:pPr>
      <w:r>
        <w:rPr>
          <w:rFonts w:hint="eastAsia" w:ascii="宋体" w:hAnsi="宋体" w:cs="宋体"/>
          <w:b/>
          <w:color w:val="auto"/>
          <w:highlight w:val="none"/>
        </w:rPr>
        <w:t>3.4投标保证金</w:t>
      </w:r>
      <w:bookmarkEnd w:id="20"/>
      <w:r>
        <w:rPr>
          <w:rFonts w:hint="eastAsia" w:ascii="宋体" w:hAnsi="宋体" w:cs="宋体"/>
          <w:b/>
          <w:color w:val="auto"/>
          <w:highlight w:val="none"/>
        </w:rPr>
        <w:t>（无）</w:t>
      </w:r>
    </w:p>
    <w:p w14:paraId="4CE70D6E">
      <w:pPr>
        <w:spacing w:line="400" w:lineRule="exact"/>
        <w:rPr>
          <w:rFonts w:ascii="宋体" w:hAnsi="宋体" w:cs="宋体"/>
          <w:b/>
          <w:color w:val="auto"/>
          <w:highlight w:val="none"/>
        </w:rPr>
      </w:pPr>
      <w:bookmarkStart w:id="21" w:name="_Toc297211678"/>
      <w:r>
        <w:rPr>
          <w:rFonts w:hint="eastAsia" w:ascii="宋体" w:hAnsi="宋体" w:cs="宋体"/>
          <w:b/>
          <w:color w:val="auto"/>
          <w:highlight w:val="none"/>
        </w:rPr>
        <w:t>3.5响应文件的</w:t>
      </w:r>
      <w:bookmarkEnd w:id="21"/>
      <w:r>
        <w:rPr>
          <w:rFonts w:hint="eastAsia" w:ascii="宋体" w:hAnsi="宋体" w:cs="宋体"/>
          <w:b/>
          <w:color w:val="auto"/>
          <w:highlight w:val="none"/>
        </w:rPr>
        <w:t>制作</w:t>
      </w:r>
    </w:p>
    <w:p w14:paraId="230666D5">
      <w:pPr>
        <w:tabs>
          <w:tab w:val="left" w:pos="420"/>
        </w:tabs>
        <w:spacing w:line="400" w:lineRule="exact"/>
        <w:ind w:firstLine="420" w:firstLineChars="200"/>
        <w:rPr>
          <w:rFonts w:ascii="宋体" w:hAnsi="宋体" w:cs="宋体"/>
          <w:color w:val="auto"/>
          <w:highlight w:val="none"/>
        </w:rPr>
      </w:pPr>
      <w:bookmarkStart w:id="22" w:name="_Toc191983618"/>
      <w:bookmarkStart w:id="23" w:name="_Toc244935166"/>
      <w:bookmarkStart w:id="24" w:name="_Toc414956954"/>
      <w:bookmarkStart w:id="25" w:name="_Toc26878"/>
      <w:bookmarkStart w:id="26" w:name="_Toc234213531"/>
      <w:bookmarkStart w:id="27" w:name="_Toc244934197"/>
      <w:r>
        <w:rPr>
          <w:rFonts w:hint="eastAsia" w:ascii="宋体" w:hAnsi="宋体" w:cs="宋体"/>
          <w:color w:val="auto"/>
          <w:highlight w:val="none"/>
        </w:rPr>
        <w:t>3.5.1供应商通过“全国公共资源交易平台（河南省·信阳市）（</w:t>
      </w:r>
      <w:r>
        <w:rPr>
          <w:rFonts w:hint="eastAsia" w:ascii="宋体" w:hAnsi="宋体" w:cs="宋体"/>
          <w:color w:val="auto"/>
          <w:highlight w:val="none"/>
          <w:lang w:eastAsia="zh-CN"/>
        </w:rPr>
        <w:t>https://ggzyjy.xinyang.gov.cn/</w:t>
      </w:r>
      <w:r>
        <w:rPr>
          <w:rFonts w:hint="eastAsia" w:ascii="宋体" w:hAnsi="宋体" w:cs="宋体"/>
          <w:color w:val="auto"/>
          <w:highlight w:val="none"/>
        </w:rPr>
        <w:t>）”网站下载中心栏目内下载或竞争性磋商文件领取页面下载“信阳市响应文件制作工具软件”。</w:t>
      </w:r>
    </w:p>
    <w:p w14:paraId="611E79CE">
      <w:pPr>
        <w:tabs>
          <w:tab w:val="left" w:pos="420"/>
        </w:tabs>
        <w:spacing w:line="400" w:lineRule="exact"/>
        <w:ind w:firstLine="420" w:firstLineChars="200"/>
        <w:rPr>
          <w:rFonts w:ascii="宋体" w:hAnsi="宋体" w:cs="宋体"/>
          <w:color w:val="auto"/>
          <w:highlight w:val="none"/>
        </w:rPr>
      </w:pPr>
      <w:r>
        <w:rPr>
          <w:rFonts w:hint="eastAsia" w:ascii="宋体" w:hAnsi="宋体" w:cs="宋体"/>
          <w:color w:val="auto"/>
          <w:highlight w:val="none"/>
        </w:rPr>
        <w:t>3.5.2使用“信阳市响应文件制作工具”软件制作生成加密版的电子响应文件，软件操作手册可在网站下载中心下载或打开软件后在右上角菜单内领取。</w:t>
      </w:r>
    </w:p>
    <w:p w14:paraId="5293B1A3">
      <w:pPr>
        <w:tabs>
          <w:tab w:val="left" w:pos="420"/>
        </w:tabs>
        <w:spacing w:line="400" w:lineRule="exact"/>
        <w:ind w:firstLine="420" w:firstLineChars="200"/>
        <w:rPr>
          <w:rFonts w:ascii="宋体" w:hAnsi="宋体" w:cs="宋体"/>
          <w:color w:val="auto"/>
          <w:highlight w:val="none"/>
        </w:rPr>
      </w:pPr>
      <w:r>
        <w:rPr>
          <w:rFonts w:hint="eastAsia" w:ascii="宋体" w:hAnsi="宋体" w:cs="宋体"/>
          <w:color w:val="auto"/>
          <w:highlight w:val="none"/>
        </w:rPr>
        <w:t>3.5.3供应商在电子响应文件制作完成后生成响应文件时须加盖电子签章/签名。其他要求签字盖章的响应文件格式内容，如无法进行电子签章/签名，供应商可将盖章/签名后的扫描件上传到电子响应文件中。签字盖章的其他要求详见供应商须知前附表。开标一览表报价将作为电子开标的唱标依据（若开标时电子唱标的开标一览表内容与响应文件内开标一览表内容不一致的，以开标时电子唱标的开标一览表内容为准。）</w:t>
      </w:r>
    </w:p>
    <w:p w14:paraId="37105447">
      <w:pPr>
        <w:tabs>
          <w:tab w:val="left" w:pos="420"/>
        </w:tabs>
        <w:spacing w:line="400" w:lineRule="exact"/>
        <w:ind w:firstLine="420" w:firstLineChars="200"/>
        <w:rPr>
          <w:rFonts w:ascii="宋体" w:hAnsi="宋体" w:cs="宋体"/>
          <w:color w:val="auto"/>
          <w:highlight w:val="none"/>
        </w:rPr>
      </w:pPr>
      <w:r>
        <w:rPr>
          <w:rFonts w:hint="eastAsia" w:ascii="宋体" w:hAnsi="宋体" w:cs="宋体"/>
          <w:color w:val="auto"/>
          <w:highlight w:val="none"/>
        </w:rPr>
        <w:t>3.5.4 竞争性磋商文件格式所要求包含的全部资料应全部制作在响应文件内，严格按照本项目竞争性磋商文件所有格式如实填写（不涉及的内容除外），不应存在漏项或缺项，否则将存在响应文件被拒绝的风险。</w:t>
      </w:r>
    </w:p>
    <w:p w14:paraId="7DDD0112">
      <w:pPr>
        <w:tabs>
          <w:tab w:val="left" w:pos="420"/>
        </w:tabs>
        <w:spacing w:line="400" w:lineRule="exact"/>
        <w:ind w:firstLine="420" w:firstLineChars="200"/>
        <w:rPr>
          <w:rFonts w:ascii="宋体" w:hAnsi="宋体" w:cs="宋体"/>
          <w:color w:val="auto"/>
          <w:highlight w:val="none"/>
        </w:rPr>
      </w:pPr>
      <w:r>
        <w:rPr>
          <w:rFonts w:hint="eastAsia" w:ascii="宋体" w:hAnsi="宋体" w:cs="宋体"/>
          <w:color w:val="auto"/>
          <w:highlight w:val="none"/>
        </w:rPr>
        <w:t>3.5.5 供应商编辑电子响应文件时，最后一步生成电子响应文件时，请使用本单位的企业 CA 数字证书。</w:t>
      </w:r>
    </w:p>
    <w:p w14:paraId="7D19FE71">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3.5.6供应商应按照竞争性磋商文件的要求，规范、明确、准时的提交响应文件。如果没有按照竞争性磋商文件的要求提交全部资料并保证所提供全部资料的真实性，或没有对竞争性磋商文件做出实质性响应，其风险应由供应商自行承担。</w:t>
      </w:r>
    </w:p>
    <w:p w14:paraId="5C541A00">
      <w:pPr>
        <w:keepNext/>
        <w:keepLines/>
        <w:spacing w:line="400" w:lineRule="exact"/>
        <w:outlineLvl w:val="1"/>
        <w:rPr>
          <w:rFonts w:ascii="宋体" w:hAnsi="宋体" w:cs="宋体"/>
          <w:b/>
          <w:color w:val="auto"/>
          <w:highlight w:val="none"/>
        </w:rPr>
      </w:pPr>
      <w:r>
        <w:rPr>
          <w:rFonts w:hint="eastAsia" w:ascii="宋体" w:hAnsi="宋体" w:cs="宋体"/>
          <w:b/>
          <w:color w:val="auto"/>
          <w:highlight w:val="none"/>
        </w:rPr>
        <w:t>4. 投标</w:t>
      </w:r>
      <w:bookmarkEnd w:id="22"/>
      <w:bookmarkEnd w:id="23"/>
      <w:bookmarkEnd w:id="24"/>
      <w:bookmarkEnd w:id="25"/>
      <w:bookmarkEnd w:id="26"/>
      <w:bookmarkEnd w:id="27"/>
    </w:p>
    <w:p w14:paraId="02793446">
      <w:pPr>
        <w:numPr>
          <w:ilvl w:val="1"/>
          <w:numId w:val="6"/>
        </w:numPr>
        <w:spacing w:line="400" w:lineRule="exact"/>
        <w:rPr>
          <w:rFonts w:ascii="宋体" w:hAnsi="宋体" w:cs="宋体"/>
          <w:b/>
          <w:color w:val="auto"/>
          <w:highlight w:val="none"/>
        </w:rPr>
      </w:pPr>
      <w:r>
        <w:rPr>
          <w:rFonts w:hint="eastAsia" w:ascii="宋体" w:hAnsi="宋体" w:cs="宋体"/>
          <w:b/>
          <w:color w:val="auto"/>
          <w:highlight w:val="none"/>
        </w:rPr>
        <w:t>响应文件的递交</w:t>
      </w:r>
    </w:p>
    <w:p w14:paraId="6E954732">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4.1.1供应商必须在投标截止时间前通过信阳市公共资源交易中心电子招投标系统上传加密的电子响应文件(*.XYTF格式)，本项目评标以电子响应文件为依据，未在投标截止时间前上传电子响应文件，视为自动放弃其投标。</w:t>
      </w:r>
    </w:p>
    <w:p w14:paraId="50A715AF">
      <w:pPr>
        <w:spacing w:line="400" w:lineRule="exact"/>
        <w:ind w:firstLine="401" w:firstLineChars="190"/>
        <w:rPr>
          <w:rFonts w:ascii="宋体" w:hAnsi="宋体" w:cs="宋体"/>
          <w:b/>
          <w:bCs/>
          <w:color w:val="auto"/>
          <w:highlight w:val="none"/>
        </w:rPr>
      </w:pPr>
      <w:r>
        <w:rPr>
          <w:rFonts w:hint="eastAsia" w:ascii="宋体" w:hAnsi="宋体" w:cs="宋体"/>
          <w:b/>
          <w:bCs/>
          <w:color w:val="auto"/>
          <w:highlight w:val="none"/>
        </w:rPr>
        <w:t xml:space="preserve">4.1.2 供应商因信阳市电子招投标交易平台问题无法上传电子响应文件时，请在工作时间与交易中心联系（0376-6369677）。 </w:t>
      </w:r>
    </w:p>
    <w:p w14:paraId="149ACEAA">
      <w:pPr>
        <w:numPr>
          <w:ilvl w:val="1"/>
          <w:numId w:val="6"/>
        </w:numPr>
        <w:spacing w:line="400" w:lineRule="exact"/>
        <w:rPr>
          <w:rFonts w:ascii="宋体" w:hAnsi="宋体" w:cs="宋体"/>
          <w:b/>
          <w:color w:val="auto"/>
          <w:highlight w:val="none"/>
        </w:rPr>
      </w:pPr>
      <w:r>
        <w:rPr>
          <w:rFonts w:hint="eastAsia" w:ascii="宋体" w:hAnsi="宋体" w:cs="宋体"/>
          <w:b/>
          <w:color w:val="auto"/>
          <w:highlight w:val="none"/>
        </w:rPr>
        <w:t>响应文件的修改与撤回</w:t>
      </w:r>
    </w:p>
    <w:p w14:paraId="020F0CB8">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4.2.1在规定的投标截止时间前，供应商可以多次修改或撤回已递交的响应文件，最终响应文件以投标截止时间前完成上传至信阳市公共资源交易中心交易系统最后一份响应文件为准。</w:t>
      </w:r>
    </w:p>
    <w:p w14:paraId="6D2B5D7D">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4.2.2修改的响应文件应按照本章第3.5条、第4.1条规定进行编制和递交。</w:t>
      </w:r>
    </w:p>
    <w:p w14:paraId="0CA578D4">
      <w:pPr>
        <w:keepNext/>
        <w:keepLines/>
        <w:spacing w:line="400" w:lineRule="exact"/>
        <w:outlineLvl w:val="1"/>
        <w:rPr>
          <w:rFonts w:ascii="宋体" w:hAnsi="宋体" w:cs="宋体"/>
          <w:b/>
          <w:color w:val="auto"/>
          <w:highlight w:val="none"/>
        </w:rPr>
      </w:pPr>
      <w:bookmarkStart w:id="28" w:name="_Toc414956955"/>
      <w:bookmarkStart w:id="29" w:name="_Toc244934198"/>
      <w:bookmarkStart w:id="30" w:name="_Toc244935167"/>
      <w:bookmarkStart w:id="31" w:name="_Toc234213532"/>
      <w:bookmarkStart w:id="32" w:name="_Toc12378"/>
      <w:bookmarkStart w:id="33" w:name="_Toc191983619"/>
      <w:r>
        <w:rPr>
          <w:rFonts w:hint="eastAsia" w:ascii="宋体" w:hAnsi="宋体" w:cs="宋体"/>
          <w:b/>
          <w:color w:val="auto"/>
          <w:highlight w:val="none"/>
        </w:rPr>
        <w:t>5. 开标</w:t>
      </w:r>
      <w:bookmarkEnd w:id="28"/>
      <w:bookmarkEnd w:id="29"/>
      <w:bookmarkEnd w:id="30"/>
      <w:bookmarkEnd w:id="31"/>
      <w:bookmarkEnd w:id="32"/>
      <w:bookmarkEnd w:id="33"/>
    </w:p>
    <w:p w14:paraId="46707B59">
      <w:pPr>
        <w:spacing w:line="400" w:lineRule="exact"/>
        <w:rPr>
          <w:rFonts w:ascii="宋体" w:hAnsi="宋体" w:cs="宋体"/>
          <w:b/>
          <w:color w:val="auto"/>
          <w:highlight w:val="none"/>
        </w:rPr>
      </w:pPr>
      <w:bookmarkStart w:id="34" w:name="_Toc297211680"/>
      <w:r>
        <w:rPr>
          <w:rFonts w:hint="eastAsia" w:ascii="宋体" w:hAnsi="宋体" w:cs="宋体"/>
          <w:b/>
          <w:color w:val="auto"/>
          <w:highlight w:val="none"/>
        </w:rPr>
        <w:t>5.1开标时间和地点</w:t>
      </w:r>
      <w:bookmarkEnd w:id="34"/>
    </w:p>
    <w:p w14:paraId="1EE09ECE">
      <w:pPr>
        <w:keepNext w:val="0"/>
        <w:keepLines w:val="0"/>
        <w:pageBreakBefore w:val="0"/>
        <w:widowControl w:val="0"/>
        <w:kinsoku/>
        <w:wordWrap w:val="0"/>
        <w:overflowPunct/>
        <w:topLinePunct w:val="0"/>
        <w:autoSpaceDE/>
        <w:autoSpaceDN/>
        <w:bidi w:val="0"/>
        <w:adjustRightInd/>
        <w:snapToGrid/>
        <w:spacing w:line="400" w:lineRule="exact"/>
        <w:ind w:firstLine="399" w:firstLineChars="190"/>
        <w:textAlignment w:val="auto"/>
        <w:rPr>
          <w:rFonts w:ascii="宋体" w:hAnsi="宋体" w:cs="宋体"/>
          <w:color w:val="auto"/>
          <w:highlight w:val="none"/>
        </w:rPr>
      </w:pPr>
      <w:r>
        <w:rPr>
          <w:rFonts w:hint="eastAsia" w:ascii="宋体" w:hAnsi="宋体" w:cs="宋体"/>
          <w:color w:val="auto"/>
          <w:highlight w:val="none"/>
        </w:rPr>
        <w:t>5.1.1采购人在本章规定的投标截止时间（开标时间）和供应商须知前附表规定的地点公开开标。</w:t>
      </w:r>
    </w:p>
    <w:p w14:paraId="030EEA8C">
      <w:pPr>
        <w:keepNext w:val="0"/>
        <w:keepLines w:val="0"/>
        <w:pageBreakBefore w:val="0"/>
        <w:widowControl w:val="0"/>
        <w:kinsoku/>
        <w:wordWrap w:val="0"/>
        <w:overflowPunct/>
        <w:topLinePunct w:val="0"/>
        <w:autoSpaceDE/>
        <w:autoSpaceDN/>
        <w:bidi w:val="0"/>
        <w:adjustRightInd/>
        <w:snapToGrid/>
        <w:spacing w:line="400" w:lineRule="exact"/>
        <w:ind w:firstLine="399" w:firstLineChars="190"/>
        <w:textAlignment w:val="auto"/>
        <w:rPr>
          <w:rFonts w:ascii="宋体" w:hAnsi="宋体" w:cs="宋体"/>
          <w:color w:val="auto"/>
          <w:highlight w:val="none"/>
        </w:rPr>
      </w:pPr>
      <w:r>
        <w:rPr>
          <w:rFonts w:hint="eastAsia" w:ascii="宋体" w:hAnsi="宋体" w:cs="宋体"/>
          <w:color w:val="auto"/>
          <w:highlight w:val="none"/>
        </w:rPr>
        <w:t>5.1.2本项目采用“不见面开标”交易方式，不见面开标大厅网址为</w:t>
      </w:r>
      <w:r>
        <w:rPr>
          <w:rFonts w:hint="eastAsia" w:ascii="宋体" w:hAnsi="宋体" w:cs="宋体"/>
          <w:color w:val="auto"/>
          <w:highlight w:val="none"/>
          <w:shd w:val="clear" w:color="auto" w:fill="FFFFFF"/>
        </w:rPr>
        <w:t>https://ggzyjy.xinyang.gov.cn/BidOpening</w:t>
      </w:r>
      <w:r>
        <w:rPr>
          <w:rFonts w:hint="eastAsia" w:ascii="宋体" w:hAnsi="宋体" w:cs="宋体"/>
          <w:color w:val="auto"/>
          <w:highlight w:val="none"/>
        </w:rPr>
        <w:t xml:space="preserve">，投标人（供应商）无需寄送和递交非加密的电子响应文件，无需到现场参加开标会议，无需到达现场提交原件资料。 </w:t>
      </w:r>
    </w:p>
    <w:p w14:paraId="4D4E6F16">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 xml:space="preserve">供应商应当在投标截止时间前，使用供应商 CA 数字证书登录不见面开标大厅，在线签到并准时参加开标活动，并在规定时间内完成响应文件解密、答疑澄清等。 </w:t>
      </w:r>
    </w:p>
    <w:p w14:paraId="40032AA9">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 xml:space="preserve">逾期解密或者没有准时在线参加开标活动导致的一切后果供应商自行承担。 </w:t>
      </w:r>
    </w:p>
    <w:p w14:paraId="357AEAF1">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 xml:space="preserve">不见面开标服务的具体事宜，请查阅信阳市公共资源交易中心网站首页—下载中心—信阳市不见面开标大厅系统操作手册 。 </w:t>
      </w:r>
    </w:p>
    <w:p w14:paraId="6827B76A">
      <w:pPr>
        <w:spacing w:line="400" w:lineRule="exact"/>
        <w:ind w:firstLine="401" w:firstLineChars="190"/>
        <w:rPr>
          <w:rFonts w:ascii="宋体" w:hAnsi="宋体" w:cs="宋体"/>
          <w:b/>
          <w:color w:val="auto"/>
          <w:highlight w:val="none"/>
        </w:rPr>
      </w:pPr>
      <w:r>
        <w:rPr>
          <w:rFonts w:hint="eastAsia" w:ascii="宋体" w:hAnsi="宋体" w:cs="宋体"/>
          <w:b/>
          <w:bCs/>
          <w:color w:val="auto"/>
          <w:highlight w:val="none"/>
        </w:rPr>
        <w:t>特别提示：供应商在线签到时，应如实准确的填写授权委托人的联系电话，开标当天请务必保证电话保持畅通。</w:t>
      </w:r>
    </w:p>
    <w:p w14:paraId="00972EEF">
      <w:pPr>
        <w:spacing w:line="400" w:lineRule="exact"/>
        <w:rPr>
          <w:rFonts w:ascii="宋体" w:hAnsi="宋体" w:cs="宋体"/>
          <w:b/>
          <w:color w:val="auto"/>
          <w:highlight w:val="none"/>
        </w:rPr>
      </w:pPr>
      <w:bookmarkStart w:id="35" w:name="_Toc297211681"/>
      <w:r>
        <w:rPr>
          <w:rFonts w:hint="eastAsia" w:ascii="宋体" w:hAnsi="宋体" w:cs="宋体"/>
          <w:b/>
          <w:color w:val="auto"/>
          <w:highlight w:val="none"/>
        </w:rPr>
        <w:t>5.2 开标程序</w:t>
      </w:r>
      <w:bookmarkEnd w:id="35"/>
    </w:p>
    <w:p w14:paraId="18D93C2F">
      <w:pPr>
        <w:spacing w:line="400" w:lineRule="exact"/>
        <w:ind w:firstLine="420" w:firstLineChars="200"/>
        <w:rPr>
          <w:rFonts w:ascii="宋体" w:hAnsi="宋体" w:cs="宋体"/>
          <w:color w:val="auto"/>
          <w:highlight w:val="none"/>
        </w:rPr>
      </w:pPr>
      <w:bookmarkStart w:id="36" w:name="_Toc234213533"/>
      <w:bookmarkStart w:id="37" w:name="_Toc244935168"/>
      <w:bookmarkStart w:id="38" w:name="_Toc191983620"/>
      <w:bookmarkStart w:id="39" w:name="_Toc244934199"/>
      <w:r>
        <w:rPr>
          <w:rFonts w:hint="eastAsia" w:ascii="宋体" w:hAnsi="宋体" w:cs="宋体"/>
          <w:color w:val="auto"/>
          <w:highlight w:val="none"/>
        </w:rPr>
        <w:t>见供应商须知前附表。</w:t>
      </w:r>
    </w:p>
    <w:p w14:paraId="26053799">
      <w:pPr>
        <w:spacing w:line="400" w:lineRule="exact"/>
        <w:rPr>
          <w:rFonts w:ascii="宋体" w:hAnsi="宋体" w:cs="宋体"/>
          <w:b/>
          <w:color w:val="auto"/>
          <w:highlight w:val="none"/>
        </w:rPr>
      </w:pPr>
      <w:r>
        <w:rPr>
          <w:rFonts w:hint="eastAsia" w:ascii="宋体" w:hAnsi="宋体" w:cs="宋体"/>
          <w:b/>
          <w:color w:val="auto"/>
          <w:highlight w:val="none"/>
        </w:rPr>
        <w:t>5.3 开标异议</w:t>
      </w:r>
    </w:p>
    <w:p w14:paraId="20FB1A5A">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开标过程中，供应商如有异议，须在开标结束前通过系统提出，否则视同认可开标记录。开标结束后，对开标记录的任何异议不在接受。</w:t>
      </w:r>
    </w:p>
    <w:p w14:paraId="566A064B">
      <w:pPr>
        <w:keepNext/>
        <w:keepLines/>
        <w:spacing w:line="400" w:lineRule="exact"/>
        <w:outlineLvl w:val="1"/>
        <w:rPr>
          <w:rFonts w:ascii="宋体" w:hAnsi="宋体" w:cs="宋体"/>
          <w:b/>
          <w:color w:val="auto"/>
          <w:highlight w:val="none"/>
        </w:rPr>
      </w:pPr>
      <w:bookmarkStart w:id="40" w:name="_Toc414956956"/>
      <w:bookmarkStart w:id="41" w:name="_Toc19102"/>
      <w:r>
        <w:rPr>
          <w:rFonts w:hint="eastAsia" w:ascii="宋体" w:hAnsi="宋体" w:cs="宋体"/>
          <w:b/>
          <w:color w:val="auto"/>
          <w:highlight w:val="none"/>
        </w:rPr>
        <w:t>6. 评标</w:t>
      </w:r>
      <w:bookmarkEnd w:id="36"/>
      <w:bookmarkEnd w:id="37"/>
      <w:bookmarkEnd w:id="38"/>
      <w:bookmarkEnd w:id="39"/>
      <w:bookmarkEnd w:id="40"/>
      <w:bookmarkEnd w:id="41"/>
    </w:p>
    <w:p w14:paraId="15261FC8">
      <w:pPr>
        <w:spacing w:line="400" w:lineRule="exact"/>
        <w:rPr>
          <w:rFonts w:ascii="宋体" w:hAnsi="宋体" w:cs="宋体"/>
          <w:b/>
          <w:bCs/>
          <w:color w:val="auto"/>
          <w:highlight w:val="none"/>
        </w:rPr>
      </w:pPr>
      <w:bookmarkStart w:id="42" w:name="_Toc234213534"/>
      <w:bookmarkStart w:id="43" w:name="_Toc191983621"/>
      <w:bookmarkStart w:id="44" w:name="_Toc244934200"/>
      <w:bookmarkStart w:id="45" w:name="_Toc244935169"/>
      <w:r>
        <w:rPr>
          <w:rFonts w:hint="eastAsia" w:ascii="宋体" w:hAnsi="宋体" w:cs="宋体"/>
          <w:b/>
          <w:bCs/>
          <w:color w:val="auto"/>
          <w:highlight w:val="none"/>
        </w:rPr>
        <w:t>6.1磋商小组</w:t>
      </w:r>
    </w:p>
    <w:p w14:paraId="0638A1B6">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6.1.1评标由采购人依法组建的磋商小组负责。磋商小组由采购人熟悉相关业务的代表，以及有关技术、经济等方面的专家组成。磋商小组成员人数以及技术、经济等方面专家的确定方式见供应商须知前附表。</w:t>
      </w:r>
    </w:p>
    <w:p w14:paraId="66F9914A">
      <w:pPr>
        <w:spacing w:line="400" w:lineRule="exact"/>
        <w:ind w:firstLine="399" w:firstLineChars="190"/>
        <w:rPr>
          <w:rFonts w:ascii="宋体" w:hAnsi="宋体" w:cs="宋体"/>
          <w:color w:val="auto"/>
          <w:highlight w:val="none"/>
        </w:rPr>
      </w:pPr>
      <w:r>
        <w:rPr>
          <w:rFonts w:hint="eastAsia" w:ascii="宋体" w:hAnsi="宋体" w:cs="宋体"/>
          <w:color w:val="auto"/>
          <w:highlight w:val="none"/>
        </w:rPr>
        <w:t>6.1.2  磋商小组成员有下列情形之一的，应当回避：</w:t>
      </w:r>
    </w:p>
    <w:p w14:paraId="7D924B99">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（1）供应商或供应商主要负责人的近亲属；</w:t>
      </w:r>
    </w:p>
    <w:p w14:paraId="111BA125">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（2）项目主管部门或者行政监督部门的人员；</w:t>
      </w:r>
    </w:p>
    <w:p w14:paraId="56D87BF3">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（3）与供应商有经济利益关系，可能影响对投标公正评审的；</w:t>
      </w:r>
    </w:p>
    <w:p w14:paraId="695A1CC7">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（4）曾因在招标、评标以及其他与招标投标有关活动中从事违法行为而受过行政处罚或刑事处罚的；</w:t>
      </w:r>
    </w:p>
    <w:p w14:paraId="60CA94C3">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（5）与供应商有其他利害关系。</w:t>
      </w:r>
    </w:p>
    <w:p w14:paraId="46198FCA">
      <w:pPr>
        <w:spacing w:line="400" w:lineRule="exact"/>
        <w:rPr>
          <w:rFonts w:ascii="宋体" w:hAnsi="宋体" w:cs="宋体"/>
          <w:b/>
          <w:color w:val="auto"/>
          <w:highlight w:val="none"/>
        </w:rPr>
      </w:pPr>
      <w:r>
        <w:rPr>
          <w:rFonts w:hint="eastAsia" w:ascii="宋体" w:hAnsi="宋体" w:cs="宋体"/>
          <w:b/>
          <w:color w:val="auto"/>
          <w:highlight w:val="none"/>
        </w:rPr>
        <w:t>6.2 评标原则</w:t>
      </w:r>
    </w:p>
    <w:p w14:paraId="7655F0A1">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评标活动遵循公平、公正、科学和择优的原则。</w:t>
      </w:r>
    </w:p>
    <w:p w14:paraId="571A8293">
      <w:pPr>
        <w:spacing w:line="400" w:lineRule="exact"/>
        <w:rPr>
          <w:rFonts w:ascii="宋体" w:hAnsi="宋体" w:cs="宋体"/>
          <w:b/>
          <w:color w:val="auto"/>
          <w:highlight w:val="none"/>
        </w:rPr>
      </w:pPr>
      <w:r>
        <w:rPr>
          <w:rFonts w:hint="eastAsia" w:ascii="宋体" w:hAnsi="宋体" w:cs="宋体"/>
          <w:b/>
          <w:color w:val="auto"/>
          <w:highlight w:val="none"/>
        </w:rPr>
        <w:t>6.3 评标过程的保密</w:t>
      </w:r>
    </w:p>
    <w:p w14:paraId="0E363B68">
      <w:pPr>
        <w:spacing w:line="400" w:lineRule="exact"/>
        <w:ind w:firstLine="411" w:firstLineChars="196"/>
        <w:rPr>
          <w:rFonts w:ascii="宋体" w:hAnsi="宋体" w:cs="宋体"/>
          <w:color w:val="auto"/>
          <w:highlight w:val="none"/>
        </w:rPr>
      </w:pPr>
      <w:r>
        <w:rPr>
          <w:rFonts w:hint="eastAsia" w:ascii="宋体" w:hAnsi="宋体" w:cs="宋体"/>
          <w:color w:val="auto"/>
          <w:highlight w:val="none"/>
        </w:rPr>
        <w:t>公开开标后，直到授予成交人合同为止，凡属于对响应文件的审查、澄清、评价和比较的有关资料以及成交候选人的推荐情况、与评标有关的其他任何情况均应严格保密。</w:t>
      </w:r>
    </w:p>
    <w:p w14:paraId="62B3F5E7">
      <w:pPr>
        <w:spacing w:line="400" w:lineRule="exact"/>
        <w:rPr>
          <w:rFonts w:ascii="宋体" w:hAnsi="宋体" w:cs="宋体"/>
          <w:b/>
          <w:color w:val="auto"/>
          <w:highlight w:val="none"/>
        </w:rPr>
      </w:pPr>
      <w:r>
        <w:rPr>
          <w:rFonts w:hint="eastAsia" w:ascii="宋体" w:hAnsi="宋体" w:cs="宋体"/>
          <w:b/>
          <w:color w:val="auto"/>
          <w:highlight w:val="none"/>
        </w:rPr>
        <w:t>6.4  评标</w:t>
      </w:r>
    </w:p>
    <w:p w14:paraId="57DC8E37">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磋商小组按照第三章“评标办法”规定的方法和程序对响应文件进行评审。第三章“评标办法”没有规定的方法和标准，不作为评标依据。</w:t>
      </w:r>
      <w:bookmarkEnd w:id="42"/>
      <w:bookmarkEnd w:id="43"/>
      <w:bookmarkEnd w:id="44"/>
      <w:bookmarkEnd w:id="45"/>
      <w:bookmarkStart w:id="46" w:name="_Toc184635077"/>
      <w:bookmarkStart w:id="47" w:name="_Toc414956957"/>
    </w:p>
    <w:p w14:paraId="47481CC8">
      <w:pPr>
        <w:keepNext/>
        <w:keepLines/>
        <w:spacing w:line="400" w:lineRule="exact"/>
        <w:outlineLvl w:val="1"/>
        <w:rPr>
          <w:rFonts w:ascii="宋体" w:hAnsi="宋体" w:cs="宋体"/>
          <w:b/>
          <w:color w:val="auto"/>
          <w:highlight w:val="none"/>
        </w:rPr>
      </w:pPr>
      <w:bookmarkStart w:id="48" w:name="_Toc6777"/>
      <w:r>
        <w:rPr>
          <w:rFonts w:hint="eastAsia" w:ascii="宋体" w:hAnsi="宋体" w:cs="宋体"/>
          <w:b/>
          <w:color w:val="auto"/>
          <w:highlight w:val="none"/>
        </w:rPr>
        <w:t>7．合同授予</w:t>
      </w:r>
      <w:bookmarkEnd w:id="46"/>
      <w:bookmarkEnd w:id="47"/>
      <w:bookmarkEnd w:id="48"/>
    </w:p>
    <w:p w14:paraId="4ECF65F4">
      <w:pPr>
        <w:spacing w:line="400" w:lineRule="exact"/>
        <w:rPr>
          <w:rFonts w:ascii="宋体" w:hAnsi="宋体" w:cs="宋体"/>
          <w:b/>
          <w:color w:val="auto"/>
          <w:highlight w:val="none"/>
        </w:rPr>
      </w:pPr>
      <w:bookmarkStart w:id="49" w:name="_Toc152045581"/>
      <w:bookmarkStart w:id="50" w:name="_Toc247514005"/>
      <w:bookmarkStart w:id="51" w:name="_Toc144974548"/>
      <w:bookmarkStart w:id="52" w:name="_Toc152042358"/>
      <w:bookmarkStart w:id="53" w:name="_Toc247527606"/>
      <w:r>
        <w:rPr>
          <w:rFonts w:hint="eastAsia" w:ascii="宋体" w:hAnsi="宋体" w:cs="宋体"/>
          <w:b/>
          <w:color w:val="auto"/>
          <w:highlight w:val="none"/>
        </w:rPr>
        <w:t>7.1 定标方式</w:t>
      </w:r>
    </w:p>
    <w:p w14:paraId="0C5B04AF">
      <w:pPr>
        <w:spacing w:line="400" w:lineRule="exact"/>
        <w:rPr>
          <w:rFonts w:ascii="宋体" w:hAnsi="宋体" w:cs="宋体"/>
          <w:bCs/>
          <w:color w:val="auto"/>
          <w:highlight w:val="none"/>
        </w:rPr>
      </w:pPr>
      <w:r>
        <w:rPr>
          <w:rFonts w:hint="eastAsia" w:ascii="宋体" w:hAnsi="宋体" w:cs="宋体"/>
          <w:bCs/>
          <w:color w:val="auto"/>
          <w:highlight w:val="none"/>
        </w:rPr>
        <w:t xml:space="preserve">    采购人依据磋商小组推荐的成交候选人确定成交人，磋商小组推荐成交候选人的人数见供应商须知前附表。采购人将根据评审委员会推荐的名单，确定排名第一的供应商为成交人。如果排名第一的成交候选人放弃成交或因不可抗力提出不能履行合同，采购人将选择排名第二的供应商为成交人，依此类推。如成交候选人均放弃成交资格时，采购人将重新进行招标。</w:t>
      </w:r>
    </w:p>
    <w:p w14:paraId="3BB2993E">
      <w:pPr>
        <w:spacing w:line="400" w:lineRule="exact"/>
        <w:rPr>
          <w:rFonts w:ascii="宋体" w:hAnsi="宋体" w:cs="宋体"/>
          <w:bCs/>
          <w:color w:val="auto"/>
          <w:highlight w:val="none"/>
        </w:rPr>
      </w:pPr>
      <w:r>
        <w:rPr>
          <w:rFonts w:hint="eastAsia" w:ascii="宋体" w:hAnsi="宋体" w:cs="宋体"/>
          <w:bCs/>
          <w:color w:val="auto"/>
          <w:highlight w:val="none"/>
        </w:rPr>
        <w:t xml:space="preserve">    磋商小组经评审，认为所有投标均不符合竞争性磋商文件要求的，可以否决所有投标，所有投标被否决后，采购人当重新招标。</w:t>
      </w:r>
    </w:p>
    <w:p w14:paraId="6F8B42EB">
      <w:pPr>
        <w:spacing w:line="400" w:lineRule="exact"/>
        <w:rPr>
          <w:rFonts w:ascii="宋体" w:hAnsi="宋体" w:cs="宋体"/>
          <w:b/>
          <w:color w:val="auto"/>
          <w:highlight w:val="none"/>
        </w:rPr>
      </w:pPr>
      <w:r>
        <w:rPr>
          <w:rFonts w:hint="eastAsia" w:ascii="宋体" w:hAnsi="宋体" w:cs="宋体"/>
          <w:b/>
          <w:color w:val="auto"/>
          <w:highlight w:val="none"/>
        </w:rPr>
        <w:t>7.2 成交通知</w:t>
      </w:r>
    </w:p>
    <w:p w14:paraId="27F8D221">
      <w:pPr>
        <w:spacing w:line="400" w:lineRule="exact"/>
        <w:ind w:firstLine="420"/>
        <w:rPr>
          <w:rFonts w:ascii="宋体" w:hAnsi="宋体" w:cs="宋体"/>
          <w:bCs/>
          <w:color w:val="auto"/>
          <w:highlight w:val="none"/>
        </w:rPr>
      </w:pPr>
      <w:r>
        <w:rPr>
          <w:rFonts w:hint="eastAsia" w:ascii="宋体" w:hAnsi="宋体" w:cs="宋体"/>
          <w:bCs/>
          <w:color w:val="auto"/>
          <w:highlight w:val="none"/>
        </w:rPr>
        <w:t>在本章第3.3 款规定的投标有效期内，采购人以书面形式向成交人发出成交通知书，同时将成交结果通知未成交的供应商。</w:t>
      </w:r>
    </w:p>
    <w:p w14:paraId="43B5232C">
      <w:pPr>
        <w:spacing w:line="400" w:lineRule="exact"/>
        <w:rPr>
          <w:rFonts w:ascii="宋体" w:hAnsi="宋体" w:cs="宋体"/>
          <w:color w:val="auto"/>
          <w:highlight w:val="none"/>
        </w:rPr>
      </w:pPr>
      <w:bookmarkStart w:id="54" w:name="_Toc278027739"/>
      <w:bookmarkStart w:id="55" w:name="_Toc184635079"/>
      <w:r>
        <w:rPr>
          <w:rFonts w:hint="eastAsia" w:ascii="宋体" w:hAnsi="宋体" w:cs="宋体"/>
          <w:b/>
          <w:color w:val="auto"/>
          <w:highlight w:val="none"/>
        </w:rPr>
        <w:t>7.3履约担保（若有）</w:t>
      </w:r>
    </w:p>
    <w:p w14:paraId="6DF83276">
      <w:pPr>
        <w:spacing w:line="400" w:lineRule="exact"/>
        <w:rPr>
          <w:rFonts w:hint="eastAsia" w:ascii="宋体" w:hAnsi="宋体" w:cs="宋体"/>
          <w:bCs/>
          <w:color w:val="auto"/>
          <w:highlight w:val="none"/>
          <w:lang w:val="en-US" w:eastAsia="zh-CN"/>
        </w:rPr>
      </w:pPr>
      <w:r>
        <w:rPr>
          <w:rFonts w:hint="eastAsia" w:ascii="宋体" w:hAnsi="宋体" w:cs="宋体"/>
          <w:bCs/>
          <w:color w:val="auto"/>
          <w:highlight w:val="none"/>
          <w:lang w:val="en-US" w:eastAsia="zh-CN"/>
        </w:rPr>
        <w:t>本项目无需履约担保</w:t>
      </w:r>
    </w:p>
    <w:p w14:paraId="16DA5127">
      <w:pPr>
        <w:spacing w:line="400" w:lineRule="exact"/>
        <w:rPr>
          <w:rFonts w:ascii="宋体" w:hAnsi="宋体" w:cs="宋体"/>
          <w:b/>
          <w:color w:val="auto"/>
          <w:highlight w:val="none"/>
        </w:rPr>
      </w:pPr>
      <w:r>
        <w:rPr>
          <w:rFonts w:hint="eastAsia" w:ascii="宋体" w:hAnsi="宋体" w:cs="宋体"/>
          <w:b/>
          <w:color w:val="auto"/>
          <w:highlight w:val="none"/>
        </w:rPr>
        <w:t>7.4签订合同</w:t>
      </w:r>
    </w:p>
    <w:p w14:paraId="387F26E9">
      <w:pPr>
        <w:spacing w:line="400" w:lineRule="exact"/>
        <w:rPr>
          <w:rFonts w:ascii="宋体" w:hAnsi="宋体" w:cs="宋体"/>
          <w:bCs/>
          <w:color w:val="auto"/>
          <w:highlight w:val="none"/>
        </w:rPr>
      </w:pPr>
      <w:r>
        <w:rPr>
          <w:rFonts w:hint="eastAsia" w:ascii="宋体" w:hAnsi="宋体" w:cs="宋体"/>
          <w:bCs/>
          <w:color w:val="auto"/>
          <w:highlight w:val="none"/>
        </w:rPr>
        <w:t xml:space="preserve">   7.4.1 采购人和成交人应当自成交通知书发出之日起2-7个工作日内，根据竞争性磋商文件和成交人的响应文件订立书面合同。成交人无正当理由拒签合同的，采购人取消其成交资格，给采购人造成的损失，成交人还应当对超过部分予以赔偿。</w:t>
      </w:r>
    </w:p>
    <w:p w14:paraId="6AC6BCCB">
      <w:pPr>
        <w:spacing w:line="400" w:lineRule="exact"/>
        <w:rPr>
          <w:rFonts w:ascii="宋体" w:hAnsi="宋体" w:cs="宋体"/>
          <w:bCs/>
          <w:color w:val="auto"/>
          <w:highlight w:val="none"/>
        </w:rPr>
      </w:pPr>
      <w:r>
        <w:rPr>
          <w:rFonts w:hint="eastAsia" w:ascii="宋体" w:hAnsi="宋体" w:cs="宋体"/>
          <w:bCs/>
          <w:color w:val="auto"/>
          <w:highlight w:val="none"/>
        </w:rPr>
        <w:t xml:space="preserve">   7.4.2 发出成交通知书后，采购人无正当理由拒签合同的，给成交人造成损失的，还应当赔偿损失。</w:t>
      </w:r>
    </w:p>
    <w:p w14:paraId="73CBACD7">
      <w:pPr>
        <w:keepNext/>
        <w:keepLines/>
        <w:spacing w:line="400" w:lineRule="exact"/>
        <w:outlineLvl w:val="1"/>
        <w:rPr>
          <w:rFonts w:ascii="宋体" w:hAnsi="宋体" w:cs="宋体"/>
          <w:b/>
          <w:color w:val="auto"/>
          <w:highlight w:val="none"/>
        </w:rPr>
      </w:pPr>
      <w:bookmarkStart w:id="56" w:name="_Toc15038"/>
      <w:r>
        <w:rPr>
          <w:rFonts w:hint="eastAsia" w:ascii="宋体" w:hAnsi="宋体" w:cs="宋体"/>
          <w:b/>
          <w:color w:val="auto"/>
          <w:highlight w:val="none"/>
        </w:rPr>
        <w:t>8.重新招标和不再招标</w:t>
      </w:r>
      <w:bookmarkEnd w:id="54"/>
      <w:bookmarkEnd w:id="56"/>
    </w:p>
    <w:p w14:paraId="2B5330CC">
      <w:pPr>
        <w:spacing w:line="400" w:lineRule="exact"/>
        <w:rPr>
          <w:rFonts w:ascii="宋体" w:hAnsi="宋体" w:cs="宋体"/>
          <w:b/>
          <w:color w:val="auto"/>
          <w:highlight w:val="none"/>
        </w:rPr>
      </w:pPr>
      <w:r>
        <w:rPr>
          <w:rFonts w:hint="eastAsia" w:ascii="宋体" w:hAnsi="宋体" w:cs="宋体"/>
          <w:b/>
          <w:color w:val="auto"/>
          <w:highlight w:val="none"/>
        </w:rPr>
        <w:t xml:space="preserve">8.1重新招标 </w:t>
      </w:r>
    </w:p>
    <w:p w14:paraId="391C5F16">
      <w:pPr>
        <w:spacing w:line="400" w:lineRule="exact"/>
        <w:rPr>
          <w:rFonts w:ascii="宋体" w:hAnsi="宋体" w:cs="宋体"/>
          <w:bCs/>
          <w:color w:val="auto"/>
          <w:highlight w:val="none"/>
        </w:rPr>
      </w:pPr>
      <w:r>
        <w:rPr>
          <w:rFonts w:hint="eastAsia" w:ascii="宋体" w:hAnsi="宋体" w:cs="宋体"/>
          <w:bCs/>
          <w:color w:val="auto"/>
          <w:highlight w:val="none"/>
        </w:rPr>
        <w:t xml:space="preserve">    有下列情形之一的，采购人将重新招标：</w:t>
      </w:r>
    </w:p>
    <w:p w14:paraId="17C8B2EA">
      <w:pPr>
        <w:spacing w:line="400" w:lineRule="exact"/>
        <w:rPr>
          <w:rFonts w:ascii="宋体" w:hAnsi="宋体" w:cs="宋体"/>
          <w:bCs/>
          <w:color w:val="auto"/>
          <w:highlight w:val="none"/>
        </w:rPr>
      </w:pPr>
      <w:r>
        <w:rPr>
          <w:rFonts w:hint="eastAsia" w:ascii="宋体" w:hAnsi="宋体" w:cs="宋体"/>
          <w:bCs/>
          <w:color w:val="auto"/>
          <w:highlight w:val="none"/>
        </w:rPr>
        <w:t xml:space="preserve">    （1）投标截止时间止，供应商少于3个的；</w:t>
      </w:r>
    </w:p>
    <w:p w14:paraId="340119E7">
      <w:pPr>
        <w:spacing w:line="400" w:lineRule="exact"/>
        <w:ind w:firstLine="420"/>
        <w:rPr>
          <w:rFonts w:ascii="宋体" w:hAnsi="宋体" w:cs="宋体"/>
          <w:bCs/>
          <w:color w:val="auto"/>
          <w:highlight w:val="none"/>
        </w:rPr>
      </w:pPr>
      <w:r>
        <w:rPr>
          <w:rFonts w:hint="eastAsia" w:ascii="宋体" w:hAnsi="宋体" w:cs="宋体"/>
          <w:bCs/>
          <w:color w:val="auto"/>
          <w:highlight w:val="none"/>
        </w:rPr>
        <w:t>（2）经磋商小组评审后否决所有投标的。</w:t>
      </w:r>
    </w:p>
    <w:p w14:paraId="1B1F42DE">
      <w:pPr>
        <w:widowControl/>
        <w:spacing w:line="400" w:lineRule="exact"/>
        <w:ind w:firstLine="103" w:firstLineChars="49"/>
        <w:jc w:val="left"/>
        <w:rPr>
          <w:rFonts w:ascii="宋体" w:hAnsi="宋体" w:cs="宋体"/>
          <w:b/>
          <w:color w:val="auto"/>
          <w:highlight w:val="none"/>
        </w:rPr>
      </w:pPr>
      <w:r>
        <w:rPr>
          <w:rFonts w:hint="eastAsia" w:ascii="宋体" w:hAnsi="宋体" w:cs="宋体"/>
          <w:b/>
          <w:color w:val="auto"/>
          <w:highlight w:val="none"/>
        </w:rPr>
        <w:t>8.2不再招标</w:t>
      </w:r>
    </w:p>
    <w:p w14:paraId="1657D917">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重新招标后供应商仍少于 3 个或者所有投标被否决的，属于必须审批或核准的项目，经原审批或核准部门批准后不再进行招标。</w:t>
      </w:r>
    </w:p>
    <w:bookmarkEnd w:id="55"/>
    <w:p w14:paraId="26C69523">
      <w:pPr>
        <w:keepNext/>
        <w:keepLines/>
        <w:spacing w:line="400" w:lineRule="exact"/>
        <w:outlineLvl w:val="1"/>
        <w:rPr>
          <w:rFonts w:ascii="宋体" w:hAnsi="宋体" w:cs="宋体"/>
          <w:b/>
          <w:color w:val="auto"/>
          <w:highlight w:val="none"/>
        </w:rPr>
      </w:pPr>
      <w:bookmarkStart w:id="57" w:name="_Toc31870"/>
      <w:bookmarkStart w:id="58" w:name="_Toc278027740"/>
      <w:bookmarkStart w:id="59" w:name="_Toc184635080"/>
      <w:r>
        <w:rPr>
          <w:rFonts w:hint="eastAsia" w:ascii="宋体" w:hAnsi="宋体" w:cs="宋体"/>
          <w:b/>
          <w:color w:val="auto"/>
          <w:highlight w:val="none"/>
        </w:rPr>
        <w:t>9.纪律和监督</w:t>
      </w:r>
      <w:bookmarkEnd w:id="57"/>
      <w:bookmarkEnd w:id="58"/>
    </w:p>
    <w:p w14:paraId="143BD6F7">
      <w:pPr>
        <w:widowControl/>
        <w:spacing w:line="400" w:lineRule="exact"/>
        <w:jc w:val="left"/>
        <w:rPr>
          <w:rFonts w:ascii="宋体" w:hAnsi="宋体" w:cs="宋体"/>
          <w:b/>
          <w:color w:val="auto"/>
          <w:highlight w:val="none"/>
        </w:rPr>
      </w:pPr>
      <w:r>
        <w:rPr>
          <w:rFonts w:hint="eastAsia" w:ascii="宋体" w:hAnsi="宋体" w:cs="宋体"/>
          <w:b/>
          <w:color w:val="auto"/>
          <w:highlight w:val="none"/>
        </w:rPr>
        <w:t>9.1对采购人的纪律要求</w:t>
      </w:r>
    </w:p>
    <w:p w14:paraId="7F2684E6">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采购人不得泄漏招标投标活动中应当保密的情况和资料，不得与供应商串通损害国家利益、社会公共利益或者他人合法权益。</w:t>
      </w:r>
    </w:p>
    <w:p w14:paraId="243A3104">
      <w:pPr>
        <w:widowControl/>
        <w:spacing w:line="400" w:lineRule="exact"/>
        <w:jc w:val="left"/>
        <w:rPr>
          <w:rFonts w:ascii="宋体" w:hAnsi="宋体" w:cs="宋体"/>
          <w:b/>
          <w:color w:val="auto"/>
          <w:highlight w:val="none"/>
        </w:rPr>
      </w:pPr>
      <w:r>
        <w:rPr>
          <w:rFonts w:hint="eastAsia" w:ascii="宋体" w:hAnsi="宋体" w:cs="宋体"/>
          <w:b/>
          <w:color w:val="auto"/>
          <w:highlight w:val="none"/>
        </w:rPr>
        <w:t>9.2对供应商的纪律要求</w:t>
      </w:r>
    </w:p>
    <w:p w14:paraId="215DFF20">
      <w:pPr>
        <w:widowControl/>
        <w:spacing w:line="400" w:lineRule="exact"/>
        <w:jc w:val="left"/>
        <w:rPr>
          <w:rFonts w:ascii="宋体" w:hAnsi="宋体" w:cs="宋体"/>
          <w:bCs/>
          <w:color w:val="auto"/>
          <w:spacing w:val="-3"/>
          <w:highlight w:val="none"/>
        </w:rPr>
      </w:pPr>
      <w:r>
        <w:rPr>
          <w:rFonts w:hint="eastAsia" w:ascii="宋体" w:hAnsi="宋体" w:cs="宋体"/>
          <w:bCs/>
          <w:color w:val="auto"/>
          <w:highlight w:val="none"/>
        </w:rPr>
        <w:t xml:space="preserve">   </w:t>
      </w:r>
      <w:r>
        <w:rPr>
          <w:rFonts w:hint="eastAsia" w:ascii="宋体" w:hAnsi="宋体" w:cs="宋体"/>
          <w:bCs/>
          <w:color w:val="auto"/>
          <w:spacing w:val="-3"/>
          <w:highlight w:val="none"/>
        </w:rPr>
        <w:t xml:space="preserve"> 供应商不得相互串通投标或者与采购人串通投标，不得向采购人或者磋商小组成员行贿谋取成交，不得以他人名义投标或者以其他方式弄虚作假骗取成交；供应商不得以任何方式干扰、影响评标工作。</w:t>
      </w:r>
    </w:p>
    <w:p w14:paraId="756555B3">
      <w:pPr>
        <w:widowControl/>
        <w:spacing w:line="400" w:lineRule="exact"/>
        <w:jc w:val="left"/>
        <w:rPr>
          <w:rFonts w:ascii="宋体" w:hAnsi="宋体" w:cs="宋体"/>
          <w:b/>
          <w:color w:val="auto"/>
          <w:highlight w:val="none"/>
        </w:rPr>
      </w:pPr>
      <w:r>
        <w:rPr>
          <w:rFonts w:hint="eastAsia" w:ascii="宋体" w:hAnsi="宋体" w:cs="宋体"/>
          <w:b/>
          <w:color w:val="auto"/>
          <w:highlight w:val="none"/>
        </w:rPr>
        <w:t>9.3对磋商小组成员的纪律要求</w:t>
      </w:r>
    </w:p>
    <w:p w14:paraId="70F4D82E">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磋商小组成员不得收受他人的财物或者其他好处，不得向他人透漏对响应文件的评审和比较、成交候选人的推荐情况以及评标有关的其他情况。在评标活动中，磋商小组成员不得擅离职守，影响评标程序正常进行，不得使用第三章“评标办法”没有规定的评审因素和标准进行评标。</w:t>
      </w:r>
    </w:p>
    <w:p w14:paraId="4D5A8960">
      <w:pPr>
        <w:widowControl/>
        <w:spacing w:line="400" w:lineRule="exact"/>
        <w:jc w:val="left"/>
        <w:rPr>
          <w:rFonts w:ascii="宋体" w:hAnsi="宋体" w:cs="宋体"/>
          <w:b/>
          <w:color w:val="auto"/>
          <w:highlight w:val="none"/>
        </w:rPr>
      </w:pPr>
      <w:r>
        <w:rPr>
          <w:rFonts w:hint="eastAsia" w:ascii="宋体" w:hAnsi="宋体" w:cs="宋体"/>
          <w:b/>
          <w:color w:val="auto"/>
          <w:highlight w:val="none"/>
        </w:rPr>
        <w:t>9.4对与评标活动有关的工作人员的纪律要求</w:t>
      </w:r>
    </w:p>
    <w:p w14:paraId="5DF45D94">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p>
    <w:p w14:paraId="14683A64">
      <w:pPr>
        <w:widowControl/>
        <w:spacing w:line="400" w:lineRule="exact"/>
        <w:jc w:val="left"/>
        <w:rPr>
          <w:rFonts w:ascii="宋体" w:hAnsi="宋体" w:cs="宋体"/>
          <w:b/>
          <w:color w:val="auto"/>
          <w:highlight w:val="none"/>
        </w:rPr>
      </w:pPr>
      <w:r>
        <w:rPr>
          <w:rFonts w:hint="eastAsia" w:ascii="宋体" w:hAnsi="宋体" w:cs="宋体"/>
          <w:b/>
          <w:color w:val="auto"/>
          <w:highlight w:val="none"/>
        </w:rPr>
        <w:t>9.5投诉、质疑、处罚</w:t>
      </w:r>
    </w:p>
    <w:p w14:paraId="24DDACBE">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9.5.1采购人的监督部门在招标过程中有履行全程监督的权力。</w:t>
      </w:r>
    </w:p>
    <w:p w14:paraId="1C47E3B3">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9.5.2采购人在招标过程中，因获知或可能获知监督举报（或其他方式）招标程序或其它内容存在问题，采购人有权采取相应的监督措施，供应商应予以配合。</w:t>
      </w:r>
    </w:p>
    <w:p w14:paraId="048069B8">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9.5.3供应商和其他利害关系人认为本次招标活动违反法律、法规和规章规定的，有权向有关行政监督部门投诉。</w:t>
      </w:r>
    </w:p>
    <w:p w14:paraId="38D1FC26">
      <w:pPr>
        <w:widowControl/>
        <w:spacing w:line="400" w:lineRule="exact"/>
        <w:jc w:val="left"/>
        <w:rPr>
          <w:rFonts w:ascii="宋体" w:hAnsi="宋体" w:cs="宋体"/>
          <w:b/>
          <w:color w:val="auto"/>
          <w:highlight w:val="none"/>
        </w:rPr>
      </w:pPr>
      <w:r>
        <w:rPr>
          <w:rFonts w:hint="eastAsia" w:ascii="宋体" w:hAnsi="宋体" w:cs="宋体"/>
          <w:b/>
          <w:color w:val="auto"/>
          <w:highlight w:val="none"/>
        </w:rPr>
        <w:t>9.6成交人确定后，采购人不对未成交人就评标过程以及未能成交原因作出任何解释。未成交人不得向磋商小组组成人员或其他有关人索问评标过程的情况和材料。</w:t>
      </w:r>
    </w:p>
    <w:p w14:paraId="57D1CD62">
      <w:pPr>
        <w:keepNext/>
        <w:keepLines/>
        <w:spacing w:line="400" w:lineRule="exact"/>
        <w:outlineLvl w:val="1"/>
        <w:rPr>
          <w:rFonts w:ascii="宋体" w:hAnsi="宋体" w:cs="宋体"/>
          <w:b/>
          <w:color w:val="auto"/>
          <w:highlight w:val="none"/>
        </w:rPr>
      </w:pPr>
      <w:bookmarkStart w:id="60" w:name="_Toc16124"/>
      <w:r>
        <w:rPr>
          <w:rFonts w:hint="eastAsia" w:ascii="宋体" w:hAnsi="宋体" w:cs="宋体"/>
          <w:b/>
          <w:color w:val="auto"/>
          <w:highlight w:val="none"/>
        </w:rPr>
        <w:t>10.注意事项</w:t>
      </w:r>
      <w:bookmarkEnd w:id="60"/>
    </w:p>
    <w:bookmarkEnd w:id="59"/>
    <w:p w14:paraId="1CBF6800">
      <w:pPr>
        <w:widowControl/>
        <w:spacing w:line="400" w:lineRule="exact"/>
        <w:jc w:val="left"/>
        <w:rPr>
          <w:rFonts w:ascii="宋体" w:hAnsi="宋体" w:cs="宋体"/>
          <w:bCs/>
          <w:color w:val="auto"/>
          <w:highlight w:val="none"/>
        </w:rPr>
      </w:pPr>
      <w:r>
        <w:rPr>
          <w:rFonts w:hint="eastAsia" w:ascii="宋体" w:hAnsi="宋体" w:cs="宋体"/>
          <w:bCs/>
          <w:color w:val="auto"/>
          <w:highlight w:val="none"/>
        </w:rPr>
        <w:t xml:space="preserve">   10.1采购人所提供的文字和任何其他形式的跟本次项目相关的补充说明，均为采购人的单方面意见，如供应商接受并由此所带来的后果，由供应商承担，采购人不负有任何责任。</w:t>
      </w:r>
    </w:p>
    <w:p w14:paraId="20C47C4A">
      <w:pPr>
        <w:widowControl/>
        <w:spacing w:line="400" w:lineRule="exact"/>
        <w:ind w:firstLine="315" w:firstLineChars="150"/>
        <w:jc w:val="left"/>
        <w:rPr>
          <w:rFonts w:ascii="宋体" w:hAnsi="宋体" w:cs="宋体"/>
          <w:bCs/>
          <w:color w:val="auto"/>
          <w:highlight w:val="none"/>
        </w:rPr>
      </w:pPr>
      <w:r>
        <w:rPr>
          <w:rFonts w:hint="eastAsia" w:ascii="宋体" w:hAnsi="宋体" w:cs="宋体"/>
          <w:bCs/>
          <w:color w:val="auto"/>
          <w:highlight w:val="none"/>
        </w:rPr>
        <w:t>10.2供应商应对照本招标技术文件各项技术要求做出实质性的响应，否则供应商的投标有可能被拒绝。</w:t>
      </w:r>
    </w:p>
    <w:p w14:paraId="2C8FD3BA">
      <w:pPr>
        <w:widowControl/>
        <w:spacing w:line="400" w:lineRule="exact"/>
        <w:ind w:firstLine="315" w:firstLineChars="150"/>
        <w:jc w:val="left"/>
        <w:rPr>
          <w:rFonts w:ascii="宋体" w:hAnsi="宋体" w:cs="宋体"/>
          <w:bCs/>
          <w:color w:val="auto"/>
          <w:highlight w:val="none"/>
        </w:rPr>
      </w:pPr>
      <w:r>
        <w:rPr>
          <w:rFonts w:hint="eastAsia" w:ascii="宋体" w:hAnsi="宋体" w:cs="宋体"/>
          <w:bCs/>
          <w:color w:val="auto"/>
          <w:highlight w:val="none"/>
        </w:rPr>
        <w:t>10.3本竞争性磋商文件的要求只是最低限度要求，并未对一切技术细节做出规定。在本竞争性磋商文件中未提到的或供应商认为更能体现和满足采购人的实际需要的功能和要求，供应商可依据自己的实际经验，在供应商方案中体现。</w:t>
      </w:r>
    </w:p>
    <w:p w14:paraId="77531F25">
      <w:pPr>
        <w:widowControl/>
        <w:spacing w:line="400" w:lineRule="exact"/>
        <w:ind w:firstLine="315" w:firstLineChars="150"/>
        <w:jc w:val="left"/>
        <w:rPr>
          <w:rFonts w:ascii="宋体" w:hAnsi="宋体" w:cs="宋体"/>
          <w:bCs/>
          <w:color w:val="auto"/>
          <w:highlight w:val="none"/>
        </w:rPr>
      </w:pPr>
      <w:r>
        <w:rPr>
          <w:rFonts w:hint="eastAsia" w:ascii="宋体" w:hAnsi="宋体" w:cs="宋体"/>
          <w:bCs/>
          <w:color w:val="auto"/>
          <w:highlight w:val="none"/>
        </w:rPr>
        <w:t>10.4本招标技术文件未尽事宜，由甲乙双方在合同技术谈判时协商确定。</w:t>
      </w:r>
    </w:p>
    <w:p w14:paraId="5B9206F4">
      <w:pPr>
        <w:widowControl/>
        <w:spacing w:line="400" w:lineRule="exact"/>
        <w:ind w:firstLine="315" w:firstLineChars="150"/>
        <w:jc w:val="left"/>
        <w:rPr>
          <w:rFonts w:ascii="宋体" w:hAnsi="宋体" w:cs="宋体"/>
          <w:bCs/>
          <w:color w:val="auto"/>
          <w:highlight w:val="none"/>
        </w:rPr>
      </w:pPr>
      <w:r>
        <w:rPr>
          <w:rFonts w:hint="eastAsia" w:ascii="宋体" w:hAnsi="宋体" w:cs="宋体"/>
          <w:bCs/>
          <w:color w:val="auto"/>
          <w:highlight w:val="none"/>
        </w:rPr>
        <w:t>10.5保密和保证</w:t>
      </w:r>
    </w:p>
    <w:p w14:paraId="56D3FC21">
      <w:pPr>
        <w:widowControl/>
        <w:spacing w:line="400" w:lineRule="exact"/>
        <w:ind w:firstLine="315" w:firstLineChars="150"/>
        <w:jc w:val="left"/>
        <w:rPr>
          <w:rFonts w:ascii="宋体" w:hAnsi="宋体" w:cs="宋体"/>
          <w:bCs/>
          <w:color w:val="auto"/>
          <w:highlight w:val="none"/>
        </w:rPr>
      </w:pPr>
      <w:r>
        <w:rPr>
          <w:rFonts w:hint="eastAsia" w:ascii="宋体" w:hAnsi="宋体" w:cs="宋体"/>
          <w:bCs/>
          <w:color w:val="auto"/>
          <w:highlight w:val="none"/>
        </w:rPr>
        <w:t>(1)参与招标投标活动的各方应对竞争性磋商文件和响应文件中的商业和技术等秘密保密，违者应对由此造成的后果承担法律责任。</w:t>
      </w:r>
    </w:p>
    <w:p w14:paraId="62B677CF">
      <w:pPr>
        <w:widowControl/>
        <w:spacing w:line="400" w:lineRule="exact"/>
        <w:ind w:firstLine="315" w:firstLineChars="150"/>
        <w:jc w:val="left"/>
        <w:rPr>
          <w:rFonts w:ascii="宋体" w:hAnsi="宋体" w:cs="宋体"/>
          <w:bCs/>
          <w:color w:val="auto"/>
          <w:highlight w:val="none"/>
        </w:rPr>
      </w:pPr>
      <w:r>
        <w:rPr>
          <w:rFonts w:hint="eastAsia" w:ascii="宋体" w:hAnsi="宋体" w:cs="宋体"/>
          <w:bCs/>
          <w:color w:val="auto"/>
          <w:highlight w:val="none"/>
        </w:rPr>
        <w:t>(2)供应商应保证在响应文件中所提交的资料和数据是真实的。</w:t>
      </w:r>
    </w:p>
    <w:p w14:paraId="54444090">
      <w:pPr>
        <w:widowControl/>
        <w:spacing w:line="400" w:lineRule="exact"/>
        <w:ind w:firstLine="315" w:firstLineChars="150"/>
        <w:jc w:val="left"/>
        <w:rPr>
          <w:rFonts w:ascii="宋体" w:hAnsi="宋体" w:cs="宋体"/>
          <w:bCs/>
          <w:color w:val="auto"/>
          <w:highlight w:val="none"/>
        </w:rPr>
      </w:pPr>
      <w:r>
        <w:rPr>
          <w:rFonts w:hint="eastAsia" w:ascii="宋体" w:hAnsi="宋体" w:cs="宋体"/>
          <w:bCs/>
          <w:color w:val="auto"/>
          <w:highlight w:val="none"/>
        </w:rPr>
        <w:t>(3)本项目不接受联合体投标，成交人应当按照合同约定履行义务，完成成交项目。成交人不得向他人转让成交项目，也不得将成交项目肢解后分别向他人转让。否则，取消其成交资格，并追究其违约责任。</w:t>
      </w:r>
    </w:p>
    <w:p w14:paraId="1E90E0A0">
      <w:pPr>
        <w:keepNext/>
        <w:keepLines/>
        <w:spacing w:line="400" w:lineRule="exact"/>
        <w:outlineLvl w:val="1"/>
        <w:rPr>
          <w:rFonts w:ascii="宋体" w:hAnsi="宋体" w:cs="宋体"/>
          <w:b/>
          <w:color w:val="auto"/>
          <w:highlight w:val="none"/>
        </w:rPr>
      </w:pPr>
      <w:bookmarkStart w:id="61" w:name="_Toc7222"/>
      <w:r>
        <w:rPr>
          <w:rFonts w:hint="eastAsia" w:ascii="宋体" w:hAnsi="宋体" w:cs="宋体"/>
          <w:b/>
          <w:color w:val="auto"/>
          <w:highlight w:val="none"/>
        </w:rPr>
        <w:t>11.需要补充的其他内容</w:t>
      </w:r>
      <w:bookmarkEnd w:id="61"/>
    </w:p>
    <w:p w14:paraId="610BE157">
      <w:pPr>
        <w:widowControl/>
        <w:spacing w:line="400" w:lineRule="exact"/>
        <w:ind w:firstLine="420" w:firstLineChars="200"/>
        <w:jc w:val="left"/>
        <w:rPr>
          <w:rFonts w:ascii="宋体" w:hAnsi="宋体" w:cs="宋体"/>
          <w:bCs/>
          <w:color w:val="auto"/>
          <w:highlight w:val="none"/>
        </w:rPr>
      </w:pPr>
      <w:r>
        <w:rPr>
          <w:rFonts w:hint="eastAsia" w:ascii="宋体" w:hAnsi="宋体" w:cs="宋体"/>
          <w:bCs/>
          <w:color w:val="auto"/>
          <w:highlight w:val="none"/>
        </w:rPr>
        <w:t>11.1采购人不承诺最低价成交，而且采购人没有义务解释说明未成交原因。</w:t>
      </w:r>
    </w:p>
    <w:p w14:paraId="0EA06576">
      <w:pPr>
        <w:widowControl/>
        <w:spacing w:line="400" w:lineRule="exact"/>
        <w:ind w:firstLine="420" w:firstLineChars="200"/>
        <w:jc w:val="left"/>
        <w:rPr>
          <w:rFonts w:ascii="宋体" w:hAnsi="宋体" w:cs="宋体"/>
          <w:bCs/>
          <w:color w:val="auto"/>
          <w:highlight w:val="none"/>
        </w:rPr>
      </w:pPr>
      <w:r>
        <w:rPr>
          <w:rFonts w:hint="eastAsia" w:ascii="宋体" w:hAnsi="宋体" w:cs="宋体"/>
          <w:bCs/>
          <w:color w:val="auto"/>
          <w:highlight w:val="none"/>
        </w:rPr>
        <w:t>11.2其它未尽事宜，按国家有关法律、法规执行。</w:t>
      </w:r>
    </w:p>
    <w:p w14:paraId="6A003CFE">
      <w:pPr>
        <w:widowControl/>
        <w:spacing w:line="400" w:lineRule="exact"/>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11.3本竞争性磋商文件解释权归</w:t>
      </w:r>
      <w:r>
        <w:rPr>
          <w:rFonts w:hint="eastAsia" w:ascii="宋体" w:hAnsi="宋体" w:cs="宋体"/>
          <w:bCs/>
          <w:color w:val="auto"/>
          <w:highlight w:val="none"/>
          <w:lang w:val="en-US" w:eastAsia="zh-CN"/>
        </w:rPr>
        <w:t>新县林业局</w:t>
      </w:r>
      <w:r>
        <w:rPr>
          <w:rFonts w:hint="eastAsia" w:ascii="宋体" w:hAnsi="宋体" w:eastAsia="宋体" w:cs="宋体"/>
          <w:bCs/>
          <w:color w:val="auto"/>
          <w:highlight w:val="none"/>
        </w:rPr>
        <w:t>。</w:t>
      </w:r>
    </w:p>
    <w:p w14:paraId="0B4732E6">
      <w:pPr>
        <w:widowControl/>
        <w:spacing w:line="400" w:lineRule="exact"/>
        <w:ind w:firstLine="420" w:firstLineChars="200"/>
        <w:jc w:val="left"/>
        <w:rPr>
          <w:rFonts w:hint="default" w:ascii="宋体" w:hAnsi="宋体" w:eastAsia="宋体" w:cs="宋体"/>
          <w:bCs/>
          <w:color w:val="auto"/>
          <w:highlight w:val="none"/>
          <w:lang w:val="en-US" w:eastAsia="zh-CN"/>
        </w:rPr>
      </w:pPr>
      <w:r>
        <w:rPr>
          <w:rFonts w:hint="eastAsia" w:ascii="宋体" w:hAnsi="宋体" w:eastAsia="宋体" w:cs="宋体"/>
          <w:bCs/>
          <w:color w:val="auto"/>
          <w:highlight w:val="none"/>
        </w:rPr>
        <w:t>11.4监督单位：</w:t>
      </w:r>
      <w:r>
        <w:rPr>
          <w:rFonts w:hint="eastAsia" w:ascii="宋体" w:hAnsi="宋体" w:cs="宋体"/>
          <w:bCs/>
          <w:color w:val="auto"/>
          <w:highlight w:val="none"/>
          <w:lang w:val="en-US" w:eastAsia="zh-CN"/>
        </w:rPr>
        <w:t>新县</w:t>
      </w:r>
      <w:r>
        <w:rPr>
          <w:rFonts w:hint="eastAsia" w:ascii="宋体" w:hAnsi="宋体" w:eastAsia="宋体" w:cs="宋体"/>
          <w:bCs/>
          <w:color w:val="auto"/>
          <w:highlight w:val="none"/>
          <w:lang w:eastAsia="zh-CN"/>
        </w:rPr>
        <w:t>财政局政府采购股</w:t>
      </w:r>
      <w:r>
        <w:rPr>
          <w:rFonts w:hint="eastAsia" w:ascii="宋体" w:hAnsi="宋体" w:eastAsia="宋体" w:cs="宋体"/>
          <w:bCs/>
          <w:color w:val="auto"/>
          <w:highlight w:val="none"/>
        </w:rPr>
        <w:t>。</w:t>
      </w:r>
    </w:p>
    <w:bookmarkEnd w:id="49"/>
    <w:bookmarkEnd w:id="50"/>
    <w:bookmarkEnd w:id="51"/>
    <w:bookmarkEnd w:id="52"/>
    <w:bookmarkEnd w:id="53"/>
    <w:p w14:paraId="70186FCE">
      <w:pPr>
        <w:spacing w:line="620" w:lineRule="exact"/>
        <w:rPr>
          <w:rFonts w:ascii="宋体" w:hAnsi="宋体"/>
          <w:color w:val="auto"/>
          <w:sz w:val="28"/>
          <w:szCs w:val="28"/>
          <w:highlight w:val="none"/>
        </w:rPr>
      </w:pPr>
      <w:bookmarkStart w:id="62" w:name="_Toc247514006"/>
      <w:bookmarkStart w:id="63" w:name="_Toc152045582"/>
      <w:bookmarkStart w:id="64" w:name="_Toc144974549"/>
      <w:bookmarkStart w:id="65" w:name="_Toc152042359"/>
      <w:bookmarkStart w:id="66" w:name="_Toc247527607"/>
    </w:p>
    <w:p w14:paraId="1D8EFC47">
      <w:pPr>
        <w:spacing w:line="620" w:lineRule="exact"/>
        <w:rPr>
          <w:rFonts w:ascii="宋体" w:hAnsi="宋体"/>
          <w:color w:val="auto"/>
          <w:sz w:val="28"/>
          <w:szCs w:val="28"/>
          <w:highlight w:val="none"/>
        </w:rPr>
      </w:pPr>
    </w:p>
    <w:p w14:paraId="0B17E399">
      <w:pPr>
        <w:spacing w:line="620" w:lineRule="exact"/>
        <w:rPr>
          <w:rFonts w:ascii="宋体" w:hAnsi="宋体"/>
          <w:color w:val="auto"/>
          <w:sz w:val="28"/>
          <w:szCs w:val="28"/>
          <w:highlight w:val="none"/>
        </w:rPr>
      </w:pPr>
    </w:p>
    <w:p w14:paraId="7F948927">
      <w:pPr>
        <w:spacing w:line="620" w:lineRule="exact"/>
        <w:rPr>
          <w:rFonts w:ascii="宋体" w:hAnsi="宋体"/>
          <w:color w:val="auto"/>
          <w:sz w:val="28"/>
          <w:szCs w:val="28"/>
          <w:highlight w:val="none"/>
        </w:rPr>
      </w:pPr>
    </w:p>
    <w:p w14:paraId="7B935E0E">
      <w:pPr>
        <w:spacing w:line="620" w:lineRule="exact"/>
        <w:rPr>
          <w:rFonts w:ascii="宋体" w:hAnsi="宋体"/>
          <w:color w:val="auto"/>
          <w:sz w:val="28"/>
          <w:szCs w:val="28"/>
          <w:highlight w:val="none"/>
        </w:rPr>
      </w:pPr>
    </w:p>
    <w:p w14:paraId="303D712F">
      <w:pPr>
        <w:spacing w:line="620" w:lineRule="exact"/>
        <w:rPr>
          <w:rFonts w:ascii="宋体" w:hAnsi="宋体"/>
          <w:color w:val="auto"/>
          <w:sz w:val="28"/>
          <w:szCs w:val="28"/>
          <w:highlight w:val="none"/>
        </w:rPr>
      </w:pPr>
    </w:p>
    <w:p w14:paraId="3D4CFEF0">
      <w:pPr>
        <w:spacing w:line="620" w:lineRule="exact"/>
        <w:rPr>
          <w:rFonts w:ascii="宋体" w:hAnsi="宋体"/>
          <w:color w:val="auto"/>
          <w:sz w:val="28"/>
          <w:szCs w:val="28"/>
          <w:highlight w:val="none"/>
        </w:rPr>
      </w:pPr>
    </w:p>
    <w:p w14:paraId="3FEA7885">
      <w:pPr>
        <w:spacing w:line="620" w:lineRule="exact"/>
        <w:rPr>
          <w:rFonts w:ascii="宋体" w:hAnsi="宋体"/>
          <w:color w:val="auto"/>
          <w:sz w:val="28"/>
          <w:szCs w:val="28"/>
          <w:highlight w:val="none"/>
        </w:rPr>
      </w:pPr>
    </w:p>
    <w:p w14:paraId="34EA24E0">
      <w:pPr>
        <w:spacing w:line="620" w:lineRule="exact"/>
        <w:rPr>
          <w:rFonts w:ascii="宋体" w:hAnsi="宋体"/>
          <w:color w:val="auto"/>
          <w:sz w:val="28"/>
          <w:szCs w:val="28"/>
          <w:highlight w:val="none"/>
        </w:rPr>
      </w:pPr>
    </w:p>
    <w:p w14:paraId="1B7C8A60">
      <w:pPr>
        <w:spacing w:line="620" w:lineRule="exact"/>
        <w:rPr>
          <w:rFonts w:ascii="宋体" w:hAnsi="宋体"/>
          <w:color w:val="auto"/>
          <w:sz w:val="28"/>
          <w:szCs w:val="28"/>
          <w:highlight w:val="none"/>
        </w:rPr>
      </w:pPr>
    </w:p>
    <w:p w14:paraId="2ABD7EAD">
      <w:pPr>
        <w:spacing w:line="620" w:lineRule="exact"/>
        <w:rPr>
          <w:rFonts w:ascii="宋体" w:hAnsi="宋体"/>
          <w:color w:val="auto"/>
          <w:sz w:val="24"/>
          <w:szCs w:val="24"/>
          <w:highlight w:val="none"/>
        </w:rPr>
      </w:pPr>
      <w:r>
        <w:rPr>
          <w:rFonts w:ascii="宋体" w:hAnsi="宋体"/>
          <w:color w:val="auto"/>
          <w:sz w:val="24"/>
          <w:szCs w:val="24"/>
          <w:highlight w:val="none"/>
        </w:rPr>
        <w:t>附</w:t>
      </w:r>
      <w:r>
        <w:rPr>
          <w:rFonts w:hint="eastAsia" w:ascii="宋体" w:hAnsi="宋体"/>
          <w:color w:val="auto"/>
          <w:sz w:val="24"/>
          <w:szCs w:val="24"/>
          <w:highlight w:val="none"/>
        </w:rPr>
        <w:t>件一</w:t>
      </w:r>
      <w:r>
        <w:rPr>
          <w:rFonts w:ascii="宋体" w:hAnsi="宋体"/>
          <w:color w:val="auto"/>
          <w:sz w:val="24"/>
          <w:szCs w:val="24"/>
          <w:highlight w:val="none"/>
        </w:rPr>
        <w:t>：问题澄清通知</w:t>
      </w:r>
      <w:bookmarkEnd w:id="62"/>
      <w:bookmarkEnd w:id="63"/>
      <w:bookmarkEnd w:id="64"/>
      <w:bookmarkEnd w:id="65"/>
      <w:bookmarkEnd w:id="66"/>
    </w:p>
    <w:p w14:paraId="012361B3">
      <w:pPr>
        <w:spacing w:line="440" w:lineRule="exact"/>
        <w:jc w:val="center"/>
        <w:rPr>
          <w:rFonts w:ascii="宋体" w:hAnsi="宋体"/>
          <w:color w:val="auto"/>
          <w:sz w:val="20"/>
          <w:szCs w:val="20"/>
          <w:highlight w:val="none"/>
        </w:rPr>
      </w:pPr>
    </w:p>
    <w:p w14:paraId="40DBC026">
      <w:pPr>
        <w:spacing w:line="440" w:lineRule="exact"/>
        <w:jc w:val="center"/>
        <w:rPr>
          <w:rFonts w:ascii="宋体" w:hAnsi="宋体"/>
          <w:color w:val="auto"/>
          <w:sz w:val="24"/>
          <w:szCs w:val="24"/>
          <w:highlight w:val="none"/>
        </w:rPr>
      </w:pPr>
      <w:r>
        <w:rPr>
          <w:rFonts w:ascii="宋体" w:hAnsi="宋体"/>
          <w:color w:val="auto"/>
          <w:sz w:val="24"/>
          <w:szCs w:val="24"/>
          <w:highlight w:val="none"/>
        </w:rPr>
        <w:t>问题澄清通知</w:t>
      </w:r>
    </w:p>
    <w:p w14:paraId="38509294">
      <w:pPr>
        <w:spacing w:line="440" w:lineRule="exact"/>
        <w:rPr>
          <w:rFonts w:ascii="宋体" w:hAnsi="宋体"/>
          <w:color w:val="auto"/>
          <w:highlight w:val="none"/>
        </w:rPr>
      </w:pPr>
      <w:r>
        <w:rPr>
          <w:rFonts w:ascii="宋体" w:hAnsi="宋体"/>
          <w:color w:val="auto"/>
          <w:highlight w:val="none"/>
        </w:rPr>
        <w:t xml:space="preserve">                               编号：</w:t>
      </w:r>
    </w:p>
    <w:p w14:paraId="48461888">
      <w:pPr>
        <w:spacing w:line="440" w:lineRule="exact"/>
        <w:rPr>
          <w:rFonts w:ascii="宋体" w:hAnsi="宋体"/>
          <w:color w:val="auto"/>
          <w:highlight w:val="none"/>
        </w:rPr>
      </w:pPr>
    </w:p>
    <w:p w14:paraId="436B111A">
      <w:pPr>
        <w:spacing w:line="440" w:lineRule="exact"/>
        <w:rPr>
          <w:rFonts w:ascii="宋体" w:hAnsi="宋体"/>
          <w:color w:val="auto"/>
          <w:highlight w:val="none"/>
        </w:rPr>
      </w:pPr>
      <w:r>
        <w:rPr>
          <w:rFonts w:ascii="宋体" w:hAnsi="宋体"/>
          <w:color w:val="auto"/>
          <w:highlight w:val="non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w:t>
      </w:r>
      <w:r>
        <w:rPr>
          <w:rFonts w:hint="eastAsia" w:ascii="宋体" w:hAnsi="宋体"/>
          <w:color w:val="auto"/>
          <w:highlight w:val="none"/>
        </w:rPr>
        <w:t>供应商</w:t>
      </w:r>
      <w:r>
        <w:rPr>
          <w:rFonts w:ascii="宋体" w:hAnsi="宋体"/>
          <w:color w:val="auto"/>
          <w:highlight w:val="none"/>
        </w:rPr>
        <w:t>名称）：</w:t>
      </w:r>
    </w:p>
    <w:p w14:paraId="1CD3F09F">
      <w:pPr>
        <w:spacing w:line="440" w:lineRule="exact"/>
        <w:rPr>
          <w:rFonts w:ascii="宋体" w:hAnsi="宋体"/>
          <w:color w:val="auto"/>
          <w:highlight w:val="none"/>
        </w:rPr>
      </w:pPr>
    </w:p>
    <w:p w14:paraId="2C1284CA">
      <w:pPr>
        <w:spacing w:line="440" w:lineRule="exact"/>
        <w:rPr>
          <w:rFonts w:ascii="宋体" w:hAnsi="宋体"/>
          <w:color w:val="auto"/>
          <w:highlight w:val="none"/>
        </w:rPr>
      </w:pPr>
      <w:r>
        <w:rPr>
          <w:rFonts w:ascii="宋体" w:hAnsi="宋体"/>
          <w:color w:val="auto"/>
          <w:highlight w:val="none"/>
        </w:rPr>
        <w:t xml:space="preserve">　　  </w:t>
      </w:r>
      <w:r>
        <w:rPr>
          <w:rFonts w:ascii="宋体" w:hAnsi="宋体"/>
          <w:color w:val="auto"/>
          <w:highlight w:val="none"/>
          <w:u w:val="single"/>
        </w:rPr>
        <w:t xml:space="preserve">　             </w:t>
      </w:r>
      <w:r>
        <w:rPr>
          <w:rFonts w:ascii="宋体" w:hAnsi="宋体"/>
          <w:color w:val="auto"/>
          <w:highlight w:val="none"/>
        </w:rPr>
        <w:t>（项目名称）的</w:t>
      </w:r>
      <w:r>
        <w:rPr>
          <w:rFonts w:hint="eastAsia" w:ascii="宋体" w:hAnsi="宋体"/>
          <w:color w:val="auto"/>
          <w:highlight w:val="none"/>
        </w:rPr>
        <w:t>磋商小组</w:t>
      </w:r>
      <w:r>
        <w:rPr>
          <w:rFonts w:ascii="宋体" w:hAnsi="宋体"/>
          <w:color w:val="auto"/>
          <w:highlight w:val="none"/>
        </w:rPr>
        <w:t>，对你方的</w:t>
      </w:r>
      <w:r>
        <w:rPr>
          <w:rFonts w:hint="eastAsia" w:ascii="宋体" w:hAnsi="宋体"/>
          <w:color w:val="auto"/>
          <w:highlight w:val="none"/>
        </w:rPr>
        <w:t>响应文件</w:t>
      </w:r>
      <w:r>
        <w:rPr>
          <w:rFonts w:ascii="宋体" w:hAnsi="宋体"/>
          <w:color w:val="auto"/>
          <w:highlight w:val="none"/>
        </w:rPr>
        <w:t>进行了仔细的审查，现需你方对下列问题以书面形式予以澄清：</w:t>
      </w:r>
    </w:p>
    <w:p w14:paraId="70BEDE27">
      <w:pPr>
        <w:spacing w:line="440" w:lineRule="exact"/>
        <w:rPr>
          <w:rFonts w:ascii="宋体" w:hAnsi="宋体"/>
          <w:color w:val="auto"/>
          <w:highlight w:val="none"/>
        </w:rPr>
      </w:pPr>
      <w:r>
        <w:rPr>
          <w:rFonts w:ascii="宋体" w:hAnsi="宋体"/>
          <w:color w:val="auto"/>
          <w:highlight w:val="none"/>
        </w:rPr>
        <w:t>　　</w:t>
      </w:r>
    </w:p>
    <w:p w14:paraId="1A2A6C65">
      <w:pPr>
        <w:spacing w:line="440" w:lineRule="exact"/>
        <w:rPr>
          <w:rFonts w:ascii="宋体" w:hAnsi="宋体"/>
          <w:color w:val="auto"/>
          <w:highlight w:val="none"/>
        </w:rPr>
      </w:pPr>
      <w:r>
        <w:rPr>
          <w:rFonts w:ascii="宋体" w:hAnsi="宋体"/>
          <w:color w:val="auto"/>
          <w:highlight w:val="none"/>
        </w:rPr>
        <w:t xml:space="preserve">    1.</w:t>
      </w:r>
    </w:p>
    <w:p w14:paraId="14443EB8">
      <w:pPr>
        <w:spacing w:line="440" w:lineRule="exact"/>
        <w:rPr>
          <w:rFonts w:ascii="宋体" w:hAnsi="宋体"/>
          <w:color w:val="auto"/>
          <w:highlight w:val="none"/>
        </w:rPr>
      </w:pPr>
      <w:r>
        <w:rPr>
          <w:rFonts w:ascii="宋体" w:hAnsi="宋体"/>
          <w:color w:val="auto"/>
          <w:highlight w:val="none"/>
        </w:rPr>
        <w:t xml:space="preserve">    2.</w:t>
      </w:r>
    </w:p>
    <w:p w14:paraId="535C368A">
      <w:pPr>
        <w:spacing w:line="440" w:lineRule="exact"/>
        <w:rPr>
          <w:rFonts w:ascii="宋体" w:hAnsi="宋体"/>
          <w:color w:val="auto"/>
          <w:highlight w:val="none"/>
        </w:rPr>
      </w:pPr>
      <w:r>
        <w:rPr>
          <w:rFonts w:ascii="宋体" w:hAnsi="宋体"/>
          <w:color w:val="auto"/>
          <w:highlight w:val="none"/>
        </w:rPr>
        <w:t xml:space="preserve">     ......   </w:t>
      </w:r>
    </w:p>
    <w:p w14:paraId="7CEE7402">
      <w:pPr>
        <w:spacing w:line="440" w:lineRule="exact"/>
        <w:rPr>
          <w:rFonts w:ascii="宋体" w:hAnsi="宋体"/>
          <w:color w:val="auto"/>
          <w:highlight w:val="none"/>
        </w:rPr>
      </w:pPr>
      <w:r>
        <w:rPr>
          <w:rFonts w:ascii="宋体" w:hAnsi="宋体"/>
          <w:color w:val="auto"/>
          <w:highlight w:val="none"/>
        </w:rPr>
        <w:t>　　　</w:t>
      </w:r>
    </w:p>
    <w:p w14:paraId="5A805EBD">
      <w:pPr>
        <w:spacing w:line="440" w:lineRule="exact"/>
        <w:rPr>
          <w:rFonts w:ascii="宋体" w:hAnsi="宋体"/>
          <w:color w:val="auto"/>
          <w:highlight w:val="none"/>
        </w:rPr>
      </w:pPr>
      <w:r>
        <w:rPr>
          <w:rFonts w:ascii="宋体" w:hAnsi="宋体"/>
          <w:color w:val="auto"/>
          <w:highlight w:val="none"/>
        </w:rPr>
        <w:t>　</w:t>
      </w:r>
    </w:p>
    <w:p w14:paraId="67E914A1">
      <w:pPr>
        <w:spacing w:line="440" w:lineRule="exact"/>
        <w:rPr>
          <w:rFonts w:ascii="宋体" w:hAnsi="宋体"/>
          <w:color w:val="auto"/>
          <w:highlight w:val="none"/>
        </w:rPr>
      </w:pPr>
    </w:p>
    <w:p w14:paraId="6B79D80C">
      <w:pPr>
        <w:spacing w:line="440" w:lineRule="exact"/>
        <w:rPr>
          <w:rFonts w:ascii="宋体" w:hAnsi="宋体"/>
          <w:color w:val="auto"/>
          <w:highlight w:val="none"/>
        </w:rPr>
      </w:pPr>
    </w:p>
    <w:p w14:paraId="5729A328">
      <w:pPr>
        <w:spacing w:line="440" w:lineRule="exact"/>
        <w:rPr>
          <w:rFonts w:ascii="宋体" w:hAnsi="宋体"/>
          <w:color w:val="auto"/>
          <w:highlight w:val="none"/>
        </w:rPr>
      </w:pPr>
    </w:p>
    <w:p w14:paraId="294A9406">
      <w:pPr>
        <w:spacing w:line="440" w:lineRule="exact"/>
        <w:rPr>
          <w:rFonts w:ascii="宋体" w:hAnsi="宋体"/>
          <w:color w:val="auto"/>
          <w:highlight w:val="none"/>
        </w:rPr>
      </w:pP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ascii="宋体" w:hAnsi="宋体"/>
          <w:color w:val="auto"/>
          <w:highlight w:val="none"/>
          <w:u w:val="single"/>
        </w:rPr>
        <w:t xml:space="preserve">　             </w:t>
      </w:r>
      <w:r>
        <w:rPr>
          <w:rFonts w:ascii="宋体" w:hAnsi="宋体"/>
          <w:color w:val="auto"/>
          <w:highlight w:val="none"/>
        </w:rPr>
        <w:t>（项目名称）</w:t>
      </w:r>
      <w:r>
        <w:rPr>
          <w:rFonts w:hint="eastAsia" w:ascii="宋体" w:hAnsi="宋体"/>
          <w:color w:val="auto"/>
          <w:highlight w:val="none"/>
        </w:rPr>
        <w:t xml:space="preserve">磋商小组                                          </w:t>
      </w:r>
    </w:p>
    <w:p w14:paraId="51F1039F">
      <w:pPr>
        <w:spacing w:line="440" w:lineRule="exact"/>
        <w:rPr>
          <w:rFonts w:ascii="宋体" w:hAnsi="宋体"/>
          <w:color w:val="auto"/>
          <w:highlight w:val="none"/>
        </w:rPr>
      </w:pP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u w:val="single"/>
        </w:rPr>
        <w:t xml:space="preserve">     </w:t>
      </w:r>
      <w:r>
        <w:rPr>
          <w:rFonts w:ascii="宋体" w:hAnsi="宋体"/>
          <w:color w:val="auto"/>
          <w:highlight w:val="none"/>
        </w:rPr>
        <w:t>年</w:t>
      </w:r>
      <w:r>
        <w:rPr>
          <w:rFonts w:ascii="宋体" w:hAnsi="宋体"/>
          <w:color w:val="auto"/>
          <w:highlight w:val="none"/>
          <w:u w:val="single"/>
        </w:rPr>
        <w:t xml:space="preserve">     </w:t>
      </w:r>
      <w:r>
        <w:rPr>
          <w:rFonts w:ascii="宋体" w:hAnsi="宋体"/>
          <w:color w:val="auto"/>
          <w:highlight w:val="none"/>
        </w:rPr>
        <w:t>月</w:t>
      </w:r>
      <w:r>
        <w:rPr>
          <w:rFonts w:ascii="宋体" w:hAnsi="宋体"/>
          <w:color w:val="auto"/>
          <w:highlight w:val="none"/>
          <w:u w:val="single"/>
        </w:rPr>
        <w:t xml:space="preserve">     </w:t>
      </w:r>
      <w:r>
        <w:rPr>
          <w:rFonts w:ascii="宋体" w:hAnsi="宋体"/>
          <w:color w:val="auto"/>
          <w:highlight w:val="none"/>
        </w:rPr>
        <w:t>日</w:t>
      </w:r>
    </w:p>
    <w:p w14:paraId="142E9D2E">
      <w:pPr>
        <w:spacing w:line="400" w:lineRule="exact"/>
        <w:rPr>
          <w:rFonts w:ascii="宋体" w:hAnsi="宋体"/>
          <w:color w:val="auto"/>
          <w:highlight w:val="none"/>
        </w:rPr>
      </w:pPr>
      <w:r>
        <w:rPr>
          <w:rFonts w:hint="eastAsia" w:ascii="宋体" w:hAnsi="宋体"/>
          <w:color w:val="auto"/>
          <w:highlight w:val="none"/>
        </w:rPr>
        <w:t xml:space="preserve">  </w:t>
      </w:r>
    </w:p>
    <w:p w14:paraId="40F42FB4">
      <w:pPr>
        <w:spacing w:line="400" w:lineRule="exact"/>
        <w:rPr>
          <w:rFonts w:ascii="宋体" w:hAnsi="宋体"/>
          <w:color w:val="auto"/>
          <w:sz w:val="24"/>
          <w:szCs w:val="24"/>
          <w:highlight w:val="none"/>
        </w:rPr>
      </w:pPr>
      <w:r>
        <w:rPr>
          <w:rFonts w:ascii="宋体" w:hAnsi="宋体"/>
          <w:color w:val="auto"/>
          <w:highlight w:val="none"/>
        </w:rPr>
        <w:br w:type="page"/>
      </w:r>
      <w:bookmarkStart w:id="67" w:name="_Toc152042360"/>
      <w:bookmarkStart w:id="68" w:name="_Toc152045583"/>
      <w:bookmarkStart w:id="69" w:name="_Toc247527608"/>
      <w:bookmarkStart w:id="70" w:name="_Toc247514007"/>
      <w:bookmarkStart w:id="71" w:name="_Toc144974550"/>
      <w:r>
        <w:rPr>
          <w:rFonts w:hint="eastAsia" w:ascii="宋体" w:hAnsi="宋体"/>
          <w:color w:val="auto"/>
          <w:sz w:val="24"/>
          <w:szCs w:val="24"/>
          <w:highlight w:val="none"/>
        </w:rPr>
        <w:t>附件二：问题的澄清</w:t>
      </w:r>
      <w:bookmarkEnd w:id="67"/>
      <w:bookmarkEnd w:id="68"/>
      <w:bookmarkEnd w:id="69"/>
      <w:bookmarkEnd w:id="70"/>
      <w:bookmarkEnd w:id="71"/>
    </w:p>
    <w:p w14:paraId="6833A8D3">
      <w:pPr>
        <w:spacing w:line="400" w:lineRule="exact"/>
        <w:jc w:val="center"/>
        <w:rPr>
          <w:rFonts w:ascii="宋体" w:hAnsi="宋体"/>
          <w:color w:val="auto"/>
          <w:sz w:val="24"/>
          <w:szCs w:val="24"/>
          <w:highlight w:val="none"/>
        </w:rPr>
      </w:pPr>
    </w:p>
    <w:p w14:paraId="1CED30B0">
      <w:pPr>
        <w:spacing w:line="400" w:lineRule="exact"/>
        <w:jc w:val="center"/>
        <w:rPr>
          <w:rFonts w:ascii="宋体" w:hAnsi="宋体"/>
          <w:color w:val="auto"/>
          <w:sz w:val="24"/>
          <w:szCs w:val="24"/>
          <w:highlight w:val="none"/>
        </w:rPr>
      </w:pPr>
      <w:r>
        <w:rPr>
          <w:rFonts w:hint="eastAsia" w:ascii="宋体" w:hAnsi="宋体"/>
          <w:color w:val="auto"/>
          <w:sz w:val="24"/>
          <w:szCs w:val="24"/>
          <w:highlight w:val="none"/>
        </w:rPr>
        <w:t>问题的澄清</w:t>
      </w:r>
    </w:p>
    <w:p w14:paraId="64DF8C10">
      <w:pPr>
        <w:spacing w:line="400" w:lineRule="exact"/>
        <w:ind w:firstLine="3465" w:firstLineChars="1650"/>
        <w:rPr>
          <w:rFonts w:ascii="宋体" w:hAnsi="宋体"/>
          <w:color w:val="auto"/>
          <w:highlight w:val="none"/>
        </w:rPr>
      </w:pPr>
      <w:r>
        <w:rPr>
          <w:rFonts w:hint="eastAsia" w:ascii="宋体" w:hAnsi="宋体"/>
          <w:color w:val="auto"/>
          <w:highlight w:val="none"/>
        </w:rPr>
        <w:t xml:space="preserve">编号： </w:t>
      </w:r>
    </w:p>
    <w:p w14:paraId="3A4E6340">
      <w:pPr>
        <w:spacing w:line="400" w:lineRule="exact"/>
        <w:rPr>
          <w:rFonts w:ascii="宋体" w:hAnsi="宋体"/>
          <w:color w:val="auto"/>
          <w:highlight w:val="none"/>
        </w:rPr>
      </w:pPr>
    </w:p>
    <w:p w14:paraId="0B1272AE">
      <w:pPr>
        <w:spacing w:line="440" w:lineRule="exact"/>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（项目名称）</w:t>
      </w:r>
      <w:r>
        <w:rPr>
          <w:rFonts w:hint="eastAsia" w:ascii="宋体" w:hAnsi="宋体"/>
          <w:color w:val="auto"/>
          <w:highlight w:val="none"/>
        </w:rPr>
        <w:t>磋商小组</w:t>
      </w:r>
      <w:r>
        <w:rPr>
          <w:rFonts w:ascii="宋体" w:hAnsi="宋体"/>
          <w:color w:val="auto"/>
          <w:highlight w:val="none"/>
        </w:rPr>
        <w:t>：</w:t>
      </w:r>
    </w:p>
    <w:p w14:paraId="45D4248B">
      <w:pPr>
        <w:spacing w:line="440" w:lineRule="exact"/>
        <w:rPr>
          <w:rFonts w:ascii="宋体" w:hAnsi="宋体"/>
          <w:color w:val="auto"/>
          <w:highlight w:val="none"/>
        </w:rPr>
      </w:pPr>
    </w:p>
    <w:p w14:paraId="5F80EFCE">
      <w:pPr>
        <w:spacing w:line="440" w:lineRule="exact"/>
        <w:rPr>
          <w:rFonts w:ascii="宋体" w:hAnsi="宋体"/>
          <w:color w:val="auto"/>
          <w:highlight w:val="none"/>
        </w:rPr>
      </w:pPr>
      <w:r>
        <w:rPr>
          <w:rFonts w:ascii="宋体" w:hAnsi="宋体"/>
          <w:color w:val="auto"/>
          <w:highlight w:val="none"/>
        </w:rPr>
        <w:t>　　问题澄清通知（编号：</w:t>
      </w:r>
      <w:r>
        <w:rPr>
          <w:rFonts w:ascii="宋体" w:hAnsi="宋体"/>
          <w:color w:val="auto"/>
          <w:highlight w:val="none"/>
          <w:u w:val="single"/>
        </w:rPr>
        <w:t xml:space="preserve">        </w:t>
      </w:r>
      <w:r>
        <w:rPr>
          <w:rFonts w:ascii="宋体" w:hAnsi="宋体"/>
          <w:color w:val="auto"/>
          <w:highlight w:val="none"/>
        </w:rPr>
        <w:t>）已收悉，现澄清如下：</w:t>
      </w:r>
    </w:p>
    <w:p w14:paraId="5DA5DB46">
      <w:pPr>
        <w:spacing w:line="440" w:lineRule="exact"/>
        <w:rPr>
          <w:rFonts w:ascii="宋体" w:hAnsi="宋体"/>
          <w:color w:val="auto"/>
          <w:highlight w:val="none"/>
        </w:rPr>
      </w:pPr>
      <w:r>
        <w:rPr>
          <w:rFonts w:ascii="宋体" w:hAnsi="宋体"/>
          <w:color w:val="auto"/>
          <w:highlight w:val="none"/>
        </w:rPr>
        <w:t>　     1.</w:t>
      </w:r>
    </w:p>
    <w:p w14:paraId="44CD014A">
      <w:pPr>
        <w:spacing w:line="440" w:lineRule="exact"/>
        <w:rPr>
          <w:rFonts w:ascii="宋体" w:hAnsi="宋体"/>
          <w:color w:val="auto"/>
          <w:highlight w:val="none"/>
        </w:rPr>
      </w:pPr>
      <w:r>
        <w:rPr>
          <w:rFonts w:ascii="宋体" w:hAnsi="宋体"/>
          <w:color w:val="auto"/>
          <w:highlight w:val="none"/>
        </w:rPr>
        <w:t>　     2.</w:t>
      </w:r>
    </w:p>
    <w:p w14:paraId="17F47D1D">
      <w:pPr>
        <w:spacing w:line="440" w:lineRule="exact"/>
        <w:rPr>
          <w:rFonts w:ascii="宋体" w:hAnsi="宋体"/>
          <w:color w:val="auto"/>
          <w:highlight w:val="none"/>
        </w:rPr>
      </w:pPr>
      <w:r>
        <w:rPr>
          <w:rFonts w:ascii="宋体" w:hAnsi="宋体"/>
          <w:color w:val="auto"/>
          <w:highlight w:val="none"/>
        </w:rPr>
        <w:t>　    .....</w:t>
      </w:r>
    </w:p>
    <w:p w14:paraId="1310F138">
      <w:pPr>
        <w:spacing w:line="440" w:lineRule="exact"/>
        <w:rPr>
          <w:rFonts w:ascii="宋体" w:hAnsi="宋体"/>
          <w:color w:val="auto"/>
          <w:highlight w:val="none"/>
        </w:rPr>
      </w:pPr>
      <w:r>
        <w:rPr>
          <w:rFonts w:ascii="宋体" w:hAnsi="宋体"/>
          <w:color w:val="auto"/>
          <w:highlight w:val="none"/>
        </w:rPr>
        <w:t xml:space="preserve">                       </w:t>
      </w:r>
    </w:p>
    <w:p w14:paraId="61B25740">
      <w:pPr>
        <w:spacing w:line="440" w:lineRule="exact"/>
        <w:rPr>
          <w:rFonts w:ascii="宋体" w:hAnsi="宋体"/>
          <w:color w:val="auto"/>
          <w:highlight w:val="none"/>
        </w:rPr>
      </w:pPr>
      <w:r>
        <w:rPr>
          <w:rFonts w:ascii="宋体" w:hAnsi="宋体"/>
          <w:color w:val="auto"/>
          <w:highlight w:val="none"/>
        </w:rPr>
        <w:t xml:space="preserve">　 </w:t>
      </w:r>
    </w:p>
    <w:p w14:paraId="7A24A5F7">
      <w:pPr>
        <w:spacing w:line="440" w:lineRule="exact"/>
        <w:rPr>
          <w:rFonts w:ascii="宋体" w:hAnsi="宋体"/>
          <w:color w:val="auto"/>
          <w:highlight w:val="none"/>
        </w:rPr>
      </w:pPr>
    </w:p>
    <w:p w14:paraId="61A299D4">
      <w:pPr>
        <w:spacing w:line="440" w:lineRule="exact"/>
        <w:rPr>
          <w:rFonts w:ascii="宋体" w:hAnsi="宋体"/>
          <w:color w:val="auto"/>
          <w:highlight w:val="none"/>
        </w:rPr>
      </w:pPr>
    </w:p>
    <w:p w14:paraId="6D6E2E17">
      <w:pPr>
        <w:spacing w:line="440" w:lineRule="exact"/>
        <w:rPr>
          <w:rFonts w:ascii="宋体" w:hAnsi="宋体"/>
          <w:color w:val="auto"/>
          <w:highlight w:val="none"/>
        </w:rPr>
      </w:pPr>
    </w:p>
    <w:p w14:paraId="3FCEC474">
      <w:pPr>
        <w:spacing w:line="440" w:lineRule="exact"/>
        <w:rPr>
          <w:rFonts w:ascii="宋体" w:hAnsi="宋体"/>
          <w:color w:val="auto"/>
          <w:highlight w:val="none"/>
        </w:rPr>
      </w:pPr>
    </w:p>
    <w:p w14:paraId="46B67BD6">
      <w:pPr>
        <w:spacing w:line="440" w:lineRule="exact"/>
        <w:rPr>
          <w:rFonts w:ascii="宋体" w:hAnsi="宋体"/>
          <w:color w:val="auto"/>
          <w:highlight w:val="none"/>
        </w:rPr>
      </w:pPr>
      <w:r>
        <w:rPr>
          <w:rFonts w:ascii="宋体" w:hAnsi="宋体"/>
          <w:color w:val="auto"/>
          <w:highlight w:val="none"/>
        </w:rPr>
        <w:t>　　　　　　　　　　　　　　　</w:t>
      </w:r>
      <w:r>
        <w:rPr>
          <w:rFonts w:hint="eastAsia" w:ascii="宋体" w:hAnsi="宋体"/>
          <w:color w:val="auto"/>
          <w:highlight w:val="none"/>
        </w:rPr>
        <w:t>供应商</w:t>
      </w:r>
      <w:r>
        <w:rPr>
          <w:rFonts w:ascii="宋体" w:hAnsi="宋体"/>
          <w:color w:val="auto"/>
          <w:highlight w:val="none"/>
        </w:rPr>
        <w:t>：</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p w14:paraId="55702F2C">
      <w:pPr>
        <w:spacing w:line="440" w:lineRule="exact"/>
        <w:rPr>
          <w:rFonts w:ascii="宋体" w:hAnsi="宋体"/>
          <w:color w:val="auto"/>
          <w:highlight w:val="none"/>
        </w:rPr>
      </w:pPr>
      <w:r>
        <w:rPr>
          <w:rFonts w:ascii="宋体" w:hAnsi="宋体"/>
          <w:color w:val="auto"/>
          <w:highlight w:val="none"/>
        </w:rPr>
        <w:t>　　　　　　　　　　　　　　　</w:t>
      </w:r>
    </w:p>
    <w:p w14:paraId="292DFE34">
      <w:pPr>
        <w:spacing w:line="440" w:lineRule="exact"/>
        <w:rPr>
          <w:rFonts w:ascii="宋体" w:hAnsi="宋体"/>
          <w:color w:val="auto"/>
          <w:highlight w:val="none"/>
        </w:rPr>
      </w:pPr>
      <w:r>
        <w:rPr>
          <w:rFonts w:ascii="宋体" w:hAnsi="宋体"/>
          <w:color w:val="auto"/>
          <w:highlight w:val="none"/>
        </w:rPr>
        <w:t>　　　　　　　　　　　　　　　法定代表人或其委托代理人：</w:t>
      </w:r>
      <w:r>
        <w:rPr>
          <w:rFonts w:ascii="宋体" w:hAnsi="宋体"/>
          <w:color w:val="auto"/>
          <w:highlight w:val="none"/>
          <w:u w:val="single"/>
        </w:rPr>
        <w:t xml:space="preserve">          </w:t>
      </w:r>
      <w:r>
        <w:rPr>
          <w:rFonts w:ascii="宋体" w:hAnsi="宋体"/>
          <w:color w:val="auto"/>
          <w:highlight w:val="none"/>
        </w:rPr>
        <w:t>（签字）</w:t>
      </w:r>
    </w:p>
    <w:p w14:paraId="1A033C96">
      <w:pPr>
        <w:spacing w:line="440" w:lineRule="exact"/>
        <w:rPr>
          <w:rFonts w:ascii="宋体" w:hAnsi="宋体"/>
          <w:color w:val="auto"/>
          <w:highlight w:val="none"/>
        </w:rPr>
      </w:pPr>
      <w:r>
        <w:rPr>
          <w:rFonts w:ascii="宋体" w:hAnsi="宋体"/>
          <w:color w:val="auto"/>
          <w:highlight w:val="none"/>
        </w:rPr>
        <w:t>　　　　　　　　　　　　　　　</w:t>
      </w:r>
    </w:p>
    <w:p w14:paraId="7E238E8B">
      <w:pPr>
        <w:spacing w:line="440" w:lineRule="exact"/>
        <w:rPr>
          <w:rFonts w:ascii="宋体" w:hAnsi="宋体"/>
          <w:color w:val="auto"/>
          <w:highlight w:val="none"/>
        </w:rPr>
      </w:pPr>
      <w:r>
        <w:rPr>
          <w:rFonts w:ascii="宋体" w:hAnsi="宋体"/>
          <w:color w:val="auto"/>
          <w:highlight w:val="none"/>
        </w:rPr>
        <w:t xml:space="preserve">　　　　　　　　　　　　　　　        </w:t>
      </w:r>
      <w:r>
        <w:rPr>
          <w:rFonts w:ascii="宋体" w:hAnsi="宋体"/>
          <w:color w:val="auto"/>
          <w:highlight w:val="none"/>
          <w:u w:val="single"/>
        </w:rPr>
        <w:t xml:space="preserve">     </w:t>
      </w:r>
      <w:r>
        <w:rPr>
          <w:rFonts w:ascii="宋体" w:hAnsi="宋体"/>
          <w:color w:val="auto"/>
          <w:highlight w:val="none"/>
        </w:rPr>
        <w:t>年</w:t>
      </w:r>
      <w:r>
        <w:rPr>
          <w:rFonts w:ascii="宋体" w:hAnsi="宋体"/>
          <w:color w:val="auto"/>
          <w:highlight w:val="none"/>
          <w:u w:val="single"/>
        </w:rPr>
        <w:t xml:space="preserve">     </w:t>
      </w:r>
      <w:r>
        <w:rPr>
          <w:rFonts w:ascii="宋体" w:hAnsi="宋体"/>
          <w:color w:val="auto"/>
          <w:highlight w:val="none"/>
        </w:rPr>
        <w:t>月</w:t>
      </w:r>
      <w:r>
        <w:rPr>
          <w:rFonts w:ascii="宋体" w:hAnsi="宋体"/>
          <w:color w:val="auto"/>
          <w:highlight w:val="none"/>
          <w:u w:val="single"/>
        </w:rPr>
        <w:t xml:space="preserve">     </w:t>
      </w:r>
      <w:r>
        <w:rPr>
          <w:rFonts w:ascii="宋体" w:hAnsi="宋体"/>
          <w:color w:val="auto"/>
          <w:highlight w:val="none"/>
        </w:rPr>
        <w:t>日</w:t>
      </w:r>
    </w:p>
    <w:p w14:paraId="1D2C2688">
      <w:pPr>
        <w:spacing w:line="440" w:lineRule="exact"/>
        <w:rPr>
          <w:rFonts w:ascii="宋体" w:hAnsi="宋体"/>
          <w:color w:val="auto"/>
          <w:highlight w:val="none"/>
        </w:rPr>
      </w:pPr>
    </w:p>
    <w:p w14:paraId="71C28856">
      <w:pPr>
        <w:spacing w:line="440" w:lineRule="exact"/>
        <w:rPr>
          <w:rFonts w:ascii="宋体" w:hAnsi="宋体"/>
          <w:color w:val="auto"/>
          <w:highlight w:val="none"/>
        </w:rPr>
      </w:pPr>
    </w:p>
    <w:p w14:paraId="72442082">
      <w:pPr>
        <w:spacing w:line="440" w:lineRule="exact"/>
        <w:rPr>
          <w:rFonts w:ascii="宋体" w:hAnsi="宋体"/>
          <w:color w:val="auto"/>
          <w:highlight w:val="none"/>
        </w:rPr>
      </w:pPr>
    </w:p>
    <w:p w14:paraId="79E3835B">
      <w:pPr>
        <w:spacing w:line="440" w:lineRule="exact"/>
        <w:rPr>
          <w:rFonts w:ascii="宋体" w:hAnsi="宋体"/>
          <w:color w:val="auto"/>
          <w:highlight w:val="none"/>
        </w:rPr>
      </w:pPr>
    </w:p>
    <w:p w14:paraId="4D69EBBB">
      <w:pPr>
        <w:spacing w:line="440" w:lineRule="exact"/>
        <w:rPr>
          <w:rFonts w:ascii="宋体" w:hAnsi="宋体"/>
          <w:color w:val="auto"/>
          <w:highlight w:val="none"/>
        </w:rPr>
      </w:pPr>
    </w:p>
    <w:p w14:paraId="2F18D3F9">
      <w:pPr>
        <w:spacing w:line="440" w:lineRule="exact"/>
        <w:rPr>
          <w:rFonts w:ascii="宋体" w:hAnsi="宋体"/>
          <w:color w:val="auto"/>
          <w:highlight w:val="none"/>
        </w:rPr>
      </w:pPr>
    </w:p>
    <w:p w14:paraId="3F40A71C">
      <w:pPr>
        <w:spacing w:line="440" w:lineRule="exact"/>
        <w:rPr>
          <w:rFonts w:ascii="宋体" w:hAnsi="宋体"/>
          <w:color w:val="auto"/>
          <w:highlight w:val="none"/>
        </w:rPr>
      </w:pPr>
    </w:p>
    <w:p w14:paraId="7F7CD714">
      <w:pPr>
        <w:spacing w:line="440" w:lineRule="exact"/>
        <w:rPr>
          <w:rFonts w:ascii="宋体" w:hAnsi="宋体"/>
          <w:color w:val="auto"/>
          <w:highlight w:val="none"/>
        </w:rPr>
      </w:pPr>
    </w:p>
    <w:p w14:paraId="0C61C0D0">
      <w:pPr>
        <w:widowControl/>
        <w:spacing w:line="360" w:lineRule="auto"/>
        <w:jc w:val="left"/>
        <w:rPr>
          <w:rFonts w:ascii="宋体" w:hAnsi="宋体"/>
          <w:b/>
          <w:bCs/>
          <w:color w:val="auto"/>
          <w:sz w:val="30"/>
          <w:szCs w:val="30"/>
          <w:highlight w:val="none"/>
        </w:rPr>
      </w:pPr>
    </w:p>
    <w:p w14:paraId="05857A75">
      <w:pPr>
        <w:keepNext/>
        <w:spacing w:line="360" w:lineRule="auto"/>
        <w:jc w:val="center"/>
        <w:outlineLvl w:val="0"/>
        <w:rPr>
          <w:rFonts w:ascii="宋体" w:hAnsi="宋体"/>
          <w:b/>
          <w:bCs/>
          <w:color w:val="auto"/>
          <w:sz w:val="32"/>
          <w:szCs w:val="32"/>
          <w:highlight w:val="none"/>
        </w:rPr>
      </w:pPr>
      <w:bookmarkStart w:id="72" w:name="_Toc12661"/>
      <w:r>
        <w:rPr>
          <w:rFonts w:hint="eastAsia" w:ascii="宋体" w:hAnsi="宋体"/>
          <w:b/>
          <w:bCs/>
          <w:color w:val="auto"/>
          <w:sz w:val="32"/>
          <w:szCs w:val="32"/>
          <w:highlight w:val="none"/>
        </w:rPr>
        <w:t>第三章 评标办法（综合评分法）</w:t>
      </w:r>
      <w:bookmarkEnd w:id="72"/>
    </w:p>
    <w:p w14:paraId="5F13EEF1">
      <w:pPr>
        <w:spacing w:line="360" w:lineRule="auto"/>
        <w:rPr>
          <w:rFonts w:ascii="宋体" w:hAnsi="宋体"/>
          <w:b/>
          <w:color w:val="auto"/>
          <w:highlight w:val="none"/>
        </w:rPr>
      </w:pPr>
      <w:bookmarkStart w:id="73" w:name="_Toc398716793"/>
      <w:bookmarkStart w:id="74" w:name="_Toc363053524"/>
      <w:bookmarkStart w:id="75" w:name="_Toc374358909"/>
      <w:bookmarkStart w:id="76" w:name="_Toc381018330"/>
      <w:bookmarkStart w:id="77" w:name="_Toc411328768"/>
      <w:bookmarkStart w:id="78" w:name="_Toc381964731"/>
      <w:bookmarkStart w:id="79" w:name="_Toc381964639"/>
      <w:bookmarkStart w:id="80" w:name="_Toc425234967"/>
      <w:bookmarkStart w:id="81" w:name="_Toc414956962"/>
      <w:bookmarkStart w:id="82" w:name="_Toc411328769"/>
      <w:r>
        <w:rPr>
          <w:rFonts w:hint="eastAsia" w:ascii="宋体" w:hAnsi="宋体"/>
          <w:b/>
          <w:color w:val="auto"/>
          <w:highlight w:val="none"/>
        </w:rPr>
        <w:t>一、初步评审</w:t>
      </w:r>
      <w:bookmarkEnd w:id="73"/>
      <w:bookmarkEnd w:id="74"/>
      <w:bookmarkEnd w:id="75"/>
      <w:bookmarkEnd w:id="76"/>
      <w:bookmarkEnd w:id="77"/>
      <w:bookmarkEnd w:id="78"/>
      <w:bookmarkEnd w:id="79"/>
      <w:bookmarkEnd w:id="80"/>
      <w:bookmarkEnd w:id="81"/>
    </w:p>
    <w:p w14:paraId="1151C390">
      <w:pPr>
        <w:spacing w:line="360" w:lineRule="auto"/>
        <w:rPr>
          <w:rFonts w:ascii="宋体" w:hAnsi="宋体"/>
          <w:color w:val="auto"/>
          <w:highlight w:val="none"/>
        </w:rPr>
      </w:pPr>
      <w:r>
        <w:rPr>
          <w:rFonts w:hint="eastAsia" w:ascii="宋体" w:hAnsi="宋体"/>
          <w:color w:val="auto"/>
          <w:highlight w:val="none"/>
        </w:rPr>
        <w:t>初步评审分为资格性检查和符合性检查。</w:t>
      </w:r>
    </w:p>
    <w:p w14:paraId="3D80C88F">
      <w:pPr>
        <w:numPr>
          <w:ilvl w:val="0"/>
          <w:numId w:val="7"/>
        </w:numPr>
        <w:spacing w:line="360" w:lineRule="auto"/>
        <w:rPr>
          <w:rFonts w:ascii="宋体" w:hAnsi="宋体" w:cs="宋体"/>
          <w:b/>
          <w:color w:val="auto"/>
          <w:highlight w:val="none"/>
        </w:rPr>
      </w:pPr>
      <w:r>
        <w:rPr>
          <w:rFonts w:hint="eastAsia" w:ascii="宋体" w:hAnsi="宋体" w:cs="宋体"/>
          <w:b/>
          <w:color w:val="auto"/>
          <w:highlight w:val="none"/>
        </w:rPr>
        <w:t>资格性检查</w:t>
      </w:r>
    </w:p>
    <w:bookmarkEnd w:id="82"/>
    <w:tbl>
      <w:tblPr>
        <w:tblStyle w:val="54"/>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3010"/>
        <w:gridCol w:w="5238"/>
      </w:tblGrid>
      <w:tr w14:paraId="0092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51" w:type="dxa"/>
            <w:noWrap w:val="0"/>
            <w:vAlign w:val="center"/>
          </w:tcPr>
          <w:p w14:paraId="3FF367AC">
            <w:pPr>
              <w:spacing w:line="360" w:lineRule="auto"/>
              <w:jc w:val="center"/>
              <w:rPr>
                <w:rFonts w:hint="eastAsia" w:ascii="宋体" w:hAnsi="宋体" w:cs="宋体"/>
                <w:b/>
                <w:bCs/>
                <w:color w:val="auto"/>
                <w:szCs w:val="21"/>
                <w:highlight w:val="none"/>
              </w:rPr>
            </w:pPr>
            <w:bookmarkStart w:id="83" w:name="_Toc414956964"/>
            <w:bookmarkStart w:id="84" w:name="_Toc398716795"/>
            <w:bookmarkStart w:id="85" w:name="_Toc374358911"/>
            <w:bookmarkStart w:id="86" w:name="_Toc381964641"/>
            <w:bookmarkStart w:id="87" w:name="_Toc363053527"/>
            <w:bookmarkStart w:id="88" w:name="_Toc381964733"/>
            <w:bookmarkStart w:id="89" w:name="_Toc381018332"/>
            <w:bookmarkStart w:id="90" w:name="_Toc297211688"/>
            <w:bookmarkStart w:id="91" w:name="_Toc357777330"/>
            <w:bookmarkStart w:id="92" w:name="_Toc359252260"/>
            <w:r>
              <w:rPr>
                <w:rFonts w:hint="eastAsia" w:ascii="宋体" w:hAnsi="宋体" w:cs="宋体"/>
                <w:b/>
                <w:bCs/>
                <w:color w:val="auto"/>
                <w:szCs w:val="21"/>
                <w:highlight w:val="none"/>
              </w:rPr>
              <w:t>条款号</w:t>
            </w:r>
          </w:p>
        </w:tc>
        <w:tc>
          <w:tcPr>
            <w:tcW w:w="3010" w:type="dxa"/>
            <w:noWrap w:val="0"/>
            <w:vAlign w:val="center"/>
          </w:tcPr>
          <w:p w14:paraId="13FD9453">
            <w:pPr>
              <w:spacing w:line="360" w:lineRule="auto"/>
              <w:jc w:val="center"/>
              <w:rPr>
                <w:rFonts w:hint="eastAsia" w:ascii="宋体" w:hAnsi="宋体"/>
                <w:b/>
                <w:bCs/>
                <w:color w:val="auto"/>
                <w:szCs w:val="21"/>
                <w:highlight w:val="none"/>
              </w:rPr>
            </w:pPr>
            <w:r>
              <w:rPr>
                <w:rFonts w:hint="eastAsia" w:ascii="宋体" w:hAnsi="宋体" w:cs="宋体"/>
                <w:b/>
                <w:bCs/>
                <w:color w:val="auto"/>
                <w:szCs w:val="21"/>
                <w:highlight w:val="none"/>
              </w:rPr>
              <w:t>评审因素</w:t>
            </w:r>
          </w:p>
        </w:tc>
        <w:tc>
          <w:tcPr>
            <w:tcW w:w="5238" w:type="dxa"/>
            <w:noWrap w:val="0"/>
            <w:vAlign w:val="center"/>
          </w:tcPr>
          <w:p w14:paraId="5C01A138">
            <w:pPr>
              <w:spacing w:line="360" w:lineRule="auto"/>
              <w:jc w:val="center"/>
              <w:rPr>
                <w:rFonts w:hint="eastAsia" w:ascii="宋体" w:hAnsi="宋体"/>
                <w:b/>
                <w:bCs/>
                <w:color w:val="auto"/>
                <w:szCs w:val="21"/>
                <w:highlight w:val="none"/>
              </w:rPr>
            </w:pPr>
            <w:r>
              <w:rPr>
                <w:rFonts w:hint="eastAsia" w:ascii="宋体" w:hAnsi="宋体" w:cs="宋体"/>
                <w:b/>
                <w:bCs/>
                <w:color w:val="auto"/>
                <w:szCs w:val="21"/>
                <w:highlight w:val="none"/>
              </w:rPr>
              <w:t>评审标准</w:t>
            </w:r>
          </w:p>
        </w:tc>
      </w:tr>
      <w:tr w14:paraId="15C2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51" w:type="dxa"/>
            <w:noWrap w:val="0"/>
            <w:vAlign w:val="center"/>
          </w:tcPr>
          <w:p w14:paraId="53430204">
            <w:pPr>
              <w:spacing w:line="360" w:lineRule="auto"/>
              <w:jc w:val="center"/>
              <w:rPr>
                <w:rFonts w:ascii="宋体" w:hAnsi="宋体"/>
                <w:bCs/>
                <w:color w:val="auto"/>
                <w:szCs w:val="21"/>
                <w:highlight w:val="none"/>
              </w:rPr>
            </w:pPr>
            <w:r>
              <w:rPr>
                <w:rFonts w:hint="eastAsia" w:ascii="宋体" w:hAnsi="宋体"/>
                <w:bCs/>
                <w:color w:val="auto"/>
                <w:szCs w:val="21"/>
                <w:highlight w:val="none"/>
              </w:rPr>
              <w:t>1.1</w:t>
            </w:r>
          </w:p>
        </w:tc>
        <w:tc>
          <w:tcPr>
            <w:tcW w:w="3010" w:type="dxa"/>
            <w:noWrap w:val="0"/>
            <w:vAlign w:val="center"/>
          </w:tcPr>
          <w:p w14:paraId="1BDFA4BB">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符合《中华人民共和国政府采购法》第22条规定</w:t>
            </w:r>
          </w:p>
        </w:tc>
        <w:tc>
          <w:tcPr>
            <w:tcW w:w="5238" w:type="dxa"/>
            <w:noWrap w:val="0"/>
            <w:vAlign w:val="center"/>
          </w:tcPr>
          <w:p w14:paraId="4052A0C8">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符合第二章“供应商须知”第1.4.1项规定</w:t>
            </w:r>
          </w:p>
        </w:tc>
      </w:tr>
      <w:tr w14:paraId="4336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51" w:type="dxa"/>
            <w:noWrap w:val="0"/>
            <w:vAlign w:val="center"/>
          </w:tcPr>
          <w:p w14:paraId="0E693C65">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1.2</w:t>
            </w:r>
          </w:p>
        </w:tc>
        <w:tc>
          <w:tcPr>
            <w:tcW w:w="3010" w:type="dxa"/>
            <w:noWrap w:val="0"/>
            <w:vAlign w:val="center"/>
          </w:tcPr>
          <w:p w14:paraId="2400A1AB">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落实政府采购政策满足的资格要求</w:t>
            </w:r>
          </w:p>
        </w:tc>
        <w:tc>
          <w:tcPr>
            <w:tcW w:w="5238" w:type="dxa"/>
            <w:noWrap w:val="0"/>
            <w:vAlign w:val="center"/>
          </w:tcPr>
          <w:p w14:paraId="1DFE4A76">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highlight w:val="none"/>
              </w:rPr>
            </w:pPr>
            <w:r>
              <w:rPr>
                <w:rFonts w:hint="eastAsia" w:ascii="宋体" w:hAnsi="宋体"/>
                <w:color w:val="auto"/>
                <w:szCs w:val="21"/>
                <w:highlight w:val="none"/>
              </w:rPr>
              <w:t>符合第二章“供应商须知”第1.</w:t>
            </w:r>
            <w:r>
              <w:rPr>
                <w:rFonts w:hint="eastAsia" w:ascii="宋体" w:hAnsi="宋体"/>
                <w:color w:val="auto"/>
                <w:szCs w:val="21"/>
                <w:highlight w:val="none"/>
                <w:lang w:val="en-US" w:eastAsia="zh-CN"/>
              </w:rPr>
              <w:t>4</w:t>
            </w:r>
            <w:r>
              <w:rPr>
                <w:rFonts w:hint="eastAsia" w:ascii="宋体" w:hAnsi="宋体"/>
                <w:color w:val="auto"/>
                <w:szCs w:val="21"/>
                <w:highlight w:val="none"/>
              </w:rPr>
              <w:t>.1项规定</w:t>
            </w:r>
          </w:p>
        </w:tc>
      </w:tr>
      <w:tr w14:paraId="168F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51" w:type="dxa"/>
            <w:noWrap w:val="0"/>
            <w:vAlign w:val="center"/>
          </w:tcPr>
          <w:p w14:paraId="27C535F8">
            <w:pPr>
              <w:spacing w:line="360" w:lineRule="auto"/>
              <w:jc w:val="center"/>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1.3</w:t>
            </w:r>
          </w:p>
        </w:tc>
        <w:tc>
          <w:tcPr>
            <w:tcW w:w="3010" w:type="dxa"/>
            <w:noWrap w:val="0"/>
            <w:vAlign w:val="center"/>
          </w:tcPr>
          <w:p w14:paraId="56610B8E">
            <w:pPr>
              <w:keepNext w:val="0"/>
              <w:keepLines w:val="0"/>
              <w:pageBreakBefore w:val="0"/>
              <w:widowControl w:val="0"/>
              <w:kinsoku/>
              <w:wordWrap/>
              <w:overflowPunct/>
              <w:topLinePunct w:val="0"/>
              <w:bidi w:val="0"/>
              <w:spacing w:line="500" w:lineRule="exact"/>
              <w:ind w:left="0" w:leftChars="0" w:right="105" w:rightChars="50" w:firstLine="0" w:firstLineChars="0"/>
              <w:jc w:val="center"/>
              <w:rPr>
                <w:rFonts w:hint="default" w:ascii="宋体" w:hAnsi="宋体" w:eastAsia="宋体" w:cs="宋体"/>
                <w:color w:val="auto"/>
                <w:highlight w:val="none"/>
                <w:lang w:val="en-US" w:eastAsia="zh-CN"/>
              </w:rPr>
            </w:pPr>
            <w:r>
              <w:rPr>
                <w:rFonts w:hint="eastAsia" w:ascii="宋体" w:hAnsi="宋体" w:eastAsia="宋体"/>
                <w:color w:val="auto"/>
                <w:szCs w:val="21"/>
              </w:rPr>
              <w:t>特定资格要求</w:t>
            </w:r>
          </w:p>
        </w:tc>
        <w:tc>
          <w:tcPr>
            <w:tcW w:w="5238" w:type="dxa"/>
            <w:noWrap w:val="0"/>
            <w:vAlign w:val="center"/>
          </w:tcPr>
          <w:p w14:paraId="1DF5569F">
            <w:pPr>
              <w:keepNext w:val="0"/>
              <w:keepLines w:val="0"/>
              <w:pageBreakBefore w:val="0"/>
              <w:widowControl w:val="0"/>
              <w:kinsoku/>
              <w:wordWrap/>
              <w:overflowPunct/>
              <w:topLinePunct w:val="0"/>
              <w:bidi w:val="0"/>
              <w:spacing w:line="500" w:lineRule="exact"/>
              <w:ind w:left="105" w:leftChars="50" w:right="105" w:rightChars="50" w:firstLine="0" w:firstLineChars="0"/>
              <w:rPr>
                <w:rFonts w:hint="eastAsia" w:ascii="宋体" w:hAnsi="宋体" w:eastAsia="宋体" w:cs="宋体"/>
                <w:color w:val="auto"/>
                <w:highlight w:val="none"/>
              </w:rPr>
            </w:pPr>
            <w:r>
              <w:rPr>
                <w:rFonts w:hint="eastAsia" w:ascii="宋体" w:hAnsi="宋体" w:eastAsia="宋体" w:cs="宋体"/>
                <w:color w:val="auto"/>
                <w:sz w:val="21"/>
                <w:szCs w:val="21"/>
              </w:rPr>
              <w:t>符合第二章“投标供应商须知”第1.4.1项规定</w:t>
            </w:r>
          </w:p>
        </w:tc>
      </w:tr>
      <w:tr w14:paraId="1360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51" w:type="dxa"/>
            <w:noWrap w:val="0"/>
            <w:vAlign w:val="center"/>
          </w:tcPr>
          <w:p w14:paraId="1E58130A">
            <w:pPr>
              <w:spacing w:line="360" w:lineRule="auto"/>
              <w:jc w:val="center"/>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1.4</w:t>
            </w:r>
          </w:p>
        </w:tc>
        <w:tc>
          <w:tcPr>
            <w:tcW w:w="3010" w:type="dxa"/>
            <w:noWrap w:val="0"/>
            <w:vAlign w:val="center"/>
          </w:tcPr>
          <w:p w14:paraId="7863A582">
            <w:pPr>
              <w:spacing w:line="400" w:lineRule="exact"/>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其他</w:t>
            </w:r>
            <w:r>
              <w:rPr>
                <w:rFonts w:hint="eastAsia" w:ascii="宋体" w:hAnsi="宋体" w:eastAsia="宋体" w:cs="宋体"/>
                <w:color w:val="auto"/>
                <w:highlight w:val="none"/>
                <w:lang w:val="en-US" w:eastAsia="zh-CN"/>
              </w:rPr>
              <w:t>要求</w:t>
            </w:r>
          </w:p>
        </w:tc>
        <w:tc>
          <w:tcPr>
            <w:tcW w:w="5238" w:type="dxa"/>
            <w:noWrap w:val="0"/>
            <w:vAlign w:val="center"/>
          </w:tcPr>
          <w:p w14:paraId="31A4E971">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符合第二章“供应商须知”第1.4.1项规定</w:t>
            </w:r>
          </w:p>
        </w:tc>
      </w:tr>
    </w:tbl>
    <w:p w14:paraId="662AC92F">
      <w:pPr>
        <w:spacing w:line="360" w:lineRule="auto"/>
        <w:ind w:firstLine="211" w:firstLineChars="100"/>
        <w:rPr>
          <w:rFonts w:ascii="宋体" w:hAnsi="宋体" w:cs="宋体"/>
          <w:b/>
          <w:bCs/>
          <w:color w:val="auto"/>
          <w:highlight w:val="none"/>
        </w:rPr>
      </w:pPr>
      <w:r>
        <w:rPr>
          <w:rFonts w:hint="eastAsia" w:ascii="宋体" w:hAnsi="宋体" w:cs="宋体"/>
          <w:b/>
          <w:bCs/>
          <w:color w:val="auto"/>
          <w:highlight w:val="none"/>
        </w:rPr>
        <w:t>注：本项目为资格后审，由采购人代表或代理机构人员进行资格性审查。</w:t>
      </w:r>
    </w:p>
    <w:p w14:paraId="5643A467">
      <w:pPr>
        <w:spacing w:line="360" w:lineRule="auto"/>
        <w:rPr>
          <w:rFonts w:ascii="宋体" w:hAnsi="宋体"/>
          <w:b/>
          <w:color w:val="auto"/>
          <w:highlight w:val="none"/>
        </w:rPr>
      </w:pPr>
      <w:r>
        <w:rPr>
          <w:rFonts w:hint="eastAsia" w:ascii="宋体" w:hAnsi="宋体"/>
          <w:b/>
          <w:color w:val="auto"/>
          <w:highlight w:val="none"/>
        </w:rPr>
        <w:t>2.符合性审查</w:t>
      </w:r>
    </w:p>
    <w:tbl>
      <w:tblPr>
        <w:tblStyle w:val="5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893"/>
        <w:gridCol w:w="5182"/>
      </w:tblGrid>
      <w:tr w14:paraId="7D4B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124" w:type="dxa"/>
            <w:vAlign w:val="center"/>
          </w:tcPr>
          <w:p w14:paraId="53783932">
            <w:pPr>
              <w:spacing w:line="360" w:lineRule="auto"/>
              <w:jc w:val="center"/>
              <w:rPr>
                <w:rFonts w:ascii="宋体" w:hAnsi="宋体" w:cs="宋体"/>
                <w:b/>
                <w:bCs/>
                <w:color w:val="auto"/>
                <w:highlight w:val="none"/>
              </w:rPr>
            </w:pPr>
            <w:r>
              <w:rPr>
                <w:rFonts w:hint="eastAsia" w:ascii="宋体" w:hAnsi="宋体" w:cs="宋体"/>
                <w:b/>
                <w:bCs/>
                <w:color w:val="auto"/>
                <w:highlight w:val="none"/>
              </w:rPr>
              <w:t>条款号</w:t>
            </w:r>
          </w:p>
        </w:tc>
        <w:tc>
          <w:tcPr>
            <w:tcW w:w="2893" w:type="dxa"/>
            <w:vAlign w:val="center"/>
          </w:tcPr>
          <w:p w14:paraId="5242D10B">
            <w:pPr>
              <w:spacing w:line="400" w:lineRule="exact"/>
              <w:jc w:val="center"/>
              <w:rPr>
                <w:rFonts w:ascii="宋体" w:hAnsi="宋体"/>
                <w:b/>
                <w:bCs/>
                <w:color w:val="auto"/>
                <w:highlight w:val="none"/>
              </w:rPr>
            </w:pPr>
            <w:r>
              <w:rPr>
                <w:rFonts w:hint="eastAsia" w:ascii="宋体" w:hAnsi="宋体" w:cs="宋体"/>
                <w:b/>
                <w:bCs/>
                <w:color w:val="auto"/>
                <w:highlight w:val="none"/>
              </w:rPr>
              <w:t>评审因素</w:t>
            </w:r>
          </w:p>
        </w:tc>
        <w:tc>
          <w:tcPr>
            <w:tcW w:w="5182" w:type="dxa"/>
            <w:vAlign w:val="center"/>
          </w:tcPr>
          <w:p w14:paraId="4CF10836">
            <w:pPr>
              <w:spacing w:line="400" w:lineRule="exact"/>
              <w:jc w:val="center"/>
              <w:rPr>
                <w:rFonts w:ascii="宋体" w:hAnsi="宋体"/>
                <w:b/>
                <w:bCs/>
                <w:color w:val="auto"/>
                <w:highlight w:val="none"/>
              </w:rPr>
            </w:pPr>
            <w:r>
              <w:rPr>
                <w:rFonts w:hint="eastAsia" w:ascii="宋体" w:hAnsi="宋体" w:cs="宋体"/>
                <w:b/>
                <w:bCs/>
                <w:color w:val="auto"/>
                <w:highlight w:val="none"/>
              </w:rPr>
              <w:t>评审标准</w:t>
            </w:r>
          </w:p>
        </w:tc>
      </w:tr>
      <w:tr w14:paraId="4794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24" w:type="dxa"/>
            <w:vAlign w:val="center"/>
          </w:tcPr>
          <w:p w14:paraId="004B0CBF">
            <w:pPr>
              <w:spacing w:line="360" w:lineRule="auto"/>
              <w:jc w:val="center"/>
              <w:rPr>
                <w:rFonts w:hint="eastAsia" w:ascii="宋体" w:hAnsi="宋体" w:eastAsia="宋体"/>
                <w:bCs/>
                <w:color w:val="auto"/>
                <w:highlight w:val="none"/>
                <w:lang w:eastAsia="zh-CN"/>
              </w:rPr>
            </w:pPr>
            <w:r>
              <w:rPr>
                <w:rFonts w:hint="eastAsia" w:ascii="宋体" w:hAnsi="宋体"/>
                <w:bCs/>
                <w:color w:val="auto"/>
                <w:highlight w:val="none"/>
              </w:rPr>
              <w:t>2.</w:t>
            </w:r>
            <w:r>
              <w:rPr>
                <w:rFonts w:hint="eastAsia" w:ascii="宋体" w:hAnsi="宋体"/>
                <w:bCs/>
                <w:color w:val="auto"/>
                <w:highlight w:val="none"/>
                <w:lang w:val="en-US" w:eastAsia="zh-CN"/>
              </w:rPr>
              <w:t>1</w:t>
            </w:r>
          </w:p>
        </w:tc>
        <w:tc>
          <w:tcPr>
            <w:tcW w:w="2893" w:type="dxa"/>
            <w:vAlign w:val="center"/>
          </w:tcPr>
          <w:p w14:paraId="11056CE4">
            <w:pPr>
              <w:spacing w:line="400" w:lineRule="exact"/>
              <w:jc w:val="center"/>
              <w:rPr>
                <w:rFonts w:hint="default" w:ascii="宋体" w:hAnsi="宋体" w:eastAsia="宋体"/>
                <w:color w:val="auto"/>
                <w:highlight w:val="none"/>
                <w:lang w:val="en-US" w:eastAsia="zh-CN"/>
              </w:rPr>
            </w:pPr>
            <w:r>
              <w:rPr>
                <w:rFonts w:hint="eastAsia" w:ascii="宋体" w:hAnsi="宋体" w:cs="宋体"/>
                <w:color w:val="auto"/>
                <w:highlight w:val="none"/>
                <w:lang w:val="en-US" w:eastAsia="zh-CN"/>
              </w:rPr>
              <w:t>信用查询</w:t>
            </w:r>
          </w:p>
        </w:tc>
        <w:tc>
          <w:tcPr>
            <w:tcW w:w="5182" w:type="dxa"/>
            <w:vAlign w:val="center"/>
          </w:tcPr>
          <w:p w14:paraId="3BCC415F">
            <w:pPr>
              <w:spacing w:line="400" w:lineRule="exact"/>
              <w:jc w:val="left"/>
              <w:rPr>
                <w:rFonts w:ascii="宋体" w:hAnsi="宋体"/>
                <w:b/>
                <w:color w:val="auto"/>
                <w:highlight w:val="none"/>
              </w:rPr>
            </w:pPr>
            <w:r>
              <w:rPr>
                <w:rFonts w:hint="eastAsia" w:ascii="宋体" w:hAnsi="宋体" w:cs="宋体"/>
                <w:color w:val="auto"/>
                <w:highlight w:val="none"/>
              </w:rPr>
              <w:t>根据《关于在政府采购活动中查询及使用信用记录有关问题的通知》财库[2016]125号文件和豫财购【2016】15号文件的规定，供应商应提供“信用中国”网站（www.creditchina.gov.cn）查询“失信被执行人”、“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tc>
      </w:tr>
      <w:tr w14:paraId="3415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124" w:type="dxa"/>
            <w:vAlign w:val="center"/>
          </w:tcPr>
          <w:p w14:paraId="58239585">
            <w:pPr>
              <w:spacing w:line="360" w:lineRule="auto"/>
              <w:jc w:val="center"/>
              <w:rPr>
                <w:rFonts w:hint="eastAsia" w:ascii="宋体" w:hAnsi="宋体" w:eastAsia="宋体"/>
                <w:bCs/>
                <w:color w:val="auto"/>
                <w:highlight w:val="none"/>
                <w:lang w:eastAsia="zh-CN"/>
              </w:rPr>
            </w:pPr>
            <w:r>
              <w:rPr>
                <w:rFonts w:hint="eastAsia" w:ascii="宋体" w:hAnsi="宋体"/>
                <w:bCs/>
                <w:color w:val="auto"/>
                <w:highlight w:val="none"/>
              </w:rPr>
              <w:t>2.</w:t>
            </w:r>
            <w:r>
              <w:rPr>
                <w:rFonts w:hint="eastAsia" w:ascii="宋体" w:hAnsi="宋体"/>
                <w:bCs/>
                <w:color w:val="auto"/>
                <w:highlight w:val="none"/>
                <w:lang w:val="en-US" w:eastAsia="zh-CN"/>
              </w:rPr>
              <w:t>2</w:t>
            </w:r>
          </w:p>
        </w:tc>
        <w:tc>
          <w:tcPr>
            <w:tcW w:w="2893" w:type="dxa"/>
            <w:vAlign w:val="center"/>
          </w:tcPr>
          <w:p w14:paraId="150DEA62">
            <w:pPr>
              <w:spacing w:line="400" w:lineRule="exact"/>
              <w:jc w:val="center"/>
              <w:rPr>
                <w:rFonts w:ascii="宋体" w:hAnsi="宋体"/>
                <w:color w:val="auto"/>
                <w:highlight w:val="none"/>
              </w:rPr>
            </w:pPr>
            <w:r>
              <w:rPr>
                <w:rFonts w:hint="eastAsia" w:ascii="宋体" w:hAnsi="宋体" w:cs="宋体"/>
                <w:color w:val="auto"/>
                <w:highlight w:val="none"/>
              </w:rPr>
              <w:t>供应商名称</w:t>
            </w:r>
          </w:p>
        </w:tc>
        <w:tc>
          <w:tcPr>
            <w:tcW w:w="5182" w:type="dxa"/>
            <w:vAlign w:val="center"/>
          </w:tcPr>
          <w:p w14:paraId="6E334FCC">
            <w:pPr>
              <w:spacing w:line="400" w:lineRule="exact"/>
              <w:jc w:val="left"/>
              <w:rPr>
                <w:rFonts w:ascii="宋体" w:hAnsi="宋体"/>
                <w:b/>
                <w:color w:val="auto"/>
                <w:highlight w:val="none"/>
              </w:rPr>
            </w:pPr>
            <w:r>
              <w:rPr>
                <w:rFonts w:hint="eastAsia" w:ascii="宋体" w:hAnsi="宋体" w:cs="宋体"/>
                <w:color w:val="auto"/>
                <w:highlight w:val="none"/>
              </w:rPr>
              <w:t>与营业执照或事业单位法人证书或民办非企业单位登记证书名称一致</w:t>
            </w:r>
          </w:p>
        </w:tc>
      </w:tr>
      <w:tr w14:paraId="2564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24" w:type="dxa"/>
            <w:vAlign w:val="center"/>
          </w:tcPr>
          <w:p w14:paraId="4389D5A7">
            <w:pPr>
              <w:spacing w:line="360" w:lineRule="auto"/>
              <w:jc w:val="center"/>
              <w:rPr>
                <w:rFonts w:hint="eastAsia" w:ascii="宋体" w:hAnsi="宋体" w:eastAsia="宋体"/>
                <w:bCs/>
                <w:color w:val="auto"/>
                <w:highlight w:val="none"/>
                <w:lang w:eastAsia="zh-CN"/>
              </w:rPr>
            </w:pPr>
            <w:r>
              <w:rPr>
                <w:rFonts w:hint="eastAsia" w:ascii="宋体" w:hAnsi="宋体"/>
                <w:bCs/>
                <w:color w:val="auto"/>
                <w:highlight w:val="none"/>
              </w:rPr>
              <w:t>2.</w:t>
            </w:r>
            <w:r>
              <w:rPr>
                <w:rFonts w:hint="eastAsia" w:ascii="宋体" w:hAnsi="宋体"/>
                <w:bCs/>
                <w:color w:val="auto"/>
                <w:highlight w:val="none"/>
                <w:lang w:val="en-US" w:eastAsia="zh-CN"/>
              </w:rPr>
              <w:t>3</w:t>
            </w:r>
          </w:p>
        </w:tc>
        <w:tc>
          <w:tcPr>
            <w:tcW w:w="2893" w:type="dxa"/>
            <w:vAlign w:val="center"/>
          </w:tcPr>
          <w:p w14:paraId="7A8BB900">
            <w:pPr>
              <w:spacing w:line="400" w:lineRule="exact"/>
              <w:jc w:val="center"/>
              <w:rPr>
                <w:rFonts w:ascii="宋体" w:hAnsi="宋体"/>
                <w:color w:val="auto"/>
                <w:highlight w:val="none"/>
              </w:rPr>
            </w:pPr>
            <w:r>
              <w:rPr>
                <w:rFonts w:hint="eastAsia" w:ascii="宋体" w:hAnsi="宋体" w:cs="宋体"/>
                <w:color w:val="auto"/>
                <w:highlight w:val="none"/>
              </w:rPr>
              <w:t>磋商函签字盖章</w:t>
            </w:r>
          </w:p>
        </w:tc>
        <w:tc>
          <w:tcPr>
            <w:tcW w:w="5182" w:type="dxa"/>
            <w:vAlign w:val="center"/>
          </w:tcPr>
          <w:p w14:paraId="59668E64">
            <w:pPr>
              <w:spacing w:line="400" w:lineRule="exact"/>
              <w:jc w:val="left"/>
              <w:rPr>
                <w:rFonts w:ascii="宋体" w:hAnsi="宋体"/>
                <w:b/>
                <w:color w:val="auto"/>
                <w:highlight w:val="none"/>
              </w:rPr>
            </w:pPr>
            <w:r>
              <w:rPr>
                <w:rFonts w:hint="eastAsia" w:ascii="宋体" w:hAnsi="宋体" w:cs="宋体"/>
                <w:color w:val="auto"/>
                <w:highlight w:val="none"/>
              </w:rPr>
              <w:t>符合第六章“响应文件格式”的磋商函签字盖章规定</w:t>
            </w:r>
          </w:p>
        </w:tc>
      </w:tr>
      <w:tr w14:paraId="7B92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24" w:type="dxa"/>
            <w:vAlign w:val="center"/>
          </w:tcPr>
          <w:p w14:paraId="7DD51804">
            <w:pPr>
              <w:spacing w:line="360" w:lineRule="auto"/>
              <w:jc w:val="center"/>
              <w:rPr>
                <w:rFonts w:hint="eastAsia" w:ascii="宋体" w:hAnsi="宋体" w:eastAsia="宋体"/>
                <w:bCs/>
                <w:color w:val="auto"/>
                <w:highlight w:val="none"/>
                <w:lang w:eastAsia="zh-CN"/>
              </w:rPr>
            </w:pPr>
            <w:r>
              <w:rPr>
                <w:rFonts w:hint="eastAsia" w:ascii="宋体" w:hAnsi="宋体"/>
                <w:bCs/>
                <w:color w:val="auto"/>
                <w:highlight w:val="none"/>
              </w:rPr>
              <w:t>2.</w:t>
            </w:r>
            <w:r>
              <w:rPr>
                <w:rFonts w:hint="eastAsia" w:ascii="宋体" w:hAnsi="宋体"/>
                <w:bCs/>
                <w:color w:val="auto"/>
                <w:highlight w:val="none"/>
                <w:lang w:val="en-US" w:eastAsia="zh-CN"/>
              </w:rPr>
              <w:t>4</w:t>
            </w:r>
          </w:p>
        </w:tc>
        <w:tc>
          <w:tcPr>
            <w:tcW w:w="2893" w:type="dxa"/>
            <w:vAlign w:val="center"/>
          </w:tcPr>
          <w:p w14:paraId="17CC2969">
            <w:pPr>
              <w:spacing w:line="400" w:lineRule="exact"/>
              <w:jc w:val="center"/>
              <w:rPr>
                <w:rFonts w:ascii="宋体" w:hAnsi="宋体"/>
                <w:color w:val="auto"/>
                <w:highlight w:val="none"/>
              </w:rPr>
            </w:pPr>
            <w:r>
              <w:rPr>
                <w:rFonts w:hint="eastAsia" w:ascii="宋体" w:hAnsi="宋体" w:cs="宋体"/>
                <w:color w:val="auto"/>
                <w:highlight w:val="none"/>
              </w:rPr>
              <w:t>响应文件格式</w:t>
            </w:r>
          </w:p>
        </w:tc>
        <w:tc>
          <w:tcPr>
            <w:tcW w:w="5182" w:type="dxa"/>
            <w:vAlign w:val="center"/>
          </w:tcPr>
          <w:p w14:paraId="3C224857">
            <w:pPr>
              <w:spacing w:line="400" w:lineRule="exact"/>
              <w:jc w:val="left"/>
              <w:rPr>
                <w:rFonts w:ascii="宋体" w:hAnsi="宋体" w:cs="宋体"/>
                <w:color w:val="auto"/>
                <w:kern w:val="0"/>
                <w:highlight w:val="none"/>
              </w:rPr>
            </w:pPr>
            <w:r>
              <w:rPr>
                <w:rFonts w:hint="eastAsia" w:ascii="宋体" w:hAnsi="宋体" w:cs="宋体"/>
                <w:color w:val="auto"/>
                <w:highlight w:val="none"/>
              </w:rPr>
              <w:t>符合第六章“响应文件格式”的规定</w:t>
            </w:r>
          </w:p>
        </w:tc>
      </w:tr>
      <w:tr w14:paraId="161A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4" w:type="dxa"/>
            <w:vAlign w:val="center"/>
          </w:tcPr>
          <w:p w14:paraId="78A897C2">
            <w:pPr>
              <w:spacing w:line="360" w:lineRule="auto"/>
              <w:jc w:val="center"/>
              <w:rPr>
                <w:rFonts w:hint="eastAsia" w:ascii="宋体" w:hAnsi="宋体" w:eastAsia="宋体"/>
                <w:bCs/>
                <w:color w:val="auto"/>
                <w:highlight w:val="none"/>
                <w:lang w:eastAsia="zh-CN"/>
              </w:rPr>
            </w:pPr>
            <w:r>
              <w:rPr>
                <w:rFonts w:hint="eastAsia" w:ascii="宋体" w:hAnsi="宋体"/>
                <w:bCs/>
                <w:color w:val="auto"/>
                <w:highlight w:val="none"/>
              </w:rPr>
              <w:t>2.</w:t>
            </w:r>
            <w:r>
              <w:rPr>
                <w:rFonts w:hint="eastAsia" w:ascii="宋体" w:hAnsi="宋体"/>
                <w:bCs/>
                <w:color w:val="auto"/>
                <w:highlight w:val="none"/>
                <w:lang w:val="en-US" w:eastAsia="zh-CN"/>
              </w:rPr>
              <w:t>5</w:t>
            </w:r>
          </w:p>
        </w:tc>
        <w:tc>
          <w:tcPr>
            <w:tcW w:w="2893" w:type="dxa"/>
            <w:vAlign w:val="center"/>
          </w:tcPr>
          <w:p w14:paraId="37BAA6FF">
            <w:pPr>
              <w:spacing w:line="400" w:lineRule="exact"/>
              <w:jc w:val="center"/>
              <w:rPr>
                <w:rFonts w:ascii="宋体" w:hAnsi="宋体" w:cs="宋体"/>
                <w:color w:val="auto"/>
                <w:highlight w:val="none"/>
              </w:rPr>
            </w:pPr>
            <w:r>
              <w:rPr>
                <w:rFonts w:hint="eastAsia" w:ascii="宋体" w:hAnsi="宋体" w:cs="宋体"/>
                <w:color w:val="auto"/>
                <w:highlight w:val="none"/>
              </w:rPr>
              <w:t>报价唯一</w:t>
            </w:r>
          </w:p>
        </w:tc>
        <w:tc>
          <w:tcPr>
            <w:tcW w:w="5182" w:type="dxa"/>
            <w:vAlign w:val="center"/>
          </w:tcPr>
          <w:p w14:paraId="2AD0C6BC">
            <w:pPr>
              <w:spacing w:line="400" w:lineRule="exact"/>
              <w:jc w:val="left"/>
              <w:rPr>
                <w:rFonts w:ascii="宋体" w:hAnsi="宋体" w:cs="宋体"/>
                <w:color w:val="auto"/>
                <w:highlight w:val="none"/>
              </w:rPr>
            </w:pPr>
            <w:r>
              <w:rPr>
                <w:rFonts w:hint="eastAsia" w:ascii="宋体" w:hAnsi="宋体" w:cs="宋体"/>
                <w:color w:val="auto"/>
                <w:highlight w:val="none"/>
              </w:rPr>
              <w:t>只能有一个有效报价</w:t>
            </w:r>
          </w:p>
        </w:tc>
      </w:tr>
      <w:tr w14:paraId="6184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124" w:type="dxa"/>
            <w:vAlign w:val="center"/>
          </w:tcPr>
          <w:p w14:paraId="2BC99F22">
            <w:pPr>
              <w:spacing w:line="360" w:lineRule="auto"/>
              <w:jc w:val="center"/>
              <w:rPr>
                <w:rFonts w:hint="eastAsia" w:ascii="宋体" w:hAnsi="宋体" w:eastAsia="宋体"/>
                <w:bCs/>
                <w:color w:val="auto"/>
                <w:highlight w:val="none"/>
                <w:lang w:eastAsia="zh-CN"/>
              </w:rPr>
            </w:pPr>
            <w:r>
              <w:rPr>
                <w:rFonts w:hint="eastAsia" w:ascii="宋体" w:hAnsi="宋体"/>
                <w:bCs/>
                <w:color w:val="auto"/>
                <w:highlight w:val="none"/>
              </w:rPr>
              <w:t>2.</w:t>
            </w:r>
            <w:r>
              <w:rPr>
                <w:rFonts w:hint="eastAsia" w:ascii="宋体" w:hAnsi="宋体"/>
                <w:bCs/>
                <w:color w:val="auto"/>
                <w:highlight w:val="none"/>
                <w:lang w:val="en-US" w:eastAsia="zh-CN"/>
              </w:rPr>
              <w:t>6</w:t>
            </w:r>
          </w:p>
        </w:tc>
        <w:tc>
          <w:tcPr>
            <w:tcW w:w="2893" w:type="dxa"/>
            <w:vAlign w:val="center"/>
          </w:tcPr>
          <w:p w14:paraId="305A1B07">
            <w:pPr>
              <w:spacing w:line="400" w:lineRule="exact"/>
              <w:jc w:val="center"/>
              <w:rPr>
                <w:rFonts w:hint="eastAsia" w:ascii="宋体" w:hAnsi="宋体" w:eastAsia="宋体"/>
                <w:color w:val="auto"/>
                <w:highlight w:val="none"/>
                <w:lang w:eastAsia="zh-CN"/>
              </w:rPr>
            </w:pPr>
            <w:r>
              <w:rPr>
                <w:rFonts w:hint="eastAsia" w:ascii="宋体" w:hAnsi="宋体" w:cs="宋体"/>
                <w:color w:val="auto"/>
                <w:highlight w:val="none"/>
              </w:rPr>
              <w:t>质量要求</w:t>
            </w:r>
          </w:p>
        </w:tc>
        <w:tc>
          <w:tcPr>
            <w:tcW w:w="5182" w:type="dxa"/>
            <w:vAlign w:val="center"/>
          </w:tcPr>
          <w:p w14:paraId="7ACEF8F6">
            <w:pPr>
              <w:spacing w:line="400" w:lineRule="exact"/>
              <w:jc w:val="left"/>
              <w:rPr>
                <w:rFonts w:ascii="宋体" w:hAnsi="宋体" w:cs="宋体"/>
                <w:color w:val="auto"/>
                <w:kern w:val="0"/>
                <w:highlight w:val="none"/>
              </w:rPr>
            </w:pPr>
            <w:r>
              <w:rPr>
                <w:rFonts w:hint="eastAsia" w:ascii="宋体" w:hAnsi="宋体" w:cs="宋体"/>
                <w:color w:val="auto"/>
                <w:highlight w:val="none"/>
              </w:rPr>
              <w:t>符合第二章“供应商须知”第1.3.2项规定</w:t>
            </w:r>
          </w:p>
        </w:tc>
      </w:tr>
      <w:tr w14:paraId="5563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124" w:type="dxa"/>
            <w:vAlign w:val="center"/>
          </w:tcPr>
          <w:p w14:paraId="05D7C096">
            <w:pPr>
              <w:spacing w:line="360" w:lineRule="auto"/>
              <w:jc w:val="center"/>
              <w:rPr>
                <w:rFonts w:hint="eastAsia" w:ascii="宋体" w:hAnsi="宋体" w:eastAsia="宋体"/>
                <w:bCs/>
                <w:color w:val="auto"/>
                <w:highlight w:val="none"/>
                <w:lang w:eastAsia="zh-CN"/>
              </w:rPr>
            </w:pPr>
            <w:r>
              <w:rPr>
                <w:rFonts w:hint="eastAsia" w:ascii="宋体" w:hAnsi="宋体"/>
                <w:bCs/>
                <w:color w:val="auto"/>
                <w:highlight w:val="none"/>
              </w:rPr>
              <w:t>2.</w:t>
            </w:r>
            <w:r>
              <w:rPr>
                <w:rFonts w:hint="eastAsia" w:ascii="宋体" w:hAnsi="宋体"/>
                <w:bCs/>
                <w:color w:val="auto"/>
                <w:highlight w:val="none"/>
                <w:lang w:val="en-US" w:eastAsia="zh-CN"/>
              </w:rPr>
              <w:t>7</w:t>
            </w:r>
          </w:p>
        </w:tc>
        <w:tc>
          <w:tcPr>
            <w:tcW w:w="2893" w:type="dxa"/>
            <w:vAlign w:val="center"/>
          </w:tcPr>
          <w:p w14:paraId="7D4F3230">
            <w:pPr>
              <w:spacing w:line="400" w:lineRule="exact"/>
              <w:jc w:val="center"/>
              <w:rPr>
                <w:rFonts w:ascii="宋体" w:hAnsi="宋体"/>
                <w:color w:val="auto"/>
                <w:highlight w:val="none"/>
              </w:rPr>
            </w:pPr>
            <w:r>
              <w:rPr>
                <w:rFonts w:hint="eastAsia" w:ascii="宋体" w:hAnsi="宋体"/>
                <w:color w:val="auto"/>
                <w:highlight w:val="none"/>
                <w:lang w:eastAsia="zh-CN"/>
              </w:rPr>
              <w:t>服务期限</w:t>
            </w:r>
          </w:p>
        </w:tc>
        <w:tc>
          <w:tcPr>
            <w:tcW w:w="5182" w:type="dxa"/>
            <w:vAlign w:val="center"/>
          </w:tcPr>
          <w:p w14:paraId="22662EEF">
            <w:pPr>
              <w:spacing w:line="400" w:lineRule="exact"/>
              <w:jc w:val="left"/>
              <w:rPr>
                <w:rFonts w:ascii="宋体" w:hAnsi="宋体" w:cs="宋体"/>
                <w:color w:val="auto"/>
                <w:kern w:val="0"/>
                <w:highlight w:val="none"/>
              </w:rPr>
            </w:pPr>
            <w:r>
              <w:rPr>
                <w:rFonts w:hint="eastAsia" w:ascii="宋体" w:hAnsi="宋体" w:cs="宋体"/>
                <w:color w:val="auto"/>
                <w:highlight w:val="none"/>
              </w:rPr>
              <w:t>符合第二章“供应商须知”第1.3.3项规定</w:t>
            </w:r>
          </w:p>
        </w:tc>
      </w:tr>
      <w:tr w14:paraId="59F4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24" w:type="dxa"/>
            <w:vAlign w:val="center"/>
          </w:tcPr>
          <w:p w14:paraId="2EED8A68">
            <w:pPr>
              <w:spacing w:line="360" w:lineRule="auto"/>
              <w:jc w:val="center"/>
              <w:rPr>
                <w:rFonts w:hint="eastAsia" w:ascii="宋体" w:hAnsi="宋体" w:eastAsia="宋体"/>
                <w:bCs/>
                <w:color w:val="auto"/>
                <w:highlight w:val="none"/>
                <w:lang w:val="en-US" w:eastAsia="zh-CN"/>
              </w:rPr>
            </w:pPr>
            <w:r>
              <w:rPr>
                <w:rFonts w:hint="eastAsia" w:ascii="宋体" w:hAnsi="宋体"/>
                <w:bCs/>
                <w:color w:val="auto"/>
                <w:highlight w:val="none"/>
              </w:rPr>
              <w:t>2.</w:t>
            </w:r>
            <w:r>
              <w:rPr>
                <w:rFonts w:hint="eastAsia" w:ascii="宋体" w:hAnsi="宋体"/>
                <w:bCs/>
                <w:color w:val="auto"/>
                <w:highlight w:val="none"/>
                <w:lang w:val="en-US" w:eastAsia="zh-CN"/>
              </w:rPr>
              <w:t>8</w:t>
            </w:r>
          </w:p>
        </w:tc>
        <w:tc>
          <w:tcPr>
            <w:tcW w:w="2893" w:type="dxa"/>
            <w:vAlign w:val="center"/>
          </w:tcPr>
          <w:p w14:paraId="30EC1B95">
            <w:pPr>
              <w:spacing w:line="400" w:lineRule="exact"/>
              <w:jc w:val="center"/>
              <w:rPr>
                <w:rFonts w:ascii="宋体" w:hAnsi="宋体"/>
                <w:color w:val="auto"/>
                <w:highlight w:val="none"/>
              </w:rPr>
            </w:pPr>
            <w:r>
              <w:rPr>
                <w:rFonts w:hint="eastAsia" w:ascii="宋体" w:hAnsi="宋体" w:cs="宋体"/>
                <w:color w:val="auto"/>
                <w:highlight w:val="none"/>
              </w:rPr>
              <w:t>磋商有效期</w:t>
            </w:r>
          </w:p>
        </w:tc>
        <w:tc>
          <w:tcPr>
            <w:tcW w:w="5182" w:type="dxa"/>
            <w:vAlign w:val="center"/>
          </w:tcPr>
          <w:p w14:paraId="50423F7F">
            <w:pPr>
              <w:spacing w:line="400" w:lineRule="exact"/>
              <w:jc w:val="left"/>
              <w:rPr>
                <w:rFonts w:ascii="宋体" w:hAnsi="宋体" w:cs="宋体"/>
                <w:color w:val="auto"/>
                <w:kern w:val="0"/>
                <w:highlight w:val="none"/>
              </w:rPr>
            </w:pPr>
            <w:r>
              <w:rPr>
                <w:rFonts w:hint="eastAsia" w:ascii="宋体" w:hAnsi="宋体" w:cs="宋体"/>
                <w:color w:val="auto"/>
                <w:highlight w:val="none"/>
              </w:rPr>
              <w:t>符合第二章“供应商须知”第3.3.1项规定</w:t>
            </w:r>
          </w:p>
        </w:tc>
      </w:tr>
      <w:tr w14:paraId="24E7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24" w:type="dxa"/>
            <w:vAlign w:val="center"/>
          </w:tcPr>
          <w:p w14:paraId="54383592">
            <w:pPr>
              <w:spacing w:line="360" w:lineRule="auto"/>
              <w:jc w:val="center"/>
              <w:rPr>
                <w:rFonts w:hint="eastAsia" w:ascii="宋体" w:hAnsi="宋体"/>
                <w:bCs/>
                <w:color w:val="auto"/>
                <w:highlight w:val="none"/>
              </w:rPr>
            </w:pPr>
            <w:r>
              <w:rPr>
                <w:rFonts w:hint="eastAsia" w:ascii="宋体" w:hAnsi="宋体"/>
                <w:bCs/>
                <w:color w:val="auto"/>
                <w:highlight w:val="none"/>
              </w:rPr>
              <w:t>2.</w:t>
            </w:r>
            <w:r>
              <w:rPr>
                <w:rFonts w:hint="eastAsia" w:ascii="宋体" w:hAnsi="宋体"/>
                <w:bCs/>
                <w:color w:val="auto"/>
                <w:highlight w:val="none"/>
                <w:lang w:val="en-US" w:eastAsia="zh-CN"/>
              </w:rPr>
              <w:t>9</w:t>
            </w:r>
          </w:p>
        </w:tc>
        <w:tc>
          <w:tcPr>
            <w:tcW w:w="2893" w:type="dxa"/>
            <w:vAlign w:val="center"/>
          </w:tcPr>
          <w:p w14:paraId="21FC35D0">
            <w:pPr>
              <w:spacing w:line="400" w:lineRule="exact"/>
              <w:jc w:val="center"/>
              <w:rPr>
                <w:rFonts w:hint="eastAsia" w:ascii="宋体" w:hAnsi="宋体" w:cs="宋体"/>
                <w:color w:val="auto"/>
                <w:highlight w:val="none"/>
              </w:rPr>
            </w:pPr>
            <w:r>
              <w:rPr>
                <w:rFonts w:hint="eastAsia" w:ascii="宋体" w:hAnsi="宋体" w:cs="宋体"/>
                <w:color w:val="auto"/>
                <w:highlight w:val="none"/>
              </w:rPr>
              <w:t>投标报价</w:t>
            </w:r>
          </w:p>
        </w:tc>
        <w:tc>
          <w:tcPr>
            <w:tcW w:w="5182" w:type="dxa"/>
            <w:vAlign w:val="center"/>
          </w:tcPr>
          <w:p w14:paraId="3441AC7B">
            <w:pPr>
              <w:spacing w:line="400" w:lineRule="exact"/>
              <w:jc w:val="left"/>
              <w:rPr>
                <w:rFonts w:hint="eastAsia" w:ascii="宋体" w:hAnsi="宋体" w:cs="宋体"/>
                <w:color w:val="auto"/>
                <w:highlight w:val="none"/>
              </w:rPr>
            </w:pPr>
            <w:r>
              <w:rPr>
                <w:rFonts w:hint="eastAsia" w:ascii="宋体" w:hAnsi="宋体" w:cs="宋体"/>
                <w:color w:val="auto"/>
                <w:highlight w:val="none"/>
              </w:rPr>
              <w:t>低于（含等于）最高投标限价（预算价）</w:t>
            </w:r>
          </w:p>
        </w:tc>
      </w:tr>
    </w:tbl>
    <w:p w14:paraId="242CDBB7">
      <w:pPr>
        <w:spacing w:line="360" w:lineRule="auto"/>
        <w:ind w:firstLine="422" w:firstLineChars="200"/>
        <w:rPr>
          <w:rFonts w:ascii="宋体" w:hAnsi="宋体"/>
          <w:b/>
          <w:bCs/>
          <w:color w:val="auto"/>
          <w:highlight w:val="none"/>
        </w:rPr>
      </w:pPr>
      <w:r>
        <w:rPr>
          <w:rFonts w:hint="eastAsia" w:ascii="宋体" w:hAnsi="宋体"/>
          <w:b/>
          <w:bCs/>
          <w:color w:val="auto"/>
          <w:highlight w:val="none"/>
        </w:rPr>
        <w:t xml:space="preserve">以上资格性审查和符合性审查的内容只要有一条不满足，则响应文件无效，将不进入竞争性磋商程序,磋商小组应告知提交响应文件的供应商。 </w:t>
      </w:r>
    </w:p>
    <w:p w14:paraId="47A4826C">
      <w:pPr>
        <w:spacing w:line="360" w:lineRule="auto"/>
        <w:rPr>
          <w:rFonts w:ascii="宋体" w:hAnsi="宋体"/>
          <w:b/>
          <w:color w:val="auto"/>
          <w:highlight w:val="none"/>
        </w:rPr>
      </w:pPr>
      <w:r>
        <w:rPr>
          <w:rFonts w:hint="eastAsia" w:ascii="宋体" w:hAnsi="宋体"/>
          <w:b/>
          <w:color w:val="auto"/>
          <w:highlight w:val="none"/>
        </w:rPr>
        <w:t>二、响应文件的澄清</w:t>
      </w:r>
    </w:p>
    <w:p w14:paraId="6639382E">
      <w:pPr>
        <w:spacing w:line="360" w:lineRule="auto"/>
        <w:rPr>
          <w:rFonts w:ascii="宋体" w:hAnsi="宋体"/>
          <w:color w:val="auto"/>
          <w:highlight w:val="none"/>
        </w:rPr>
      </w:pPr>
      <w:r>
        <w:rPr>
          <w:rFonts w:hint="eastAsia" w:ascii="宋体" w:hAnsi="宋体"/>
          <w:color w:val="auto"/>
          <w:highlight w:val="none"/>
        </w:rPr>
        <w:t xml:space="preserve">    磋商小组对响应文件中含义不明确、同类问题表述不一致或者有明显文字和计算错误的内容，磋商小组可以书面形式（应当由磋商小组专家签字）要求供应商作出必要的澄清、说明或者补正。供应商的澄清、说明或补正应当采用书面形式，由其授权的代表签字，并不得超出响应文件的范围或者改变响应文件的实质性内容。</w:t>
      </w:r>
    </w:p>
    <w:p w14:paraId="34258FA6">
      <w:pPr>
        <w:numPr>
          <w:ilvl w:val="0"/>
          <w:numId w:val="8"/>
        </w:numPr>
        <w:spacing w:line="360" w:lineRule="auto"/>
        <w:rPr>
          <w:rFonts w:ascii="宋体" w:hAnsi="宋体"/>
          <w:b/>
          <w:color w:val="auto"/>
          <w:highlight w:val="none"/>
        </w:rPr>
      </w:pPr>
      <w:r>
        <w:rPr>
          <w:rFonts w:hint="eastAsia" w:ascii="宋体" w:hAnsi="宋体"/>
          <w:b/>
          <w:color w:val="auto"/>
          <w:highlight w:val="none"/>
        </w:rPr>
        <w:t>算术性错误的修正</w:t>
      </w:r>
    </w:p>
    <w:p w14:paraId="16ED08BA">
      <w:pPr>
        <w:spacing w:line="360" w:lineRule="auto"/>
        <w:ind w:firstLine="420" w:firstLineChars="200"/>
        <w:rPr>
          <w:rFonts w:ascii="宋体" w:hAnsi="宋体"/>
          <w:color w:val="auto"/>
          <w:highlight w:val="none"/>
        </w:rPr>
      </w:pPr>
      <w:r>
        <w:rPr>
          <w:rFonts w:hint="eastAsia" w:ascii="宋体" w:hAnsi="宋体"/>
          <w:color w:val="auto"/>
          <w:highlight w:val="none"/>
        </w:rPr>
        <w:t>投标报价有算术错误的，磋商小组按以下原则对投标报价进行修正，修正的价格经供应商书面确认后具有约束力。供应商不接受修正价格的，其投标作废标处理。</w:t>
      </w:r>
    </w:p>
    <w:p w14:paraId="51DE6511">
      <w:pPr>
        <w:spacing w:line="360" w:lineRule="auto"/>
        <w:rPr>
          <w:rFonts w:ascii="宋体" w:hAnsi="宋体"/>
          <w:color w:val="auto"/>
          <w:highlight w:val="none"/>
        </w:rPr>
      </w:pPr>
      <w:r>
        <w:rPr>
          <w:rFonts w:hint="eastAsia" w:ascii="宋体" w:hAnsi="宋体"/>
          <w:color w:val="auto"/>
          <w:highlight w:val="none"/>
        </w:rPr>
        <w:t xml:space="preserve">   （1）响应文件的大写金额与小写金额不一致的，以大写金额为准；</w:t>
      </w:r>
    </w:p>
    <w:p w14:paraId="003CC852">
      <w:pPr>
        <w:spacing w:line="360" w:lineRule="auto"/>
        <w:rPr>
          <w:rFonts w:ascii="宋体" w:hAnsi="宋体"/>
          <w:color w:val="auto"/>
          <w:highlight w:val="none"/>
        </w:rPr>
      </w:pPr>
      <w:r>
        <w:rPr>
          <w:rFonts w:hint="eastAsia" w:ascii="宋体" w:hAnsi="宋体"/>
          <w:color w:val="auto"/>
          <w:highlight w:val="none"/>
        </w:rPr>
        <w:t xml:space="preserve">   （2）总价金额与按单价汇总金额不一致的，以单价金额计算结果为准；单价金额小数点有明显错误的，应以总价为准，并修改单价；对不同文字文本响应文件的解释发生异议的，以中文文本为准。</w:t>
      </w:r>
    </w:p>
    <w:p w14:paraId="69DA4323">
      <w:pPr>
        <w:spacing w:line="360" w:lineRule="auto"/>
        <w:rPr>
          <w:rFonts w:ascii="宋体" w:hAnsi="宋体"/>
          <w:b/>
          <w:color w:val="auto"/>
          <w:highlight w:val="none"/>
        </w:rPr>
      </w:pPr>
      <w:r>
        <w:rPr>
          <w:rFonts w:hint="eastAsia" w:ascii="宋体" w:hAnsi="宋体"/>
          <w:b/>
          <w:color w:val="auto"/>
          <w:highlight w:val="none"/>
        </w:rPr>
        <w:t>四、详细评审</w:t>
      </w:r>
    </w:p>
    <w:p w14:paraId="5BD23274">
      <w:pPr>
        <w:spacing w:line="360" w:lineRule="auto"/>
        <w:ind w:firstLine="420" w:firstLineChars="200"/>
        <w:rPr>
          <w:rFonts w:ascii="宋体" w:hAnsi="宋体"/>
          <w:color w:val="auto"/>
          <w:highlight w:val="none"/>
        </w:rPr>
      </w:pPr>
      <w:r>
        <w:rPr>
          <w:rFonts w:hint="eastAsia" w:ascii="宋体" w:hAnsi="宋体"/>
          <w:color w:val="auto"/>
          <w:highlight w:val="none"/>
        </w:rPr>
        <w:t>磋商小组依据本章详细评分因素及分值分配表，对通过资格性检查和符合性检查的有效响应文件针对投标报价、商务和技术等进行评估，综合比较与评价。</w:t>
      </w:r>
      <w:bookmarkEnd w:id="83"/>
      <w:bookmarkEnd w:id="84"/>
      <w:bookmarkEnd w:id="85"/>
      <w:bookmarkEnd w:id="86"/>
      <w:bookmarkEnd w:id="87"/>
      <w:bookmarkEnd w:id="88"/>
      <w:bookmarkEnd w:id="89"/>
      <w:r>
        <w:rPr>
          <w:rFonts w:hint="eastAsia" w:ascii="宋体" w:hAnsi="宋体"/>
          <w:b/>
          <w:bCs/>
          <w:color w:val="auto"/>
          <w:highlight w:val="none"/>
          <w:lang w:val="zh-CN"/>
        </w:rPr>
        <w:t>本次竞争性磋商进行2轮次报价</w:t>
      </w:r>
      <w:r>
        <w:rPr>
          <w:rFonts w:hint="eastAsia" w:ascii="宋体" w:hAnsi="宋体"/>
          <w:color w:val="auto"/>
          <w:highlight w:val="none"/>
          <w:lang w:val="zh-CN"/>
        </w:rPr>
        <w:t>。响应文件</w:t>
      </w:r>
      <w:r>
        <w:rPr>
          <w:rFonts w:hint="eastAsia" w:ascii="宋体" w:hAnsi="宋体"/>
          <w:color w:val="auto"/>
          <w:highlight w:val="none"/>
        </w:rPr>
        <w:t>中报价为第一轮次报价，以后轮次报价不得高于上一轮次报价（除磋商文件有实质性变动外），否则将被视为未实质性响应磋商文件。</w:t>
      </w:r>
    </w:p>
    <w:p w14:paraId="69395BE4">
      <w:pPr>
        <w:spacing w:line="360" w:lineRule="auto"/>
        <w:ind w:firstLine="420" w:firstLineChars="200"/>
        <w:rPr>
          <w:rFonts w:ascii="宋体" w:hAnsi="宋体"/>
          <w:b/>
          <w:bCs/>
          <w:color w:val="auto"/>
          <w:sz w:val="32"/>
          <w:szCs w:val="32"/>
          <w:highlight w:val="none"/>
        </w:rPr>
      </w:pPr>
      <w:r>
        <w:rPr>
          <w:rFonts w:hint="eastAsia" w:ascii="宋体" w:hAnsi="宋体"/>
          <w:color w:val="auto"/>
          <w:highlight w:val="none"/>
        </w:rPr>
        <w:t>竞争性磋商结束后，竞争性磋商小组应当要求所有参加竞争性磋商的供应商在规定的时间内进行最后报价，</w:t>
      </w:r>
      <w:r>
        <w:rPr>
          <w:rFonts w:hint="eastAsia" w:ascii="宋体" w:hAnsi="宋体"/>
          <w:b/>
          <w:bCs/>
          <w:color w:val="auto"/>
          <w:highlight w:val="none"/>
        </w:rPr>
        <w:t>竞争性磋商报价以供应商的最后报价为准。</w:t>
      </w:r>
    </w:p>
    <w:p w14:paraId="4E442BCB">
      <w:pPr>
        <w:spacing w:line="360" w:lineRule="auto"/>
        <w:ind w:firstLine="420"/>
        <w:jc w:val="center"/>
        <w:rPr>
          <w:rFonts w:ascii="宋体" w:hAnsi="宋体"/>
          <w:b/>
          <w:bCs/>
          <w:color w:val="auto"/>
          <w:sz w:val="32"/>
          <w:szCs w:val="32"/>
          <w:highlight w:val="none"/>
        </w:rPr>
      </w:pPr>
    </w:p>
    <w:p w14:paraId="51983179">
      <w:pPr>
        <w:spacing w:line="360" w:lineRule="auto"/>
        <w:ind w:firstLine="420"/>
        <w:jc w:val="center"/>
        <w:rPr>
          <w:rFonts w:ascii="宋体" w:hAnsi="宋体"/>
          <w:b/>
          <w:bCs/>
          <w:color w:val="auto"/>
          <w:sz w:val="32"/>
          <w:szCs w:val="32"/>
          <w:highlight w:val="none"/>
        </w:rPr>
      </w:pPr>
    </w:p>
    <w:p w14:paraId="1FC31E3F">
      <w:pPr>
        <w:spacing w:line="360" w:lineRule="auto"/>
        <w:ind w:firstLine="420"/>
        <w:jc w:val="center"/>
        <w:rPr>
          <w:rFonts w:ascii="宋体" w:hAnsi="宋体"/>
          <w:b/>
          <w:bCs/>
          <w:color w:val="auto"/>
          <w:sz w:val="32"/>
          <w:szCs w:val="32"/>
          <w:highlight w:val="none"/>
        </w:rPr>
      </w:pPr>
    </w:p>
    <w:p w14:paraId="31097FB4">
      <w:pPr>
        <w:spacing w:line="360" w:lineRule="auto"/>
        <w:ind w:firstLine="420"/>
        <w:jc w:val="center"/>
        <w:rPr>
          <w:rFonts w:ascii="宋体" w:hAnsi="宋体"/>
          <w:b/>
          <w:bCs/>
          <w:color w:val="auto"/>
          <w:sz w:val="32"/>
          <w:szCs w:val="32"/>
          <w:highlight w:val="none"/>
        </w:rPr>
      </w:pPr>
    </w:p>
    <w:p w14:paraId="750C9B13">
      <w:pPr>
        <w:spacing w:line="360" w:lineRule="auto"/>
        <w:ind w:firstLine="420"/>
        <w:jc w:val="center"/>
        <w:rPr>
          <w:rFonts w:ascii="宋体" w:hAnsi="宋体"/>
          <w:b/>
          <w:bCs/>
          <w:color w:val="auto"/>
          <w:sz w:val="32"/>
          <w:szCs w:val="32"/>
          <w:highlight w:val="none"/>
        </w:rPr>
      </w:pPr>
    </w:p>
    <w:p w14:paraId="5F588E06">
      <w:pPr>
        <w:spacing w:line="360" w:lineRule="auto"/>
        <w:ind w:firstLine="420"/>
        <w:jc w:val="center"/>
        <w:rPr>
          <w:rFonts w:ascii="宋体" w:hAnsi="宋体"/>
          <w:b/>
          <w:bCs/>
          <w:color w:val="auto"/>
          <w:sz w:val="32"/>
          <w:szCs w:val="32"/>
          <w:highlight w:val="none"/>
        </w:rPr>
      </w:pPr>
    </w:p>
    <w:p w14:paraId="074B5308">
      <w:pPr>
        <w:spacing w:line="360" w:lineRule="auto"/>
        <w:ind w:firstLine="420"/>
        <w:jc w:val="center"/>
        <w:rPr>
          <w:rFonts w:ascii="宋体" w:hAnsi="宋体"/>
          <w:b/>
          <w:bCs/>
          <w:color w:val="auto"/>
          <w:sz w:val="32"/>
          <w:szCs w:val="32"/>
          <w:highlight w:val="none"/>
        </w:rPr>
      </w:pPr>
    </w:p>
    <w:p w14:paraId="3E83E1F8">
      <w:pPr>
        <w:spacing w:line="360" w:lineRule="auto"/>
        <w:ind w:firstLine="420"/>
        <w:jc w:val="center"/>
        <w:rPr>
          <w:rFonts w:ascii="宋体" w:hAnsi="宋体"/>
          <w:b/>
          <w:bCs/>
          <w:color w:val="auto"/>
          <w:sz w:val="32"/>
          <w:szCs w:val="32"/>
          <w:highlight w:val="none"/>
        </w:rPr>
      </w:pPr>
    </w:p>
    <w:p w14:paraId="50D67C1E">
      <w:pPr>
        <w:spacing w:line="360" w:lineRule="auto"/>
        <w:ind w:firstLine="420"/>
        <w:jc w:val="center"/>
        <w:rPr>
          <w:rFonts w:ascii="宋体" w:hAnsi="宋体"/>
          <w:b/>
          <w:bCs/>
          <w:color w:val="auto"/>
          <w:sz w:val="32"/>
          <w:szCs w:val="32"/>
          <w:highlight w:val="none"/>
        </w:rPr>
      </w:pPr>
    </w:p>
    <w:p w14:paraId="634A43FD">
      <w:pPr>
        <w:spacing w:line="360" w:lineRule="auto"/>
        <w:ind w:firstLine="420"/>
        <w:jc w:val="center"/>
        <w:rPr>
          <w:rFonts w:ascii="宋体" w:hAnsi="宋体"/>
          <w:b/>
          <w:bCs/>
          <w:color w:val="auto"/>
          <w:sz w:val="32"/>
          <w:szCs w:val="32"/>
          <w:highlight w:val="none"/>
        </w:rPr>
      </w:pPr>
    </w:p>
    <w:p w14:paraId="6AD59943">
      <w:pPr>
        <w:spacing w:line="360" w:lineRule="auto"/>
        <w:ind w:firstLine="420"/>
        <w:jc w:val="center"/>
        <w:rPr>
          <w:rFonts w:ascii="宋体" w:hAnsi="宋体"/>
          <w:b/>
          <w:bCs/>
          <w:color w:val="auto"/>
          <w:sz w:val="32"/>
          <w:szCs w:val="32"/>
          <w:highlight w:val="none"/>
        </w:rPr>
      </w:pPr>
    </w:p>
    <w:p w14:paraId="59C9C830">
      <w:pPr>
        <w:spacing w:line="360" w:lineRule="auto"/>
        <w:jc w:val="center"/>
        <w:rPr>
          <w:rFonts w:hint="eastAsia" w:ascii="宋体" w:hAnsi="宋体"/>
          <w:b/>
          <w:bCs/>
          <w:color w:val="auto"/>
          <w:sz w:val="32"/>
          <w:szCs w:val="32"/>
          <w:highlight w:val="none"/>
        </w:rPr>
        <w:sectPr>
          <w:headerReference r:id="rId10" w:type="default"/>
          <w:footerReference r:id="rId11" w:type="default"/>
          <w:pgSz w:w="11905" w:h="16838"/>
          <w:pgMar w:top="1247" w:right="1134" w:bottom="1247" w:left="1247" w:header="850" w:footer="720" w:gutter="0"/>
          <w:pgNumType w:fmt="decimal" w:chapStyle="1"/>
          <w:cols w:space="720" w:num="1"/>
        </w:sectPr>
      </w:pPr>
    </w:p>
    <w:p w14:paraId="586F17CD">
      <w:pPr>
        <w:spacing w:line="360" w:lineRule="auto"/>
        <w:jc w:val="center"/>
        <w:rPr>
          <w:rFonts w:ascii="宋体" w:hAnsi="宋体" w:cs="仿宋_GB2312"/>
          <w:b/>
          <w:color w:val="auto"/>
          <w:highlight w:val="none"/>
          <w:u w:val="single"/>
        </w:rPr>
      </w:pPr>
      <w:r>
        <w:rPr>
          <w:rFonts w:hint="eastAsia" w:ascii="宋体" w:hAnsi="宋体"/>
          <w:b/>
          <w:bCs/>
          <w:color w:val="auto"/>
          <w:sz w:val="32"/>
          <w:szCs w:val="32"/>
          <w:highlight w:val="none"/>
        </w:rPr>
        <w:t>详 细 评 审</w:t>
      </w:r>
    </w:p>
    <w:tbl>
      <w:tblPr>
        <w:tblStyle w:val="54"/>
        <w:tblW w:w="10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796"/>
        <w:gridCol w:w="1853"/>
        <w:gridCol w:w="6880"/>
      </w:tblGrid>
      <w:tr w14:paraId="130A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65" w:type="dxa"/>
            <w:noWrap/>
            <w:vAlign w:val="center"/>
          </w:tcPr>
          <w:p w14:paraId="4AE48108">
            <w:pPr>
              <w:widowControl/>
              <w:spacing w:line="360" w:lineRule="auto"/>
              <w:jc w:val="center"/>
              <w:rPr>
                <w:rFonts w:ascii="宋体" w:hAnsi="宋体" w:cs="宋体"/>
                <w:b/>
                <w:color w:val="auto"/>
                <w:highlight w:val="none"/>
              </w:rPr>
            </w:pPr>
            <w:r>
              <w:rPr>
                <w:rFonts w:hint="eastAsia" w:ascii="宋体" w:hAnsi="宋体" w:cs="宋体"/>
                <w:b/>
                <w:color w:val="auto"/>
                <w:highlight w:val="none"/>
              </w:rPr>
              <w:t>序号</w:t>
            </w:r>
          </w:p>
        </w:tc>
        <w:tc>
          <w:tcPr>
            <w:tcW w:w="796" w:type="dxa"/>
            <w:noWrap/>
            <w:vAlign w:val="center"/>
          </w:tcPr>
          <w:p w14:paraId="713A9C8F">
            <w:pPr>
              <w:widowControl/>
              <w:spacing w:line="360" w:lineRule="auto"/>
              <w:jc w:val="center"/>
              <w:rPr>
                <w:rFonts w:ascii="宋体" w:hAnsi="宋体" w:cs="宋体"/>
                <w:b/>
                <w:color w:val="auto"/>
                <w:highlight w:val="none"/>
              </w:rPr>
            </w:pPr>
            <w:r>
              <w:rPr>
                <w:rFonts w:hint="eastAsia" w:ascii="宋体" w:hAnsi="宋体" w:cs="宋体"/>
                <w:b/>
                <w:color w:val="auto"/>
                <w:highlight w:val="none"/>
              </w:rPr>
              <w:t>评审</w:t>
            </w:r>
          </w:p>
          <w:p w14:paraId="1069AFAB">
            <w:pPr>
              <w:widowControl/>
              <w:spacing w:line="360" w:lineRule="auto"/>
              <w:jc w:val="center"/>
              <w:rPr>
                <w:rFonts w:ascii="宋体" w:hAnsi="宋体" w:cs="宋体"/>
                <w:b/>
                <w:color w:val="auto"/>
                <w:highlight w:val="none"/>
              </w:rPr>
            </w:pPr>
            <w:r>
              <w:rPr>
                <w:rFonts w:hint="eastAsia" w:ascii="宋体" w:hAnsi="宋体" w:cs="宋体"/>
                <w:b/>
                <w:color w:val="auto"/>
                <w:highlight w:val="none"/>
              </w:rPr>
              <w:t>因素</w:t>
            </w:r>
          </w:p>
        </w:tc>
        <w:tc>
          <w:tcPr>
            <w:tcW w:w="1853" w:type="dxa"/>
            <w:noWrap/>
            <w:vAlign w:val="center"/>
          </w:tcPr>
          <w:p w14:paraId="2F6CF3B4">
            <w:pPr>
              <w:widowControl/>
              <w:spacing w:line="360" w:lineRule="auto"/>
              <w:jc w:val="center"/>
              <w:rPr>
                <w:rFonts w:ascii="宋体" w:hAnsi="宋体" w:cs="宋体"/>
                <w:b/>
                <w:color w:val="auto"/>
                <w:highlight w:val="none"/>
              </w:rPr>
            </w:pPr>
            <w:r>
              <w:rPr>
                <w:rFonts w:hint="eastAsia" w:ascii="宋体" w:hAnsi="宋体" w:cs="宋体"/>
                <w:b/>
                <w:color w:val="auto"/>
                <w:highlight w:val="none"/>
              </w:rPr>
              <w:t>评审标准</w:t>
            </w:r>
          </w:p>
        </w:tc>
        <w:tc>
          <w:tcPr>
            <w:tcW w:w="6880" w:type="dxa"/>
            <w:noWrap/>
            <w:vAlign w:val="center"/>
          </w:tcPr>
          <w:p w14:paraId="1F8B094D">
            <w:pPr>
              <w:widowControl/>
              <w:spacing w:line="360" w:lineRule="auto"/>
              <w:jc w:val="center"/>
              <w:rPr>
                <w:rFonts w:ascii="宋体" w:hAnsi="宋体" w:cs="宋体"/>
                <w:b/>
                <w:color w:val="auto"/>
                <w:highlight w:val="none"/>
              </w:rPr>
            </w:pPr>
            <w:r>
              <w:rPr>
                <w:rFonts w:hint="eastAsia" w:ascii="宋体" w:hAnsi="宋体" w:cs="宋体"/>
                <w:b/>
                <w:color w:val="auto"/>
                <w:highlight w:val="none"/>
              </w:rPr>
              <w:t>评审标准</w:t>
            </w:r>
          </w:p>
        </w:tc>
      </w:tr>
      <w:tr w14:paraId="6212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7" w:hRule="exact"/>
          <w:jc w:val="center"/>
        </w:trPr>
        <w:tc>
          <w:tcPr>
            <w:tcW w:w="665" w:type="dxa"/>
            <w:noWrap/>
            <w:vAlign w:val="center"/>
          </w:tcPr>
          <w:p w14:paraId="71924F30">
            <w:pPr>
              <w:widowControl/>
              <w:spacing w:line="360" w:lineRule="auto"/>
              <w:jc w:val="center"/>
              <w:rPr>
                <w:rFonts w:ascii="宋体" w:hAnsi="宋体" w:cs="宋体"/>
                <w:b/>
                <w:color w:val="auto"/>
                <w:highlight w:val="none"/>
              </w:rPr>
            </w:pPr>
            <w:r>
              <w:rPr>
                <w:rFonts w:hint="eastAsia" w:ascii="宋体" w:hAnsi="宋体" w:cs="宋体"/>
                <w:b/>
                <w:color w:val="auto"/>
                <w:highlight w:val="none"/>
              </w:rPr>
              <w:t>1</w:t>
            </w:r>
          </w:p>
        </w:tc>
        <w:tc>
          <w:tcPr>
            <w:tcW w:w="796" w:type="dxa"/>
            <w:noWrap/>
            <w:vAlign w:val="center"/>
          </w:tcPr>
          <w:p w14:paraId="283B2207">
            <w:pPr>
              <w:widowControl/>
              <w:spacing w:line="360" w:lineRule="auto"/>
              <w:jc w:val="center"/>
              <w:rPr>
                <w:rFonts w:ascii="宋体" w:hAnsi="宋体" w:cs="宋体"/>
                <w:b/>
                <w:color w:val="auto"/>
                <w:highlight w:val="none"/>
              </w:rPr>
            </w:pPr>
            <w:r>
              <w:rPr>
                <w:rFonts w:hint="eastAsia" w:ascii="宋体" w:hAnsi="宋体" w:cs="宋体"/>
                <w:b/>
                <w:color w:val="auto"/>
                <w:highlight w:val="none"/>
              </w:rPr>
              <w:t>商务</w:t>
            </w:r>
          </w:p>
          <w:p w14:paraId="7DFEF7F4">
            <w:pPr>
              <w:widowControl/>
              <w:spacing w:line="360" w:lineRule="auto"/>
              <w:jc w:val="center"/>
              <w:rPr>
                <w:rFonts w:ascii="宋体" w:hAnsi="宋体" w:cs="宋体"/>
                <w:b/>
                <w:color w:val="auto"/>
                <w:highlight w:val="none"/>
              </w:rPr>
            </w:pPr>
            <w:r>
              <w:rPr>
                <w:rFonts w:hint="eastAsia" w:ascii="宋体" w:hAnsi="宋体" w:cs="宋体"/>
                <w:b/>
                <w:color w:val="auto"/>
                <w:highlight w:val="none"/>
              </w:rPr>
              <w:t>部分</w:t>
            </w:r>
          </w:p>
          <w:p w14:paraId="5093ABE7">
            <w:pPr>
              <w:widowControl/>
              <w:spacing w:line="360" w:lineRule="auto"/>
              <w:jc w:val="center"/>
              <w:rPr>
                <w:rFonts w:ascii="宋体" w:hAnsi="宋体" w:cs="宋体"/>
                <w:b/>
                <w:color w:val="auto"/>
                <w:highlight w:val="none"/>
              </w:rPr>
            </w:pPr>
            <w:r>
              <w:rPr>
                <w:rFonts w:hint="eastAsia" w:ascii="宋体" w:hAnsi="宋体" w:cs="宋体"/>
                <w:b/>
                <w:color w:val="auto"/>
                <w:highlight w:val="none"/>
              </w:rPr>
              <w:t>（</w:t>
            </w:r>
            <w:r>
              <w:rPr>
                <w:rFonts w:hint="eastAsia" w:ascii="宋体" w:hAnsi="宋体" w:cs="宋体"/>
                <w:b/>
                <w:color w:val="auto"/>
                <w:highlight w:val="none"/>
                <w:lang w:val="en-US" w:eastAsia="zh-CN"/>
              </w:rPr>
              <w:t>15</w:t>
            </w:r>
            <w:r>
              <w:rPr>
                <w:rFonts w:hint="eastAsia" w:ascii="宋体" w:hAnsi="宋体" w:cs="宋体"/>
                <w:b/>
                <w:color w:val="auto"/>
                <w:highlight w:val="none"/>
              </w:rPr>
              <w:t>分）</w:t>
            </w:r>
          </w:p>
        </w:tc>
        <w:tc>
          <w:tcPr>
            <w:tcW w:w="1853" w:type="dxa"/>
            <w:noWrap/>
            <w:vAlign w:val="center"/>
          </w:tcPr>
          <w:p w14:paraId="7B26BB5E">
            <w:pPr>
              <w:spacing w:line="360" w:lineRule="auto"/>
              <w:jc w:val="center"/>
              <w:rPr>
                <w:rFonts w:ascii="宋体" w:hAnsi="宋体" w:cs="宋体"/>
                <w:color w:val="auto"/>
                <w:highlight w:val="none"/>
              </w:rPr>
            </w:pPr>
            <w:r>
              <w:rPr>
                <w:rFonts w:hint="eastAsia" w:ascii="宋体" w:hAnsi="宋体" w:cs="宋体"/>
                <w:color w:val="auto"/>
                <w:highlight w:val="none"/>
              </w:rPr>
              <w:t>投标报价</w:t>
            </w:r>
          </w:p>
          <w:p w14:paraId="04364284">
            <w:pPr>
              <w:spacing w:line="360" w:lineRule="auto"/>
              <w:jc w:val="center"/>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15</w:t>
            </w:r>
            <w:r>
              <w:rPr>
                <w:rFonts w:hint="eastAsia" w:ascii="宋体" w:hAnsi="宋体" w:cs="宋体"/>
                <w:color w:val="auto"/>
                <w:highlight w:val="none"/>
              </w:rPr>
              <w:t>分）</w:t>
            </w:r>
          </w:p>
        </w:tc>
        <w:tc>
          <w:tcPr>
            <w:tcW w:w="6880" w:type="dxa"/>
            <w:noWrap/>
            <w:vAlign w:val="center"/>
          </w:tcPr>
          <w:p w14:paraId="65EA4869">
            <w:pPr>
              <w:keepNext w:val="0"/>
              <w:keepLines w:val="0"/>
              <w:pageBreakBefore w:val="0"/>
              <w:widowControl w:val="0"/>
              <w:kinsoku/>
              <w:wordWrap/>
              <w:overflowPunct/>
              <w:topLinePunct w:val="0"/>
              <w:autoSpaceDE/>
              <w:autoSpaceDN/>
              <w:bidi w:val="0"/>
              <w:adjustRightInd/>
              <w:snapToGrid/>
              <w:spacing w:line="480" w:lineRule="exact"/>
              <w:ind w:left="105" w:leftChars="50" w:right="105" w:rightChars="50" w:firstLine="0" w:firstLineChars="0"/>
              <w:textAlignment w:val="auto"/>
              <w:rPr>
                <w:rFonts w:ascii="宋体" w:hAnsi="宋体" w:eastAsia="宋体" w:cs="宋体"/>
                <w:color w:val="auto"/>
                <w:sz w:val="21"/>
                <w:szCs w:val="21"/>
                <w:lang w:val="zh-CN"/>
              </w:rPr>
            </w:pPr>
            <w:r>
              <w:rPr>
                <w:rFonts w:hint="eastAsia" w:ascii="宋体" w:hAnsi="宋体" w:eastAsia="宋体" w:cs="宋体"/>
                <w:color w:val="auto"/>
                <w:sz w:val="21"/>
                <w:szCs w:val="21"/>
                <w:lang w:val="zh-CN"/>
              </w:rPr>
              <w:t>价格分统一采用低价优先法计算，即满足招标文件要求且投标价格最低的投标报价为评标基准价，其价格分为满分</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lang w:val="zh-CN"/>
              </w:rPr>
              <w:t>分。其他投标供应商的价格分统一按照下列公式计算：</w:t>
            </w:r>
          </w:p>
          <w:p w14:paraId="631C7DFA">
            <w:pPr>
              <w:keepNext w:val="0"/>
              <w:keepLines w:val="0"/>
              <w:pageBreakBefore w:val="0"/>
              <w:widowControl w:val="0"/>
              <w:kinsoku/>
              <w:wordWrap/>
              <w:overflowPunct/>
              <w:topLinePunct w:val="0"/>
              <w:autoSpaceDE/>
              <w:autoSpaceDN/>
              <w:bidi w:val="0"/>
              <w:adjustRightInd/>
              <w:snapToGrid/>
              <w:spacing w:line="480" w:lineRule="exact"/>
              <w:ind w:left="105" w:leftChars="50" w:right="105" w:rightChars="50" w:firstLine="480"/>
              <w:textAlignment w:val="auto"/>
              <w:rPr>
                <w:rFonts w:hint="default" w:ascii="宋体" w:hAnsi="宋体" w:eastAsia="宋体" w:cs="宋体"/>
                <w:color w:val="auto"/>
                <w:sz w:val="21"/>
                <w:szCs w:val="21"/>
                <w:lang w:val="en-US"/>
              </w:rPr>
            </w:pPr>
            <w:r>
              <w:rPr>
                <w:rFonts w:hint="eastAsia" w:ascii="宋体" w:hAnsi="宋体" w:eastAsia="宋体" w:cs="宋体"/>
                <w:color w:val="auto"/>
                <w:sz w:val="21"/>
                <w:szCs w:val="21"/>
                <w:lang w:val="zh-CN"/>
              </w:rPr>
              <w:t>投标报价得分=(评标基准价／投标报价)×</w:t>
            </w:r>
            <w:r>
              <w:rPr>
                <w:rFonts w:hint="eastAsia" w:ascii="宋体" w:hAnsi="宋体" w:eastAsia="宋体" w:cs="宋体"/>
                <w:color w:val="auto"/>
                <w:sz w:val="21"/>
                <w:szCs w:val="21"/>
                <w:lang w:val="en-US" w:eastAsia="zh-CN"/>
              </w:rPr>
              <w:t>15</w:t>
            </w:r>
          </w:p>
          <w:p w14:paraId="2EDDB996">
            <w:pPr>
              <w:keepNext w:val="0"/>
              <w:keepLines w:val="0"/>
              <w:pageBreakBefore w:val="0"/>
              <w:widowControl w:val="0"/>
              <w:kinsoku/>
              <w:wordWrap/>
              <w:overflowPunct/>
              <w:topLinePunct w:val="0"/>
              <w:autoSpaceDE/>
              <w:autoSpaceDN/>
              <w:bidi w:val="0"/>
              <w:adjustRightInd/>
              <w:snapToGrid/>
              <w:spacing w:line="480" w:lineRule="exact"/>
              <w:ind w:left="105" w:leftChars="50" w:right="105" w:rightChars="50" w:firstLine="0" w:firstLineChars="0"/>
              <w:textAlignment w:val="auto"/>
              <w:rPr>
                <w:rFonts w:ascii="宋体" w:hAnsi="Calibri" w:eastAsia="宋体" w:cs="宋体"/>
                <w:b/>
                <w:bCs/>
                <w:color w:val="auto"/>
                <w:sz w:val="21"/>
                <w:szCs w:val="21"/>
              </w:rPr>
            </w:pPr>
            <w:r>
              <w:rPr>
                <w:rFonts w:hint="eastAsia" w:ascii="宋体" w:hAnsi="Calibri" w:eastAsia="宋体" w:cs="宋体"/>
                <w:b/>
                <w:bCs/>
                <w:color w:val="auto"/>
                <w:sz w:val="21"/>
                <w:szCs w:val="21"/>
              </w:rPr>
              <w:t>注：</w:t>
            </w:r>
          </w:p>
          <w:p w14:paraId="4A708CDF">
            <w:pPr>
              <w:pStyle w:val="28"/>
              <w:keepNext w:val="0"/>
              <w:keepLines w:val="0"/>
              <w:pageBreakBefore w:val="0"/>
              <w:widowControl w:val="0"/>
              <w:tabs>
                <w:tab w:val="left" w:pos="1080"/>
              </w:tabs>
              <w:kinsoku/>
              <w:wordWrap/>
              <w:overflowPunct/>
              <w:topLinePunct w:val="0"/>
              <w:autoSpaceDE/>
              <w:autoSpaceDN/>
              <w:bidi w:val="0"/>
              <w:adjustRightInd/>
              <w:snapToGrid/>
              <w:spacing w:line="480" w:lineRule="exact"/>
              <w:ind w:left="105" w:leftChars="50" w:right="105" w:rightChars="50" w:firstLine="0" w:firstLineChars="0"/>
              <w:jc w:val="left"/>
              <w:textAlignment w:val="auto"/>
              <w:rPr>
                <w:rFonts w:hAnsi="宋体" w:cs="宋体"/>
                <w:b/>
                <w:bCs/>
                <w:color w:val="auto"/>
                <w:sz w:val="21"/>
                <w:szCs w:val="21"/>
              </w:rPr>
            </w:pPr>
            <w:r>
              <w:rPr>
                <w:rFonts w:hint="eastAsia" w:hAnsi="宋体" w:cs="宋体"/>
                <w:b/>
                <w:bCs/>
                <w:color w:val="auto"/>
                <w:sz w:val="21"/>
                <w:szCs w:val="21"/>
              </w:rPr>
              <w:t>1.价格分计算保留小数点后二位；</w:t>
            </w:r>
          </w:p>
          <w:p w14:paraId="4F028EF7">
            <w:pPr>
              <w:pStyle w:val="28"/>
              <w:keepNext w:val="0"/>
              <w:keepLines w:val="0"/>
              <w:pageBreakBefore w:val="0"/>
              <w:widowControl w:val="0"/>
              <w:tabs>
                <w:tab w:val="left" w:pos="1080"/>
              </w:tabs>
              <w:kinsoku/>
              <w:wordWrap/>
              <w:overflowPunct/>
              <w:topLinePunct w:val="0"/>
              <w:autoSpaceDE/>
              <w:autoSpaceDN/>
              <w:bidi w:val="0"/>
              <w:adjustRightInd/>
              <w:snapToGrid/>
              <w:spacing w:line="480" w:lineRule="exact"/>
              <w:ind w:left="105" w:leftChars="50" w:right="105" w:rightChars="50" w:firstLine="0" w:firstLineChars="0"/>
              <w:jc w:val="left"/>
              <w:textAlignment w:val="auto"/>
              <w:rPr>
                <w:rFonts w:hint="eastAsia" w:hAnsi="宋体" w:cs="宋体"/>
                <w:b/>
                <w:bCs/>
                <w:color w:val="0000FF"/>
                <w:sz w:val="21"/>
                <w:szCs w:val="21"/>
                <w:highlight w:val="yellow"/>
                <w:lang w:val="zh-CN"/>
              </w:rPr>
            </w:pPr>
            <w:r>
              <w:rPr>
                <w:rFonts w:hint="eastAsia" w:hAnsi="宋体" w:cs="宋体"/>
                <w:b/>
                <w:bCs/>
                <w:color w:val="auto"/>
                <w:sz w:val="21"/>
                <w:szCs w:val="21"/>
              </w:rPr>
              <w:t>2.</w:t>
            </w:r>
            <w:r>
              <w:rPr>
                <w:rFonts w:hint="eastAsia" w:hAnsi="宋体" w:cs="宋体"/>
                <w:b/>
                <w:bCs/>
                <w:color w:val="auto"/>
                <w:sz w:val="21"/>
                <w:szCs w:val="21"/>
                <w:highlight w:val="none"/>
              </w:rPr>
              <w:t>优惠政策：对小微企业的投标报价给予</w:t>
            </w:r>
            <w:r>
              <w:rPr>
                <w:rFonts w:hint="eastAsia" w:hAnsi="宋体" w:cs="宋体"/>
                <w:b/>
                <w:bCs/>
                <w:color w:val="auto"/>
                <w:sz w:val="21"/>
                <w:szCs w:val="21"/>
                <w:highlight w:val="none"/>
                <w:lang w:val="en-US" w:eastAsia="zh-CN"/>
              </w:rPr>
              <w:t>20</w:t>
            </w:r>
            <w:r>
              <w:rPr>
                <w:rFonts w:hint="eastAsia" w:hAnsi="宋体" w:cs="宋体"/>
                <w:b/>
                <w:bCs/>
                <w:color w:val="auto"/>
                <w:sz w:val="21"/>
                <w:szCs w:val="21"/>
                <w:highlight w:val="none"/>
              </w:rPr>
              <w:t>%的扣除，</w:t>
            </w:r>
            <w:r>
              <w:rPr>
                <w:rFonts w:ascii="宋体" w:hAnsi="宋体" w:eastAsia="宋体" w:cs="宋体"/>
                <w:b/>
                <w:bCs/>
                <w:color w:val="auto"/>
                <w:spacing w:val="10"/>
                <w:sz w:val="21"/>
                <w:szCs w:val="21"/>
                <w:highlight w:val="none"/>
              </w:rPr>
              <w:t>不累计</w:t>
            </w:r>
            <w:r>
              <w:rPr>
                <w:rFonts w:hint="eastAsia" w:ascii="宋体" w:hAnsi="宋体" w:eastAsia="宋体" w:cs="宋体"/>
                <w:b/>
                <w:bCs/>
                <w:color w:val="auto"/>
                <w:spacing w:val="10"/>
                <w:sz w:val="21"/>
                <w:szCs w:val="21"/>
                <w:highlight w:val="none"/>
                <w:lang w:eastAsia="zh-CN"/>
              </w:rPr>
              <w:t>，</w:t>
            </w:r>
            <w:r>
              <w:rPr>
                <w:rFonts w:hint="eastAsia" w:hAnsi="宋体" w:cs="宋体"/>
                <w:b/>
                <w:bCs/>
                <w:color w:val="auto"/>
                <w:sz w:val="21"/>
                <w:szCs w:val="21"/>
                <w:highlight w:val="none"/>
              </w:rPr>
              <w:t>用扣除后的价格参与评审</w:t>
            </w:r>
            <w:r>
              <w:rPr>
                <w:rFonts w:hint="eastAsia" w:hAnsi="宋体" w:cs="宋体"/>
                <w:b/>
                <w:bCs/>
                <w:color w:val="auto"/>
                <w:sz w:val="21"/>
                <w:szCs w:val="21"/>
                <w:highlight w:val="none"/>
                <w:lang w:val="zh-CN"/>
              </w:rPr>
              <w:t>（非专门面向中小企业适用）。</w:t>
            </w:r>
            <w:r>
              <w:rPr>
                <w:rFonts w:ascii="宋体" w:hAnsi="宋体" w:eastAsia="宋体" w:cs="宋体"/>
                <w:color w:val="auto"/>
                <w:spacing w:val="9"/>
                <w:sz w:val="21"/>
                <w:szCs w:val="21"/>
                <w:highlight w:val="none"/>
              </w:rPr>
              <w:t>小微</w:t>
            </w:r>
            <w:r>
              <w:rPr>
                <w:rFonts w:ascii="宋体" w:hAnsi="宋体" w:eastAsia="宋体" w:cs="宋体"/>
                <w:color w:val="auto"/>
                <w:spacing w:val="9"/>
                <w:sz w:val="21"/>
                <w:szCs w:val="21"/>
              </w:rPr>
              <w:t>企业须对照《中小企业</w:t>
            </w:r>
            <w:r>
              <w:rPr>
                <w:rFonts w:ascii="宋体" w:hAnsi="宋体" w:eastAsia="宋体" w:cs="宋体"/>
                <w:color w:val="auto"/>
                <w:spacing w:val="2"/>
                <w:sz w:val="21"/>
                <w:szCs w:val="21"/>
              </w:rPr>
              <w:t>划型标准规定》  (工信部联企业[2011]30</w:t>
            </w:r>
            <w:r>
              <w:rPr>
                <w:rFonts w:ascii="宋体" w:hAnsi="宋体" w:eastAsia="宋体" w:cs="宋体"/>
                <w:color w:val="auto"/>
                <w:spacing w:val="1"/>
                <w:sz w:val="21"/>
                <w:szCs w:val="21"/>
              </w:rPr>
              <w:t>0 号) 文件规</w:t>
            </w:r>
            <w:r>
              <w:rPr>
                <w:rFonts w:ascii="宋体" w:hAnsi="宋体" w:eastAsia="宋体" w:cs="宋体"/>
                <w:color w:val="auto"/>
                <w:spacing w:val="18"/>
                <w:sz w:val="21"/>
                <w:szCs w:val="21"/>
              </w:rPr>
              <w:t>定</w:t>
            </w:r>
            <w:r>
              <w:rPr>
                <w:rFonts w:ascii="宋体" w:hAnsi="宋体" w:eastAsia="宋体" w:cs="宋体"/>
                <w:color w:val="auto"/>
                <w:spacing w:val="15"/>
                <w:sz w:val="21"/>
                <w:szCs w:val="21"/>
              </w:rPr>
              <w:t>提</w:t>
            </w:r>
            <w:r>
              <w:rPr>
                <w:rFonts w:ascii="宋体" w:hAnsi="宋体" w:eastAsia="宋体" w:cs="宋体"/>
                <w:color w:val="auto"/>
                <w:spacing w:val="9"/>
                <w:sz w:val="21"/>
                <w:szCs w:val="21"/>
              </w:rPr>
              <w:t>供《中小企业声明函》等有效证明材料，监狱企业参</w:t>
            </w:r>
            <w:r>
              <w:rPr>
                <w:rFonts w:ascii="宋体" w:hAnsi="宋体" w:eastAsia="宋体" w:cs="宋体"/>
                <w:color w:val="auto"/>
                <w:spacing w:val="5"/>
                <w:sz w:val="21"/>
                <w:szCs w:val="21"/>
              </w:rPr>
              <w:t>加政府采购活动时，应当提供由省级以上监狱管理局、</w:t>
            </w:r>
            <w:r>
              <w:rPr>
                <w:rFonts w:ascii="宋体" w:hAnsi="宋体" w:eastAsia="宋体" w:cs="宋体"/>
                <w:color w:val="auto"/>
                <w:spacing w:val="15"/>
                <w:sz w:val="21"/>
                <w:szCs w:val="21"/>
              </w:rPr>
              <w:t>戒</w:t>
            </w:r>
            <w:r>
              <w:rPr>
                <w:rFonts w:ascii="宋体" w:hAnsi="宋体" w:eastAsia="宋体" w:cs="宋体"/>
                <w:color w:val="auto"/>
                <w:spacing w:val="9"/>
                <w:sz w:val="21"/>
                <w:szCs w:val="21"/>
              </w:rPr>
              <w:t>毒管理局(含新疆生产建设兵团)出具的属于监狱企业</w:t>
            </w:r>
            <w:r>
              <w:rPr>
                <w:rFonts w:ascii="宋体" w:hAnsi="宋体" w:eastAsia="宋体" w:cs="宋体"/>
                <w:color w:val="auto"/>
                <w:spacing w:val="7"/>
                <w:sz w:val="21"/>
                <w:szCs w:val="21"/>
              </w:rPr>
              <w:t>的证明文件</w:t>
            </w:r>
            <w:r>
              <w:rPr>
                <w:rFonts w:ascii="宋体" w:hAnsi="宋体" w:eastAsia="宋体" w:cs="宋体"/>
                <w:color w:val="auto"/>
                <w:spacing w:val="6"/>
                <w:sz w:val="21"/>
                <w:szCs w:val="21"/>
              </w:rPr>
              <w:t>。</w:t>
            </w:r>
            <w:r>
              <w:rPr>
                <w:rFonts w:ascii="宋体" w:hAnsi="宋体" w:eastAsia="宋体" w:cs="宋体"/>
                <w:color w:val="auto"/>
                <w:spacing w:val="10"/>
                <w:sz w:val="21"/>
                <w:szCs w:val="21"/>
              </w:rPr>
              <w:t xml:space="preserve"> 残疾人福利性单位视同小型、微型企业。按照关于</w:t>
            </w:r>
            <w:r>
              <w:rPr>
                <w:rFonts w:ascii="宋体" w:hAnsi="宋体" w:eastAsia="宋体" w:cs="宋体"/>
                <w:color w:val="auto"/>
                <w:spacing w:val="16"/>
                <w:sz w:val="21"/>
                <w:szCs w:val="21"/>
              </w:rPr>
              <w:t>促</w:t>
            </w:r>
            <w:r>
              <w:rPr>
                <w:rFonts w:ascii="宋体" w:hAnsi="宋体" w:eastAsia="宋体" w:cs="宋体"/>
                <w:color w:val="auto"/>
                <w:spacing w:val="9"/>
                <w:sz w:val="21"/>
                <w:szCs w:val="21"/>
              </w:rPr>
              <w:t>进</w:t>
            </w:r>
            <w:r>
              <w:rPr>
                <w:rFonts w:ascii="宋体" w:hAnsi="宋体" w:eastAsia="宋体" w:cs="宋体"/>
                <w:color w:val="auto"/>
                <w:spacing w:val="8"/>
                <w:sz w:val="21"/>
                <w:szCs w:val="21"/>
              </w:rPr>
              <w:t>残疾人就业政府采购政策的通知财库〔2017〕141</w:t>
            </w:r>
            <w:r>
              <w:rPr>
                <w:rFonts w:ascii="宋体" w:hAnsi="宋体" w:eastAsia="宋体" w:cs="宋体"/>
                <w:color w:val="auto"/>
                <w:sz w:val="21"/>
                <w:szCs w:val="21"/>
              </w:rPr>
              <w:t xml:space="preserve"> </w:t>
            </w:r>
            <w:r>
              <w:rPr>
                <w:rFonts w:ascii="宋体" w:hAnsi="宋体" w:eastAsia="宋体" w:cs="宋体"/>
                <w:color w:val="auto"/>
                <w:spacing w:val="18"/>
                <w:sz w:val="21"/>
                <w:szCs w:val="21"/>
              </w:rPr>
              <w:t>号</w:t>
            </w:r>
            <w:r>
              <w:rPr>
                <w:rFonts w:ascii="宋体" w:hAnsi="宋体" w:eastAsia="宋体" w:cs="宋体"/>
                <w:color w:val="auto"/>
                <w:spacing w:val="14"/>
                <w:sz w:val="21"/>
                <w:szCs w:val="21"/>
              </w:rPr>
              <w:t>要</w:t>
            </w:r>
            <w:r>
              <w:rPr>
                <w:rFonts w:ascii="宋体" w:hAnsi="宋体" w:eastAsia="宋体" w:cs="宋体"/>
                <w:color w:val="auto"/>
                <w:spacing w:val="9"/>
                <w:sz w:val="21"/>
                <w:szCs w:val="21"/>
              </w:rPr>
              <w:t>求提供《残疾人福利性单位声明函》等有效证明材料，并对声明的真实性负责，否则不予认可。</w:t>
            </w:r>
          </w:p>
          <w:p w14:paraId="598F6221">
            <w:pPr>
              <w:widowControl/>
              <w:spacing w:line="360" w:lineRule="auto"/>
              <w:jc w:val="left"/>
            </w:pPr>
            <w:r>
              <w:rPr>
                <w:rFonts w:hint="eastAsia" w:ascii="宋体" w:hAnsi="宋体" w:eastAsia="宋体" w:cs="宋体"/>
                <w:b/>
                <w:bCs/>
                <w:color w:val="auto"/>
                <w:sz w:val="21"/>
                <w:szCs w:val="21"/>
              </w:rPr>
              <w:t>3.评标委员会认为投标供应商的报价明显低于其他通过符合性审查投标供应商的报价</w:t>
            </w:r>
            <w:r>
              <w:rPr>
                <w:rFonts w:hint="eastAsia" w:ascii="宋体" w:hAnsi="宋体" w:eastAsia="宋体" w:cs="宋体"/>
                <w:b/>
                <w:bCs/>
                <w:color w:val="auto"/>
                <w:sz w:val="21"/>
                <w:szCs w:val="21"/>
                <w:lang w:val="en-US" w:eastAsia="zh-CN"/>
              </w:rPr>
              <w:t>（比控制价低30%的）</w:t>
            </w:r>
            <w:r>
              <w:rPr>
                <w:rFonts w:hint="eastAsia" w:ascii="宋体" w:hAnsi="宋体" w:eastAsia="宋体" w:cs="宋体"/>
                <w:b/>
                <w:bCs/>
                <w:color w:val="auto"/>
                <w:sz w:val="21"/>
                <w:szCs w:val="21"/>
              </w:rPr>
              <w:t>，有可能影响产品质量或者不能诚信履约的，应当要求其在评标现场合理的时间内提供书面说明，必要时提交相关证明材料；投标供应商不能证明其报价合理性的，评标委员会应当将其作为无效投标处理。</w:t>
            </w:r>
          </w:p>
        </w:tc>
      </w:tr>
      <w:tr w14:paraId="2D21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65" w:type="dxa"/>
            <w:vMerge w:val="restart"/>
            <w:noWrap/>
            <w:vAlign w:val="center"/>
          </w:tcPr>
          <w:p w14:paraId="2099D19A">
            <w:pPr>
              <w:widowControl/>
              <w:spacing w:line="360" w:lineRule="auto"/>
              <w:jc w:val="center"/>
              <w:rPr>
                <w:rFonts w:ascii="宋体" w:hAnsi="宋体" w:cs="宋体"/>
                <w:b/>
                <w:color w:val="auto"/>
                <w:highlight w:val="none"/>
              </w:rPr>
            </w:pPr>
            <w:r>
              <w:rPr>
                <w:rFonts w:hint="eastAsia" w:ascii="宋体" w:hAnsi="宋体" w:cs="宋体"/>
                <w:b/>
                <w:color w:val="auto"/>
                <w:highlight w:val="none"/>
              </w:rPr>
              <w:t>2</w:t>
            </w:r>
          </w:p>
        </w:tc>
        <w:tc>
          <w:tcPr>
            <w:tcW w:w="796" w:type="dxa"/>
            <w:vMerge w:val="restart"/>
            <w:noWrap/>
            <w:vAlign w:val="center"/>
          </w:tcPr>
          <w:p w14:paraId="12986081">
            <w:pPr>
              <w:widowControl/>
              <w:spacing w:line="360" w:lineRule="auto"/>
              <w:jc w:val="center"/>
              <w:rPr>
                <w:rFonts w:ascii="宋体" w:hAnsi="宋体" w:cs="宋体"/>
                <w:b/>
                <w:color w:val="auto"/>
                <w:highlight w:val="none"/>
              </w:rPr>
            </w:pPr>
            <w:r>
              <w:rPr>
                <w:rFonts w:hint="eastAsia" w:ascii="宋体" w:hAnsi="宋体" w:cs="宋体"/>
                <w:b/>
                <w:color w:val="auto"/>
                <w:highlight w:val="none"/>
              </w:rPr>
              <w:t>技术</w:t>
            </w:r>
          </w:p>
          <w:p w14:paraId="54E045C8">
            <w:pPr>
              <w:widowControl/>
              <w:spacing w:line="360" w:lineRule="auto"/>
              <w:jc w:val="center"/>
              <w:rPr>
                <w:rFonts w:ascii="宋体" w:hAnsi="宋体" w:cs="宋体"/>
                <w:b/>
                <w:color w:val="auto"/>
                <w:highlight w:val="none"/>
              </w:rPr>
            </w:pPr>
            <w:r>
              <w:rPr>
                <w:rFonts w:hint="eastAsia" w:ascii="宋体" w:hAnsi="宋体" w:cs="宋体"/>
                <w:b/>
                <w:color w:val="auto"/>
                <w:highlight w:val="none"/>
              </w:rPr>
              <w:t>部分</w:t>
            </w:r>
          </w:p>
          <w:p w14:paraId="42D8762D">
            <w:pPr>
              <w:widowControl/>
              <w:spacing w:line="360" w:lineRule="auto"/>
              <w:jc w:val="center"/>
              <w:rPr>
                <w:rFonts w:ascii="宋体" w:hAnsi="宋体" w:cs="宋体"/>
                <w:color w:val="auto"/>
                <w:highlight w:val="none"/>
              </w:rPr>
            </w:pPr>
            <w:r>
              <w:rPr>
                <w:rFonts w:hint="eastAsia" w:ascii="宋体" w:hAnsi="宋体" w:cs="宋体"/>
                <w:b/>
                <w:color w:val="auto"/>
                <w:highlight w:val="none"/>
              </w:rPr>
              <w:t>（</w:t>
            </w:r>
            <w:r>
              <w:rPr>
                <w:rFonts w:hint="eastAsia" w:ascii="宋体" w:hAnsi="宋体" w:cs="宋体"/>
                <w:b/>
                <w:color w:val="auto"/>
                <w:highlight w:val="none"/>
                <w:lang w:val="en-US" w:eastAsia="zh-CN"/>
              </w:rPr>
              <w:t>45</w:t>
            </w:r>
            <w:r>
              <w:rPr>
                <w:rFonts w:hint="eastAsia" w:ascii="宋体" w:hAnsi="宋体" w:cs="宋体"/>
                <w:b/>
                <w:color w:val="auto"/>
                <w:highlight w:val="none"/>
              </w:rPr>
              <w:t>分）</w:t>
            </w:r>
          </w:p>
        </w:tc>
        <w:tc>
          <w:tcPr>
            <w:tcW w:w="1853" w:type="dxa"/>
            <w:noWrap/>
            <w:vAlign w:val="center"/>
          </w:tcPr>
          <w:p w14:paraId="40E391D9">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项目背景及项目区概括（6分）</w:t>
            </w:r>
          </w:p>
        </w:tc>
        <w:tc>
          <w:tcPr>
            <w:tcW w:w="6880" w:type="dxa"/>
            <w:noWrap/>
            <w:vAlign w:val="center"/>
          </w:tcPr>
          <w:p w14:paraId="09C8010B">
            <w:pPr>
              <w:widowControl/>
              <w:adjustRightInd w:val="0"/>
              <w:snapToGrid w:val="0"/>
              <w:spacing w:line="360" w:lineRule="auto"/>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项目背景及项目区概括符合本项目要求，内容完整、逻辑清晰得</w:t>
            </w:r>
            <w:r>
              <w:rPr>
                <w:rFonts w:hint="eastAsia" w:ascii="宋体" w:hAnsi="宋体" w:cs="宋体"/>
                <w:kern w:val="2"/>
                <w:sz w:val="21"/>
                <w:szCs w:val="21"/>
                <w:lang w:val="en-US" w:eastAsia="zh-CN" w:bidi="ar-SA"/>
              </w:rPr>
              <w:t>6</w:t>
            </w:r>
            <w:r>
              <w:rPr>
                <w:rFonts w:hint="eastAsia" w:ascii="宋体" w:hAnsi="宋体" w:eastAsia="宋体" w:cs="宋体"/>
                <w:kern w:val="2"/>
                <w:sz w:val="21"/>
                <w:szCs w:val="21"/>
                <w:lang w:val="en-US" w:eastAsia="zh-CN" w:bidi="ar-SA"/>
              </w:rPr>
              <w:t>分，未提供或提供不全不得分。</w:t>
            </w:r>
          </w:p>
        </w:tc>
      </w:tr>
      <w:tr w14:paraId="48D4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5" w:type="dxa"/>
            <w:vMerge w:val="continue"/>
            <w:noWrap/>
            <w:vAlign w:val="center"/>
          </w:tcPr>
          <w:p w14:paraId="38D5900E">
            <w:pPr>
              <w:widowControl/>
              <w:spacing w:line="360" w:lineRule="auto"/>
              <w:jc w:val="center"/>
              <w:rPr>
                <w:rFonts w:ascii="宋体" w:hAnsi="宋体" w:cs="宋体"/>
                <w:b/>
                <w:color w:val="auto"/>
                <w:highlight w:val="none"/>
              </w:rPr>
            </w:pPr>
          </w:p>
        </w:tc>
        <w:tc>
          <w:tcPr>
            <w:tcW w:w="796" w:type="dxa"/>
            <w:vMerge w:val="continue"/>
            <w:noWrap/>
            <w:vAlign w:val="center"/>
          </w:tcPr>
          <w:p w14:paraId="7C62B269">
            <w:pPr>
              <w:widowControl/>
              <w:spacing w:line="360" w:lineRule="auto"/>
              <w:jc w:val="center"/>
              <w:rPr>
                <w:rFonts w:ascii="宋体" w:hAnsi="宋体" w:cs="宋体"/>
                <w:color w:val="auto"/>
                <w:highlight w:val="none"/>
              </w:rPr>
            </w:pPr>
          </w:p>
        </w:tc>
        <w:tc>
          <w:tcPr>
            <w:tcW w:w="1853" w:type="dxa"/>
            <w:noWrap/>
            <w:vAlign w:val="center"/>
          </w:tcPr>
          <w:p w14:paraId="2CED9827">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项目技术实施方案（6分）</w:t>
            </w:r>
          </w:p>
        </w:tc>
        <w:tc>
          <w:tcPr>
            <w:tcW w:w="6880" w:type="dxa"/>
            <w:noWrap/>
            <w:vAlign w:val="center"/>
          </w:tcPr>
          <w:p w14:paraId="4F402F4F">
            <w:pPr>
              <w:widowControl/>
              <w:adjustRightInd w:val="0"/>
              <w:snapToGrid w:val="0"/>
              <w:spacing w:line="360" w:lineRule="auto"/>
              <w:jc w:val="left"/>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项目技术实施方案符合本项目要求，内容完整、逻辑清晰、技术路线可行得6分，未提供或提供不全不得分。</w:t>
            </w:r>
          </w:p>
        </w:tc>
      </w:tr>
      <w:tr w14:paraId="0688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5" w:type="dxa"/>
            <w:vMerge w:val="continue"/>
            <w:noWrap/>
            <w:vAlign w:val="center"/>
          </w:tcPr>
          <w:p w14:paraId="0E841A7A">
            <w:pPr>
              <w:widowControl/>
              <w:spacing w:line="360" w:lineRule="auto"/>
              <w:jc w:val="center"/>
              <w:rPr>
                <w:rFonts w:ascii="宋体" w:hAnsi="宋体" w:cs="宋体"/>
                <w:b/>
                <w:color w:val="auto"/>
                <w:highlight w:val="none"/>
              </w:rPr>
            </w:pPr>
          </w:p>
        </w:tc>
        <w:tc>
          <w:tcPr>
            <w:tcW w:w="796" w:type="dxa"/>
            <w:vMerge w:val="continue"/>
            <w:noWrap/>
            <w:vAlign w:val="center"/>
          </w:tcPr>
          <w:p w14:paraId="034C29EC">
            <w:pPr>
              <w:widowControl/>
              <w:spacing w:line="360" w:lineRule="auto"/>
              <w:jc w:val="center"/>
              <w:rPr>
                <w:rFonts w:ascii="宋体" w:hAnsi="宋体" w:cs="宋体"/>
                <w:color w:val="auto"/>
                <w:highlight w:val="none"/>
              </w:rPr>
            </w:pPr>
          </w:p>
        </w:tc>
        <w:tc>
          <w:tcPr>
            <w:tcW w:w="1853" w:type="dxa"/>
            <w:noWrap/>
            <w:vAlign w:val="center"/>
          </w:tcPr>
          <w:p w14:paraId="7B3DF4C2">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进 度 保 证 措 施（6分）</w:t>
            </w:r>
          </w:p>
        </w:tc>
        <w:tc>
          <w:tcPr>
            <w:tcW w:w="6880" w:type="dxa"/>
            <w:noWrap/>
            <w:vAlign w:val="center"/>
          </w:tcPr>
          <w:p w14:paraId="068BF493">
            <w:pPr>
              <w:pStyle w:val="518"/>
              <w:spacing w:before="105" w:line="252" w:lineRule="auto"/>
              <w:ind w:left="0" w:leftChars="0" w:right="131"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服务期承诺满 足采 购 文件要求，进 度保证 措 施合理且有针对 性，有具体的违约责任承诺得6分 ；未提供或提供不全不得分。</w:t>
            </w:r>
          </w:p>
        </w:tc>
      </w:tr>
      <w:tr w14:paraId="2193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65" w:type="dxa"/>
            <w:vMerge w:val="continue"/>
            <w:noWrap/>
            <w:vAlign w:val="center"/>
          </w:tcPr>
          <w:p w14:paraId="0BA78F66">
            <w:pPr>
              <w:widowControl/>
              <w:spacing w:line="360" w:lineRule="auto"/>
              <w:jc w:val="center"/>
              <w:rPr>
                <w:rFonts w:ascii="宋体" w:hAnsi="宋体" w:cs="宋体"/>
                <w:b/>
                <w:color w:val="auto"/>
                <w:highlight w:val="none"/>
              </w:rPr>
            </w:pPr>
          </w:p>
        </w:tc>
        <w:tc>
          <w:tcPr>
            <w:tcW w:w="796" w:type="dxa"/>
            <w:vMerge w:val="continue"/>
            <w:noWrap/>
            <w:vAlign w:val="center"/>
          </w:tcPr>
          <w:p w14:paraId="2A3CB339">
            <w:pPr>
              <w:widowControl/>
              <w:spacing w:line="360" w:lineRule="auto"/>
              <w:jc w:val="center"/>
              <w:rPr>
                <w:rFonts w:ascii="宋体" w:hAnsi="宋体" w:cs="宋体"/>
                <w:color w:val="auto"/>
                <w:highlight w:val="none"/>
              </w:rPr>
            </w:pPr>
          </w:p>
        </w:tc>
        <w:tc>
          <w:tcPr>
            <w:tcW w:w="1853" w:type="dxa"/>
            <w:noWrap/>
            <w:vAlign w:val="center"/>
          </w:tcPr>
          <w:p w14:paraId="42984A6D">
            <w:pPr>
              <w:widowControl/>
              <w:adjustRightInd w:val="0"/>
              <w:snapToGrid w:val="0"/>
              <w:spacing w:line="360" w:lineRule="auto"/>
              <w:jc w:val="center"/>
              <w:textAlignment w:val="center"/>
              <w:rPr>
                <w:rFonts w:hint="eastAsia" w:ascii="宋体" w:hAnsi="宋体" w:eastAsia="宋体" w:cs="宋体"/>
                <w:lang w:val="zh-CN" w:eastAsia="zh-CN"/>
              </w:rPr>
            </w:pPr>
            <w:r>
              <w:rPr>
                <w:rFonts w:hint="eastAsia" w:ascii="宋体" w:hAnsi="宋体" w:eastAsia="宋体" w:cs="宋体"/>
                <w:lang w:val="en-US" w:eastAsia="zh-CN"/>
              </w:rPr>
              <w:t>质量控制方案及安全措施（6分）</w:t>
            </w:r>
          </w:p>
        </w:tc>
        <w:tc>
          <w:tcPr>
            <w:tcW w:w="6880" w:type="dxa"/>
            <w:noWrap/>
            <w:vAlign w:val="center"/>
          </w:tcPr>
          <w:p w14:paraId="6E25A2D9">
            <w:pPr>
              <w:pStyle w:val="518"/>
              <w:spacing w:before="106" w:line="252" w:lineRule="auto"/>
              <w:ind w:left="0" w:leftChars="0" w:right="206"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具有完善、可行的质量控制方案及安全措施，方案和措施安排优秀的得6分；未提供或提供不全不得分。</w:t>
            </w:r>
          </w:p>
        </w:tc>
      </w:tr>
      <w:tr w14:paraId="3A8B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5" w:type="dxa"/>
            <w:vMerge w:val="continue"/>
            <w:noWrap/>
            <w:vAlign w:val="center"/>
          </w:tcPr>
          <w:p w14:paraId="476CA1C9">
            <w:pPr>
              <w:widowControl/>
              <w:spacing w:line="360" w:lineRule="auto"/>
              <w:jc w:val="center"/>
              <w:rPr>
                <w:rFonts w:ascii="宋体" w:hAnsi="宋体" w:cs="宋体"/>
                <w:b/>
                <w:color w:val="auto"/>
                <w:highlight w:val="none"/>
              </w:rPr>
            </w:pPr>
          </w:p>
        </w:tc>
        <w:tc>
          <w:tcPr>
            <w:tcW w:w="796" w:type="dxa"/>
            <w:vMerge w:val="continue"/>
            <w:noWrap/>
            <w:vAlign w:val="center"/>
          </w:tcPr>
          <w:p w14:paraId="61FA2F46">
            <w:pPr>
              <w:widowControl/>
              <w:spacing w:line="360" w:lineRule="auto"/>
              <w:jc w:val="center"/>
              <w:rPr>
                <w:rFonts w:ascii="宋体" w:hAnsi="宋体" w:cs="宋体"/>
                <w:color w:val="auto"/>
                <w:highlight w:val="none"/>
              </w:rPr>
            </w:pPr>
          </w:p>
        </w:tc>
        <w:tc>
          <w:tcPr>
            <w:tcW w:w="1853" w:type="dxa"/>
            <w:noWrap/>
            <w:vAlign w:val="center"/>
          </w:tcPr>
          <w:p w14:paraId="16470ED4">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人 员 安 排 计 划及主 要 仪 器 设备 计 划</w:t>
            </w:r>
          </w:p>
          <w:p w14:paraId="5A5AC4DA">
            <w:pPr>
              <w:widowControl/>
              <w:adjustRightInd w:val="0"/>
              <w:snapToGrid w:val="0"/>
              <w:spacing w:line="360" w:lineRule="auto"/>
              <w:jc w:val="center"/>
              <w:textAlignment w:val="center"/>
              <w:rPr>
                <w:rFonts w:hint="default" w:ascii="宋体" w:hAnsi="宋体" w:eastAsia="宋体" w:cs="宋体"/>
                <w:lang w:val="en-US" w:eastAsia="zh-CN"/>
              </w:rPr>
            </w:pPr>
            <w:r>
              <w:rPr>
                <w:rFonts w:hint="eastAsia" w:ascii="宋体" w:hAnsi="宋体" w:eastAsia="宋体" w:cs="宋体"/>
                <w:lang w:val="en-US" w:eastAsia="zh-CN"/>
              </w:rPr>
              <w:t>（6分）</w:t>
            </w:r>
          </w:p>
        </w:tc>
        <w:tc>
          <w:tcPr>
            <w:tcW w:w="6880" w:type="dxa"/>
            <w:noWrap/>
            <w:vAlign w:val="center"/>
          </w:tcPr>
          <w:p w14:paraId="5DAAE098">
            <w:pPr>
              <w:pStyle w:val="518"/>
              <w:spacing w:before="108" w:line="231" w:lineRule="auto"/>
              <w:ind w:left="0" w:lef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项目人员安排充分满足项目实际需求、主要仪器设备配备齐全得6分 ； 未提供或提供不全不得分。</w:t>
            </w:r>
          </w:p>
        </w:tc>
      </w:tr>
      <w:tr w14:paraId="7F7A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665" w:type="dxa"/>
            <w:vMerge w:val="continue"/>
            <w:noWrap/>
            <w:vAlign w:val="center"/>
          </w:tcPr>
          <w:p w14:paraId="4238A2A0">
            <w:pPr>
              <w:widowControl/>
              <w:spacing w:line="360" w:lineRule="auto"/>
              <w:jc w:val="center"/>
              <w:rPr>
                <w:rFonts w:ascii="宋体" w:hAnsi="宋体" w:cs="宋体"/>
                <w:b/>
                <w:color w:val="auto"/>
                <w:highlight w:val="none"/>
              </w:rPr>
            </w:pPr>
          </w:p>
        </w:tc>
        <w:tc>
          <w:tcPr>
            <w:tcW w:w="796" w:type="dxa"/>
            <w:vMerge w:val="continue"/>
            <w:noWrap/>
            <w:vAlign w:val="center"/>
          </w:tcPr>
          <w:p w14:paraId="1B24B922">
            <w:pPr>
              <w:widowControl/>
              <w:spacing w:line="360" w:lineRule="auto"/>
              <w:jc w:val="center"/>
              <w:rPr>
                <w:rFonts w:ascii="宋体" w:hAnsi="宋体" w:cs="宋体"/>
                <w:b/>
                <w:color w:val="auto"/>
                <w:highlight w:val="none"/>
              </w:rPr>
            </w:pPr>
          </w:p>
        </w:tc>
        <w:tc>
          <w:tcPr>
            <w:tcW w:w="1853" w:type="dxa"/>
            <w:noWrap/>
            <w:vAlign w:val="center"/>
          </w:tcPr>
          <w:p w14:paraId="7FF5B6F2">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项目</w:t>
            </w:r>
            <w:r>
              <w:rPr>
                <w:rFonts w:hint="eastAsia" w:ascii="宋体" w:hAnsi="宋体" w:eastAsia="宋体" w:cs="宋体"/>
                <w:lang w:val="zh-CN" w:eastAsia="zh-CN"/>
              </w:rPr>
              <w:t>成果</w:t>
            </w:r>
            <w:r>
              <w:rPr>
                <w:rFonts w:hint="eastAsia" w:ascii="宋体" w:hAnsi="宋体" w:eastAsia="宋体" w:cs="宋体"/>
                <w:lang w:val="en-US" w:eastAsia="zh-CN"/>
              </w:rPr>
              <w:t>管理</w:t>
            </w:r>
            <w:r>
              <w:rPr>
                <w:rFonts w:hint="eastAsia" w:ascii="宋体" w:hAnsi="宋体" w:eastAsia="宋体" w:cs="宋体"/>
                <w:lang w:val="zh-CN" w:eastAsia="zh-CN"/>
              </w:rPr>
              <w:t>保证措施</w:t>
            </w:r>
            <w:r>
              <w:rPr>
                <w:rFonts w:hint="eastAsia" w:ascii="宋体" w:hAnsi="宋体" w:eastAsia="宋体" w:cs="宋体"/>
                <w:lang w:val="en-US" w:eastAsia="zh-CN"/>
              </w:rPr>
              <w:t>（5分）</w:t>
            </w:r>
          </w:p>
        </w:tc>
        <w:tc>
          <w:tcPr>
            <w:tcW w:w="6880" w:type="dxa"/>
            <w:noWrap/>
            <w:vAlign w:val="center"/>
          </w:tcPr>
          <w:p w14:paraId="53AD2A1F">
            <w:pPr>
              <w:pStyle w:val="518"/>
              <w:spacing w:before="108" w:line="252" w:lineRule="auto"/>
              <w:ind w:left="0" w:leftChars="0" w:right="206"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制定项目成果管理和保密措施：内容完整、科学合理、措施可行、针对性强5分 ；未提供或提供不全不得分。</w:t>
            </w:r>
          </w:p>
        </w:tc>
      </w:tr>
      <w:tr w14:paraId="23D0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65" w:type="dxa"/>
            <w:vMerge w:val="continue"/>
            <w:noWrap/>
            <w:vAlign w:val="center"/>
          </w:tcPr>
          <w:p w14:paraId="7A0382B0">
            <w:pPr>
              <w:widowControl/>
              <w:spacing w:line="360" w:lineRule="auto"/>
              <w:jc w:val="center"/>
              <w:rPr>
                <w:rFonts w:ascii="宋体" w:hAnsi="宋体" w:cs="宋体"/>
                <w:b/>
                <w:color w:val="auto"/>
                <w:highlight w:val="none"/>
              </w:rPr>
            </w:pPr>
          </w:p>
        </w:tc>
        <w:tc>
          <w:tcPr>
            <w:tcW w:w="796" w:type="dxa"/>
            <w:vMerge w:val="continue"/>
            <w:noWrap/>
            <w:vAlign w:val="center"/>
          </w:tcPr>
          <w:p w14:paraId="6110C870">
            <w:pPr>
              <w:widowControl/>
              <w:spacing w:line="360" w:lineRule="auto"/>
              <w:jc w:val="center"/>
              <w:rPr>
                <w:rFonts w:ascii="宋体" w:hAnsi="宋体" w:cs="宋体"/>
                <w:b/>
                <w:color w:val="auto"/>
                <w:highlight w:val="none"/>
              </w:rPr>
            </w:pPr>
          </w:p>
        </w:tc>
        <w:tc>
          <w:tcPr>
            <w:tcW w:w="1853" w:type="dxa"/>
            <w:noWrap/>
            <w:vAlign w:val="center"/>
          </w:tcPr>
          <w:p w14:paraId="72C03AAB">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保密措施</w:t>
            </w:r>
          </w:p>
          <w:p w14:paraId="31D21512">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（5分）</w:t>
            </w:r>
          </w:p>
        </w:tc>
        <w:tc>
          <w:tcPr>
            <w:tcW w:w="6880" w:type="dxa"/>
            <w:noWrap/>
            <w:vAlign w:val="center"/>
          </w:tcPr>
          <w:p w14:paraId="7D66BC30">
            <w:pPr>
              <w:widowControl/>
              <w:adjustRightInd w:val="0"/>
              <w:snapToGrid w:val="0"/>
              <w:spacing w:line="360" w:lineRule="auto"/>
              <w:jc w:val="left"/>
              <w:textAlignment w:val="center"/>
              <w:rPr>
                <w:rFonts w:hint="eastAsia" w:ascii="宋体" w:hAnsi="宋体" w:eastAsia="宋体" w:cs="宋体"/>
                <w:lang w:val="en-US" w:eastAsia="zh-CN"/>
              </w:rPr>
            </w:pPr>
            <w:r>
              <w:rPr>
                <w:rFonts w:hint="eastAsia" w:ascii="宋体" w:hAnsi="宋体" w:eastAsia="宋体" w:cs="宋体"/>
                <w:lang w:val="en-US" w:eastAsia="zh-CN"/>
              </w:rPr>
              <w:t>针对本项目制定保密措施，措施科学、严密、合理，描述详细且具有针对性的得5分； 内容详实，并根据工作重点、难点 提出合理的 建 议 得3分 ； 内 容基本合理得1分 ；未针对本项描述的得0分 。</w:t>
            </w:r>
          </w:p>
        </w:tc>
      </w:tr>
      <w:tr w14:paraId="4D28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65" w:type="dxa"/>
            <w:vMerge w:val="continue"/>
            <w:noWrap/>
            <w:vAlign w:val="center"/>
          </w:tcPr>
          <w:p w14:paraId="26AD35D9">
            <w:pPr>
              <w:widowControl/>
              <w:spacing w:line="360" w:lineRule="auto"/>
              <w:jc w:val="center"/>
              <w:rPr>
                <w:rFonts w:ascii="宋体" w:hAnsi="宋体" w:cs="宋体"/>
                <w:b/>
                <w:color w:val="auto"/>
                <w:highlight w:val="none"/>
              </w:rPr>
            </w:pPr>
          </w:p>
        </w:tc>
        <w:tc>
          <w:tcPr>
            <w:tcW w:w="796" w:type="dxa"/>
            <w:vMerge w:val="continue"/>
            <w:noWrap/>
            <w:vAlign w:val="center"/>
          </w:tcPr>
          <w:p w14:paraId="7947DBA3">
            <w:pPr>
              <w:widowControl/>
              <w:spacing w:line="360" w:lineRule="auto"/>
              <w:jc w:val="center"/>
              <w:rPr>
                <w:rFonts w:ascii="宋体" w:hAnsi="宋体" w:cs="宋体"/>
                <w:b/>
                <w:color w:val="auto"/>
                <w:highlight w:val="none"/>
              </w:rPr>
            </w:pPr>
          </w:p>
        </w:tc>
        <w:tc>
          <w:tcPr>
            <w:tcW w:w="1853" w:type="dxa"/>
            <w:noWrap/>
            <w:vAlign w:val="center"/>
          </w:tcPr>
          <w:p w14:paraId="73906E96">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服务承诺</w:t>
            </w:r>
          </w:p>
          <w:p w14:paraId="5EEAAACC">
            <w:pPr>
              <w:widowControl/>
              <w:adjustRightInd w:val="0"/>
              <w:snapToGrid w:val="0"/>
              <w:spacing w:line="360" w:lineRule="auto"/>
              <w:jc w:val="center"/>
              <w:textAlignment w:val="center"/>
              <w:rPr>
                <w:rFonts w:hint="eastAsia" w:ascii="宋体" w:hAnsi="宋体" w:eastAsia="宋体" w:cs="宋体"/>
                <w:lang w:val="en-US" w:eastAsia="zh-CN"/>
              </w:rPr>
            </w:pPr>
            <w:r>
              <w:rPr>
                <w:rFonts w:hint="eastAsia" w:ascii="宋体" w:hAnsi="宋体" w:eastAsia="宋体" w:cs="宋体"/>
                <w:lang w:val="en-US" w:eastAsia="zh-CN"/>
              </w:rPr>
              <w:t>（5分）</w:t>
            </w:r>
          </w:p>
        </w:tc>
        <w:tc>
          <w:tcPr>
            <w:tcW w:w="6880" w:type="dxa"/>
            <w:noWrap/>
            <w:vAlign w:val="center"/>
          </w:tcPr>
          <w:p w14:paraId="68A3D08C">
            <w:pPr>
              <w:widowControl/>
              <w:adjustRightInd w:val="0"/>
              <w:snapToGrid w:val="0"/>
              <w:spacing w:line="360" w:lineRule="auto"/>
              <w:jc w:val="left"/>
              <w:textAlignment w:val="center"/>
              <w:rPr>
                <w:rFonts w:hint="eastAsia" w:ascii="宋体" w:hAnsi="宋体" w:eastAsia="宋体" w:cs="宋体"/>
                <w:lang w:val="en-US" w:eastAsia="zh-CN"/>
              </w:rPr>
            </w:pPr>
            <w:r>
              <w:rPr>
                <w:rFonts w:hint="eastAsia" w:ascii="宋体" w:hAnsi="宋体" w:eastAsia="宋体" w:cs="宋体"/>
                <w:lang w:val="zh-CN" w:eastAsia="zh-CN"/>
              </w:rPr>
              <w:t>承诺服从采购人的工作计划安排，并积极配合工作，承诺未经采购人同意不擅自更换投标文件中承诺的拟投入人员，承诺积极配合采购人需求及后续服务工作</w:t>
            </w:r>
            <w:r>
              <w:rPr>
                <w:rFonts w:hint="eastAsia" w:ascii="宋体" w:hAnsi="宋体" w:eastAsia="宋体" w:cs="宋体"/>
                <w:lang w:val="en-US" w:eastAsia="zh-CN"/>
              </w:rPr>
              <w:t>：</w:t>
            </w:r>
            <w:r>
              <w:rPr>
                <w:rFonts w:hint="eastAsia" w:ascii="宋体" w:hAnsi="宋体" w:eastAsia="宋体" w:cs="宋体"/>
                <w:lang w:val="zh-CN" w:eastAsia="zh-CN"/>
              </w:rPr>
              <w:t>内容完整、科学合理、措施可行、针对性强</w:t>
            </w:r>
            <w:r>
              <w:rPr>
                <w:rFonts w:hint="eastAsia" w:ascii="宋体" w:hAnsi="宋体" w:eastAsia="宋体" w:cs="宋体"/>
                <w:lang w:val="en-US" w:eastAsia="zh-CN"/>
              </w:rPr>
              <w:t>得5分；</w:t>
            </w:r>
            <w:r>
              <w:rPr>
                <w:rFonts w:hint="eastAsia" w:ascii="宋体" w:hAnsi="宋体" w:eastAsia="宋体" w:cs="宋体"/>
                <w:lang w:val="zh-CN" w:eastAsia="zh-CN"/>
              </w:rPr>
              <w:t>内容</w:t>
            </w:r>
            <w:r>
              <w:rPr>
                <w:rFonts w:hint="eastAsia" w:ascii="宋体" w:hAnsi="宋体" w:eastAsia="宋体" w:cs="宋体"/>
                <w:lang w:val="en-US" w:eastAsia="zh-CN"/>
              </w:rPr>
              <w:t>较为</w:t>
            </w:r>
            <w:r>
              <w:rPr>
                <w:rFonts w:hint="eastAsia" w:ascii="宋体" w:hAnsi="宋体" w:eastAsia="宋体" w:cs="宋体"/>
                <w:lang w:val="zh-CN" w:eastAsia="zh-CN"/>
              </w:rPr>
              <w:t>完整、</w:t>
            </w:r>
            <w:r>
              <w:rPr>
                <w:rFonts w:hint="eastAsia" w:ascii="宋体" w:hAnsi="宋体" w:eastAsia="宋体" w:cs="宋体"/>
                <w:lang w:val="en-US" w:eastAsia="zh-CN"/>
              </w:rPr>
              <w:t>较为</w:t>
            </w:r>
            <w:r>
              <w:rPr>
                <w:rFonts w:hint="eastAsia" w:ascii="宋体" w:hAnsi="宋体" w:eastAsia="宋体" w:cs="宋体"/>
                <w:lang w:val="zh-CN" w:eastAsia="zh-CN"/>
              </w:rPr>
              <w:t>科学合理、措施</w:t>
            </w:r>
            <w:r>
              <w:rPr>
                <w:rFonts w:hint="eastAsia" w:ascii="宋体" w:hAnsi="宋体" w:eastAsia="宋体" w:cs="宋体"/>
                <w:lang w:val="en-US" w:eastAsia="zh-CN"/>
              </w:rPr>
              <w:t>较为</w:t>
            </w:r>
            <w:r>
              <w:rPr>
                <w:rFonts w:hint="eastAsia" w:ascii="宋体" w:hAnsi="宋体" w:eastAsia="宋体" w:cs="宋体"/>
                <w:lang w:val="zh-CN" w:eastAsia="zh-CN"/>
              </w:rPr>
              <w:t>可行、针对性</w:t>
            </w:r>
            <w:bookmarkStart w:id="120" w:name="_GoBack"/>
            <w:bookmarkEnd w:id="120"/>
            <w:r>
              <w:rPr>
                <w:rFonts w:hint="eastAsia" w:ascii="宋体" w:hAnsi="宋体" w:eastAsia="宋体" w:cs="宋体"/>
                <w:lang w:val="en-US" w:eastAsia="zh-CN"/>
              </w:rPr>
              <w:t>较</w:t>
            </w:r>
            <w:r>
              <w:rPr>
                <w:rFonts w:hint="eastAsia" w:ascii="宋体" w:hAnsi="宋体" w:eastAsia="宋体" w:cs="宋体"/>
                <w:lang w:val="zh-CN" w:eastAsia="zh-CN"/>
              </w:rPr>
              <w:t>强</w:t>
            </w:r>
            <w:r>
              <w:rPr>
                <w:rFonts w:hint="eastAsia" w:ascii="宋体" w:hAnsi="宋体" w:eastAsia="宋体" w:cs="宋体"/>
                <w:lang w:val="en-US" w:eastAsia="zh-CN"/>
              </w:rPr>
              <w:t>得3分；</w:t>
            </w:r>
            <w:r>
              <w:rPr>
                <w:rFonts w:hint="eastAsia" w:ascii="宋体" w:hAnsi="宋体" w:eastAsia="宋体" w:cs="宋体"/>
                <w:lang w:val="zh-CN" w:eastAsia="zh-CN"/>
              </w:rPr>
              <w:t>内容基本完整、措施基本可行、基本符合项目需求</w:t>
            </w:r>
            <w:r>
              <w:rPr>
                <w:rFonts w:hint="eastAsia" w:ascii="宋体" w:hAnsi="宋体" w:eastAsia="宋体" w:cs="宋体"/>
                <w:lang w:val="en-US" w:eastAsia="zh-CN"/>
              </w:rPr>
              <w:t>得1分；</w:t>
            </w:r>
            <w:r>
              <w:rPr>
                <w:rFonts w:hint="eastAsia" w:ascii="宋体" w:hAnsi="宋体" w:eastAsia="宋体" w:cs="宋体"/>
                <w:lang w:val="zh-CN" w:eastAsia="zh-CN"/>
              </w:rPr>
              <w:t>内容不够完整、为达到项目目标需要进一步完善的</w:t>
            </w:r>
            <w:r>
              <w:rPr>
                <w:rFonts w:hint="eastAsia" w:ascii="宋体" w:hAnsi="宋体" w:eastAsia="宋体" w:cs="宋体"/>
                <w:lang w:val="en-US" w:eastAsia="zh-CN"/>
              </w:rPr>
              <w:t>得0.5分。不提供不得分。</w:t>
            </w:r>
          </w:p>
        </w:tc>
      </w:tr>
      <w:tr w14:paraId="4CDA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5" w:type="dxa"/>
            <w:vMerge w:val="restart"/>
            <w:noWrap/>
            <w:vAlign w:val="center"/>
          </w:tcPr>
          <w:p w14:paraId="58316518">
            <w:pPr>
              <w:widowControl/>
              <w:spacing w:line="360" w:lineRule="auto"/>
              <w:jc w:val="center"/>
              <w:rPr>
                <w:rFonts w:ascii="宋体" w:hAnsi="宋体" w:cs="宋体"/>
                <w:b/>
                <w:color w:val="auto"/>
                <w:highlight w:val="none"/>
              </w:rPr>
            </w:pPr>
            <w:r>
              <w:rPr>
                <w:rFonts w:hint="eastAsia" w:ascii="宋体" w:hAnsi="宋体" w:cs="宋体"/>
                <w:b/>
                <w:color w:val="auto"/>
                <w:highlight w:val="none"/>
              </w:rPr>
              <w:t>3</w:t>
            </w:r>
          </w:p>
        </w:tc>
        <w:tc>
          <w:tcPr>
            <w:tcW w:w="796" w:type="dxa"/>
            <w:vMerge w:val="restart"/>
            <w:noWrap/>
            <w:vAlign w:val="center"/>
          </w:tcPr>
          <w:p w14:paraId="5D2BAB43">
            <w:pPr>
              <w:spacing w:line="360" w:lineRule="auto"/>
              <w:jc w:val="center"/>
              <w:rPr>
                <w:rFonts w:ascii="宋体" w:hAnsi="宋体" w:cs="宋体"/>
                <w:b/>
                <w:color w:val="auto"/>
                <w:highlight w:val="none"/>
              </w:rPr>
            </w:pPr>
            <w:r>
              <w:rPr>
                <w:rFonts w:hint="eastAsia" w:ascii="宋体" w:hAnsi="宋体" w:cs="宋体"/>
                <w:b/>
                <w:color w:val="auto"/>
                <w:highlight w:val="none"/>
              </w:rPr>
              <w:t>综合</w:t>
            </w:r>
          </w:p>
          <w:p w14:paraId="55786183">
            <w:pPr>
              <w:spacing w:line="360" w:lineRule="auto"/>
              <w:jc w:val="center"/>
              <w:rPr>
                <w:rFonts w:ascii="宋体" w:hAnsi="宋体" w:cs="宋体"/>
                <w:b/>
                <w:color w:val="auto"/>
                <w:highlight w:val="none"/>
              </w:rPr>
            </w:pPr>
            <w:r>
              <w:rPr>
                <w:rFonts w:hint="eastAsia" w:ascii="宋体" w:hAnsi="宋体" w:cs="宋体"/>
                <w:b/>
                <w:color w:val="auto"/>
                <w:highlight w:val="none"/>
              </w:rPr>
              <w:t>部分</w:t>
            </w:r>
          </w:p>
          <w:p w14:paraId="14C1F528">
            <w:pPr>
              <w:spacing w:line="360" w:lineRule="auto"/>
              <w:jc w:val="center"/>
              <w:rPr>
                <w:rFonts w:ascii="宋体" w:hAnsi="宋体" w:cs="宋体"/>
                <w:b/>
                <w:color w:val="auto"/>
                <w:highlight w:val="none"/>
              </w:rPr>
            </w:pPr>
            <w:r>
              <w:rPr>
                <w:rFonts w:hint="eastAsia" w:ascii="宋体" w:hAnsi="宋体" w:cs="宋体"/>
                <w:b/>
                <w:color w:val="auto"/>
                <w:highlight w:val="none"/>
              </w:rPr>
              <w:t>（</w:t>
            </w:r>
            <w:r>
              <w:rPr>
                <w:rFonts w:hint="eastAsia" w:ascii="宋体" w:hAnsi="宋体" w:cs="宋体"/>
                <w:b/>
                <w:color w:val="auto"/>
                <w:highlight w:val="none"/>
                <w:lang w:val="en-US" w:eastAsia="zh-CN"/>
              </w:rPr>
              <w:t>40</w:t>
            </w:r>
            <w:r>
              <w:rPr>
                <w:rFonts w:hint="eastAsia" w:ascii="宋体" w:hAnsi="宋体" w:cs="宋体"/>
                <w:b/>
                <w:color w:val="auto"/>
                <w:highlight w:val="none"/>
              </w:rPr>
              <w:t>分）</w:t>
            </w:r>
          </w:p>
        </w:tc>
        <w:tc>
          <w:tcPr>
            <w:tcW w:w="1853" w:type="dxa"/>
            <w:noWrap/>
            <w:vAlign w:val="center"/>
          </w:tcPr>
          <w:p w14:paraId="56A80716">
            <w:pPr>
              <w:widowControl/>
              <w:adjustRightInd w:val="0"/>
              <w:snapToGrid w:val="0"/>
              <w:spacing w:line="400" w:lineRule="exact"/>
              <w:ind w:firstLine="0" w:firstLineChars="0"/>
              <w:jc w:val="center"/>
              <w:rPr>
                <w:rFonts w:hint="default" w:ascii="宋体" w:hAnsi="宋体" w:eastAsia="宋体" w:cs="宋体"/>
                <w:color w:val="auto"/>
                <w:kern w:val="0"/>
                <w:szCs w:val="21"/>
                <w:highlight w:val="none"/>
                <w:lang w:val="en-US" w:eastAsia="zh-CN" w:bidi="zh-CN"/>
              </w:rPr>
            </w:pPr>
            <w:r>
              <w:rPr>
                <w:rFonts w:hint="eastAsia" w:ascii="宋体" w:hAnsi="宋体" w:eastAsia="宋体" w:cs="宋体"/>
                <w:color w:val="auto"/>
                <w:kern w:val="0"/>
                <w:szCs w:val="21"/>
                <w:highlight w:val="none"/>
                <w:lang w:val="en-US" w:eastAsia="zh-CN" w:bidi="zh-CN"/>
              </w:rPr>
              <w:t>企业</w:t>
            </w:r>
            <w:r>
              <w:rPr>
                <w:rFonts w:hint="eastAsia" w:ascii="宋体" w:hAnsi="宋体" w:eastAsia="宋体" w:cs="宋体"/>
                <w:color w:val="auto"/>
                <w:kern w:val="0"/>
                <w:szCs w:val="21"/>
                <w:highlight w:val="none"/>
                <w:lang w:val="en-US" w:bidi="zh-CN"/>
              </w:rPr>
              <w:t>业绩</w:t>
            </w:r>
            <w:r>
              <w:rPr>
                <w:rFonts w:hint="eastAsia" w:ascii="宋体" w:hAnsi="宋体" w:eastAsia="宋体" w:cs="宋体"/>
                <w:color w:val="auto"/>
                <w:kern w:val="0"/>
                <w:szCs w:val="21"/>
                <w:highlight w:val="none"/>
                <w:lang w:val="en-US" w:eastAsia="zh-CN" w:bidi="zh-CN"/>
              </w:rPr>
              <w:t>（1</w:t>
            </w:r>
            <w:r>
              <w:rPr>
                <w:rFonts w:hint="eastAsia" w:ascii="宋体" w:hAnsi="宋体" w:cs="宋体"/>
                <w:color w:val="auto"/>
                <w:kern w:val="0"/>
                <w:szCs w:val="21"/>
                <w:highlight w:val="none"/>
                <w:lang w:val="en-US" w:eastAsia="zh-CN" w:bidi="zh-CN"/>
              </w:rPr>
              <w:t>4</w:t>
            </w:r>
            <w:r>
              <w:rPr>
                <w:rFonts w:hint="eastAsia" w:ascii="宋体" w:hAnsi="宋体" w:eastAsia="宋体" w:cs="宋体"/>
                <w:color w:val="auto"/>
                <w:kern w:val="0"/>
                <w:szCs w:val="21"/>
                <w:highlight w:val="none"/>
                <w:lang w:val="en-US" w:eastAsia="zh-CN" w:bidi="zh-CN"/>
              </w:rPr>
              <w:t>分）</w:t>
            </w:r>
          </w:p>
        </w:tc>
        <w:tc>
          <w:tcPr>
            <w:tcW w:w="6880" w:type="dxa"/>
            <w:noWrap/>
            <w:vAlign w:val="center"/>
          </w:tcPr>
          <w:p w14:paraId="59A82733">
            <w:pPr>
              <w:widowControl/>
              <w:adjustRightInd w:val="0"/>
              <w:snapToGrid w:val="0"/>
              <w:spacing w:line="400" w:lineRule="exact"/>
              <w:ind w:firstLine="0" w:firstLineChars="0"/>
              <w:jc w:val="left"/>
              <w:rPr>
                <w:rFonts w:hint="default" w:ascii="宋体" w:hAnsi="宋体" w:eastAsia="宋体" w:cs="宋体"/>
                <w:color w:val="auto"/>
                <w:kern w:val="0"/>
                <w:szCs w:val="21"/>
                <w:highlight w:val="none"/>
                <w:lang w:val="en-US" w:bidi="zh-CN"/>
              </w:rPr>
            </w:pPr>
            <w:r>
              <w:rPr>
                <w:rFonts w:hint="eastAsia" w:ascii="宋体" w:hAnsi="宋体" w:eastAsia="宋体" w:cs="宋体"/>
                <w:color w:val="auto"/>
                <w:kern w:val="0"/>
                <w:szCs w:val="21"/>
                <w:highlight w:val="none"/>
                <w:lang w:val="en-US" w:eastAsia="zh-CN" w:bidi="zh-CN"/>
              </w:rPr>
              <w:t>2023年1月1日以来，</w:t>
            </w:r>
            <w:r>
              <w:rPr>
                <w:rFonts w:hint="default" w:ascii="宋体" w:hAnsi="宋体" w:eastAsia="宋体" w:cs="宋体"/>
                <w:color w:val="auto"/>
                <w:kern w:val="0"/>
                <w:szCs w:val="21"/>
                <w:highlight w:val="none"/>
                <w:lang w:val="en-US" w:eastAsia="zh-CN" w:bidi="zh-CN"/>
              </w:rPr>
              <w:t>供应商承担过类似项目（如</w:t>
            </w:r>
            <w:r>
              <w:rPr>
                <w:rFonts w:hint="eastAsia" w:ascii="宋体" w:hAnsi="宋体" w:eastAsia="宋体" w:cs="宋体"/>
                <w:color w:val="auto"/>
                <w:kern w:val="0"/>
                <w:szCs w:val="21"/>
                <w:highlight w:val="none"/>
                <w:lang w:val="en-US" w:eastAsia="zh-CN" w:bidi="zh-CN"/>
              </w:rPr>
              <w:t>：国土空间规划、</w:t>
            </w:r>
            <w:r>
              <w:rPr>
                <w:rFonts w:hint="default" w:ascii="宋体" w:hAnsi="宋体" w:eastAsia="宋体" w:cs="宋体"/>
                <w:color w:val="auto"/>
                <w:kern w:val="0"/>
                <w:szCs w:val="21"/>
                <w:highlight w:val="none"/>
                <w:lang w:val="en-US" w:eastAsia="zh-CN" w:bidi="zh-CN"/>
              </w:rPr>
              <w:t>村庄规划）业绩的</w:t>
            </w:r>
            <w:r>
              <w:rPr>
                <w:rFonts w:hint="eastAsia" w:ascii="宋体" w:hAnsi="宋体" w:eastAsia="宋体" w:cs="宋体"/>
                <w:color w:val="auto"/>
                <w:kern w:val="0"/>
                <w:szCs w:val="21"/>
                <w:highlight w:val="none"/>
                <w:lang w:val="en-US" w:eastAsia="zh-CN" w:bidi="zh-CN"/>
              </w:rPr>
              <w:t>，</w:t>
            </w:r>
            <w:r>
              <w:rPr>
                <w:rFonts w:hint="default" w:ascii="宋体" w:hAnsi="宋体" w:eastAsia="宋体" w:cs="宋体"/>
                <w:color w:val="auto"/>
                <w:kern w:val="0"/>
                <w:szCs w:val="21"/>
                <w:highlight w:val="none"/>
                <w:lang w:val="en-US" w:eastAsia="zh-CN" w:bidi="zh-CN"/>
              </w:rPr>
              <w:t>每</w:t>
            </w:r>
            <w:r>
              <w:rPr>
                <w:rFonts w:hint="eastAsia" w:ascii="宋体" w:hAnsi="宋体" w:eastAsia="宋体" w:cs="宋体"/>
                <w:color w:val="auto"/>
                <w:kern w:val="0"/>
                <w:szCs w:val="21"/>
                <w:highlight w:val="none"/>
                <w:lang w:val="en-US" w:eastAsia="zh-CN" w:bidi="zh-CN"/>
              </w:rPr>
              <w:t>有一</w:t>
            </w:r>
            <w:r>
              <w:rPr>
                <w:rFonts w:hint="default" w:ascii="宋体" w:hAnsi="宋体" w:eastAsia="宋体" w:cs="宋体"/>
                <w:color w:val="auto"/>
                <w:kern w:val="0"/>
                <w:szCs w:val="21"/>
                <w:highlight w:val="none"/>
                <w:lang w:val="en-US" w:eastAsia="zh-CN" w:bidi="zh-CN"/>
              </w:rPr>
              <w:t>份得</w:t>
            </w:r>
            <w:r>
              <w:rPr>
                <w:rFonts w:hint="eastAsia" w:ascii="宋体" w:hAnsi="宋体" w:cs="宋体"/>
                <w:color w:val="auto"/>
                <w:kern w:val="0"/>
                <w:szCs w:val="21"/>
                <w:highlight w:val="none"/>
                <w:lang w:val="en-US" w:eastAsia="zh-CN" w:bidi="zh-CN"/>
              </w:rPr>
              <w:t>2</w:t>
            </w:r>
            <w:r>
              <w:rPr>
                <w:rFonts w:hint="default" w:ascii="宋体" w:hAnsi="宋体" w:eastAsia="宋体" w:cs="宋体"/>
                <w:color w:val="auto"/>
                <w:kern w:val="0"/>
                <w:szCs w:val="21"/>
                <w:highlight w:val="none"/>
                <w:lang w:val="en-US" w:eastAsia="zh-CN" w:bidi="zh-CN"/>
              </w:rPr>
              <w:t>分 ，本项最多得</w:t>
            </w:r>
            <w:r>
              <w:rPr>
                <w:rFonts w:hint="eastAsia" w:ascii="宋体" w:hAnsi="宋体" w:cs="宋体"/>
                <w:color w:val="auto"/>
                <w:kern w:val="0"/>
                <w:szCs w:val="21"/>
                <w:highlight w:val="none"/>
                <w:lang w:val="en-US" w:eastAsia="zh-CN" w:bidi="zh-CN"/>
              </w:rPr>
              <w:t>14</w:t>
            </w:r>
            <w:r>
              <w:rPr>
                <w:rFonts w:hint="default" w:ascii="宋体" w:hAnsi="宋体" w:eastAsia="宋体" w:cs="宋体"/>
                <w:color w:val="auto"/>
                <w:kern w:val="0"/>
                <w:szCs w:val="21"/>
                <w:highlight w:val="none"/>
                <w:lang w:val="en-US" w:eastAsia="zh-CN" w:bidi="zh-CN"/>
              </w:rPr>
              <w:t>分（须在响应文件中附合同</w:t>
            </w:r>
            <w:r>
              <w:rPr>
                <w:rFonts w:hint="eastAsia" w:ascii="宋体" w:hAnsi="宋体" w:eastAsia="宋体" w:cs="宋体"/>
                <w:color w:val="auto"/>
                <w:kern w:val="0"/>
                <w:szCs w:val="21"/>
                <w:highlight w:val="none"/>
                <w:lang w:val="en-US" w:eastAsia="zh-CN" w:bidi="zh-CN"/>
              </w:rPr>
              <w:t>、中标（成交）通知书</w:t>
            </w:r>
            <w:r>
              <w:rPr>
                <w:rFonts w:hint="default" w:ascii="宋体" w:hAnsi="宋体" w:eastAsia="宋体" w:cs="宋体"/>
                <w:color w:val="auto"/>
                <w:kern w:val="0"/>
                <w:szCs w:val="21"/>
                <w:highlight w:val="none"/>
                <w:lang w:val="en-US" w:eastAsia="zh-CN" w:bidi="zh-CN"/>
              </w:rPr>
              <w:t>扫描件或复印件</w:t>
            </w:r>
            <w:r>
              <w:rPr>
                <w:rFonts w:hint="eastAsia" w:ascii="宋体" w:hAnsi="宋体" w:eastAsia="宋体" w:cs="宋体"/>
                <w:color w:val="auto"/>
                <w:kern w:val="0"/>
                <w:szCs w:val="21"/>
                <w:highlight w:val="none"/>
                <w:lang w:val="en-US" w:eastAsia="zh-CN" w:bidi="zh-CN"/>
              </w:rPr>
              <w:t>，</w:t>
            </w:r>
            <w:r>
              <w:rPr>
                <w:rFonts w:hint="default" w:ascii="宋体" w:hAnsi="宋体" w:eastAsia="宋体" w:cs="宋体"/>
                <w:color w:val="auto"/>
                <w:kern w:val="0"/>
                <w:szCs w:val="21"/>
                <w:highlight w:val="none"/>
                <w:lang w:val="en-US" w:eastAsia="zh-CN" w:bidi="zh-CN"/>
              </w:rPr>
              <w:t xml:space="preserve"> 否则不得分）</w:t>
            </w:r>
            <w:r>
              <w:rPr>
                <w:rFonts w:hint="eastAsia" w:ascii="宋体" w:hAnsi="宋体" w:eastAsia="宋体" w:cs="宋体"/>
                <w:color w:val="auto"/>
                <w:kern w:val="0"/>
                <w:szCs w:val="21"/>
                <w:highlight w:val="none"/>
                <w:lang w:val="en-US" w:eastAsia="zh-CN" w:bidi="zh-CN"/>
              </w:rPr>
              <w:t>。</w:t>
            </w:r>
          </w:p>
        </w:tc>
      </w:tr>
      <w:tr w14:paraId="0DD8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665" w:type="dxa"/>
            <w:vMerge w:val="continue"/>
            <w:noWrap/>
            <w:vAlign w:val="center"/>
          </w:tcPr>
          <w:p w14:paraId="615C29A6">
            <w:pPr>
              <w:widowControl/>
              <w:spacing w:line="360" w:lineRule="auto"/>
              <w:jc w:val="center"/>
              <w:rPr>
                <w:rFonts w:ascii="宋体" w:hAnsi="宋体" w:cs="宋体"/>
                <w:b/>
                <w:color w:val="auto"/>
                <w:highlight w:val="none"/>
              </w:rPr>
            </w:pPr>
          </w:p>
        </w:tc>
        <w:tc>
          <w:tcPr>
            <w:tcW w:w="796" w:type="dxa"/>
            <w:vMerge w:val="continue"/>
            <w:noWrap/>
            <w:vAlign w:val="center"/>
          </w:tcPr>
          <w:p w14:paraId="2E5DD2F6">
            <w:pPr>
              <w:spacing w:line="360" w:lineRule="auto"/>
              <w:jc w:val="center"/>
              <w:rPr>
                <w:rFonts w:ascii="宋体" w:hAnsi="宋体" w:cs="宋体"/>
                <w:b/>
                <w:color w:val="auto"/>
                <w:highlight w:val="none"/>
              </w:rPr>
            </w:pPr>
          </w:p>
        </w:tc>
        <w:tc>
          <w:tcPr>
            <w:tcW w:w="1853" w:type="dxa"/>
            <w:noWrap/>
            <w:vAlign w:val="center"/>
          </w:tcPr>
          <w:p w14:paraId="12145131">
            <w:pPr>
              <w:widowControl/>
              <w:adjustRightInd w:val="0"/>
              <w:snapToGrid w:val="0"/>
              <w:spacing w:line="400" w:lineRule="exact"/>
              <w:ind w:firstLine="0" w:firstLineChars="0"/>
              <w:jc w:val="center"/>
              <w:rPr>
                <w:rFonts w:hint="eastAsia" w:ascii="宋体" w:hAnsi="宋体" w:eastAsia="宋体" w:cs="宋体"/>
                <w:color w:val="auto"/>
                <w:kern w:val="0"/>
                <w:szCs w:val="21"/>
                <w:highlight w:val="none"/>
                <w:lang w:val="en-US" w:bidi="zh-CN"/>
              </w:rPr>
            </w:pPr>
            <w:r>
              <w:rPr>
                <w:rFonts w:hint="eastAsia" w:ascii="宋体" w:hAnsi="宋体" w:eastAsia="宋体" w:cs="宋体"/>
                <w:color w:val="auto"/>
                <w:kern w:val="0"/>
                <w:szCs w:val="21"/>
                <w:highlight w:val="none"/>
                <w:lang w:val="en-US" w:eastAsia="zh-CN" w:bidi="zh-CN"/>
              </w:rPr>
              <w:t>项目组团队成员    （2</w:t>
            </w:r>
            <w:r>
              <w:rPr>
                <w:rFonts w:hint="eastAsia" w:ascii="宋体" w:hAnsi="宋体" w:cs="宋体"/>
                <w:color w:val="auto"/>
                <w:kern w:val="0"/>
                <w:szCs w:val="21"/>
                <w:highlight w:val="none"/>
                <w:lang w:val="en-US" w:eastAsia="zh-CN" w:bidi="zh-CN"/>
              </w:rPr>
              <w:t>1</w:t>
            </w:r>
            <w:r>
              <w:rPr>
                <w:rFonts w:hint="eastAsia" w:ascii="宋体" w:hAnsi="宋体" w:eastAsia="宋体" w:cs="宋体"/>
                <w:color w:val="auto"/>
                <w:kern w:val="0"/>
                <w:szCs w:val="21"/>
                <w:highlight w:val="none"/>
                <w:lang w:val="en-US" w:eastAsia="zh-CN" w:bidi="zh-CN"/>
              </w:rPr>
              <w:t>分）</w:t>
            </w:r>
          </w:p>
        </w:tc>
        <w:tc>
          <w:tcPr>
            <w:tcW w:w="6880" w:type="dxa"/>
            <w:noWrap/>
            <w:vAlign w:val="center"/>
          </w:tcPr>
          <w:p w14:paraId="1E674B4E">
            <w:pPr>
              <w:widowControl/>
              <w:adjustRightInd w:val="0"/>
              <w:snapToGrid w:val="0"/>
              <w:spacing w:line="400" w:lineRule="exact"/>
              <w:ind w:firstLine="0" w:firstLineChars="0"/>
              <w:jc w:val="left"/>
              <w:rPr>
                <w:rFonts w:hint="eastAsia" w:ascii="宋体" w:hAnsi="宋体" w:eastAsia="宋体" w:cs="宋体"/>
                <w:color w:val="auto"/>
                <w:kern w:val="0"/>
                <w:szCs w:val="21"/>
                <w:highlight w:val="none"/>
                <w:lang w:val="en-US" w:bidi="zh-CN"/>
              </w:rPr>
            </w:pPr>
            <w:r>
              <w:rPr>
                <w:rFonts w:hint="eastAsia" w:ascii="宋体" w:hAnsi="宋体" w:eastAsia="宋体" w:cs="宋体"/>
                <w:color w:val="auto"/>
                <w:kern w:val="0"/>
                <w:szCs w:val="21"/>
                <w:highlight w:val="none"/>
                <w:lang w:val="en-US" w:eastAsia="zh-CN" w:bidi="zh-CN"/>
              </w:rPr>
              <w:t>拟投入本项目人员中具有相关专业副高级及以上技术职称且同时具有注册城乡规划师的，每有1人得3分 ， 最高得2</w:t>
            </w:r>
            <w:r>
              <w:rPr>
                <w:rFonts w:hint="eastAsia" w:ascii="宋体" w:hAnsi="宋体" w:cs="宋体"/>
                <w:color w:val="auto"/>
                <w:kern w:val="0"/>
                <w:szCs w:val="21"/>
                <w:highlight w:val="none"/>
                <w:lang w:val="en-US" w:eastAsia="zh-CN" w:bidi="zh-CN"/>
              </w:rPr>
              <w:t>1</w:t>
            </w:r>
            <w:r>
              <w:rPr>
                <w:rFonts w:hint="eastAsia" w:ascii="宋体" w:hAnsi="宋体" w:eastAsia="宋体" w:cs="宋体"/>
                <w:color w:val="auto"/>
                <w:kern w:val="0"/>
                <w:szCs w:val="21"/>
                <w:highlight w:val="none"/>
                <w:lang w:val="en-US" w:eastAsia="zh-CN" w:bidi="zh-CN"/>
              </w:rPr>
              <w:t>分。（须在响应文件中附证书扫描件或复印件以及单位为其缴纳的近3个月的社保证明，否则不得分。）</w:t>
            </w:r>
          </w:p>
        </w:tc>
      </w:tr>
      <w:tr w14:paraId="40A4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65" w:type="dxa"/>
            <w:vMerge w:val="continue"/>
            <w:noWrap/>
            <w:vAlign w:val="center"/>
          </w:tcPr>
          <w:p w14:paraId="4B8D2FCE">
            <w:pPr>
              <w:widowControl/>
              <w:spacing w:line="360" w:lineRule="auto"/>
              <w:jc w:val="center"/>
              <w:rPr>
                <w:rFonts w:ascii="宋体" w:hAnsi="宋体" w:cs="宋体"/>
                <w:b/>
                <w:color w:val="auto"/>
                <w:highlight w:val="none"/>
              </w:rPr>
            </w:pPr>
          </w:p>
        </w:tc>
        <w:tc>
          <w:tcPr>
            <w:tcW w:w="796" w:type="dxa"/>
            <w:vMerge w:val="continue"/>
            <w:noWrap/>
            <w:vAlign w:val="center"/>
          </w:tcPr>
          <w:p w14:paraId="226DBAD0">
            <w:pPr>
              <w:spacing w:line="360" w:lineRule="auto"/>
              <w:jc w:val="center"/>
              <w:rPr>
                <w:rFonts w:ascii="宋体" w:hAnsi="宋体" w:cs="宋体"/>
                <w:b/>
                <w:color w:val="auto"/>
                <w:highlight w:val="none"/>
              </w:rPr>
            </w:pPr>
          </w:p>
        </w:tc>
        <w:tc>
          <w:tcPr>
            <w:tcW w:w="1853" w:type="dxa"/>
            <w:noWrap/>
            <w:vAlign w:val="center"/>
          </w:tcPr>
          <w:p w14:paraId="2A4AE137">
            <w:pPr>
              <w:widowControl/>
              <w:adjustRightInd w:val="0"/>
              <w:snapToGrid w:val="0"/>
              <w:spacing w:line="400" w:lineRule="exact"/>
              <w:ind w:firstLine="0" w:firstLineChars="0"/>
              <w:jc w:val="center"/>
              <w:rPr>
                <w:rFonts w:hint="eastAsia" w:ascii="宋体" w:hAnsi="宋体" w:eastAsia="宋体" w:cs="宋体"/>
                <w:color w:val="auto"/>
                <w:kern w:val="0"/>
                <w:szCs w:val="21"/>
                <w:highlight w:val="none"/>
                <w:lang w:val="en-US" w:eastAsia="zh-CN" w:bidi="zh-CN"/>
              </w:rPr>
            </w:pPr>
            <w:r>
              <w:rPr>
                <w:rFonts w:hint="eastAsia" w:ascii="宋体" w:hAnsi="宋体" w:eastAsia="宋体" w:cs="宋体"/>
                <w:color w:val="auto"/>
                <w:kern w:val="0"/>
                <w:szCs w:val="21"/>
                <w:highlight w:val="none"/>
                <w:lang w:val="en-US" w:eastAsia="zh-CN" w:bidi="zh-CN"/>
              </w:rPr>
              <w:t>管理体系证书</w:t>
            </w:r>
          </w:p>
          <w:p w14:paraId="40D164F8">
            <w:pPr>
              <w:widowControl/>
              <w:adjustRightInd w:val="0"/>
              <w:snapToGrid w:val="0"/>
              <w:spacing w:line="400" w:lineRule="exact"/>
              <w:ind w:firstLine="0" w:firstLineChars="0"/>
              <w:jc w:val="center"/>
              <w:rPr>
                <w:rFonts w:hint="eastAsia" w:ascii="宋体" w:hAnsi="宋体" w:eastAsia="宋体" w:cs="宋体"/>
                <w:color w:val="auto"/>
                <w:kern w:val="0"/>
                <w:szCs w:val="21"/>
                <w:highlight w:val="none"/>
                <w:lang w:val="en-US" w:eastAsia="zh-CN" w:bidi="zh-CN"/>
              </w:rPr>
            </w:pPr>
            <w:r>
              <w:rPr>
                <w:rFonts w:hint="eastAsia" w:ascii="宋体" w:hAnsi="宋体" w:eastAsia="宋体" w:cs="宋体"/>
                <w:color w:val="auto"/>
                <w:kern w:val="0"/>
                <w:szCs w:val="21"/>
                <w:highlight w:val="none"/>
                <w:lang w:val="en-US" w:eastAsia="zh-CN" w:bidi="zh-CN"/>
              </w:rPr>
              <w:t>（5分）</w:t>
            </w:r>
          </w:p>
        </w:tc>
        <w:tc>
          <w:tcPr>
            <w:tcW w:w="6880" w:type="dxa"/>
            <w:noWrap/>
            <w:vAlign w:val="center"/>
          </w:tcPr>
          <w:p w14:paraId="271485EA">
            <w:pPr>
              <w:widowControl/>
              <w:adjustRightInd w:val="0"/>
              <w:snapToGrid w:val="0"/>
              <w:spacing w:line="400" w:lineRule="exact"/>
              <w:ind w:firstLine="0" w:firstLineChars="0"/>
              <w:jc w:val="left"/>
              <w:rPr>
                <w:rFonts w:hint="eastAsia" w:ascii="宋体" w:hAnsi="宋体" w:eastAsia="宋体" w:cs="宋体"/>
                <w:color w:val="auto"/>
                <w:kern w:val="0"/>
                <w:szCs w:val="21"/>
                <w:highlight w:val="none"/>
                <w:lang w:val="zh-CN" w:eastAsia="zh-CN" w:bidi="zh-CN"/>
              </w:rPr>
            </w:pPr>
            <w:r>
              <w:rPr>
                <w:rFonts w:hint="eastAsia" w:ascii="宋体" w:hAnsi="宋体" w:eastAsia="宋体" w:cs="宋体"/>
                <w:color w:val="auto"/>
                <w:kern w:val="0"/>
                <w:szCs w:val="21"/>
                <w:highlight w:val="none"/>
                <w:lang w:val="en-US" w:eastAsia="zh-CN" w:bidi="zh-CN"/>
              </w:rPr>
              <w:t>供应商同时具有有效内的环境管理体系认证证书、职业健康安全管理体系认证证书、质量管理体系认证证书、信息技术服务管理体系认证证书和信息安全体系认证证书的得5分，缺项不得分（须在响应文件中附扫描件或复印件，否则不得分 ）。</w:t>
            </w:r>
          </w:p>
        </w:tc>
      </w:tr>
    </w:tbl>
    <w:p w14:paraId="5CA2B42A">
      <w:pPr>
        <w:spacing w:before="240" w:beforeLines="100" w:line="360" w:lineRule="auto"/>
        <w:rPr>
          <w:rFonts w:ascii="宋体" w:hAnsi="宋体"/>
          <w:b/>
          <w:color w:val="auto"/>
          <w:highlight w:val="none"/>
        </w:rPr>
      </w:pPr>
      <w:r>
        <w:rPr>
          <w:rFonts w:hint="eastAsia" w:ascii="宋体" w:hAnsi="宋体"/>
          <w:b/>
          <w:color w:val="auto"/>
          <w:highlight w:val="none"/>
        </w:rPr>
        <w:t>五、评标方法</w:t>
      </w:r>
    </w:p>
    <w:p w14:paraId="6575C0BE">
      <w:pPr>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 xml:space="preserve">商务部分、技术部分和综合部分得分之和为供应商的评审总得分。评审总得分由高到低排序确定成交供应商。得分相同时，按报价由低到高排序。得分且报价相同的，按技术部分优劣顺序排列。   </w:t>
      </w:r>
    </w:p>
    <w:p w14:paraId="58EDEAD2">
      <w:pPr>
        <w:spacing w:line="360" w:lineRule="auto"/>
        <w:rPr>
          <w:rFonts w:ascii="宋体" w:hAnsi="宋体" w:cs="宋体"/>
          <w:color w:val="auto"/>
          <w:highlight w:val="none"/>
        </w:rPr>
      </w:pPr>
      <w:r>
        <w:rPr>
          <w:rFonts w:hint="eastAsia" w:ascii="宋体" w:hAnsi="宋体" w:cs="宋体"/>
          <w:color w:val="auto"/>
          <w:kern w:val="0"/>
          <w:highlight w:val="none"/>
        </w:rPr>
        <w:t>　  有效供应商的最终得分为磋商小组所有成员所打分值的算术平均值，计分过程中按四舍五入的法则,最终结果取至小数点后2位。</w:t>
      </w:r>
    </w:p>
    <w:p w14:paraId="4340413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根据综合评分情况，按照评审得分由高到低顺序推荐3名以上（含本数）成交候选供应商，并编写评审报告。符合《政府采购竞争性磋商采购方式管理暂行办法》第二十一条第三款或《财政部关于政府采购竞争性磋商采购方式管理暂行办法有关问题的补充通知》规定情形的，可以推荐两家成交候选供应商。评审得分相同的，按照最后报价由低到高的顺序推荐，评审得分相同且最后报价相同的，按照技术部分优劣顺序推荐。</w:t>
      </w:r>
    </w:p>
    <w:p w14:paraId="1DEEE83D">
      <w:pPr>
        <w:spacing w:line="360" w:lineRule="auto"/>
        <w:rPr>
          <w:rFonts w:ascii="宋体" w:hAnsi="宋体"/>
          <w:b/>
          <w:color w:val="auto"/>
          <w:highlight w:val="none"/>
        </w:rPr>
      </w:pPr>
      <w:r>
        <w:rPr>
          <w:rFonts w:hint="eastAsia" w:ascii="宋体" w:hAnsi="宋体"/>
          <w:b/>
          <w:color w:val="auto"/>
          <w:highlight w:val="none"/>
        </w:rPr>
        <w:t>六、评标结果</w:t>
      </w:r>
    </w:p>
    <w:p w14:paraId="2A37E5D7">
      <w:pPr>
        <w:spacing w:line="360" w:lineRule="auto"/>
        <w:ind w:firstLine="420" w:firstLineChars="200"/>
        <w:rPr>
          <w:rFonts w:ascii="宋体" w:hAnsi="宋体"/>
          <w:b/>
          <w:bCs/>
          <w:color w:val="auto"/>
          <w:sz w:val="32"/>
          <w:szCs w:val="32"/>
          <w:highlight w:val="none"/>
        </w:rPr>
      </w:pPr>
      <w:r>
        <w:rPr>
          <w:rFonts w:hint="eastAsia" w:ascii="宋体" w:hAnsi="宋体"/>
          <w:color w:val="auto"/>
          <w:highlight w:val="none"/>
        </w:rPr>
        <w:t>采购代理机构应当自评审结束之日起</w:t>
      </w:r>
      <w:r>
        <w:rPr>
          <w:rFonts w:hint="eastAsia" w:ascii="宋体" w:hAnsi="宋体"/>
          <w:color w:val="auto"/>
          <w:highlight w:val="none"/>
          <w:lang w:val="en-US" w:eastAsia="zh-CN"/>
        </w:rPr>
        <w:t>2</w:t>
      </w:r>
      <w:r>
        <w:rPr>
          <w:rFonts w:hint="eastAsia" w:ascii="宋体" w:hAnsi="宋体"/>
          <w:color w:val="auto"/>
          <w:highlight w:val="none"/>
        </w:rPr>
        <w:t>个工作日内将评标报告送交采购人。采购人应当自收到评标报告之日起</w:t>
      </w:r>
      <w:r>
        <w:rPr>
          <w:rFonts w:hint="eastAsia" w:ascii="宋体" w:hAnsi="宋体"/>
          <w:color w:val="auto"/>
          <w:highlight w:val="none"/>
          <w:lang w:val="en-US" w:eastAsia="zh-CN"/>
        </w:rPr>
        <w:t>1</w:t>
      </w:r>
      <w:r>
        <w:rPr>
          <w:rFonts w:hint="eastAsia" w:ascii="宋体" w:hAnsi="宋体"/>
          <w:color w:val="auto"/>
          <w:highlight w:val="none"/>
        </w:rPr>
        <w:t>个工作日内在评标报告推荐的成交或者成交候选人中按顺序确定成交或者成交供应商。评标结果同时在《全国公共资源交易平台（河南省·</w:t>
      </w:r>
      <w:r>
        <w:rPr>
          <w:rFonts w:hint="eastAsia" w:ascii="宋体" w:hAnsi="宋体"/>
          <w:color w:val="auto"/>
          <w:highlight w:val="none"/>
          <w:lang w:val="en-US" w:eastAsia="zh-CN"/>
        </w:rPr>
        <w:t>新</w:t>
      </w:r>
      <w:r>
        <w:rPr>
          <w:rFonts w:hint="eastAsia" w:ascii="宋体" w:hAnsi="宋体"/>
          <w:color w:val="auto"/>
          <w:highlight w:val="none"/>
        </w:rPr>
        <w:t>县）》、《河南省政府采购网》公示。</w:t>
      </w:r>
    </w:p>
    <w:p w14:paraId="431D1A0C">
      <w:pPr>
        <w:spacing w:line="360" w:lineRule="auto"/>
        <w:ind w:firstLine="482" w:firstLineChars="200"/>
        <w:rPr>
          <w:rFonts w:ascii="宋体" w:hAnsi="宋体"/>
          <w:b/>
          <w:color w:val="auto"/>
          <w:sz w:val="28"/>
          <w:szCs w:val="28"/>
          <w:highlight w:val="none"/>
        </w:rPr>
      </w:pPr>
      <w:bookmarkStart w:id="93" w:name="_Toc398716796"/>
      <w:bookmarkStart w:id="94" w:name="_Toc381964736"/>
      <w:bookmarkStart w:id="95" w:name="_Toc381964644"/>
      <w:bookmarkStart w:id="96" w:name="_Toc425234970"/>
      <w:bookmarkStart w:id="97" w:name="_Toc376964946"/>
      <w:bookmarkStart w:id="98" w:name="_Toc414956965"/>
      <w:r>
        <w:rPr>
          <w:rFonts w:hint="eastAsia" w:ascii="宋体" w:hAnsi="宋体"/>
          <w:b/>
          <w:color w:val="auto"/>
          <w:sz w:val="24"/>
          <w:szCs w:val="20"/>
          <w:highlight w:val="none"/>
        </w:rPr>
        <w:br w:type="page"/>
      </w:r>
      <w:r>
        <w:rPr>
          <w:rFonts w:hint="eastAsia" w:ascii="宋体" w:hAnsi="宋体"/>
          <w:b/>
          <w:color w:val="auto"/>
          <w:sz w:val="24"/>
          <w:szCs w:val="20"/>
          <w:highlight w:val="none"/>
        </w:rPr>
        <w:t>附件：无效投标的条件</w:t>
      </w:r>
      <w:bookmarkEnd w:id="93"/>
      <w:bookmarkEnd w:id="94"/>
      <w:bookmarkEnd w:id="95"/>
      <w:bookmarkEnd w:id="96"/>
      <w:bookmarkEnd w:id="97"/>
      <w:bookmarkEnd w:id="98"/>
    </w:p>
    <w:p w14:paraId="7788CF5D">
      <w:pPr>
        <w:spacing w:line="360" w:lineRule="auto"/>
        <w:ind w:firstLine="562" w:firstLineChars="200"/>
        <w:jc w:val="center"/>
        <w:rPr>
          <w:rFonts w:ascii="宋体" w:hAnsi="宋体"/>
          <w:b/>
          <w:color w:val="auto"/>
          <w:sz w:val="28"/>
          <w:szCs w:val="28"/>
          <w:highlight w:val="none"/>
        </w:rPr>
      </w:pPr>
      <w:r>
        <w:rPr>
          <w:rFonts w:hint="eastAsia" w:ascii="宋体" w:hAnsi="宋体"/>
          <w:b/>
          <w:color w:val="auto"/>
          <w:sz w:val="28"/>
          <w:szCs w:val="28"/>
          <w:highlight w:val="none"/>
        </w:rPr>
        <w:t>无效投标的条件</w:t>
      </w:r>
    </w:p>
    <w:p w14:paraId="015D3F47">
      <w:pPr>
        <w:spacing w:line="360" w:lineRule="auto"/>
        <w:ind w:firstLine="422" w:firstLineChars="200"/>
        <w:rPr>
          <w:rFonts w:ascii="宋体" w:hAnsi="宋体"/>
          <w:b/>
          <w:color w:val="auto"/>
          <w:highlight w:val="none"/>
        </w:rPr>
      </w:pPr>
      <w:r>
        <w:rPr>
          <w:rFonts w:hint="eastAsia" w:ascii="宋体" w:hAnsi="宋体"/>
          <w:b/>
          <w:color w:val="auto"/>
          <w:highlight w:val="none"/>
        </w:rPr>
        <w:t>本附件所集中列示的无效投标条件，是本章“评标办法”的组成部分，是对第二章“供应商须知”和本章正文部分所规定的无效投标条件的总结和补充，如果出现相互矛盾的情况，以第二章“供应商须知”和本章正文部分的规定为准。</w:t>
      </w:r>
    </w:p>
    <w:p w14:paraId="71676D5B">
      <w:pPr>
        <w:spacing w:line="360" w:lineRule="auto"/>
        <w:rPr>
          <w:rFonts w:ascii="宋体" w:hAnsi="宋体"/>
          <w:b/>
          <w:color w:val="auto"/>
          <w:highlight w:val="none"/>
        </w:rPr>
      </w:pPr>
      <w:r>
        <w:rPr>
          <w:rFonts w:hint="eastAsia" w:ascii="宋体" w:hAnsi="宋体"/>
          <w:b/>
          <w:color w:val="auto"/>
          <w:highlight w:val="none"/>
        </w:rPr>
        <w:t xml:space="preserve">    1.未通过评标办法初步评审的；   </w:t>
      </w:r>
    </w:p>
    <w:p w14:paraId="2EE21BFF">
      <w:pPr>
        <w:spacing w:line="360" w:lineRule="auto"/>
        <w:ind w:firstLine="310" w:firstLineChars="147"/>
        <w:rPr>
          <w:rFonts w:ascii="宋体" w:hAnsi="宋体"/>
          <w:b/>
          <w:color w:val="auto"/>
          <w:highlight w:val="none"/>
        </w:rPr>
      </w:pPr>
      <w:r>
        <w:rPr>
          <w:rFonts w:hint="eastAsia" w:ascii="宋体" w:hAnsi="宋体"/>
          <w:b/>
          <w:color w:val="auto"/>
          <w:highlight w:val="none"/>
        </w:rPr>
        <w:t xml:space="preserve"> 2.不按磋商小组要求澄清、说明或补正的；</w:t>
      </w:r>
    </w:p>
    <w:p w14:paraId="54A2C046">
      <w:pPr>
        <w:spacing w:line="360" w:lineRule="auto"/>
        <w:rPr>
          <w:rFonts w:ascii="宋体" w:hAnsi="宋体"/>
          <w:b/>
          <w:color w:val="auto"/>
          <w:highlight w:val="none"/>
        </w:rPr>
      </w:pPr>
      <w:r>
        <w:rPr>
          <w:rFonts w:hint="eastAsia" w:ascii="宋体" w:hAnsi="宋体"/>
          <w:b/>
          <w:color w:val="auto"/>
          <w:highlight w:val="none"/>
        </w:rPr>
        <w:t xml:space="preserve">    3.磋商有效期不满足竞争性磋商文件要求的；</w:t>
      </w:r>
    </w:p>
    <w:p w14:paraId="5581350A">
      <w:pPr>
        <w:spacing w:line="360" w:lineRule="auto"/>
        <w:ind w:firstLine="413" w:firstLineChars="196"/>
        <w:rPr>
          <w:rFonts w:ascii="宋体" w:hAnsi="宋体"/>
          <w:b/>
          <w:color w:val="auto"/>
          <w:highlight w:val="none"/>
        </w:rPr>
      </w:pPr>
      <w:r>
        <w:rPr>
          <w:rFonts w:hint="eastAsia" w:ascii="宋体" w:hAnsi="宋体"/>
          <w:b/>
          <w:color w:val="auto"/>
          <w:highlight w:val="none"/>
        </w:rPr>
        <w:t>4</w:t>
      </w:r>
      <w:r>
        <w:rPr>
          <w:rFonts w:ascii="宋体" w:hAnsi="宋体"/>
          <w:b/>
          <w:color w:val="auto"/>
          <w:highlight w:val="none"/>
        </w:rPr>
        <w:t>.</w:t>
      </w:r>
      <w:r>
        <w:rPr>
          <w:rFonts w:hint="eastAsia" w:ascii="宋体" w:hAnsi="宋体"/>
          <w:b/>
          <w:color w:val="auto"/>
          <w:highlight w:val="none"/>
        </w:rPr>
        <w:t>投标报价有算术性错误，供应商不接受修正价格的；</w:t>
      </w:r>
    </w:p>
    <w:p w14:paraId="3EC76A5D">
      <w:pPr>
        <w:spacing w:line="360" w:lineRule="auto"/>
        <w:rPr>
          <w:rFonts w:ascii="宋体" w:hAnsi="宋体"/>
          <w:b/>
          <w:color w:val="auto"/>
          <w:highlight w:val="none"/>
        </w:rPr>
      </w:pPr>
      <w:r>
        <w:rPr>
          <w:rFonts w:hint="eastAsia" w:ascii="宋体" w:hAnsi="宋体"/>
          <w:b/>
          <w:color w:val="auto"/>
          <w:highlight w:val="none"/>
        </w:rPr>
        <w:t xml:space="preserve">    5.以他人的名义投标、以行贿手段谋取成交或者以其他弄虚作假方式投标的；</w:t>
      </w:r>
    </w:p>
    <w:p w14:paraId="2D9FD0F6">
      <w:pPr>
        <w:spacing w:line="360" w:lineRule="auto"/>
        <w:ind w:firstLine="420"/>
        <w:rPr>
          <w:rFonts w:ascii="宋体" w:hAnsi="宋体"/>
          <w:b/>
          <w:color w:val="auto"/>
          <w:highlight w:val="none"/>
        </w:rPr>
      </w:pPr>
      <w:r>
        <w:rPr>
          <w:rFonts w:hint="eastAsia" w:ascii="宋体" w:hAnsi="宋体"/>
          <w:b/>
          <w:color w:val="auto"/>
          <w:highlight w:val="none"/>
        </w:rPr>
        <w:t>6.属于串（围）标行为的；</w:t>
      </w:r>
    </w:p>
    <w:bookmarkEnd w:id="90"/>
    <w:bookmarkEnd w:id="91"/>
    <w:bookmarkEnd w:id="92"/>
    <w:p w14:paraId="1019930A">
      <w:pPr>
        <w:spacing w:line="360" w:lineRule="auto"/>
        <w:ind w:firstLine="420"/>
        <w:rPr>
          <w:rFonts w:hint="eastAsia" w:ascii="宋体" w:hAnsi="宋体"/>
          <w:b/>
          <w:color w:val="auto"/>
          <w:highlight w:val="none"/>
        </w:rPr>
      </w:pPr>
      <w:r>
        <w:rPr>
          <w:rFonts w:hint="eastAsia" w:ascii="宋体" w:hAnsi="宋体"/>
          <w:b/>
          <w:color w:val="auto"/>
          <w:highlight w:val="none"/>
        </w:rPr>
        <w:t>7.评标委员会认为投标人的报价明显低于其他通过符合性审查投标人的报价（建议比控制价低30%），有可能影响产品质量或者不能诚信履约的（建议结合投标人提供的产品或服务响应采购需求的程度判断），应当要求其在评标现场合理的时间内提供书面说明，必要时提交相关证明材料；投标人不能证明其报价合理性的，评标委员会应当将其作为无效投标处理。</w:t>
      </w:r>
    </w:p>
    <w:p w14:paraId="665B4D05">
      <w:pPr>
        <w:spacing w:line="360" w:lineRule="auto"/>
        <w:ind w:firstLine="420"/>
        <w:rPr>
          <w:rFonts w:ascii="宋体" w:hAnsi="宋体"/>
          <w:b/>
          <w:color w:val="auto"/>
          <w:spacing w:val="-4"/>
          <w:highlight w:val="none"/>
        </w:rPr>
      </w:pPr>
      <w:r>
        <w:rPr>
          <w:rFonts w:hint="eastAsia" w:ascii="宋体" w:hAnsi="宋体"/>
          <w:b/>
          <w:color w:val="auto"/>
          <w:spacing w:val="-4"/>
          <w:highlight w:val="none"/>
        </w:rPr>
        <w:t>8.不符合竞争性磋商文件规定的其他实质性要求及相关法律、法规或规章规定可以否决投标的其他情形。</w:t>
      </w:r>
    </w:p>
    <w:p w14:paraId="4029FFAA">
      <w:pPr>
        <w:spacing w:line="360" w:lineRule="auto"/>
        <w:ind w:firstLine="420"/>
        <w:rPr>
          <w:rFonts w:ascii="宋体" w:hAnsi="宋体"/>
          <w:b/>
          <w:bCs/>
          <w:color w:val="auto"/>
          <w:highlight w:val="none"/>
        </w:rPr>
        <w:sectPr>
          <w:pgSz w:w="11905" w:h="16838"/>
          <w:pgMar w:top="1247" w:right="1134" w:bottom="1247" w:left="1247" w:header="850" w:footer="720" w:gutter="0"/>
          <w:pgNumType w:fmt="decimal" w:chapStyle="1"/>
          <w:cols w:space="720" w:num="1"/>
        </w:sectPr>
      </w:pPr>
      <w:r>
        <w:rPr>
          <w:rFonts w:hint="eastAsia" w:ascii="宋体" w:hAnsi="宋体"/>
          <w:b/>
          <w:bCs/>
          <w:color w:val="auto"/>
          <w:highlight w:val="none"/>
        </w:rPr>
        <w:t>备注：按照《信阳市财政局关于印发信阳市政府采购行为规范的通知》（信财购〔2018〕2号）第五十八条“对于投标文件中非实质性响应条款或不影响采购项目实质性履行的投标文件缺陷，经过采购人认定不影响项目实施的，可以澄清后继续评审的，评审专家不得随意废标”，采购人和代理机构认为不影响实质性响应和公平公正的，可以要求评审小组对该项目继续评审，并由采购人和代理机构做好相关事实、依据记录，采购人和代理机构对继续评审的决定负责。</w:t>
      </w:r>
    </w:p>
    <w:p w14:paraId="6A9A4F51">
      <w:pPr>
        <w:keepNext/>
        <w:spacing w:line="360" w:lineRule="auto"/>
        <w:jc w:val="center"/>
        <w:outlineLvl w:val="0"/>
        <w:rPr>
          <w:rFonts w:ascii="宋体" w:hAnsi="宋体"/>
          <w:b/>
          <w:bCs/>
          <w:color w:val="auto"/>
          <w:sz w:val="32"/>
          <w:szCs w:val="32"/>
          <w:highlight w:val="none"/>
        </w:rPr>
      </w:pPr>
      <w:r>
        <w:rPr>
          <w:rFonts w:hint="eastAsia" w:ascii="宋体" w:hAnsi="宋体"/>
          <w:b/>
          <w:bCs/>
          <w:color w:val="auto"/>
          <w:sz w:val="32"/>
          <w:szCs w:val="32"/>
          <w:highlight w:val="none"/>
        </w:rPr>
        <w:t>第四章 合同主要条款及格式</w:t>
      </w:r>
    </w:p>
    <w:p w14:paraId="316EA0F8">
      <w:pPr>
        <w:jc w:val="center"/>
        <w:rPr>
          <w:rFonts w:hint="eastAsia" w:asciiTheme="minorEastAsia" w:hAnsiTheme="minorEastAsia" w:eastAsiaTheme="minorEastAsia" w:cstheme="minorEastAsia"/>
          <w:b/>
          <w:bCs/>
          <w:sz w:val="24"/>
          <w:szCs w:val="32"/>
        </w:rPr>
      </w:pPr>
      <w:bookmarkStart w:id="99" w:name="_Toc15720"/>
      <w:bookmarkStart w:id="100" w:name="_Toc414956968"/>
      <w:bookmarkStart w:id="101" w:name="_Toc417567985"/>
      <w:r>
        <w:rPr>
          <w:rFonts w:hint="eastAsia" w:asciiTheme="minorEastAsia" w:hAnsiTheme="minorEastAsia" w:eastAsiaTheme="minorEastAsia" w:cstheme="minorEastAsia"/>
          <w:b/>
          <w:bCs/>
          <w:sz w:val="24"/>
          <w:szCs w:val="32"/>
        </w:rPr>
        <w:t>(注：仅供参考，合同以最终采购人签订的版本为准)</w:t>
      </w:r>
    </w:p>
    <w:p w14:paraId="2BC6004B">
      <w:pPr>
        <w:jc w:val="center"/>
        <w:rPr>
          <w:rFonts w:hint="eastAsia" w:asciiTheme="minorEastAsia" w:hAnsiTheme="minorEastAsia" w:eastAsiaTheme="minorEastAsia" w:cstheme="minorEastAsia"/>
          <w:b/>
          <w:bCs/>
          <w:sz w:val="24"/>
          <w:szCs w:val="32"/>
        </w:rPr>
      </w:pPr>
    </w:p>
    <w:p w14:paraId="5BF56792">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cstheme="minorEastAsia"/>
        </w:rPr>
      </w:pPr>
    </w:p>
    <w:p w14:paraId="7E767C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（甲方）（××项目）委托（代理机构名称）进行了政府采购。按照评委会评审推荐、甲方确定乙方为中标单位。现甲乙双方协商同意签订本合同。 </w:t>
      </w:r>
    </w:p>
    <w:p w14:paraId="3A4004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第一条 合同文件 </w:t>
      </w:r>
    </w:p>
    <w:p w14:paraId="78A0567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下列与本次采购活动有关的文件及附件是本合同不可分割的组成部分，与本合同具有同等法律效力，这些文件包括但不限于： </w:t>
      </w:r>
    </w:p>
    <w:p w14:paraId="2DF95C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1.（××号）招标采购文件 </w:t>
      </w:r>
    </w:p>
    <w:p w14:paraId="6DC9FCB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2.投标文件 </w:t>
      </w:r>
    </w:p>
    <w:p w14:paraId="02CAD28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3.乙方在投标时的书面承诺 </w:t>
      </w:r>
    </w:p>
    <w:p w14:paraId="02792E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4.（××号）中标通知书 </w:t>
      </w:r>
    </w:p>
    <w:p w14:paraId="519F5DC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5.合同补充条款或说明 </w:t>
      </w:r>
    </w:p>
    <w:p w14:paraId="4062EA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6.保密协议或条款 </w:t>
      </w:r>
    </w:p>
    <w:p w14:paraId="42ED6E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7.相关附件、图纸及电子版资料 </w:t>
      </w:r>
    </w:p>
    <w:p w14:paraId="48EBA2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第二条 合同内容 </w:t>
      </w:r>
    </w:p>
    <w:p w14:paraId="02DB2EE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服务名称： </w:t>
      </w:r>
    </w:p>
    <w:p w14:paraId="1B2B269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第三条 合同总金额 </w:t>
      </w:r>
    </w:p>
    <w:p w14:paraId="16C053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本合同服务总金额：￥</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元。 </w:t>
      </w:r>
    </w:p>
    <w:p w14:paraId="06FF43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大写：</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元。 </w:t>
      </w:r>
    </w:p>
    <w:p w14:paraId="07A3869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本合同总价款包括服务期间必须的日常物料、易耗品、工具、调试费、培训费等相关费用。 </w:t>
      </w:r>
    </w:p>
    <w:p w14:paraId="5A31EF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本合同执行期内因工作量变化而引起的服务费用的变动，在双方事先协商一致的前提下签订补充合同，但因此而增加的服务费用不得超过原中标金额的10%。 </w:t>
      </w:r>
    </w:p>
    <w:p w14:paraId="3E7D96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第四条 权利义务和质量保证 </w:t>
      </w:r>
    </w:p>
    <w:p w14:paraId="6690FC4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甲方保证服务期间，对乙方工作给予支持，提供水、电、场地等必须的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14:paraId="4CE28E0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乙方保证所提供的服务或其任何一部分均不会侵犯任何第三方的专利权、商标权或著作权。一旦出现侵权，索赔或诉讼，乙方应承担全部责任。乙方保证服务不存在危及人身及财产安全的隐患，不存在违反国家法规、法令、法律以及行业规范所要求的有关安全条款，否则应承担全部法律责任。 </w:t>
      </w:r>
    </w:p>
    <w:p w14:paraId="0CFDF8F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第五条 付款方式 </w:t>
      </w:r>
    </w:p>
    <w:p w14:paraId="31665B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1.本合同项下所有款项均以人民币支付。 </w:t>
      </w:r>
    </w:p>
    <w:p w14:paraId="2AD53AF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2.乙方向甲方提交下列文件材料，经甲方审核无误后支付采购资金： </w:t>
      </w:r>
    </w:p>
    <w:p w14:paraId="44267F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（1）经甲方确认的发票； </w:t>
      </w:r>
    </w:p>
    <w:p w14:paraId="152C19C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（2）经甲乙双方确认签署的《验收报告》（或按项目进度阶段性《验收报告》）； </w:t>
      </w:r>
    </w:p>
    <w:p w14:paraId="00B8194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（3）其他材料。 </w:t>
      </w:r>
    </w:p>
    <w:p w14:paraId="62B7D88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3.款项的支付进度以招标采购文件的有关规定为准。如招标采购文件未作特别规定，则付款进度应符合如下约定： </w:t>
      </w:r>
    </w:p>
    <w:p w14:paraId="41AD9A9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1.预付款：签订合同后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个工作日内支付合同总价的</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w:t>
      </w:r>
    </w:p>
    <w:p w14:paraId="413821F2">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2.项目完成并验收合格支付至合同总价的</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w:t>
      </w:r>
    </w:p>
    <w:p w14:paraId="52B2F805">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第六条 履约保证金（</w:t>
      </w:r>
      <w:r>
        <w:rPr>
          <w:rFonts w:hint="eastAsia" w:ascii="宋体" w:hAnsi="宋体" w:eastAsia="宋体" w:cs="宋体"/>
          <w:b/>
          <w:bCs/>
          <w:color w:val="auto"/>
          <w:sz w:val="21"/>
          <w:szCs w:val="21"/>
          <w:lang w:val="en-US" w:eastAsia="zh-CN"/>
        </w:rPr>
        <w:t>免收履约保证金，履约违约的，将报监管部门纳入不良信用记录</w:t>
      </w:r>
      <w:r>
        <w:rPr>
          <w:rFonts w:hint="eastAsia" w:ascii="宋体" w:hAnsi="宋体" w:eastAsia="宋体" w:cs="宋体"/>
          <w:b/>
          <w:bCs/>
          <w:color w:val="auto"/>
          <w:kern w:val="0"/>
          <w:sz w:val="21"/>
          <w:szCs w:val="21"/>
          <w:lang w:val="en-US" w:eastAsia="zh-CN" w:bidi="ar"/>
        </w:rPr>
        <w:t xml:space="preserve">） </w:t>
      </w:r>
    </w:p>
    <w:p w14:paraId="2EC971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第七条 验收 </w:t>
      </w:r>
    </w:p>
    <w:p w14:paraId="05DF71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1.服务期限：</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至</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w:t>
      </w:r>
    </w:p>
    <w:p w14:paraId="277A47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服务地点： </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w:t>
      </w:r>
    </w:p>
    <w:p w14:paraId="2FC6638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验收时间：  </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w:t>
      </w:r>
    </w:p>
    <w:p w14:paraId="0E7CE3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验收地点：  </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w:t>
      </w:r>
    </w:p>
    <w:p w14:paraId="7F1097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 乙方应对提供的服务成果作出全面自查和整理，并列出清单，作为甲方验收和使用的服务条件依据，清单应随提供的服务成果交给甲方。 </w:t>
      </w:r>
    </w:p>
    <w:p w14:paraId="12EE1C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 </w:t>
      </w:r>
    </w:p>
    <w:p w14:paraId="646207F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4.甲方可以视项目规模或复杂情况聘请专业人员参与验收，大型或复杂项目，以及涉及专业服务内容的应当邀请国家认可的第三方质量检测机构参与验收。 </w:t>
      </w:r>
    </w:p>
    <w:p w14:paraId="26EF191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5.如根据项目实施情况需要分阶段验收，则双方分阶段签署《验收报告》。 </w:t>
      </w:r>
    </w:p>
    <w:p w14:paraId="2116AC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6.如果合同双方对《验收报告》有分歧，双方须于出现分歧后</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天内给对方书面声明，以陈述己方的理由及要求，并附有关证据。分歧应通过协商解决。 </w:t>
      </w:r>
    </w:p>
    <w:p w14:paraId="538919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第八条 项目管理服务 </w:t>
      </w:r>
    </w:p>
    <w:p w14:paraId="6871528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乙方要指定不少于一人全权全程负责本项目服务的落实，包括服务的咨询、执行和后续工作。 </w:t>
      </w:r>
    </w:p>
    <w:p w14:paraId="6375451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项目负责人姓名：</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 联系电话：</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 </w:t>
      </w:r>
    </w:p>
    <w:p w14:paraId="088B1FD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第九条 售后服务 </w:t>
      </w:r>
    </w:p>
    <w:p w14:paraId="6B274CE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1.乙方提供服务的质量保证期为自服务通过最终验收之日起</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个月。若国家有明确规定的质量保证期高于此质量保证期的，执行国家规定。 </w:t>
      </w:r>
    </w:p>
    <w:p w14:paraId="50106A9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2.服务期内，乙方应提供相关服务支持。对甲方所反映的任何服务问题在</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日（小时）之内做出及时响应，在 </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日（小时）之内赶到现场实地解决问题。若问题在 </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工作日（小时）后仍无法解决，乙方应在 </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日（小时）内免费提供服务的补偿、替换方案，直至服务恢复正常。 </w:t>
      </w:r>
    </w:p>
    <w:p w14:paraId="4542F3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3.乙方必须遵守甲方的有关管理制度、操作规程。对于乙方违规操作造成甲方损失的，由乙方按照本合同第十二条的约定承担赔偿责任。 </w:t>
      </w:r>
    </w:p>
    <w:p w14:paraId="32C4E8D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 xml:space="preserve">第十条 分包 </w:t>
      </w:r>
    </w:p>
    <w:p w14:paraId="006A144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除招标采购文件事先说明、且经甲方事先书面同意外，乙方不得分包、转包其应履行的合同义务。 </w:t>
      </w:r>
    </w:p>
    <w:p w14:paraId="6599240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第十一条 合同的生效 </w:t>
      </w:r>
    </w:p>
    <w:p w14:paraId="331DA8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1.本合同经甲乙双方授权代表签字并加盖公章或合同专用章后生效。 </w:t>
      </w:r>
    </w:p>
    <w:p w14:paraId="12E7A6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2.生效后，除《政府采购法》第 49 条、第 50 条第二款规定的情形外，甲乙双方不得擅自变更、中止或终止合同。 </w:t>
      </w:r>
    </w:p>
    <w:p w14:paraId="75C493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第十二条 违约责任 </w:t>
      </w:r>
    </w:p>
    <w:p w14:paraId="3D1A26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1.乙方所交付服务成果不符合本合同规定的，甲方有权拒收，乙方在得到甲方通知之日起</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个工作日内采取补救措施，逾期仍未采取有效措施的，甲方有权要求乙方赔偿因此造成的损失或扣留履约保证金；同时乙方应向甲方支付合同总价</w:t>
      </w:r>
      <w:r>
        <w:rPr>
          <w:rFonts w:hint="eastAsia" w:ascii="宋体" w:hAnsi="宋体" w:eastAsia="宋体" w:cs="宋体"/>
          <w:i w:val="0"/>
          <w:iCs w:val="0"/>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％的违约金。 </w:t>
      </w:r>
    </w:p>
    <w:p w14:paraId="1C3600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2.甲方无正当理由拒收服务，甲方应向乙方偿付拒付服务费用</w:t>
      </w:r>
      <w:r>
        <w:rPr>
          <w:rFonts w:hint="eastAsia" w:ascii="宋体" w:hAnsi="宋体" w:eastAsia="宋体" w:cs="宋体"/>
          <w:i w:val="0"/>
          <w:iCs w:val="0"/>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％的违约金。 </w:t>
      </w:r>
    </w:p>
    <w:p w14:paraId="38E4F0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3.乙方无正当理由逾期交付服务的，每逾期 1 天，乙方向甲方偿付合同总额的 </w:t>
      </w:r>
      <w:r>
        <w:rPr>
          <w:rFonts w:hint="eastAsia" w:ascii="宋体" w:hAnsi="宋体" w:eastAsia="宋体" w:cs="宋体"/>
          <w:i w:val="0"/>
          <w:iCs w:val="0"/>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‰的违约金。如乙方逾期达</w:t>
      </w:r>
      <w:r>
        <w:rPr>
          <w:rFonts w:hint="eastAsia" w:ascii="宋体" w:hAnsi="宋体" w:eastAsia="宋体" w:cs="宋体"/>
          <w:i w:val="0"/>
          <w:iCs w:val="0"/>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天，甲方有权解除合同，甲方解除合同的通知自到达乙方时生效。在此情况下，乙方给甲方造成的实际损失高于违约金的，对高出违约金的部分乙方应予以赔偿。 </w:t>
      </w:r>
    </w:p>
    <w:p w14:paraId="714F721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4.甲方未按合同规定的期限向乙方支付合同款的，每逾期 1 天甲方向乙方偿付欠款总额的 </w:t>
      </w:r>
      <w:r>
        <w:rPr>
          <w:rFonts w:hint="eastAsia" w:ascii="宋体" w:hAnsi="宋体" w:eastAsia="宋体" w:cs="宋体"/>
          <w:i w:val="0"/>
          <w:iCs w:val="0"/>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‰违约金，但累计违约金总额不超过欠款总额的</w:t>
      </w:r>
      <w:r>
        <w:rPr>
          <w:rFonts w:hint="eastAsia" w:ascii="宋体" w:hAnsi="宋体" w:eastAsia="宋体" w:cs="宋体"/>
          <w:i w:val="0"/>
          <w:iCs w:val="0"/>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 ％。 </w:t>
      </w:r>
    </w:p>
    <w:p w14:paraId="1BC866C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5.其它未尽事宜，以《民法典》和《政府采购法》等有关法律法规规定为准，无相关规定的，双方协商解决。 </w:t>
      </w:r>
    </w:p>
    <w:p w14:paraId="16E454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第十三条 不可抗力 </w:t>
      </w:r>
    </w:p>
    <w:p w14:paraId="213DA9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甲、乙方中任何一方，因不可抗力不能按时或完全履行合同的，应及时通知对方，并在</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个工作日内提供相应证明，结算服务费用。未履行的部分是否继续履行、如何履行等问题，可由双方初步协商，并向主管部门和政府采购管理部门报告。确定为不可抗力原因造成的损失，免予承担责任。 </w:t>
      </w:r>
    </w:p>
    <w:p w14:paraId="37EAD0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第十四条 争议的解决方式 </w:t>
      </w:r>
    </w:p>
    <w:p w14:paraId="103E764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1.因服务质量问题发生争议的，应当邀请国家认可的质量检测机构对服务进行鉴定。服务符合标准的，鉴定费由甲方承担；不符合质量标准的，鉴定费由乙方承担。 </w:t>
      </w:r>
    </w:p>
    <w:p w14:paraId="6EF6F18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2.在解释或者执行本合同的过程中发生争议时，双方应通过协商方式解决。 </w:t>
      </w:r>
    </w:p>
    <w:p w14:paraId="6148FFA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3.经协商不能解决的争议，双方可选择以下第</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种方式解决： </w:t>
      </w:r>
    </w:p>
    <w:p w14:paraId="6691EE8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①向</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法院提起诉讼； </w:t>
      </w:r>
    </w:p>
    <w:p w14:paraId="19F5944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②向</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提出仲裁。 </w:t>
      </w:r>
    </w:p>
    <w:p w14:paraId="725DFDF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4.在法院审理和仲裁期间，除有争议部分外，本合同其他部分可以履行的仍应按合同条款继续履行。 </w:t>
      </w:r>
    </w:p>
    <w:p w14:paraId="674DFF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bidi="ar"/>
        </w:rPr>
        <w:t xml:space="preserve">第十五条 其他 </w:t>
      </w:r>
    </w:p>
    <w:p w14:paraId="76CC202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符合《政府采购法》第 49 条规定的，经双方协商，办理政府采购手续后，可签订补充合同，所签订的补充合同与本合同具有同等法律效力。 </w:t>
      </w:r>
    </w:p>
    <w:p w14:paraId="14E247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本合同一式</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份，甲、乙双方各执</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份。 </w:t>
      </w:r>
    </w:p>
    <w:p w14:paraId="0EE566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甲 方：                                        乙 方： </w:t>
      </w:r>
    </w:p>
    <w:p w14:paraId="2436CB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名称：（盖章）                                 名称：（盖章） </w:t>
      </w:r>
    </w:p>
    <w:p w14:paraId="6FF668F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地址：                                          地址： </w:t>
      </w:r>
    </w:p>
    <w:p w14:paraId="5AD36D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法定代表人（签字）：                            法定代表人（签字）： </w:t>
      </w:r>
    </w:p>
    <w:p w14:paraId="0E2D28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授权代表（签字）：                              授权代表（签字）： </w:t>
      </w:r>
    </w:p>
    <w:p w14:paraId="78905A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开户银行：                                      开户银行： </w:t>
      </w:r>
    </w:p>
    <w:p w14:paraId="5521F8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银行帐号：                                      银行帐号： </w:t>
      </w:r>
    </w:p>
    <w:p w14:paraId="7EC5F3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甲方合同法律审核（盖章）： </w:t>
      </w:r>
    </w:p>
    <w:p w14:paraId="1BB7FC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时间： 年 月 日 </w:t>
      </w:r>
    </w:p>
    <w:p w14:paraId="2DA2ECBB">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合同融资注意事项：1）供应商预进行合同融资的，在签订合同时，供应商的合同账号需为合同融资行指定的账户和账号。2）预进行合同融资的合同，采购人在合同备案时，需将备案系统中供应商默认账户和账号修改为合同融资行指定的账户和账号，然后再提交合同备案。</w:t>
      </w:r>
    </w:p>
    <w:p w14:paraId="72D34E03">
      <w:pPr>
        <w:pStyle w:val="53"/>
        <w:ind w:firstLine="600"/>
        <w:rPr>
          <w:rFonts w:asciiTheme="minorEastAsia" w:hAnsiTheme="minorEastAsia" w:eastAsiaTheme="minorEastAsia" w:cstheme="minorEastAsia"/>
        </w:rPr>
      </w:pPr>
    </w:p>
    <w:p w14:paraId="22904B30">
      <w:pPr>
        <w:rPr>
          <w:rFonts w:asciiTheme="minorEastAsia" w:hAnsiTheme="minorEastAsia" w:eastAsiaTheme="minorEastAsia" w:cstheme="minorEastAsia"/>
        </w:rPr>
      </w:pPr>
    </w:p>
    <w:p w14:paraId="12430AEF">
      <w:pPr>
        <w:pStyle w:val="72"/>
        <w:rPr>
          <w:rFonts w:asciiTheme="minorEastAsia" w:hAnsiTheme="minorEastAsia" w:eastAsiaTheme="minorEastAsia" w:cstheme="minorEastAsia"/>
        </w:rPr>
      </w:pPr>
    </w:p>
    <w:p w14:paraId="6F0645BA">
      <w:pPr>
        <w:pStyle w:val="72"/>
        <w:rPr>
          <w:rFonts w:asciiTheme="minorEastAsia" w:hAnsiTheme="minorEastAsia" w:eastAsiaTheme="minorEastAsia" w:cstheme="minorEastAsia"/>
        </w:rPr>
      </w:pPr>
    </w:p>
    <w:p w14:paraId="3BF5E4DC">
      <w:pPr>
        <w:pStyle w:val="72"/>
        <w:rPr>
          <w:rFonts w:asciiTheme="minorEastAsia" w:hAnsiTheme="minorEastAsia" w:eastAsiaTheme="minorEastAsia" w:cstheme="minorEastAsia"/>
        </w:rPr>
      </w:pPr>
    </w:p>
    <w:p w14:paraId="1C49B38A">
      <w:pPr>
        <w:pStyle w:val="72"/>
        <w:rPr>
          <w:rFonts w:asciiTheme="minorEastAsia" w:hAnsiTheme="minorEastAsia" w:eastAsiaTheme="minorEastAsia" w:cstheme="minorEastAsia"/>
        </w:rPr>
      </w:pPr>
    </w:p>
    <w:p w14:paraId="4B235A51">
      <w:pPr>
        <w:pStyle w:val="72"/>
        <w:rPr>
          <w:rFonts w:asciiTheme="minorEastAsia" w:hAnsiTheme="minorEastAsia" w:eastAsiaTheme="minorEastAsia" w:cstheme="minorEastAsia"/>
        </w:rPr>
      </w:pPr>
    </w:p>
    <w:p w14:paraId="74795FC0">
      <w:pPr>
        <w:pStyle w:val="72"/>
        <w:rPr>
          <w:rFonts w:asciiTheme="minorEastAsia" w:hAnsiTheme="minorEastAsia" w:eastAsiaTheme="minorEastAsia" w:cstheme="minorEastAsia"/>
        </w:rPr>
      </w:pPr>
    </w:p>
    <w:p w14:paraId="001D8102">
      <w:pPr>
        <w:pStyle w:val="72"/>
        <w:rPr>
          <w:rFonts w:asciiTheme="minorEastAsia" w:hAnsiTheme="minorEastAsia" w:eastAsiaTheme="minorEastAsia" w:cstheme="minorEastAsia"/>
        </w:rPr>
      </w:pPr>
    </w:p>
    <w:p w14:paraId="18AA1404">
      <w:pPr>
        <w:pStyle w:val="72"/>
        <w:rPr>
          <w:rFonts w:asciiTheme="minorEastAsia" w:hAnsiTheme="minorEastAsia" w:eastAsiaTheme="minorEastAsia" w:cstheme="minorEastAsia"/>
        </w:rPr>
      </w:pPr>
    </w:p>
    <w:p w14:paraId="0DA6F1DC">
      <w:pPr>
        <w:pStyle w:val="72"/>
        <w:rPr>
          <w:rFonts w:asciiTheme="minorEastAsia" w:hAnsiTheme="minorEastAsia" w:eastAsiaTheme="minorEastAsia" w:cstheme="minorEastAsia"/>
        </w:rPr>
      </w:pPr>
    </w:p>
    <w:p w14:paraId="4A2177DC">
      <w:pPr>
        <w:pStyle w:val="72"/>
        <w:rPr>
          <w:rFonts w:asciiTheme="minorEastAsia" w:hAnsiTheme="minorEastAsia" w:eastAsiaTheme="minorEastAsia" w:cstheme="minorEastAsia"/>
        </w:rPr>
      </w:pPr>
    </w:p>
    <w:p w14:paraId="2F79C3BF">
      <w:pPr>
        <w:pStyle w:val="72"/>
        <w:rPr>
          <w:rFonts w:asciiTheme="minorEastAsia" w:hAnsiTheme="minorEastAsia" w:eastAsiaTheme="minorEastAsia" w:cstheme="minorEastAsia"/>
        </w:rPr>
      </w:pPr>
    </w:p>
    <w:p w14:paraId="34119D17">
      <w:pPr>
        <w:pStyle w:val="72"/>
        <w:rPr>
          <w:rFonts w:asciiTheme="minorEastAsia" w:hAnsiTheme="minorEastAsia" w:eastAsiaTheme="minorEastAsia" w:cstheme="minorEastAsia"/>
        </w:rPr>
      </w:pPr>
    </w:p>
    <w:p w14:paraId="41C89A8B">
      <w:pPr>
        <w:pStyle w:val="72"/>
        <w:rPr>
          <w:rFonts w:asciiTheme="minorEastAsia" w:hAnsiTheme="minorEastAsia" w:eastAsiaTheme="minorEastAsia" w:cstheme="minorEastAsia"/>
        </w:rPr>
      </w:pPr>
    </w:p>
    <w:p w14:paraId="10D08DCD">
      <w:pPr>
        <w:pStyle w:val="72"/>
        <w:rPr>
          <w:rFonts w:asciiTheme="minorEastAsia" w:hAnsiTheme="minorEastAsia" w:eastAsiaTheme="minorEastAsia" w:cstheme="minorEastAsia"/>
        </w:rPr>
      </w:pPr>
    </w:p>
    <w:p w14:paraId="392DCB8D">
      <w:pPr>
        <w:pStyle w:val="72"/>
        <w:rPr>
          <w:rFonts w:asciiTheme="minorEastAsia" w:hAnsiTheme="minorEastAsia" w:eastAsiaTheme="minorEastAsia" w:cstheme="minorEastAsia"/>
        </w:rPr>
      </w:pPr>
    </w:p>
    <w:p w14:paraId="68B33578">
      <w:pPr>
        <w:pStyle w:val="72"/>
        <w:rPr>
          <w:rFonts w:asciiTheme="minorEastAsia" w:hAnsiTheme="minorEastAsia" w:eastAsiaTheme="minorEastAsia" w:cstheme="minorEastAsia"/>
        </w:rPr>
      </w:pPr>
    </w:p>
    <w:p w14:paraId="0EABC51F">
      <w:pPr>
        <w:pStyle w:val="72"/>
        <w:rPr>
          <w:rFonts w:asciiTheme="minorEastAsia" w:hAnsiTheme="minorEastAsia" w:eastAsiaTheme="minorEastAsia" w:cstheme="minorEastAsia"/>
        </w:rPr>
      </w:pPr>
    </w:p>
    <w:p w14:paraId="0232BEFC">
      <w:pPr>
        <w:pStyle w:val="72"/>
        <w:rPr>
          <w:rFonts w:asciiTheme="minorEastAsia" w:hAnsiTheme="minorEastAsia" w:eastAsiaTheme="minorEastAsia" w:cstheme="minorEastAsia"/>
        </w:rPr>
      </w:pPr>
    </w:p>
    <w:p w14:paraId="06760648">
      <w:pPr>
        <w:pStyle w:val="72"/>
        <w:rPr>
          <w:rFonts w:asciiTheme="minorEastAsia" w:hAnsiTheme="minorEastAsia" w:eastAsiaTheme="minorEastAsia" w:cstheme="minorEastAsia"/>
        </w:rPr>
      </w:pPr>
    </w:p>
    <w:p w14:paraId="4EF31698">
      <w:pPr>
        <w:pStyle w:val="72"/>
        <w:rPr>
          <w:rFonts w:asciiTheme="minorEastAsia" w:hAnsiTheme="minorEastAsia" w:eastAsiaTheme="minorEastAsia" w:cstheme="minorEastAsia"/>
        </w:rPr>
      </w:pPr>
    </w:p>
    <w:p w14:paraId="3DFAE346">
      <w:pPr>
        <w:pStyle w:val="72"/>
        <w:rPr>
          <w:rFonts w:asciiTheme="minorEastAsia" w:hAnsiTheme="minorEastAsia" w:eastAsiaTheme="minorEastAsia" w:cstheme="minorEastAsia"/>
        </w:rPr>
      </w:pPr>
    </w:p>
    <w:p w14:paraId="0969D56F">
      <w:pPr>
        <w:pStyle w:val="72"/>
        <w:rPr>
          <w:rFonts w:asciiTheme="minorEastAsia" w:hAnsiTheme="minorEastAsia" w:eastAsiaTheme="minorEastAsia" w:cstheme="minorEastAsia"/>
        </w:rPr>
      </w:pPr>
    </w:p>
    <w:p w14:paraId="7979F8BD">
      <w:pPr>
        <w:pStyle w:val="72"/>
        <w:rPr>
          <w:rFonts w:asciiTheme="minorEastAsia" w:hAnsiTheme="minorEastAsia" w:eastAsiaTheme="minorEastAsia" w:cstheme="minorEastAsia"/>
        </w:rPr>
      </w:pPr>
    </w:p>
    <w:p w14:paraId="6EF2FC1A">
      <w:pPr>
        <w:pStyle w:val="72"/>
        <w:rPr>
          <w:rFonts w:asciiTheme="minorEastAsia" w:hAnsiTheme="minorEastAsia" w:eastAsiaTheme="minorEastAsia" w:cstheme="minorEastAsia"/>
        </w:rPr>
      </w:pPr>
    </w:p>
    <w:p w14:paraId="1D2165E8">
      <w:pPr>
        <w:pStyle w:val="72"/>
        <w:rPr>
          <w:rFonts w:asciiTheme="minorEastAsia" w:hAnsiTheme="minorEastAsia" w:eastAsiaTheme="minorEastAsia" w:cstheme="minorEastAsia"/>
        </w:rPr>
      </w:pPr>
    </w:p>
    <w:p w14:paraId="47FE24CC">
      <w:pPr>
        <w:pStyle w:val="72"/>
        <w:rPr>
          <w:rFonts w:asciiTheme="minorEastAsia" w:hAnsiTheme="minorEastAsia" w:eastAsiaTheme="minorEastAsia" w:cstheme="minorEastAsia"/>
        </w:rPr>
      </w:pPr>
    </w:p>
    <w:p w14:paraId="083418B3">
      <w:pPr>
        <w:pStyle w:val="72"/>
        <w:rPr>
          <w:rFonts w:asciiTheme="minorEastAsia" w:hAnsiTheme="minorEastAsia" w:eastAsiaTheme="minorEastAsia" w:cstheme="minorEastAsia"/>
        </w:rPr>
      </w:pPr>
    </w:p>
    <w:p w14:paraId="00E0A188">
      <w:pPr>
        <w:pStyle w:val="72"/>
        <w:rPr>
          <w:rFonts w:asciiTheme="minorEastAsia" w:hAnsiTheme="minorEastAsia" w:eastAsiaTheme="minorEastAsia" w:cstheme="minorEastAsia"/>
        </w:rPr>
      </w:pPr>
    </w:p>
    <w:p w14:paraId="78D9DCC0">
      <w:pPr>
        <w:numPr>
          <w:ilvl w:val="0"/>
          <w:numId w:val="9"/>
        </w:numPr>
        <w:spacing w:line="240" w:lineRule="auto"/>
        <w:ind w:firstLine="0" w:firstLineChars="0"/>
        <w:jc w:val="center"/>
        <w:rPr>
          <w:b/>
          <w:bCs/>
          <w:color w:val="auto"/>
          <w:sz w:val="32"/>
          <w:szCs w:val="32"/>
          <w:highlight w:val="none"/>
        </w:rPr>
      </w:pPr>
      <w:r>
        <w:rPr>
          <w:b/>
          <w:bCs/>
          <w:color w:val="auto"/>
          <w:sz w:val="32"/>
          <w:szCs w:val="32"/>
          <w:highlight w:val="none"/>
        </w:rPr>
        <w:t>采购内容及</w:t>
      </w:r>
      <w:bookmarkStart w:id="102" w:name="_bookmark4"/>
      <w:bookmarkEnd w:id="102"/>
      <w:r>
        <w:rPr>
          <w:b/>
          <w:bCs/>
          <w:color w:val="auto"/>
          <w:sz w:val="32"/>
          <w:szCs w:val="32"/>
          <w:highlight w:val="none"/>
        </w:rPr>
        <w:t>项目要求</w:t>
      </w:r>
    </w:p>
    <w:p w14:paraId="1280C28E">
      <w:pPr>
        <w:spacing w:before="9" w:line="221" w:lineRule="auto"/>
        <w:ind w:left="23"/>
        <w:outlineLvl w:val="1"/>
        <w:rPr>
          <w:rFonts w:hint="default"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b/>
          <w:bCs/>
          <w:spacing w:val="-5"/>
          <w:sz w:val="22"/>
          <w:szCs w:val="22"/>
        </w:rPr>
        <w:t>一、</w:t>
      </w:r>
      <w:r>
        <w:rPr>
          <w:rFonts w:hint="eastAsia" w:asciiTheme="majorEastAsia" w:hAnsiTheme="majorEastAsia" w:eastAsiaTheme="majorEastAsia" w:cstheme="majorEastAsia"/>
          <w:b/>
          <w:bCs/>
          <w:spacing w:val="-5"/>
          <w:sz w:val="22"/>
          <w:szCs w:val="22"/>
          <w:lang w:val="en-US" w:eastAsia="zh-CN"/>
        </w:rPr>
        <w:t>项目概况</w:t>
      </w:r>
    </w:p>
    <w:p w14:paraId="0322BEF2">
      <w:pPr>
        <w:spacing w:before="76" w:line="282" w:lineRule="auto"/>
        <w:ind w:left="15" w:right="129" w:firstLine="488"/>
        <w:rPr>
          <w:rFonts w:hint="eastAsia" w:asciiTheme="majorEastAsia" w:hAnsiTheme="majorEastAsia" w:eastAsiaTheme="majorEastAsia" w:cstheme="majorEastAsia"/>
          <w:spacing w:val="27"/>
          <w:sz w:val="22"/>
          <w:szCs w:val="22"/>
        </w:rPr>
      </w:pPr>
      <w:r>
        <w:rPr>
          <w:rFonts w:hint="eastAsia" w:asciiTheme="majorEastAsia" w:hAnsiTheme="majorEastAsia" w:eastAsiaTheme="majorEastAsia" w:cstheme="majorEastAsia"/>
          <w:spacing w:val="-7"/>
          <w:sz w:val="22"/>
          <w:szCs w:val="22"/>
        </w:rPr>
        <w:t>1.1 本</w:t>
      </w:r>
      <w:r>
        <w:rPr>
          <w:rFonts w:hint="eastAsia" w:asciiTheme="majorEastAsia" w:hAnsiTheme="majorEastAsia" w:eastAsiaTheme="majorEastAsia" w:cstheme="majorEastAsia"/>
          <w:spacing w:val="-58"/>
          <w:sz w:val="22"/>
          <w:szCs w:val="22"/>
        </w:rPr>
        <w:t xml:space="preserve"> </w:t>
      </w:r>
      <w:r>
        <w:rPr>
          <w:rFonts w:hint="eastAsia" w:asciiTheme="majorEastAsia" w:hAnsiTheme="majorEastAsia" w:eastAsiaTheme="majorEastAsia" w:cstheme="majorEastAsia"/>
          <w:spacing w:val="-7"/>
          <w:sz w:val="22"/>
          <w:szCs w:val="22"/>
        </w:rPr>
        <w:t>次</w:t>
      </w:r>
      <w:r>
        <w:rPr>
          <w:rFonts w:hint="eastAsia" w:asciiTheme="majorEastAsia" w:hAnsiTheme="majorEastAsia" w:eastAsiaTheme="majorEastAsia" w:cstheme="majorEastAsia"/>
          <w:spacing w:val="-56"/>
          <w:sz w:val="22"/>
          <w:szCs w:val="22"/>
        </w:rPr>
        <w:t xml:space="preserve"> </w:t>
      </w:r>
      <w:r>
        <w:rPr>
          <w:rFonts w:hint="eastAsia" w:asciiTheme="majorEastAsia" w:hAnsiTheme="majorEastAsia" w:eastAsiaTheme="majorEastAsia" w:cstheme="majorEastAsia"/>
          <w:spacing w:val="-7"/>
          <w:sz w:val="22"/>
          <w:szCs w:val="22"/>
        </w:rPr>
        <w:t>采</w:t>
      </w:r>
      <w:r>
        <w:rPr>
          <w:rFonts w:hint="eastAsia" w:asciiTheme="majorEastAsia" w:hAnsiTheme="majorEastAsia" w:eastAsiaTheme="majorEastAsia" w:cstheme="majorEastAsia"/>
          <w:spacing w:val="-55"/>
          <w:sz w:val="22"/>
          <w:szCs w:val="22"/>
        </w:rPr>
        <w:t xml:space="preserve"> </w:t>
      </w:r>
      <w:r>
        <w:rPr>
          <w:rFonts w:hint="eastAsia" w:asciiTheme="majorEastAsia" w:hAnsiTheme="majorEastAsia" w:eastAsiaTheme="majorEastAsia" w:cstheme="majorEastAsia"/>
          <w:spacing w:val="-7"/>
          <w:sz w:val="22"/>
          <w:szCs w:val="22"/>
        </w:rPr>
        <w:t>购</w:t>
      </w:r>
      <w:r>
        <w:rPr>
          <w:rFonts w:hint="eastAsia" w:asciiTheme="majorEastAsia" w:hAnsiTheme="majorEastAsia" w:eastAsiaTheme="majorEastAsia" w:cstheme="majorEastAsia"/>
          <w:spacing w:val="-57"/>
          <w:sz w:val="22"/>
          <w:szCs w:val="22"/>
        </w:rPr>
        <w:t xml:space="preserve"> </w:t>
      </w:r>
      <w:r>
        <w:rPr>
          <w:rFonts w:hint="eastAsia" w:asciiTheme="majorEastAsia" w:hAnsiTheme="majorEastAsia" w:eastAsiaTheme="majorEastAsia" w:cstheme="majorEastAsia"/>
          <w:spacing w:val="-7"/>
          <w:sz w:val="22"/>
          <w:szCs w:val="22"/>
        </w:rPr>
        <w:t>项目为</w:t>
      </w:r>
      <w:r>
        <w:rPr>
          <w:rFonts w:hint="eastAsia" w:asciiTheme="majorEastAsia" w:hAnsiTheme="majorEastAsia" w:eastAsiaTheme="majorEastAsia" w:cstheme="majorEastAsia"/>
          <w:spacing w:val="-7"/>
          <w:sz w:val="22"/>
          <w:szCs w:val="22"/>
          <w:lang w:val="en-US" w:eastAsia="zh-CN"/>
        </w:rPr>
        <w:t>新县国土空间规划中绿化造林空间适宜性评价工作，</w:t>
      </w:r>
      <w:r>
        <w:rPr>
          <w:rFonts w:hint="eastAsia" w:asciiTheme="majorEastAsia" w:hAnsiTheme="majorEastAsia" w:eastAsiaTheme="majorEastAsia" w:cstheme="majorEastAsia"/>
          <w:spacing w:val="-8"/>
          <w:sz w:val="22"/>
          <w:szCs w:val="22"/>
        </w:rPr>
        <w:t>共</w:t>
      </w:r>
      <w:r>
        <w:rPr>
          <w:rFonts w:hint="eastAsia" w:asciiTheme="majorEastAsia" w:hAnsiTheme="majorEastAsia" w:eastAsiaTheme="majorEastAsia" w:cstheme="majorEastAsia"/>
          <w:spacing w:val="-55"/>
          <w:sz w:val="22"/>
          <w:szCs w:val="22"/>
        </w:rPr>
        <w:t xml:space="preserve"> </w:t>
      </w:r>
      <w:r>
        <w:rPr>
          <w:rFonts w:hint="eastAsia" w:asciiTheme="majorEastAsia" w:hAnsiTheme="majorEastAsia" w:eastAsiaTheme="majorEastAsia" w:cstheme="majorEastAsia"/>
          <w:spacing w:val="-8"/>
          <w:sz w:val="22"/>
          <w:szCs w:val="22"/>
        </w:rPr>
        <w:t>一</w:t>
      </w:r>
      <w:r>
        <w:rPr>
          <w:rFonts w:hint="eastAsia" w:asciiTheme="majorEastAsia" w:hAnsiTheme="majorEastAsia" w:eastAsiaTheme="majorEastAsia" w:cstheme="majorEastAsia"/>
          <w:spacing w:val="-56"/>
          <w:sz w:val="22"/>
          <w:szCs w:val="22"/>
        </w:rPr>
        <w:t xml:space="preserve"> </w:t>
      </w:r>
      <w:r>
        <w:rPr>
          <w:rFonts w:hint="eastAsia" w:asciiTheme="majorEastAsia" w:hAnsiTheme="majorEastAsia" w:eastAsiaTheme="majorEastAsia" w:cstheme="majorEastAsia"/>
          <w:spacing w:val="-8"/>
          <w:sz w:val="22"/>
          <w:szCs w:val="22"/>
        </w:rPr>
        <w:t>个</w:t>
      </w:r>
      <w:r>
        <w:rPr>
          <w:rFonts w:hint="eastAsia" w:asciiTheme="majorEastAsia" w:hAnsiTheme="majorEastAsia" w:eastAsiaTheme="majorEastAsia" w:cstheme="majorEastAsia"/>
          <w:spacing w:val="-56"/>
          <w:sz w:val="22"/>
          <w:szCs w:val="22"/>
        </w:rPr>
        <w:t xml:space="preserve"> </w:t>
      </w:r>
      <w:r>
        <w:rPr>
          <w:rFonts w:hint="eastAsia" w:asciiTheme="majorEastAsia" w:hAnsiTheme="majorEastAsia" w:eastAsiaTheme="majorEastAsia" w:cstheme="majorEastAsia"/>
          <w:spacing w:val="-8"/>
          <w:sz w:val="22"/>
          <w:szCs w:val="22"/>
        </w:rPr>
        <w:t>标</w:t>
      </w:r>
      <w:r>
        <w:rPr>
          <w:rFonts w:hint="eastAsia" w:asciiTheme="majorEastAsia" w:hAnsiTheme="majorEastAsia" w:eastAsiaTheme="majorEastAsia" w:cstheme="majorEastAsia"/>
          <w:spacing w:val="-56"/>
          <w:sz w:val="22"/>
          <w:szCs w:val="22"/>
        </w:rPr>
        <w:t xml:space="preserve"> </w:t>
      </w:r>
      <w:r>
        <w:rPr>
          <w:rFonts w:hint="eastAsia" w:asciiTheme="majorEastAsia" w:hAnsiTheme="majorEastAsia" w:eastAsiaTheme="majorEastAsia" w:cstheme="majorEastAsia"/>
          <w:spacing w:val="-8"/>
          <w:sz w:val="22"/>
          <w:szCs w:val="22"/>
        </w:rPr>
        <w:t>段，</w:t>
      </w:r>
      <w:r>
        <w:rPr>
          <w:rFonts w:hint="eastAsia" w:asciiTheme="majorEastAsia" w:hAnsiTheme="majorEastAsia" w:eastAsiaTheme="majorEastAsia" w:cstheme="majorEastAsia"/>
          <w:spacing w:val="-8"/>
          <w:sz w:val="22"/>
          <w:szCs w:val="22"/>
          <w:lang w:val="en-US" w:eastAsia="zh-CN"/>
        </w:rPr>
        <w:t>资金来源为财政资</w:t>
      </w:r>
      <w:r>
        <w:rPr>
          <w:rFonts w:hint="eastAsia" w:asciiTheme="majorEastAsia" w:hAnsiTheme="majorEastAsia" w:eastAsiaTheme="majorEastAsia" w:cstheme="majorEastAsia"/>
          <w:spacing w:val="27"/>
          <w:sz w:val="22"/>
          <w:szCs w:val="22"/>
        </w:rPr>
        <w:t>金。</w:t>
      </w:r>
    </w:p>
    <w:p w14:paraId="117C5A26">
      <w:pPr>
        <w:spacing w:before="110" w:line="298" w:lineRule="auto"/>
        <w:ind w:left="12" w:firstLine="491"/>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pacing w:val="-6"/>
          <w:sz w:val="22"/>
          <w:szCs w:val="22"/>
        </w:rPr>
        <w:t>1.2 采</w:t>
      </w:r>
      <w:r>
        <w:rPr>
          <w:rFonts w:hint="eastAsia" w:asciiTheme="majorEastAsia" w:hAnsiTheme="majorEastAsia" w:eastAsiaTheme="majorEastAsia" w:cstheme="majorEastAsia"/>
          <w:spacing w:val="-58"/>
          <w:sz w:val="22"/>
          <w:szCs w:val="22"/>
        </w:rPr>
        <w:t xml:space="preserve"> </w:t>
      </w:r>
      <w:r>
        <w:rPr>
          <w:rFonts w:hint="eastAsia" w:asciiTheme="majorEastAsia" w:hAnsiTheme="majorEastAsia" w:eastAsiaTheme="majorEastAsia" w:cstheme="majorEastAsia"/>
          <w:spacing w:val="-6"/>
          <w:sz w:val="22"/>
          <w:szCs w:val="22"/>
        </w:rPr>
        <w:t>购</w:t>
      </w:r>
      <w:r>
        <w:rPr>
          <w:rFonts w:hint="eastAsia" w:asciiTheme="majorEastAsia" w:hAnsiTheme="majorEastAsia" w:eastAsiaTheme="majorEastAsia" w:cstheme="majorEastAsia"/>
          <w:spacing w:val="-49"/>
          <w:sz w:val="22"/>
          <w:szCs w:val="22"/>
        </w:rPr>
        <w:t xml:space="preserve"> </w:t>
      </w:r>
      <w:r>
        <w:rPr>
          <w:rFonts w:hint="eastAsia" w:asciiTheme="majorEastAsia" w:hAnsiTheme="majorEastAsia" w:eastAsiaTheme="majorEastAsia" w:cstheme="majorEastAsia"/>
          <w:spacing w:val="-6"/>
          <w:sz w:val="22"/>
          <w:szCs w:val="22"/>
        </w:rPr>
        <w:t>需</w:t>
      </w:r>
      <w:r>
        <w:rPr>
          <w:rFonts w:hint="eastAsia" w:asciiTheme="majorEastAsia" w:hAnsiTheme="majorEastAsia" w:eastAsiaTheme="majorEastAsia" w:cstheme="majorEastAsia"/>
          <w:spacing w:val="-52"/>
          <w:sz w:val="22"/>
          <w:szCs w:val="22"/>
        </w:rPr>
        <w:t xml:space="preserve"> </w:t>
      </w:r>
      <w:r>
        <w:rPr>
          <w:rFonts w:hint="eastAsia" w:asciiTheme="majorEastAsia" w:hAnsiTheme="majorEastAsia" w:eastAsiaTheme="majorEastAsia" w:cstheme="majorEastAsia"/>
          <w:spacing w:val="-6"/>
          <w:sz w:val="22"/>
          <w:szCs w:val="22"/>
        </w:rPr>
        <w:t>求：</w:t>
      </w:r>
      <w:r>
        <w:rPr>
          <w:rFonts w:hint="eastAsia" w:asciiTheme="majorEastAsia" w:hAnsiTheme="majorEastAsia" w:eastAsiaTheme="majorEastAsia" w:cstheme="majorEastAsia"/>
          <w:spacing w:val="-7"/>
          <w:sz w:val="22"/>
          <w:szCs w:val="22"/>
          <w:lang w:val="en-US" w:eastAsia="zh-CN"/>
        </w:rPr>
        <w:t>新县国土空间规划中绿化造林空间适宜性评价工作</w:t>
      </w:r>
      <w:r>
        <w:rPr>
          <w:rFonts w:hint="eastAsia" w:asciiTheme="majorEastAsia" w:hAnsiTheme="majorEastAsia" w:eastAsiaTheme="majorEastAsia" w:cstheme="majorEastAsia"/>
          <w:spacing w:val="-43"/>
          <w:sz w:val="22"/>
          <w:szCs w:val="22"/>
        </w:rPr>
        <w:t xml:space="preserve"> </w:t>
      </w:r>
      <w:r>
        <w:rPr>
          <w:rFonts w:hint="eastAsia" w:asciiTheme="majorEastAsia" w:hAnsiTheme="majorEastAsia" w:eastAsiaTheme="majorEastAsia" w:cstheme="majorEastAsia"/>
          <w:spacing w:val="-6"/>
          <w:sz w:val="22"/>
          <w:szCs w:val="22"/>
        </w:rPr>
        <w:t>，</w:t>
      </w:r>
      <w:r>
        <w:rPr>
          <w:rFonts w:hint="eastAsia" w:asciiTheme="majorEastAsia" w:hAnsiTheme="majorEastAsia" w:eastAsiaTheme="majorEastAsia" w:cstheme="majorEastAsia"/>
          <w:spacing w:val="-7"/>
          <w:sz w:val="22"/>
          <w:szCs w:val="22"/>
          <w:lang w:val="en-US" w:eastAsia="zh-CN"/>
        </w:rPr>
        <w:t>主要内容包括:前期准备、野外调查、内业整理等。</w:t>
      </w:r>
    </w:p>
    <w:p w14:paraId="09721928">
      <w:pPr>
        <w:spacing w:before="9" w:line="221" w:lineRule="auto"/>
        <w:ind w:left="23"/>
        <w:outlineLvl w:val="1"/>
        <w:rPr>
          <w:rFonts w:hint="eastAsia" w:asciiTheme="majorEastAsia" w:hAnsiTheme="majorEastAsia" w:eastAsiaTheme="majorEastAsia" w:cstheme="majorEastAsia"/>
          <w:b/>
          <w:bCs/>
          <w:spacing w:val="-5"/>
          <w:sz w:val="22"/>
          <w:szCs w:val="22"/>
        </w:rPr>
      </w:pPr>
      <w:bookmarkStart w:id="103" w:name="bookmark15"/>
      <w:bookmarkEnd w:id="103"/>
      <w:r>
        <w:rPr>
          <w:rFonts w:hint="eastAsia" w:asciiTheme="majorEastAsia" w:hAnsiTheme="majorEastAsia" w:eastAsiaTheme="majorEastAsia" w:cstheme="majorEastAsia"/>
          <w:b/>
          <w:bCs/>
          <w:spacing w:val="-5"/>
          <w:sz w:val="22"/>
          <w:szCs w:val="22"/>
        </w:rPr>
        <w:t>二、工作内容</w:t>
      </w:r>
    </w:p>
    <w:p w14:paraId="0C7E1FD1">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2.1前期准备：</w:t>
      </w:r>
    </w:p>
    <w:p w14:paraId="394D396A">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（1）根据部、省相关文件，编制工作方案、技术方案，组织技术培训。</w:t>
      </w:r>
    </w:p>
    <w:p w14:paraId="2D2311C2">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（2）收集有关最新国土变更调查数据库、永久基本农田划定及影像等资料。</w:t>
      </w:r>
    </w:p>
    <w:p w14:paraId="65BA0F42">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（3）将项目区范围线格式及坐标系统一转换KMZ格式，分乡镇分配外业调查和表格，共13731个小班。</w:t>
      </w:r>
    </w:p>
    <w:p w14:paraId="18EA25DF">
      <w:pPr>
        <w:spacing w:before="110" w:line="298" w:lineRule="auto"/>
        <w:ind w:left="12" w:firstLine="491"/>
        <w:rPr>
          <w:rFonts w:hint="eastAsia" w:asciiTheme="majorEastAsia" w:hAnsiTheme="majorEastAsia" w:eastAsiaTheme="majorEastAsia" w:cstheme="majorEastAsia"/>
          <w:spacing w:val="-6"/>
          <w:sz w:val="22"/>
          <w:szCs w:val="22"/>
        </w:rPr>
      </w:pPr>
      <w:r>
        <w:rPr>
          <w:rFonts w:hint="eastAsia" w:asciiTheme="majorEastAsia" w:hAnsiTheme="majorEastAsia" w:eastAsiaTheme="majorEastAsia" w:cstheme="majorEastAsia"/>
          <w:spacing w:val="-6"/>
          <w:sz w:val="22"/>
          <w:szCs w:val="22"/>
          <w:lang w:val="en-US" w:eastAsia="zh-CN"/>
        </w:rPr>
        <w:t>（4）通过内业采集和信息提取分析，套合生态保护红线、永久基本农田、林业一张图等数据，提取相关地类图斑，并逐图斑核查影像特征，共13731个小班。</w:t>
      </w:r>
    </w:p>
    <w:p w14:paraId="00D3CB98">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2.2野外调查：</w:t>
      </w:r>
    </w:p>
    <w:p w14:paraId="4E925806">
      <w:pPr>
        <w:spacing w:before="110" w:line="298" w:lineRule="auto"/>
        <w:ind w:left="12" w:firstLine="491"/>
        <w:rPr>
          <w:rFonts w:hint="default" w:asciiTheme="majorEastAsia" w:hAnsiTheme="majorEastAsia" w:eastAsiaTheme="majorEastAsia" w:cstheme="majorEastAsia"/>
          <w:spacing w:val="-6"/>
          <w:sz w:val="22"/>
          <w:szCs w:val="22"/>
          <w:lang w:val="en-US" w:eastAsia="zh-CN"/>
        </w:rPr>
      </w:pPr>
      <w:r>
        <w:rPr>
          <w:rFonts w:hint="default" w:asciiTheme="majorEastAsia" w:hAnsiTheme="majorEastAsia" w:eastAsiaTheme="majorEastAsia" w:cstheme="majorEastAsia"/>
          <w:spacing w:val="-6"/>
          <w:sz w:val="22"/>
          <w:szCs w:val="22"/>
          <w:lang w:val="en-US" w:eastAsia="zh-CN"/>
        </w:rPr>
        <w:t>针对内业提取的图斑，核实现状地类是否符合造林绿化要求，对于符合要求的，使用相机拍摄带经纬度坐标、时间等信息照片，并在核实记录表上登记相关信息。</w:t>
      </w:r>
    </w:p>
    <w:p w14:paraId="40C29AAF">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2.3内业整理：</w:t>
      </w:r>
    </w:p>
    <w:p w14:paraId="6E9D8372">
      <w:pPr>
        <w:spacing w:before="110" w:line="298" w:lineRule="auto"/>
        <w:ind w:left="12" w:firstLine="491"/>
        <w:rPr>
          <w:rFonts w:hint="default" w:asciiTheme="majorEastAsia" w:hAnsiTheme="majorEastAsia" w:eastAsiaTheme="majorEastAsia" w:cstheme="majorEastAsia"/>
          <w:spacing w:val="-6"/>
          <w:sz w:val="22"/>
          <w:szCs w:val="22"/>
          <w:lang w:val="en-US" w:eastAsia="zh-CN"/>
        </w:rPr>
      </w:pPr>
      <w:r>
        <w:rPr>
          <w:rFonts w:hint="default" w:asciiTheme="majorEastAsia" w:hAnsiTheme="majorEastAsia" w:eastAsiaTheme="majorEastAsia" w:cstheme="majorEastAsia"/>
          <w:spacing w:val="-6"/>
          <w:sz w:val="22"/>
          <w:szCs w:val="22"/>
          <w:lang w:val="en-US" w:eastAsia="zh-CN"/>
        </w:rPr>
        <w:t>会同自然资源主管部门，空间规划编制工作，对适宜造林绿化空间的合理性、协调性把关。在“三调”成果基础上，根据数据库结构要求，进行逐图斑赋值，建设造林绿化空间数据库成果。</w:t>
      </w:r>
    </w:p>
    <w:p w14:paraId="65E230BD">
      <w:pPr>
        <w:spacing w:before="110" w:line="298" w:lineRule="auto"/>
        <w:ind w:left="12" w:firstLine="491"/>
        <w:rPr>
          <w:rFonts w:hint="eastAsia" w:asciiTheme="majorEastAsia" w:hAnsiTheme="majorEastAsia" w:eastAsiaTheme="majorEastAsia" w:cstheme="majorEastAsia"/>
          <w:spacing w:val="-6"/>
          <w:sz w:val="22"/>
          <w:szCs w:val="22"/>
        </w:rPr>
      </w:pPr>
      <w:r>
        <w:rPr>
          <w:rFonts w:hint="eastAsia" w:asciiTheme="majorEastAsia" w:hAnsiTheme="majorEastAsia" w:eastAsiaTheme="majorEastAsia" w:cstheme="majorEastAsia"/>
          <w:spacing w:val="-6"/>
          <w:sz w:val="22"/>
          <w:szCs w:val="22"/>
        </w:rPr>
        <w:t>2.</w:t>
      </w:r>
      <w:r>
        <w:rPr>
          <w:rFonts w:hint="eastAsia" w:asciiTheme="majorEastAsia" w:hAnsiTheme="majorEastAsia" w:eastAsiaTheme="majorEastAsia" w:cstheme="majorEastAsia"/>
          <w:spacing w:val="-6"/>
          <w:sz w:val="22"/>
          <w:szCs w:val="22"/>
          <w:lang w:val="en-US" w:eastAsia="zh-CN"/>
        </w:rPr>
        <w:t>4</w:t>
      </w:r>
      <w:r>
        <w:rPr>
          <w:rFonts w:hint="eastAsia" w:asciiTheme="majorEastAsia" w:hAnsiTheme="majorEastAsia" w:eastAsiaTheme="majorEastAsia" w:cstheme="majorEastAsia"/>
          <w:spacing w:val="-6"/>
          <w:sz w:val="22"/>
          <w:szCs w:val="22"/>
        </w:rPr>
        <w:t xml:space="preserve"> 成果汇交</w:t>
      </w:r>
      <w:r>
        <w:rPr>
          <w:rFonts w:hint="eastAsia" w:asciiTheme="majorEastAsia" w:hAnsiTheme="majorEastAsia" w:eastAsiaTheme="majorEastAsia" w:cstheme="majorEastAsia"/>
          <w:spacing w:val="-6"/>
          <w:sz w:val="22"/>
          <w:szCs w:val="22"/>
          <w:lang w:eastAsia="zh-CN"/>
        </w:rPr>
        <w:t>：</w:t>
      </w:r>
      <w:r>
        <w:rPr>
          <w:rFonts w:hint="eastAsia" w:asciiTheme="majorEastAsia" w:hAnsiTheme="majorEastAsia" w:eastAsiaTheme="majorEastAsia" w:cstheme="majorEastAsia"/>
          <w:spacing w:val="-6"/>
          <w:sz w:val="22"/>
          <w:szCs w:val="22"/>
        </w:rPr>
        <w:t>规划造林绿化空间调查评估数据库、统计表、成果报告。</w:t>
      </w:r>
    </w:p>
    <w:p w14:paraId="31548506">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2.5成果要求:</w:t>
      </w:r>
    </w:p>
    <w:p w14:paraId="01B84B18">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2.5.1.数据库结构要求</w:t>
      </w:r>
    </w:p>
    <w:p w14:paraId="0D75F600">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本次调查评估，在“三调”成果基础上，增加地类现状、限制地类、降水量、海拔、坡度、土层厚度、其他因子等字段。省、县、乡、村字段由“三调”坐落单位代码转换。</w:t>
      </w:r>
    </w:p>
    <w:p w14:paraId="6EB1F025">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2.5.2.其他要求</w:t>
      </w:r>
    </w:p>
    <w:p w14:paraId="6FD48DFB">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(1)下发数据中的因子要严格按照各字段属性说明填写，各属性间要符合逻辑关系。</w:t>
      </w:r>
    </w:p>
    <w:p w14:paraId="0B36831C">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(2)提交数据为glb格式。坐标系统采用“2000国家大地坐标系”，高程基准采用“1985国家高程基准”，投影方式采用“高斯-克吕格投影”，3°分带。</w:t>
      </w:r>
    </w:p>
    <w:p w14:paraId="7AC94F02">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(3)数据完成后，以县级行政区为单位，汇总到省级统一提交。县级文件不得以高新区、经济开发区等非行政区域作为单位提交数据。</w:t>
      </w:r>
    </w:p>
    <w:p w14:paraId="7A729775">
      <w:pPr>
        <w:spacing w:before="110" w:line="298" w:lineRule="auto"/>
        <w:ind w:left="12" w:firstLine="491"/>
        <w:rPr>
          <w:rFonts w:hint="eastAsia" w:asciiTheme="majorEastAsia" w:hAnsiTheme="majorEastAsia" w:eastAsiaTheme="majorEastAsia" w:cstheme="majorEastAsia"/>
          <w:spacing w:val="-6"/>
          <w:sz w:val="22"/>
          <w:szCs w:val="22"/>
          <w:lang w:val="en-US" w:eastAsia="zh-CN"/>
        </w:rPr>
      </w:pPr>
      <w:r>
        <w:rPr>
          <w:rFonts w:hint="eastAsia" w:asciiTheme="majorEastAsia" w:hAnsiTheme="majorEastAsia" w:eastAsiaTheme="majorEastAsia" w:cstheme="majorEastAsia"/>
          <w:spacing w:val="-6"/>
          <w:sz w:val="22"/>
          <w:szCs w:val="22"/>
          <w:lang w:val="en-US" w:eastAsia="zh-CN"/>
        </w:rPr>
        <w:t>(4)同一图斑只有部分适宜时，不适宜面积大于5亩且超过图斑面积的5%时应分割图斑。</w:t>
      </w:r>
    </w:p>
    <w:p w14:paraId="6842052A">
      <w:pPr>
        <w:spacing w:before="110" w:line="298" w:lineRule="auto"/>
        <w:ind w:left="12" w:firstLine="491"/>
        <w:rPr>
          <w:rFonts w:hint="eastAsia" w:asciiTheme="majorEastAsia" w:hAnsiTheme="majorEastAsia" w:eastAsiaTheme="majorEastAsia" w:cstheme="majorEastAsia"/>
          <w:spacing w:val="-6"/>
          <w:sz w:val="24"/>
          <w:szCs w:val="24"/>
          <w:lang w:val="en-US" w:eastAsia="zh-CN"/>
        </w:rPr>
      </w:pPr>
    </w:p>
    <w:p w14:paraId="62060B63">
      <w:pPr>
        <w:pStyle w:val="72"/>
        <w:rPr>
          <w:b/>
          <w:bCs/>
          <w:color w:val="auto"/>
          <w:sz w:val="32"/>
          <w:szCs w:val="32"/>
          <w:highlight w:val="none"/>
        </w:rPr>
      </w:pPr>
    </w:p>
    <w:p w14:paraId="1372A3D2">
      <w:pPr>
        <w:keepNext/>
        <w:numPr>
          <w:ilvl w:val="0"/>
          <w:numId w:val="0"/>
        </w:numPr>
        <w:spacing w:line="360" w:lineRule="auto"/>
        <w:jc w:val="left"/>
        <w:outlineLvl w:val="0"/>
        <w:rPr>
          <w:rFonts w:hint="eastAsia" w:ascii="宋体" w:hAnsi="宋体"/>
          <w:b/>
          <w:bCs/>
          <w:color w:val="auto"/>
          <w:sz w:val="40"/>
          <w:szCs w:val="40"/>
          <w:highlight w:val="none"/>
        </w:rPr>
      </w:pPr>
      <w:r>
        <w:rPr>
          <w:rFonts w:hint="eastAsia" w:ascii="宋体" w:hAnsi="宋体" w:cs="宋体"/>
          <w:b/>
          <w:bCs/>
          <w:color w:val="auto"/>
          <w:sz w:val="32"/>
          <w:szCs w:val="32"/>
          <w:highlight w:val="none"/>
        </w:rPr>
        <w:t xml:space="preserve">                   </w:t>
      </w:r>
      <w:r>
        <w:rPr>
          <w:rFonts w:hint="eastAsia" w:ascii="宋体" w:hAnsi="宋体" w:cs="宋体"/>
          <w:b/>
          <w:bCs/>
          <w:color w:val="auto"/>
          <w:sz w:val="40"/>
          <w:szCs w:val="40"/>
          <w:highlight w:val="none"/>
        </w:rPr>
        <w:t xml:space="preserve"> </w:t>
      </w:r>
      <w:r>
        <w:rPr>
          <w:rFonts w:hint="eastAsia" w:ascii="宋体" w:hAnsi="宋体"/>
          <w:b/>
          <w:bCs/>
          <w:color w:val="auto"/>
          <w:sz w:val="40"/>
          <w:szCs w:val="40"/>
          <w:highlight w:val="none"/>
        </w:rPr>
        <w:t>第六章 响应文件格式</w:t>
      </w:r>
      <w:bookmarkEnd w:id="99"/>
      <w:bookmarkEnd w:id="100"/>
      <w:bookmarkEnd w:id="101"/>
    </w:p>
    <w:p w14:paraId="00DF5E5D">
      <w:pPr>
        <w:keepNext/>
        <w:numPr>
          <w:ilvl w:val="0"/>
          <w:numId w:val="0"/>
        </w:numPr>
        <w:spacing w:line="360" w:lineRule="auto"/>
        <w:jc w:val="left"/>
        <w:outlineLvl w:val="0"/>
        <w:rPr>
          <w:rFonts w:hint="eastAsia" w:ascii="宋体" w:hAnsi="宋体"/>
          <w:b/>
          <w:bCs/>
          <w:color w:val="auto"/>
          <w:sz w:val="32"/>
          <w:szCs w:val="32"/>
          <w:highlight w:val="none"/>
        </w:rPr>
      </w:pPr>
    </w:p>
    <w:p w14:paraId="3604E564">
      <w:pPr>
        <w:pStyle w:val="52"/>
        <w:ind w:firstLine="0" w:firstLineChars="0"/>
        <w:rPr>
          <w:color w:val="auto"/>
          <w:highlight w:val="none"/>
        </w:rPr>
      </w:pPr>
    </w:p>
    <w:p w14:paraId="21499553">
      <w:pPr>
        <w:pStyle w:val="8"/>
        <w:rPr>
          <w:color w:val="auto"/>
          <w:highlight w:val="none"/>
        </w:rPr>
      </w:pPr>
    </w:p>
    <w:p w14:paraId="56BD0CD2">
      <w:pPr>
        <w:spacing w:line="360" w:lineRule="auto"/>
        <w:jc w:val="center"/>
        <w:rPr>
          <w:rFonts w:hint="eastAsia" w:hAnsi="宋体" w:cs="宋体"/>
          <w:b/>
          <w:bCs/>
          <w:color w:val="auto"/>
          <w:sz w:val="44"/>
          <w:szCs w:val="44"/>
          <w:highlight w:val="none"/>
          <w:lang w:eastAsia="zh-CN"/>
        </w:rPr>
      </w:pPr>
      <w:r>
        <w:rPr>
          <w:rFonts w:hint="eastAsia" w:hAnsi="宋体" w:cs="宋体"/>
          <w:b/>
          <w:bCs/>
          <w:color w:val="auto"/>
          <w:sz w:val="40"/>
          <w:szCs w:val="40"/>
          <w:highlight w:val="none"/>
          <w:lang w:eastAsia="zh-CN"/>
        </w:rPr>
        <w:t>新县国土空间规划中绿化造林空间适宜性评价项目</w:t>
      </w:r>
      <w:r>
        <w:rPr>
          <w:rFonts w:hint="eastAsia" w:hAnsi="宋体" w:cs="宋体"/>
          <w:b/>
          <w:bCs/>
          <w:color w:val="auto"/>
          <w:sz w:val="44"/>
          <w:szCs w:val="44"/>
          <w:highlight w:val="none"/>
          <w:lang w:eastAsia="zh-CN"/>
        </w:rPr>
        <w:tab/>
      </w:r>
    </w:p>
    <w:p w14:paraId="6D345113">
      <w:pPr>
        <w:spacing w:line="360" w:lineRule="auto"/>
        <w:jc w:val="center"/>
        <w:rPr>
          <w:rFonts w:hint="eastAsia" w:hAnsi="宋体" w:cs="宋体"/>
          <w:b/>
          <w:bCs/>
          <w:color w:val="auto"/>
          <w:sz w:val="44"/>
          <w:szCs w:val="44"/>
          <w:highlight w:val="none"/>
          <w:lang w:eastAsia="zh-CN"/>
        </w:rPr>
      </w:pPr>
    </w:p>
    <w:p w14:paraId="26B0B140">
      <w:pPr>
        <w:spacing w:line="360" w:lineRule="auto"/>
        <w:jc w:val="center"/>
        <w:rPr>
          <w:color w:val="auto"/>
          <w:highlight w:val="none"/>
        </w:rPr>
      </w:pPr>
      <w:r>
        <w:rPr>
          <w:rFonts w:hint="eastAsia" w:ascii="宋体" w:hAnsi="宋体"/>
          <w:b/>
          <w:color w:val="auto"/>
          <w:sz w:val="72"/>
          <w:szCs w:val="72"/>
          <w:highlight w:val="none"/>
        </w:rPr>
        <w:t>响 应 文</w:t>
      </w:r>
      <w:r>
        <w:rPr>
          <w:rFonts w:hint="eastAsia" w:ascii="宋体" w:hAnsi="宋体"/>
          <w:b/>
          <w:color w:val="auto"/>
          <w:sz w:val="72"/>
          <w:szCs w:val="72"/>
          <w:highlight w:val="none"/>
        </w:rPr>
        <w:tab/>
      </w:r>
      <w:r>
        <w:rPr>
          <w:rFonts w:hint="eastAsia" w:ascii="宋体" w:hAnsi="宋体"/>
          <w:b/>
          <w:color w:val="auto"/>
          <w:sz w:val="72"/>
          <w:szCs w:val="72"/>
          <w:highlight w:val="none"/>
        </w:rPr>
        <w:t xml:space="preserve"> 件</w:t>
      </w:r>
    </w:p>
    <w:p w14:paraId="6FE04D60">
      <w:pPr>
        <w:spacing w:line="360" w:lineRule="auto"/>
        <w:rPr>
          <w:rFonts w:ascii="宋体" w:hAnsi="宋体"/>
          <w:b/>
          <w:color w:val="auto"/>
          <w:sz w:val="28"/>
          <w:szCs w:val="28"/>
          <w:highlight w:val="none"/>
        </w:rPr>
      </w:pPr>
      <w:r>
        <w:rPr>
          <w:rFonts w:hint="eastAsia" w:ascii="宋体" w:hAnsi="宋体"/>
          <w:b/>
          <w:color w:val="auto"/>
          <w:sz w:val="28"/>
          <w:szCs w:val="28"/>
          <w:highlight w:val="none"/>
        </w:rPr>
        <w:t xml:space="preserve">                     采购项目编号：</w:t>
      </w:r>
    </w:p>
    <w:p w14:paraId="35294944">
      <w:pPr>
        <w:spacing w:line="360" w:lineRule="auto"/>
        <w:ind w:firstLine="480" w:firstLineChars="200"/>
        <w:rPr>
          <w:rFonts w:ascii="宋体" w:hAnsi="宋体"/>
          <w:color w:val="auto"/>
          <w:sz w:val="24"/>
          <w:szCs w:val="20"/>
          <w:highlight w:val="none"/>
        </w:rPr>
      </w:pPr>
    </w:p>
    <w:p w14:paraId="1B437D24">
      <w:pPr>
        <w:spacing w:line="360" w:lineRule="auto"/>
        <w:ind w:firstLine="480" w:firstLineChars="200"/>
        <w:rPr>
          <w:rFonts w:ascii="宋体" w:hAnsi="宋体"/>
          <w:color w:val="auto"/>
          <w:sz w:val="24"/>
          <w:szCs w:val="20"/>
          <w:highlight w:val="none"/>
        </w:rPr>
      </w:pPr>
    </w:p>
    <w:p w14:paraId="7870A230">
      <w:pPr>
        <w:spacing w:line="360" w:lineRule="auto"/>
        <w:ind w:firstLine="480" w:firstLineChars="200"/>
        <w:rPr>
          <w:rFonts w:ascii="宋体" w:hAnsi="宋体"/>
          <w:color w:val="auto"/>
          <w:sz w:val="24"/>
          <w:szCs w:val="20"/>
          <w:highlight w:val="none"/>
        </w:rPr>
      </w:pPr>
    </w:p>
    <w:p w14:paraId="5ED2D960">
      <w:pPr>
        <w:spacing w:line="360" w:lineRule="auto"/>
        <w:ind w:firstLine="480" w:firstLineChars="200"/>
        <w:rPr>
          <w:rFonts w:ascii="宋体" w:hAnsi="宋体"/>
          <w:color w:val="auto"/>
          <w:sz w:val="24"/>
          <w:szCs w:val="20"/>
          <w:highlight w:val="none"/>
        </w:rPr>
      </w:pPr>
    </w:p>
    <w:p w14:paraId="56AC78FF">
      <w:pPr>
        <w:spacing w:line="360" w:lineRule="auto"/>
        <w:rPr>
          <w:rFonts w:ascii="宋体" w:hAnsi="宋体"/>
          <w:color w:val="auto"/>
          <w:sz w:val="24"/>
          <w:szCs w:val="20"/>
          <w:highlight w:val="none"/>
        </w:rPr>
      </w:pPr>
    </w:p>
    <w:p w14:paraId="768B04ED">
      <w:pPr>
        <w:pStyle w:val="52"/>
        <w:ind w:firstLine="0" w:firstLineChars="0"/>
        <w:rPr>
          <w:rFonts w:ascii="宋体" w:hAnsi="宋体"/>
          <w:color w:val="auto"/>
          <w:sz w:val="30"/>
          <w:highlight w:val="none"/>
        </w:rPr>
      </w:pPr>
    </w:p>
    <w:p w14:paraId="058BD7B2">
      <w:pPr>
        <w:pStyle w:val="53"/>
        <w:rPr>
          <w:rFonts w:ascii="宋体" w:hAnsi="宋体"/>
          <w:color w:val="auto"/>
          <w:sz w:val="30"/>
          <w:highlight w:val="none"/>
        </w:rPr>
      </w:pPr>
    </w:p>
    <w:p w14:paraId="732703B8">
      <w:pPr>
        <w:rPr>
          <w:rFonts w:ascii="宋体" w:hAnsi="宋体"/>
          <w:color w:val="auto"/>
          <w:sz w:val="30"/>
          <w:highlight w:val="none"/>
        </w:rPr>
      </w:pPr>
    </w:p>
    <w:p w14:paraId="76A9EC36">
      <w:pPr>
        <w:pStyle w:val="2"/>
        <w:rPr>
          <w:rFonts w:ascii="宋体" w:hAnsi="宋体"/>
          <w:color w:val="auto"/>
          <w:sz w:val="30"/>
          <w:highlight w:val="none"/>
        </w:rPr>
      </w:pPr>
    </w:p>
    <w:p w14:paraId="1960C145">
      <w:pPr>
        <w:rPr>
          <w:rFonts w:ascii="宋体" w:hAnsi="宋体"/>
          <w:color w:val="auto"/>
          <w:sz w:val="30"/>
          <w:highlight w:val="none"/>
        </w:rPr>
      </w:pPr>
    </w:p>
    <w:p w14:paraId="40E2CFA2">
      <w:pPr>
        <w:pStyle w:val="2"/>
        <w:rPr>
          <w:color w:val="auto"/>
          <w:highlight w:val="none"/>
        </w:rPr>
      </w:pPr>
    </w:p>
    <w:p w14:paraId="7E3699AF">
      <w:pPr>
        <w:pStyle w:val="53"/>
        <w:ind w:firstLine="600"/>
        <w:rPr>
          <w:color w:val="auto"/>
          <w:highlight w:val="none"/>
        </w:rPr>
      </w:pPr>
    </w:p>
    <w:p w14:paraId="3EAA0EE6">
      <w:pPr>
        <w:spacing w:line="360" w:lineRule="auto"/>
        <w:ind w:firstLine="750" w:firstLineChars="250"/>
        <w:rPr>
          <w:rFonts w:ascii="宋体" w:hAnsi="宋体"/>
          <w:color w:val="auto"/>
          <w:sz w:val="30"/>
          <w:szCs w:val="20"/>
          <w:highlight w:val="none"/>
        </w:rPr>
      </w:pPr>
    </w:p>
    <w:p w14:paraId="38A75788">
      <w:pPr>
        <w:spacing w:line="480" w:lineRule="auto"/>
        <w:ind w:firstLine="750" w:firstLineChars="250"/>
        <w:rPr>
          <w:rFonts w:ascii="宋体" w:hAnsi="宋体"/>
          <w:color w:val="auto"/>
          <w:sz w:val="30"/>
          <w:szCs w:val="20"/>
          <w:highlight w:val="none"/>
        </w:rPr>
      </w:pPr>
      <w:r>
        <w:rPr>
          <w:rFonts w:hint="eastAsia" w:ascii="宋体" w:hAnsi="宋体"/>
          <w:color w:val="auto"/>
          <w:sz w:val="30"/>
          <w:szCs w:val="20"/>
          <w:highlight w:val="none"/>
        </w:rPr>
        <w:t>供应商：</w:t>
      </w:r>
      <w:r>
        <w:rPr>
          <w:rFonts w:hint="eastAsia" w:ascii="宋体" w:hAnsi="宋体"/>
          <w:color w:val="auto"/>
          <w:sz w:val="30"/>
          <w:szCs w:val="20"/>
          <w:highlight w:val="none"/>
          <w:u w:val="single"/>
        </w:rPr>
        <w:t xml:space="preserve">                             </w:t>
      </w:r>
      <w:r>
        <w:rPr>
          <w:rFonts w:hint="eastAsia" w:ascii="宋体" w:hAnsi="宋体"/>
          <w:color w:val="auto"/>
          <w:sz w:val="30"/>
          <w:szCs w:val="20"/>
          <w:highlight w:val="none"/>
        </w:rPr>
        <w:t>（单位电子签章）</w:t>
      </w:r>
    </w:p>
    <w:p w14:paraId="27DFF134">
      <w:pPr>
        <w:spacing w:line="480" w:lineRule="auto"/>
        <w:ind w:firstLine="750" w:firstLineChars="250"/>
        <w:rPr>
          <w:rFonts w:ascii="宋体" w:hAnsi="宋体"/>
          <w:color w:val="auto"/>
          <w:sz w:val="30"/>
          <w:szCs w:val="20"/>
          <w:highlight w:val="none"/>
        </w:rPr>
      </w:pPr>
      <w:r>
        <w:rPr>
          <w:rFonts w:hint="eastAsia" w:ascii="宋体" w:hAnsi="宋体"/>
          <w:color w:val="auto"/>
          <w:sz w:val="30"/>
          <w:szCs w:val="20"/>
          <w:highlight w:val="none"/>
        </w:rPr>
        <w:t>法定代表人或其委托代理人：</w:t>
      </w:r>
      <w:r>
        <w:rPr>
          <w:rFonts w:hint="eastAsia" w:ascii="宋体" w:hAnsi="宋体"/>
          <w:color w:val="auto"/>
          <w:sz w:val="30"/>
          <w:szCs w:val="20"/>
          <w:highlight w:val="none"/>
          <w:u w:val="single"/>
        </w:rPr>
        <w:t xml:space="preserve">            </w:t>
      </w:r>
      <w:r>
        <w:rPr>
          <w:rFonts w:hint="eastAsia" w:ascii="宋体" w:hAnsi="宋体"/>
          <w:color w:val="auto"/>
          <w:sz w:val="30"/>
          <w:szCs w:val="20"/>
          <w:highlight w:val="none"/>
        </w:rPr>
        <w:t>（签字或电子签名）</w:t>
      </w:r>
    </w:p>
    <w:p w14:paraId="552BF161">
      <w:pPr>
        <w:spacing w:line="480" w:lineRule="auto"/>
        <w:jc w:val="center"/>
        <w:rPr>
          <w:rFonts w:ascii="宋体" w:hAnsi="宋体"/>
          <w:color w:val="auto"/>
          <w:sz w:val="30"/>
          <w:szCs w:val="20"/>
          <w:highlight w:val="none"/>
        </w:rPr>
      </w:pPr>
      <w:r>
        <w:rPr>
          <w:rFonts w:hint="eastAsia" w:ascii="宋体" w:hAnsi="宋体"/>
          <w:color w:val="auto"/>
          <w:sz w:val="30"/>
          <w:szCs w:val="20"/>
          <w:highlight w:val="none"/>
          <w:u w:val="single"/>
        </w:rPr>
        <w:tab/>
      </w:r>
      <w:r>
        <w:rPr>
          <w:rFonts w:hint="eastAsia" w:ascii="宋体" w:hAnsi="宋体"/>
          <w:color w:val="auto"/>
          <w:sz w:val="30"/>
          <w:szCs w:val="20"/>
          <w:highlight w:val="none"/>
          <w:u w:val="single"/>
        </w:rPr>
        <w:t xml:space="preserve">     </w:t>
      </w:r>
      <w:r>
        <w:rPr>
          <w:rFonts w:hint="eastAsia" w:ascii="宋体" w:hAnsi="宋体"/>
          <w:color w:val="auto"/>
          <w:sz w:val="30"/>
          <w:szCs w:val="20"/>
          <w:highlight w:val="none"/>
        </w:rPr>
        <w:t>年</w:t>
      </w:r>
      <w:r>
        <w:rPr>
          <w:rFonts w:hint="eastAsia" w:ascii="宋体" w:hAnsi="宋体"/>
          <w:color w:val="auto"/>
          <w:sz w:val="30"/>
          <w:szCs w:val="20"/>
          <w:highlight w:val="none"/>
          <w:u w:val="single"/>
        </w:rPr>
        <w:t xml:space="preserve">     </w:t>
      </w:r>
      <w:r>
        <w:rPr>
          <w:rFonts w:hint="eastAsia" w:ascii="宋体" w:hAnsi="宋体"/>
          <w:color w:val="auto"/>
          <w:sz w:val="30"/>
          <w:szCs w:val="20"/>
          <w:highlight w:val="none"/>
        </w:rPr>
        <w:t>月</w:t>
      </w:r>
      <w:r>
        <w:rPr>
          <w:rFonts w:hint="eastAsia" w:ascii="宋体" w:hAnsi="宋体"/>
          <w:color w:val="auto"/>
          <w:sz w:val="30"/>
          <w:szCs w:val="20"/>
          <w:highlight w:val="none"/>
          <w:u w:val="single"/>
        </w:rPr>
        <w:t xml:space="preserve">    </w:t>
      </w:r>
      <w:r>
        <w:rPr>
          <w:rFonts w:hint="eastAsia" w:ascii="宋体" w:hAnsi="宋体"/>
          <w:color w:val="auto"/>
          <w:sz w:val="30"/>
          <w:szCs w:val="20"/>
          <w:highlight w:val="none"/>
        </w:rPr>
        <w:t>日</w:t>
      </w:r>
    </w:p>
    <w:p w14:paraId="2CEE4319">
      <w:pPr>
        <w:rPr>
          <w:rFonts w:ascii="宋体" w:hAnsi="宋体"/>
          <w:b/>
          <w:color w:val="auto"/>
          <w:sz w:val="44"/>
          <w:szCs w:val="44"/>
          <w:highlight w:val="none"/>
        </w:rPr>
      </w:pPr>
    </w:p>
    <w:p w14:paraId="1C27C2DF">
      <w:pPr>
        <w:spacing w:line="72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12CC08DC">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bookmarkStart w:id="104" w:name="_Toc367992285"/>
      <w:r>
        <w:rPr>
          <w:rFonts w:hint="eastAsia" w:ascii="宋体" w:hAnsi="宋体" w:eastAsia="宋体" w:cs="宋体"/>
          <w:color w:val="auto"/>
          <w:sz w:val="24"/>
          <w:szCs w:val="28"/>
        </w:rPr>
        <w:t>一、投标函及投标函附录</w:t>
      </w:r>
      <w:r>
        <w:rPr>
          <w:rFonts w:hint="eastAsia" w:ascii="宋体" w:hAnsi="宋体" w:eastAsia="宋体" w:cs="宋体"/>
          <w:color w:val="auto"/>
          <w:sz w:val="24"/>
          <w:szCs w:val="28"/>
        </w:rPr>
        <w:tab/>
      </w:r>
    </w:p>
    <w:p w14:paraId="1EA5E167">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二、法定代表人身份证明</w:t>
      </w:r>
    </w:p>
    <w:p w14:paraId="42D1DBAB">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三、授权委托书</w:t>
      </w:r>
      <w:r>
        <w:rPr>
          <w:rFonts w:hint="eastAsia" w:ascii="宋体" w:hAnsi="宋体" w:eastAsia="宋体" w:cs="宋体"/>
          <w:color w:val="auto"/>
          <w:sz w:val="24"/>
          <w:szCs w:val="28"/>
        </w:rPr>
        <w:tab/>
      </w:r>
    </w:p>
    <w:p w14:paraId="28551BBD">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rPr>
        <w:t>四、</w:t>
      </w:r>
      <w:r>
        <w:rPr>
          <w:rFonts w:hint="eastAsia" w:ascii="宋体" w:hAnsi="宋体" w:eastAsia="宋体" w:cs="宋体"/>
          <w:color w:val="auto"/>
          <w:sz w:val="24"/>
          <w:szCs w:val="28"/>
          <w:lang w:val="en-US" w:eastAsia="zh-CN"/>
        </w:rPr>
        <w:t>技术标</w:t>
      </w:r>
    </w:p>
    <w:p w14:paraId="2FE62A6A">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五、综合标</w:t>
      </w:r>
      <w:r>
        <w:rPr>
          <w:rFonts w:hint="eastAsia" w:ascii="宋体" w:hAnsi="宋体" w:eastAsia="宋体" w:cs="宋体"/>
          <w:color w:val="auto"/>
          <w:sz w:val="24"/>
          <w:szCs w:val="28"/>
        </w:rPr>
        <w:tab/>
      </w:r>
    </w:p>
    <w:p w14:paraId="6A5B621B">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六</w:t>
      </w:r>
      <w:r>
        <w:rPr>
          <w:rFonts w:hint="eastAsia" w:ascii="宋体" w:hAnsi="宋体" w:eastAsia="宋体" w:cs="宋体"/>
          <w:color w:val="auto"/>
          <w:sz w:val="24"/>
          <w:szCs w:val="28"/>
        </w:rPr>
        <w:t>、资格审查资料</w:t>
      </w:r>
    </w:p>
    <w:p w14:paraId="18052D4E">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七</w:t>
      </w:r>
      <w:r>
        <w:rPr>
          <w:rFonts w:hint="eastAsia" w:ascii="宋体" w:hAnsi="宋体" w:eastAsia="宋体" w:cs="宋体"/>
          <w:color w:val="auto"/>
          <w:sz w:val="24"/>
          <w:szCs w:val="28"/>
        </w:rPr>
        <w:t>、中小企业声明函</w:t>
      </w:r>
    </w:p>
    <w:p w14:paraId="09F9FFAC">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八</w:t>
      </w:r>
      <w:r>
        <w:rPr>
          <w:rFonts w:hint="eastAsia" w:ascii="宋体" w:hAnsi="宋体" w:eastAsia="宋体" w:cs="宋体"/>
          <w:color w:val="auto"/>
          <w:sz w:val="24"/>
          <w:szCs w:val="28"/>
        </w:rPr>
        <w:t>、残疾人福利性单位声明函</w:t>
      </w:r>
    </w:p>
    <w:p w14:paraId="1B9A2CC8">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九</w:t>
      </w:r>
      <w:r>
        <w:rPr>
          <w:rFonts w:hint="eastAsia" w:ascii="宋体" w:hAnsi="宋体" w:eastAsia="宋体" w:cs="宋体"/>
          <w:color w:val="auto"/>
          <w:sz w:val="24"/>
          <w:szCs w:val="28"/>
        </w:rPr>
        <w:t>、监狱企业证明文件（如有）</w:t>
      </w:r>
    </w:p>
    <w:p w14:paraId="440F6DA9">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十</w:t>
      </w:r>
      <w:r>
        <w:rPr>
          <w:rFonts w:hint="eastAsia" w:ascii="宋体" w:hAnsi="宋体" w:eastAsia="宋体" w:cs="宋体"/>
          <w:color w:val="auto"/>
          <w:sz w:val="24"/>
          <w:szCs w:val="28"/>
        </w:rPr>
        <w:t>、反商业贿赂承诺书</w:t>
      </w:r>
    </w:p>
    <w:p w14:paraId="17F71A07">
      <w:pPr>
        <w:keepNext w:val="0"/>
        <w:keepLines w:val="0"/>
        <w:pageBreakBefore w:val="0"/>
        <w:widowControl w:val="0"/>
        <w:kinsoku/>
        <w:wordWrap/>
        <w:overflowPunct/>
        <w:topLinePunct w:val="0"/>
        <w:autoSpaceDE/>
        <w:autoSpaceDN/>
        <w:bidi w:val="0"/>
        <w:adjustRightInd/>
        <w:snapToGrid/>
        <w:spacing w:line="480" w:lineRule="auto"/>
        <w:ind w:firstLine="480"/>
        <w:jc w:val="left"/>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十</w:t>
      </w:r>
      <w:r>
        <w:rPr>
          <w:rFonts w:hint="eastAsia" w:ascii="宋体" w:hAnsi="宋体" w:eastAsia="宋体" w:cs="宋体"/>
          <w:color w:val="auto"/>
          <w:sz w:val="24"/>
          <w:szCs w:val="28"/>
          <w:lang w:val="en-US" w:eastAsia="zh-CN"/>
        </w:rPr>
        <w:t>一</w:t>
      </w:r>
      <w:r>
        <w:rPr>
          <w:rFonts w:hint="eastAsia" w:ascii="宋体" w:hAnsi="宋体" w:eastAsia="宋体" w:cs="宋体"/>
          <w:color w:val="auto"/>
          <w:sz w:val="24"/>
          <w:szCs w:val="28"/>
        </w:rPr>
        <w:t>、其他材料</w:t>
      </w:r>
    </w:p>
    <w:p w14:paraId="2EEC52A0">
      <w:pPr>
        <w:pStyle w:val="114"/>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ascii="宋体" w:hAnsi="宋体" w:eastAsia="宋体" w:cs="宋体"/>
          <w:color w:val="auto"/>
        </w:rPr>
      </w:pPr>
    </w:p>
    <w:p w14:paraId="5E3D33F6">
      <w:pPr>
        <w:keepNext w:val="0"/>
        <w:keepLines w:val="0"/>
        <w:pageBreakBefore w:val="0"/>
        <w:widowControl w:val="0"/>
        <w:kinsoku/>
        <w:wordWrap/>
        <w:overflowPunct/>
        <w:topLinePunct w:val="0"/>
        <w:autoSpaceDE/>
        <w:autoSpaceDN/>
        <w:bidi w:val="0"/>
        <w:adjustRightInd/>
        <w:snapToGrid/>
        <w:spacing w:after="120" w:line="480" w:lineRule="auto"/>
        <w:textAlignment w:val="auto"/>
        <w:rPr>
          <w:rFonts w:ascii="宋体" w:hAnsi="宋体"/>
          <w:color w:val="auto"/>
          <w:szCs w:val="20"/>
          <w:highlight w:val="none"/>
        </w:rPr>
      </w:pPr>
    </w:p>
    <w:p w14:paraId="24E33389">
      <w:pPr>
        <w:spacing w:after="120"/>
        <w:rPr>
          <w:rFonts w:ascii="宋体" w:hAnsi="宋体"/>
          <w:color w:val="auto"/>
          <w:szCs w:val="20"/>
          <w:highlight w:val="none"/>
        </w:rPr>
      </w:pPr>
    </w:p>
    <w:p w14:paraId="5B5203BB">
      <w:pPr>
        <w:spacing w:after="120"/>
        <w:rPr>
          <w:rFonts w:ascii="宋体" w:hAnsi="宋体"/>
          <w:color w:val="auto"/>
          <w:szCs w:val="20"/>
          <w:highlight w:val="none"/>
        </w:rPr>
      </w:pPr>
    </w:p>
    <w:p w14:paraId="27122EFC">
      <w:pPr>
        <w:spacing w:line="520" w:lineRule="exact"/>
        <w:rPr>
          <w:rFonts w:ascii="宋体" w:hAnsi="宋体"/>
          <w:color w:val="auto"/>
          <w:highlight w:val="none"/>
        </w:rPr>
      </w:pPr>
      <w:bookmarkStart w:id="105" w:name="_Toc414956969"/>
      <w:bookmarkStart w:id="106" w:name="_Toc417567986"/>
      <w:bookmarkStart w:id="107" w:name="_Toc398716800"/>
    </w:p>
    <w:p w14:paraId="6AFA0DF5">
      <w:pPr>
        <w:pStyle w:val="409"/>
        <w:spacing w:line="360" w:lineRule="auto"/>
        <w:ind w:left="0"/>
        <w:jc w:val="center"/>
        <w:rPr>
          <w:rFonts w:cs="宋体"/>
          <w:b w:val="0"/>
          <w:bCs w:val="0"/>
          <w:color w:val="auto"/>
          <w:sz w:val="24"/>
          <w:szCs w:val="24"/>
          <w:highlight w:val="none"/>
        </w:rPr>
      </w:pPr>
      <w:r>
        <w:rPr>
          <w:rFonts w:hint="eastAsia"/>
          <w:b w:val="0"/>
          <w:color w:val="auto"/>
          <w:sz w:val="32"/>
          <w:szCs w:val="32"/>
          <w:highlight w:val="none"/>
        </w:rPr>
        <w:br w:type="page"/>
      </w:r>
      <w:bookmarkEnd w:id="104"/>
      <w:bookmarkEnd w:id="105"/>
      <w:bookmarkEnd w:id="106"/>
      <w:bookmarkEnd w:id="107"/>
      <w:r>
        <w:rPr>
          <w:rFonts w:hint="eastAsia"/>
          <w:b w:val="0"/>
          <w:color w:val="auto"/>
          <w:sz w:val="32"/>
          <w:szCs w:val="32"/>
          <w:highlight w:val="none"/>
        </w:rPr>
        <w:t>一</w:t>
      </w:r>
      <w:r>
        <w:rPr>
          <w:color w:val="auto"/>
          <w:sz w:val="24"/>
          <w:szCs w:val="24"/>
          <w:highlight w:val="none"/>
        </w:rPr>
        <w:t>、</w:t>
      </w:r>
      <w:r>
        <w:rPr>
          <w:color w:val="auto"/>
          <w:highlight w:val="none"/>
        </w:rPr>
        <w:t>磋商函及磋商函附录</w:t>
      </w:r>
    </w:p>
    <w:p w14:paraId="06492BA9">
      <w:pPr>
        <w:pStyle w:val="490"/>
        <w:spacing w:line="360" w:lineRule="auto"/>
        <w:ind w:left="0"/>
        <w:jc w:val="center"/>
        <w:rPr>
          <w:rFonts w:cs="宋体"/>
          <w:b w:val="0"/>
          <w:bCs w:val="0"/>
          <w:color w:val="auto"/>
          <w:highlight w:val="none"/>
        </w:rPr>
      </w:pPr>
      <w:bookmarkStart w:id="108" w:name="（一）磋商函"/>
      <w:bookmarkEnd w:id="108"/>
      <w:r>
        <w:rPr>
          <w:color w:val="auto"/>
          <w:highlight w:val="none"/>
        </w:rPr>
        <w:t>（一）磋商函</w:t>
      </w:r>
      <w:r>
        <w:rPr>
          <w:rFonts w:cs="宋体"/>
          <w:color w:val="auto"/>
          <w:w w:val="99"/>
          <w:highlight w:val="none"/>
        </w:rPr>
        <w:t xml:space="preserve"> </w:t>
      </w:r>
    </w:p>
    <w:p w14:paraId="54706D2F">
      <w:pPr>
        <w:pStyle w:val="8"/>
        <w:spacing w:after="0" w:line="360" w:lineRule="auto"/>
        <w:rPr>
          <w:rFonts w:cs="宋体"/>
          <w:color w:val="auto"/>
          <w:highlight w:val="none"/>
        </w:rPr>
      </w:pPr>
      <w:r>
        <w:rPr>
          <w:color w:val="auto"/>
          <w:highlight w:val="none"/>
          <w:u w:val="single" w:color="000000"/>
        </w:rPr>
        <w:t xml:space="preserve">（采购人名称）    </w:t>
      </w:r>
      <w:r>
        <w:rPr>
          <w:color w:val="auto"/>
          <w:highlight w:val="none"/>
        </w:rPr>
        <w:t>：</w:t>
      </w:r>
      <w:r>
        <w:rPr>
          <w:rFonts w:cs="宋体"/>
          <w:color w:val="auto"/>
          <w:highlight w:val="none"/>
        </w:rPr>
        <w:t xml:space="preserve"> </w:t>
      </w:r>
    </w:p>
    <w:p w14:paraId="6630E7C3">
      <w:pPr>
        <w:pStyle w:val="8"/>
        <w:spacing w:after="0" w:line="360" w:lineRule="auto"/>
        <w:ind w:firstLine="420" w:firstLineChars="200"/>
        <w:rPr>
          <w:rFonts w:cs="宋体"/>
          <w:color w:val="auto"/>
          <w:highlight w:val="none"/>
        </w:rPr>
      </w:pPr>
      <w:r>
        <w:rPr>
          <w:rFonts w:cs="宋体"/>
          <w:color w:val="auto"/>
          <w:highlight w:val="none"/>
        </w:rPr>
        <w:t>1</w:t>
      </w:r>
      <w:r>
        <w:rPr>
          <w:color w:val="auto"/>
          <w:highlight w:val="none"/>
        </w:rPr>
        <w:t>．在考察现场并充分研究</w:t>
      </w:r>
      <w:r>
        <w:rPr>
          <w:rFonts w:hint="eastAsia"/>
          <w:color w:val="auto"/>
          <w:highlight w:val="none"/>
          <w:u w:val="single"/>
        </w:rPr>
        <w:t xml:space="preserve">    </w:t>
      </w:r>
      <w:r>
        <w:rPr>
          <w:color w:val="auto"/>
          <w:highlight w:val="none"/>
          <w:u w:val="single"/>
        </w:rPr>
        <w:t xml:space="preserve"> （项目名称）</w:t>
      </w:r>
      <w:r>
        <w:rPr>
          <w:color w:val="auto"/>
          <w:highlight w:val="none"/>
        </w:rPr>
        <w:t>（以下简称</w:t>
      </w:r>
      <w:r>
        <w:rPr>
          <w:rFonts w:hint="eastAsia"/>
          <w:color w:val="auto"/>
          <w:highlight w:val="none"/>
        </w:rPr>
        <w:t>“</w:t>
      </w:r>
      <w:r>
        <w:rPr>
          <w:color w:val="auto"/>
          <w:highlight w:val="none"/>
        </w:rPr>
        <w:t>本项目</w:t>
      </w:r>
      <w:r>
        <w:rPr>
          <w:rFonts w:hint="eastAsia"/>
          <w:color w:val="auto"/>
          <w:highlight w:val="none"/>
        </w:rPr>
        <w:t>”</w:t>
      </w:r>
      <w:r>
        <w:rPr>
          <w:color w:val="auto"/>
          <w:highlight w:val="none"/>
        </w:rPr>
        <w:t>）磋商文件的全部内容后，我方兹以：人民币（大写）</w:t>
      </w:r>
      <w:r>
        <w:rPr>
          <w:rFonts w:hint="eastAsia"/>
          <w:color w:val="auto"/>
          <w:highlight w:val="none"/>
          <w:u w:val="single"/>
        </w:rPr>
        <w:t xml:space="preserve">         </w:t>
      </w:r>
      <w:r>
        <w:rPr>
          <w:rFonts w:hint="eastAsia"/>
          <w:color w:val="auto"/>
          <w:highlight w:val="none"/>
        </w:rPr>
        <w:t xml:space="preserve"> </w:t>
      </w:r>
      <w:r>
        <w:rPr>
          <w:color w:val="auto"/>
          <w:highlight w:val="none"/>
        </w:rPr>
        <w:t>：（小写：</w:t>
      </w:r>
      <w:r>
        <w:rPr>
          <w:rFonts w:hint="eastAsia"/>
          <w:color w:val="auto"/>
          <w:spacing w:val="23"/>
          <w:highlight w:val="none"/>
          <w:u w:val="single"/>
        </w:rPr>
        <w:t xml:space="preserve">     </w:t>
      </w:r>
      <w:r>
        <w:rPr>
          <w:color w:val="auto"/>
          <w:highlight w:val="none"/>
        </w:rPr>
        <w:t>元）</w:t>
      </w:r>
      <w:r>
        <w:rPr>
          <w:color w:val="auto"/>
          <w:spacing w:val="2"/>
          <w:highlight w:val="none"/>
        </w:rPr>
        <w:t xml:space="preserve"> </w:t>
      </w:r>
      <w:r>
        <w:rPr>
          <w:color w:val="auto"/>
          <w:spacing w:val="-3"/>
          <w:highlight w:val="none"/>
        </w:rPr>
        <w:t>的投标价格和按合同约定有权得到的其它金额，并严格按照合同约定，完成采购人所委托的所</w:t>
      </w:r>
      <w:r>
        <w:rPr>
          <w:color w:val="auto"/>
          <w:spacing w:val="-91"/>
          <w:highlight w:val="none"/>
        </w:rPr>
        <w:t xml:space="preserve"> </w:t>
      </w:r>
      <w:r>
        <w:rPr>
          <w:color w:val="auto"/>
          <w:highlight w:val="none"/>
        </w:rPr>
        <w:t>有事宜。</w:t>
      </w:r>
      <w:r>
        <w:rPr>
          <w:rFonts w:cs="宋体"/>
          <w:color w:val="auto"/>
          <w:highlight w:val="none"/>
        </w:rPr>
        <w:t xml:space="preserve"> </w:t>
      </w:r>
    </w:p>
    <w:p w14:paraId="000FBA1C">
      <w:pPr>
        <w:pStyle w:val="8"/>
        <w:spacing w:after="0" w:line="360" w:lineRule="auto"/>
        <w:ind w:firstLine="420" w:firstLineChars="200"/>
        <w:rPr>
          <w:rFonts w:cs="宋体"/>
          <w:color w:val="auto"/>
          <w:highlight w:val="none"/>
        </w:rPr>
      </w:pPr>
      <w:r>
        <w:rPr>
          <w:rFonts w:cs="宋体"/>
          <w:color w:val="auto"/>
          <w:highlight w:val="none"/>
        </w:rPr>
        <w:t>2</w:t>
      </w:r>
      <w:r>
        <w:rPr>
          <w:color w:val="auto"/>
          <w:highlight w:val="none"/>
        </w:rPr>
        <w:t>．我方承诺在磋商文件规定的磋商有效期</w:t>
      </w:r>
      <w:r>
        <w:rPr>
          <w:rFonts w:hint="eastAsia"/>
          <w:color w:val="auto"/>
          <w:highlight w:val="none"/>
          <w:u w:val="single"/>
        </w:rPr>
        <w:t xml:space="preserve">          </w:t>
      </w:r>
      <w:r>
        <w:rPr>
          <w:color w:val="auto"/>
          <w:highlight w:val="none"/>
        </w:rPr>
        <w:t>日历天内不修改、撤销响应文件。</w:t>
      </w:r>
      <w:r>
        <w:rPr>
          <w:rFonts w:cs="宋体"/>
          <w:color w:val="auto"/>
          <w:highlight w:val="none"/>
        </w:rPr>
        <w:t xml:space="preserve"> </w:t>
      </w:r>
    </w:p>
    <w:p w14:paraId="5B3C898B">
      <w:pPr>
        <w:pStyle w:val="8"/>
        <w:spacing w:line="360" w:lineRule="auto"/>
        <w:ind w:firstLine="420" w:firstLineChars="200"/>
        <w:rPr>
          <w:rFonts w:cs="宋体"/>
          <w:color w:val="auto"/>
          <w:highlight w:val="none"/>
        </w:rPr>
      </w:pPr>
      <w:r>
        <w:rPr>
          <w:rFonts w:cs="宋体"/>
          <w:color w:val="auto"/>
          <w:highlight w:val="none"/>
        </w:rPr>
        <w:t>3</w:t>
      </w:r>
      <w:r>
        <w:rPr>
          <w:color w:val="auto"/>
          <w:highlight w:val="none"/>
        </w:rPr>
        <w:t>．如我方中标：</w:t>
      </w:r>
      <w:r>
        <w:rPr>
          <w:rFonts w:cs="宋体"/>
          <w:color w:val="auto"/>
          <w:highlight w:val="none"/>
        </w:rPr>
        <w:t xml:space="preserve"> </w:t>
      </w:r>
    </w:p>
    <w:p w14:paraId="7A0A465B">
      <w:pPr>
        <w:pStyle w:val="8"/>
        <w:spacing w:line="360" w:lineRule="auto"/>
        <w:ind w:firstLine="420" w:firstLineChars="200"/>
        <w:rPr>
          <w:rFonts w:cs="宋体"/>
          <w:color w:val="auto"/>
          <w:highlight w:val="none"/>
        </w:rPr>
      </w:pPr>
      <w:r>
        <w:rPr>
          <w:color w:val="auto"/>
          <w:highlight w:val="none"/>
        </w:rPr>
        <w:t>（</w:t>
      </w:r>
      <w:r>
        <w:rPr>
          <w:rFonts w:cs="宋体"/>
          <w:color w:val="auto"/>
          <w:highlight w:val="none"/>
        </w:rPr>
        <w:t>1</w:t>
      </w:r>
      <w:r>
        <w:rPr>
          <w:color w:val="auto"/>
          <w:highlight w:val="none"/>
        </w:rPr>
        <w:t>）我方承诺在收到中标通知书后，在中标通知书规定的期限内与你方签订合同。</w:t>
      </w:r>
      <w:r>
        <w:rPr>
          <w:rFonts w:cs="宋体"/>
          <w:color w:val="auto"/>
          <w:highlight w:val="none"/>
        </w:rPr>
        <w:t xml:space="preserve"> </w:t>
      </w:r>
    </w:p>
    <w:p w14:paraId="17959523">
      <w:pPr>
        <w:pStyle w:val="8"/>
        <w:spacing w:line="360" w:lineRule="auto"/>
        <w:ind w:firstLine="420" w:firstLineChars="200"/>
        <w:rPr>
          <w:rFonts w:cs="宋体"/>
          <w:color w:val="auto"/>
          <w:highlight w:val="none"/>
        </w:rPr>
      </w:pPr>
      <w:r>
        <w:rPr>
          <w:color w:val="auto"/>
          <w:highlight w:val="none"/>
        </w:rPr>
        <w:t>（</w:t>
      </w:r>
      <w:r>
        <w:rPr>
          <w:rFonts w:cs="宋体"/>
          <w:color w:val="auto"/>
          <w:highlight w:val="none"/>
        </w:rPr>
        <w:t>2</w:t>
      </w:r>
      <w:r>
        <w:rPr>
          <w:color w:val="auto"/>
          <w:highlight w:val="none"/>
        </w:rPr>
        <w:t>）随同本磋商函递交的磋商函附录属于合同文件的组成部分。</w:t>
      </w:r>
      <w:r>
        <w:rPr>
          <w:rFonts w:cs="宋体"/>
          <w:color w:val="auto"/>
          <w:highlight w:val="none"/>
        </w:rPr>
        <w:t xml:space="preserve"> </w:t>
      </w:r>
    </w:p>
    <w:p w14:paraId="0FC94A2B">
      <w:pPr>
        <w:pStyle w:val="8"/>
        <w:spacing w:line="360" w:lineRule="auto"/>
        <w:ind w:firstLine="420" w:firstLineChars="200"/>
        <w:rPr>
          <w:rFonts w:cs="宋体"/>
          <w:color w:val="auto"/>
          <w:highlight w:val="none"/>
        </w:rPr>
      </w:pPr>
      <w:r>
        <w:rPr>
          <w:color w:val="auto"/>
          <w:highlight w:val="none"/>
        </w:rPr>
        <w:t>（</w:t>
      </w:r>
      <w:r>
        <w:rPr>
          <w:rFonts w:cs="宋体"/>
          <w:color w:val="auto"/>
          <w:highlight w:val="none"/>
        </w:rPr>
        <w:t>3</w:t>
      </w:r>
      <w:r>
        <w:rPr>
          <w:color w:val="auto"/>
          <w:highlight w:val="none"/>
        </w:rPr>
        <w:t>）我方承诺按照磋商文件规定向你方递交履约担保。</w:t>
      </w:r>
      <w:r>
        <w:rPr>
          <w:rFonts w:cs="宋体"/>
          <w:color w:val="auto"/>
          <w:highlight w:val="none"/>
        </w:rPr>
        <w:t xml:space="preserve"> </w:t>
      </w:r>
    </w:p>
    <w:p w14:paraId="065B2642">
      <w:pPr>
        <w:pStyle w:val="8"/>
        <w:spacing w:line="360" w:lineRule="auto"/>
        <w:ind w:firstLine="420" w:firstLineChars="200"/>
        <w:rPr>
          <w:color w:val="auto"/>
          <w:highlight w:val="none"/>
        </w:rPr>
      </w:pPr>
      <w:r>
        <w:rPr>
          <w:color w:val="auto"/>
          <w:highlight w:val="none"/>
        </w:rPr>
        <w:t>（</w:t>
      </w:r>
      <w:r>
        <w:rPr>
          <w:rFonts w:cs="宋体"/>
          <w:color w:val="auto"/>
          <w:highlight w:val="none"/>
        </w:rPr>
        <w:t>4</w:t>
      </w:r>
      <w:r>
        <w:rPr>
          <w:color w:val="auto"/>
          <w:highlight w:val="none"/>
        </w:rPr>
        <w:t>）我方承诺在合同约定的期限内完成并移交全部合同工程。</w:t>
      </w:r>
    </w:p>
    <w:p w14:paraId="5437CB72">
      <w:pPr>
        <w:pStyle w:val="8"/>
        <w:spacing w:line="360" w:lineRule="auto"/>
        <w:ind w:firstLine="420" w:firstLineChars="200"/>
        <w:rPr>
          <w:rFonts w:cs="宋体"/>
          <w:color w:val="auto"/>
          <w:highlight w:val="none"/>
        </w:rPr>
      </w:pPr>
      <w:r>
        <w:rPr>
          <w:rFonts w:cs="宋体"/>
          <w:color w:val="auto"/>
          <w:highlight w:val="none"/>
        </w:rPr>
        <w:t>4</w:t>
      </w:r>
      <w:r>
        <w:rPr>
          <w:color w:val="auto"/>
          <w:highlight w:val="none"/>
        </w:rPr>
        <w:t>．我方在此声明，所递交的响应文件及有关资料内容完整、真实和准确，且不存在违反第二章“供应商须知”第</w:t>
      </w:r>
      <w:r>
        <w:rPr>
          <w:color w:val="auto"/>
          <w:spacing w:val="-59"/>
          <w:highlight w:val="none"/>
        </w:rPr>
        <w:t xml:space="preserve"> </w:t>
      </w:r>
      <w:r>
        <w:rPr>
          <w:rFonts w:cs="宋体"/>
          <w:color w:val="auto"/>
          <w:highlight w:val="none"/>
        </w:rPr>
        <w:t>1.4.</w:t>
      </w:r>
      <w:r>
        <w:rPr>
          <w:rFonts w:hint="eastAsia" w:cs="宋体"/>
          <w:color w:val="auto"/>
          <w:highlight w:val="none"/>
        </w:rPr>
        <w:t>3</w:t>
      </w:r>
      <w:r>
        <w:rPr>
          <w:color w:val="auto"/>
          <w:highlight w:val="none"/>
        </w:rPr>
        <w:t>项规定的任何一种情形。</w:t>
      </w:r>
      <w:r>
        <w:rPr>
          <w:rFonts w:cs="宋体"/>
          <w:color w:val="auto"/>
          <w:highlight w:val="none"/>
        </w:rPr>
        <w:t xml:space="preserve"> </w:t>
      </w:r>
    </w:p>
    <w:p w14:paraId="59E8E4D5">
      <w:pPr>
        <w:pStyle w:val="8"/>
        <w:spacing w:line="360" w:lineRule="auto"/>
        <w:ind w:firstLine="420" w:firstLineChars="200"/>
        <w:rPr>
          <w:rFonts w:cs="宋体"/>
          <w:color w:val="auto"/>
          <w:highlight w:val="none"/>
        </w:rPr>
      </w:pPr>
      <w:r>
        <w:rPr>
          <w:rFonts w:cs="宋体"/>
          <w:color w:val="auto"/>
          <w:highlight w:val="none"/>
        </w:rPr>
        <w:t>5</w:t>
      </w:r>
      <w:r>
        <w:rPr>
          <w:color w:val="auto"/>
          <w:highlight w:val="none"/>
        </w:rPr>
        <w:t>．（其他补充说明）。</w:t>
      </w:r>
      <w:r>
        <w:rPr>
          <w:rFonts w:cs="宋体"/>
          <w:color w:val="auto"/>
          <w:highlight w:val="none"/>
        </w:rPr>
        <w:t xml:space="preserve"> </w:t>
      </w:r>
    </w:p>
    <w:p w14:paraId="480E41A2">
      <w:pPr>
        <w:tabs>
          <w:tab w:val="left" w:pos="1365"/>
        </w:tabs>
        <w:spacing w:line="360" w:lineRule="auto"/>
        <w:ind w:firstLine="420" w:firstLineChars="200"/>
        <w:rPr>
          <w:rFonts w:ascii="宋体" w:hAnsi="宋体"/>
          <w:color w:val="auto"/>
          <w:highlight w:val="none"/>
        </w:rPr>
      </w:pPr>
    </w:p>
    <w:p w14:paraId="31478912">
      <w:pPr>
        <w:tabs>
          <w:tab w:val="left" w:pos="1365"/>
        </w:tabs>
        <w:spacing w:line="360" w:lineRule="auto"/>
        <w:ind w:firstLine="840" w:firstLineChars="400"/>
        <w:rPr>
          <w:rFonts w:ascii="宋体" w:hAnsi="宋体"/>
          <w:color w:val="auto"/>
          <w:highlight w:val="none"/>
        </w:rPr>
      </w:pPr>
    </w:p>
    <w:p w14:paraId="63EEC17D">
      <w:pPr>
        <w:tabs>
          <w:tab w:val="left" w:pos="1365"/>
        </w:tabs>
        <w:spacing w:line="360" w:lineRule="auto"/>
        <w:ind w:firstLine="840" w:firstLineChars="400"/>
        <w:rPr>
          <w:rFonts w:ascii="宋体" w:hAnsi="宋体"/>
          <w:color w:val="auto"/>
          <w:highlight w:val="none"/>
        </w:rPr>
      </w:pPr>
      <w:r>
        <w:rPr>
          <w:rFonts w:hint="eastAsia" w:ascii="宋体" w:hAnsi="宋体"/>
          <w:color w:val="auto"/>
          <w:highlight w:val="none"/>
        </w:rPr>
        <w:t>联系人：                         电话：</w:t>
      </w:r>
    </w:p>
    <w:p w14:paraId="7F6EB2B1">
      <w:pPr>
        <w:tabs>
          <w:tab w:val="left" w:pos="1365"/>
        </w:tabs>
        <w:spacing w:line="360" w:lineRule="auto"/>
        <w:ind w:firstLine="840" w:firstLineChars="400"/>
        <w:rPr>
          <w:rFonts w:ascii="宋体" w:hAnsi="宋体"/>
          <w:color w:val="auto"/>
          <w:highlight w:val="none"/>
        </w:rPr>
      </w:pPr>
      <w:r>
        <w:rPr>
          <w:rFonts w:hint="eastAsia" w:ascii="宋体" w:hAnsi="宋体"/>
          <w:color w:val="auto"/>
          <w:highlight w:val="none"/>
        </w:rPr>
        <w:t>传真：                           电子邮箱：</w:t>
      </w:r>
    </w:p>
    <w:p w14:paraId="6FCC9C65">
      <w:pPr>
        <w:tabs>
          <w:tab w:val="left" w:pos="1365"/>
        </w:tabs>
        <w:spacing w:line="360" w:lineRule="auto"/>
        <w:ind w:firstLine="840" w:firstLineChars="400"/>
        <w:rPr>
          <w:rFonts w:ascii="宋体" w:hAnsi="宋体"/>
          <w:color w:val="auto"/>
          <w:highlight w:val="none"/>
        </w:rPr>
      </w:pPr>
      <w:r>
        <w:rPr>
          <w:rFonts w:hint="eastAsia" w:ascii="宋体" w:hAnsi="宋体"/>
          <w:color w:val="auto"/>
          <w:highlight w:val="none"/>
        </w:rPr>
        <w:t>地址：                           邮政编码：</w:t>
      </w:r>
    </w:p>
    <w:p w14:paraId="42AD7CD0">
      <w:pPr>
        <w:pStyle w:val="52"/>
        <w:ind w:firstLine="210"/>
        <w:rPr>
          <w:rFonts w:ascii="宋体" w:hAnsi="宋体"/>
          <w:color w:val="auto"/>
          <w:szCs w:val="21"/>
          <w:highlight w:val="none"/>
        </w:rPr>
      </w:pPr>
    </w:p>
    <w:p w14:paraId="02D6CA7A">
      <w:pPr>
        <w:pStyle w:val="8"/>
        <w:rPr>
          <w:color w:val="auto"/>
          <w:highlight w:val="none"/>
        </w:rPr>
      </w:pPr>
    </w:p>
    <w:p w14:paraId="62FF5752">
      <w:pPr>
        <w:pStyle w:val="52"/>
        <w:ind w:firstLine="210"/>
        <w:rPr>
          <w:color w:val="auto"/>
          <w:highlight w:val="none"/>
        </w:rPr>
      </w:pPr>
    </w:p>
    <w:p w14:paraId="0B4B52B6">
      <w:pPr>
        <w:tabs>
          <w:tab w:val="left" w:pos="1365"/>
        </w:tabs>
        <w:spacing w:line="360" w:lineRule="auto"/>
        <w:ind w:firstLine="4830" w:firstLineChars="2300"/>
        <w:rPr>
          <w:rFonts w:ascii="宋体" w:hAnsi="宋体"/>
          <w:color w:val="auto"/>
          <w:highlight w:val="none"/>
        </w:rPr>
      </w:pPr>
      <w:r>
        <w:rPr>
          <w:rFonts w:hint="eastAsia" w:ascii="宋体" w:hAnsi="宋体"/>
          <w:color w:val="auto"/>
          <w:highlight w:val="none"/>
        </w:rPr>
        <w:t xml:space="preserve">供应商（单位电子签章）：              </w:t>
      </w:r>
    </w:p>
    <w:p w14:paraId="7EFE3814">
      <w:pPr>
        <w:tabs>
          <w:tab w:val="left" w:pos="1365"/>
        </w:tabs>
        <w:spacing w:line="360" w:lineRule="auto"/>
        <w:ind w:firstLine="840" w:firstLineChars="400"/>
        <w:rPr>
          <w:rFonts w:ascii="宋体" w:hAnsi="宋体"/>
          <w:color w:val="auto"/>
          <w:highlight w:val="none"/>
        </w:rPr>
      </w:pPr>
      <w:r>
        <w:rPr>
          <w:rFonts w:hint="eastAsia" w:ascii="宋体" w:hAnsi="宋体"/>
          <w:color w:val="auto"/>
          <w:highlight w:val="none"/>
        </w:rPr>
        <w:t xml:space="preserve">                                      法定代表人或其委托代理人（签字或电子签名）：</w:t>
      </w:r>
    </w:p>
    <w:p w14:paraId="2A5CBADC">
      <w:pPr>
        <w:tabs>
          <w:tab w:val="left" w:pos="1365"/>
        </w:tabs>
        <w:spacing w:line="360" w:lineRule="auto"/>
        <w:ind w:left="1029" w:leftChars="490"/>
        <w:rPr>
          <w:rFonts w:ascii="宋体" w:hAnsi="宋体"/>
          <w:color w:val="auto"/>
          <w:highlight w:val="none"/>
        </w:rPr>
      </w:pPr>
    </w:p>
    <w:p w14:paraId="1652C956">
      <w:pPr>
        <w:spacing w:line="360" w:lineRule="auto"/>
        <w:jc w:val="right"/>
        <w:rPr>
          <w:rFonts w:ascii="宋体" w:hAnsi="宋体"/>
          <w:b/>
          <w:color w:val="auto"/>
          <w:sz w:val="30"/>
          <w:highlight w:val="none"/>
        </w:rPr>
      </w:pPr>
      <w:r>
        <w:rPr>
          <w:rFonts w:hint="eastAsia" w:ascii="宋体" w:hAnsi="宋体"/>
          <w:color w:val="auto"/>
          <w:highlight w:val="none"/>
        </w:rPr>
        <w:t>日期：   年   月     日</w:t>
      </w:r>
    </w:p>
    <w:p w14:paraId="0B6F36FD">
      <w:pPr>
        <w:spacing w:line="360" w:lineRule="auto"/>
        <w:rPr>
          <w:rFonts w:ascii="宋体" w:hAnsi="宋体"/>
          <w:b/>
          <w:color w:val="auto"/>
          <w:sz w:val="30"/>
          <w:highlight w:val="none"/>
        </w:rPr>
      </w:pPr>
    </w:p>
    <w:p w14:paraId="65F4D728">
      <w:pPr>
        <w:spacing w:line="360" w:lineRule="auto"/>
        <w:rPr>
          <w:rFonts w:ascii="宋体" w:hAnsi="宋体" w:cs="宋体"/>
          <w:color w:val="auto"/>
          <w:sz w:val="28"/>
          <w:szCs w:val="28"/>
          <w:highlight w:val="none"/>
        </w:rPr>
      </w:pPr>
    </w:p>
    <w:p w14:paraId="0AFC5972">
      <w:pPr>
        <w:pStyle w:val="52"/>
        <w:ind w:firstLine="210"/>
        <w:rPr>
          <w:color w:val="auto"/>
          <w:highlight w:val="none"/>
        </w:rPr>
      </w:pPr>
    </w:p>
    <w:p w14:paraId="08EF5B88">
      <w:pPr>
        <w:pStyle w:val="53"/>
        <w:ind w:firstLine="600"/>
        <w:rPr>
          <w:color w:val="auto"/>
          <w:highlight w:val="none"/>
        </w:rPr>
      </w:pPr>
    </w:p>
    <w:p w14:paraId="38DD2DDE">
      <w:pPr>
        <w:pStyle w:val="52"/>
        <w:ind w:firstLine="0" w:firstLineChars="0"/>
        <w:jc w:val="center"/>
        <w:rPr>
          <w:rFonts w:ascii="宋体" w:hAnsi="宋体" w:cs="宋体"/>
          <w:b/>
          <w:bCs/>
          <w:color w:val="auto"/>
          <w:sz w:val="28"/>
          <w:szCs w:val="28"/>
          <w:highlight w:val="none"/>
        </w:rPr>
      </w:pPr>
    </w:p>
    <w:p w14:paraId="3547F25E">
      <w:pPr>
        <w:pStyle w:val="52"/>
        <w:ind w:firstLine="0" w:firstLineChars="0"/>
        <w:jc w:val="center"/>
        <w:rPr>
          <w:color w:val="auto"/>
          <w:highlight w:val="none"/>
        </w:rPr>
      </w:pPr>
      <w:r>
        <w:rPr>
          <w:rFonts w:hint="eastAsia" w:ascii="宋体" w:hAnsi="宋体" w:cs="宋体"/>
          <w:b/>
          <w:bCs/>
          <w:color w:val="auto"/>
          <w:sz w:val="28"/>
          <w:szCs w:val="28"/>
          <w:highlight w:val="none"/>
        </w:rPr>
        <w:t>（二）磋商函附录（第一次报价）</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6"/>
        <w:gridCol w:w="7083"/>
      </w:tblGrid>
      <w:tr w14:paraId="685D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4B491ECB">
            <w:pPr>
              <w:spacing w:line="360" w:lineRule="auto"/>
              <w:jc w:val="center"/>
              <w:rPr>
                <w:rFonts w:ascii="宋体" w:hAnsi="宋体"/>
                <w:color w:val="auto"/>
                <w:highlight w:val="none"/>
              </w:rPr>
            </w:pPr>
            <w:r>
              <w:rPr>
                <w:rFonts w:hint="eastAsia" w:ascii="宋体" w:hAnsi="宋体"/>
                <w:color w:val="auto"/>
                <w:highlight w:val="none"/>
              </w:rPr>
              <w:t>项目名称</w:t>
            </w:r>
          </w:p>
        </w:tc>
        <w:tc>
          <w:tcPr>
            <w:tcW w:w="7083" w:type="dxa"/>
            <w:vAlign w:val="center"/>
          </w:tcPr>
          <w:p w14:paraId="66F555A6">
            <w:pPr>
              <w:spacing w:line="360" w:lineRule="auto"/>
              <w:jc w:val="left"/>
              <w:rPr>
                <w:color w:val="auto"/>
                <w:highlight w:val="none"/>
                <w:u w:val="single"/>
              </w:rPr>
            </w:pPr>
            <w:r>
              <w:rPr>
                <w:rFonts w:hint="eastAsia" w:ascii="宋体" w:hAnsi="宋体"/>
                <w:color w:val="auto"/>
                <w:highlight w:val="none"/>
              </w:rPr>
              <w:t xml:space="preserve">                 </w:t>
            </w:r>
          </w:p>
        </w:tc>
      </w:tr>
      <w:tr w14:paraId="2962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5845FB65">
            <w:pPr>
              <w:spacing w:line="312" w:lineRule="auto"/>
              <w:jc w:val="center"/>
              <w:rPr>
                <w:rFonts w:ascii="宋体" w:hAnsi="宋体"/>
                <w:color w:val="auto"/>
                <w:highlight w:val="none"/>
              </w:rPr>
            </w:pPr>
            <w:r>
              <w:rPr>
                <w:rFonts w:hint="eastAsia" w:ascii="宋体" w:hAnsi="宋体"/>
                <w:color w:val="auto"/>
                <w:highlight w:val="none"/>
              </w:rPr>
              <w:t>供应商名称</w:t>
            </w:r>
          </w:p>
        </w:tc>
        <w:tc>
          <w:tcPr>
            <w:tcW w:w="7083" w:type="dxa"/>
            <w:vAlign w:val="center"/>
          </w:tcPr>
          <w:p w14:paraId="029DF9E3">
            <w:pPr>
              <w:spacing w:line="312" w:lineRule="auto"/>
              <w:jc w:val="center"/>
              <w:rPr>
                <w:rFonts w:ascii="宋体" w:hAnsi="宋体"/>
                <w:color w:val="auto"/>
                <w:highlight w:val="none"/>
              </w:rPr>
            </w:pPr>
          </w:p>
        </w:tc>
      </w:tr>
      <w:tr w14:paraId="6455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06EEA779">
            <w:pPr>
              <w:spacing w:line="312" w:lineRule="auto"/>
              <w:jc w:val="center"/>
              <w:rPr>
                <w:rFonts w:ascii="宋体" w:hAnsi="宋体"/>
                <w:color w:val="auto"/>
                <w:highlight w:val="none"/>
              </w:rPr>
            </w:pPr>
            <w:r>
              <w:rPr>
                <w:rFonts w:hint="eastAsia" w:ascii="宋体" w:hAnsi="宋体"/>
                <w:color w:val="auto"/>
                <w:highlight w:val="none"/>
              </w:rPr>
              <w:t>磋商报价（元）</w:t>
            </w:r>
          </w:p>
        </w:tc>
        <w:tc>
          <w:tcPr>
            <w:tcW w:w="7083" w:type="dxa"/>
            <w:vAlign w:val="center"/>
          </w:tcPr>
          <w:p w14:paraId="26721464">
            <w:pPr>
              <w:spacing w:line="312" w:lineRule="auto"/>
              <w:rPr>
                <w:rFonts w:ascii="宋体" w:hAnsi="宋体"/>
                <w:color w:val="auto"/>
                <w:highlight w:val="none"/>
              </w:rPr>
            </w:pPr>
            <w:r>
              <w:rPr>
                <w:rFonts w:hint="eastAsia" w:ascii="宋体" w:hAnsi="宋体"/>
                <w:color w:val="auto"/>
                <w:highlight w:val="none"/>
              </w:rPr>
              <w:t>大写：</w:t>
            </w:r>
          </w:p>
          <w:p w14:paraId="681D8A82">
            <w:pPr>
              <w:spacing w:line="312" w:lineRule="auto"/>
              <w:rPr>
                <w:rFonts w:ascii="宋体" w:hAnsi="宋体"/>
                <w:color w:val="auto"/>
                <w:highlight w:val="none"/>
              </w:rPr>
            </w:pPr>
            <w:r>
              <w:rPr>
                <w:rFonts w:hint="eastAsia" w:ascii="宋体" w:hAnsi="宋体"/>
                <w:color w:val="auto"/>
                <w:highlight w:val="none"/>
              </w:rPr>
              <w:t>小写：</w:t>
            </w:r>
          </w:p>
        </w:tc>
      </w:tr>
      <w:tr w14:paraId="6869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4E89DF4A">
            <w:pPr>
              <w:spacing w:line="312" w:lineRule="auto"/>
              <w:jc w:val="center"/>
              <w:rPr>
                <w:rFonts w:ascii="宋体" w:hAnsi="宋体"/>
                <w:color w:val="auto"/>
                <w:highlight w:val="none"/>
              </w:rPr>
            </w:pPr>
            <w:r>
              <w:rPr>
                <w:rFonts w:hint="eastAsia" w:ascii="宋体" w:hAnsi="宋体"/>
                <w:color w:val="auto"/>
                <w:highlight w:val="none"/>
              </w:rPr>
              <w:t>质量要求</w:t>
            </w:r>
          </w:p>
        </w:tc>
        <w:tc>
          <w:tcPr>
            <w:tcW w:w="7083" w:type="dxa"/>
            <w:vAlign w:val="center"/>
          </w:tcPr>
          <w:p w14:paraId="1D79873A">
            <w:pPr>
              <w:spacing w:line="312" w:lineRule="auto"/>
              <w:rPr>
                <w:rFonts w:ascii="宋体" w:hAnsi="宋体"/>
                <w:color w:val="auto"/>
                <w:highlight w:val="none"/>
              </w:rPr>
            </w:pPr>
          </w:p>
        </w:tc>
      </w:tr>
      <w:tr w14:paraId="33CA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7FCCBD09">
            <w:pPr>
              <w:spacing w:line="312" w:lineRule="auto"/>
              <w:jc w:val="center"/>
              <w:rPr>
                <w:rFonts w:hint="eastAsia" w:ascii="宋体" w:hAnsi="宋体"/>
                <w:color w:val="auto"/>
                <w:highlight w:val="none"/>
              </w:rPr>
            </w:pPr>
            <w:r>
              <w:rPr>
                <w:rFonts w:hint="eastAsia" w:ascii="宋体" w:hAnsi="宋体" w:eastAsia="宋体" w:cs="宋体"/>
                <w:color w:val="auto"/>
                <w:sz w:val="24"/>
                <w:szCs w:val="24"/>
                <w:lang w:val="en-US" w:eastAsia="zh-CN"/>
              </w:rPr>
              <w:t>响应内容</w:t>
            </w:r>
          </w:p>
        </w:tc>
        <w:tc>
          <w:tcPr>
            <w:tcW w:w="7083" w:type="dxa"/>
            <w:vAlign w:val="center"/>
          </w:tcPr>
          <w:p w14:paraId="50AD0B7F">
            <w:pPr>
              <w:spacing w:line="312" w:lineRule="auto"/>
              <w:rPr>
                <w:rFonts w:ascii="宋体" w:hAnsi="宋体"/>
                <w:color w:val="auto"/>
                <w:highlight w:val="none"/>
              </w:rPr>
            </w:pPr>
          </w:p>
        </w:tc>
      </w:tr>
      <w:tr w14:paraId="7C34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1C1441FB">
            <w:pPr>
              <w:autoSpaceDE w:val="0"/>
              <w:autoSpaceDN w:val="0"/>
              <w:adjustRightInd w:val="0"/>
              <w:spacing w:line="360" w:lineRule="exact"/>
              <w:jc w:val="center"/>
              <w:rPr>
                <w:rFonts w:ascii="宋体" w:hAnsi="宋体"/>
                <w:color w:val="auto"/>
                <w:highlight w:val="none"/>
              </w:rPr>
            </w:pPr>
            <w:r>
              <w:rPr>
                <w:rFonts w:hint="eastAsia" w:ascii="宋体" w:hAnsi="宋体" w:cs="宋体"/>
                <w:color w:val="auto"/>
                <w:highlight w:val="none"/>
                <w:lang w:eastAsia="zh-CN"/>
              </w:rPr>
              <w:t>服务期限</w:t>
            </w:r>
            <w:r>
              <w:rPr>
                <w:rFonts w:ascii="宋体" w:hAnsi="宋体" w:cs="宋体"/>
                <w:color w:val="auto"/>
                <w:highlight w:val="none"/>
              </w:rPr>
              <w:t xml:space="preserve"> </w:t>
            </w:r>
          </w:p>
        </w:tc>
        <w:tc>
          <w:tcPr>
            <w:tcW w:w="7083" w:type="dxa"/>
            <w:vAlign w:val="center"/>
          </w:tcPr>
          <w:p w14:paraId="3C6C4C8D">
            <w:pPr>
              <w:autoSpaceDE w:val="0"/>
              <w:autoSpaceDN w:val="0"/>
              <w:adjustRightInd w:val="0"/>
              <w:spacing w:line="360" w:lineRule="exact"/>
              <w:jc w:val="left"/>
              <w:rPr>
                <w:rFonts w:ascii="宋体" w:hAnsi="宋体"/>
                <w:color w:val="auto"/>
                <w:highlight w:val="none"/>
              </w:rPr>
            </w:pPr>
            <w:r>
              <w:rPr>
                <w:rFonts w:hint="eastAsia" w:ascii="宋体" w:hAnsi="宋体" w:cs="宋体"/>
                <w:color w:val="auto"/>
                <w:kern w:val="0"/>
                <w:highlight w:val="none"/>
              </w:rPr>
              <w:t xml:space="preserve"> </w:t>
            </w:r>
          </w:p>
        </w:tc>
      </w:tr>
      <w:tr w14:paraId="043A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33C0178F">
            <w:pPr>
              <w:autoSpaceDE w:val="0"/>
              <w:autoSpaceDN w:val="0"/>
              <w:adjustRightInd w:val="0"/>
              <w:spacing w:line="360" w:lineRule="exact"/>
              <w:jc w:val="center"/>
              <w:rPr>
                <w:rFonts w:ascii="宋体" w:hAnsi="宋体" w:cs="宋体"/>
                <w:color w:val="auto"/>
                <w:highlight w:val="none"/>
              </w:rPr>
            </w:pPr>
            <w:r>
              <w:rPr>
                <w:rFonts w:ascii="宋体" w:hAnsi="宋体" w:cs="宋体"/>
                <w:color w:val="auto"/>
                <w:highlight w:val="none"/>
              </w:rPr>
              <w:t>磋商有效期</w:t>
            </w:r>
          </w:p>
        </w:tc>
        <w:tc>
          <w:tcPr>
            <w:tcW w:w="7083" w:type="dxa"/>
            <w:vAlign w:val="center"/>
          </w:tcPr>
          <w:p w14:paraId="6259A276">
            <w:pPr>
              <w:autoSpaceDE w:val="0"/>
              <w:autoSpaceDN w:val="0"/>
              <w:adjustRightInd w:val="0"/>
              <w:spacing w:line="360" w:lineRule="exact"/>
              <w:jc w:val="left"/>
              <w:rPr>
                <w:rFonts w:ascii="宋体" w:hAnsi="宋体" w:cs="宋体"/>
                <w:color w:val="auto"/>
                <w:kern w:val="0"/>
                <w:highlight w:val="none"/>
              </w:rPr>
            </w:pPr>
          </w:p>
        </w:tc>
      </w:tr>
      <w:tr w14:paraId="7B58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256" w:type="dxa"/>
            <w:vAlign w:val="center"/>
          </w:tcPr>
          <w:p w14:paraId="0D8CB521">
            <w:pPr>
              <w:autoSpaceDE w:val="0"/>
              <w:autoSpaceDN w:val="0"/>
              <w:adjustRightInd w:val="0"/>
              <w:spacing w:line="360" w:lineRule="exact"/>
              <w:jc w:val="center"/>
              <w:rPr>
                <w:rFonts w:ascii="宋体" w:hAnsi="宋体" w:cs="宋体"/>
                <w:color w:val="auto"/>
                <w:highlight w:val="none"/>
              </w:rPr>
            </w:pPr>
            <w:r>
              <w:rPr>
                <w:rFonts w:hint="eastAsia" w:ascii="宋体" w:hAnsi="宋体" w:eastAsia="宋体" w:cs="宋体"/>
                <w:b w:val="0"/>
                <w:bCs w:val="0"/>
                <w:color w:val="auto"/>
                <w:sz w:val="24"/>
                <w:szCs w:val="24"/>
                <w:lang w:val="en-US" w:eastAsia="zh-CN"/>
              </w:rPr>
              <w:t>项目负责人</w:t>
            </w:r>
          </w:p>
        </w:tc>
        <w:tc>
          <w:tcPr>
            <w:tcW w:w="7083" w:type="dxa"/>
            <w:vAlign w:val="center"/>
          </w:tcPr>
          <w:p w14:paraId="43AB1143">
            <w:pPr>
              <w:autoSpaceDE w:val="0"/>
              <w:autoSpaceDN w:val="0"/>
              <w:adjustRightInd w:val="0"/>
              <w:spacing w:line="360" w:lineRule="exact"/>
              <w:jc w:val="left"/>
              <w:rPr>
                <w:rFonts w:ascii="宋体" w:hAnsi="宋体" w:cs="宋体"/>
                <w:color w:val="auto"/>
                <w:kern w:val="0"/>
                <w:highlight w:val="none"/>
              </w:rPr>
            </w:pPr>
          </w:p>
        </w:tc>
      </w:tr>
      <w:tr w14:paraId="7496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2256" w:type="dxa"/>
            <w:vAlign w:val="center"/>
          </w:tcPr>
          <w:p w14:paraId="72796D3F">
            <w:pPr>
              <w:spacing w:line="312" w:lineRule="auto"/>
              <w:jc w:val="center"/>
              <w:rPr>
                <w:rFonts w:ascii="宋体" w:hAnsi="宋体"/>
                <w:color w:val="auto"/>
                <w:highlight w:val="none"/>
              </w:rPr>
            </w:pPr>
            <w:r>
              <w:rPr>
                <w:rFonts w:hint="eastAsia" w:ascii="宋体" w:hAnsi="宋体"/>
                <w:color w:val="auto"/>
                <w:highlight w:val="none"/>
              </w:rPr>
              <w:t>备注</w:t>
            </w:r>
          </w:p>
        </w:tc>
        <w:tc>
          <w:tcPr>
            <w:tcW w:w="7083" w:type="dxa"/>
            <w:vAlign w:val="center"/>
          </w:tcPr>
          <w:p w14:paraId="2592356D">
            <w:pPr>
              <w:spacing w:line="312" w:lineRule="auto"/>
              <w:rPr>
                <w:rFonts w:ascii="宋体" w:hAnsi="宋体"/>
                <w:color w:val="auto"/>
                <w:highlight w:val="none"/>
              </w:rPr>
            </w:pPr>
          </w:p>
        </w:tc>
      </w:tr>
    </w:tbl>
    <w:p w14:paraId="421A93AB">
      <w:pPr>
        <w:adjustRightInd w:val="0"/>
        <w:snapToGrid w:val="0"/>
        <w:spacing w:line="360" w:lineRule="auto"/>
        <w:ind w:firstLine="13"/>
        <w:rPr>
          <w:rFonts w:ascii="宋体" w:hAnsi="宋体"/>
          <w:snapToGrid w:val="0"/>
          <w:color w:val="auto"/>
          <w:kern w:val="0"/>
          <w:highlight w:val="none"/>
        </w:rPr>
      </w:pPr>
      <w:r>
        <w:rPr>
          <w:rFonts w:hint="eastAsia" w:ascii="宋体" w:hAnsi="宋体"/>
          <w:snapToGrid w:val="0"/>
          <w:color w:val="auto"/>
          <w:kern w:val="0"/>
          <w:highlight w:val="none"/>
        </w:rPr>
        <w:t xml:space="preserve"> </w:t>
      </w:r>
    </w:p>
    <w:p w14:paraId="107F0220">
      <w:pPr>
        <w:autoSpaceDE w:val="0"/>
        <w:autoSpaceDN w:val="0"/>
        <w:adjustRightInd w:val="0"/>
        <w:rPr>
          <w:rFonts w:ascii="宋体" w:hAnsi="宋体" w:cs="宋体"/>
          <w:color w:val="auto"/>
          <w:kern w:val="0"/>
          <w:sz w:val="24"/>
          <w:szCs w:val="24"/>
          <w:highlight w:val="none"/>
        </w:rPr>
      </w:pPr>
      <w:r>
        <w:rPr>
          <w:rFonts w:hint="eastAsia" w:ascii="宋体" w:hAnsi="宋体"/>
          <w:snapToGrid w:val="0"/>
          <w:color w:val="auto"/>
          <w:kern w:val="0"/>
          <w:highlight w:val="none"/>
        </w:rPr>
        <w:t xml:space="preserve"> </w:t>
      </w:r>
    </w:p>
    <w:p w14:paraId="2E5BBF59">
      <w:pPr>
        <w:keepNext w:val="0"/>
        <w:keepLines w:val="0"/>
        <w:pageBreakBefore w:val="0"/>
        <w:widowControl w:val="0"/>
        <w:kinsoku/>
        <w:wordWrap/>
        <w:overflowPunct/>
        <w:topLinePunct w:val="0"/>
        <w:autoSpaceDE/>
        <w:autoSpaceDN/>
        <w:bidi w:val="0"/>
        <w:adjustRightInd w:val="0"/>
        <w:snapToGrid w:val="0"/>
        <w:spacing w:line="480" w:lineRule="auto"/>
        <w:ind w:firstLine="3780" w:firstLineChars="1800"/>
        <w:textAlignment w:val="auto"/>
        <w:rPr>
          <w:rFonts w:ascii="宋体" w:hAnsi="宋体"/>
          <w:snapToGrid w:val="0"/>
          <w:color w:val="auto"/>
          <w:kern w:val="0"/>
          <w:highlight w:val="none"/>
        </w:rPr>
      </w:pPr>
      <w:r>
        <w:rPr>
          <w:rFonts w:hint="eastAsia" w:ascii="宋体" w:hAnsi="宋体"/>
          <w:snapToGrid w:val="0"/>
          <w:color w:val="auto"/>
          <w:kern w:val="0"/>
          <w:highlight w:val="none"/>
        </w:rPr>
        <w:t>供应商（</w:t>
      </w:r>
      <w:r>
        <w:rPr>
          <w:rFonts w:hint="eastAsia" w:ascii="宋体" w:hAnsi="宋体"/>
          <w:color w:val="auto"/>
          <w:highlight w:val="none"/>
        </w:rPr>
        <w:t>单位电子签章</w:t>
      </w:r>
      <w:r>
        <w:rPr>
          <w:rFonts w:hint="eastAsia" w:ascii="宋体" w:hAnsi="宋体"/>
          <w:snapToGrid w:val="0"/>
          <w:color w:val="auto"/>
          <w:kern w:val="0"/>
          <w:highlight w:val="none"/>
        </w:rPr>
        <w:t xml:space="preserve">）： </w:t>
      </w:r>
    </w:p>
    <w:p w14:paraId="05937C22">
      <w:pPr>
        <w:keepNext w:val="0"/>
        <w:keepLines w:val="0"/>
        <w:pageBreakBefore w:val="0"/>
        <w:widowControl w:val="0"/>
        <w:kinsoku/>
        <w:wordWrap/>
        <w:overflowPunct/>
        <w:topLinePunct w:val="0"/>
        <w:autoSpaceDE/>
        <w:autoSpaceDN/>
        <w:bidi w:val="0"/>
        <w:adjustRightInd w:val="0"/>
        <w:snapToGrid w:val="0"/>
        <w:spacing w:line="480" w:lineRule="auto"/>
        <w:ind w:firstLine="3780" w:firstLineChars="1800"/>
        <w:textAlignment w:val="auto"/>
        <w:rPr>
          <w:rFonts w:ascii="宋体" w:hAnsi="宋体"/>
          <w:color w:val="auto"/>
          <w:highlight w:val="none"/>
        </w:rPr>
      </w:pPr>
      <w:r>
        <w:rPr>
          <w:rFonts w:hint="eastAsia" w:ascii="宋体" w:hAnsi="宋体"/>
          <w:color w:val="auto"/>
          <w:highlight w:val="none"/>
        </w:rPr>
        <w:t>法定代表人或其委托代理人（签字或电子签名）：</w:t>
      </w:r>
    </w:p>
    <w:p w14:paraId="67B2C08C">
      <w:pPr>
        <w:keepNext w:val="0"/>
        <w:keepLines w:val="0"/>
        <w:pageBreakBefore w:val="0"/>
        <w:widowControl w:val="0"/>
        <w:kinsoku/>
        <w:wordWrap/>
        <w:overflowPunct/>
        <w:topLinePunct w:val="0"/>
        <w:autoSpaceDE/>
        <w:autoSpaceDN/>
        <w:bidi w:val="0"/>
        <w:adjustRightInd w:val="0"/>
        <w:snapToGrid w:val="0"/>
        <w:spacing w:line="480" w:lineRule="auto"/>
        <w:ind w:firstLine="5460" w:firstLineChars="2600"/>
        <w:textAlignment w:val="auto"/>
        <w:rPr>
          <w:rFonts w:ascii="宋体" w:hAnsi="宋体"/>
          <w:snapToGrid w:val="0"/>
          <w:color w:val="auto"/>
          <w:kern w:val="0"/>
          <w:highlight w:val="none"/>
        </w:rPr>
      </w:pPr>
      <w:r>
        <w:rPr>
          <w:rFonts w:hint="eastAsia" w:ascii="宋体" w:hAnsi="宋体"/>
          <w:snapToGrid w:val="0"/>
          <w:color w:val="auto"/>
          <w:kern w:val="0"/>
          <w:highlight w:val="none"/>
        </w:rPr>
        <w:t>年    月   日</w:t>
      </w:r>
    </w:p>
    <w:p w14:paraId="4D410CFD">
      <w:pPr>
        <w:pStyle w:val="393"/>
        <w:rPr>
          <w:color w:val="auto"/>
          <w:highlight w:val="none"/>
        </w:rPr>
      </w:pPr>
    </w:p>
    <w:p w14:paraId="571662F8">
      <w:pPr>
        <w:rPr>
          <w:color w:val="auto"/>
          <w:highlight w:val="none"/>
        </w:rPr>
      </w:pPr>
    </w:p>
    <w:p w14:paraId="7FD5A3B7">
      <w:pPr>
        <w:pStyle w:val="393"/>
        <w:rPr>
          <w:color w:val="auto"/>
          <w:highlight w:val="none"/>
        </w:rPr>
      </w:pPr>
    </w:p>
    <w:p w14:paraId="6C3562F7">
      <w:pPr>
        <w:rPr>
          <w:color w:val="auto"/>
          <w:highlight w:val="none"/>
        </w:rPr>
      </w:pPr>
    </w:p>
    <w:p w14:paraId="223AA137">
      <w:pPr>
        <w:pStyle w:val="74"/>
        <w:rPr>
          <w:color w:val="auto"/>
          <w:highlight w:val="none"/>
        </w:rPr>
      </w:pPr>
    </w:p>
    <w:p w14:paraId="0707FAE3">
      <w:pPr>
        <w:tabs>
          <w:tab w:val="left" w:pos="1440"/>
        </w:tabs>
        <w:spacing w:line="480" w:lineRule="auto"/>
        <w:ind w:firstLine="475" w:firstLineChars="148"/>
        <w:rPr>
          <w:rFonts w:ascii="宋体" w:hAnsi="宋体" w:cs="宋体"/>
          <w:b/>
          <w:bCs/>
          <w:color w:val="auto"/>
          <w:highlight w:val="none"/>
          <w:lang w:val="zh-CN"/>
        </w:rPr>
      </w:pPr>
      <w:bookmarkStart w:id="109" w:name="_Toc414956970"/>
      <w:bookmarkStart w:id="110" w:name="_Toc417567987"/>
      <w:r>
        <w:rPr>
          <w:rFonts w:hint="eastAsia" w:ascii="宋体" w:hAnsi="宋体" w:cs="宋体"/>
          <w:b/>
          <w:color w:val="auto"/>
          <w:sz w:val="32"/>
          <w:szCs w:val="32"/>
          <w:highlight w:val="none"/>
        </w:rPr>
        <w:t>注：</w:t>
      </w:r>
    </w:p>
    <w:p w14:paraId="24B01618">
      <w:pPr>
        <w:spacing w:line="480" w:lineRule="auto"/>
        <w:jc w:val="center"/>
        <w:rPr>
          <w:rFonts w:ascii="宋体" w:hAnsi="宋体" w:cs="宋体"/>
          <w:b/>
          <w:bCs/>
          <w:color w:val="auto"/>
          <w:sz w:val="32"/>
          <w:szCs w:val="32"/>
          <w:highlight w:val="none"/>
        </w:rPr>
      </w:pPr>
      <w:r>
        <w:rPr>
          <w:rFonts w:ascii="宋体" w:hAnsi="宋体" w:cs="宋体"/>
          <w:b/>
          <w:bCs/>
          <w:color w:val="auto"/>
          <w:sz w:val="32"/>
          <w:szCs w:val="32"/>
          <w:highlight w:val="none"/>
        </w:rPr>
        <w:t>第二轮报价</w:t>
      </w:r>
    </w:p>
    <w:p w14:paraId="4E272C35">
      <w:pPr>
        <w:widowControl/>
        <w:spacing w:line="480" w:lineRule="auto"/>
        <w:ind w:firstLine="480" w:firstLineChars="200"/>
        <w:rPr>
          <w:color w:val="auto"/>
          <w:kern w:val="0"/>
          <w:sz w:val="24"/>
          <w:highlight w:val="none"/>
        </w:rPr>
      </w:pPr>
      <w:r>
        <w:rPr>
          <w:rFonts w:hint="eastAsia"/>
          <w:color w:val="auto"/>
          <w:kern w:val="0"/>
          <w:sz w:val="24"/>
          <w:highlight w:val="none"/>
        </w:rPr>
        <w:t>本项目采用“不见面开标”交易方式，第二轮报价在不见面开标系统上远程报价，不见面开标服务的具体事宜，请查阅信阳市公共资源交易中心网站首页—下载中心—信阳市不见面开标大厅系统操作手册。</w:t>
      </w:r>
    </w:p>
    <w:p w14:paraId="48408C32">
      <w:pPr>
        <w:spacing w:line="360" w:lineRule="auto"/>
        <w:ind w:left="69"/>
        <w:jc w:val="center"/>
        <w:rPr>
          <w:rFonts w:ascii="宋体" w:hAnsi="宋体"/>
          <w:b/>
          <w:color w:val="auto"/>
          <w:sz w:val="32"/>
          <w:szCs w:val="32"/>
          <w:highlight w:val="none"/>
        </w:rPr>
      </w:pPr>
    </w:p>
    <w:p w14:paraId="4ADF6963">
      <w:pPr>
        <w:pStyle w:val="74"/>
        <w:rPr>
          <w:rFonts w:hAnsi="宋体"/>
          <w:b/>
          <w:color w:val="auto"/>
          <w:sz w:val="32"/>
          <w:szCs w:val="32"/>
          <w:highlight w:val="none"/>
        </w:rPr>
      </w:pPr>
    </w:p>
    <w:p w14:paraId="65E55A17">
      <w:pPr>
        <w:rPr>
          <w:rFonts w:ascii="宋体" w:hAnsi="宋体"/>
          <w:b/>
          <w:color w:val="auto"/>
          <w:sz w:val="32"/>
          <w:szCs w:val="32"/>
          <w:highlight w:val="none"/>
        </w:rPr>
      </w:pPr>
    </w:p>
    <w:p w14:paraId="64719240">
      <w:pPr>
        <w:pStyle w:val="74"/>
        <w:rPr>
          <w:rFonts w:hAnsi="宋体"/>
          <w:b/>
          <w:color w:val="auto"/>
          <w:sz w:val="32"/>
          <w:szCs w:val="32"/>
          <w:highlight w:val="none"/>
        </w:rPr>
      </w:pPr>
    </w:p>
    <w:p w14:paraId="7172F828">
      <w:pPr>
        <w:rPr>
          <w:rFonts w:ascii="宋体" w:hAnsi="宋体"/>
          <w:b/>
          <w:color w:val="auto"/>
          <w:sz w:val="32"/>
          <w:szCs w:val="32"/>
          <w:highlight w:val="none"/>
        </w:rPr>
      </w:pPr>
    </w:p>
    <w:p w14:paraId="559A3040">
      <w:pPr>
        <w:pStyle w:val="74"/>
        <w:rPr>
          <w:rFonts w:hAnsi="宋体"/>
          <w:b/>
          <w:color w:val="auto"/>
          <w:sz w:val="32"/>
          <w:szCs w:val="32"/>
          <w:highlight w:val="none"/>
        </w:rPr>
      </w:pPr>
    </w:p>
    <w:p w14:paraId="184DDDEC">
      <w:pPr>
        <w:rPr>
          <w:rFonts w:ascii="宋体" w:hAnsi="宋体"/>
          <w:b/>
          <w:color w:val="auto"/>
          <w:sz w:val="32"/>
          <w:szCs w:val="32"/>
          <w:highlight w:val="none"/>
        </w:rPr>
      </w:pPr>
    </w:p>
    <w:p w14:paraId="63E42DA1">
      <w:pPr>
        <w:pStyle w:val="74"/>
        <w:rPr>
          <w:rFonts w:hAnsi="宋体"/>
          <w:b/>
          <w:color w:val="auto"/>
          <w:sz w:val="32"/>
          <w:szCs w:val="32"/>
          <w:highlight w:val="none"/>
        </w:rPr>
      </w:pPr>
    </w:p>
    <w:p w14:paraId="24C5AC71">
      <w:pPr>
        <w:rPr>
          <w:rFonts w:ascii="宋体" w:hAnsi="宋体"/>
          <w:b/>
          <w:color w:val="auto"/>
          <w:sz w:val="32"/>
          <w:szCs w:val="32"/>
          <w:highlight w:val="none"/>
        </w:rPr>
      </w:pPr>
    </w:p>
    <w:p w14:paraId="650F7A38">
      <w:pPr>
        <w:pStyle w:val="74"/>
        <w:rPr>
          <w:rFonts w:hAnsi="宋体"/>
          <w:b/>
          <w:color w:val="auto"/>
          <w:sz w:val="32"/>
          <w:szCs w:val="32"/>
          <w:highlight w:val="none"/>
        </w:rPr>
      </w:pPr>
    </w:p>
    <w:p w14:paraId="363EE087">
      <w:pPr>
        <w:rPr>
          <w:rFonts w:ascii="宋体" w:hAnsi="宋体"/>
          <w:b/>
          <w:color w:val="auto"/>
          <w:sz w:val="32"/>
          <w:szCs w:val="32"/>
          <w:highlight w:val="none"/>
        </w:rPr>
      </w:pPr>
    </w:p>
    <w:p w14:paraId="3571CE52">
      <w:pPr>
        <w:pStyle w:val="74"/>
        <w:rPr>
          <w:rFonts w:hAnsi="宋体"/>
          <w:b/>
          <w:color w:val="auto"/>
          <w:sz w:val="32"/>
          <w:szCs w:val="32"/>
          <w:highlight w:val="none"/>
        </w:rPr>
      </w:pPr>
    </w:p>
    <w:p w14:paraId="39180D01">
      <w:pPr>
        <w:rPr>
          <w:rFonts w:ascii="宋体" w:hAnsi="宋体"/>
          <w:b/>
          <w:color w:val="auto"/>
          <w:sz w:val="32"/>
          <w:szCs w:val="32"/>
          <w:highlight w:val="none"/>
        </w:rPr>
      </w:pPr>
    </w:p>
    <w:p w14:paraId="2E330C11">
      <w:pPr>
        <w:pStyle w:val="74"/>
        <w:rPr>
          <w:rFonts w:hAnsi="宋体"/>
          <w:b/>
          <w:color w:val="auto"/>
          <w:sz w:val="32"/>
          <w:szCs w:val="32"/>
          <w:highlight w:val="none"/>
        </w:rPr>
      </w:pPr>
    </w:p>
    <w:p w14:paraId="275B2A7A">
      <w:pPr>
        <w:rPr>
          <w:rFonts w:ascii="宋体" w:hAnsi="宋体"/>
          <w:b/>
          <w:color w:val="auto"/>
          <w:sz w:val="32"/>
          <w:szCs w:val="32"/>
          <w:highlight w:val="none"/>
        </w:rPr>
      </w:pPr>
    </w:p>
    <w:p w14:paraId="0708248F">
      <w:pPr>
        <w:pStyle w:val="74"/>
        <w:rPr>
          <w:rFonts w:hAnsi="宋体"/>
          <w:b/>
          <w:color w:val="auto"/>
          <w:sz w:val="32"/>
          <w:szCs w:val="32"/>
          <w:highlight w:val="none"/>
        </w:rPr>
      </w:pPr>
    </w:p>
    <w:p w14:paraId="3C944E2E">
      <w:pPr>
        <w:rPr>
          <w:rFonts w:ascii="宋体" w:hAnsi="宋体"/>
          <w:b/>
          <w:color w:val="auto"/>
          <w:sz w:val="32"/>
          <w:szCs w:val="32"/>
          <w:highlight w:val="none"/>
        </w:rPr>
      </w:pPr>
    </w:p>
    <w:p w14:paraId="7B9277B0">
      <w:pPr>
        <w:pStyle w:val="74"/>
        <w:rPr>
          <w:rFonts w:hAnsi="宋体"/>
          <w:b/>
          <w:color w:val="auto"/>
          <w:sz w:val="32"/>
          <w:szCs w:val="32"/>
          <w:highlight w:val="none"/>
        </w:rPr>
      </w:pPr>
    </w:p>
    <w:p w14:paraId="04C4ACF9">
      <w:pPr>
        <w:rPr>
          <w:rFonts w:ascii="宋体" w:hAnsi="宋体"/>
          <w:b/>
          <w:color w:val="auto"/>
          <w:sz w:val="32"/>
          <w:szCs w:val="32"/>
          <w:highlight w:val="none"/>
        </w:rPr>
      </w:pPr>
    </w:p>
    <w:p w14:paraId="3EF6431D">
      <w:pPr>
        <w:pStyle w:val="74"/>
        <w:rPr>
          <w:rFonts w:hAnsi="宋体"/>
          <w:b/>
          <w:color w:val="auto"/>
          <w:sz w:val="32"/>
          <w:szCs w:val="32"/>
          <w:highlight w:val="none"/>
        </w:rPr>
      </w:pPr>
    </w:p>
    <w:p w14:paraId="0FD610E2">
      <w:pPr>
        <w:rPr>
          <w:rFonts w:ascii="宋体" w:hAnsi="宋体"/>
          <w:b/>
          <w:color w:val="auto"/>
          <w:sz w:val="32"/>
          <w:szCs w:val="32"/>
          <w:highlight w:val="none"/>
        </w:rPr>
      </w:pPr>
    </w:p>
    <w:p w14:paraId="61D09028">
      <w:pPr>
        <w:pStyle w:val="74"/>
        <w:rPr>
          <w:rFonts w:hAnsi="宋体"/>
          <w:b/>
          <w:color w:val="auto"/>
          <w:sz w:val="32"/>
          <w:szCs w:val="32"/>
          <w:highlight w:val="none"/>
        </w:rPr>
      </w:pPr>
    </w:p>
    <w:p w14:paraId="319BA822">
      <w:pPr>
        <w:rPr>
          <w:rFonts w:ascii="宋体" w:hAnsi="宋体"/>
          <w:b/>
          <w:color w:val="auto"/>
          <w:sz w:val="32"/>
          <w:szCs w:val="32"/>
          <w:highlight w:val="none"/>
        </w:rPr>
        <w:sectPr>
          <w:headerReference r:id="rId12" w:type="default"/>
          <w:footerReference r:id="rId13" w:type="default"/>
          <w:pgSz w:w="11905" w:h="16838"/>
          <w:pgMar w:top="1247" w:right="1134" w:bottom="1247" w:left="1247" w:header="850" w:footer="720" w:gutter="0"/>
          <w:pgNumType w:fmt="decimal" w:chapStyle="1"/>
          <w:cols w:space="720" w:num="1"/>
        </w:sectPr>
      </w:pPr>
    </w:p>
    <w:p w14:paraId="328FAE17">
      <w:pPr>
        <w:pStyle w:val="74"/>
        <w:rPr>
          <w:color w:val="auto"/>
          <w:highlight w:val="none"/>
        </w:rPr>
      </w:pPr>
    </w:p>
    <w:bookmarkEnd w:id="109"/>
    <w:bookmarkEnd w:id="110"/>
    <w:p w14:paraId="1F7CD425">
      <w:pPr>
        <w:pStyle w:val="4"/>
        <w:spacing w:line="400" w:lineRule="exact"/>
        <w:ind w:firstLine="0" w:firstLineChars="0"/>
        <w:jc w:val="center"/>
        <w:rPr>
          <w:rFonts w:ascii="宋体" w:hAnsi="宋体" w:eastAsia="宋体" w:cs="宋体"/>
          <w:color w:val="auto"/>
          <w:sz w:val="28"/>
          <w:szCs w:val="28"/>
        </w:rPr>
      </w:pPr>
      <w:r>
        <w:rPr>
          <w:rFonts w:hint="eastAsia" w:ascii="宋体" w:hAnsi="宋体" w:eastAsia="宋体" w:cs="宋体"/>
          <w:color w:val="auto"/>
          <w:sz w:val="28"/>
          <w:szCs w:val="28"/>
        </w:rPr>
        <w:t>二、法定代表人身份证明</w:t>
      </w:r>
    </w:p>
    <w:p w14:paraId="6067FCA8">
      <w:pPr>
        <w:spacing w:line="400" w:lineRule="exact"/>
        <w:ind w:firstLine="420"/>
        <w:rPr>
          <w:rFonts w:ascii="宋体" w:hAnsi="宋体" w:eastAsia="宋体" w:cs="宋体"/>
          <w:color w:val="auto"/>
          <w:szCs w:val="21"/>
        </w:rPr>
      </w:pPr>
    </w:p>
    <w:p w14:paraId="76CE826A">
      <w:pPr>
        <w:spacing w:line="500" w:lineRule="exact"/>
        <w:ind w:firstLine="480"/>
        <w:rPr>
          <w:rFonts w:ascii="宋体" w:hAnsi="宋体" w:eastAsia="宋体" w:cs="宋体"/>
          <w:color w:val="auto"/>
          <w:sz w:val="24"/>
          <w:szCs w:val="24"/>
        </w:rPr>
      </w:pPr>
    </w:p>
    <w:p w14:paraId="0CFB3315">
      <w:pPr>
        <w:spacing w:line="500" w:lineRule="exact"/>
        <w:ind w:firstLine="480"/>
        <w:rPr>
          <w:rFonts w:ascii="宋体" w:hAnsi="宋体" w:eastAsia="宋体" w:cs="宋体"/>
          <w:color w:val="auto"/>
          <w:sz w:val="24"/>
          <w:szCs w:val="24"/>
          <w:u w:val="single"/>
        </w:rPr>
      </w:pPr>
      <w:r>
        <w:rPr>
          <w:rFonts w:hint="eastAsia" w:ascii="宋体" w:hAnsi="宋体" w:eastAsia="宋体" w:cs="宋体"/>
          <w:color w:val="auto"/>
          <w:sz w:val="24"/>
          <w:szCs w:val="24"/>
        </w:rPr>
        <w:t xml:space="preserve">投标供应商名称： </w:t>
      </w:r>
      <w:r>
        <w:rPr>
          <w:rFonts w:hint="eastAsia" w:ascii="宋体" w:hAnsi="宋体" w:eastAsia="宋体" w:cs="宋体"/>
          <w:color w:val="auto"/>
          <w:sz w:val="24"/>
          <w:szCs w:val="24"/>
          <w:u w:val="single"/>
        </w:rPr>
        <w:t xml:space="preserve">                            </w:t>
      </w:r>
    </w:p>
    <w:p w14:paraId="6B79C9B5">
      <w:pPr>
        <w:spacing w:line="5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姓      名： </w:t>
      </w:r>
      <w:r>
        <w:rPr>
          <w:rFonts w:hint="eastAsia" w:ascii="宋体" w:hAnsi="宋体" w:eastAsia="宋体" w:cs="宋体"/>
          <w:color w:val="auto"/>
          <w:sz w:val="24"/>
          <w:szCs w:val="24"/>
          <w:u w:val="single"/>
        </w:rPr>
        <w:t xml:space="preserve">                            </w:t>
      </w:r>
    </w:p>
    <w:p w14:paraId="1A80766F">
      <w:pPr>
        <w:spacing w:line="5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性      别： </w:t>
      </w:r>
      <w:r>
        <w:rPr>
          <w:rFonts w:hint="eastAsia" w:ascii="宋体" w:hAnsi="宋体" w:eastAsia="宋体" w:cs="宋体"/>
          <w:color w:val="auto"/>
          <w:sz w:val="24"/>
          <w:szCs w:val="24"/>
          <w:u w:val="single"/>
        </w:rPr>
        <w:t xml:space="preserve">                            </w:t>
      </w:r>
    </w:p>
    <w:p w14:paraId="76CDF4B0">
      <w:pPr>
        <w:spacing w:line="500" w:lineRule="exact"/>
        <w:ind w:firstLine="480"/>
        <w:rPr>
          <w:rFonts w:ascii="宋体" w:hAnsi="宋体" w:eastAsia="宋体" w:cs="宋体"/>
          <w:color w:val="auto"/>
          <w:sz w:val="24"/>
          <w:szCs w:val="24"/>
          <w:u w:val="single"/>
        </w:rPr>
      </w:pPr>
      <w:r>
        <w:rPr>
          <w:rFonts w:hint="eastAsia" w:ascii="宋体" w:hAnsi="宋体" w:eastAsia="宋体" w:cs="宋体"/>
          <w:color w:val="auto"/>
          <w:sz w:val="24"/>
          <w:szCs w:val="24"/>
        </w:rPr>
        <w:t>年      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      务：</w:t>
      </w:r>
      <w:r>
        <w:rPr>
          <w:rFonts w:hint="eastAsia" w:ascii="宋体" w:hAnsi="宋体" w:eastAsia="宋体" w:cs="宋体"/>
          <w:color w:val="auto"/>
          <w:sz w:val="24"/>
          <w:szCs w:val="24"/>
          <w:u w:val="single"/>
        </w:rPr>
        <w:t xml:space="preserve">                </w:t>
      </w:r>
    </w:p>
    <w:p w14:paraId="528EB9BE">
      <w:pPr>
        <w:spacing w:line="5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（投标供应商名称）的法定代表人。</w:t>
      </w:r>
    </w:p>
    <w:p w14:paraId="6AA14B35">
      <w:pPr>
        <w:spacing w:line="500" w:lineRule="exact"/>
        <w:ind w:firstLine="960" w:firstLineChars="400"/>
        <w:rPr>
          <w:rFonts w:ascii="宋体" w:hAnsi="宋体" w:eastAsia="宋体" w:cs="宋体"/>
          <w:color w:val="auto"/>
          <w:sz w:val="24"/>
          <w:szCs w:val="24"/>
        </w:rPr>
      </w:pPr>
      <w:r>
        <w:rPr>
          <w:rFonts w:hint="eastAsia" w:ascii="宋体" w:hAnsi="宋体" w:eastAsia="宋体" w:cs="宋体"/>
          <w:color w:val="auto"/>
          <w:sz w:val="24"/>
          <w:szCs w:val="24"/>
        </w:rPr>
        <w:t>特此证明。</w:t>
      </w:r>
    </w:p>
    <w:p w14:paraId="0D7F7A31">
      <w:pPr>
        <w:spacing w:line="500" w:lineRule="exact"/>
        <w:ind w:firstLine="480"/>
        <w:rPr>
          <w:rFonts w:ascii="宋体" w:hAnsi="宋体" w:eastAsia="宋体" w:cs="宋体"/>
          <w:color w:val="auto"/>
          <w:sz w:val="24"/>
          <w:szCs w:val="24"/>
        </w:rPr>
      </w:pPr>
    </w:p>
    <w:p w14:paraId="206DC9C8">
      <w:pPr>
        <w:spacing w:line="500" w:lineRule="exact"/>
        <w:ind w:firstLine="480"/>
        <w:rPr>
          <w:rFonts w:hint="eastAsia" w:ascii="宋体" w:hAnsi="宋体" w:eastAsia="宋体" w:cs="宋体"/>
          <w:color w:val="auto"/>
          <w:sz w:val="24"/>
          <w:szCs w:val="24"/>
        </w:rPr>
      </w:pPr>
    </w:p>
    <w:p w14:paraId="5E3A7FBA">
      <w:pPr>
        <w:spacing w:line="5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附：法定代表人身份证复印件</w:t>
      </w:r>
    </w:p>
    <w:p w14:paraId="4654D94E">
      <w:pPr>
        <w:pStyle w:val="52"/>
        <w:spacing w:line="400" w:lineRule="exact"/>
        <w:ind w:firstLine="210"/>
        <w:rPr>
          <w:rFonts w:ascii="宋体" w:hAnsi="宋体" w:eastAsia="宋体" w:cs="宋体"/>
          <w:color w:val="auto"/>
          <w:szCs w:val="21"/>
        </w:rPr>
      </w:pPr>
    </w:p>
    <w:p w14:paraId="552D6612">
      <w:pPr>
        <w:spacing w:line="400" w:lineRule="exact"/>
        <w:ind w:firstLine="420"/>
        <w:rPr>
          <w:rFonts w:ascii="宋体" w:hAnsi="宋体" w:eastAsia="宋体" w:cs="宋体"/>
          <w:color w:val="auto"/>
          <w:szCs w:val="21"/>
        </w:rPr>
      </w:pPr>
    </w:p>
    <w:p w14:paraId="58E2435A">
      <w:pPr>
        <w:spacing w:line="480" w:lineRule="auto"/>
        <w:ind w:firstLine="2940" w:firstLineChars="1225"/>
        <w:rPr>
          <w:rFonts w:hint="eastAsia" w:ascii="宋体" w:hAnsi="宋体" w:eastAsia="宋体" w:cs="宋体"/>
          <w:color w:val="auto"/>
          <w:sz w:val="24"/>
          <w:szCs w:val="24"/>
        </w:rPr>
      </w:pPr>
    </w:p>
    <w:p w14:paraId="461CADD9">
      <w:pPr>
        <w:spacing w:line="480" w:lineRule="auto"/>
        <w:ind w:firstLine="2940" w:firstLineChars="1225"/>
        <w:rPr>
          <w:rFonts w:hint="eastAsia" w:ascii="宋体" w:hAnsi="宋体" w:eastAsia="宋体" w:cs="宋体"/>
          <w:color w:val="auto"/>
          <w:sz w:val="24"/>
          <w:szCs w:val="24"/>
        </w:rPr>
      </w:pPr>
    </w:p>
    <w:p w14:paraId="10ABA1D3">
      <w:pPr>
        <w:spacing w:line="480" w:lineRule="auto"/>
        <w:ind w:firstLine="2940" w:firstLineChars="1225"/>
        <w:rPr>
          <w:rFonts w:ascii="宋体" w:hAnsi="宋体" w:eastAsia="宋体" w:cs="宋体"/>
          <w:color w:val="auto"/>
          <w:sz w:val="24"/>
          <w:szCs w:val="24"/>
        </w:rPr>
      </w:pPr>
      <w:r>
        <w:rPr>
          <w:rFonts w:hint="eastAsia" w:ascii="宋体" w:hAnsi="宋体" w:eastAsia="宋体" w:cs="宋体"/>
          <w:color w:val="auto"/>
          <w:sz w:val="24"/>
          <w:szCs w:val="24"/>
        </w:rPr>
        <w:t>投标供应商：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00553BF9">
      <w:pPr>
        <w:spacing w:line="480" w:lineRule="auto"/>
        <w:ind w:firstLine="3600" w:firstLineChars="1500"/>
        <w:rPr>
          <w:rFonts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5004CF73">
      <w:pPr>
        <w:spacing w:line="400" w:lineRule="exact"/>
        <w:ind w:firstLine="420"/>
        <w:rPr>
          <w:rFonts w:ascii="宋体" w:hAnsi="宋体" w:eastAsia="宋体" w:cs="宋体"/>
          <w:color w:val="auto"/>
          <w:szCs w:val="21"/>
        </w:rPr>
        <w:sectPr>
          <w:pgSz w:w="11905" w:h="16838"/>
          <w:pgMar w:top="1440" w:right="1463" w:bottom="1440" w:left="1463" w:header="850" w:footer="850" w:gutter="0"/>
          <w:pgNumType w:fmt="decimal"/>
          <w:cols w:space="0" w:num="1"/>
          <w:rtlGutter w:val="0"/>
          <w:docGrid w:type="lines" w:linePitch="423" w:charSpace="0"/>
        </w:sectPr>
      </w:pPr>
    </w:p>
    <w:p w14:paraId="018288F6">
      <w:pPr>
        <w:pStyle w:val="4"/>
        <w:spacing w:line="400" w:lineRule="exact"/>
        <w:ind w:firstLine="0" w:firstLineChars="0"/>
        <w:jc w:val="center"/>
        <w:rPr>
          <w:rFonts w:ascii="宋体" w:hAnsi="宋体" w:eastAsia="宋体" w:cs="宋体"/>
          <w:color w:val="auto"/>
          <w:sz w:val="28"/>
          <w:szCs w:val="28"/>
        </w:rPr>
      </w:pPr>
      <w:bookmarkStart w:id="111" w:name="_Toc23976"/>
      <w:bookmarkStart w:id="112" w:name="_Toc184635140"/>
      <w:r>
        <w:rPr>
          <w:rFonts w:hint="eastAsia" w:ascii="宋体" w:hAnsi="宋体" w:eastAsia="宋体" w:cs="宋体"/>
          <w:color w:val="auto"/>
          <w:sz w:val="28"/>
          <w:szCs w:val="28"/>
        </w:rPr>
        <w:t>三、授权委托书</w:t>
      </w:r>
      <w:bookmarkEnd w:id="111"/>
      <w:bookmarkEnd w:id="112"/>
    </w:p>
    <w:p w14:paraId="181565AB">
      <w:pPr>
        <w:spacing w:line="400" w:lineRule="exact"/>
        <w:ind w:firstLine="420"/>
        <w:rPr>
          <w:rFonts w:ascii="宋体" w:hAnsi="宋体" w:eastAsia="宋体" w:cs="宋体"/>
          <w:color w:val="auto"/>
          <w:szCs w:val="21"/>
        </w:rPr>
      </w:pPr>
    </w:p>
    <w:p w14:paraId="505870E8">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（投标供应商名称）的法定代表人，现委托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（姓名）为我方代理人。代理人根据授权，以我方名义签署、澄清、说明、补正、递交、撤回、修改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（项目名称）投标文件、签订合同和处理有关事宜，其法律后果由我方承担。</w:t>
      </w:r>
    </w:p>
    <w:p w14:paraId="127F2C38">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代理人无转委托权。</w:t>
      </w:r>
    </w:p>
    <w:p w14:paraId="6B297344">
      <w:pPr>
        <w:pStyle w:val="8"/>
        <w:spacing w:line="500" w:lineRule="exact"/>
        <w:ind w:firstLine="480"/>
        <w:rPr>
          <w:rFonts w:ascii="宋体" w:hAnsi="宋体" w:eastAsia="宋体" w:cs="宋体"/>
          <w:color w:val="auto"/>
          <w:sz w:val="24"/>
          <w:szCs w:val="24"/>
        </w:rPr>
      </w:pPr>
    </w:p>
    <w:p w14:paraId="47B19CB4">
      <w:pPr>
        <w:spacing w:line="500" w:lineRule="exact"/>
        <w:ind w:firstLine="482"/>
        <w:rPr>
          <w:rFonts w:ascii="宋体" w:hAnsi="宋体" w:eastAsia="宋体" w:cs="宋体"/>
          <w:b/>
          <w:bCs/>
          <w:color w:val="auto"/>
          <w:sz w:val="24"/>
          <w:szCs w:val="24"/>
        </w:rPr>
      </w:pPr>
      <w:r>
        <w:rPr>
          <w:rFonts w:hint="eastAsia" w:ascii="宋体" w:hAnsi="宋体" w:eastAsia="宋体" w:cs="宋体"/>
          <w:b w:val="0"/>
          <w:bCs w:val="0"/>
          <w:color w:val="auto"/>
          <w:sz w:val="24"/>
          <w:szCs w:val="24"/>
        </w:rPr>
        <w:t>委托期限：本授权书至投标有效期结束前始终有效。</w:t>
      </w:r>
    </w:p>
    <w:p w14:paraId="250B4FD7">
      <w:pPr>
        <w:spacing w:line="500" w:lineRule="exact"/>
        <w:ind w:firstLine="480"/>
        <w:rPr>
          <w:rFonts w:ascii="宋体" w:hAnsi="宋体" w:eastAsia="宋体" w:cs="宋体"/>
          <w:color w:val="auto"/>
          <w:sz w:val="24"/>
          <w:szCs w:val="24"/>
        </w:rPr>
      </w:pPr>
    </w:p>
    <w:p w14:paraId="5530262D">
      <w:pPr>
        <w:spacing w:line="500" w:lineRule="exact"/>
        <w:ind w:firstLine="480"/>
        <w:rPr>
          <w:rFonts w:ascii="宋体" w:hAnsi="宋体" w:eastAsia="宋体" w:cs="宋体"/>
          <w:b/>
          <w:bCs/>
          <w:color w:val="auto"/>
          <w:sz w:val="24"/>
          <w:szCs w:val="24"/>
        </w:rPr>
      </w:pPr>
      <w:r>
        <w:rPr>
          <w:rFonts w:hint="eastAsia" w:ascii="宋体" w:hAnsi="宋体" w:eastAsia="宋体" w:cs="宋体"/>
          <w:b/>
          <w:bCs/>
          <w:color w:val="auto"/>
          <w:sz w:val="24"/>
          <w:szCs w:val="24"/>
        </w:rPr>
        <w:t>附：法定代表人身份证复印件及委托代理人身份证复印件</w:t>
      </w:r>
    </w:p>
    <w:p w14:paraId="785EFE54">
      <w:pPr>
        <w:spacing w:line="500" w:lineRule="exact"/>
        <w:ind w:firstLine="480"/>
        <w:rPr>
          <w:rFonts w:ascii="宋体" w:hAnsi="宋体" w:eastAsia="宋体" w:cs="宋体"/>
          <w:color w:val="auto"/>
          <w:sz w:val="24"/>
          <w:szCs w:val="24"/>
        </w:rPr>
      </w:pPr>
    </w:p>
    <w:p w14:paraId="23404CE2">
      <w:pPr>
        <w:spacing w:line="500" w:lineRule="exact"/>
        <w:ind w:firstLine="480"/>
        <w:rPr>
          <w:rFonts w:ascii="宋体" w:hAnsi="宋体" w:eastAsia="宋体" w:cs="宋体"/>
          <w:color w:val="auto"/>
          <w:sz w:val="24"/>
          <w:szCs w:val="24"/>
        </w:rPr>
      </w:pPr>
    </w:p>
    <w:p w14:paraId="6577EB77">
      <w:pPr>
        <w:spacing w:line="500" w:lineRule="exact"/>
        <w:ind w:firstLine="3360" w:firstLineChars="1400"/>
        <w:rPr>
          <w:rFonts w:ascii="宋体" w:hAnsi="宋体" w:eastAsia="宋体" w:cs="宋体"/>
          <w:color w:val="auto"/>
          <w:sz w:val="24"/>
          <w:szCs w:val="24"/>
        </w:rPr>
      </w:pPr>
      <w:r>
        <w:rPr>
          <w:rFonts w:hint="eastAsia" w:ascii="宋体" w:hAnsi="宋体" w:eastAsia="宋体" w:cs="宋体"/>
          <w:color w:val="auto"/>
          <w:sz w:val="24"/>
          <w:szCs w:val="24"/>
        </w:rPr>
        <w:t>投标供应商：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70AA61C1">
      <w:pPr>
        <w:spacing w:line="500" w:lineRule="exact"/>
        <w:ind w:firstLine="3360" w:firstLineChars="1400"/>
        <w:rPr>
          <w:rFonts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2568EC06">
      <w:pPr>
        <w:spacing w:line="500" w:lineRule="exact"/>
        <w:ind w:firstLine="3360" w:firstLineChars="1400"/>
        <w:rPr>
          <w:rFonts w:ascii="宋体" w:hAnsi="宋体" w:eastAsia="宋体" w:cs="宋体"/>
          <w:color w:val="auto"/>
          <w:sz w:val="24"/>
          <w:szCs w:val="24"/>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58036BE9">
      <w:pPr>
        <w:spacing w:line="500" w:lineRule="exact"/>
        <w:ind w:firstLine="3360" w:firstLineChars="1400"/>
        <w:rPr>
          <w:rFonts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（签名或盖章）</w:t>
      </w:r>
    </w:p>
    <w:p w14:paraId="26FF8438">
      <w:pPr>
        <w:spacing w:line="500" w:lineRule="exact"/>
        <w:ind w:firstLine="3360" w:firstLineChars="1400"/>
        <w:rPr>
          <w:rFonts w:ascii="宋体" w:hAnsi="宋体" w:eastAsia="宋体" w:cs="宋体"/>
          <w:color w:val="auto"/>
          <w:sz w:val="24"/>
          <w:szCs w:val="24"/>
          <w:u w:val="single"/>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5306FD6F">
      <w:pPr>
        <w:spacing w:line="480" w:lineRule="auto"/>
        <w:ind w:firstLine="5100" w:firstLineChars="2125"/>
        <w:rPr>
          <w:rFonts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546A4F48">
      <w:pPr>
        <w:spacing w:line="400" w:lineRule="exact"/>
        <w:ind w:firstLine="420"/>
        <w:rPr>
          <w:rFonts w:ascii="宋体" w:hAnsi="宋体" w:eastAsia="宋体" w:cs="宋体"/>
          <w:color w:val="auto"/>
          <w:szCs w:val="21"/>
        </w:rPr>
      </w:pPr>
    </w:p>
    <w:p w14:paraId="3DD6F843">
      <w:pPr>
        <w:spacing w:line="400" w:lineRule="exact"/>
        <w:ind w:firstLine="420"/>
        <w:rPr>
          <w:rFonts w:ascii="宋体" w:hAnsi="宋体" w:eastAsia="宋体" w:cs="宋体"/>
          <w:bCs/>
          <w:color w:val="auto"/>
          <w:szCs w:val="21"/>
        </w:rPr>
      </w:pPr>
    </w:p>
    <w:p w14:paraId="3B390AC9">
      <w:pPr>
        <w:spacing w:line="400" w:lineRule="exact"/>
        <w:ind w:firstLine="420"/>
        <w:rPr>
          <w:rFonts w:ascii="宋体" w:hAnsi="宋体" w:eastAsia="宋体" w:cs="宋体"/>
          <w:bCs/>
          <w:color w:val="auto"/>
          <w:szCs w:val="21"/>
        </w:rPr>
      </w:pPr>
    </w:p>
    <w:p w14:paraId="11BC68B3">
      <w:pPr>
        <w:pStyle w:val="52"/>
        <w:spacing w:line="400" w:lineRule="exact"/>
        <w:ind w:firstLine="0" w:firstLineChars="0"/>
        <w:rPr>
          <w:rFonts w:ascii="宋体" w:hAnsi="宋体" w:eastAsia="宋体" w:cs="宋体"/>
          <w:color w:val="auto"/>
          <w:szCs w:val="21"/>
        </w:rPr>
      </w:pPr>
    </w:p>
    <w:p w14:paraId="674864D3">
      <w:pPr>
        <w:pStyle w:val="53"/>
        <w:rPr>
          <w:color w:val="auto"/>
        </w:rPr>
      </w:pPr>
    </w:p>
    <w:p w14:paraId="6099B30B">
      <w:pPr>
        <w:ind w:firstLine="420"/>
        <w:rPr>
          <w:color w:val="auto"/>
        </w:rPr>
      </w:pPr>
    </w:p>
    <w:p w14:paraId="678979C9">
      <w:pPr>
        <w:pStyle w:val="53"/>
        <w:rPr>
          <w:rFonts w:ascii="宋体" w:hAnsi="宋体" w:eastAsia="宋体" w:cs="宋体"/>
          <w:color w:val="auto"/>
          <w:szCs w:val="21"/>
        </w:rPr>
      </w:pPr>
    </w:p>
    <w:p w14:paraId="09FEC1F3">
      <w:pPr>
        <w:pStyle w:val="3"/>
        <w:spacing w:line="360" w:lineRule="auto"/>
        <w:ind w:firstLine="0" w:firstLineChars="0"/>
        <w:jc w:val="center"/>
        <w:rPr>
          <w:rFonts w:hint="default" w:eastAsia="宋体"/>
          <w:color w:val="auto"/>
          <w:lang w:val="en-US" w:eastAsia="zh-CN"/>
        </w:rPr>
      </w:pPr>
      <w:r>
        <w:rPr>
          <w:rFonts w:hint="eastAsia" w:eastAsia="宋体"/>
          <w:color w:val="auto"/>
          <w:lang w:val="en-US" w:eastAsia="zh-CN"/>
        </w:rPr>
        <w:t>四、技术标</w:t>
      </w:r>
    </w:p>
    <w:p w14:paraId="47EBAFF3">
      <w:pPr>
        <w:widowControl/>
        <w:spacing w:line="360" w:lineRule="auto"/>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b/>
          <w:color w:val="auto"/>
          <w:szCs w:val="21"/>
        </w:rPr>
        <w:t>内容及格式由供应商自拟</w:t>
      </w:r>
      <w:r>
        <w:rPr>
          <w:rFonts w:hint="eastAsia" w:ascii="宋体" w:hAnsi="宋体" w:eastAsia="宋体" w:cs="宋体"/>
          <w:color w:val="auto"/>
          <w:kern w:val="0"/>
          <w:szCs w:val="21"/>
        </w:rPr>
        <w:t>）</w:t>
      </w:r>
    </w:p>
    <w:p w14:paraId="295F4A1B">
      <w:pPr>
        <w:pStyle w:val="53"/>
        <w:rPr>
          <w:color w:val="auto"/>
        </w:rPr>
      </w:pPr>
    </w:p>
    <w:p w14:paraId="08460888">
      <w:pPr>
        <w:rPr>
          <w:color w:val="auto"/>
        </w:rPr>
      </w:pPr>
    </w:p>
    <w:p w14:paraId="22775D3C">
      <w:pPr>
        <w:rPr>
          <w:color w:val="auto"/>
        </w:rPr>
      </w:pPr>
    </w:p>
    <w:p w14:paraId="1703851F">
      <w:pPr>
        <w:rPr>
          <w:color w:val="auto"/>
        </w:rPr>
      </w:pPr>
    </w:p>
    <w:p w14:paraId="6819E9B6">
      <w:pPr>
        <w:rPr>
          <w:color w:val="auto"/>
        </w:rPr>
      </w:pPr>
    </w:p>
    <w:p w14:paraId="0C8660BE">
      <w:pPr>
        <w:rPr>
          <w:color w:val="auto"/>
        </w:rPr>
      </w:pPr>
    </w:p>
    <w:p w14:paraId="436C4745">
      <w:pPr>
        <w:rPr>
          <w:color w:val="auto"/>
        </w:rPr>
      </w:pPr>
    </w:p>
    <w:p w14:paraId="490322D1">
      <w:pPr>
        <w:rPr>
          <w:color w:val="auto"/>
        </w:rPr>
      </w:pPr>
    </w:p>
    <w:p w14:paraId="09F7FCA9">
      <w:pPr>
        <w:rPr>
          <w:color w:val="auto"/>
        </w:rPr>
      </w:pPr>
    </w:p>
    <w:p w14:paraId="065617F9">
      <w:pPr>
        <w:pStyle w:val="3"/>
        <w:spacing w:line="360" w:lineRule="auto"/>
        <w:ind w:firstLine="0" w:firstLineChars="0"/>
        <w:jc w:val="center"/>
        <w:rPr>
          <w:rFonts w:hint="default" w:eastAsia="宋体"/>
          <w:color w:val="auto"/>
          <w:lang w:val="en-US" w:eastAsia="zh-CN"/>
        </w:rPr>
      </w:pPr>
      <w:r>
        <w:rPr>
          <w:rFonts w:hint="eastAsia" w:eastAsia="宋体"/>
          <w:color w:val="auto"/>
          <w:lang w:val="en-US" w:eastAsia="zh-CN"/>
        </w:rPr>
        <w:t>五、综合标</w:t>
      </w:r>
    </w:p>
    <w:p w14:paraId="1B928DCC">
      <w:pPr>
        <w:widowControl/>
        <w:spacing w:line="360" w:lineRule="auto"/>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b/>
          <w:color w:val="auto"/>
          <w:szCs w:val="21"/>
        </w:rPr>
        <w:t>内容及格式由供应商自拟</w:t>
      </w:r>
      <w:r>
        <w:rPr>
          <w:rFonts w:hint="eastAsia" w:ascii="宋体" w:hAnsi="宋体" w:eastAsia="宋体" w:cs="宋体"/>
          <w:color w:val="auto"/>
          <w:kern w:val="0"/>
          <w:szCs w:val="21"/>
        </w:rPr>
        <w:t>）</w:t>
      </w:r>
    </w:p>
    <w:p w14:paraId="1C790913">
      <w:pPr>
        <w:pStyle w:val="52"/>
        <w:ind w:firstLine="540" w:firstLineChars="192"/>
        <w:jc w:val="center"/>
        <w:rPr>
          <w:rFonts w:ascii="宋体" w:hAnsi="宋体" w:eastAsia="宋体" w:cs="宋体"/>
          <w:b/>
          <w:color w:val="auto"/>
          <w:sz w:val="28"/>
          <w:szCs w:val="28"/>
        </w:rPr>
        <w:sectPr>
          <w:pgSz w:w="11905" w:h="16838"/>
          <w:pgMar w:top="1440" w:right="1463" w:bottom="1440" w:left="1463" w:header="850" w:footer="850" w:gutter="0"/>
          <w:pgNumType w:fmt="decimal"/>
          <w:cols w:space="0" w:num="1"/>
          <w:rtlGutter w:val="0"/>
          <w:docGrid w:type="lines" w:linePitch="423" w:charSpace="0"/>
        </w:sectPr>
      </w:pPr>
    </w:p>
    <w:p w14:paraId="49111AEA">
      <w:pPr>
        <w:pStyle w:val="52"/>
        <w:spacing w:line="400" w:lineRule="exact"/>
        <w:ind w:left="0" w:leftChars="0" w:firstLine="0" w:firstLineChars="0"/>
        <w:jc w:val="center"/>
        <w:outlineLvl w:val="1"/>
        <w:rPr>
          <w:rFonts w:ascii="宋体" w:hAnsi="宋体" w:eastAsia="宋体" w:cs="宋体"/>
          <w:b/>
          <w:color w:val="auto"/>
          <w:sz w:val="28"/>
          <w:szCs w:val="28"/>
        </w:rPr>
      </w:pPr>
      <w:bookmarkStart w:id="113" w:name="_Toc17431"/>
      <w:r>
        <w:rPr>
          <w:rFonts w:hint="eastAsia" w:ascii="宋体" w:hAnsi="宋体" w:eastAsia="宋体" w:cs="宋体"/>
          <w:b/>
          <w:color w:val="auto"/>
          <w:sz w:val="28"/>
          <w:szCs w:val="28"/>
          <w:lang w:val="en-US" w:eastAsia="zh-CN"/>
        </w:rPr>
        <w:t>六</w:t>
      </w:r>
      <w:r>
        <w:rPr>
          <w:rFonts w:hint="eastAsia" w:ascii="宋体" w:hAnsi="宋体" w:eastAsia="宋体" w:cs="宋体"/>
          <w:b/>
          <w:color w:val="auto"/>
          <w:sz w:val="28"/>
          <w:szCs w:val="28"/>
        </w:rPr>
        <w:t>、 资格审查资料</w:t>
      </w:r>
      <w:bookmarkEnd w:id="113"/>
    </w:p>
    <w:p w14:paraId="6545C064">
      <w:pPr>
        <w:pStyle w:val="52"/>
        <w:jc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投标供应商基本情况表</w:t>
      </w:r>
    </w:p>
    <w:tbl>
      <w:tblPr>
        <w:tblStyle w:val="54"/>
        <w:tblW w:w="909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0"/>
        <w:gridCol w:w="1002"/>
        <w:gridCol w:w="1208"/>
        <w:gridCol w:w="1382"/>
        <w:gridCol w:w="1274"/>
        <w:gridCol w:w="837"/>
        <w:gridCol w:w="1336"/>
      </w:tblGrid>
      <w:tr w14:paraId="4555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060" w:type="dxa"/>
          </w:tcPr>
          <w:p w14:paraId="498992CA">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投标供应商名称</w:t>
            </w:r>
          </w:p>
        </w:tc>
        <w:tc>
          <w:tcPr>
            <w:tcW w:w="7039" w:type="dxa"/>
            <w:gridSpan w:val="6"/>
          </w:tcPr>
          <w:p w14:paraId="26A435E5">
            <w:pPr>
              <w:spacing w:line="400" w:lineRule="exact"/>
              <w:ind w:firstLine="480"/>
              <w:rPr>
                <w:rFonts w:ascii="宋体" w:hAnsi="宋体" w:eastAsia="宋体" w:cs="宋体"/>
                <w:color w:val="auto"/>
                <w:sz w:val="24"/>
                <w:szCs w:val="24"/>
              </w:rPr>
            </w:pPr>
          </w:p>
        </w:tc>
      </w:tr>
      <w:tr w14:paraId="3AE7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60" w:type="dxa"/>
          </w:tcPr>
          <w:p w14:paraId="1B3656CB">
            <w:pPr>
              <w:spacing w:line="4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注册地址</w:t>
            </w:r>
          </w:p>
        </w:tc>
        <w:tc>
          <w:tcPr>
            <w:tcW w:w="3592" w:type="dxa"/>
            <w:gridSpan w:val="3"/>
          </w:tcPr>
          <w:p w14:paraId="45D27341">
            <w:pPr>
              <w:spacing w:line="400" w:lineRule="exact"/>
              <w:ind w:firstLine="480"/>
              <w:jc w:val="center"/>
              <w:rPr>
                <w:rFonts w:ascii="宋体" w:hAnsi="宋体" w:eastAsia="宋体" w:cs="宋体"/>
                <w:color w:val="auto"/>
                <w:sz w:val="24"/>
                <w:szCs w:val="24"/>
              </w:rPr>
            </w:pPr>
          </w:p>
        </w:tc>
        <w:tc>
          <w:tcPr>
            <w:tcW w:w="1274" w:type="dxa"/>
          </w:tcPr>
          <w:p w14:paraId="46B937CB">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邮政编码</w:t>
            </w:r>
          </w:p>
        </w:tc>
        <w:tc>
          <w:tcPr>
            <w:tcW w:w="2173" w:type="dxa"/>
            <w:gridSpan w:val="2"/>
          </w:tcPr>
          <w:p w14:paraId="326513AF">
            <w:pPr>
              <w:spacing w:line="400" w:lineRule="exact"/>
              <w:ind w:firstLine="480"/>
              <w:jc w:val="center"/>
              <w:rPr>
                <w:rFonts w:ascii="宋体" w:hAnsi="宋体" w:eastAsia="宋体" w:cs="宋体"/>
                <w:color w:val="auto"/>
                <w:sz w:val="24"/>
                <w:szCs w:val="24"/>
              </w:rPr>
            </w:pPr>
          </w:p>
        </w:tc>
      </w:tr>
      <w:tr w14:paraId="001E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60" w:type="dxa"/>
          </w:tcPr>
          <w:p w14:paraId="03D19607">
            <w:pPr>
              <w:spacing w:line="4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注册资金</w:t>
            </w:r>
          </w:p>
        </w:tc>
        <w:tc>
          <w:tcPr>
            <w:tcW w:w="3592" w:type="dxa"/>
            <w:gridSpan w:val="3"/>
          </w:tcPr>
          <w:p w14:paraId="0926A2C3">
            <w:pPr>
              <w:spacing w:line="400" w:lineRule="exact"/>
              <w:ind w:firstLine="480"/>
              <w:jc w:val="center"/>
              <w:rPr>
                <w:rFonts w:ascii="宋体" w:hAnsi="宋体" w:eastAsia="宋体" w:cs="宋体"/>
                <w:color w:val="auto"/>
                <w:sz w:val="24"/>
                <w:szCs w:val="24"/>
              </w:rPr>
            </w:pPr>
          </w:p>
        </w:tc>
        <w:tc>
          <w:tcPr>
            <w:tcW w:w="1274" w:type="dxa"/>
          </w:tcPr>
          <w:p w14:paraId="43962BFF">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成立时间</w:t>
            </w:r>
          </w:p>
        </w:tc>
        <w:tc>
          <w:tcPr>
            <w:tcW w:w="2173" w:type="dxa"/>
            <w:gridSpan w:val="2"/>
          </w:tcPr>
          <w:p w14:paraId="766A07C7">
            <w:pPr>
              <w:spacing w:line="400" w:lineRule="exact"/>
              <w:ind w:firstLine="480"/>
              <w:jc w:val="center"/>
              <w:rPr>
                <w:rFonts w:ascii="宋体" w:hAnsi="宋体" w:eastAsia="宋体" w:cs="宋体"/>
                <w:color w:val="auto"/>
                <w:sz w:val="24"/>
                <w:szCs w:val="24"/>
              </w:rPr>
            </w:pPr>
          </w:p>
        </w:tc>
      </w:tr>
      <w:tr w14:paraId="1156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60" w:type="dxa"/>
            <w:vMerge w:val="restart"/>
            <w:vAlign w:val="center"/>
          </w:tcPr>
          <w:p w14:paraId="2060879B">
            <w:pPr>
              <w:spacing w:line="4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联系方式</w:t>
            </w:r>
          </w:p>
        </w:tc>
        <w:tc>
          <w:tcPr>
            <w:tcW w:w="1002" w:type="dxa"/>
          </w:tcPr>
          <w:p w14:paraId="0CF9A968">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联系人</w:t>
            </w:r>
          </w:p>
        </w:tc>
        <w:tc>
          <w:tcPr>
            <w:tcW w:w="2590" w:type="dxa"/>
            <w:gridSpan w:val="2"/>
          </w:tcPr>
          <w:p w14:paraId="2901D919">
            <w:pPr>
              <w:spacing w:line="400" w:lineRule="exact"/>
              <w:ind w:firstLine="480"/>
              <w:jc w:val="center"/>
              <w:rPr>
                <w:rFonts w:ascii="宋体" w:hAnsi="宋体" w:eastAsia="宋体" w:cs="宋体"/>
                <w:color w:val="auto"/>
                <w:sz w:val="24"/>
                <w:szCs w:val="24"/>
              </w:rPr>
            </w:pPr>
          </w:p>
        </w:tc>
        <w:tc>
          <w:tcPr>
            <w:tcW w:w="1274" w:type="dxa"/>
          </w:tcPr>
          <w:p w14:paraId="14771963">
            <w:pPr>
              <w:spacing w:line="400" w:lineRule="exact"/>
              <w:ind w:firstLine="240" w:firstLineChars="100"/>
              <w:rPr>
                <w:rFonts w:ascii="宋体" w:hAnsi="宋体" w:eastAsia="宋体" w:cs="宋体"/>
                <w:color w:val="auto"/>
                <w:sz w:val="24"/>
                <w:szCs w:val="24"/>
              </w:rPr>
            </w:pPr>
            <w:r>
              <w:rPr>
                <w:rFonts w:hint="eastAsia" w:ascii="宋体" w:hAnsi="宋体" w:eastAsia="宋体" w:cs="宋体"/>
                <w:color w:val="auto"/>
                <w:sz w:val="24"/>
                <w:szCs w:val="24"/>
              </w:rPr>
              <w:t>电话</w:t>
            </w:r>
          </w:p>
        </w:tc>
        <w:tc>
          <w:tcPr>
            <w:tcW w:w="2173" w:type="dxa"/>
            <w:gridSpan w:val="2"/>
          </w:tcPr>
          <w:p w14:paraId="0770EBFE">
            <w:pPr>
              <w:spacing w:line="400" w:lineRule="exact"/>
              <w:ind w:firstLine="480"/>
              <w:jc w:val="center"/>
              <w:rPr>
                <w:rFonts w:ascii="宋体" w:hAnsi="宋体" w:eastAsia="宋体" w:cs="宋体"/>
                <w:color w:val="auto"/>
                <w:sz w:val="24"/>
                <w:szCs w:val="24"/>
              </w:rPr>
            </w:pPr>
          </w:p>
        </w:tc>
      </w:tr>
      <w:tr w14:paraId="3AF7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060" w:type="dxa"/>
            <w:vMerge w:val="continue"/>
          </w:tcPr>
          <w:p w14:paraId="24935DCB">
            <w:pPr>
              <w:spacing w:line="400" w:lineRule="exact"/>
              <w:ind w:firstLine="480"/>
              <w:rPr>
                <w:rFonts w:ascii="宋体" w:hAnsi="宋体" w:eastAsia="宋体" w:cs="宋体"/>
                <w:color w:val="auto"/>
                <w:sz w:val="24"/>
                <w:szCs w:val="24"/>
              </w:rPr>
            </w:pPr>
          </w:p>
        </w:tc>
        <w:tc>
          <w:tcPr>
            <w:tcW w:w="1002" w:type="dxa"/>
          </w:tcPr>
          <w:p w14:paraId="53D13F23">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传真</w:t>
            </w:r>
          </w:p>
        </w:tc>
        <w:tc>
          <w:tcPr>
            <w:tcW w:w="2590" w:type="dxa"/>
            <w:gridSpan w:val="2"/>
          </w:tcPr>
          <w:p w14:paraId="6C649B74">
            <w:pPr>
              <w:spacing w:line="400" w:lineRule="exact"/>
              <w:ind w:firstLine="480"/>
              <w:jc w:val="center"/>
              <w:rPr>
                <w:rFonts w:ascii="宋体" w:hAnsi="宋体" w:eastAsia="宋体" w:cs="宋体"/>
                <w:color w:val="auto"/>
                <w:sz w:val="24"/>
                <w:szCs w:val="24"/>
              </w:rPr>
            </w:pPr>
          </w:p>
        </w:tc>
        <w:tc>
          <w:tcPr>
            <w:tcW w:w="1274" w:type="dxa"/>
          </w:tcPr>
          <w:p w14:paraId="770B27EB">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网址</w:t>
            </w:r>
          </w:p>
        </w:tc>
        <w:tc>
          <w:tcPr>
            <w:tcW w:w="2173" w:type="dxa"/>
            <w:gridSpan w:val="2"/>
          </w:tcPr>
          <w:p w14:paraId="00F0F364">
            <w:pPr>
              <w:spacing w:line="400" w:lineRule="exact"/>
              <w:ind w:firstLine="480"/>
              <w:jc w:val="center"/>
              <w:rPr>
                <w:rFonts w:ascii="宋体" w:hAnsi="宋体" w:eastAsia="宋体" w:cs="宋体"/>
                <w:color w:val="auto"/>
                <w:sz w:val="24"/>
                <w:szCs w:val="24"/>
              </w:rPr>
            </w:pPr>
          </w:p>
        </w:tc>
      </w:tr>
      <w:tr w14:paraId="2F98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60" w:type="dxa"/>
          </w:tcPr>
          <w:p w14:paraId="67DDD657">
            <w:pPr>
              <w:spacing w:line="4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法定代表人</w:t>
            </w:r>
          </w:p>
        </w:tc>
        <w:tc>
          <w:tcPr>
            <w:tcW w:w="1002" w:type="dxa"/>
          </w:tcPr>
          <w:p w14:paraId="3B551527">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姓名</w:t>
            </w:r>
          </w:p>
        </w:tc>
        <w:tc>
          <w:tcPr>
            <w:tcW w:w="1208" w:type="dxa"/>
          </w:tcPr>
          <w:p w14:paraId="2E0214B6">
            <w:pPr>
              <w:spacing w:line="400" w:lineRule="exact"/>
              <w:ind w:firstLine="480"/>
              <w:jc w:val="center"/>
              <w:rPr>
                <w:rFonts w:ascii="宋体" w:hAnsi="宋体" w:eastAsia="宋体" w:cs="宋体"/>
                <w:color w:val="auto"/>
                <w:sz w:val="24"/>
                <w:szCs w:val="24"/>
              </w:rPr>
            </w:pPr>
          </w:p>
        </w:tc>
        <w:tc>
          <w:tcPr>
            <w:tcW w:w="1382" w:type="dxa"/>
          </w:tcPr>
          <w:p w14:paraId="4BD77C90">
            <w:pPr>
              <w:spacing w:line="400" w:lineRule="exact"/>
              <w:ind w:firstLine="0" w:firstLineChars="0"/>
              <w:rPr>
                <w:rFonts w:ascii="宋体" w:hAnsi="宋体" w:eastAsia="宋体" w:cs="宋体"/>
                <w:color w:val="auto"/>
                <w:sz w:val="24"/>
                <w:szCs w:val="24"/>
              </w:rPr>
            </w:pPr>
            <w:r>
              <w:rPr>
                <w:rFonts w:hint="eastAsia" w:ascii="宋体" w:hAnsi="宋体" w:eastAsia="宋体" w:cs="宋体"/>
                <w:color w:val="auto"/>
                <w:sz w:val="24"/>
                <w:szCs w:val="24"/>
              </w:rPr>
              <w:t>技术职称</w:t>
            </w:r>
          </w:p>
        </w:tc>
        <w:tc>
          <w:tcPr>
            <w:tcW w:w="1274" w:type="dxa"/>
          </w:tcPr>
          <w:p w14:paraId="04DC7808">
            <w:pPr>
              <w:spacing w:line="400" w:lineRule="exact"/>
              <w:ind w:firstLine="480"/>
              <w:jc w:val="center"/>
              <w:rPr>
                <w:rFonts w:ascii="宋体" w:hAnsi="宋体" w:eastAsia="宋体" w:cs="宋体"/>
                <w:color w:val="auto"/>
                <w:sz w:val="24"/>
                <w:szCs w:val="24"/>
              </w:rPr>
            </w:pPr>
          </w:p>
        </w:tc>
        <w:tc>
          <w:tcPr>
            <w:tcW w:w="837" w:type="dxa"/>
          </w:tcPr>
          <w:p w14:paraId="265E4195">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电话</w:t>
            </w:r>
          </w:p>
        </w:tc>
        <w:tc>
          <w:tcPr>
            <w:tcW w:w="1336" w:type="dxa"/>
          </w:tcPr>
          <w:p w14:paraId="7D9BCD27">
            <w:pPr>
              <w:spacing w:line="400" w:lineRule="exact"/>
              <w:ind w:firstLine="480"/>
              <w:rPr>
                <w:rFonts w:ascii="宋体" w:hAnsi="宋体" w:eastAsia="宋体" w:cs="宋体"/>
                <w:color w:val="auto"/>
                <w:sz w:val="24"/>
                <w:szCs w:val="24"/>
              </w:rPr>
            </w:pPr>
          </w:p>
        </w:tc>
      </w:tr>
      <w:tr w14:paraId="3376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2060" w:type="dxa"/>
          </w:tcPr>
          <w:p w14:paraId="2D2E1C6A">
            <w:pPr>
              <w:spacing w:line="400" w:lineRule="exact"/>
              <w:ind w:firstLine="0" w:firstLineChars="0"/>
              <w:rPr>
                <w:rFonts w:ascii="宋体" w:hAnsi="宋体" w:eastAsia="宋体" w:cs="宋体"/>
                <w:color w:val="auto"/>
                <w:sz w:val="24"/>
                <w:szCs w:val="24"/>
              </w:rPr>
            </w:pPr>
            <w:r>
              <w:rPr>
                <w:rFonts w:hint="eastAsia" w:ascii="宋体" w:hAnsi="宋体" w:eastAsia="宋体" w:cs="宋体"/>
                <w:color w:val="auto"/>
                <w:sz w:val="24"/>
                <w:szCs w:val="24"/>
              </w:rPr>
              <w:t>投标供应商须知要求投标供应商需具有的各类资质证书（若有）</w:t>
            </w:r>
          </w:p>
        </w:tc>
        <w:tc>
          <w:tcPr>
            <w:tcW w:w="7039" w:type="dxa"/>
            <w:gridSpan w:val="6"/>
          </w:tcPr>
          <w:p w14:paraId="387CEB76">
            <w:pPr>
              <w:spacing w:line="400" w:lineRule="exact"/>
              <w:ind w:firstLine="480"/>
              <w:rPr>
                <w:rFonts w:ascii="宋体" w:hAnsi="宋体" w:eastAsia="宋体" w:cs="宋体"/>
                <w:color w:val="auto"/>
                <w:sz w:val="24"/>
                <w:szCs w:val="24"/>
              </w:rPr>
            </w:pPr>
          </w:p>
          <w:p w14:paraId="4E413F8D">
            <w:pPr>
              <w:spacing w:line="400" w:lineRule="exact"/>
              <w:ind w:firstLine="480"/>
              <w:rPr>
                <w:rFonts w:ascii="宋体" w:hAnsi="宋体" w:eastAsia="宋体" w:cs="宋体"/>
                <w:color w:val="auto"/>
                <w:sz w:val="24"/>
                <w:szCs w:val="24"/>
              </w:rPr>
            </w:pPr>
            <w:r>
              <w:rPr>
                <w:rFonts w:hint="eastAsia" w:ascii="宋体" w:hAnsi="宋体" w:eastAsia="宋体" w:cs="宋体"/>
                <w:color w:val="auto"/>
                <w:sz w:val="24"/>
                <w:szCs w:val="24"/>
              </w:rPr>
              <w:t>类型：           等级：          证书号：</w:t>
            </w:r>
          </w:p>
        </w:tc>
      </w:tr>
      <w:tr w14:paraId="6071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2060" w:type="dxa"/>
            <w:vAlign w:val="center"/>
          </w:tcPr>
          <w:p w14:paraId="37942953">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基本账户</w:t>
            </w:r>
          </w:p>
          <w:p w14:paraId="71648A02">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开户银行</w:t>
            </w:r>
          </w:p>
        </w:tc>
        <w:tc>
          <w:tcPr>
            <w:tcW w:w="7039" w:type="dxa"/>
            <w:gridSpan w:val="6"/>
          </w:tcPr>
          <w:p w14:paraId="1DEE8C4D">
            <w:pPr>
              <w:spacing w:line="400" w:lineRule="exact"/>
              <w:ind w:firstLine="480"/>
              <w:rPr>
                <w:rFonts w:ascii="宋体" w:hAnsi="宋体" w:eastAsia="宋体" w:cs="宋体"/>
                <w:color w:val="auto"/>
                <w:sz w:val="24"/>
                <w:szCs w:val="24"/>
              </w:rPr>
            </w:pPr>
          </w:p>
        </w:tc>
      </w:tr>
      <w:tr w14:paraId="60F3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2060" w:type="dxa"/>
            <w:vAlign w:val="center"/>
          </w:tcPr>
          <w:p w14:paraId="7287EA30">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基本账户</w:t>
            </w:r>
          </w:p>
          <w:p w14:paraId="64071153">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银行账号</w:t>
            </w:r>
          </w:p>
        </w:tc>
        <w:tc>
          <w:tcPr>
            <w:tcW w:w="7039" w:type="dxa"/>
            <w:gridSpan w:val="6"/>
          </w:tcPr>
          <w:p w14:paraId="5D686D63">
            <w:pPr>
              <w:spacing w:line="400" w:lineRule="exact"/>
              <w:ind w:firstLine="480"/>
              <w:rPr>
                <w:rFonts w:ascii="宋体" w:hAnsi="宋体" w:eastAsia="宋体" w:cs="宋体"/>
                <w:color w:val="auto"/>
                <w:sz w:val="24"/>
                <w:szCs w:val="24"/>
              </w:rPr>
            </w:pPr>
          </w:p>
        </w:tc>
      </w:tr>
      <w:tr w14:paraId="66A3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60" w:type="dxa"/>
            <w:vAlign w:val="center"/>
          </w:tcPr>
          <w:p w14:paraId="1638CBFA">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近三年营业额</w:t>
            </w:r>
          </w:p>
        </w:tc>
        <w:tc>
          <w:tcPr>
            <w:tcW w:w="7039" w:type="dxa"/>
            <w:gridSpan w:val="6"/>
          </w:tcPr>
          <w:p w14:paraId="1B36B731">
            <w:pPr>
              <w:spacing w:line="400" w:lineRule="exact"/>
              <w:ind w:firstLine="480"/>
              <w:rPr>
                <w:rFonts w:ascii="宋体" w:hAnsi="宋体" w:eastAsia="宋体" w:cs="宋体"/>
                <w:color w:val="auto"/>
                <w:sz w:val="24"/>
                <w:szCs w:val="24"/>
              </w:rPr>
            </w:pPr>
          </w:p>
        </w:tc>
      </w:tr>
      <w:tr w14:paraId="5B86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2060" w:type="dxa"/>
            <w:vAlign w:val="center"/>
          </w:tcPr>
          <w:p w14:paraId="4C53194B">
            <w:pPr>
              <w:spacing w:line="400" w:lineRule="exact"/>
              <w:ind w:firstLine="0" w:firstLineChars="0"/>
              <w:jc w:val="center"/>
              <w:rPr>
                <w:rFonts w:ascii="宋体" w:hAnsi="宋体" w:eastAsia="宋体" w:cs="宋体"/>
                <w:color w:val="auto"/>
                <w:sz w:val="24"/>
                <w:szCs w:val="24"/>
              </w:rPr>
            </w:pPr>
            <w:r>
              <w:rPr>
                <w:rFonts w:hint="eastAsia" w:ascii="宋体" w:hAnsi="宋体" w:eastAsia="宋体" w:cs="宋体"/>
                <w:color w:val="auto"/>
                <w:sz w:val="24"/>
                <w:szCs w:val="24"/>
              </w:rPr>
              <w:t>经营范围备注</w:t>
            </w:r>
          </w:p>
        </w:tc>
        <w:tc>
          <w:tcPr>
            <w:tcW w:w="7039" w:type="dxa"/>
            <w:gridSpan w:val="6"/>
          </w:tcPr>
          <w:p w14:paraId="6311366E">
            <w:pPr>
              <w:spacing w:line="400" w:lineRule="exact"/>
              <w:ind w:firstLine="480"/>
              <w:rPr>
                <w:rFonts w:ascii="宋体" w:hAnsi="宋体" w:eastAsia="宋体" w:cs="宋体"/>
                <w:color w:val="auto"/>
                <w:sz w:val="24"/>
                <w:szCs w:val="24"/>
              </w:rPr>
            </w:pPr>
          </w:p>
        </w:tc>
      </w:tr>
    </w:tbl>
    <w:p w14:paraId="6CDD7D5D">
      <w:pPr>
        <w:pStyle w:val="52"/>
        <w:ind w:firstLine="463" w:firstLineChars="192"/>
        <w:jc w:val="left"/>
        <w:rPr>
          <w:rFonts w:hint="eastAsia" w:ascii="宋体" w:hAnsi="宋体" w:eastAsia="宋体" w:cs="宋体"/>
          <w:b/>
          <w:bCs/>
          <w:color w:val="auto"/>
          <w:kern w:val="0"/>
          <w:sz w:val="24"/>
          <w:szCs w:val="24"/>
          <w:lang w:bidi="ar"/>
        </w:rPr>
        <w:sectPr>
          <w:pgSz w:w="11905" w:h="16838"/>
          <w:pgMar w:top="1440" w:right="1463" w:bottom="1440" w:left="1463" w:header="850" w:footer="850" w:gutter="0"/>
          <w:pgNumType w:fmt="decimal"/>
          <w:cols w:space="0" w:num="1"/>
          <w:rtlGutter w:val="0"/>
          <w:docGrid w:type="lines" w:linePitch="423" w:charSpace="0"/>
        </w:sectPr>
      </w:pPr>
      <w:r>
        <w:rPr>
          <w:rFonts w:hint="eastAsia" w:ascii="宋体" w:hAnsi="宋体" w:eastAsia="宋体" w:cs="宋体"/>
          <w:b/>
          <w:bCs/>
          <w:color w:val="FF0000"/>
          <w:sz w:val="24"/>
          <w:szCs w:val="24"/>
        </w:rPr>
        <w:t xml:space="preserve"> </w:t>
      </w:r>
    </w:p>
    <w:p w14:paraId="285C41FD">
      <w:pPr>
        <w:keepNext w:val="0"/>
        <w:keepLines w:val="0"/>
        <w:pageBreakBefore/>
        <w:widowControl/>
        <w:kinsoku/>
        <w:wordWrap/>
        <w:overflowPunct/>
        <w:topLinePunct w:val="0"/>
        <w:autoSpaceDE/>
        <w:autoSpaceDN/>
        <w:bidi w:val="0"/>
        <w:adjustRightInd/>
        <w:snapToGrid/>
        <w:spacing w:line="400" w:lineRule="exact"/>
        <w:ind w:firstLine="0" w:firstLineChars="0"/>
        <w:textAlignment w:val="auto"/>
        <w:rPr>
          <w:rFonts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附件：</w:t>
      </w:r>
    </w:p>
    <w:p w14:paraId="06E7EDE6">
      <w:pPr>
        <w:widowControl/>
        <w:spacing w:line="400" w:lineRule="exact"/>
        <w:ind w:firstLine="0" w:firstLineChars="0"/>
        <w:jc w:val="center"/>
        <w:rPr>
          <w:rFonts w:ascii="宋体" w:hAnsi="宋体" w:eastAsia="宋体" w:cs="宋体"/>
          <w:color w:val="auto"/>
          <w:kern w:val="0"/>
          <w:sz w:val="24"/>
          <w:szCs w:val="24"/>
          <w:lang w:bidi="ar"/>
        </w:rPr>
      </w:pPr>
      <w:r>
        <w:rPr>
          <w:rFonts w:hint="eastAsia" w:ascii="宋体" w:hAnsi="宋体" w:eastAsia="宋体" w:cs="宋体"/>
          <w:b/>
          <w:bCs/>
          <w:color w:val="auto"/>
          <w:kern w:val="0"/>
          <w:sz w:val="24"/>
          <w:szCs w:val="24"/>
          <w:lang w:val="en-US" w:eastAsia="zh-CN" w:bidi="ar"/>
        </w:rPr>
        <w:t>信阳市</w:t>
      </w:r>
      <w:r>
        <w:rPr>
          <w:rFonts w:hint="eastAsia" w:ascii="宋体" w:hAnsi="宋体" w:eastAsia="宋体" w:cs="宋体"/>
          <w:b/>
          <w:bCs/>
          <w:color w:val="auto"/>
          <w:kern w:val="0"/>
          <w:sz w:val="24"/>
          <w:szCs w:val="24"/>
          <w:lang w:bidi="ar"/>
        </w:rPr>
        <w:t>政府采购供应商信用承诺函</w:t>
      </w:r>
    </w:p>
    <w:p w14:paraId="1005D2A2">
      <w:pPr>
        <w:widowControl/>
        <w:spacing w:line="400" w:lineRule="exact"/>
        <w:ind w:firstLine="480"/>
        <w:jc w:val="left"/>
        <w:rPr>
          <w:rFonts w:ascii="宋体" w:hAnsi="宋体" w:eastAsia="宋体" w:cs="宋体"/>
          <w:color w:val="auto"/>
          <w:kern w:val="0"/>
          <w:sz w:val="24"/>
          <w:szCs w:val="24"/>
          <w:lang w:bidi="ar"/>
        </w:rPr>
      </w:pPr>
    </w:p>
    <w:p w14:paraId="5A483FEA">
      <w:pPr>
        <w:widowControl/>
        <w:spacing w:line="500" w:lineRule="exact"/>
        <w:ind w:firstLine="480"/>
        <w:jc w:val="left"/>
        <w:rPr>
          <w:rFonts w:ascii="宋体" w:hAnsi="宋体" w:eastAsia="宋体" w:cs="宋体"/>
          <w:color w:val="auto"/>
          <w:kern w:val="0"/>
          <w:sz w:val="24"/>
          <w:szCs w:val="24"/>
          <w:u w:val="single"/>
          <w:lang w:bidi="ar"/>
        </w:rPr>
      </w:pPr>
      <w:r>
        <w:rPr>
          <w:rFonts w:hint="eastAsia" w:ascii="宋体" w:hAnsi="宋体" w:eastAsia="宋体" w:cs="宋体"/>
          <w:color w:val="auto"/>
          <w:kern w:val="0"/>
          <w:sz w:val="24"/>
          <w:szCs w:val="24"/>
          <w:lang w:bidi="ar"/>
        </w:rPr>
        <w:t>致</w:t>
      </w:r>
      <w:r>
        <w:rPr>
          <w:rFonts w:hint="eastAsia" w:ascii="宋体" w:hAnsi="宋体" w:eastAsia="宋体" w:cs="宋体"/>
          <w:color w:val="auto"/>
          <w:kern w:val="0"/>
          <w:sz w:val="24"/>
          <w:szCs w:val="24"/>
          <w:u w:val="single"/>
          <w:lang w:bidi="ar"/>
        </w:rPr>
        <w:t xml:space="preserve">                </w:t>
      </w:r>
      <w:r>
        <w:rPr>
          <w:rFonts w:hint="eastAsia" w:ascii="宋体" w:hAnsi="宋体" w:eastAsia="宋体" w:cs="宋体"/>
          <w:color w:val="auto"/>
          <w:kern w:val="0"/>
          <w:sz w:val="24"/>
          <w:szCs w:val="24"/>
          <w:lang w:bidi="ar"/>
        </w:rPr>
        <w:t xml:space="preserve">（采购人或采购代理机构）：                 </w:t>
      </w:r>
    </w:p>
    <w:p w14:paraId="55D78E5A">
      <w:pPr>
        <w:widowControl/>
        <w:spacing w:line="500" w:lineRule="exact"/>
        <w:ind w:firstLine="480"/>
        <w:jc w:val="left"/>
        <w:rPr>
          <w:rFonts w:ascii="宋体" w:hAnsi="宋体" w:eastAsia="宋体" w:cs="宋体"/>
          <w:color w:val="auto"/>
          <w:kern w:val="0"/>
          <w:sz w:val="24"/>
          <w:szCs w:val="24"/>
          <w:u w:val="single"/>
          <w:lang w:bidi="ar"/>
        </w:rPr>
      </w:pPr>
      <w:r>
        <w:rPr>
          <w:rFonts w:hint="eastAsia" w:ascii="宋体" w:hAnsi="宋体" w:eastAsia="宋体" w:cs="宋体"/>
          <w:color w:val="auto"/>
          <w:kern w:val="0"/>
          <w:sz w:val="24"/>
          <w:szCs w:val="24"/>
          <w:lang w:bidi="ar"/>
        </w:rPr>
        <w:t>单位名称（自然人姓名）：</w:t>
      </w:r>
      <w:r>
        <w:rPr>
          <w:rFonts w:hint="eastAsia" w:ascii="宋体" w:hAnsi="宋体" w:eastAsia="宋体" w:cs="宋体"/>
          <w:color w:val="auto"/>
          <w:kern w:val="0"/>
          <w:sz w:val="24"/>
          <w:szCs w:val="24"/>
          <w:u w:val="single"/>
          <w:lang w:bidi="ar"/>
        </w:rPr>
        <w:t xml:space="preserve">                    </w:t>
      </w:r>
    </w:p>
    <w:p w14:paraId="3787A7D4">
      <w:pPr>
        <w:widowControl/>
        <w:spacing w:line="500" w:lineRule="exact"/>
        <w:ind w:firstLine="480"/>
        <w:jc w:val="left"/>
        <w:rPr>
          <w:rFonts w:ascii="宋体" w:hAnsi="宋体" w:eastAsia="宋体" w:cs="宋体"/>
          <w:color w:val="auto"/>
          <w:kern w:val="0"/>
          <w:sz w:val="24"/>
          <w:szCs w:val="24"/>
          <w:u w:val="single"/>
          <w:lang w:bidi="ar"/>
        </w:rPr>
      </w:pPr>
      <w:r>
        <w:rPr>
          <w:rFonts w:hint="eastAsia" w:ascii="宋体" w:hAnsi="宋体" w:eastAsia="宋体" w:cs="宋体"/>
          <w:color w:val="auto"/>
          <w:kern w:val="0"/>
          <w:sz w:val="24"/>
          <w:szCs w:val="24"/>
          <w:lang w:bidi="ar"/>
        </w:rPr>
        <w:t>统一社会信用代码（身份证号码）：</w:t>
      </w:r>
      <w:r>
        <w:rPr>
          <w:rFonts w:hint="eastAsia" w:ascii="宋体" w:hAnsi="宋体" w:eastAsia="宋体" w:cs="宋体"/>
          <w:color w:val="auto"/>
          <w:kern w:val="0"/>
          <w:sz w:val="24"/>
          <w:szCs w:val="24"/>
          <w:u w:val="single"/>
          <w:lang w:bidi="ar"/>
        </w:rPr>
        <w:t xml:space="preserve">                </w:t>
      </w:r>
    </w:p>
    <w:p w14:paraId="2B398BC3">
      <w:pPr>
        <w:widowControl/>
        <w:spacing w:line="500" w:lineRule="exact"/>
        <w:ind w:firstLine="480"/>
        <w:jc w:val="left"/>
        <w:rPr>
          <w:rFonts w:ascii="宋体" w:hAnsi="宋体" w:eastAsia="宋体" w:cs="宋体"/>
          <w:color w:val="auto"/>
          <w:kern w:val="0"/>
          <w:sz w:val="24"/>
          <w:szCs w:val="24"/>
          <w:u w:val="single"/>
          <w:lang w:bidi="ar"/>
        </w:rPr>
      </w:pPr>
      <w:r>
        <w:rPr>
          <w:rFonts w:hint="eastAsia" w:ascii="宋体" w:hAnsi="宋体" w:eastAsia="宋体" w:cs="宋体"/>
          <w:color w:val="auto"/>
          <w:kern w:val="0"/>
          <w:sz w:val="24"/>
          <w:szCs w:val="24"/>
          <w:lang w:bidi="ar"/>
        </w:rPr>
        <w:t>法定代表人（负责人）：</w:t>
      </w:r>
      <w:r>
        <w:rPr>
          <w:rFonts w:hint="eastAsia" w:ascii="宋体" w:hAnsi="宋体" w:eastAsia="宋体" w:cs="宋体"/>
          <w:color w:val="auto"/>
          <w:kern w:val="0"/>
          <w:sz w:val="24"/>
          <w:szCs w:val="24"/>
          <w:u w:val="single"/>
          <w:lang w:bidi="ar"/>
        </w:rPr>
        <w:t xml:space="preserve">                </w:t>
      </w:r>
    </w:p>
    <w:p w14:paraId="7C4F72C3">
      <w:pPr>
        <w:widowControl/>
        <w:spacing w:line="500" w:lineRule="exact"/>
        <w:ind w:firstLine="480"/>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联系地址和电话</w:t>
      </w:r>
      <w:r>
        <w:rPr>
          <w:rFonts w:hint="eastAsia" w:ascii="宋体" w:hAnsi="宋体" w:eastAsia="宋体" w:cs="宋体"/>
          <w:color w:val="auto"/>
          <w:kern w:val="0"/>
          <w:sz w:val="24"/>
          <w:szCs w:val="24"/>
          <w:u w:val="single"/>
          <w:lang w:bidi="ar"/>
        </w:rPr>
        <w:t xml:space="preserve">：                    </w:t>
      </w:r>
    </w:p>
    <w:p w14:paraId="4DD242D5">
      <w:pPr>
        <w:widowControl/>
        <w:spacing w:line="500" w:lineRule="exact"/>
        <w:ind w:firstLine="480"/>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为维护公平、公正、公开的政府采购市场秩序，树立诚实守信的政府采购供应商形象，我单位（本人）自愿作出以下承诺：</w:t>
      </w:r>
    </w:p>
    <w:p w14:paraId="54FB4B84">
      <w:pPr>
        <w:widowControl/>
        <w:numPr>
          <w:ilvl w:val="0"/>
          <w:numId w:val="10"/>
        </w:numPr>
        <w:spacing w:line="500" w:lineRule="exact"/>
        <w:ind w:firstLine="480"/>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8F64B11">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具有独立承担民事责任的能力；</w:t>
      </w:r>
    </w:p>
    <w:p w14:paraId="04A25C4D">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具有良好的商业信誉和健全的财务会计制度； </w:t>
      </w:r>
    </w:p>
    <w:p w14:paraId="1A495E7A">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具有履行合同所必需的设备和专业技术能力；</w:t>
      </w:r>
    </w:p>
    <w:p w14:paraId="511462C1">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有依法缴纳税收和社会保障资金的良好记录； </w:t>
      </w:r>
    </w:p>
    <w:p w14:paraId="238DC129">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参加政府采购活动前三年内，在经营活动中没有重大违法记录； </w:t>
      </w:r>
    </w:p>
    <w:p w14:paraId="6C1ED41A">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未被列入经营异常名录或者严重违法失信名单、失信被执行人、重大税收违法失信主体、政府采购严重违法失信行为记录名单；</w:t>
      </w:r>
    </w:p>
    <w:p w14:paraId="2A6DD633">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未被相关监管部门作出行政处罚且尚在处罚有效期内； </w:t>
      </w:r>
    </w:p>
    <w:p w14:paraId="7B6A5BF2">
      <w:pPr>
        <w:widowControl/>
        <w:numPr>
          <w:ilvl w:val="0"/>
          <w:numId w:val="11"/>
        </w:numPr>
        <w:spacing w:line="500" w:lineRule="exact"/>
        <w:ind w:left="0"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未曾做出虚假采购承诺； </w:t>
      </w:r>
    </w:p>
    <w:p w14:paraId="7B49FA11">
      <w:pPr>
        <w:widowControl/>
        <w:spacing w:line="500" w:lineRule="exact"/>
        <w:ind w:firstLine="638" w:firstLineChars="266"/>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（九）符合法律、行政法规规定的其他条件。</w:t>
      </w:r>
    </w:p>
    <w:p w14:paraId="5B95452D">
      <w:pPr>
        <w:widowControl/>
        <w:numPr>
          <w:ilvl w:val="0"/>
          <w:numId w:val="10"/>
        </w:numPr>
        <w:spacing w:line="500" w:lineRule="exact"/>
        <w:ind w:firstLine="480"/>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7197BD98">
      <w:pPr>
        <w:widowControl/>
        <w:spacing w:line="500" w:lineRule="exact"/>
        <w:ind w:firstLine="480"/>
        <w:jc w:val="left"/>
        <w:rPr>
          <w:rFonts w:ascii="宋体" w:hAnsi="宋体" w:eastAsia="宋体" w:cs="宋体"/>
          <w:color w:val="auto"/>
          <w:kern w:val="0"/>
          <w:sz w:val="24"/>
          <w:szCs w:val="24"/>
          <w:lang w:bidi="ar"/>
        </w:rPr>
      </w:pPr>
    </w:p>
    <w:p w14:paraId="2D52B2A5">
      <w:pPr>
        <w:spacing w:line="500" w:lineRule="exact"/>
        <w:ind w:firstLine="1680" w:firstLineChars="700"/>
        <w:rPr>
          <w:rFonts w:hint="eastAsia" w:ascii="宋体" w:hAnsi="宋体" w:eastAsia="宋体" w:cs="宋体"/>
          <w:color w:val="auto"/>
          <w:sz w:val="24"/>
          <w:szCs w:val="24"/>
        </w:rPr>
      </w:pPr>
    </w:p>
    <w:p w14:paraId="0FA7D39C">
      <w:pPr>
        <w:spacing w:line="500" w:lineRule="exact"/>
        <w:ind w:firstLine="1680" w:firstLineChars="700"/>
        <w:rPr>
          <w:rFonts w:hint="eastAsia" w:ascii="宋体" w:hAnsi="宋体" w:eastAsia="宋体" w:cs="宋体"/>
          <w:color w:val="auto"/>
          <w:sz w:val="24"/>
          <w:szCs w:val="24"/>
        </w:rPr>
      </w:pPr>
    </w:p>
    <w:p w14:paraId="7A3A55BE">
      <w:pPr>
        <w:spacing w:line="500" w:lineRule="exact"/>
        <w:ind w:firstLine="1680" w:firstLineChars="700"/>
        <w:rPr>
          <w:rFonts w:ascii="宋体" w:hAnsi="宋体" w:eastAsia="宋体" w:cs="宋体"/>
          <w:color w:val="auto"/>
          <w:sz w:val="24"/>
          <w:szCs w:val="24"/>
        </w:rPr>
      </w:pPr>
      <w:r>
        <w:rPr>
          <w:rFonts w:hint="eastAsia" w:ascii="宋体" w:hAnsi="宋体" w:eastAsia="宋体" w:cs="宋体"/>
          <w:color w:val="auto"/>
          <w:sz w:val="24"/>
          <w:szCs w:val="24"/>
        </w:rPr>
        <w:t>投标供应商：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7CFF8E9B">
      <w:pPr>
        <w:spacing w:line="500" w:lineRule="exact"/>
        <w:ind w:firstLine="1680" w:firstLineChars="700"/>
        <w:rPr>
          <w:rFonts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620276B9">
      <w:pPr>
        <w:spacing w:line="500" w:lineRule="exact"/>
        <w:ind w:firstLine="2640" w:firstLineChars="1100"/>
        <w:rPr>
          <w:rFonts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5CA798D6">
      <w:pPr>
        <w:widowControl/>
        <w:spacing w:line="500" w:lineRule="exact"/>
        <w:ind w:firstLine="240" w:firstLineChars="100"/>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 </w:t>
      </w:r>
    </w:p>
    <w:p w14:paraId="535D8544">
      <w:pPr>
        <w:widowControl/>
        <w:spacing w:line="500" w:lineRule="exact"/>
        <w:ind w:firstLine="240" w:firstLineChars="100"/>
        <w:jc w:val="left"/>
        <w:rPr>
          <w:rFonts w:ascii="宋体" w:hAnsi="宋体" w:eastAsia="宋体" w:cs="宋体"/>
          <w:color w:val="auto"/>
          <w:kern w:val="0"/>
          <w:sz w:val="24"/>
          <w:szCs w:val="24"/>
          <w:lang w:bidi="ar"/>
        </w:rPr>
      </w:pPr>
    </w:p>
    <w:p w14:paraId="528A96E5">
      <w:pPr>
        <w:widowControl/>
        <w:spacing w:line="500" w:lineRule="exact"/>
        <w:ind w:firstLine="240" w:firstLineChars="100"/>
        <w:jc w:val="left"/>
        <w:rPr>
          <w:rFonts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注：1、投标供应商须在投标文件中按此模板提供承诺函，未提供视为未实质性响应招标文件要求，按无效投标处理。</w:t>
      </w:r>
    </w:p>
    <w:p w14:paraId="13164113">
      <w:pPr>
        <w:widowControl/>
        <w:numPr>
          <w:ilvl w:val="0"/>
          <w:numId w:val="12"/>
        </w:numPr>
        <w:spacing w:line="500" w:lineRule="exact"/>
        <w:ind w:firstLine="720" w:firstLineChars="3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投标供应商的法定代表人或者授权代表的签字或盖章应真实、有效，如由授权代表签字或盖章的，应提供“法定代表人授权书”。</w:t>
      </w:r>
    </w:p>
    <w:p w14:paraId="3AFE17F2">
      <w:pPr>
        <w:widowControl/>
        <w:numPr>
          <w:ilvl w:val="0"/>
          <w:numId w:val="0"/>
        </w:numPr>
        <w:spacing w:line="500" w:lineRule="exact"/>
        <w:jc w:val="left"/>
        <w:rPr>
          <w:rFonts w:hint="eastAsia" w:ascii="宋体" w:hAnsi="宋体" w:eastAsia="宋体" w:cs="宋体"/>
          <w:color w:val="auto"/>
          <w:kern w:val="0"/>
          <w:sz w:val="24"/>
          <w:szCs w:val="24"/>
          <w:lang w:bidi="ar"/>
        </w:rPr>
      </w:pPr>
    </w:p>
    <w:p w14:paraId="5F152A36">
      <w:pPr>
        <w:widowControl/>
        <w:numPr>
          <w:ilvl w:val="0"/>
          <w:numId w:val="0"/>
        </w:numPr>
        <w:spacing w:line="500" w:lineRule="exact"/>
        <w:jc w:val="left"/>
        <w:rPr>
          <w:rFonts w:hint="eastAsia" w:ascii="宋体" w:hAnsi="宋体" w:eastAsia="宋体" w:cs="宋体"/>
          <w:color w:val="auto"/>
          <w:kern w:val="0"/>
          <w:sz w:val="24"/>
          <w:szCs w:val="24"/>
          <w:lang w:bidi="ar"/>
        </w:rPr>
      </w:pPr>
    </w:p>
    <w:p w14:paraId="0435C170">
      <w:pPr>
        <w:widowControl/>
        <w:numPr>
          <w:ilvl w:val="0"/>
          <w:numId w:val="0"/>
        </w:numPr>
        <w:spacing w:line="500" w:lineRule="exact"/>
        <w:jc w:val="left"/>
        <w:rPr>
          <w:rFonts w:hint="eastAsia" w:ascii="宋体" w:hAnsi="宋体" w:eastAsia="宋体" w:cs="宋体"/>
          <w:color w:val="auto"/>
          <w:kern w:val="0"/>
          <w:sz w:val="24"/>
          <w:szCs w:val="24"/>
          <w:lang w:bidi="ar"/>
        </w:rPr>
      </w:pPr>
    </w:p>
    <w:p w14:paraId="25344444">
      <w:pPr>
        <w:widowControl/>
        <w:numPr>
          <w:ilvl w:val="0"/>
          <w:numId w:val="0"/>
        </w:numPr>
        <w:spacing w:line="500" w:lineRule="exact"/>
        <w:jc w:val="left"/>
        <w:rPr>
          <w:rFonts w:hint="eastAsia" w:ascii="宋体" w:hAnsi="宋体" w:eastAsia="宋体" w:cs="宋体"/>
          <w:color w:val="auto"/>
          <w:kern w:val="0"/>
          <w:sz w:val="24"/>
          <w:szCs w:val="24"/>
          <w:lang w:bidi="ar"/>
        </w:rPr>
      </w:pPr>
    </w:p>
    <w:p w14:paraId="65CACAC2">
      <w:pPr>
        <w:widowControl/>
        <w:numPr>
          <w:ilvl w:val="0"/>
          <w:numId w:val="0"/>
        </w:numPr>
        <w:spacing w:line="500" w:lineRule="exact"/>
        <w:jc w:val="left"/>
        <w:rPr>
          <w:rFonts w:hint="eastAsia" w:ascii="宋体" w:hAnsi="宋体" w:eastAsia="宋体" w:cs="宋体"/>
          <w:color w:val="auto"/>
          <w:kern w:val="0"/>
          <w:sz w:val="24"/>
          <w:szCs w:val="24"/>
          <w:lang w:bidi="ar"/>
        </w:rPr>
      </w:pPr>
    </w:p>
    <w:p w14:paraId="4112D3CD">
      <w:pPr>
        <w:widowControl/>
        <w:numPr>
          <w:ilvl w:val="0"/>
          <w:numId w:val="0"/>
        </w:numPr>
        <w:spacing w:line="500" w:lineRule="exact"/>
        <w:jc w:val="left"/>
        <w:rPr>
          <w:rFonts w:hint="eastAsia" w:ascii="宋体" w:hAnsi="宋体" w:eastAsia="宋体" w:cs="宋体"/>
          <w:color w:val="auto"/>
          <w:kern w:val="0"/>
          <w:sz w:val="24"/>
          <w:szCs w:val="24"/>
          <w:lang w:bidi="ar"/>
        </w:rPr>
      </w:pPr>
    </w:p>
    <w:p w14:paraId="43D8755D">
      <w:pPr>
        <w:widowControl/>
        <w:numPr>
          <w:ilvl w:val="0"/>
          <w:numId w:val="0"/>
        </w:numPr>
        <w:spacing w:line="500" w:lineRule="exact"/>
        <w:jc w:val="left"/>
        <w:rPr>
          <w:rFonts w:hint="eastAsia" w:ascii="宋体" w:hAnsi="宋体" w:eastAsia="宋体" w:cs="宋体"/>
          <w:color w:val="auto"/>
          <w:kern w:val="0"/>
          <w:sz w:val="24"/>
          <w:szCs w:val="24"/>
          <w:lang w:bidi="ar"/>
        </w:rPr>
      </w:pPr>
    </w:p>
    <w:p w14:paraId="708E7FCF">
      <w:pPr>
        <w:widowControl/>
        <w:numPr>
          <w:ilvl w:val="0"/>
          <w:numId w:val="0"/>
        </w:numPr>
        <w:spacing w:line="500" w:lineRule="exact"/>
        <w:jc w:val="left"/>
        <w:rPr>
          <w:rFonts w:hint="eastAsia" w:ascii="宋体" w:hAnsi="宋体" w:eastAsia="宋体" w:cs="宋体"/>
          <w:color w:val="auto"/>
          <w:kern w:val="0"/>
          <w:sz w:val="24"/>
          <w:szCs w:val="24"/>
          <w:lang w:bidi="ar"/>
        </w:rPr>
      </w:pPr>
    </w:p>
    <w:p w14:paraId="7C5D00BB">
      <w:pPr>
        <w:widowControl/>
        <w:numPr>
          <w:ilvl w:val="0"/>
          <w:numId w:val="0"/>
        </w:numPr>
        <w:spacing w:line="500" w:lineRule="exact"/>
        <w:jc w:val="left"/>
        <w:rPr>
          <w:rFonts w:hint="eastAsia" w:ascii="宋体" w:hAnsi="宋体" w:eastAsia="宋体" w:cs="宋体"/>
          <w:color w:val="auto"/>
          <w:kern w:val="0"/>
          <w:sz w:val="24"/>
          <w:szCs w:val="24"/>
          <w:lang w:bidi="ar"/>
        </w:rPr>
      </w:pPr>
    </w:p>
    <w:p w14:paraId="4D4C9A3C">
      <w:pPr>
        <w:widowControl/>
        <w:numPr>
          <w:ilvl w:val="0"/>
          <w:numId w:val="0"/>
        </w:numPr>
        <w:spacing w:line="500" w:lineRule="exact"/>
        <w:jc w:val="left"/>
        <w:rPr>
          <w:rFonts w:hint="eastAsia" w:ascii="宋体" w:hAnsi="宋体" w:eastAsia="宋体" w:cs="宋体"/>
          <w:color w:val="auto"/>
          <w:kern w:val="0"/>
          <w:sz w:val="24"/>
          <w:szCs w:val="24"/>
          <w:lang w:bidi="ar"/>
        </w:rPr>
      </w:pPr>
    </w:p>
    <w:p w14:paraId="46D4B90A">
      <w:pPr>
        <w:widowControl/>
        <w:numPr>
          <w:ilvl w:val="0"/>
          <w:numId w:val="0"/>
        </w:numPr>
        <w:spacing w:line="500" w:lineRule="exact"/>
        <w:jc w:val="left"/>
        <w:rPr>
          <w:rFonts w:hint="eastAsia" w:ascii="宋体" w:hAnsi="宋体" w:eastAsia="宋体" w:cs="宋体"/>
          <w:color w:val="auto"/>
          <w:kern w:val="0"/>
          <w:sz w:val="24"/>
          <w:szCs w:val="24"/>
          <w:lang w:bidi="ar"/>
        </w:rPr>
      </w:pPr>
    </w:p>
    <w:p w14:paraId="225AD9DC">
      <w:pPr>
        <w:widowControl/>
        <w:numPr>
          <w:ilvl w:val="0"/>
          <w:numId w:val="0"/>
        </w:numPr>
        <w:spacing w:line="500" w:lineRule="exact"/>
        <w:jc w:val="left"/>
        <w:rPr>
          <w:rFonts w:hint="eastAsia" w:ascii="宋体" w:hAnsi="宋体" w:eastAsia="宋体" w:cs="宋体"/>
          <w:color w:val="auto"/>
          <w:kern w:val="0"/>
          <w:sz w:val="24"/>
          <w:szCs w:val="24"/>
          <w:lang w:bidi="ar"/>
        </w:rPr>
      </w:pPr>
    </w:p>
    <w:p w14:paraId="2FE72F04">
      <w:pPr>
        <w:widowControl/>
        <w:numPr>
          <w:ilvl w:val="0"/>
          <w:numId w:val="0"/>
        </w:numPr>
        <w:spacing w:line="500" w:lineRule="exact"/>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eastAsia="zh-CN" w:bidi="ar"/>
        </w:rPr>
        <w:t>（</w:t>
      </w:r>
      <w:r>
        <w:rPr>
          <w:rFonts w:hint="eastAsia" w:ascii="宋体" w:hAnsi="宋体" w:eastAsia="宋体" w:cs="宋体"/>
          <w:b/>
          <w:bCs/>
          <w:color w:val="auto"/>
          <w:kern w:val="0"/>
          <w:sz w:val="24"/>
          <w:szCs w:val="24"/>
          <w:lang w:val="en-US" w:eastAsia="zh-CN" w:bidi="ar"/>
        </w:rPr>
        <w:t>二</w:t>
      </w:r>
      <w:r>
        <w:rPr>
          <w:rFonts w:hint="eastAsia" w:ascii="宋体" w:hAnsi="宋体" w:eastAsia="宋体" w:cs="宋体"/>
          <w:b/>
          <w:bCs/>
          <w:color w:val="auto"/>
          <w:kern w:val="0"/>
          <w:sz w:val="24"/>
          <w:szCs w:val="24"/>
          <w:lang w:eastAsia="zh-CN" w:bidi="ar"/>
        </w:rPr>
        <w:t>）</w:t>
      </w:r>
      <w:r>
        <w:rPr>
          <w:rFonts w:hint="eastAsia" w:ascii="宋体" w:hAnsi="宋体" w:eastAsia="宋体" w:cs="宋体"/>
          <w:b/>
          <w:bCs/>
          <w:color w:val="auto"/>
          <w:kern w:val="0"/>
          <w:sz w:val="24"/>
          <w:szCs w:val="24"/>
          <w:lang w:val="en-US" w:eastAsia="zh-CN" w:bidi="ar"/>
        </w:rPr>
        <w:t>资格其他资料</w:t>
      </w:r>
    </w:p>
    <w:p w14:paraId="5E165D58">
      <w:pPr>
        <w:widowControl/>
        <w:numPr>
          <w:ilvl w:val="0"/>
          <w:numId w:val="0"/>
        </w:numPr>
        <w:spacing w:line="500" w:lineRule="exact"/>
        <w:jc w:val="left"/>
        <w:rPr>
          <w:rFonts w:hint="eastAsia" w:ascii="宋体" w:hAnsi="宋体" w:eastAsia="宋体" w:cs="宋体"/>
          <w:color w:val="auto"/>
          <w:kern w:val="0"/>
          <w:sz w:val="24"/>
          <w:szCs w:val="24"/>
          <w:lang w:val="en-US" w:eastAsia="zh-CN" w:bidi="ar"/>
        </w:rPr>
      </w:pPr>
    </w:p>
    <w:p w14:paraId="1CEDA8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lang w:val="en-US" w:eastAsia="zh-CN" w:bidi="ar"/>
        </w:rPr>
        <w:t>1、</w:t>
      </w:r>
      <w:r>
        <w:rPr>
          <w:rFonts w:hint="eastAsia" w:ascii="宋体" w:hAnsi="宋体" w:eastAsia="宋体" w:cs="宋体"/>
          <w:color w:val="auto"/>
          <w:sz w:val="24"/>
          <w:szCs w:val="24"/>
          <w:highlight w:val="none"/>
        </w:rPr>
        <w:t>单位负责人为同一人或者存在直接控股、管理关系的不同单位，不得同时参加同一合同项下的政府采购活动（提供“国家企业信用信息公示系统”中公示的公司基本信息、股东信息及股权变更信息等内容）。</w:t>
      </w:r>
    </w:p>
    <w:p w14:paraId="3CE9469C">
      <w:pPr>
        <w:widowControl/>
        <w:numPr>
          <w:ilvl w:val="0"/>
          <w:numId w:val="0"/>
        </w:numPr>
        <w:spacing w:line="500" w:lineRule="exact"/>
        <w:jc w:val="left"/>
        <w:rPr>
          <w:rFonts w:hint="eastAsia" w:ascii="宋体" w:hAnsi="宋体" w:eastAsia="宋体" w:cs="宋体"/>
          <w:color w:val="auto"/>
          <w:kern w:val="0"/>
          <w:sz w:val="24"/>
          <w:szCs w:val="24"/>
          <w:lang w:val="en-US" w:eastAsia="zh-CN" w:bidi="ar"/>
        </w:rPr>
      </w:pPr>
    </w:p>
    <w:p w14:paraId="78079E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lang w:val="en-US" w:eastAsia="zh-CN" w:bidi="ar"/>
        </w:rPr>
        <w:t>2、</w:t>
      </w:r>
      <w:r>
        <w:rPr>
          <w:rFonts w:hint="eastAsia" w:ascii="宋体" w:hAnsi="宋体" w:eastAsia="宋体" w:cs="宋体"/>
          <w:color w:val="auto"/>
          <w:sz w:val="24"/>
          <w:szCs w:val="24"/>
          <w:highlight w:val="none"/>
          <w:lang w:val="en-US" w:eastAsia="zh-CN"/>
        </w:rPr>
        <w:t>根据《关于在政府采购活动中查询及使用信用记录有关问题的通知》(财库[2016]125号)的规定，通过“信用中国”网站（www.creditchina.gov.cn）查询“失信被执行人”、“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35741D0F">
      <w:pPr>
        <w:widowControl/>
        <w:numPr>
          <w:ilvl w:val="0"/>
          <w:numId w:val="0"/>
        </w:numPr>
        <w:spacing w:line="500" w:lineRule="exact"/>
        <w:jc w:val="left"/>
        <w:rPr>
          <w:rFonts w:hint="eastAsia" w:ascii="宋体" w:hAnsi="宋体" w:eastAsia="宋体" w:cs="宋体"/>
          <w:color w:val="auto"/>
          <w:kern w:val="0"/>
          <w:sz w:val="24"/>
          <w:szCs w:val="24"/>
          <w:lang w:val="en-US" w:eastAsia="zh-CN" w:bidi="ar"/>
        </w:rPr>
      </w:pPr>
    </w:p>
    <w:p w14:paraId="5349654E">
      <w:pPr>
        <w:widowControl/>
        <w:numPr>
          <w:ilvl w:val="0"/>
          <w:numId w:val="0"/>
        </w:numPr>
        <w:spacing w:line="500" w:lineRule="exact"/>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3、营业执照</w:t>
      </w:r>
    </w:p>
    <w:p w14:paraId="72BC5DE5">
      <w:pPr>
        <w:widowControl/>
        <w:numPr>
          <w:ilvl w:val="0"/>
          <w:numId w:val="0"/>
        </w:numPr>
        <w:spacing w:line="500" w:lineRule="exact"/>
        <w:jc w:val="left"/>
        <w:rPr>
          <w:rFonts w:hint="eastAsia" w:ascii="宋体" w:hAnsi="宋体" w:eastAsia="宋体" w:cs="宋体"/>
          <w:color w:val="auto"/>
          <w:kern w:val="0"/>
          <w:sz w:val="24"/>
          <w:szCs w:val="24"/>
          <w:lang w:val="en-US" w:eastAsia="zh-CN" w:bidi="ar"/>
        </w:rPr>
      </w:pPr>
    </w:p>
    <w:p w14:paraId="4E13B879">
      <w:pPr>
        <w:widowControl/>
        <w:numPr>
          <w:ilvl w:val="0"/>
          <w:numId w:val="0"/>
        </w:numPr>
        <w:spacing w:line="500" w:lineRule="exact"/>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4、其他资料（如有）</w:t>
      </w:r>
    </w:p>
    <w:p w14:paraId="76B8472D">
      <w:pPr>
        <w:widowControl/>
        <w:numPr>
          <w:ilvl w:val="0"/>
          <w:numId w:val="0"/>
        </w:numPr>
        <w:spacing w:line="500" w:lineRule="exact"/>
        <w:jc w:val="left"/>
        <w:rPr>
          <w:rFonts w:hint="eastAsia" w:ascii="宋体" w:hAnsi="宋体" w:eastAsia="宋体" w:cs="宋体"/>
          <w:color w:val="auto"/>
          <w:kern w:val="0"/>
          <w:sz w:val="24"/>
          <w:szCs w:val="24"/>
          <w:lang w:bidi="ar"/>
        </w:rPr>
      </w:pPr>
    </w:p>
    <w:p w14:paraId="0BC104ED">
      <w:pPr>
        <w:widowControl/>
        <w:numPr>
          <w:ilvl w:val="0"/>
          <w:numId w:val="0"/>
        </w:numPr>
        <w:spacing w:line="500" w:lineRule="exact"/>
        <w:jc w:val="left"/>
        <w:rPr>
          <w:rFonts w:hint="eastAsia" w:ascii="宋体" w:hAnsi="宋体" w:eastAsia="宋体" w:cs="宋体"/>
          <w:color w:val="auto"/>
          <w:kern w:val="0"/>
          <w:sz w:val="24"/>
          <w:szCs w:val="24"/>
          <w:lang w:bidi="ar"/>
        </w:rPr>
      </w:pPr>
    </w:p>
    <w:p w14:paraId="009BB6BB">
      <w:pPr>
        <w:widowControl/>
        <w:numPr>
          <w:ilvl w:val="0"/>
          <w:numId w:val="0"/>
        </w:numPr>
        <w:spacing w:line="500" w:lineRule="exact"/>
        <w:jc w:val="left"/>
        <w:rPr>
          <w:rFonts w:hint="eastAsia" w:ascii="宋体" w:hAnsi="宋体" w:eastAsia="宋体" w:cs="宋体"/>
          <w:color w:val="auto"/>
          <w:kern w:val="0"/>
          <w:sz w:val="24"/>
          <w:szCs w:val="24"/>
          <w:lang w:bidi="ar"/>
        </w:rPr>
      </w:pPr>
    </w:p>
    <w:p w14:paraId="7A79E766">
      <w:pPr>
        <w:ind w:firstLine="420"/>
        <w:rPr>
          <w:color w:val="auto"/>
        </w:rPr>
      </w:pPr>
    </w:p>
    <w:p w14:paraId="2E802C2F">
      <w:pPr>
        <w:spacing w:line="360" w:lineRule="auto"/>
        <w:ind w:firstLine="562"/>
        <w:jc w:val="center"/>
        <w:rPr>
          <w:rFonts w:ascii="宋体" w:hAnsi="宋体" w:eastAsia="宋体" w:cs="宋体"/>
          <w:b/>
          <w:bCs/>
          <w:color w:val="auto"/>
          <w:sz w:val="28"/>
          <w:szCs w:val="28"/>
        </w:rPr>
      </w:pPr>
    </w:p>
    <w:p w14:paraId="6CBC623E">
      <w:pPr>
        <w:spacing w:line="360" w:lineRule="auto"/>
        <w:ind w:firstLine="562"/>
        <w:jc w:val="center"/>
        <w:rPr>
          <w:rFonts w:ascii="宋体" w:hAnsi="宋体" w:eastAsia="宋体" w:cs="宋体"/>
          <w:b/>
          <w:bCs/>
          <w:color w:val="auto"/>
          <w:sz w:val="28"/>
          <w:szCs w:val="28"/>
        </w:rPr>
      </w:pPr>
    </w:p>
    <w:p w14:paraId="20D27C46">
      <w:pPr>
        <w:spacing w:line="360" w:lineRule="auto"/>
        <w:ind w:firstLine="562"/>
        <w:jc w:val="center"/>
        <w:rPr>
          <w:rFonts w:ascii="宋体" w:hAnsi="宋体" w:eastAsia="宋体" w:cs="宋体"/>
          <w:b/>
          <w:bCs/>
          <w:color w:val="auto"/>
          <w:sz w:val="28"/>
          <w:szCs w:val="28"/>
        </w:rPr>
      </w:pPr>
    </w:p>
    <w:p w14:paraId="7FC741D3">
      <w:pPr>
        <w:spacing w:line="360" w:lineRule="auto"/>
        <w:ind w:firstLine="562"/>
        <w:jc w:val="center"/>
        <w:rPr>
          <w:rFonts w:ascii="宋体" w:hAnsi="宋体" w:eastAsia="宋体" w:cs="宋体"/>
          <w:b/>
          <w:bCs/>
          <w:color w:val="auto"/>
          <w:sz w:val="28"/>
          <w:szCs w:val="28"/>
        </w:rPr>
      </w:pPr>
    </w:p>
    <w:p w14:paraId="1B04E516">
      <w:pPr>
        <w:spacing w:line="360" w:lineRule="auto"/>
        <w:ind w:firstLine="562"/>
        <w:jc w:val="center"/>
        <w:rPr>
          <w:rFonts w:ascii="宋体" w:hAnsi="宋体" w:eastAsia="宋体" w:cs="宋体"/>
          <w:b/>
          <w:bCs/>
          <w:color w:val="auto"/>
          <w:sz w:val="28"/>
          <w:szCs w:val="28"/>
        </w:rPr>
      </w:pPr>
    </w:p>
    <w:p w14:paraId="25D3158F">
      <w:pPr>
        <w:pStyle w:val="3"/>
        <w:spacing w:line="360" w:lineRule="auto"/>
        <w:ind w:firstLine="0" w:firstLineChars="0"/>
        <w:jc w:val="center"/>
        <w:rPr>
          <w:rFonts w:eastAsia="宋体"/>
          <w:color w:val="auto"/>
          <w:szCs w:val="21"/>
        </w:rPr>
      </w:pPr>
      <w:bookmarkStart w:id="114" w:name="_Toc29097"/>
      <w:r>
        <w:rPr>
          <w:rFonts w:hint="eastAsia" w:eastAsia="宋体" w:cs="宋体"/>
          <w:b/>
          <w:bCs/>
          <w:color w:val="auto"/>
          <w:sz w:val="28"/>
          <w:szCs w:val="28"/>
          <w:lang w:val="en-US" w:eastAsia="zh-CN"/>
        </w:rPr>
        <w:t>七</w:t>
      </w:r>
      <w:r>
        <w:rPr>
          <w:rFonts w:hint="eastAsia" w:ascii="宋体" w:hAnsi="宋体" w:eastAsia="宋体" w:cs="宋体"/>
          <w:b/>
          <w:bCs/>
          <w:color w:val="auto"/>
          <w:sz w:val="28"/>
          <w:szCs w:val="28"/>
        </w:rPr>
        <w:t>、</w:t>
      </w:r>
      <w:bookmarkEnd w:id="114"/>
      <w:bookmarkStart w:id="115" w:name="_Toc525210052"/>
      <w:r>
        <w:rPr>
          <w:rFonts w:hint="eastAsia" w:eastAsia="宋体"/>
          <w:color w:val="auto"/>
        </w:rPr>
        <w:t>中小企业声明函（</w:t>
      </w:r>
      <w:r>
        <w:rPr>
          <w:rFonts w:hint="eastAsia" w:ascii="宋体" w:hAnsi="宋体" w:eastAsia="宋体" w:cs="宋体"/>
          <w:b/>
          <w:bCs/>
          <w:color w:val="auto"/>
          <w:sz w:val="28"/>
          <w:szCs w:val="28"/>
          <w:lang w:val="en-US" w:eastAsia="zh-CN"/>
        </w:rPr>
        <w:t>服务</w:t>
      </w:r>
      <w:r>
        <w:rPr>
          <w:rFonts w:hint="eastAsia" w:eastAsia="宋体"/>
          <w:color w:val="auto"/>
        </w:rPr>
        <w:t>）</w:t>
      </w:r>
    </w:p>
    <w:p w14:paraId="7F3BA699">
      <w:pPr>
        <w:widowControl/>
        <w:spacing w:line="360" w:lineRule="auto"/>
        <w:ind w:firstLine="420"/>
        <w:jc w:val="left"/>
        <w:rPr>
          <w:rFonts w:ascii="宋体" w:hAnsi="宋体" w:eastAsia="宋体" w:cs="宋体"/>
          <w:color w:val="auto"/>
          <w:sz w:val="24"/>
          <w:szCs w:val="24"/>
        </w:rPr>
      </w:pPr>
      <w:r>
        <w:rPr>
          <w:rFonts w:hint="eastAsia" w:ascii="宋体" w:hAnsi="宋体" w:eastAsia="宋体" w:cs="宋体"/>
          <w:color w:val="auto"/>
          <w:kern w:val="0"/>
          <w:sz w:val="24"/>
          <w:szCs w:val="24"/>
        </w:rPr>
        <w:t>本公司（联合体）郑重声明，根据《政府采购促进中小企业发展管理办法》（财库﹝2020﹞46 号）的规定，本公司（联合体）参加</w:t>
      </w:r>
      <w:r>
        <w:rPr>
          <w:rFonts w:hint="eastAsia" w:ascii="宋体" w:hAnsi="宋体" w:eastAsia="宋体" w:cs="宋体"/>
          <w:b/>
          <w:i/>
          <w:color w:val="auto"/>
          <w:kern w:val="0"/>
          <w:sz w:val="24"/>
          <w:szCs w:val="24"/>
          <w:u w:val="single"/>
        </w:rPr>
        <w:t>（单位名称）</w:t>
      </w:r>
      <w:r>
        <w:rPr>
          <w:rFonts w:hint="eastAsia" w:ascii="宋体" w:hAnsi="宋体" w:eastAsia="宋体" w:cs="宋体"/>
          <w:color w:val="auto"/>
          <w:kern w:val="0"/>
          <w:sz w:val="24"/>
          <w:szCs w:val="24"/>
        </w:rPr>
        <w:t>的</w:t>
      </w:r>
      <w:r>
        <w:rPr>
          <w:rFonts w:hint="eastAsia" w:ascii="宋体" w:hAnsi="宋体" w:eastAsia="宋体" w:cs="宋体"/>
          <w:b/>
          <w:i/>
          <w:color w:val="auto"/>
          <w:kern w:val="0"/>
          <w:sz w:val="24"/>
          <w:szCs w:val="24"/>
          <w:u w:val="single"/>
        </w:rPr>
        <w:t>（项目名称）</w:t>
      </w:r>
      <w:r>
        <w:rPr>
          <w:rFonts w:hint="eastAsia" w:ascii="宋体" w:hAnsi="宋体" w:eastAsia="宋体" w:cs="宋体"/>
          <w:color w:val="auto"/>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579DFBD3">
      <w:pPr>
        <w:widowControl/>
        <w:spacing w:line="360" w:lineRule="auto"/>
        <w:ind w:firstLine="420"/>
        <w:jc w:val="left"/>
        <w:rPr>
          <w:rFonts w:ascii="宋体" w:hAnsi="宋体" w:eastAsia="宋体" w:cs="宋体"/>
          <w:color w:val="auto"/>
          <w:sz w:val="24"/>
          <w:szCs w:val="24"/>
        </w:rPr>
      </w:pPr>
      <w:r>
        <w:rPr>
          <w:rFonts w:hint="eastAsia" w:ascii="宋体" w:hAnsi="宋体" w:eastAsia="宋体" w:cs="宋体"/>
          <w:color w:val="auto"/>
          <w:kern w:val="0"/>
          <w:sz w:val="24"/>
          <w:szCs w:val="24"/>
        </w:rPr>
        <w:t>1.</w:t>
      </w:r>
      <w:r>
        <w:rPr>
          <w:rFonts w:hint="eastAsia" w:ascii="宋体" w:hAnsi="宋体" w:eastAsia="宋体" w:cs="宋体"/>
          <w:b/>
          <w:i/>
          <w:color w:val="auto"/>
          <w:kern w:val="0"/>
          <w:sz w:val="24"/>
          <w:szCs w:val="24"/>
          <w:u w:val="single"/>
        </w:rPr>
        <w:t>（标的名称）</w:t>
      </w:r>
      <w:r>
        <w:rPr>
          <w:rFonts w:hint="eastAsia" w:ascii="宋体" w:hAnsi="宋体" w:eastAsia="宋体" w:cs="宋体"/>
          <w:color w:val="auto"/>
          <w:kern w:val="0"/>
          <w:sz w:val="24"/>
          <w:szCs w:val="24"/>
        </w:rPr>
        <w:t>，属于</w:t>
      </w:r>
      <w:r>
        <w:rPr>
          <w:rFonts w:hint="eastAsia" w:ascii="宋体" w:hAnsi="宋体" w:eastAsia="宋体" w:cs="宋体"/>
          <w:b/>
          <w:i/>
          <w:color w:val="auto"/>
          <w:kern w:val="0"/>
          <w:sz w:val="24"/>
          <w:szCs w:val="24"/>
          <w:u w:val="single"/>
        </w:rPr>
        <w:t>（采购文件中明确的所属行业）</w:t>
      </w:r>
      <w:r>
        <w:rPr>
          <w:rFonts w:hint="eastAsia" w:ascii="宋体" w:hAnsi="宋体" w:eastAsia="宋体" w:cs="宋体"/>
          <w:color w:val="auto"/>
          <w:kern w:val="0"/>
          <w:sz w:val="24"/>
          <w:szCs w:val="24"/>
        </w:rPr>
        <w:t>；承建（承接）企业为</w:t>
      </w:r>
      <w:r>
        <w:rPr>
          <w:rFonts w:hint="eastAsia" w:ascii="宋体" w:hAnsi="宋体" w:eastAsia="宋体" w:cs="宋体"/>
          <w:b/>
          <w:i/>
          <w:color w:val="auto"/>
          <w:kern w:val="0"/>
          <w:sz w:val="24"/>
          <w:szCs w:val="24"/>
          <w:u w:val="single"/>
        </w:rPr>
        <w:t>（企业名称）</w:t>
      </w:r>
      <w:r>
        <w:rPr>
          <w:rFonts w:hint="eastAsia" w:ascii="宋体" w:hAnsi="宋体" w:eastAsia="宋体" w:cs="宋体"/>
          <w:color w:val="auto"/>
          <w:kern w:val="0"/>
          <w:sz w:val="24"/>
          <w:szCs w:val="24"/>
        </w:rPr>
        <w:t>，从业人员</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人，营业收入为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万元，资产总额为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万元，属于</w:t>
      </w:r>
      <w:r>
        <w:rPr>
          <w:rFonts w:hint="eastAsia" w:ascii="宋体" w:hAnsi="宋体" w:eastAsia="宋体" w:cs="宋体"/>
          <w:b/>
          <w:i/>
          <w:color w:val="auto"/>
          <w:kern w:val="0"/>
          <w:sz w:val="24"/>
          <w:szCs w:val="24"/>
          <w:u w:val="single"/>
        </w:rPr>
        <w:t>（中型企业、小型企业、微型企业）</w:t>
      </w:r>
      <w:r>
        <w:rPr>
          <w:rFonts w:hint="eastAsia" w:ascii="宋体" w:hAnsi="宋体" w:eastAsia="宋体" w:cs="宋体"/>
          <w:color w:val="auto"/>
          <w:kern w:val="0"/>
          <w:sz w:val="24"/>
          <w:szCs w:val="24"/>
        </w:rPr>
        <w:t xml:space="preserve">； </w:t>
      </w:r>
    </w:p>
    <w:p w14:paraId="4A4063D8">
      <w:pPr>
        <w:widowControl/>
        <w:spacing w:line="360" w:lineRule="auto"/>
        <w:ind w:firstLine="420"/>
        <w:jc w:val="left"/>
        <w:rPr>
          <w:rFonts w:ascii="宋体" w:hAnsi="宋体" w:eastAsia="宋体" w:cs="宋体"/>
          <w:color w:val="auto"/>
          <w:sz w:val="24"/>
          <w:szCs w:val="24"/>
        </w:rPr>
      </w:pPr>
      <w:r>
        <w:rPr>
          <w:rFonts w:hint="eastAsia" w:ascii="宋体" w:hAnsi="宋体" w:eastAsia="宋体" w:cs="宋体"/>
          <w:color w:val="auto"/>
          <w:kern w:val="0"/>
          <w:sz w:val="24"/>
          <w:szCs w:val="24"/>
        </w:rPr>
        <w:t>2.</w:t>
      </w:r>
      <w:r>
        <w:rPr>
          <w:rFonts w:hint="eastAsia" w:ascii="宋体" w:hAnsi="宋体" w:eastAsia="宋体" w:cs="宋体"/>
          <w:i/>
          <w:color w:val="auto"/>
          <w:kern w:val="0"/>
          <w:sz w:val="24"/>
          <w:szCs w:val="24"/>
          <w:u w:val="single"/>
        </w:rPr>
        <w:t>（标的名称）</w:t>
      </w:r>
      <w:r>
        <w:rPr>
          <w:rFonts w:hint="eastAsia" w:ascii="宋体" w:hAnsi="宋体" w:eastAsia="宋体" w:cs="宋体"/>
          <w:color w:val="auto"/>
          <w:kern w:val="0"/>
          <w:sz w:val="24"/>
          <w:szCs w:val="24"/>
        </w:rPr>
        <w:t>，属于</w:t>
      </w:r>
      <w:r>
        <w:rPr>
          <w:rFonts w:hint="eastAsia" w:ascii="宋体" w:hAnsi="宋体" w:eastAsia="宋体" w:cs="宋体"/>
          <w:i/>
          <w:color w:val="auto"/>
          <w:kern w:val="0"/>
          <w:sz w:val="24"/>
          <w:szCs w:val="24"/>
          <w:u w:val="single"/>
        </w:rPr>
        <w:t>（采购文件中明确的所属行业）</w:t>
      </w:r>
      <w:r>
        <w:rPr>
          <w:rFonts w:hint="eastAsia" w:ascii="宋体" w:hAnsi="宋体" w:eastAsia="宋体" w:cs="宋体"/>
          <w:color w:val="auto"/>
          <w:kern w:val="0"/>
          <w:sz w:val="24"/>
          <w:szCs w:val="24"/>
        </w:rPr>
        <w:t>； 承建（承接）企业为</w:t>
      </w:r>
      <w:r>
        <w:rPr>
          <w:rFonts w:hint="eastAsia" w:ascii="宋体" w:hAnsi="宋体" w:eastAsia="宋体" w:cs="宋体"/>
          <w:i/>
          <w:color w:val="auto"/>
          <w:kern w:val="0"/>
          <w:sz w:val="24"/>
          <w:szCs w:val="24"/>
          <w:u w:val="single"/>
        </w:rPr>
        <w:t>（企业名称）</w:t>
      </w:r>
      <w:r>
        <w:rPr>
          <w:rFonts w:hint="eastAsia" w:ascii="宋体" w:hAnsi="宋体" w:eastAsia="宋体" w:cs="宋体"/>
          <w:color w:val="auto"/>
          <w:kern w:val="0"/>
          <w:sz w:val="24"/>
          <w:szCs w:val="24"/>
        </w:rPr>
        <w:t>，从业人员</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人，营业收入为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万元，资产总额为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万元，属于</w:t>
      </w:r>
      <w:r>
        <w:rPr>
          <w:rFonts w:hint="eastAsia" w:ascii="宋体" w:hAnsi="宋体" w:eastAsia="宋体" w:cs="宋体"/>
          <w:i/>
          <w:color w:val="auto"/>
          <w:kern w:val="0"/>
          <w:sz w:val="24"/>
          <w:szCs w:val="24"/>
          <w:u w:val="single"/>
        </w:rPr>
        <w:t>（中型企业、小型企业、微型企业）</w:t>
      </w:r>
      <w:r>
        <w:rPr>
          <w:rFonts w:hint="eastAsia" w:ascii="宋体" w:hAnsi="宋体" w:eastAsia="宋体" w:cs="宋体"/>
          <w:color w:val="auto"/>
          <w:kern w:val="0"/>
          <w:sz w:val="24"/>
          <w:szCs w:val="24"/>
        </w:rPr>
        <w:t xml:space="preserve">； </w:t>
      </w:r>
    </w:p>
    <w:p w14:paraId="6D95907A">
      <w:pPr>
        <w:widowControl/>
        <w:spacing w:line="360" w:lineRule="auto"/>
        <w:ind w:firstLine="420"/>
        <w:jc w:val="left"/>
        <w:rPr>
          <w:rFonts w:ascii="宋体" w:hAnsi="宋体" w:eastAsia="宋体" w:cs="宋体"/>
          <w:color w:val="auto"/>
          <w:sz w:val="24"/>
          <w:szCs w:val="24"/>
        </w:rPr>
      </w:pPr>
      <w:r>
        <w:rPr>
          <w:rFonts w:hint="eastAsia" w:ascii="宋体" w:hAnsi="宋体" w:eastAsia="宋体" w:cs="宋体"/>
          <w:color w:val="auto"/>
          <w:kern w:val="0"/>
          <w:sz w:val="24"/>
          <w:szCs w:val="24"/>
        </w:rPr>
        <w:t>……</w:t>
      </w:r>
    </w:p>
    <w:p w14:paraId="78F39D09">
      <w:pPr>
        <w:widowControl/>
        <w:spacing w:line="360" w:lineRule="auto"/>
        <w:ind w:firstLine="420"/>
        <w:jc w:val="left"/>
        <w:rPr>
          <w:rFonts w:ascii="宋体" w:hAnsi="宋体" w:eastAsia="宋体" w:cs="宋体"/>
          <w:color w:val="auto"/>
          <w:sz w:val="24"/>
          <w:szCs w:val="24"/>
        </w:rPr>
      </w:pPr>
      <w:r>
        <w:rPr>
          <w:rFonts w:hint="eastAsia" w:ascii="宋体" w:hAnsi="宋体" w:eastAsia="宋体" w:cs="宋体"/>
          <w:color w:val="auto"/>
          <w:kern w:val="0"/>
          <w:sz w:val="24"/>
          <w:szCs w:val="24"/>
        </w:rPr>
        <w:t>以上企业，不属于大企业的分支机构，不存在控股股东为大企业的情形，也不存在与大企业的负责人为同一人的情形。</w:t>
      </w:r>
    </w:p>
    <w:p w14:paraId="398ADF6A">
      <w:pPr>
        <w:widowControl/>
        <w:spacing w:line="360" w:lineRule="auto"/>
        <w:ind w:firstLine="420"/>
        <w:jc w:val="left"/>
        <w:rPr>
          <w:rFonts w:ascii="宋体" w:hAnsi="宋体" w:eastAsia="宋体" w:cs="宋体"/>
          <w:color w:val="auto"/>
          <w:sz w:val="24"/>
          <w:szCs w:val="24"/>
        </w:rPr>
      </w:pPr>
      <w:r>
        <w:rPr>
          <w:rFonts w:hint="eastAsia" w:ascii="宋体" w:hAnsi="宋体" w:eastAsia="宋体" w:cs="宋体"/>
          <w:color w:val="auto"/>
          <w:kern w:val="0"/>
          <w:sz w:val="24"/>
          <w:szCs w:val="24"/>
        </w:rPr>
        <w:t xml:space="preserve">本企业对上述声明内容的真实性负责。如有虚假，将依法承担相应责任。 </w:t>
      </w:r>
    </w:p>
    <w:p w14:paraId="13FD4FEE">
      <w:pPr>
        <w:widowControl/>
        <w:spacing w:line="360" w:lineRule="auto"/>
        <w:ind w:firstLine="420"/>
        <w:jc w:val="left"/>
        <w:rPr>
          <w:rFonts w:ascii="宋体" w:hAnsi="宋体" w:eastAsia="宋体" w:cs="宋体"/>
          <w:color w:val="auto"/>
          <w:kern w:val="0"/>
          <w:sz w:val="24"/>
          <w:szCs w:val="24"/>
        </w:rPr>
      </w:pPr>
    </w:p>
    <w:p w14:paraId="242623EE">
      <w:pPr>
        <w:widowControl/>
        <w:spacing w:line="360" w:lineRule="auto"/>
        <w:ind w:firstLine="420"/>
        <w:jc w:val="left"/>
        <w:rPr>
          <w:rFonts w:ascii="宋体" w:hAnsi="宋体" w:eastAsia="宋体" w:cs="宋体"/>
          <w:color w:val="auto"/>
          <w:sz w:val="24"/>
          <w:szCs w:val="24"/>
        </w:rPr>
      </w:pPr>
      <w:r>
        <w:rPr>
          <w:rFonts w:hint="eastAsia" w:ascii="宋体" w:hAnsi="宋体" w:eastAsia="宋体" w:cs="宋体"/>
          <w:color w:val="auto"/>
          <w:kern w:val="0"/>
          <w:sz w:val="24"/>
          <w:szCs w:val="24"/>
        </w:rPr>
        <w:t xml:space="preserve">                                           企业名称（盖章）：</w:t>
      </w:r>
      <w:r>
        <w:rPr>
          <w:rFonts w:hint="eastAsia" w:ascii="宋体" w:hAnsi="宋体" w:eastAsia="宋体" w:cs="宋体"/>
          <w:color w:val="auto"/>
          <w:kern w:val="0"/>
          <w:sz w:val="24"/>
          <w:szCs w:val="24"/>
          <w:u w:val="single"/>
        </w:rPr>
        <w:t xml:space="preserve">              </w:t>
      </w:r>
    </w:p>
    <w:p w14:paraId="002AC1FB">
      <w:pPr>
        <w:widowControl/>
        <w:spacing w:line="360" w:lineRule="auto"/>
        <w:jc w:val="right"/>
        <w:rPr>
          <w:rFonts w:ascii="宋体" w:hAnsi="宋体" w:eastAsia="宋体" w:cs="宋体"/>
          <w:color w:val="auto"/>
          <w:sz w:val="24"/>
          <w:szCs w:val="24"/>
          <w:u w:val="single"/>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76F62F93">
      <w:pPr>
        <w:widowControl/>
        <w:spacing w:line="360" w:lineRule="auto"/>
        <w:ind w:firstLine="420"/>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1.从业人员、营业收入、资产总额填报上一年度数据，无上一年度数据的新成立企业可不填报。</w:t>
      </w:r>
    </w:p>
    <w:p w14:paraId="0332FA24">
      <w:pPr>
        <w:pStyle w:val="14"/>
        <w:spacing w:line="360" w:lineRule="auto"/>
        <w:jc w:val="left"/>
        <w:rPr>
          <w:rFonts w:ascii="宋体" w:hAnsi="宋体" w:eastAsia="宋体" w:cs="宋体"/>
          <w:b w:val="0"/>
          <w:bCs w:val="0"/>
          <w:color w:val="auto"/>
          <w:sz w:val="24"/>
          <w:szCs w:val="24"/>
        </w:rPr>
      </w:pPr>
      <w:r>
        <w:rPr>
          <w:rFonts w:hint="eastAsia" w:ascii="宋体" w:hAnsi="宋体" w:eastAsia="宋体" w:cs="宋体"/>
          <w:color w:val="auto"/>
          <w:kern w:val="0"/>
          <w:sz w:val="24"/>
          <w:szCs w:val="24"/>
        </w:rPr>
        <w:t>2.属于中小微企业的填写，不属于的无需填写此项内容。</w:t>
      </w:r>
    </w:p>
    <w:p w14:paraId="2389B470">
      <w:pPr>
        <w:pStyle w:val="40"/>
        <w:ind w:firstLine="0" w:firstLineChars="0"/>
        <w:rPr>
          <w:rFonts w:hint="eastAsia" w:ascii="宋体" w:hAnsi="宋体" w:eastAsia="宋体" w:cs="宋体"/>
          <w:b/>
          <w:bCs/>
          <w:color w:val="auto"/>
          <w:sz w:val="28"/>
          <w:szCs w:val="28"/>
        </w:rPr>
      </w:pPr>
      <w:r>
        <w:rPr>
          <w:rFonts w:hint="eastAsia" w:ascii="宋体" w:hAnsi="宋体" w:eastAsia="宋体" w:cs="宋体"/>
          <w:b/>
          <w:bCs/>
          <w:color w:val="auto"/>
          <w:sz w:val="28"/>
          <w:szCs w:val="28"/>
        </w:rPr>
        <w:t>附表：</w:t>
      </w:r>
    </w:p>
    <w:p w14:paraId="7C589089">
      <w:pPr>
        <w:widowControl/>
        <w:spacing w:line="330" w:lineRule="atLeast"/>
        <w:ind w:firstLine="0" w:firstLineChars="0"/>
        <w:jc w:val="center"/>
        <w:rPr>
          <w:rFonts w:ascii="黑体" w:hAnsi="黑体" w:eastAsia="黑体" w:cs="黑体"/>
          <w:b/>
          <w:bCs/>
          <w:color w:val="auto"/>
          <w:kern w:val="0"/>
          <w:sz w:val="28"/>
          <w:szCs w:val="28"/>
        </w:rPr>
      </w:pPr>
      <w:r>
        <w:rPr>
          <w:rFonts w:hint="eastAsia" w:ascii="宋体" w:hAnsi="宋体" w:eastAsia="宋体" w:cs="宋体"/>
          <w:b/>
          <w:bCs/>
          <w:color w:val="auto"/>
          <w:kern w:val="0"/>
          <w:sz w:val="28"/>
          <w:szCs w:val="28"/>
        </w:rPr>
        <w:t>统计上大中小微型企业划分标准</w:t>
      </w:r>
    </w:p>
    <w:tbl>
      <w:tblPr>
        <w:tblStyle w:val="54"/>
        <w:tblW w:w="10212" w:type="dxa"/>
        <w:jc w:val="center"/>
        <w:tblLayout w:type="fixed"/>
        <w:tblCellMar>
          <w:top w:w="0" w:type="dxa"/>
          <w:left w:w="108" w:type="dxa"/>
          <w:bottom w:w="0" w:type="dxa"/>
          <w:right w:w="108" w:type="dxa"/>
        </w:tblCellMar>
      </w:tblPr>
      <w:tblGrid>
        <w:gridCol w:w="2065"/>
        <w:gridCol w:w="1498"/>
        <w:gridCol w:w="709"/>
        <w:gridCol w:w="1125"/>
        <w:gridCol w:w="1815"/>
        <w:gridCol w:w="1762"/>
        <w:gridCol w:w="1238"/>
      </w:tblGrid>
      <w:tr w14:paraId="755B99B5">
        <w:tblPrEx>
          <w:tblCellMar>
            <w:top w:w="0" w:type="dxa"/>
            <w:left w:w="108" w:type="dxa"/>
            <w:bottom w:w="0" w:type="dxa"/>
            <w:right w:w="108" w:type="dxa"/>
          </w:tblCellMar>
        </w:tblPrEx>
        <w:trPr>
          <w:trHeight w:val="786" w:hRule="exact"/>
          <w:jc w:val="center"/>
        </w:trPr>
        <w:tc>
          <w:tcPr>
            <w:tcW w:w="2065" w:type="dxa"/>
            <w:tcBorders>
              <w:top w:val="single" w:color="auto" w:sz="4" w:space="0"/>
              <w:left w:val="single" w:color="auto" w:sz="4" w:space="0"/>
              <w:bottom w:val="single" w:color="auto" w:sz="4" w:space="0"/>
              <w:right w:val="single" w:color="auto" w:sz="4" w:space="0"/>
            </w:tcBorders>
            <w:vAlign w:val="center"/>
          </w:tcPr>
          <w:p w14:paraId="526716B9">
            <w:pPr>
              <w:widowControl/>
              <w:spacing w:line="240" w:lineRule="exact"/>
              <w:ind w:firstLine="0" w:firstLineChars="0"/>
              <w:jc w:val="center"/>
              <w:rPr>
                <w:rFonts w:ascii="宋体" w:hAnsi="宋体" w:eastAsia="宋体" w:cs="宋体"/>
                <w:b/>
                <w:bCs/>
                <w:color w:val="auto"/>
                <w:kern w:val="0"/>
                <w:sz w:val="20"/>
              </w:rPr>
            </w:pPr>
            <w:r>
              <w:rPr>
                <w:rFonts w:hint="eastAsia" w:ascii="宋体" w:hAnsi="宋体" w:eastAsia="宋体" w:cs="宋体"/>
                <w:b/>
                <w:bCs/>
                <w:color w:val="auto"/>
                <w:kern w:val="0"/>
                <w:sz w:val="20"/>
              </w:rPr>
              <w:t>行业名称</w:t>
            </w:r>
          </w:p>
        </w:tc>
        <w:tc>
          <w:tcPr>
            <w:tcW w:w="1498" w:type="dxa"/>
            <w:tcBorders>
              <w:top w:val="single" w:color="auto" w:sz="4" w:space="0"/>
              <w:left w:val="nil"/>
              <w:bottom w:val="single" w:color="auto" w:sz="4" w:space="0"/>
              <w:right w:val="single" w:color="auto" w:sz="4" w:space="0"/>
            </w:tcBorders>
            <w:vAlign w:val="center"/>
          </w:tcPr>
          <w:p w14:paraId="58A063D8">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指标名称</w:t>
            </w:r>
          </w:p>
        </w:tc>
        <w:tc>
          <w:tcPr>
            <w:tcW w:w="709" w:type="dxa"/>
            <w:tcBorders>
              <w:top w:val="single" w:color="auto" w:sz="4" w:space="0"/>
              <w:left w:val="nil"/>
              <w:bottom w:val="single" w:color="auto" w:sz="4" w:space="0"/>
              <w:right w:val="single" w:color="auto" w:sz="4" w:space="0"/>
            </w:tcBorders>
            <w:vAlign w:val="center"/>
          </w:tcPr>
          <w:p w14:paraId="3EC75F60">
            <w:pPr>
              <w:widowControl/>
              <w:spacing w:line="240" w:lineRule="auto"/>
              <w:ind w:firstLine="0" w:firstLineChars="0"/>
              <w:jc w:val="center"/>
              <w:rPr>
                <w:rFonts w:hint="eastAsia" w:ascii="宋体" w:hAnsi="宋体" w:eastAsia="宋体" w:cs="宋体"/>
                <w:b/>
                <w:bCs/>
                <w:color w:val="auto"/>
                <w:kern w:val="0"/>
                <w:sz w:val="20"/>
                <w:szCs w:val="20"/>
                <w:lang w:eastAsia="zh-CN"/>
              </w:rPr>
            </w:pPr>
            <w:r>
              <w:rPr>
                <w:rFonts w:hint="eastAsia" w:ascii="宋体" w:hAnsi="宋体" w:eastAsia="宋体" w:cs="宋体"/>
                <w:b/>
                <w:bCs/>
                <w:color w:val="auto"/>
                <w:kern w:val="0"/>
                <w:sz w:val="20"/>
                <w:szCs w:val="20"/>
              </w:rPr>
              <w:t>计量</w:t>
            </w:r>
          </w:p>
          <w:p w14:paraId="0633549F">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单位</w:t>
            </w:r>
          </w:p>
        </w:tc>
        <w:tc>
          <w:tcPr>
            <w:tcW w:w="1125" w:type="dxa"/>
            <w:tcBorders>
              <w:top w:val="single" w:color="auto" w:sz="4" w:space="0"/>
              <w:left w:val="nil"/>
              <w:bottom w:val="single" w:color="auto" w:sz="4" w:space="0"/>
              <w:right w:val="single" w:color="auto" w:sz="4" w:space="0"/>
            </w:tcBorders>
            <w:vAlign w:val="center"/>
          </w:tcPr>
          <w:p w14:paraId="415440A0">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大型</w:t>
            </w:r>
          </w:p>
        </w:tc>
        <w:tc>
          <w:tcPr>
            <w:tcW w:w="1815" w:type="dxa"/>
            <w:tcBorders>
              <w:top w:val="single" w:color="auto" w:sz="4" w:space="0"/>
              <w:left w:val="nil"/>
              <w:bottom w:val="single" w:color="auto" w:sz="4" w:space="0"/>
              <w:right w:val="single" w:color="auto" w:sz="4" w:space="0"/>
            </w:tcBorders>
            <w:vAlign w:val="center"/>
          </w:tcPr>
          <w:p w14:paraId="31A53C19">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中型</w:t>
            </w:r>
          </w:p>
        </w:tc>
        <w:tc>
          <w:tcPr>
            <w:tcW w:w="1762" w:type="dxa"/>
            <w:tcBorders>
              <w:top w:val="single" w:color="auto" w:sz="4" w:space="0"/>
              <w:left w:val="nil"/>
              <w:bottom w:val="single" w:color="auto" w:sz="4" w:space="0"/>
              <w:right w:val="single" w:color="auto" w:sz="4" w:space="0"/>
            </w:tcBorders>
            <w:vAlign w:val="center"/>
          </w:tcPr>
          <w:p w14:paraId="245D20C3">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小型</w:t>
            </w:r>
          </w:p>
        </w:tc>
        <w:tc>
          <w:tcPr>
            <w:tcW w:w="1238" w:type="dxa"/>
            <w:tcBorders>
              <w:top w:val="single" w:color="auto" w:sz="4" w:space="0"/>
              <w:left w:val="nil"/>
              <w:bottom w:val="single" w:color="auto" w:sz="4" w:space="0"/>
              <w:right w:val="single" w:color="auto" w:sz="4" w:space="0"/>
            </w:tcBorders>
            <w:vAlign w:val="center"/>
          </w:tcPr>
          <w:p w14:paraId="53695655">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微型</w:t>
            </w:r>
          </w:p>
        </w:tc>
      </w:tr>
      <w:tr w14:paraId="1D74BA8D">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25CBF5CF">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农、林、牧、渔业</w:t>
            </w:r>
          </w:p>
        </w:tc>
        <w:tc>
          <w:tcPr>
            <w:tcW w:w="1498" w:type="dxa"/>
            <w:tcBorders>
              <w:top w:val="nil"/>
              <w:left w:val="nil"/>
              <w:bottom w:val="single" w:color="auto" w:sz="4" w:space="0"/>
              <w:right w:val="single" w:color="auto" w:sz="4" w:space="0"/>
            </w:tcBorders>
            <w:vAlign w:val="center"/>
          </w:tcPr>
          <w:p w14:paraId="75E354E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6E28071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599BEC3D">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Y≥20000</w:t>
            </w:r>
          </w:p>
        </w:tc>
        <w:tc>
          <w:tcPr>
            <w:tcW w:w="1815" w:type="dxa"/>
            <w:tcBorders>
              <w:top w:val="nil"/>
              <w:left w:val="nil"/>
              <w:bottom w:val="single" w:color="auto" w:sz="4" w:space="0"/>
              <w:right w:val="single" w:color="auto" w:sz="4" w:space="0"/>
            </w:tcBorders>
            <w:vAlign w:val="center"/>
          </w:tcPr>
          <w:p w14:paraId="5B5F7CF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500≤Y＜20000</w:t>
            </w:r>
          </w:p>
        </w:tc>
        <w:tc>
          <w:tcPr>
            <w:tcW w:w="1762" w:type="dxa"/>
            <w:tcBorders>
              <w:top w:val="nil"/>
              <w:left w:val="nil"/>
              <w:bottom w:val="single" w:color="auto" w:sz="4" w:space="0"/>
              <w:right w:val="single" w:color="auto" w:sz="4" w:space="0"/>
            </w:tcBorders>
            <w:vAlign w:val="center"/>
          </w:tcPr>
          <w:p w14:paraId="2FF1E20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50≤Y＜500</w:t>
            </w:r>
          </w:p>
        </w:tc>
        <w:tc>
          <w:tcPr>
            <w:tcW w:w="1238" w:type="dxa"/>
            <w:tcBorders>
              <w:top w:val="nil"/>
              <w:left w:val="nil"/>
              <w:bottom w:val="single" w:color="auto" w:sz="4" w:space="0"/>
              <w:right w:val="single" w:color="auto" w:sz="4" w:space="0"/>
            </w:tcBorders>
            <w:vAlign w:val="center"/>
          </w:tcPr>
          <w:p w14:paraId="03943AE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Y＜50</w:t>
            </w:r>
          </w:p>
        </w:tc>
      </w:tr>
      <w:tr w14:paraId="3B45BF6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6DFD60A1">
            <w:pPr>
              <w:widowControl/>
              <w:spacing w:line="240" w:lineRule="exact"/>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工业 *</w:t>
            </w:r>
          </w:p>
        </w:tc>
        <w:tc>
          <w:tcPr>
            <w:tcW w:w="1498" w:type="dxa"/>
            <w:tcBorders>
              <w:top w:val="nil"/>
              <w:left w:val="nil"/>
              <w:bottom w:val="nil"/>
              <w:right w:val="single" w:color="auto" w:sz="4" w:space="0"/>
            </w:tcBorders>
            <w:vAlign w:val="center"/>
          </w:tcPr>
          <w:p w14:paraId="7CDDE112">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从业人员(X)</w:t>
            </w:r>
          </w:p>
        </w:tc>
        <w:tc>
          <w:tcPr>
            <w:tcW w:w="709" w:type="dxa"/>
            <w:tcBorders>
              <w:top w:val="nil"/>
              <w:left w:val="nil"/>
              <w:bottom w:val="nil"/>
              <w:right w:val="single" w:color="auto" w:sz="4" w:space="0"/>
            </w:tcBorders>
            <w:vAlign w:val="center"/>
          </w:tcPr>
          <w:p w14:paraId="619CDAE5">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人</w:t>
            </w:r>
          </w:p>
        </w:tc>
        <w:tc>
          <w:tcPr>
            <w:tcW w:w="1125" w:type="dxa"/>
            <w:tcBorders>
              <w:top w:val="nil"/>
              <w:left w:val="nil"/>
              <w:bottom w:val="nil"/>
              <w:right w:val="single" w:color="auto" w:sz="4" w:space="0"/>
            </w:tcBorders>
            <w:vAlign w:val="center"/>
          </w:tcPr>
          <w:p w14:paraId="636234F9">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X≥1000</w:t>
            </w:r>
          </w:p>
        </w:tc>
        <w:tc>
          <w:tcPr>
            <w:tcW w:w="1815" w:type="dxa"/>
            <w:tcBorders>
              <w:top w:val="nil"/>
              <w:left w:val="nil"/>
              <w:bottom w:val="nil"/>
              <w:right w:val="single" w:color="auto" w:sz="4" w:space="0"/>
            </w:tcBorders>
            <w:vAlign w:val="center"/>
          </w:tcPr>
          <w:p w14:paraId="5EC94547">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300≤X＜1000</w:t>
            </w:r>
          </w:p>
        </w:tc>
        <w:tc>
          <w:tcPr>
            <w:tcW w:w="1762" w:type="dxa"/>
            <w:tcBorders>
              <w:top w:val="nil"/>
              <w:left w:val="nil"/>
              <w:bottom w:val="nil"/>
              <w:right w:val="single" w:color="auto" w:sz="4" w:space="0"/>
            </w:tcBorders>
            <w:vAlign w:val="center"/>
          </w:tcPr>
          <w:p w14:paraId="2E00BF6E">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20≤X＜300</w:t>
            </w:r>
          </w:p>
        </w:tc>
        <w:tc>
          <w:tcPr>
            <w:tcW w:w="1238" w:type="dxa"/>
            <w:tcBorders>
              <w:top w:val="nil"/>
              <w:left w:val="nil"/>
              <w:bottom w:val="nil"/>
              <w:right w:val="single" w:color="auto" w:sz="4" w:space="0"/>
            </w:tcBorders>
            <w:vAlign w:val="center"/>
          </w:tcPr>
          <w:p w14:paraId="000ED166">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X＜20</w:t>
            </w:r>
          </w:p>
        </w:tc>
      </w:tr>
      <w:tr w14:paraId="4FDB6B23">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A62089D">
            <w:pPr>
              <w:widowControl/>
              <w:spacing w:line="240" w:lineRule="auto"/>
              <w:ind w:firstLine="0" w:firstLineChars="0"/>
              <w:jc w:val="center"/>
              <w:rPr>
                <w:rFonts w:ascii="宋体" w:hAnsi="宋体" w:eastAsia="宋体" w:cs="宋体"/>
                <w:b/>
                <w:bCs/>
                <w:color w:val="auto"/>
                <w:kern w:val="0"/>
                <w:sz w:val="20"/>
                <w:szCs w:val="20"/>
              </w:rPr>
            </w:pPr>
          </w:p>
        </w:tc>
        <w:tc>
          <w:tcPr>
            <w:tcW w:w="1498" w:type="dxa"/>
            <w:tcBorders>
              <w:top w:val="nil"/>
              <w:left w:val="nil"/>
              <w:bottom w:val="single" w:color="auto" w:sz="4" w:space="0"/>
              <w:right w:val="single" w:color="auto" w:sz="4" w:space="0"/>
            </w:tcBorders>
            <w:vAlign w:val="center"/>
          </w:tcPr>
          <w:p w14:paraId="4A83A68D">
            <w:pPr>
              <w:widowControl/>
              <w:spacing w:line="240" w:lineRule="exact"/>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3496C8C3">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4EC64889">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Y≥40000</w:t>
            </w:r>
          </w:p>
        </w:tc>
        <w:tc>
          <w:tcPr>
            <w:tcW w:w="1815" w:type="dxa"/>
            <w:tcBorders>
              <w:top w:val="nil"/>
              <w:left w:val="nil"/>
              <w:bottom w:val="single" w:color="auto" w:sz="4" w:space="0"/>
              <w:right w:val="single" w:color="auto" w:sz="4" w:space="0"/>
            </w:tcBorders>
            <w:vAlign w:val="center"/>
          </w:tcPr>
          <w:p w14:paraId="5D071BE0">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2000≤Y＜40000</w:t>
            </w:r>
          </w:p>
        </w:tc>
        <w:tc>
          <w:tcPr>
            <w:tcW w:w="1762" w:type="dxa"/>
            <w:tcBorders>
              <w:top w:val="nil"/>
              <w:left w:val="nil"/>
              <w:bottom w:val="single" w:color="auto" w:sz="4" w:space="0"/>
              <w:right w:val="single" w:color="auto" w:sz="4" w:space="0"/>
            </w:tcBorders>
            <w:vAlign w:val="center"/>
          </w:tcPr>
          <w:p w14:paraId="5734A011">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300≤Y＜2000</w:t>
            </w:r>
          </w:p>
        </w:tc>
        <w:tc>
          <w:tcPr>
            <w:tcW w:w="1238" w:type="dxa"/>
            <w:tcBorders>
              <w:top w:val="nil"/>
              <w:left w:val="nil"/>
              <w:bottom w:val="single" w:color="auto" w:sz="4" w:space="0"/>
              <w:right w:val="single" w:color="auto" w:sz="4" w:space="0"/>
            </w:tcBorders>
            <w:vAlign w:val="center"/>
          </w:tcPr>
          <w:p w14:paraId="507E6038">
            <w:pPr>
              <w:widowControl/>
              <w:spacing w:line="240" w:lineRule="auto"/>
              <w:ind w:firstLine="0" w:firstLineChars="0"/>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Y＜300</w:t>
            </w:r>
          </w:p>
        </w:tc>
      </w:tr>
      <w:tr w14:paraId="7BB026B4">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7821A5F">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建筑业</w:t>
            </w:r>
          </w:p>
        </w:tc>
        <w:tc>
          <w:tcPr>
            <w:tcW w:w="1498" w:type="dxa"/>
            <w:tcBorders>
              <w:top w:val="nil"/>
              <w:left w:val="nil"/>
              <w:bottom w:val="nil"/>
              <w:right w:val="single" w:color="auto" w:sz="4" w:space="0"/>
            </w:tcBorders>
            <w:vAlign w:val="center"/>
          </w:tcPr>
          <w:p w14:paraId="4EA9B7C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nil"/>
              <w:right w:val="single" w:color="auto" w:sz="4" w:space="0"/>
            </w:tcBorders>
            <w:vAlign w:val="center"/>
          </w:tcPr>
          <w:p w14:paraId="3F97893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nil"/>
              <w:right w:val="single" w:color="auto" w:sz="4" w:space="0"/>
            </w:tcBorders>
            <w:vAlign w:val="center"/>
          </w:tcPr>
          <w:p w14:paraId="3CA9F1A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Y≥80000</w:t>
            </w:r>
          </w:p>
        </w:tc>
        <w:tc>
          <w:tcPr>
            <w:tcW w:w="1815" w:type="dxa"/>
            <w:tcBorders>
              <w:top w:val="nil"/>
              <w:left w:val="nil"/>
              <w:bottom w:val="nil"/>
              <w:right w:val="single" w:color="auto" w:sz="4" w:space="0"/>
            </w:tcBorders>
            <w:vAlign w:val="center"/>
          </w:tcPr>
          <w:p w14:paraId="29F1E10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6000≤Y＜80000</w:t>
            </w:r>
          </w:p>
        </w:tc>
        <w:tc>
          <w:tcPr>
            <w:tcW w:w="1762" w:type="dxa"/>
            <w:tcBorders>
              <w:top w:val="nil"/>
              <w:left w:val="nil"/>
              <w:bottom w:val="nil"/>
              <w:right w:val="single" w:color="auto" w:sz="4" w:space="0"/>
            </w:tcBorders>
            <w:vAlign w:val="center"/>
          </w:tcPr>
          <w:p w14:paraId="5B76631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300≤Y＜6000</w:t>
            </w:r>
          </w:p>
        </w:tc>
        <w:tc>
          <w:tcPr>
            <w:tcW w:w="1238" w:type="dxa"/>
            <w:tcBorders>
              <w:top w:val="nil"/>
              <w:left w:val="nil"/>
              <w:bottom w:val="nil"/>
              <w:right w:val="single" w:color="auto" w:sz="4" w:space="0"/>
            </w:tcBorders>
            <w:vAlign w:val="center"/>
          </w:tcPr>
          <w:p w14:paraId="47DF721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Y＜300</w:t>
            </w:r>
          </w:p>
        </w:tc>
      </w:tr>
      <w:tr w14:paraId="182309D1">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5D817BA4">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7D09BC4C">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资产总额(Z)</w:t>
            </w:r>
          </w:p>
        </w:tc>
        <w:tc>
          <w:tcPr>
            <w:tcW w:w="709" w:type="dxa"/>
            <w:tcBorders>
              <w:top w:val="nil"/>
              <w:left w:val="nil"/>
              <w:bottom w:val="single" w:color="auto" w:sz="4" w:space="0"/>
              <w:right w:val="single" w:color="auto" w:sz="4" w:space="0"/>
            </w:tcBorders>
            <w:vAlign w:val="center"/>
          </w:tcPr>
          <w:p w14:paraId="69DFF1F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3B6AA09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Z≥80000</w:t>
            </w:r>
          </w:p>
        </w:tc>
        <w:tc>
          <w:tcPr>
            <w:tcW w:w="1815" w:type="dxa"/>
            <w:tcBorders>
              <w:top w:val="nil"/>
              <w:left w:val="nil"/>
              <w:bottom w:val="single" w:color="auto" w:sz="4" w:space="0"/>
              <w:right w:val="single" w:color="auto" w:sz="4" w:space="0"/>
            </w:tcBorders>
            <w:vAlign w:val="center"/>
          </w:tcPr>
          <w:p w14:paraId="1821909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5000≤Z＜80000</w:t>
            </w:r>
          </w:p>
        </w:tc>
        <w:tc>
          <w:tcPr>
            <w:tcW w:w="1762" w:type="dxa"/>
            <w:tcBorders>
              <w:top w:val="nil"/>
              <w:left w:val="nil"/>
              <w:bottom w:val="single" w:color="auto" w:sz="4" w:space="0"/>
              <w:right w:val="single" w:color="auto" w:sz="4" w:space="0"/>
            </w:tcBorders>
            <w:vAlign w:val="center"/>
          </w:tcPr>
          <w:p w14:paraId="12E5C5C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300≤Z＜5000</w:t>
            </w:r>
          </w:p>
        </w:tc>
        <w:tc>
          <w:tcPr>
            <w:tcW w:w="1238" w:type="dxa"/>
            <w:tcBorders>
              <w:top w:val="nil"/>
              <w:left w:val="nil"/>
              <w:bottom w:val="single" w:color="auto" w:sz="4" w:space="0"/>
              <w:right w:val="single" w:color="auto" w:sz="4" w:space="0"/>
            </w:tcBorders>
            <w:vAlign w:val="center"/>
          </w:tcPr>
          <w:p w14:paraId="39478BE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Z＜300</w:t>
            </w:r>
          </w:p>
        </w:tc>
      </w:tr>
      <w:tr w14:paraId="2033A5D0">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63CCB870">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批发业</w:t>
            </w:r>
          </w:p>
        </w:tc>
        <w:tc>
          <w:tcPr>
            <w:tcW w:w="1498" w:type="dxa"/>
            <w:tcBorders>
              <w:top w:val="nil"/>
              <w:left w:val="nil"/>
              <w:bottom w:val="nil"/>
              <w:right w:val="single" w:color="auto" w:sz="4" w:space="0"/>
            </w:tcBorders>
            <w:vAlign w:val="center"/>
          </w:tcPr>
          <w:p w14:paraId="50411D2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08CD6ED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5392575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X≥200</w:t>
            </w:r>
          </w:p>
        </w:tc>
        <w:tc>
          <w:tcPr>
            <w:tcW w:w="1815" w:type="dxa"/>
            <w:tcBorders>
              <w:top w:val="nil"/>
              <w:left w:val="nil"/>
              <w:bottom w:val="nil"/>
              <w:right w:val="single" w:color="auto" w:sz="4" w:space="0"/>
            </w:tcBorders>
            <w:vAlign w:val="center"/>
          </w:tcPr>
          <w:p w14:paraId="0307F62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20≤X＜200</w:t>
            </w:r>
          </w:p>
        </w:tc>
        <w:tc>
          <w:tcPr>
            <w:tcW w:w="1762" w:type="dxa"/>
            <w:tcBorders>
              <w:top w:val="nil"/>
              <w:left w:val="nil"/>
              <w:bottom w:val="nil"/>
              <w:right w:val="single" w:color="auto" w:sz="4" w:space="0"/>
            </w:tcBorders>
            <w:vAlign w:val="center"/>
          </w:tcPr>
          <w:p w14:paraId="5633391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5≤X＜20</w:t>
            </w:r>
          </w:p>
        </w:tc>
        <w:tc>
          <w:tcPr>
            <w:tcW w:w="1238" w:type="dxa"/>
            <w:tcBorders>
              <w:top w:val="nil"/>
              <w:left w:val="nil"/>
              <w:bottom w:val="nil"/>
              <w:right w:val="single" w:color="auto" w:sz="4" w:space="0"/>
            </w:tcBorders>
            <w:vAlign w:val="center"/>
          </w:tcPr>
          <w:p w14:paraId="79972255">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X＜5</w:t>
            </w:r>
          </w:p>
        </w:tc>
      </w:tr>
      <w:tr w14:paraId="54F73D79">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114C32F6">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0558698E">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14C4AE3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43250C7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Y≥40000</w:t>
            </w:r>
          </w:p>
        </w:tc>
        <w:tc>
          <w:tcPr>
            <w:tcW w:w="1815" w:type="dxa"/>
            <w:tcBorders>
              <w:top w:val="nil"/>
              <w:left w:val="nil"/>
              <w:bottom w:val="single" w:color="auto" w:sz="4" w:space="0"/>
              <w:right w:val="single" w:color="auto" w:sz="4" w:space="0"/>
            </w:tcBorders>
            <w:vAlign w:val="center"/>
          </w:tcPr>
          <w:p w14:paraId="600A283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5000≤Y＜40000</w:t>
            </w:r>
          </w:p>
        </w:tc>
        <w:tc>
          <w:tcPr>
            <w:tcW w:w="1762" w:type="dxa"/>
            <w:tcBorders>
              <w:top w:val="nil"/>
              <w:left w:val="nil"/>
              <w:bottom w:val="single" w:color="auto" w:sz="4" w:space="0"/>
              <w:right w:val="single" w:color="auto" w:sz="4" w:space="0"/>
            </w:tcBorders>
            <w:vAlign w:val="center"/>
          </w:tcPr>
          <w:p w14:paraId="5CCBCAF1">
            <w:pPr>
              <w:widowControl/>
              <w:spacing w:line="240" w:lineRule="auto"/>
              <w:ind w:left="-1" w:leftChars="-1" w:hanging="1"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1000≤Y＜5000</w:t>
            </w:r>
          </w:p>
        </w:tc>
        <w:tc>
          <w:tcPr>
            <w:tcW w:w="1238" w:type="dxa"/>
            <w:tcBorders>
              <w:top w:val="nil"/>
              <w:left w:val="nil"/>
              <w:bottom w:val="single" w:color="auto" w:sz="4" w:space="0"/>
              <w:right w:val="single" w:color="auto" w:sz="4" w:space="0"/>
            </w:tcBorders>
            <w:vAlign w:val="center"/>
          </w:tcPr>
          <w:p w14:paraId="0880967D">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Y＜1000</w:t>
            </w:r>
          </w:p>
        </w:tc>
      </w:tr>
      <w:tr w14:paraId="65AE65A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94A5D02">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零售业</w:t>
            </w:r>
          </w:p>
        </w:tc>
        <w:tc>
          <w:tcPr>
            <w:tcW w:w="1498" w:type="dxa"/>
            <w:tcBorders>
              <w:top w:val="nil"/>
              <w:left w:val="nil"/>
              <w:bottom w:val="nil"/>
              <w:right w:val="single" w:color="auto" w:sz="4" w:space="0"/>
            </w:tcBorders>
            <w:vAlign w:val="center"/>
          </w:tcPr>
          <w:p w14:paraId="0984F9E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6679772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15B7394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815" w:type="dxa"/>
            <w:tcBorders>
              <w:top w:val="nil"/>
              <w:left w:val="nil"/>
              <w:bottom w:val="nil"/>
              <w:right w:val="single" w:color="auto" w:sz="4" w:space="0"/>
            </w:tcBorders>
            <w:vAlign w:val="center"/>
          </w:tcPr>
          <w:p w14:paraId="4ADA94D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50≤X＜300</w:t>
            </w:r>
          </w:p>
        </w:tc>
        <w:tc>
          <w:tcPr>
            <w:tcW w:w="1762" w:type="dxa"/>
            <w:tcBorders>
              <w:top w:val="nil"/>
              <w:left w:val="nil"/>
              <w:bottom w:val="nil"/>
              <w:right w:val="single" w:color="auto" w:sz="4" w:space="0"/>
            </w:tcBorders>
            <w:vAlign w:val="center"/>
          </w:tcPr>
          <w:p w14:paraId="6E2A63F5">
            <w:pPr>
              <w:widowControl/>
              <w:spacing w:line="240" w:lineRule="auto"/>
              <w:ind w:left="-1" w:leftChars="-1" w:hanging="1"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10≤X＜50</w:t>
            </w:r>
          </w:p>
        </w:tc>
        <w:tc>
          <w:tcPr>
            <w:tcW w:w="1238" w:type="dxa"/>
            <w:tcBorders>
              <w:top w:val="nil"/>
              <w:left w:val="nil"/>
              <w:bottom w:val="nil"/>
              <w:right w:val="single" w:color="auto" w:sz="4" w:space="0"/>
            </w:tcBorders>
            <w:vAlign w:val="center"/>
          </w:tcPr>
          <w:p w14:paraId="2DECAAF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6501BA2B">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88AD9CC">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48E75A79">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57349FD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2FC4899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Y≥20000</w:t>
            </w:r>
          </w:p>
        </w:tc>
        <w:tc>
          <w:tcPr>
            <w:tcW w:w="1815" w:type="dxa"/>
            <w:tcBorders>
              <w:top w:val="nil"/>
              <w:left w:val="nil"/>
              <w:bottom w:val="single" w:color="auto" w:sz="4" w:space="0"/>
              <w:right w:val="single" w:color="auto" w:sz="4" w:space="0"/>
            </w:tcBorders>
            <w:vAlign w:val="center"/>
          </w:tcPr>
          <w:p w14:paraId="24718EC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500≤Y＜20000</w:t>
            </w:r>
          </w:p>
        </w:tc>
        <w:tc>
          <w:tcPr>
            <w:tcW w:w="1762" w:type="dxa"/>
            <w:tcBorders>
              <w:top w:val="nil"/>
              <w:left w:val="nil"/>
              <w:bottom w:val="single" w:color="auto" w:sz="4" w:space="0"/>
              <w:right w:val="single" w:color="auto" w:sz="4" w:space="0"/>
            </w:tcBorders>
            <w:vAlign w:val="center"/>
          </w:tcPr>
          <w:p w14:paraId="0F9E8B2B">
            <w:pPr>
              <w:widowControl/>
              <w:spacing w:line="240" w:lineRule="auto"/>
              <w:ind w:left="-1" w:leftChars="-1" w:hanging="1"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100≤Y＜500</w:t>
            </w:r>
          </w:p>
        </w:tc>
        <w:tc>
          <w:tcPr>
            <w:tcW w:w="1238" w:type="dxa"/>
            <w:tcBorders>
              <w:top w:val="nil"/>
              <w:left w:val="nil"/>
              <w:bottom w:val="single" w:color="auto" w:sz="4" w:space="0"/>
              <w:right w:val="single" w:color="auto" w:sz="4" w:space="0"/>
            </w:tcBorders>
            <w:vAlign w:val="center"/>
          </w:tcPr>
          <w:p w14:paraId="00A8153D">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63E418A9">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4E76FA3">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交通运输业 *</w:t>
            </w:r>
          </w:p>
        </w:tc>
        <w:tc>
          <w:tcPr>
            <w:tcW w:w="1498" w:type="dxa"/>
            <w:tcBorders>
              <w:top w:val="nil"/>
              <w:left w:val="nil"/>
              <w:bottom w:val="nil"/>
              <w:right w:val="single" w:color="auto" w:sz="4" w:space="0"/>
            </w:tcBorders>
            <w:vAlign w:val="center"/>
          </w:tcPr>
          <w:p w14:paraId="58952BFD">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6A1BBF8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03649F7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X≥1000</w:t>
            </w:r>
          </w:p>
        </w:tc>
        <w:tc>
          <w:tcPr>
            <w:tcW w:w="1815" w:type="dxa"/>
            <w:tcBorders>
              <w:top w:val="nil"/>
              <w:left w:val="nil"/>
              <w:bottom w:val="nil"/>
              <w:right w:val="single" w:color="auto" w:sz="4" w:space="0"/>
            </w:tcBorders>
            <w:vAlign w:val="center"/>
          </w:tcPr>
          <w:p w14:paraId="48E09FF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300≤X＜1000</w:t>
            </w:r>
          </w:p>
        </w:tc>
        <w:tc>
          <w:tcPr>
            <w:tcW w:w="1762" w:type="dxa"/>
            <w:tcBorders>
              <w:top w:val="nil"/>
              <w:left w:val="nil"/>
              <w:bottom w:val="nil"/>
              <w:right w:val="single" w:color="auto" w:sz="4" w:space="0"/>
            </w:tcBorders>
            <w:vAlign w:val="center"/>
          </w:tcPr>
          <w:p w14:paraId="4561E28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20≤X＜300</w:t>
            </w:r>
          </w:p>
        </w:tc>
        <w:tc>
          <w:tcPr>
            <w:tcW w:w="1238" w:type="dxa"/>
            <w:tcBorders>
              <w:top w:val="nil"/>
              <w:left w:val="nil"/>
              <w:bottom w:val="nil"/>
              <w:right w:val="single" w:color="auto" w:sz="4" w:space="0"/>
            </w:tcBorders>
            <w:vAlign w:val="center"/>
          </w:tcPr>
          <w:p w14:paraId="6CB111A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X＜20</w:t>
            </w:r>
          </w:p>
        </w:tc>
      </w:tr>
      <w:tr w14:paraId="0650B21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2AA3A1BB">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17419241">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716293A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7D137C0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Y≥30000</w:t>
            </w:r>
          </w:p>
        </w:tc>
        <w:tc>
          <w:tcPr>
            <w:tcW w:w="1815" w:type="dxa"/>
            <w:tcBorders>
              <w:top w:val="nil"/>
              <w:left w:val="nil"/>
              <w:bottom w:val="single" w:color="auto" w:sz="4" w:space="0"/>
              <w:right w:val="single" w:color="auto" w:sz="4" w:space="0"/>
            </w:tcBorders>
            <w:vAlign w:val="center"/>
          </w:tcPr>
          <w:p w14:paraId="1A703064">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3000≤Y＜30000</w:t>
            </w:r>
          </w:p>
        </w:tc>
        <w:tc>
          <w:tcPr>
            <w:tcW w:w="1762" w:type="dxa"/>
            <w:tcBorders>
              <w:top w:val="nil"/>
              <w:left w:val="nil"/>
              <w:bottom w:val="single" w:color="auto" w:sz="4" w:space="0"/>
              <w:right w:val="single" w:color="auto" w:sz="4" w:space="0"/>
            </w:tcBorders>
            <w:vAlign w:val="center"/>
          </w:tcPr>
          <w:p w14:paraId="45A3C3D5">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200≤Y＜3000</w:t>
            </w:r>
          </w:p>
        </w:tc>
        <w:tc>
          <w:tcPr>
            <w:tcW w:w="1238" w:type="dxa"/>
            <w:tcBorders>
              <w:top w:val="nil"/>
              <w:left w:val="nil"/>
              <w:bottom w:val="single" w:color="auto" w:sz="4" w:space="0"/>
              <w:right w:val="single" w:color="auto" w:sz="4" w:space="0"/>
            </w:tcBorders>
            <w:vAlign w:val="center"/>
          </w:tcPr>
          <w:p w14:paraId="7021633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Y＜200</w:t>
            </w:r>
          </w:p>
        </w:tc>
      </w:tr>
      <w:tr w14:paraId="71F5797A">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4DDCBE2">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仓储业*</w:t>
            </w:r>
          </w:p>
        </w:tc>
        <w:tc>
          <w:tcPr>
            <w:tcW w:w="1498" w:type="dxa"/>
            <w:tcBorders>
              <w:top w:val="nil"/>
              <w:left w:val="nil"/>
              <w:bottom w:val="nil"/>
              <w:right w:val="single" w:color="auto" w:sz="4" w:space="0"/>
            </w:tcBorders>
            <w:vAlign w:val="center"/>
          </w:tcPr>
          <w:p w14:paraId="5A17789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7716457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4120B1F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X≥200</w:t>
            </w:r>
          </w:p>
        </w:tc>
        <w:tc>
          <w:tcPr>
            <w:tcW w:w="1815" w:type="dxa"/>
            <w:tcBorders>
              <w:top w:val="nil"/>
              <w:left w:val="nil"/>
              <w:bottom w:val="nil"/>
              <w:right w:val="single" w:color="auto" w:sz="4" w:space="0"/>
            </w:tcBorders>
            <w:vAlign w:val="center"/>
          </w:tcPr>
          <w:p w14:paraId="476794AB">
            <w:pPr>
              <w:widowControl/>
              <w:spacing w:line="240" w:lineRule="auto"/>
              <w:ind w:left="13" w:leftChars="-51" w:hanging="120" w:hangingChars="6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100≤X＜200</w:t>
            </w:r>
          </w:p>
        </w:tc>
        <w:tc>
          <w:tcPr>
            <w:tcW w:w="1762" w:type="dxa"/>
            <w:tcBorders>
              <w:top w:val="nil"/>
              <w:left w:val="nil"/>
              <w:bottom w:val="nil"/>
              <w:right w:val="single" w:color="auto" w:sz="4" w:space="0"/>
            </w:tcBorders>
            <w:vAlign w:val="center"/>
          </w:tcPr>
          <w:p w14:paraId="0C507474">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20≤X＜100</w:t>
            </w:r>
          </w:p>
        </w:tc>
        <w:tc>
          <w:tcPr>
            <w:tcW w:w="1238" w:type="dxa"/>
            <w:tcBorders>
              <w:top w:val="nil"/>
              <w:left w:val="nil"/>
              <w:bottom w:val="nil"/>
              <w:right w:val="single" w:color="auto" w:sz="4" w:space="0"/>
            </w:tcBorders>
            <w:vAlign w:val="center"/>
          </w:tcPr>
          <w:p w14:paraId="0485D68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X＜20</w:t>
            </w:r>
          </w:p>
        </w:tc>
      </w:tr>
      <w:tr w14:paraId="2D9037DB">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50508673">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05D9E866">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08FB998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6DE334A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Y≥30000</w:t>
            </w:r>
          </w:p>
        </w:tc>
        <w:tc>
          <w:tcPr>
            <w:tcW w:w="1815" w:type="dxa"/>
            <w:tcBorders>
              <w:top w:val="nil"/>
              <w:left w:val="nil"/>
              <w:bottom w:val="single" w:color="auto" w:sz="4" w:space="0"/>
              <w:right w:val="single" w:color="auto" w:sz="4" w:space="0"/>
            </w:tcBorders>
            <w:vAlign w:val="center"/>
          </w:tcPr>
          <w:p w14:paraId="029C1BF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1000≤Y＜30000</w:t>
            </w:r>
          </w:p>
        </w:tc>
        <w:tc>
          <w:tcPr>
            <w:tcW w:w="1762" w:type="dxa"/>
            <w:tcBorders>
              <w:top w:val="nil"/>
              <w:left w:val="nil"/>
              <w:bottom w:val="single" w:color="auto" w:sz="4" w:space="0"/>
              <w:right w:val="single" w:color="auto" w:sz="4" w:space="0"/>
            </w:tcBorders>
            <w:vAlign w:val="center"/>
          </w:tcPr>
          <w:p w14:paraId="0BA9D32D">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100≤Y＜1000</w:t>
            </w:r>
          </w:p>
        </w:tc>
        <w:tc>
          <w:tcPr>
            <w:tcW w:w="1238" w:type="dxa"/>
            <w:tcBorders>
              <w:top w:val="nil"/>
              <w:left w:val="nil"/>
              <w:bottom w:val="single" w:color="auto" w:sz="4" w:space="0"/>
              <w:right w:val="single" w:color="auto" w:sz="4" w:space="0"/>
            </w:tcBorders>
            <w:vAlign w:val="center"/>
          </w:tcPr>
          <w:p w14:paraId="10FE8AC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004C2D10">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1F0DA50">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邮政业</w:t>
            </w:r>
          </w:p>
        </w:tc>
        <w:tc>
          <w:tcPr>
            <w:tcW w:w="1498" w:type="dxa"/>
            <w:tcBorders>
              <w:top w:val="nil"/>
              <w:left w:val="nil"/>
              <w:bottom w:val="nil"/>
              <w:right w:val="single" w:color="auto" w:sz="4" w:space="0"/>
            </w:tcBorders>
            <w:vAlign w:val="center"/>
          </w:tcPr>
          <w:p w14:paraId="6FA5700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3DD0498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796E15C4">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X≥1000</w:t>
            </w:r>
          </w:p>
        </w:tc>
        <w:tc>
          <w:tcPr>
            <w:tcW w:w="1815" w:type="dxa"/>
            <w:tcBorders>
              <w:top w:val="nil"/>
              <w:left w:val="nil"/>
              <w:bottom w:val="nil"/>
              <w:right w:val="single" w:color="auto" w:sz="4" w:space="0"/>
            </w:tcBorders>
            <w:vAlign w:val="center"/>
          </w:tcPr>
          <w:p w14:paraId="51A35514">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300≤X＜1000</w:t>
            </w:r>
          </w:p>
        </w:tc>
        <w:tc>
          <w:tcPr>
            <w:tcW w:w="1762" w:type="dxa"/>
            <w:tcBorders>
              <w:top w:val="nil"/>
              <w:left w:val="nil"/>
              <w:bottom w:val="nil"/>
              <w:right w:val="single" w:color="auto" w:sz="4" w:space="0"/>
            </w:tcBorders>
            <w:vAlign w:val="center"/>
          </w:tcPr>
          <w:p w14:paraId="1678214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20≤X＜300</w:t>
            </w:r>
          </w:p>
        </w:tc>
        <w:tc>
          <w:tcPr>
            <w:tcW w:w="1238" w:type="dxa"/>
            <w:tcBorders>
              <w:top w:val="nil"/>
              <w:left w:val="nil"/>
              <w:bottom w:val="nil"/>
              <w:right w:val="single" w:color="auto" w:sz="4" w:space="0"/>
            </w:tcBorders>
            <w:vAlign w:val="center"/>
          </w:tcPr>
          <w:p w14:paraId="06856AE5">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X＜20</w:t>
            </w:r>
          </w:p>
        </w:tc>
      </w:tr>
      <w:tr w14:paraId="23E6AAC8">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F97AAB0">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101267EB">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5DCDD3E5">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0D7CF46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Y≥30000</w:t>
            </w:r>
          </w:p>
        </w:tc>
        <w:tc>
          <w:tcPr>
            <w:tcW w:w="1815" w:type="dxa"/>
            <w:tcBorders>
              <w:top w:val="nil"/>
              <w:left w:val="nil"/>
              <w:bottom w:val="single" w:color="auto" w:sz="4" w:space="0"/>
              <w:right w:val="single" w:color="auto" w:sz="4" w:space="0"/>
            </w:tcBorders>
            <w:vAlign w:val="center"/>
          </w:tcPr>
          <w:p w14:paraId="6D75FCD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2000≤Y＜30000</w:t>
            </w:r>
          </w:p>
        </w:tc>
        <w:tc>
          <w:tcPr>
            <w:tcW w:w="1762" w:type="dxa"/>
            <w:tcBorders>
              <w:top w:val="nil"/>
              <w:left w:val="nil"/>
              <w:bottom w:val="single" w:color="auto" w:sz="4" w:space="0"/>
              <w:right w:val="single" w:color="auto" w:sz="4" w:space="0"/>
            </w:tcBorders>
            <w:vAlign w:val="center"/>
          </w:tcPr>
          <w:p w14:paraId="27E7460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100≤Y＜2000</w:t>
            </w:r>
          </w:p>
        </w:tc>
        <w:tc>
          <w:tcPr>
            <w:tcW w:w="1238" w:type="dxa"/>
            <w:tcBorders>
              <w:top w:val="nil"/>
              <w:left w:val="nil"/>
              <w:bottom w:val="single" w:color="auto" w:sz="4" w:space="0"/>
              <w:right w:val="single" w:color="auto" w:sz="4" w:space="0"/>
            </w:tcBorders>
            <w:vAlign w:val="center"/>
          </w:tcPr>
          <w:p w14:paraId="2FF07FF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7648D70D">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677397A2">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住宿业</w:t>
            </w:r>
          </w:p>
        </w:tc>
        <w:tc>
          <w:tcPr>
            <w:tcW w:w="1498" w:type="dxa"/>
            <w:tcBorders>
              <w:top w:val="nil"/>
              <w:left w:val="nil"/>
              <w:bottom w:val="nil"/>
              <w:right w:val="single" w:color="auto" w:sz="4" w:space="0"/>
            </w:tcBorders>
            <w:vAlign w:val="center"/>
          </w:tcPr>
          <w:p w14:paraId="0DE28F24">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42BDF57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3B8D58E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815" w:type="dxa"/>
            <w:tcBorders>
              <w:top w:val="nil"/>
              <w:left w:val="nil"/>
              <w:bottom w:val="nil"/>
              <w:right w:val="single" w:color="auto" w:sz="4" w:space="0"/>
            </w:tcBorders>
            <w:vAlign w:val="center"/>
          </w:tcPr>
          <w:p w14:paraId="2AFE5C9F">
            <w:pPr>
              <w:widowControl/>
              <w:spacing w:line="240" w:lineRule="auto"/>
              <w:ind w:left="13" w:leftChars="-51" w:hanging="120" w:hangingChars="6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762" w:type="dxa"/>
            <w:tcBorders>
              <w:top w:val="nil"/>
              <w:left w:val="nil"/>
              <w:bottom w:val="nil"/>
              <w:right w:val="single" w:color="auto" w:sz="4" w:space="0"/>
            </w:tcBorders>
            <w:vAlign w:val="center"/>
          </w:tcPr>
          <w:p w14:paraId="471CF2C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1238" w:type="dxa"/>
            <w:tcBorders>
              <w:top w:val="nil"/>
              <w:left w:val="nil"/>
              <w:bottom w:val="nil"/>
              <w:right w:val="single" w:color="auto" w:sz="4" w:space="0"/>
            </w:tcBorders>
            <w:vAlign w:val="center"/>
          </w:tcPr>
          <w:p w14:paraId="319CC79D">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33BFA602">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4B58946">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04F34523">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774F3B8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10C87D1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Y≥10000</w:t>
            </w:r>
          </w:p>
        </w:tc>
        <w:tc>
          <w:tcPr>
            <w:tcW w:w="1815" w:type="dxa"/>
            <w:tcBorders>
              <w:top w:val="nil"/>
              <w:left w:val="nil"/>
              <w:bottom w:val="single" w:color="auto" w:sz="4" w:space="0"/>
              <w:right w:val="single" w:color="auto" w:sz="4" w:space="0"/>
            </w:tcBorders>
            <w:vAlign w:val="center"/>
          </w:tcPr>
          <w:p w14:paraId="1394651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2000≤Y＜10000</w:t>
            </w:r>
          </w:p>
        </w:tc>
        <w:tc>
          <w:tcPr>
            <w:tcW w:w="1762" w:type="dxa"/>
            <w:tcBorders>
              <w:top w:val="nil"/>
              <w:left w:val="nil"/>
              <w:bottom w:val="single" w:color="auto" w:sz="4" w:space="0"/>
              <w:right w:val="single" w:color="auto" w:sz="4" w:space="0"/>
            </w:tcBorders>
            <w:vAlign w:val="center"/>
          </w:tcPr>
          <w:p w14:paraId="29A6161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100≤Y＜2000</w:t>
            </w:r>
          </w:p>
        </w:tc>
        <w:tc>
          <w:tcPr>
            <w:tcW w:w="1238" w:type="dxa"/>
            <w:tcBorders>
              <w:top w:val="nil"/>
              <w:left w:val="nil"/>
              <w:bottom w:val="single" w:color="auto" w:sz="4" w:space="0"/>
              <w:right w:val="single" w:color="auto" w:sz="4" w:space="0"/>
            </w:tcBorders>
            <w:vAlign w:val="center"/>
          </w:tcPr>
          <w:p w14:paraId="16F82E7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4F58EDC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81E5AED">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餐饮业</w:t>
            </w:r>
          </w:p>
        </w:tc>
        <w:tc>
          <w:tcPr>
            <w:tcW w:w="1498" w:type="dxa"/>
            <w:tcBorders>
              <w:top w:val="nil"/>
              <w:left w:val="nil"/>
              <w:bottom w:val="nil"/>
              <w:right w:val="single" w:color="auto" w:sz="4" w:space="0"/>
            </w:tcBorders>
            <w:vAlign w:val="center"/>
          </w:tcPr>
          <w:p w14:paraId="44F600C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34E2D80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57F2855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815" w:type="dxa"/>
            <w:tcBorders>
              <w:top w:val="nil"/>
              <w:left w:val="nil"/>
              <w:bottom w:val="nil"/>
              <w:right w:val="single" w:color="auto" w:sz="4" w:space="0"/>
            </w:tcBorders>
            <w:vAlign w:val="center"/>
          </w:tcPr>
          <w:p w14:paraId="5AE390B0">
            <w:pPr>
              <w:widowControl/>
              <w:spacing w:line="240" w:lineRule="auto"/>
              <w:ind w:left="13" w:leftChars="-51" w:hanging="120" w:hangingChars="6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762" w:type="dxa"/>
            <w:tcBorders>
              <w:top w:val="nil"/>
              <w:left w:val="nil"/>
              <w:bottom w:val="nil"/>
              <w:right w:val="single" w:color="auto" w:sz="4" w:space="0"/>
            </w:tcBorders>
            <w:vAlign w:val="center"/>
          </w:tcPr>
          <w:p w14:paraId="3DBE7B5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1238" w:type="dxa"/>
            <w:tcBorders>
              <w:top w:val="nil"/>
              <w:left w:val="nil"/>
              <w:bottom w:val="nil"/>
              <w:right w:val="single" w:color="auto" w:sz="4" w:space="0"/>
            </w:tcBorders>
            <w:vAlign w:val="center"/>
          </w:tcPr>
          <w:p w14:paraId="0CA8EBE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3DF65ECA">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4CA1C028">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101E6CE2">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09FC0284">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43CE9F6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Y≥10000</w:t>
            </w:r>
          </w:p>
        </w:tc>
        <w:tc>
          <w:tcPr>
            <w:tcW w:w="1815" w:type="dxa"/>
            <w:tcBorders>
              <w:top w:val="nil"/>
              <w:left w:val="nil"/>
              <w:bottom w:val="single" w:color="auto" w:sz="4" w:space="0"/>
              <w:right w:val="single" w:color="auto" w:sz="4" w:space="0"/>
            </w:tcBorders>
            <w:vAlign w:val="center"/>
          </w:tcPr>
          <w:p w14:paraId="3465F3F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2000≤Y＜10000</w:t>
            </w:r>
          </w:p>
        </w:tc>
        <w:tc>
          <w:tcPr>
            <w:tcW w:w="1762" w:type="dxa"/>
            <w:tcBorders>
              <w:top w:val="nil"/>
              <w:left w:val="nil"/>
              <w:bottom w:val="single" w:color="auto" w:sz="4" w:space="0"/>
              <w:right w:val="single" w:color="auto" w:sz="4" w:space="0"/>
            </w:tcBorders>
            <w:vAlign w:val="center"/>
          </w:tcPr>
          <w:p w14:paraId="000ABE7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100≤Y＜2000</w:t>
            </w:r>
          </w:p>
        </w:tc>
        <w:tc>
          <w:tcPr>
            <w:tcW w:w="1238" w:type="dxa"/>
            <w:tcBorders>
              <w:top w:val="nil"/>
              <w:left w:val="nil"/>
              <w:bottom w:val="single" w:color="auto" w:sz="4" w:space="0"/>
              <w:right w:val="single" w:color="auto" w:sz="4" w:space="0"/>
            </w:tcBorders>
            <w:vAlign w:val="center"/>
          </w:tcPr>
          <w:p w14:paraId="59E958C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579F9751">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C69D0D6">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信息传输业 *</w:t>
            </w:r>
          </w:p>
        </w:tc>
        <w:tc>
          <w:tcPr>
            <w:tcW w:w="1498" w:type="dxa"/>
            <w:tcBorders>
              <w:top w:val="nil"/>
              <w:left w:val="nil"/>
              <w:bottom w:val="nil"/>
              <w:right w:val="single" w:color="auto" w:sz="4" w:space="0"/>
            </w:tcBorders>
            <w:vAlign w:val="center"/>
          </w:tcPr>
          <w:p w14:paraId="42F5ABC4">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3535EFA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5BBEF13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X≥2000</w:t>
            </w:r>
          </w:p>
        </w:tc>
        <w:tc>
          <w:tcPr>
            <w:tcW w:w="1815" w:type="dxa"/>
            <w:tcBorders>
              <w:top w:val="nil"/>
              <w:left w:val="nil"/>
              <w:bottom w:val="nil"/>
              <w:right w:val="single" w:color="auto" w:sz="4" w:space="0"/>
            </w:tcBorders>
            <w:vAlign w:val="center"/>
          </w:tcPr>
          <w:p w14:paraId="5391F2E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100≤X＜2000</w:t>
            </w:r>
          </w:p>
        </w:tc>
        <w:tc>
          <w:tcPr>
            <w:tcW w:w="1762" w:type="dxa"/>
            <w:tcBorders>
              <w:top w:val="nil"/>
              <w:left w:val="nil"/>
              <w:bottom w:val="nil"/>
              <w:right w:val="single" w:color="auto" w:sz="4" w:space="0"/>
            </w:tcBorders>
            <w:vAlign w:val="center"/>
          </w:tcPr>
          <w:p w14:paraId="0E4C305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1238" w:type="dxa"/>
            <w:tcBorders>
              <w:top w:val="nil"/>
              <w:left w:val="nil"/>
              <w:bottom w:val="nil"/>
              <w:right w:val="single" w:color="auto" w:sz="4" w:space="0"/>
            </w:tcBorders>
            <w:vAlign w:val="center"/>
          </w:tcPr>
          <w:p w14:paraId="36E2FC0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7E125E4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58B95D4A">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3865E1CA">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5EDFE09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610081E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Y≥100000</w:t>
            </w:r>
          </w:p>
        </w:tc>
        <w:tc>
          <w:tcPr>
            <w:tcW w:w="1815" w:type="dxa"/>
            <w:tcBorders>
              <w:top w:val="nil"/>
              <w:left w:val="nil"/>
              <w:bottom w:val="single" w:color="auto" w:sz="4" w:space="0"/>
              <w:right w:val="single" w:color="auto" w:sz="4" w:space="0"/>
            </w:tcBorders>
            <w:vAlign w:val="center"/>
          </w:tcPr>
          <w:p w14:paraId="5023D27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1000≤Y＜100000</w:t>
            </w:r>
          </w:p>
        </w:tc>
        <w:tc>
          <w:tcPr>
            <w:tcW w:w="1762" w:type="dxa"/>
            <w:tcBorders>
              <w:top w:val="nil"/>
              <w:left w:val="nil"/>
              <w:bottom w:val="single" w:color="auto" w:sz="4" w:space="0"/>
              <w:right w:val="single" w:color="auto" w:sz="4" w:space="0"/>
            </w:tcBorders>
            <w:vAlign w:val="center"/>
          </w:tcPr>
          <w:p w14:paraId="7E8062D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100≤Y＜1000</w:t>
            </w:r>
          </w:p>
        </w:tc>
        <w:tc>
          <w:tcPr>
            <w:tcW w:w="1238" w:type="dxa"/>
            <w:tcBorders>
              <w:top w:val="nil"/>
              <w:left w:val="nil"/>
              <w:bottom w:val="single" w:color="auto" w:sz="4" w:space="0"/>
              <w:right w:val="single" w:color="auto" w:sz="4" w:space="0"/>
            </w:tcBorders>
            <w:vAlign w:val="center"/>
          </w:tcPr>
          <w:p w14:paraId="099FC63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45E66DAF">
        <w:tblPrEx>
          <w:tblCellMar>
            <w:top w:w="0" w:type="dxa"/>
            <w:left w:w="108" w:type="dxa"/>
            <w:bottom w:w="0" w:type="dxa"/>
            <w:right w:w="108" w:type="dxa"/>
          </w:tblCellMar>
        </w:tblPrEx>
        <w:trPr>
          <w:trHeight w:val="340" w:hRule="exact"/>
          <w:jc w:val="center"/>
        </w:trPr>
        <w:tc>
          <w:tcPr>
            <w:tcW w:w="2065" w:type="dxa"/>
            <w:vMerge w:val="restart"/>
            <w:tcBorders>
              <w:top w:val="single" w:color="auto" w:sz="4" w:space="0"/>
              <w:left w:val="single" w:color="auto" w:sz="4" w:space="0"/>
              <w:bottom w:val="single" w:color="auto" w:sz="4" w:space="0"/>
              <w:right w:val="single" w:color="auto" w:sz="4" w:space="0"/>
            </w:tcBorders>
            <w:vAlign w:val="center"/>
          </w:tcPr>
          <w:p w14:paraId="2C01FBCF">
            <w:pPr>
              <w:widowControl/>
              <w:spacing w:line="240" w:lineRule="exact"/>
              <w:ind w:firstLine="0" w:firstLineChars="0"/>
              <w:jc w:val="center"/>
              <w:rPr>
                <w:rFonts w:ascii="宋体" w:hAnsi="宋体" w:eastAsia="宋体" w:cs="宋体"/>
                <w:color w:val="auto"/>
                <w:spacing w:val="-12"/>
                <w:kern w:val="0"/>
                <w:sz w:val="20"/>
                <w:szCs w:val="20"/>
              </w:rPr>
            </w:pPr>
            <w:r>
              <w:rPr>
                <w:rFonts w:hint="eastAsia" w:ascii="宋体" w:hAnsi="宋体" w:eastAsia="宋体" w:cs="宋体"/>
                <w:color w:val="auto"/>
                <w:spacing w:val="-12"/>
                <w:kern w:val="0"/>
                <w:sz w:val="20"/>
                <w:szCs w:val="20"/>
              </w:rPr>
              <w:t>软件和信息技术服</w:t>
            </w:r>
            <w:r>
              <w:rPr>
                <w:rFonts w:hint="eastAsia" w:ascii="宋体" w:hAnsi="宋体" w:eastAsia="宋体" w:cs="宋体"/>
                <w:color w:val="auto"/>
                <w:kern w:val="0"/>
                <w:sz w:val="20"/>
                <w:szCs w:val="20"/>
              </w:rPr>
              <w:t>务业</w:t>
            </w:r>
          </w:p>
        </w:tc>
        <w:tc>
          <w:tcPr>
            <w:tcW w:w="1498" w:type="dxa"/>
            <w:tcBorders>
              <w:top w:val="nil"/>
              <w:left w:val="nil"/>
              <w:bottom w:val="nil"/>
              <w:right w:val="single" w:color="auto" w:sz="4" w:space="0"/>
            </w:tcBorders>
            <w:vAlign w:val="center"/>
          </w:tcPr>
          <w:p w14:paraId="36258FB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12E029C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3E0163A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815" w:type="dxa"/>
            <w:tcBorders>
              <w:top w:val="nil"/>
              <w:left w:val="nil"/>
              <w:bottom w:val="nil"/>
              <w:right w:val="single" w:color="auto" w:sz="4" w:space="0"/>
            </w:tcBorders>
            <w:vAlign w:val="center"/>
          </w:tcPr>
          <w:p w14:paraId="32F57674">
            <w:pPr>
              <w:widowControl/>
              <w:spacing w:line="240" w:lineRule="auto"/>
              <w:ind w:left="13" w:leftChars="-51" w:hanging="120" w:hangingChars="6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762" w:type="dxa"/>
            <w:tcBorders>
              <w:top w:val="nil"/>
              <w:left w:val="nil"/>
              <w:bottom w:val="nil"/>
              <w:right w:val="single" w:color="auto" w:sz="4" w:space="0"/>
            </w:tcBorders>
            <w:vAlign w:val="center"/>
          </w:tcPr>
          <w:p w14:paraId="66EC514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1238" w:type="dxa"/>
            <w:tcBorders>
              <w:top w:val="nil"/>
              <w:left w:val="nil"/>
              <w:bottom w:val="nil"/>
              <w:right w:val="single" w:color="auto" w:sz="4" w:space="0"/>
            </w:tcBorders>
            <w:vAlign w:val="center"/>
          </w:tcPr>
          <w:p w14:paraId="44182551">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11F62FAA">
        <w:tblPrEx>
          <w:tblCellMar>
            <w:top w:w="0" w:type="dxa"/>
            <w:left w:w="108" w:type="dxa"/>
            <w:bottom w:w="0" w:type="dxa"/>
            <w:right w:w="108" w:type="dxa"/>
          </w:tblCellMar>
        </w:tblPrEx>
        <w:trPr>
          <w:trHeight w:val="340" w:hRule="exact"/>
          <w:jc w:val="center"/>
        </w:trPr>
        <w:tc>
          <w:tcPr>
            <w:tcW w:w="2065" w:type="dxa"/>
            <w:vMerge w:val="continue"/>
            <w:tcBorders>
              <w:top w:val="single" w:color="auto" w:sz="4" w:space="0"/>
              <w:left w:val="single" w:color="auto" w:sz="4" w:space="0"/>
              <w:bottom w:val="single" w:color="auto" w:sz="4" w:space="0"/>
              <w:right w:val="single" w:color="auto" w:sz="4" w:space="0"/>
            </w:tcBorders>
            <w:vAlign w:val="center"/>
          </w:tcPr>
          <w:p w14:paraId="4489D7ED">
            <w:pPr>
              <w:widowControl/>
              <w:spacing w:line="240" w:lineRule="auto"/>
              <w:ind w:firstLine="0" w:firstLineChars="0"/>
              <w:jc w:val="center"/>
              <w:rPr>
                <w:rFonts w:ascii="宋体" w:hAnsi="宋体" w:eastAsia="宋体" w:cs="宋体"/>
                <w:color w:val="auto"/>
                <w:spacing w:val="-12"/>
                <w:kern w:val="0"/>
                <w:sz w:val="20"/>
                <w:szCs w:val="20"/>
              </w:rPr>
            </w:pPr>
          </w:p>
        </w:tc>
        <w:tc>
          <w:tcPr>
            <w:tcW w:w="1498" w:type="dxa"/>
            <w:tcBorders>
              <w:top w:val="nil"/>
              <w:left w:val="nil"/>
              <w:bottom w:val="single" w:color="auto" w:sz="4" w:space="0"/>
              <w:right w:val="single" w:color="auto" w:sz="4" w:space="0"/>
            </w:tcBorders>
            <w:vAlign w:val="center"/>
          </w:tcPr>
          <w:p w14:paraId="0EF918E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225434B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5A44805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Y≥10000</w:t>
            </w:r>
          </w:p>
        </w:tc>
        <w:tc>
          <w:tcPr>
            <w:tcW w:w="1815" w:type="dxa"/>
            <w:tcBorders>
              <w:top w:val="nil"/>
              <w:left w:val="nil"/>
              <w:bottom w:val="single" w:color="auto" w:sz="4" w:space="0"/>
              <w:right w:val="single" w:color="auto" w:sz="4" w:space="0"/>
            </w:tcBorders>
            <w:vAlign w:val="center"/>
          </w:tcPr>
          <w:p w14:paraId="4E9B464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1000≤Y＜10000</w:t>
            </w:r>
          </w:p>
        </w:tc>
        <w:tc>
          <w:tcPr>
            <w:tcW w:w="1762" w:type="dxa"/>
            <w:tcBorders>
              <w:top w:val="nil"/>
              <w:left w:val="nil"/>
              <w:bottom w:val="single" w:color="auto" w:sz="4" w:space="0"/>
              <w:right w:val="single" w:color="auto" w:sz="4" w:space="0"/>
            </w:tcBorders>
            <w:vAlign w:val="center"/>
          </w:tcPr>
          <w:p w14:paraId="37AC700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50≤Y＜1000</w:t>
            </w:r>
          </w:p>
        </w:tc>
        <w:tc>
          <w:tcPr>
            <w:tcW w:w="1238" w:type="dxa"/>
            <w:tcBorders>
              <w:top w:val="nil"/>
              <w:left w:val="nil"/>
              <w:bottom w:val="single" w:color="auto" w:sz="4" w:space="0"/>
              <w:right w:val="single" w:color="auto" w:sz="4" w:space="0"/>
            </w:tcBorders>
            <w:vAlign w:val="center"/>
          </w:tcPr>
          <w:p w14:paraId="7BEA75B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Y＜50</w:t>
            </w:r>
          </w:p>
        </w:tc>
      </w:tr>
      <w:tr w14:paraId="1EFE4FE2">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E9B6DDC">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房地产开发经营</w:t>
            </w:r>
          </w:p>
        </w:tc>
        <w:tc>
          <w:tcPr>
            <w:tcW w:w="1498" w:type="dxa"/>
            <w:tcBorders>
              <w:top w:val="nil"/>
              <w:left w:val="nil"/>
              <w:bottom w:val="nil"/>
              <w:right w:val="single" w:color="auto" w:sz="4" w:space="0"/>
            </w:tcBorders>
            <w:vAlign w:val="center"/>
          </w:tcPr>
          <w:p w14:paraId="635EBBA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nil"/>
              <w:right w:val="single" w:color="auto" w:sz="4" w:space="0"/>
            </w:tcBorders>
            <w:vAlign w:val="center"/>
          </w:tcPr>
          <w:p w14:paraId="13BAE71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nil"/>
              <w:right w:val="single" w:color="auto" w:sz="4" w:space="0"/>
            </w:tcBorders>
            <w:vAlign w:val="center"/>
          </w:tcPr>
          <w:p w14:paraId="0F0004B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Y≥200000</w:t>
            </w:r>
          </w:p>
        </w:tc>
        <w:tc>
          <w:tcPr>
            <w:tcW w:w="1815" w:type="dxa"/>
            <w:tcBorders>
              <w:top w:val="nil"/>
              <w:left w:val="nil"/>
              <w:bottom w:val="nil"/>
              <w:right w:val="single" w:color="auto" w:sz="4" w:space="0"/>
            </w:tcBorders>
            <w:vAlign w:val="center"/>
          </w:tcPr>
          <w:p w14:paraId="341E4D8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1000≤Y＜200000</w:t>
            </w:r>
          </w:p>
        </w:tc>
        <w:tc>
          <w:tcPr>
            <w:tcW w:w="1762" w:type="dxa"/>
            <w:tcBorders>
              <w:top w:val="nil"/>
              <w:left w:val="nil"/>
              <w:bottom w:val="nil"/>
              <w:right w:val="single" w:color="auto" w:sz="4" w:space="0"/>
            </w:tcBorders>
            <w:vAlign w:val="center"/>
          </w:tcPr>
          <w:p w14:paraId="520B78C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100≤Y＜1000</w:t>
            </w:r>
          </w:p>
        </w:tc>
        <w:tc>
          <w:tcPr>
            <w:tcW w:w="1238" w:type="dxa"/>
            <w:tcBorders>
              <w:top w:val="nil"/>
              <w:left w:val="nil"/>
              <w:bottom w:val="nil"/>
              <w:right w:val="single" w:color="auto" w:sz="4" w:space="0"/>
            </w:tcBorders>
            <w:vAlign w:val="center"/>
          </w:tcPr>
          <w:p w14:paraId="0192B78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256AF9B9">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3F633C8">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4D3E77A0">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资产总额(Z)</w:t>
            </w:r>
          </w:p>
        </w:tc>
        <w:tc>
          <w:tcPr>
            <w:tcW w:w="709" w:type="dxa"/>
            <w:tcBorders>
              <w:top w:val="nil"/>
              <w:left w:val="nil"/>
              <w:bottom w:val="single" w:color="auto" w:sz="4" w:space="0"/>
              <w:right w:val="single" w:color="auto" w:sz="4" w:space="0"/>
            </w:tcBorders>
            <w:vAlign w:val="center"/>
          </w:tcPr>
          <w:p w14:paraId="0DC305D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3FA49A3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Z≥10000</w:t>
            </w:r>
          </w:p>
        </w:tc>
        <w:tc>
          <w:tcPr>
            <w:tcW w:w="1815" w:type="dxa"/>
            <w:tcBorders>
              <w:top w:val="nil"/>
              <w:left w:val="nil"/>
              <w:bottom w:val="single" w:color="auto" w:sz="4" w:space="0"/>
              <w:right w:val="single" w:color="auto" w:sz="4" w:space="0"/>
            </w:tcBorders>
            <w:vAlign w:val="center"/>
          </w:tcPr>
          <w:p w14:paraId="36BFB1F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5000≤Z＜10000</w:t>
            </w:r>
          </w:p>
        </w:tc>
        <w:tc>
          <w:tcPr>
            <w:tcW w:w="1762" w:type="dxa"/>
            <w:tcBorders>
              <w:top w:val="nil"/>
              <w:left w:val="nil"/>
              <w:bottom w:val="single" w:color="auto" w:sz="4" w:space="0"/>
              <w:right w:val="single" w:color="auto" w:sz="4" w:space="0"/>
            </w:tcBorders>
            <w:vAlign w:val="center"/>
          </w:tcPr>
          <w:p w14:paraId="08AAF3C5">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2000≤Z＜5000</w:t>
            </w:r>
          </w:p>
        </w:tc>
        <w:tc>
          <w:tcPr>
            <w:tcW w:w="1238" w:type="dxa"/>
            <w:tcBorders>
              <w:top w:val="nil"/>
              <w:left w:val="nil"/>
              <w:bottom w:val="single" w:color="auto" w:sz="4" w:space="0"/>
              <w:right w:val="single" w:color="auto" w:sz="4" w:space="0"/>
            </w:tcBorders>
            <w:vAlign w:val="center"/>
          </w:tcPr>
          <w:p w14:paraId="4E27016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Z＜2000</w:t>
            </w:r>
          </w:p>
        </w:tc>
      </w:tr>
      <w:tr w14:paraId="5BF0AC41">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13228B1">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物业管理</w:t>
            </w:r>
          </w:p>
        </w:tc>
        <w:tc>
          <w:tcPr>
            <w:tcW w:w="1498" w:type="dxa"/>
            <w:tcBorders>
              <w:top w:val="nil"/>
              <w:left w:val="nil"/>
              <w:bottom w:val="nil"/>
              <w:right w:val="single" w:color="auto" w:sz="4" w:space="0"/>
            </w:tcBorders>
            <w:vAlign w:val="center"/>
          </w:tcPr>
          <w:p w14:paraId="65A0477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447F50E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49875579">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X≥1000</w:t>
            </w:r>
          </w:p>
        </w:tc>
        <w:tc>
          <w:tcPr>
            <w:tcW w:w="1815" w:type="dxa"/>
            <w:tcBorders>
              <w:top w:val="nil"/>
              <w:left w:val="nil"/>
              <w:bottom w:val="nil"/>
              <w:right w:val="single" w:color="auto" w:sz="4" w:space="0"/>
            </w:tcBorders>
            <w:vAlign w:val="center"/>
          </w:tcPr>
          <w:p w14:paraId="38C4E0C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300≤X＜1000</w:t>
            </w:r>
          </w:p>
        </w:tc>
        <w:tc>
          <w:tcPr>
            <w:tcW w:w="1762" w:type="dxa"/>
            <w:tcBorders>
              <w:top w:val="nil"/>
              <w:left w:val="nil"/>
              <w:bottom w:val="nil"/>
              <w:right w:val="single" w:color="auto" w:sz="4" w:space="0"/>
            </w:tcBorders>
            <w:vAlign w:val="center"/>
          </w:tcPr>
          <w:p w14:paraId="3511FAC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238" w:type="dxa"/>
            <w:tcBorders>
              <w:top w:val="nil"/>
              <w:left w:val="nil"/>
              <w:bottom w:val="nil"/>
              <w:right w:val="single" w:color="auto" w:sz="4" w:space="0"/>
            </w:tcBorders>
            <w:vAlign w:val="center"/>
          </w:tcPr>
          <w:p w14:paraId="5E63D6B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X＜100</w:t>
            </w:r>
          </w:p>
        </w:tc>
      </w:tr>
      <w:tr w14:paraId="4E522EA1">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71B2EB1">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042E0F0C">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007B542F">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662F3B9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Y≥5000</w:t>
            </w:r>
          </w:p>
        </w:tc>
        <w:tc>
          <w:tcPr>
            <w:tcW w:w="1815" w:type="dxa"/>
            <w:tcBorders>
              <w:top w:val="nil"/>
              <w:left w:val="nil"/>
              <w:bottom w:val="single" w:color="auto" w:sz="4" w:space="0"/>
              <w:right w:val="single" w:color="auto" w:sz="4" w:space="0"/>
            </w:tcBorders>
            <w:vAlign w:val="center"/>
          </w:tcPr>
          <w:p w14:paraId="1D13649D">
            <w:pPr>
              <w:widowControl/>
              <w:spacing w:line="240" w:lineRule="auto"/>
              <w:ind w:left="13" w:leftChars="-51" w:hanging="120" w:hangingChars="6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1000≤Y＜5000</w:t>
            </w:r>
          </w:p>
        </w:tc>
        <w:tc>
          <w:tcPr>
            <w:tcW w:w="1762" w:type="dxa"/>
            <w:tcBorders>
              <w:top w:val="nil"/>
              <w:left w:val="nil"/>
              <w:bottom w:val="single" w:color="auto" w:sz="4" w:space="0"/>
              <w:right w:val="single" w:color="auto" w:sz="4" w:space="0"/>
            </w:tcBorders>
            <w:vAlign w:val="center"/>
          </w:tcPr>
          <w:p w14:paraId="65484CD3">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500≤Y＜1000</w:t>
            </w:r>
          </w:p>
        </w:tc>
        <w:tc>
          <w:tcPr>
            <w:tcW w:w="1238" w:type="dxa"/>
            <w:tcBorders>
              <w:top w:val="nil"/>
              <w:left w:val="nil"/>
              <w:bottom w:val="single" w:color="auto" w:sz="4" w:space="0"/>
              <w:right w:val="single" w:color="auto" w:sz="4" w:space="0"/>
            </w:tcBorders>
            <w:vAlign w:val="center"/>
          </w:tcPr>
          <w:p w14:paraId="22B04B26">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Y＜500</w:t>
            </w:r>
          </w:p>
        </w:tc>
      </w:tr>
      <w:tr w14:paraId="4C65845F">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76B9141">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租赁和商务服务业</w:t>
            </w:r>
          </w:p>
        </w:tc>
        <w:tc>
          <w:tcPr>
            <w:tcW w:w="1498" w:type="dxa"/>
            <w:tcBorders>
              <w:top w:val="nil"/>
              <w:left w:val="nil"/>
              <w:bottom w:val="nil"/>
              <w:right w:val="single" w:color="auto" w:sz="4" w:space="0"/>
            </w:tcBorders>
            <w:vAlign w:val="center"/>
          </w:tcPr>
          <w:p w14:paraId="76A19B4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60724527">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1F7B11D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815" w:type="dxa"/>
            <w:tcBorders>
              <w:top w:val="nil"/>
              <w:left w:val="nil"/>
              <w:bottom w:val="nil"/>
              <w:right w:val="single" w:color="auto" w:sz="4" w:space="0"/>
            </w:tcBorders>
            <w:vAlign w:val="center"/>
          </w:tcPr>
          <w:p w14:paraId="76654FAA">
            <w:pPr>
              <w:widowControl/>
              <w:spacing w:line="240" w:lineRule="auto"/>
              <w:ind w:left="13" w:leftChars="-51" w:hanging="120" w:hangingChars="6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762" w:type="dxa"/>
            <w:tcBorders>
              <w:top w:val="nil"/>
              <w:left w:val="nil"/>
              <w:bottom w:val="nil"/>
              <w:right w:val="single" w:color="auto" w:sz="4" w:space="0"/>
            </w:tcBorders>
            <w:vAlign w:val="center"/>
          </w:tcPr>
          <w:p w14:paraId="4F3E8DC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1238" w:type="dxa"/>
            <w:tcBorders>
              <w:top w:val="nil"/>
              <w:left w:val="nil"/>
              <w:bottom w:val="nil"/>
              <w:right w:val="single" w:color="auto" w:sz="4" w:space="0"/>
            </w:tcBorders>
            <w:vAlign w:val="center"/>
          </w:tcPr>
          <w:p w14:paraId="1D44E368">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12DDC51A">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66A220E">
            <w:pPr>
              <w:widowControl/>
              <w:spacing w:line="240" w:lineRule="auto"/>
              <w:ind w:firstLine="0" w:firstLineChars="0"/>
              <w:jc w:val="center"/>
              <w:rPr>
                <w:rFonts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4F00F3B7">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资产总额(Z)</w:t>
            </w:r>
          </w:p>
        </w:tc>
        <w:tc>
          <w:tcPr>
            <w:tcW w:w="709" w:type="dxa"/>
            <w:tcBorders>
              <w:top w:val="nil"/>
              <w:left w:val="nil"/>
              <w:bottom w:val="single" w:color="auto" w:sz="4" w:space="0"/>
              <w:right w:val="single" w:color="auto" w:sz="4" w:space="0"/>
            </w:tcBorders>
            <w:vAlign w:val="center"/>
          </w:tcPr>
          <w:p w14:paraId="1C1E157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6684DFF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Z≥120000</w:t>
            </w:r>
          </w:p>
        </w:tc>
        <w:tc>
          <w:tcPr>
            <w:tcW w:w="1815" w:type="dxa"/>
            <w:tcBorders>
              <w:top w:val="nil"/>
              <w:left w:val="nil"/>
              <w:bottom w:val="single" w:color="auto" w:sz="4" w:space="0"/>
              <w:right w:val="single" w:color="auto" w:sz="4" w:space="0"/>
            </w:tcBorders>
            <w:vAlign w:val="center"/>
          </w:tcPr>
          <w:p w14:paraId="00E90390">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8000≤Z＜120000</w:t>
            </w:r>
          </w:p>
        </w:tc>
        <w:tc>
          <w:tcPr>
            <w:tcW w:w="1762" w:type="dxa"/>
            <w:tcBorders>
              <w:top w:val="nil"/>
              <w:left w:val="nil"/>
              <w:bottom w:val="single" w:color="auto" w:sz="4" w:space="0"/>
              <w:right w:val="single" w:color="auto" w:sz="4" w:space="0"/>
            </w:tcBorders>
            <w:vAlign w:val="center"/>
          </w:tcPr>
          <w:p w14:paraId="3F45FAE2">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100≤Z＜8000</w:t>
            </w:r>
          </w:p>
        </w:tc>
        <w:tc>
          <w:tcPr>
            <w:tcW w:w="1238" w:type="dxa"/>
            <w:tcBorders>
              <w:top w:val="nil"/>
              <w:left w:val="nil"/>
              <w:bottom w:val="single" w:color="auto" w:sz="4" w:space="0"/>
              <w:right w:val="single" w:color="auto" w:sz="4" w:space="0"/>
            </w:tcBorders>
            <w:vAlign w:val="center"/>
          </w:tcPr>
          <w:p w14:paraId="3964463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Z＜100</w:t>
            </w:r>
          </w:p>
        </w:tc>
      </w:tr>
      <w:tr w14:paraId="08DF2B03">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475E7989">
            <w:pPr>
              <w:widowControl/>
              <w:spacing w:line="240" w:lineRule="exact"/>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其他未列明行业 *</w:t>
            </w:r>
          </w:p>
        </w:tc>
        <w:tc>
          <w:tcPr>
            <w:tcW w:w="1498" w:type="dxa"/>
            <w:tcBorders>
              <w:top w:val="nil"/>
              <w:left w:val="nil"/>
              <w:bottom w:val="single" w:color="auto" w:sz="4" w:space="0"/>
              <w:right w:val="single" w:color="auto" w:sz="4" w:space="0"/>
            </w:tcBorders>
            <w:vAlign w:val="center"/>
          </w:tcPr>
          <w:p w14:paraId="4CAEA30A">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single" w:color="auto" w:sz="4" w:space="0"/>
              <w:right w:val="single" w:color="auto" w:sz="4" w:space="0"/>
            </w:tcBorders>
            <w:vAlign w:val="center"/>
          </w:tcPr>
          <w:p w14:paraId="769AE35E">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single" w:color="auto" w:sz="4" w:space="0"/>
              <w:right w:val="single" w:color="auto" w:sz="4" w:space="0"/>
            </w:tcBorders>
            <w:vAlign w:val="center"/>
          </w:tcPr>
          <w:p w14:paraId="66049ACB">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815" w:type="dxa"/>
            <w:tcBorders>
              <w:top w:val="nil"/>
              <w:left w:val="nil"/>
              <w:bottom w:val="single" w:color="auto" w:sz="4" w:space="0"/>
              <w:right w:val="single" w:color="auto" w:sz="4" w:space="0"/>
            </w:tcBorders>
            <w:vAlign w:val="center"/>
          </w:tcPr>
          <w:p w14:paraId="108FA090">
            <w:pPr>
              <w:widowControl/>
              <w:spacing w:line="240" w:lineRule="auto"/>
              <w:ind w:left="13" w:leftChars="-51" w:hanging="120" w:hangingChars="6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762" w:type="dxa"/>
            <w:tcBorders>
              <w:top w:val="nil"/>
              <w:left w:val="nil"/>
              <w:bottom w:val="single" w:color="auto" w:sz="4" w:space="0"/>
              <w:right w:val="single" w:color="auto" w:sz="4" w:space="0"/>
            </w:tcBorders>
            <w:vAlign w:val="center"/>
          </w:tcPr>
          <w:p w14:paraId="32570175">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1238" w:type="dxa"/>
            <w:tcBorders>
              <w:top w:val="nil"/>
              <w:left w:val="nil"/>
              <w:bottom w:val="single" w:color="auto" w:sz="4" w:space="0"/>
              <w:right w:val="single" w:color="auto" w:sz="4" w:space="0"/>
            </w:tcBorders>
            <w:vAlign w:val="center"/>
          </w:tcPr>
          <w:p w14:paraId="6BD9643C">
            <w:pPr>
              <w:widowControl/>
              <w:spacing w:line="240" w:lineRule="auto"/>
              <w:ind w:firstLine="0" w:firstLineChars="0"/>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X＜10</w:t>
            </w:r>
          </w:p>
        </w:tc>
      </w:tr>
    </w:tbl>
    <w:p w14:paraId="4C2C62AF">
      <w:pPr>
        <w:widowControl/>
        <w:spacing w:line="540" w:lineRule="exact"/>
        <w:ind w:firstLine="512"/>
        <w:rPr>
          <w:rFonts w:hint="eastAsia" w:ascii="宋体" w:hAnsi="宋体" w:eastAsia="宋体" w:cs="宋体"/>
          <w:color w:val="auto"/>
          <w:spacing w:val="8"/>
          <w:kern w:val="0"/>
          <w:sz w:val="24"/>
          <w:szCs w:val="24"/>
        </w:rPr>
      </w:pPr>
    </w:p>
    <w:p w14:paraId="02A2E2FC">
      <w:pPr>
        <w:widowControl/>
        <w:spacing w:line="540" w:lineRule="exact"/>
        <w:ind w:firstLine="512"/>
        <w:rPr>
          <w:rFonts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说明：</w:t>
      </w:r>
    </w:p>
    <w:p w14:paraId="2628769E">
      <w:pPr>
        <w:spacing w:line="500" w:lineRule="exact"/>
        <w:ind w:firstLine="0" w:firstLineChars="0"/>
        <w:rPr>
          <w:rFonts w:ascii="宋体" w:hAnsi="宋体" w:eastAsia="宋体" w:cs="宋体"/>
          <w:color w:val="auto"/>
          <w:sz w:val="24"/>
          <w:szCs w:val="24"/>
        </w:rPr>
      </w:pPr>
      <w:r>
        <w:rPr>
          <w:rFonts w:hint="eastAsia" w:ascii="宋体" w:hAnsi="宋体" w:eastAsia="宋体" w:cs="宋体"/>
          <w:color w:val="auto"/>
          <w:sz w:val="24"/>
          <w:szCs w:val="24"/>
        </w:rPr>
        <w:t>　　1.大型、中型和小型企业须同时满足所列指标的下限，否则下划一档；微型企业只须满足所列指标中的一项即可。</w:t>
      </w:r>
    </w:p>
    <w:p w14:paraId="187CC982">
      <w:pPr>
        <w:spacing w:line="500" w:lineRule="exact"/>
        <w:ind w:firstLine="0" w:firstLineChars="0"/>
        <w:rPr>
          <w:rFonts w:ascii="宋体" w:hAnsi="宋体" w:eastAsia="宋体" w:cs="宋体"/>
          <w:color w:val="auto"/>
          <w:sz w:val="24"/>
          <w:szCs w:val="24"/>
        </w:rPr>
      </w:pPr>
      <w:r>
        <w:rPr>
          <w:rFonts w:hint="eastAsia" w:ascii="宋体" w:hAnsi="宋体" w:eastAsia="宋体" w:cs="宋体"/>
          <w:color w:val="auto"/>
          <w:sz w:val="24"/>
          <w:szCs w:val="24"/>
        </w:rPr>
        <w:t>　　2.附表中各行业的范围以《国民经济行业分类》（GB/T4754-2017）为准。带*的项为行业组合类别，其中，工业包括采矿业，</w:t>
      </w:r>
      <w:r>
        <w:rPr>
          <w:rFonts w:hint="eastAsia" w:ascii="宋体" w:hAnsi="宋体" w:eastAsia="宋体" w:cs="宋体"/>
          <w:b w:val="0"/>
          <w:bCs w:val="0"/>
          <w:color w:val="auto"/>
          <w:sz w:val="24"/>
          <w:szCs w:val="24"/>
        </w:rPr>
        <w:t>制造业</w:t>
      </w:r>
      <w:r>
        <w:rPr>
          <w:rFonts w:hint="eastAsia" w:ascii="宋体" w:hAnsi="宋体" w:eastAsia="宋体" w:cs="宋体"/>
          <w:color w:val="auto"/>
          <w:sz w:val="24"/>
          <w:szCs w:val="24"/>
        </w:rPr>
        <w:t>，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B374CD9">
      <w:pPr>
        <w:spacing w:line="500" w:lineRule="exact"/>
        <w:ind w:firstLine="480" w:firstLineChars="0"/>
        <w:rPr>
          <w:rFonts w:ascii="宋体" w:hAnsi="宋体" w:eastAsia="宋体" w:cs="宋体"/>
          <w:color w:val="auto"/>
          <w:sz w:val="24"/>
          <w:szCs w:val="24"/>
        </w:rPr>
      </w:pPr>
      <w:r>
        <w:rPr>
          <w:rFonts w:hint="eastAsia" w:ascii="宋体" w:hAnsi="宋体" w:eastAsia="宋体" w:cs="宋体"/>
          <w:color w:val="auto"/>
          <w:sz w:val="24"/>
          <w:szCs w:val="24"/>
        </w:rPr>
        <w:t>3.企业划分指标以现行统计制度为准。</w:t>
      </w:r>
    </w:p>
    <w:p w14:paraId="0BFB078E">
      <w:pPr>
        <w:spacing w:line="500" w:lineRule="exact"/>
        <w:ind w:firstLine="480" w:firstLineChars="0"/>
        <w:rPr>
          <w:rFonts w:ascii="宋体" w:hAnsi="宋体" w:eastAsia="宋体" w:cs="宋体"/>
          <w:color w:val="auto"/>
          <w:sz w:val="24"/>
          <w:szCs w:val="24"/>
        </w:rPr>
      </w:pPr>
      <w:r>
        <w:rPr>
          <w:rFonts w:hint="eastAsia" w:ascii="宋体" w:hAnsi="宋体" w:eastAsia="宋体" w:cs="宋体"/>
          <w:color w:val="auto"/>
          <w:sz w:val="24"/>
          <w:szCs w:val="24"/>
        </w:rPr>
        <w:t>（1）从业人员，是指期末从业人员数，没有期末从业人员数的，采用全年平均人员数代替。</w:t>
      </w:r>
    </w:p>
    <w:p w14:paraId="025C7367">
      <w:pPr>
        <w:spacing w:line="500" w:lineRule="exact"/>
        <w:ind w:firstLine="480" w:firstLineChars="0"/>
        <w:rPr>
          <w:rFonts w:ascii="宋体" w:hAnsi="宋体" w:eastAsia="宋体" w:cs="宋体"/>
          <w:color w:val="auto"/>
          <w:sz w:val="24"/>
          <w:szCs w:val="24"/>
        </w:rPr>
      </w:pPr>
      <w:r>
        <w:rPr>
          <w:rFonts w:hint="eastAsia" w:ascii="宋体" w:hAnsi="宋体" w:eastAsia="宋体" w:cs="宋体"/>
          <w:color w:val="auto"/>
          <w:sz w:val="24"/>
          <w:szCs w:val="24"/>
        </w:rPr>
        <w:t xml:space="preserve">（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（3）资产总额，采用资产总计代替。</w:t>
      </w:r>
    </w:p>
    <w:p w14:paraId="434080DB">
      <w:pPr>
        <w:spacing w:line="560" w:lineRule="exact"/>
        <w:ind w:firstLine="482"/>
        <w:outlineLvl w:val="1"/>
        <w:rPr>
          <w:rFonts w:ascii="宋体" w:hAnsi="宋体" w:cs="宋体"/>
          <w:b/>
          <w:color w:val="auto"/>
          <w:sz w:val="24"/>
        </w:rPr>
      </w:pPr>
    </w:p>
    <w:p w14:paraId="2BDB841C">
      <w:pPr>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jc w:val="left"/>
        <w:textAlignment w:val="auto"/>
        <w:outlineLvl w:val="1"/>
        <w:rPr>
          <w:rFonts w:ascii="宋体" w:hAnsi="宋体" w:eastAsia="宋体" w:cs="宋体"/>
          <w:b w:val="0"/>
          <w:bCs w:val="0"/>
          <w:color w:val="auto"/>
          <w:sz w:val="24"/>
          <w:szCs w:val="24"/>
        </w:rPr>
        <w:sectPr>
          <w:pgSz w:w="11905" w:h="16838"/>
          <w:pgMar w:top="1440" w:right="1463" w:bottom="1440" w:left="1463" w:header="850" w:footer="850" w:gutter="0"/>
          <w:pgNumType w:fmt="decimal"/>
          <w:cols w:space="0" w:num="1"/>
          <w:rtlGutter w:val="0"/>
          <w:docGrid w:type="lines" w:linePitch="423" w:charSpace="0"/>
        </w:sectPr>
      </w:pPr>
    </w:p>
    <w:p w14:paraId="3E1A5517">
      <w:pPr>
        <w:spacing w:line="360" w:lineRule="auto"/>
        <w:ind w:left="0" w:leftChars="0" w:firstLine="0" w:firstLineChars="0"/>
        <w:jc w:val="center"/>
        <w:outlineLvl w:val="1"/>
        <w:rPr>
          <w:rFonts w:ascii="宋体" w:hAnsi="宋体" w:eastAsia="宋体" w:cs="宋体"/>
          <w:color w:val="auto"/>
          <w:kern w:val="0"/>
          <w:szCs w:val="21"/>
        </w:rPr>
      </w:pPr>
      <w:bookmarkStart w:id="116" w:name="_Toc4490"/>
      <w:r>
        <w:rPr>
          <w:rFonts w:hint="eastAsia" w:ascii="宋体" w:hAnsi="宋体" w:eastAsia="宋体" w:cs="宋体"/>
          <w:b/>
          <w:bCs/>
          <w:color w:val="auto"/>
          <w:sz w:val="28"/>
          <w:szCs w:val="28"/>
          <w:lang w:val="en-US" w:eastAsia="zh-CN"/>
        </w:rPr>
        <w:t>八</w:t>
      </w:r>
      <w:r>
        <w:rPr>
          <w:rFonts w:hint="eastAsia" w:ascii="宋体" w:hAnsi="宋体" w:eastAsia="宋体" w:cs="宋体"/>
          <w:b/>
          <w:bCs/>
          <w:color w:val="auto"/>
          <w:sz w:val="28"/>
          <w:szCs w:val="28"/>
        </w:rPr>
        <w:t>、残疾人福利性单位声明函</w:t>
      </w:r>
      <w:bookmarkEnd w:id="115"/>
      <w:bookmarkEnd w:id="116"/>
      <w:r>
        <w:rPr>
          <w:rFonts w:ascii="宋体" w:hAnsi="宋体" w:eastAsia="宋体" w:cs="宋体"/>
          <w:color w:val="auto"/>
          <w:sz w:val="28"/>
          <w:szCs w:val="28"/>
        </w:rPr>
        <w:t xml:space="preserve"> </w:t>
      </w:r>
      <w:r>
        <w:rPr>
          <w:rFonts w:hint="eastAsia" w:ascii="宋体" w:hAnsi="宋体" w:eastAsia="宋体" w:cs="宋体"/>
          <w:color w:val="auto"/>
          <w:sz w:val="28"/>
          <w:szCs w:val="28"/>
          <w:lang w:eastAsia="zh-CN"/>
          <w14:textOutline w14:w="5103" w14:cap="sq" w14:cmpd="sng">
            <w14:solidFill>
              <w14:srgbClr w14:val="000000"/>
            </w14:solidFill>
            <w14:prstDash w14:val="solid"/>
            <w14:bevel/>
          </w14:textOutline>
        </w:rPr>
        <w:t>（</w:t>
      </w:r>
      <w:r>
        <w:rPr>
          <w:rFonts w:ascii="宋体" w:hAnsi="宋体" w:eastAsia="宋体" w:cs="宋体"/>
          <w:color w:val="auto"/>
          <w:sz w:val="28"/>
          <w:szCs w:val="28"/>
          <w14:textOutline w14:w="5103" w14:cap="sq" w14:cmpd="sng">
            <w14:solidFill>
              <w14:srgbClr w14:val="000000"/>
            </w14:solidFill>
            <w14:prstDash w14:val="solid"/>
            <w14:bevel/>
          </w14:textOutline>
        </w:rPr>
        <w:t>如有</w:t>
      </w:r>
      <w:r>
        <w:rPr>
          <w:rFonts w:hint="eastAsia" w:ascii="宋体" w:hAnsi="宋体" w:eastAsia="宋体" w:cs="宋体"/>
          <w:color w:val="auto"/>
          <w:sz w:val="28"/>
          <w:szCs w:val="28"/>
          <w:lang w:eastAsia="zh-CN"/>
          <w14:textOutline w14:w="5103" w14:cap="sq" w14:cmpd="sng">
            <w14:solidFill>
              <w14:srgbClr w14:val="000000"/>
            </w14:solidFill>
            <w14:prstDash w14:val="solid"/>
            <w14:bevel/>
          </w14:textOutline>
        </w:rPr>
        <w:t>）</w:t>
      </w:r>
    </w:p>
    <w:p w14:paraId="7DC284C6">
      <w:pPr>
        <w:spacing w:line="360" w:lineRule="auto"/>
        <w:ind w:firstLine="480"/>
        <w:jc w:val="center"/>
        <w:rPr>
          <w:rFonts w:ascii="宋体" w:hAnsi="宋体" w:eastAsia="宋体" w:cs="宋体"/>
          <w:color w:val="auto"/>
          <w:sz w:val="24"/>
          <w:szCs w:val="24"/>
        </w:rPr>
      </w:pPr>
    </w:p>
    <w:p w14:paraId="37A4B01B">
      <w:pPr>
        <w:spacing w:line="360" w:lineRule="auto"/>
        <w:ind w:firstLine="480"/>
        <w:jc w:val="center"/>
        <w:rPr>
          <w:rFonts w:ascii="宋体" w:hAnsi="宋体" w:eastAsia="宋体" w:cs="宋体"/>
          <w:color w:val="auto"/>
          <w:sz w:val="24"/>
          <w:szCs w:val="24"/>
        </w:rPr>
      </w:pPr>
      <w:r>
        <w:rPr>
          <w:rFonts w:hint="eastAsia" w:ascii="宋体" w:hAnsi="宋体" w:eastAsia="宋体" w:cs="宋体"/>
          <w:color w:val="auto"/>
          <w:sz w:val="24"/>
          <w:szCs w:val="24"/>
        </w:rPr>
        <w:t>（属于残疾人福利企业的填写，不属于的无需填写）</w:t>
      </w:r>
    </w:p>
    <w:p w14:paraId="021F41A0">
      <w:pPr>
        <w:spacing w:line="360" w:lineRule="auto"/>
        <w:ind w:left="0" w:leftChars="0" w:firstLine="0" w:firstLineChars="0"/>
        <w:rPr>
          <w:rFonts w:ascii="宋体" w:hAnsi="宋体" w:eastAsia="宋体" w:cs="宋体"/>
          <w:color w:val="auto"/>
          <w:sz w:val="24"/>
          <w:szCs w:val="24"/>
        </w:rPr>
      </w:pPr>
    </w:p>
    <w:p w14:paraId="0E86A5B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szCs w:val="24"/>
        </w:rPr>
      </w:pPr>
      <w:r>
        <w:rPr>
          <w:rFonts w:hint="eastAsia" w:ascii="宋体" w:hAnsi="宋体" w:eastAsia="宋体" w:cs="宋体"/>
          <w:color w:val="auto"/>
          <w:sz w:val="24"/>
          <w:szCs w:val="24"/>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或者提供（其他残疾人福利性单位名称）制造的货物（不包括使用非残疾人福利性单位注册商标的货物）。货物的名称品牌型号是</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26AD22AB">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szCs w:val="24"/>
        </w:rPr>
      </w:pPr>
      <w:r>
        <w:rPr>
          <w:rFonts w:hint="eastAsia" w:ascii="宋体" w:hAnsi="宋体" w:eastAsia="宋体" w:cs="宋体"/>
          <w:color w:val="auto"/>
          <w:sz w:val="24"/>
          <w:szCs w:val="24"/>
        </w:rPr>
        <w:t>本单位对上述声明的真实性负责。如有虚假，将承担相应的法律责任。</w:t>
      </w:r>
    </w:p>
    <w:p w14:paraId="54A4D044">
      <w:pPr>
        <w:spacing w:line="360" w:lineRule="auto"/>
        <w:ind w:firstLine="480"/>
        <w:rPr>
          <w:rFonts w:ascii="宋体" w:hAnsi="宋体" w:eastAsia="宋体" w:cs="宋体"/>
          <w:color w:val="auto"/>
          <w:sz w:val="24"/>
          <w:szCs w:val="24"/>
        </w:rPr>
      </w:pPr>
    </w:p>
    <w:p w14:paraId="7A5236EB">
      <w:pPr>
        <w:spacing w:line="360" w:lineRule="auto"/>
        <w:ind w:firstLine="480"/>
        <w:rPr>
          <w:rFonts w:ascii="宋体" w:hAnsi="宋体" w:eastAsia="宋体" w:cs="宋体"/>
          <w:color w:val="auto"/>
          <w:sz w:val="24"/>
          <w:szCs w:val="24"/>
        </w:rPr>
      </w:pPr>
    </w:p>
    <w:p w14:paraId="56D6DBA7">
      <w:pPr>
        <w:spacing w:line="480" w:lineRule="auto"/>
        <w:ind w:firstLine="480"/>
        <w:rPr>
          <w:rFonts w:ascii="宋体" w:hAnsi="宋体" w:eastAsia="宋体" w:cs="宋体"/>
          <w:color w:val="auto"/>
          <w:sz w:val="24"/>
          <w:szCs w:val="24"/>
        </w:rPr>
      </w:pPr>
      <w:r>
        <w:rPr>
          <w:rFonts w:hint="eastAsia" w:ascii="宋体" w:hAnsi="宋体" w:eastAsia="宋体" w:cs="宋体"/>
          <w:color w:val="auto"/>
          <w:sz w:val="24"/>
          <w:szCs w:val="24"/>
        </w:rPr>
        <w:t>供应商名称（单位电子签章）：</w:t>
      </w:r>
    </w:p>
    <w:p w14:paraId="5785E5EF">
      <w:pPr>
        <w:spacing w:line="480" w:lineRule="auto"/>
        <w:ind w:firstLine="480"/>
        <w:rPr>
          <w:rFonts w:ascii="宋体" w:hAnsi="宋体" w:eastAsia="宋体" w:cs="宋体"/>
          <w:color w:val="auto"/>
          <w:sz w:val="24"/>
          <w:szCs w:val="24"/>
        </w:rPr>
      </w:pPr>
      <w:r>
        <w:rPr>
          <w:rFonts w:hint="eastAsia" w:ascii="宋体" w:hAnsi="宋体" w:eastAsia="宋体" w:cs="宋体"/>
          <w:color w:val="auto"/>
          <w:sz w:val="24"/>
          <w:szCs w:val="24"/>
        </w:rPr>
        <w:t>日期：</w:t>
      </w:r>
    </w:p>
    <w:p w14:paraId="7187EEC2">
      <w:pPr>
        <w:pStyle w:val="2"/>
        <w:ind w:left="425" w:firstLine="0" w:firstLineChars="0"/>
        <w:rPr>
          <w:rFonts w:ascii="宋体" w:hAnsi="宋体" w:eastAsia="宋体" w:cs="宋体"/>
          <w:bCs w:val="0"/>
          <w:color w:val="auto"/>
          <w:sz w:val="24"/>
          <w:szCs w:val="24"/>
        </w:rPr>
      </w:pPr>
    </w:p>
    <w:p w14:paraId="717EA94D">
      <w:pPr>
        <w:ind w:firstLine="422"/>
        <w:rPr>
          <w:rFonts w:ascii="宋体" w:hAnsi="宋体" w:eastAsia="宋体" w:cs="宋体"/>
          <w:b/>
          <w:color w:val="auto"/>
          <w:szCs w:val="21"/>
        </w:rPr>
      </w:pPr>
    </w:p>
    <w:p w14:paraId="16F498EF">
      <w:pPr>
        <w:pStyle w:val="74"/>
        <w:rPr>
          <w:rFonts w:hAnsi="宋体"/>
          <w:b/>
          <w:color w:val="auto"/>
          <w:kern w:val="2"/>
          <w:sz w:val="21"/>
          <w:szCs w:val="21"/>
        </w:rPr>
      </w:pPr>
    </w:p>
    <w:p w14:paraId="26EC1470">
      <w:pPr>
        <w:pStyle w:val="40"/>
        <w:ind w:firstLine="422"/>
        <w:rPr>
          <w:rFonts w:ascii="宋体" w:hAnsi="宋体" w:eastAsia="宋体" w:cs="宋体"/>
          <w:b/>
          <w:color w:val="auto"/>
          <w:sz w:val="21"/>
          <w:szCs w:val="21"/>
        </w:rPr>
      </w:pPr>
    </w:p>
    <w:p w14:paraId="318DC6C3">
      <w:pPr>
        <w:pStyle w:val="40"/>
        <w:ind w:firstLine="422"/>
        <w:rPr>
          <w:rFonts w:ascii="宋体" w:hAnsi="宋体" w:eastAsia="宋体" w:cs="宋体"/>
          <w:b/>
          <w:color w:val="auto"/>
          <w:sz w:val="21"/>
          <w:szCs w:val="21"/>
        </w:rPr>
      </w:pPr>
    </w:p>
    <w:p w14:paraId="5AB68C58">
      <w:pPr>
        <w:pStyle w:val="2"/>
        <w:ind w:left="425" w:firstLine="0" w:firstLineChars="0"/>
        <w:rPr>
          <w:rFonts w:ascii="宋体" w:hAnsi="宋体" w:eastAsia="宋体" w:cs="宋体"/>
          <w:color w:val="auto"/>
          <w:sz w:val="28"/>
          <w:szCs w:val="28"/>
        </w:rPr>
        <w:sectPr>
          <w:pgSz w:w="11905" w:h="16838"/>
          <w:pgMar w:top="1440" w:right="1463" w:bottom="1440" w:left="1463" w:header="850" w:footer="850" w:gutter="0"/>
          <w:pgNumType w:fmt="decimal"/>
          <w:cols w:space="0" w:num="1"/>
          <w:rtlGutter w:val="0"/>
          <w:docGrid w:type="lines" w:linePitch="423" w:charSpace="0"/>
        </w:sectPr>
      </w:pPr>
    </w:p>
    <w:p w14:paraId="46ABA3C5">
      <w:pPr>
        <w:pStyle w:val="3"/>
        <w:ind w:left="0" w:leftChars="0" w:firstLine="0" w:firstLineChars="0"/>
        <w:jc w:val="center"/>
        <w:rPr>
          <w:rFonts w:eastAsia="宋体" w:cs="宋体"/>
          <w:bCs/>
          <w:color w:val="auto"/>
          <w:sz w:val="28"/>
          <w:szCs w:val="28"/>
        </w:rPr>
      </w:pPr>
      <w:bookmarkStart w:id="117" w:name="_Toc3891"/>
      <w:r>
        <w:rPr>
          <w:rFonts w:hint="eastAsia" w:eastAsia="宋体" w:cs="宋体"/>
          <w:bCs/>
          <w:color w:val="auto"/>
          <w:sz w:val="28"/>
          <w:szCs w:val="28"/>
          <w:lang w:val="en-US" w:eastAsia="zh-CN"/>
        </w:rPr>
        <w:t>九</w:t>
      </w:r>
      <w:r>
        <w:rPr>
          <w:rFonts w:hint="eastAsia" w:eastAsia="宋体" w:cs="宋体"/>
          <w:bCs/>
          <w:color w:val="auto"/>
          <w:sz w:val="28"/>
          <w:szCs w:val="28"/>
        </w:rPr>
        <w:t>、监狱企业证明文件（如有）</w:t>
      </w:r>
      <w:bookmarkEnd w:id="117"/>
    </w:p>
    <w:p w14:paraId="79A73A02">
      <w:pPr>
        <w:spacing w:line="360" w:lineRule="auto"/>
        <w:ind w:left="0" w:leftChars="0" w:firstLine="0" w:firstLineChars="0"/>
        <w:jc w:val="center"/>
        <w:rPr>
          <w:rFonts w:hint="eastAsia" w:ascii="宋体" w:hAnsi="宋体" w:eastAsia="宋体" w:cs="宋体"/>
          <w:color w:val="FF0000"/>
          <w:sz w:val="24"/>
          <w:szCs w:val="24"/>
        </w:rPr>
      </w:pPr>
    </w:p>
    <w:p w14:paraId="3567661F">
      <w:pPr>
        <w:spacing w:line="360" w:lineRule="auto"/>
        <w:ind w:left="0" w:leftChars="0" w:firstLine="0" w:firstLineChars="0"/>
        <w:jc w:val="center"/>
        <w:rPr>
          <w:rFonts w:ascii="宋体" w:hAnsi="宋体" w:eastAsia="宋体" w:cs="宋体"/>
          <w:color w:val="auto"/>
          <w:szCs w:val="21"/>
        </w:rPr>
      </w:pPr>
      <w:r>
        <w:rPr>
          <w:rFonts w:hint="eastAsia" w:ascii="宋体" w:hAnsi="宋体" w:eastAsia="宋体" w:cs="宋体"/>
          <w:color w:val="auto"/>
          <w:sz w:val="24"/>
          <w:szCs w:val="24"/>
        </w:rPr>
        <w:t>（属于残疾人监狱的填写，不属于的无需填写）</w:t>
      </w:r>
    </w:p>
    <w:p w14:paraId="542DF548">
      <w:pPr>
        <w:spacing w:line="480" w:lineRule="auto"/>
        <w:ind w:firstLine="480"/>
        <w:rPr>
          <w:rFonts w:ascii="宋体" w:hAnsi="宋体" w:eastAsia="宋体" w:cs="宋体"/>
          <w:color w:val="auto"/>
          <w:sz w:val="24"/>
          <w:szCs w:val="24"/>
        </w:rPr>
      </w:pPr>
    </w:p>
    <w:p w14:paraId="5DEC1B0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宋体" w:hAnsi="宋体" w:eastAsia="宋体" w:cs="宋体"/>
          <w:color w:val="auto"/>
          <w:sz w:val="24"/>
          <w:szCs w:val="24"/>
        </w:rPr>
      </w:pPr>
      <w:r>
        <w:rPr>
          <w:rFonts w:hint="eastAsia" w:ascii="宋体" w:hAnsi="宋体" w:eastAsia="宋体" w:cs="宋体"/>
          <w:color w:val="auto"/>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%的价格扣除，但必须提供由省级以上监狱管理局、戒毒管理局（含新疆生产建设兵团）出具的属于监狱企业的证明文件，否则评审时不予价格扣除优惠。</w:t>
      </w:r>
    </w:p>
    <w:p w14:paraId="254A087E">
      <w:pPr>
        <w:spacing w:line="360" w:lineRule="auto"/>
        <w:ind w:firstLine="420"/>
        <w:jc w:val="center"/>
        <w:rPr>
          <w:rFonts w:ascii="宋体" w:hAnsi="宋体" w:eastAsia="宋体" w:cs="宋体"/>
          <w:color w:val="auto"/>
          <w:szCs w:val="21"/>
        </w:rPr>
      </w:pPr>
    </w:p>
    <w:p w14:paraId="5B8AF027">
      <w:pPr>
        <w:spacing w:line="360" w:lineRule="auto"/>
        <w:ind w:firstLine="420"/>
        <w:jc w:val="center"/>
        <w:rPr>
          <w:rFonts w:ascii="宋体" w:hAnsi="宋体" w:eastAsia="宋体" w:cs="宋体"/>
          <w:color w:val="auto"/>
          <w:szCs w:val="21"/>
        </w:rPr>
      </w:pPr>
    </w:p>
    <w:p w14:paraId="0A591921">
      <w:pPr>
        <w:spacing w:line="360" w:lineRule="auto"/>
        <w:ind w:firstLine="480"/>
        <w:rPr>
          <w:rFonts w:ascii="宋体" w:hAnsi="宋体" w:eastAsia="宋体" w:cs="宋体"/>
          <w:color w:val="auto"/>
          <w:sz w:val="24"/>
          <w:szCs w:val="24"/>
        </w:rPr>
      </w:pPr>
    </w:p>
    <w:p w14:paraId="7EB80979">
      <w:pPr>
        <w:pStyle w:val="2"/>
        <w:ind w:left="425" w:firstLine="0" w:firstLineChars="0"/>
        <w:rPr>
          <w:rFonts w:ascii="宋体" w:hAnsi="宋体" w:eastAsia="宋体" w:cs="宋体"/>
          <w:color w:val="auto"/>
          <w:sz w:val="28"/>
          <w:szCs w:val="28"/>
        </w:rPr>
      </w:pPr>
    </w:p>
    <w:p w14:paraId="23E7A776">
      <w:pPr>
        <w:pStyle w:val="2"/>
        <w:ind w:left="425" w:firstLine="0" w:firstLineChars="0"/>
        <w:rPr>
          <w:rFonts w:ascii="宋体" w:hAnsi="宋体" w:eastAsia="宋体" w:cs="宋体"/>
          <w:color w:val="auto"/>
          <w:sz w:val="28"/>
          <w:szCs w:val="28"/>
        </w:rPr>
      </w:pPr>
    </w:p>
    <w:p w14:paraId="75F642AC">
      <w:pPr>
        <w:pStyle w:val="2"/>
        <w:ind w:left="425" w:firstLine="0" w:firstLineChars="0"/>
        <w:rPr>
          <w:rFonts w:ascii="宋体" w:hAnsi="宋体" w:eastAsia="宋体" w:cs="宋体"/>
          <w:color w:val="auto"/>
          <w:sz w:val="28"/>
          <w:szCs w:val="28"/>
        </w:rPr>
      </w:pPr>
    </w:p>
    <w:p w14:paraId="4B5F95A7">
      <w:pPr>
        <w:pStyle w:val="2"/>
        <w:ind w:left="425" w:firstLine="0" w:firstLineChars="0"/>
        <w:rPr>
          <w:rFonts w:ascii="宋体" w:hAnsi="宋体" w:eastAsia="宋体" w:cs="宋体"/>
          <w:color w:val="auto"/>
          <w:sz w:val="28"/>
          <w:szCs w:val="28"/>
        </w:rPr>
      </w:pPr>
    </w:p>
    <w:p w14:paraId="3115E7F0">
      <w:pPr>
        <w:pStyle w:val="2"/>
        <w:ind w:left="425" w:firstLine="0" w:firstLineChars="0"/>
        <w:rPr>
          <w:rFonts w:ascii="宋体" w:hAnsi="宋体" w:eastAsia="宋体" w:cs="宋体"/>
          <w:color w:val="auto"/>
          <w:sz w:val="28"/>
          <w:szCs w:val="28"/>
        </w:rPr>
      </w:pPr>
    </w:p>
    <w:p w14:paraId="3396081A">
      <w:pPr>
        <w:ind w:firstLine="562"/>
        <w:rPr>
          <w:rFonts w:ascii="宋体" w:hAnsi="宋体" w:eastAsia="宋体" w:cs="宋体"/>
          <w:b/>
          <w:bCs/>
          <w:color w:val="auto"/>
          <w:sz w:val="28"/>
          <w:szCs w:val="28"/>
        </w:rPr>
      </w:pPr>
    </w:p>
    <w:p w14:paraId="61B6DF4B">
      <w:pPr>
        <w:pStyle w:val="52"/>
        <w:ind w:firstLine="210"/>
        <w:rPr>
          <w:color w:val="auto"/>
        </w:rPr>
      </w:pPr>
    </w:p>
    <w:p w14:paraId="17AFCD86">
      <w:pPr>
        <w:spacing w:line="360" w:lineRule="auto"/>
        <w:ind w:firstLine="422"/>
        <w:jc w:val="center"/>
        <w:rPr>
          <w:rFonts w:ascii="宋体" w:hAnsi="宋体" w:eastAsia="宋体" w:cs="宋体"/>
          <w:b/>
          <w:color w:val="auto"/>
          <w:szCs w:val="21"/>
        </w:rPr>
      </w:pPr>
    </w:p>
    <w:p w14:paraId="7D5F8559">
      <w:pPr>
        <w:spacing w:line="360" w:lineRule="auto"/>
        <w:ind w:firstLine="422"/>
        <w:jc w:val="center"/>
        <w:rPr>
          <w:rFonts w:ascii="宋体" w:hAnsi="宋体" w:eastAsia="宋体" w:cs="宋体"/>
          <w:b/>
          <w:color w:val="auto"/>
          <w:szCs w:val="21"/>
        </w:rPr>
      </w:pPr>
    </w:p>
    <w:p w14:paraId="35F0445B">
      <w:pPr>
        <w:ind w:left="0" w:leftChars="0" w:firstLine="0" w:firstLineChars="0"/>
        <w:rPr>
          <w:rFonts w:hint="eastAsia" w:eastAsia="宋体" w:cs="宋体"/>
          <w:bCs/>
          <w:color w:val="auto"/>
          <w:sz w:val="28"/>
          <w:szCs w:val="28"/>
        </w:rPr>
      </w:pPr>
      <w:bookmarkStart w:id="118" w:name="_Toc1935"/>
      <w:r>
        <w:rPr>
          <w:rFonts w:hint="eastAsia" w:eastAsia="宋体" w:cs="宋体"/>
          <w:bCs/>
          <w:color w:val="auto"/>
          <w:sz w:val="28"/>
          <w:szCs w:val="28"/>
        </w:rPr>
        <w:br w:type="page"/>
      </w:r>
    </w:p>
    <w:p w14:paraId="6B49753B">
      <w:pPr>
        <w:pStyle w:val="3"/>
        <w:ind w:left="0" w:leftChars="0" w:firstLine="0" w:firstLineChars="0"/>
        <w:jc w:val="center"/>
        <w:rPr>
          <w:rFonts w:eastAsia="宋体" w:cs="宋体"/>
          <w:bCs/>
          <w:color w:val="auto"/>
          <w:sz w:val="28"/>
          <w:szCs w:val="28"/>
        </w:rPr>
      </w:pPr>
      <w:r>
        <w:rPr>
          <w:rFonts w:hint="eastAsia" w:eastAsia="宋体" w:cs="宋体"/>
          <w:bCs/>
          <w:color w:val="auto"/>
          <w:sz w:val="28"/>
          <w:szCs w:val="28"/>
          <w:lang w:val="en-US" w:eastAsia="zh-CN"/>
        </w:rPr>
        <w:t>十</w:t>
      </w:r>
      <w:r>
        <w:rPr>
          <w:rFonts w:hint="eastAsia" w:eastAsia="宋体" w:cs="宋体"/>
          <w:bCs/>
          <w:color w:val="auto"/>
          <w:sz w:val="28"/>
          <w:szCs w:val="28"/>
        </w:rPr>
        <w:t>、反商业贿赂承诺书</w:t>
      </w:r>
      <w:bookmarkEnd w:id="118"/>
    </w:p>
    <w:p w14:paraId="48B8EA2E">
      <w:pPr>
        <w:pStyle w:val="52"/>
        <w:ind w:firstLine="210"/>
        <w:rPr>
          <w:rFonts w:ascii="宋体" w:hAnsi="宋体" w:eastAsia="宋体" w:cs="宋体"/>
          <w:color w:val="auto"/>
          <w:szCs w:val="21"/>
        </w:rPr>
      </w:pPr>
    </w:p>
    <w:p w14:paraId="4DE9CAD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ascii="宋体" w:hAnsi="宋体" w:eastAsia="宋体" w:cs="宋体"/>
          <w:color w:val="auto"/>
          <w:sz w:val="24"/>
          <w:szCs w:val="24"/>
          <w:lang w:val="zh-CN"/>
        </w:rPr>
      </w:pPr>
      <w:r>
        <w:rPr>
          <w:rFonts w:hint="eastAsia" w:ascii="宋体" w:hAnsi="宋体" w:eastAsia="宋体" w:cs="宋体"/>
          <w:color w:val="auto"/>
          <w:sz w:val="24"/>
          <w:szCs w:val="24"/>
          <w:lang w:val="zh-CN"/>
        </w:rPr>
        <w:t>我方承诺：</w:t>
      </w:r>
    </w:p>
    <w:p w14:paraId="61128F54">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left"/>
        <w:textAlignment w:val="auto"/>
        <w:rPr>
          <w:rFonts w:ascii="宋体" w:hAnsi="宋体" w:eastAsia="宋体" w:cs="宋体"/>
          <w:color w:val="auto"/>
          <w:sz w:val="24"/>
          <w:szCs w:val="24"/>
          <w:lang w:val="zh-CN"/>
        </w:rPr>
      </w:pPr>
      <w:r>
        <w:rPr>
          <w:rFonts w:hint="eastAsia" w:ascii="宋体" w:hAnsi="宋体" w:eastAsia="宋体" w:cs="宋体"/>
          <w:color w:val="auto"/>
          <w:sz w:val="24"/>
          <w:szCs w:val="24"/>
          <w:lang w:val="zh-CN"/>
        </w:rPr>
        <w:t>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CN"/>
        </w:rPr>
        <w:t>（项目名称）投标活动中，我方保证做到：</w:t>
      </w:r>
    </w:p>
    <w:p w14:paraId="79399497">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left"/>
        <w:textAlignment w:val="auto"/>
        <w:rPr>
          <w:rFonts w:ascii="宋体" w:hAnsi="宋体" w:eastAsia="宋体" w:cs="宋体"/>
          <w:color w:val="auto"/>
          <w:sz w:val="24"/>
          <w:szCs w:val="24"/>
          <w:lang w:val="zh-CN"/>
        </w:rPr>
      </w:pPr>
      <w:r>
        <w:rPr>
          <w:rFonts w:hint="eastAsia" w:ascii="宋体" w:hAnsi="宋体" w:eastAsia="宋体" w:cs="宋体"/>
          <w:color w:val="auto"/>
          <w:sz w:val="24"/>
          <w:szCs w:val="24"/>
          <w:lang w:val="zh-CN"/>
        </w:rPr>
        <w:t>一、公平竞争参加本次公开采购活动。</w:t>
      </w:r>
    </w:p>
    <w:p w14:paraId="24A107C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ascii="宋体" w:hAnsi="宋体" w:eastAsia="宋体" w:cs="宋体"/>
          <w:color w:val="auto"/>
          <w:sz w:val="24"/>
          <w:szCs w:val="24"/>
          <w:lang w:val="zh-CN"/>
        </w:rPr>
      </w:pPr>
      <w:r>
        <w:rPr>
          <w:rFonts w:hint="eastAsia" w:ascii="宋体" w:hAnsi="宋体" w:eastAsia="宋体" w:cs="宋体"/>
          <w:color w:val="auto"/>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8DC14A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left"/>
        <w:textAlignment w:val="auto"/>
        <w:rPr>
          <w:rFonts w:ascii="宋体" w:hAnsi="宋体" w:eastAsia="宋体" w:cs="宋体"/>
          <w:color w:val="auto"/>
          <w:sz w:val="24"/>
          <w:szCs w:val="24"/>
          <w:lang w:val="zh-CN"/>
        </w:rPr>
      </w:pPr>
      <w:r>
        <w:rPr>
          <w:rFonts w:hint="eastAsia" w:ascii="宋体" w:hAnsi="宋体" w:eastAsia="宋体" w:cs="宋体"/>
          <w:color w:val="auto"/>
          <w:sz w:val="24"/>
          <w:szCs w:val="24"/>
          <w:lang w:val="zh-CN"/>
        </w:rPr>
        <w:t>三、若出现上述行为，我方及参与投标的工作人员愿意接受按照国家法律法规等有关规定给予的处罚。</w:t>
      </w:r>
    </w:p>
    <w:p w14:paraId="79BF83D0">
      <w:pPr>
        <w:keepNext w:val="0"/>
        <w:keepLines w:val="0"/>
        <w:pageBreakBefore w:val="0"/>
        <w:widowControl w:val="0"/>
        <w:kinsoku/>
        <w:wordWrap/>
        <w:overflowPunct/>
        <w:topLinePunct w:val="0"/>
        <w:bidi w:val="0"/>
        <w:adjustRightInd/>
        <w:snapToGrid/>
        <w:spacing w:line="360" w:lineRule="auto"/>
        <w:ind w:left="645" w:firstLine="480" w:firstLineChars="200"/>
        <w:jc w:val="left"/>
        <w:textAlignment w:val="auto"/>
        <w:outlineLvl w:val="0"/>
        <w:rPr>
          <w:rFonts w:ascii="宋体" w:hAnsi="宋体" w:eastAsia="宋体" w:cs="宋体"/>
          <w:color w:val="auto"/>
          <w:sz w:val="24"/>
          <w:szCs w:val="24"/>
        </w:rPr>
      </w:pPr>
    </w:p>
    <w:p w14:paraId="7A01D979">
      <w:pPr>
        <w:keepNext w:val="0"/>
        <w:keepLines w:val="0"/>
        <w:pageBreakBefore w:val="0"/>
        <w:widowControl w:val="0"/>
        <w:kinsoku/>
        <w:wordWrap/>
        <w:overflowPunct/>
        <w:topLinePunct w:val="0"/>
        <w:bidi w:val="0"/>
        <w:adjustRightInd/>
        <w:snapToGrid/>
        <w:spacing w:line="360" w:lineRule="auto"/>
        <w:ind w:left="645" w:firstLine="480" w:firstLineChars="200"/>
        <w:jc w:val="left"/>
        <w:textAlignment w:val="auto"/>
        <w:outlineLvl w:val="0"/>
        <w:rPr>
          <w:rFonts w:ascii="宋体" w:hAnsi="宋体" w:eastAsia="宋体" w:cs="宋体"/>
          <w:color w:val="auto"/>
          <w:sz w:val="24"/>
          <w:szCs w:val="24"/>
        </w:rPr>
      </w:pPr>
    </w:p>
    <w:p w14:paraId="06C4D1DF">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投标供应商：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42CEB3CC">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77C1DF27">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D95A77D">
      <w:pPr>
        <w:spacing w:line="360" w:lineRule="auto"/>
        <w:ind w:left="645" w:firstLine="420"/>
        <w:outlineLvl w:val="0"/>
        <w:rPr>
          <w:rFonts w:ascii="宋体" w:hAnsi="宋体" w:eastAsia="宋体" w:cs="宋体"/>
          <w:color w:val="auto"/>
          <w:szCs w:val="21"/>
        </w:rPr>
        <w:sectPr>
          <w:pgSz w:w="11905" w:h="16838"/>
          <w:pgMar w:top="1440" w:right="1463" w:bottom="1440" w:left="1463" w:header="850" w:footer="850" w:gutter="0"/>
          <w:pgNumType w:fmt="decimal"/>
          <w:cols w:space="0" w:num="1"/>
          <w:rtlGutter w:val="0"/>
          <w:docGrid w:type="lines" w:linePitch="423" w:charSpace="0"/>
        </w:sectPr>
      </w:pPr>
    </w:p>
    <w:p w14:paraId="62218D2A">
      <w:pPr>
        <w:pStyle w:val="3"/>
        <w:spacing w:line="480" w:lineRule="auto"/>
        <w:ind w:left="0" w:leftChars="0" w:firstLine="0" w:firstLineChars="0"/>
        <w:jc w:val="center"/>
        <w:rPr>
          <w:rFonts w:eastAsia="宋体" w:cs="宋体"/>
          <w:bCs/>
          <w:color w:val="auto"/>
          <w:sz w:val="28"/>
          <w:szCs w:val="28"/>
        </w:rPr>
      </w:pPr>
      <w:bookmarkStart w:id="119" w:name="_Toc28260"/>
      <w:r>
        <w:rPr>
          <w:rFonts w:hint="eastAsia" w:eastAsia="宋体" w:cs="宋体"/>
          <w:bCs/>
          <w:color w:val="auto"/>
          <w:sz w:val="28"/>
          <w:szCs w:val="28"/>
        </w:rPr>
        <w:t>十</w:t>
      </w:r>
      <w:r>
        <w:rPr>
          <w:rFonts w:hint="eastAsia" w:eastAsia="宋体" w:cs="宋体"/>
          <w:bCs/>
          <w:color w:val="auto"/>
          <w:sz w:val="28"/>
          <w:szCs w:val="28"/>
          <w:lang w:val="en-US" w:eastAsia="zh-CN"/>
        </w:rPr>
        <w:t>一</w:t>
      </w:r>
      <w:r>
        <w:rPr>
          <w:rFonts w:hint="eastAsia" w:eastAsia="宋体" w:cs="宋体"/>
          <w:bCs/>
          <w:color w:val="auto"/>
          <w:sz w:val="28"/>
          <w:szCs w:val="28"/>
        </w:rPr>
        <w:t>、其他材料</w:t>
      </w:r>
      <w:bookmarkEnd w:id="119"/>
    </w:p>
    <w:p w14:paraId="13580422">
      <w:pPr>
        <w:rPr>
          <w:color w:val="auto"/>
          <w:highlight w:val="none"/>
        </w:rPr>
      </w:pPr>
    </w:p>
    <w:sectPr>
      <w:headerReference r:id="rId14" w:type="default"/>
      <w:footerReference r:id="rId15" w:type="default"/>
      <w:pgSz w:w="11905" w:h="16838"/>
      <w:pgMar w:top="1247" w:right="1134" w:bottom="1247" w:left="1247" w:header="850" w:footer="720" w:gutter="0"/>
      <w:pgNumType w:fmt="decimal" w:chapStyle="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EU-F1">
    <w:altName w:val="宋体"/>
    <w:panose1 w:val="00000000000000000000"/>
    <w:charset w:val="86"/>
    <w:family w:val="script"/>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幼圆">
    <w:altName w:val="宋体"/>
    <w:panose1 w:val="0201050906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文鼎CS中黑">
    <w:altName w:val="宋体"/>
    <w:panose1 w:val="00000000000000000000"/>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E-F1">
    <w:altName w:val="Malgun Gothic"/>
    <w:panose1 w:val="00000000000000000000"/>
    <w:charset w:val="81"/>
    <w:family w:val="roman"/>
    <w:pitch w:val="default"/>
    <w:sig w:usb0="00000000" w:usb1="00000000" w:usb2="00000033" w:usb3="00000000" w:csb0="00080000" w:csb1="00000000"/>
  </w:font>
  <w:font w:name="Malgun Gothic">
    <w:panose1 w:val="020B0503020000020004"/>
    <w:charset w:val="81"/>
    <w:family w:val="auto"/>
    <w:pitch w:val="default"/>
    <w:sig w:usb0="9000002F" w:usb1="29D77CFB" w:usb2="00000012" w:usb3="00000000" w:csb0="00080001" w:csb1="00000000"/>
  </w:font>
  <w:font w:name="华文细黑">
    <w:altName w:val="微软雅黑"/>
    <w:panose1 w:val="02010600040101010101"/>
    <w:charset w:val="86"/>
    <w:family w:val="auto"/>
    <w:pitch w:val="default"/>
    <w:sig w:usb0="00000000" w:usb1="00000000" w:usb2="00000000" w:usb3="00000000" w:csb0="0004009F" w:csb1="DFD70000"/>
  </w:font>
  <w:font w:name="???|CS?o｡ﾀ?">
    <w:altName w:val="Yu Gothic"/>
    <w:panose1 w:val="00000000000000000000"/>
    <w:charset w:val="80"/>
    <w:family w:val="moder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A793B">
    <w:pPr>
      <w:pStyle w:val="33"/>
      <w:tabs>
        <w:tab w:val="center" w:pos="4862"/>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CAA67">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E28C4">
    <w:pPr>
      <w:pStyle w:val="33"/>
    </w:pPr>
  </w:p>
  <w:p w14:paraId="0A897F60">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75342">
    <w:pPr>
      <w:pStyle w:val="3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3175" b="1905"/>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6D9036B3">
                          <w:pPr>
                            <w:pStyle w:val="33"/>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BKTObvCgIAAAEEAAAOAAAAAAAAAAEAIAAAAB8BAABk&#10;cnMvZTJvRG9jLnhtbFBLBQYAAAAABgAGAFkBAACbBQAAAAA=&#10;">
              <v:fill on="f" focussize="0,0"/>
              <v:stroke on="f"/>
              <v:imagedata o:title=""/>
              <o:lock v:ext="edit" aspectratio="f"/>
              <v:textbox inset="0mm,0mm,0mm,0mm" style="mso-fit-shape-to-text:t;">
                <w:txbxContent>
                  <w:p w14:paraId="6D9036B3">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DEC73">
    <w:pPr>
      <w:pStyle w:val="33"/>
    </w:pPr>
  </w:p>
  <w:p w14:paraId="1729C001">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3CFAA">
                          <w:pPr>
                            <w:pStyle w:val="3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D73CFAA">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E3816">
    <w:pPr>
      <w:pStyle w:val="33"/>
      <w:ind w:right="360"/>
      <w:jc w:val="both"/>
      <w:rPr>
        <w:rFonts w:ascii="楷体" w:hAnsi="楷体" w:eastAsia="楷体" w:cs="楷体"/>
        <w:b/>
        <w:bCs/>
        <w:sz w:val="20"/>
        <w:u w:val="single"/>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1905" r="127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374BADA">
                          <w:pPr>
                            <w:pStyle w:val="33"/>
                          </w:pPr>
                          <w:r>
                            <w:fldChar w:fldCharType="begin"/>
                          </w:r>
                          <w:r>
                            <w:instrText xml:space="preserve"> PAGE  \* MERGEFORMAT </w:instrText>
                          </w:r>
                          <w:r>
                            <w:fldChar w:fldCharType="separate"/>
                          </w:r>
                          <w:r>
                            <w:t>37</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j5xr/QsCAAACBAAADgAAAAAAAAABACAAAAAfAQAA&#10;ZHJzL2Uyb0RvYy54bWxQSwUGAAAAAAYABgBZAQAAnAUAAAAA&#10;">
              <v:fill on="f" focussize="0,0"/>
              <v:stroke on="f"/>
              <v:imagedata o:title=""/>
              <o:lock v:ext="edit" aspectratio="f"/>
              <v:textbox inset="0mm,0mm,0mm,0mm" style="mso-fit-shape-to-text:t;">
                <w:txbxContent>
                  <w:p w14:paraId="2374BADA">
                    <w:pPr>
                      <w:pStyle w:val="33"/>
                    </w:pPr>
                    <w:r>
                      <w:fldChar w:fldCharType="begin"/>
                    </w:r>
                    <w:r>
                      <w:instrText xml:space="preserve"> PAGE  \* MERGEFORMAT </w:instrText>
                    </w:r>
                    <w:r>
                      <w:fldChar w:fldCharType="separate"/>
                    </w:r>
                    <w:r>
                      <w:t>37</w:t>
                    </w:r>
                    <w:r>
                      <w:fldChar w:fldCharType="end"/>
                    </w:r>
                  </w:p>
                </w:txbxContent>
              </v:textbox>
            </v:shape>
          </w:pict>
        </mc:Fallback>
      </mc:AlternateContent>
    </w:r>
  </w:p>
  <w:p w14:paraId="0D8E95C5">
    <w:pPr>
      <w:pStyle w:val="33"/>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41301">
    <w:pPr>
      <w:pStyle w:val="33"/>
      <w:wordWrap w:val="0"/>
      <w:ind w:right="360"/>
      <w:jc w:val="both"/>
      <w:rPr>
        <w:rFonts w:eastAsia="楷体"/>
        <w:b/>
        <w:bCs/>
        <w:sz w:val="20"/>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3175" b="190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4584743F">
                          <w:pPr>
                            <w:pStyle w:val="33"/>
                          </w:pPr>
                          <w:r>
                            <w:fldChar w:fldCharType="begin"/>
                          </w:r>
                          <w:r>
                            <w:instrText xml:space="preserve"> PAGE  \* MERGEFORMAT </w:instrText>
                          </w:r>
                          <w:r>
                            <w:fldChar w:fldCharType="separate"/>
                          </w:r>
                          <w:r>
                            <w:t>50</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dDvzoK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quQzzqww1PDDj++Hn78P&#10;v76xWbSnc76grFtHeaF/Az0NTZLq3Q3IL55ZuG6E3agrROgaJSqil8eX2YOnA46PIOvuPVRUR2wD&#10;JKC+RhO9IzcYoVNr9qfWqD4wGUvms9fnF5xJusrP89nsIlUQxfjYoQ9vFRgWg5IjdT6Bi92ND5GM&#10;KMaUWMvCSrdt6n5r/zqgxHiSyEe+A/PQr/ujGWuo9iQDYRgm+koUNIBfOetokEpu6d9w1r6zZESc&#10;uTHAMViPgbCSHpY8cDaE12GYza1DvWkId7T6isxa6SQkujpwOLKk0Uj6jmMcZ+/hPmX9+bqL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HQ786CgIAAAIEAAAOAAAAAAAAAAEAIAAAAB8BAABk&#10;cnMvZTJvRG9jLnhtbFBLBQYAAAAABgAGAFkBAACbBQAAAAA=&#10;">
              <v:fill on="f" focussize="0,0"/>
              <v:stroke on="f"/>
              <v:imagedata o:title=""/>
              <o:lock v:ext="edit" aspectratio="f"/>
              <v:textbox inset="0mm,0mm,0mm,0mm" style="mso-fit-shape-to-text:t;">
                <w:txbxContent>
                  <w:p w14:paraId="4584743F">
                    <w:pPr>
                      <w:pStyle w:val="3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6F174">
    <w:pPr>
      <w:pStyle w:val="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58F5B">
    <w:pPr>
      <w:spacing w:line="360" w:lineRule="auto"/>
      <w:jc w:val="left"/>
      <w:rPr>
        <w:rFonts w:ascii="宋体" w:hAnsi="宋体"/>
        <w:sz w:val="18"/>
        <w:szCs w:val="18"/>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5EA95">
    <w:pPr>
      <w:spacing w:line="360" w:lineRule="auto"/>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2768C">
    <w:pPr>
      <w:spacing w:line="360" w:lineRule="auto"/>
      <w:jc w:val="left"/>
      <w:rPr>
        <w:rFonts w:hint="default" w:ascii="宋体" w:hAnsi="宋体" w:eastAsia="楷体"/>
        <w:color w:val="auto"/>
        <w:sz w:val="18"/>
        <w:szCs w:val="18"/>
        <w:u w:val="single"/>
        <w:lang w:val="en-US" w:eastAsia="zh-CN"/>
      </w:rPr>
    </w:pPr>
    <w:r>
      <w:rPr>
        <w:rFonts w:hint="eastAsia" w:ascii="楷体" w:hAnsi="楷体" w:eastAsia="楷体" w:cs="楷体"/>
        <w:b/>
        <w:bCs/>
        <w:color w:val="auto"/>
        <w:sz w:val="18"/>
        <w:szCs w:val="18"/>
        <w:u w:val="single"/>
        <w:lang w:eastAsia="zh-CN"/>
      </w:rPr>
      <w:t>新县国土空间规划中绿化造林空间适宜性评价项目</w:t>
    </w:r>
    <w:r>
      <w:rPr>
        <w:rFonts w:hint="eastAsia" w:ascii="楷体" w:hAnsi="楷体" w:eastAsia="楷体" w:cs="楷体"/>
        <w:b/>
        <w:bCs/>
        <w:color w:val="auto"/>
        <w:sz w:val="18"/>
        <w:szCs w:val="18"/>
        <w:u w:val="single"/>
      </w:rPr>
      <w:t>竞争性磋商文件</w:t>
    </w:r>
    <w:r>
      <w:rPr>
        <w:rFonts w:hint="eastAsia" w:ascii="楷体" w:hAnsi="楷体" w:eastAsia="楷体" w:cs="楷体"/>
        <w:b/>
        <w:bCs/>
        <w:color w:val="auto"/>
        <w:sz w:val="18"/>
        <w:szCs w:val="18"/>
        <w:u w:val="single"/>
        <w:lang w:val="en-US" w:eastAsia="zh-CN"/>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3C58F">
    <w:pPr>
      <w:spacing w:line="360" w:lineRule="auto"/>
      <w:jc w:val="left"/>
      <w:rPr>
        <w:rFonts w:hint="default" w:ascii="宋体" w:hAnsi="宋体" w:eastAsia="楷体"/>
        <w:color w:val="auto"/>
        <w:sz w:val="18"/>
        <w:szCs w:val="18"/>
        <w:u w:val="single"/>
        <w:lang w:val="en-US" w:eastAsia="zh-CN"/>
      </w:rPr>
    </w:pPr>
    <w:r>
      <w:rPr>
        <w:rFonts w:hint="eastAsia" w:ascii="楷体" w:hAnsi="楷体" w:eastAsia="楷体" w:cs="楷体"/>
        <w:b/>
        <w:bCs/>
        <w:color w:val="auto"/>
        <w:sz w:val="18"/>
        <w:szCs w:val="18"/>
        <w:u w:val="single"/>
        <w:lang w:eastAsia="zh-CN"/>
      </w:rPr>
      <w:t>新县国土空间规划中绿化造林空间适宜性评价项目</w:t>
    </w:r>
    <w:r>
      <w:rPr>
        <w:rFonts w:hint="eastAsia" w:ascii="楷体" w:hAnsi="楷体" w:eastAsia="楷体" w:cs="楷体"/>
        <w:b/>
        <w:bCs/>
        <w:color w:val="auto"/>
        <w:sz w:val="18"/>
        <w:szCs w:val="18"/>
        <w:u w:val="single"/>
      </w:rPr>
      <w:t>竞争性磋商文件</w:t>
    </w:r>
    <w:r>
      <w:rPr>
        <w:rFonts w:hint="eastAsia" w:ascii="楷体" w:hAnsi="楷体" w:eastAsia="楷体" w:cs="楷体"/>
        <w:b/>
        <w:bCs/>
        <w:color w:val="auto"/>
        <w:sz w:val="18"/>
        <w:szCs w:val="18"/>
        <w:u w:val="single"/>
        <w:lang w:val="en-US" w:eastAsia="zh-CN"/>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78BA2">
    <w:pPr>
      <w:pStyle w:val="34"/>
      <w:pBdr>
        <w:bottom w:val="none" w:color="auto" w:sz="0" w:space="1"/>
      </w:pBdr>
      <w:jc w:val="left"/>
      <w:rPr>
        <w:rFonts w:hint="default" w:ascii="楷体" w:hAnsi="楷体" w:eastAsia="楷体" w:cs="楷体"/>
        <w:b/>
        <w:bCs/>
        <w:color w:val="auto"/>
        <w:spacing w:val="-20"/>
        <w:lang w:val="en-US" w:eastAsia="zh-CN"/>
      </w:rPr>
    </w:pPr>
    <w:r>
      <w:rPr>
        <w:rFonts w:hint="eastAsia" w:ascii="楷体" w:hAnsi="楷体" w:eastAsia="楷体" w:cs="楷体"/>
        <w:b/>
        <w:bCs/>
        <w:color w:val="auto"/>
        <w:u w:val="single"/>
        <w:lang w:eastAsia="zh-CN"/>
      </w:rPr>
      <w:t>新县国土空间规划中绿化造林空间适宜性评价项目</w:t>
    </w:r>
    <w:r>
      <w:rPr>
        <w:rFonts w:hint="eastAsia" w:ascii="楷体" w:hAnsi="楷体" w:eastAsia="楷体" w:cs="楷体"/>
        <w:b/>
        <w:bCs/>
        <w:color w:val="auto"/>
        <w:u w:val="single"/>
        <w:lang w:eastAsia="zh-CN"/>
      </w:rPr>
      <w:tab/>
    </w:r>
    <w:r>
      <w:rPr>
        <w:rFonts w:hint="eastAsia" w:ascii="楷体" w:hAnsi="楷体" w:eastAsia="楷体" w:cs="楷体"/>
        <w:b/>
        <w:bCs/>
        <w:color w:val="auto"/>
        <w:u w:val="single"/>
      </w:rPr>
      <w:t xml:space="preserve">  竞争性磋商文件</w:t>
    </w:r>
    <w:r>
      <w:rPr>
        <w:rFonts w:hint="eastAsia" w:ascii="楷体" w:hAnsi="楷体" w:eastAsia="楷体" w:cs="楷体"/>
        <w:b/>
        <w:bCs/>
        <w:color w:val="auto"/>
        <w:u w:val="single"/>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7612E2"/>
    <w:multiLevelType w:val="singleLevel"/>
    <w:tmpl w:val="9B7612E2"/>
    <w:lvl w:ilvl="0" w:tentative="0">
      <w:start w:val="2"/>
      <w:numFmt w:val="decimal"/>
      <w:suff w:val="nothing"/>
      <w:lvlText w:val="%1、"/>
      <w:lvlJc w:val="left"/>
    </w:lvl>
  </w:abstractNum>
  <w:abstractNum w:abstractNumId="1">
    <w:nsid w:val="AE9B3827"/>
    <w:multiLevelType w:val="singleLevel"/>
    <w:tmpl w:val="AE9B3827"/>
    <w:lvl w:ilvl="0" w:tentative="0">
      <w:start w:val="5"/>
      <w:numFmt w:val="chineseCounting"/>
      <w:suff w:val="space"/>
      <w:lvlText w:val="第%1章"/>
      <w:lvlJc w:val="left"/>
      <w:rPr>
        <w:rFonts w:hint="eastAsia"/>
      </w:rPr>
    </w:lvl>
  </w:abstractNum>
  <w:abstractNum w:abstractNumId="2">
    <w:nsid w:val="B5E08322"/>
    <w:multiLevelType w:val="singleLevel"/>
    <w:tmpl w:val="B5E08322"/>
    <w:lvl w:ilvl="0" w:tentative="0">
      <w:start w:val="1"/>
      <w:numFmt w:val="chineseCounting"/>
      <w:suff w:val="nothing"/>
      <w:lvlText w:val="%1、"/>
      <w:lvlJc w:val="left"/>
      <w:rPr>
        <w:rFonts w:hint="eastAsia"/>
      </w:rPr>
    </w:lvl>
  </w:abstractNum>
  <w:abstractNum w:abstractNumId="3">
    <w:nsid w:val="D839AFD6"/>
    <w:multiLevelType w:val="singleLevel"/>
    <w:tmpl w:val="D839AFD6"/>
    <w:lvl w:ilvl="0" w:tentative="0">
      <w:start w:val="1"/>
      <w:numFmt w:val="chineseCounting"/>
      <w:suff w:val="nothing"/>
      <w:lvlText w:val="%1、"/>
      <w:lvlJc w:val="left"/>
      <w:rPr>
        <w:rFonts w:hint="eastAsia"/>
      </w:rPr>
    </w:lvl>
  </w:abstractNum>
  <w:abstractNum w:abstractNumId="4">
    <w:nsid w:val="00000003"/>
    <w:multiLevelType w:val="multilevel"/>
    <w:tmpl w:val="00000003"/>
    <w:lvl w:ilvl="0" w:tentative="0">
      <w:start w:val="1"/>
      <w:numFmt w:val="decimal"/>
      <w:lvlText w:val="%1"/>
      <w:lvlJc w:val="left"/>
      <w:pPr>
        <w:tabs>
          <w:tab w:val="left" w:pos="360"/>
        </w:tabs>
        <w:ind w:left="360" w:hanging="360"/>
      </w:pPr>
      <w:rPr>
        <w:rFonts w:hint="default"/>
      </w:rPr>
    </w:lvl>
    <w:lvl w:ilvl="1" w:tentative="0">
      <w:start w:val="6"/>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ascii="宋体" w:hAnsi="宋体" w:eastAsia="宋体"/>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5">
    <w:nsid w:val="00000009"/>
    <w:multiLevelType w:val="multilevel"/>
    <w:tmpl w:val="00000009"/>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3"/>
    <w:multiLevelType w:val="multilevel"/>
    <w:tmpl w:val="00000013"/>
    <w:lvl w:ilvl="0" w:tentative="0">
      <w:start w:val="4"/>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7">
    <w:nsid w:val="27EAFA48"/>
    <w:multiLevelType w:val="singleLevel"/>
    <w:tmpl w:val="27EAFA48"/>
    <w:lvl w:ilvl="0" w:tentative="0">
      <w:start w:val="1"/>
      <w:numFmt w:val="decimal"/>
      <w:suff w:val="nothing"/>
      <w:lvlText w:val="%1、"/>
      <w:lvlJc w:val="left"/>
    </w:lvl>
  </w:abstractNum>
  <w:abstractNum w:abstractNumId="8">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9">
    <w:nsid w:val="4C5C37D8"/>
    <w:multiLevelType w:val="multilevel"/>
    <w:tmpl w:val="4C5C37D8"/>
    <w:lvl w:ilvl="0" w:tentative="0">
      <w:start w:val="1"/>
      <w:numFmt w:val="decimal"/>
      <w:lvlText w:val="%1."/>
      <w:lvlJc w:val="left"/>
      <w:pPr>
        <w:tabs>
          <w:tab w:val="left" w:pos="425"/>
        </w:tabs>
        <w:ind w:left="425" w:hanging="425"/>
      </w:pPr>
      <w:rPr>
        <w:rFonts w:hint="eastAsia"/>
        <w:b/>
        <w:i w:val="0"/>
      </w:rPr>
    </w:lvl>
    <w:lvl w:ilvl="1" w:tentative="0">
      <w:start w:val="1"/>
      <w:numFmt w:val="decimal"/>
      <w:lvlText w:val="%1.%2"/>
      <w:lvlJc w:val="left"/>
      <w:pPr>
        <w:tabs>
          <w:tab w:val="left" w:pos="170"/>
        </w:tabs>
        <w:ind w:left="170" w:hanging="170"/>
      </w:pPr>
      <w:rPr>
        <w:rFonts w:hint="eastAsia"/>
      </w:rPr>
    </w:lvl>
    <w:lvl w:ilvl="2" w:tentative="0">
      <w:start w:val="1"/>
      <w:numFmt w:val="decimal"/>
      <w:lvlText w:val="%1.%2.%3"/>
      <w:lvlJc w:val="center"/>
      <w:pPr>
        <w:tabs>
          <w:tab w:val="left" w:pos="181"/>
        </w:tabs>
        <w:ind w:left="0" w:firstLine="794"/>
      </w:pPr>
      <w:rPr>
        <w:rFonts w:hint="default" w:ascii="宋体" w:hAnsi="宋体" w:eastAsia="宋体"/>
        <w:color w:val="auto"/>
      </w:rPr>
    </w:lvl>
    <w:lvl w:ilvl="3" w:tentative="0">
      <w:start w:val="1"/>
      <w:numFmt w:val="decimal"/>
      <w:lvlText w:val="%1.%2.%3.%4."/>
      <w:lvlJc w:val="left"/>
      <w:pPr>
        <w:tabs>
          <w:tab w:val="left" w:pos="510"/>
        </w:tabs>
        <w:ind w:left="510" w:hanging="17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57C4F668"/>
    <w:multiLevelType w:val="singleLevel"/>
    <w:tmpl w:val="57C4F668"/>
    <w:lvl w:ilvl="0" w:tentative="0">
      <w:start w:val="3"/>
      <w:numFmt w:val="chineseCounting"/>
      <w:suff w:val="nothing"/>
      <w:lvlText w:val="%1、"/>
      <w:lvlJc w:val="left"/>
    </w:lvl>
  </w:abstractNum>
  <w:abstractNum w:abstractNumId="11">
    <w:nsid w:val="5D5E2D5D"/>
    <w:multiLevelType w:val="singleLevel"/>
    <w:tmpl w:val="5D5E2D5D"/>
    <w:lvl w:ilvl="0" w:tentative="0">
      <w:start w:val="1"/>
      <w:numFmt w:val="decimal"/>
      <w:lvlText w:val="%1."/>
      <w:lvlJc w:val="left"/>
      <w:pPr>
        <w:tabs>
          <w:tab w:val="left" w:pos="312"/>
        </w:tabs>
      </w:pPr>
    </w:lvl>
  </w:abstractNum>
  <w:num w:numId="1">
    <w:abstractNumId w:val="3"/>
  </w:num>
  <w:num w:numId="2">
    <w:abstractNumId w:val="7"/>
  </w:num>
  <w:num w:numId="3">
    <w:abstractNumId w:val="9"/>
  </w:num>
  <w:num w:numId="4">
    <w:abstractNumId w:val="4"/>
  </w:num>
  <w:num w:numId="5">
    <w:abstractNumId w:val="5"/>
  </w:num>
  <w:num w:numId="6">
    <w:abstractNumId w:val="6"/>
  </w:num>
  <w:num w:numId="7">
    <w:abstractNumId w:val="11"/>
  </w:num>
  <w:num w:numId="8">
    <w:abstractNumId w:val="10"/>
  </w:num>
  <w:num w:numId="9">
    <w:abstractNumId w:val="1"/>
  </w:num>
  <w:num w:numId="10">
    <w:abstractNumId w:val="2"/>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MzE4MTZhMDQ1NTlmZjI2MWQwZWU1YTQwZWJjNjMifQ=="/>
    <w:docVar w:name="KSO_WPS_MARK_KEY" w:val="68f86715-d660-40fa-8619-54eceeaa78b8"/>
  </w:docVars>
  <w:rsids>
    <w:rsidRoot w:val="00F237F9"/>
    <w:rsid w:val="00051A45"/>
    <w:rsid w:val="00185C13"/>
    <w:rsid w:val="003F5B15"/>
    <w:rsid w:val="00423C6D"/>
    <w:rsid w:val="005A6B0A"/>
    <w:rsid w:val="00620317"/>
    <w:rsid w:val="006C5006"/>
    <w:rsid w:val="007120B3"/>
    <w:rsid w:val="00AB6933"/>
    <w:rsid w:val="00C54558"/>
    <w:rsid w:val="00CF58C8"/>
    <w:rsid w:val="00ED7813"/>
    <w:rsid w:val="00F237F9"/>
    <w:rsid w:val="0136732D"/>
    <w:rsid w:val="01395070"/>
    <w:rsid w:val="01470FE8"/>
    <w:rsid w:val="0192652E"/>
    <w:rsid w:val="01ED4106"/>
    <w:rsid w:val="024737BC"/>
    <w:rsid w:val="027345B1"/>
    <w:rsid w:val="028916DF"/>
    <w:rsid w:val="02BD79FC"/>
    <w:rsid w:val="02BF3411"/>
    <w:rsid w:val="02D91B3B"/>
    <w:rsid w:val="02E80AFB"/>
    <w:rsid w:val="02E9460B"/>
    <w:rsid w:val="02EE52F2"/>
    <w:rsid w:val="037022B8"/>
    <w:rsid w:val="037B54CB"/>
    <w:rsid w:val="038A1BB2"/>
    <w:rsid w:val="039B791C"/>
    <w:rsid w:val="03A5079A"/>
    <w:rsid w:val="03C83113"/>
    <w:rsid w:val="03FD4168"/>
    <w:rsid w:val="04CD1466"/>
    <w:rsid w:val="050E236F"/>
    <w:rsid w:val="051028D8"/>
    <w:rsid w:val="051A0D14"/>
    <w:rsid w:val="056A3A4A"/>
    <w:rsid w:val="060C29C8"/>
    <w:rsid w:val="063302DF"/>
    <w:rsid w:val="064B6F16"/>
    <w:rsid w:val="064C75F3"/>
    <w:rsid w:val="06FA704F"/>
    <w:rsid w:val="07655AD7"/>
    <w:rsid w:val="077B0190"/>
    <w:rsid w:val="07FE2B6F"/>
    <w:rsid w:val="08181E21"/>
    <w:rsid w:val="08387E2F"/>
    <w:rsid w:val="08397703"/>
    <w:rsid w:val="085D1644"/>
    <w:rsid w:val="08B82D1E"/>
    <w:rsid w:val="08F655F4"/>
    <w:rsid w:val="09436A8B"/>
    <w:rsid w:val="0A0A4717"/>
    <w:rsid w:val="0A2307AF"/>
    <w:rsid w:val="0AD83203"/>
    <w:rsid w:val="0B29533C"/>
    <w:rsid w:val="0BB762FF"/>
    <w:rsid w:val="0BCB0C28"/>
    <w:rsid w:val="0BE45BD8"/>
    <w:rsid w:val="0C026E11"/>
    <w:rsid w:val="0C112E71"/>
    <w:rsid w:val="0C394176"/>
    <w:rsid w:val="0C4807B5"/>
    <w:rsid w:val="0C481A39"/>
    <w:rsid w:val="0C590374"/>
    <w:rsid w:val="0CB24163"/>
    <w:rsid w:val="0D230EB0"/>
    <w:rsid w:val="0DA25D4B"/>
    <w:rsid w:val="0DAD0977"/>
    <w:rsid w:val="0DCE6B40"/>
    <w:rsid w:val="0E5E1C72"/>
    <w:rsid w:val="0EA224A6"/>
    <w:rsid w:val="0EE91E83"/>
    <w:rsid w:val="0F1113DA"/>
    <w:rsid w:val="0FC621C4"/>
    <w:rsid w:val="0FCB69FF"/>
    <w:rsid w:val="0FE238FE"/>
    <w:rsid w:val="102838AC"/>
    <w:rsid w:val="10AF6C21"/>
    <w:rsid w:val="11036B00"/>
    <w:rsid w:val="116C28F7"/>
    <w:rsid w:val="11755C50"/>
    <w:rsid w:val="1218364A"/>
    <w:rsid w:val="125875C4"/>
    <w:rsid w:val="129774B3"/>
    <w:rsid w:val="12BF15E3"/>
    <w:rsid w:val="130846E6"/>
    <w:rsid w:val="13196AAF"/>
    <w:rsid w:val="13280AA0"/>
    <w:rsid w:val="135E57D8"/>
    <w:rsid w:val="13A50343"/>
    <w:rsid w:val="13BB751D"/>
    <w:rsid w:val="13FF5CA5"/>
    <w:rsid w:val="141A5F76"/>
    <w:rsid w:val="141A7739"/>
    <w:rsid w:val="141F1EA3"/>
    <w:rsid w:val="1468384A"/>
    <w:rsid w:val="146F2E2A"/>
    <w:rsid w:val="14860174"/>
    <w:rsid w:val="14943E0F"/>
    <w:rsid w:val="14997EA7"/>
    <w:rsid w:val="150572EB"/>
    <w:rsid w:val="15167438"/>
    <w:rsid w:val="15323E58"/>
    <w:rsid w:val="15390DF1"/>
    <w:rsid w:val="15543DCE"/>
    <w:rsid w:val="157D6F8C"/>
    <w:rsid w:val="159863B1"/>
    <w:rsid w:val="1609105D"/>
    <w:rsid w:val="16300397"/>
    <w:rsid w:val="16F41054"/>
    <w:rsid w:val="16FC64CC"/>
    <w:rsid w:val="171952CF"/>
    <w:rsid w:val="172F2734"/>
    <w:rsid w:val="17316B01"/>
    <w:rsid w:val="17400AAE"/>
    <w:rsid w:val="184C3483"/>
    <w:rsid w:val="188B5387"/>
    <w:rsid w:val="189309CA"/>
    <w:rsid w:val="18B708FC"/>
    <w:rsid w:val="18BA663E"/>
    <w:rsid w:val="18C06DE4"/>
    <w:rsid w:val="19742C91"/>
    <w:rsid w:val="199C4159"/>
    <w:rsid w:val="19B7492C"/>
    <w:rsid w:val="1A1871ED"/>
    <w:rsid w:val="1A2E7A8E"/>
    <w:rsid w:val="1A620D3B"/>
    <w:rsid w:val="1A622AE9"/>
    <w:rsid w:val="1AAB623F"/>
    <w:rsid w:val="1AAE5D2F"/>
    <w:rsid w:val="1AD03EF7"/>
    <w:rsid w:val="1B1D7B9C"/>
    <w:rsid w:val="1B974F3A"/>
    <w:rsid w:val="1BA86C22"/>
    <w:rsid w:val="1BD417C5"/>
    <w:rsid w:val="1BD63DF6"/>
    <w:rsid w:val="1C177215"/>
    <w:rsid w:val="1C21218F"/>
    <w:rsid w:val="1C2564C4"/>
    <w:rsid w:val="1C2C1601"/>
    <w:rsid w:val="1C4306F9"/>
    <w:rsid w:val="1C71646E"/>
    <w:rsid w:val="1D077516"/>
    <w:rsid w:val="1D3C56BE"/>
    <w:rsid w:val="1E525467"/>
    <w:rsid w:val="1E937715"/>
    <w:rsid w:val="1EAF02C7"/>
    <w:rsid w:val="1ECF2059"/>
    <w:rsid w:val="1F30765A"/>
    <w:rsid w:val="1F3A4035"/>
    <w:rsid w:val="1FAF67D1"/>
    <w:rsid w:val="1FF70178"/>
    <w:rsid w:val="200308CB"/>
    <w:rsid w:val="201638E7"/>
    <w:rsid w:val="205F226F"/>
    <w:rsid w:val="20CA763A"/>
    <w:rsid w:val="20EE3329"/>
    <w:rsid w:val="21313216"/>
    <w:rsid w:val="213F1DD6"/>
    <w:rsid w:val="217A3D05"/>
    <w:rsid w:val="21F04A72"/>
    <w:rsid w:val="224156DA"/>
    <w:rsid w:val="225918FF"/>
    <w:rsid w:val="23204EEC"/>
    <w:rsid w:val="23242FC6"/>
    <w:rsid w:val="23963804"/>
    <w:rsid w:val="23A61C99"/>
    <w:rsid w:val="23B344F9"/>
    <w:rsid w:val="23CB6F9A"/>
    <w:rsid w:val="23DA6570"/>
    <w:rsid w:val="23F85C37"/>
    <w:rsid w:val="24094BFE"/>
    <w:rsid w:val="240D1E25"/>
    <w:rsid w:val="245A2A83"/>
    <w:rsid w:val="24C06D8A"/>
    <w:rsid w:val="24E82E11"/>
    <w:rsid w:val="25302162"/>
    <w:rsid w:val="254B7C2D"/>
    <w:rsid w:val="25695682"/>
    <w:rsid w:val="25C51D55"/>
    <w:rsid w:val="25DB75F5"/>
    <w:rsid w:val="25DD396C"/>
    <w:rsid w:val="263F63D5"/>
    <w:rsid w:val="268A4DEE"/>
    <w:rsid w:val="26ED7BDF"/>
    <w:rsid w:val="274719E5"/>
    <w:rsid w:val="27480EA8"/>
    <w:rsid w:val="276E2ACE"/>
    <w:rsid w:val="279C0B8C"/>
    <w:rsid w:val="27D33279"/>
    <w:rsid w:val="27D668C5"/>
    <w:rsid w:val="27F51441"/>
    <w:rsid w:val="290336EA"/>
    <w:rsid w:val="299B6018"/>
    <w:rsid w:val="29FF0355"/>
    <w:rsid w:val="2A204819"/>
    <w:rsid w:val="2AA03742"/>
    <w:rsid w:val="2AA84893"/>
    <w:rsid w:val="2ABC4498"/>
    <w:rsid w:val="2AF26DA0"/>
    <w:rsid w:val="2AF552B4"/>
    <w:rsid w:val="2B090A71"/>
    <w:rsid w:val="2B1A4D1A"/>
    <w:rsid w:val="2B3E6C5B"/>
    <w:rsid w:val="2BA07916"/>
    <w:rsid w:val="2BB05DAB"/>
    <w:rsid w:val="2BB81EE3"/>
    <w:rsid w:val="2BC730F4"/>
    <w:rsid w:val="2C2F4E4C"/>
    <w:rsid w:val="2C3B13EC"/>
    <w:rsid w:val="2C7F62C3"/>
    <w:rsid w:val="2D0F4D53"/>
    <w:rsid w:val="2D915768"/>
    <w:rsid w:val="2DB651CE"/>
    <w:rsid w:val="2DCD7106"/>
    <w:rsid w:val="2DD613CD"/>
    <w:rsid w:val="2DFE26D1"/>
    <w:rsid w:val="2E4C35AE"/>
    <w:rsid w:val="2E536F40"/>
    <w:rsid w:val="2E82647A"/>
    <w:rsid w:val="2EAB6DE2"/>
    <w:rsid w:val="2EBF6305"/>
    <w:rsid w:val="2ED85C4C"/>
    <w:rsid w:val="2F081283"/>
    <w:rsid w:val="2F566C69"/>
    <w:rsid w:val="2F855142"/>
    <w:rsid w:val="2FF734DC"/>
    <w:rsid w:val="300C1535"/>
    <w:rsid w:val="308B5FDB"/>
    <w:rsid w:val="309E706C"/>
    <w:rsid w:val="30C55B0E"/>
    <w:rsid w:val="30C61BCC"/>
    <w:rsid w:val="30FF6691"/>
    <w:rsid w:val="31224AA6"/>
    <w:rsid w:val="31413BD3"/>
    <w:rsid w:val="31634F34"/>
    <w:rsid w:val="31C22FC7"/>
    <w:rsid w:val="31CF2D03"/>
    <w:rsid w:val="320B7DBF"/>
    <w:rsid w:val="32546D64"/>
    <w:rsid w:val="32A55811"/>
    <w:rsid w:val="32A7320F"/>
    <w:rsid w:val="32CA2209"/>
    <w:rsid w:val="32F32A21"/>
    <w:rsid w:val="332826CA"/>
    <w:rsid w:val="33361667"/>
    <w:rsid w:val="334868C9"/>
    <w:rsid w:val="33743B62"/>
    <w:rsid w:val="33813B89"/>
    <w:rsid w:val="33F66D73"/>
    <w:rsid w:val="345968B4"/>
    <w:rsid w:val="34727975"/>
    <w:rsid w:val="34CA155F"/>
    <w:rsid w:val="34EC68A6"/>
    <w:rsid w:val="350B5E00"/>
    <w:rsid w:val="351849C1"/>
    <w:rsid w:val="355E0625"/>
    <w:rsid w:val="357E2A76"/>
    <w:rsid w:val="35F90206"/>
    <w:rsid w:val="363D6078"/>
    <w:rsid w:val="36B50719"/>
    <w:rsid w:val="36BE7606"/>
    <w:rsid w:val="36DD557A"/>
    <w:rsid w:val="373F688E"/>
    <w:rsid w:val="37BC7885"/>
    <w:rsid w:val="37DE137B"/>
    <w:rsid w:val="37EF1A09"/>
    <w:rsid w:val="38A10829"/>
    <w:rsid w:val="38D86941"/>
    <w:rsid w:val="38FD0155"/>
    <w:rsid w:val="393618B9"/>
    <w:rsid w:val="397948CC"/>
    <w:rsid w:val="39905E4A"/>
    <w:rsid w:val="39B34CB8"/>
    <w:rsid w:val="3A0379ED"/>
    <w:rsid w:val="3A4F678F"/>
    <w:rsid w:val="3A590177"/>
    <w:rsid w:val="3AD1189A"/>
    <w:rsid w:val="3AED7D56"/>
    <w:rsid w:val="3B437E53"/>
    <w:rsid w:val="3B7D557D"/>
    <w:rsid w:val="3BF910A8"/>
    <w:rsid w:val="3C335C3C"/>
    <w:rsid w:val="3C575DCE"/>
    <w:rsid w:val="3C5E715D"/>
    <w:rsid w:val="3C94492D"/>
    <w:rsid w:val="3CC33275"/>
    <w:rsid w:val="3CC43BF8"/>
    <w:rsid w:val="3CF4361D"/>
    <w:rsid w:val="3D112421"/>
    <w:rsid w:val="3D281519"/>
    <w:rsid w:val="3D5A3DC8"/>
    <w:rsid w:val="3D624B02"/>
    <w:rsid w:val="3D891FB8"/>
    <w:rsid w:val="3DCC00F6"/>
    <w:rsid w:val="3DD82F3F"/>
    <w:rsid w:val="3E2E7A79"/>
    <w:rsid w:val="3EE56F5D"/>
    <w:rsid w:val="3EE85404"/>
    <w:rsid w:val="3EEF0540"/>
    <w:rsid w:val="3EFD0EAF"/>
    <w:rsid w:val="3F23643C"/>
    <w:rsid w:val="3F3917BB"/>
    <w:rsid w:val="3FC714BD"/>
    <w:rsid w:val="404E74E8"/>
    <w:rsid w:val="40F24318"/>
    <w:rsid w:val="41043D90"/>
    <w:rsid w:val="41313092"/>
    <w:rsid w:val="41784096"/>
    <w:rsid w:val="418F7DB9"/>
    <w:rsid w:val="41BD0482"/>
    <w:rsid w:val="41E33C60"/>
    <w:rsid w:val="41FF6CEC"/>
    <w:rsid w:val="42092E14"/>
    <w:rsid w:val="42274495"/>
    <w:rsid w:val="422F0FA7"/>
    <w:rsid w:val="42470693"/>
    <w:rsid w:val="425608D6"/>
    <w:rsid w:val="426B4382"/>
    <w:rsid w:val="428E45FC"/>
    <w:rsid w:val="42BA550C"/>
    <w:rsid w:val="42CE66BF"/>
    <w:rsid w:val="42D02437"/>
    <w:rsid w:val="43467B2B"/>
    <w:rsid w:val="43735B6A"/>
    <w:rsid w:val="437E1E93"/>
    <w:rsid w:val="43AA0EDA"/>
    <w:rsid w:val="43DD12AF"/>
    <w:rsid w:val="44065935"/>
    <w:rsid w:val="44775A81"/>
    <w:rsid w:val="44DA594E"/>
    <w:rsid w:val="44E07B52"/>
    <w:rsid w:val="454B3FF6"/>
    <w:rsid w:val="45BE28EB"/>
    <w:rsid w:val="45CA3415"/>
    <w:rsid w:val="4607702B"/>
    <w:rsid w:val="460A2104"/>
    <w:rsid w:val="46435707"/>
    <w:rsid w:val="468B592A"/>
    <w:rsid w:val="47280A93"/>
    <w:rsid w:val="47543636"/>
    <w:rsid w:val="475D7F74"/>
    <w:rsid w:val="47694C08"/>
    <w:rsid w:val="47B02837"/>
    <w:rsid w:val="47CB141F"/>
    <w:rsid w:val="47DB46E5"/>
    <w:rsid w:val="47F44E19"/>
    <w:rsid w:val="48943F06"/>
    <w:rsid w:val="489F6B33"/>
    <w:rsid w:val="48B84099"/>
    <w:rsid w:val="49AF0369"/>
    <w:rsid w:val="49B900C8"/>
    <w:rsid w:val="4A1C30B3"/>
    <w:rsid w:val="4A5626E2"/>
    <w:rsid w:val="4A592E30"/>
    <w:rsid w:val="4A800BE6"/>
    <w:rsid w:val="4A881849"/>
    <w:rsid w:val="4AA66800"/>
    <w:rsid w:val="4AF84C20"/>
    <w:rsid w:val="4BA803F5"/>
    <w:rsid w:val="4BAD77B9"/>
    <w:rsid w:val="4BB46D99"/>
    <w:rsid w:val="4C196BFC"/>
    <w:rsid w:val="4C3D6D8F"/>
    <w:rsid w:val="4C3E2B07"/>
    <w:rsid w:val="4CA0731E"/>
    <w:rsid w:val="4CA71AE7"/>
    <w:rsid w:val="4CAA4244"/>
    <w:rsid w:val="4CCA7EF7"/>
    <w:rsid w:val="4CFA7CA3"/>
    <w:rsid w:val="4D172DAC"/>
    <w:rsid w:val="4D5123C6"/>
    <w:rsid w:val="4D8E2007"/>
    <w:rsid w:val="4DB10F8A"/>
    <w:rsid w:val="4DC808DA"/>
    <w:rsid w:val="4E0833CC"/>
    <w:rsid w:val="4E1F4272"/>
    <w:rsid w:val="4E4739C3"/>
    <w:rsid w:val="4EB1136E"/>
    <w:rsid w:val="4EED1BAD"/>
    <w:rsid w:val="4F22226C"/>
    <w:rsid w:val="4F6E6656"/>
    <w:rsid w:val="4F716D4F"/>
    <w:rsid w:val="4F741348"/>
    <w:rsid w:val="4F834077"/>
    <w:rsid w:val="4F980780"/>
    <w:rsid w:val="4FEE6580"/>
    <w:rsid w:val="50033E4B"/>
    <w:rsid w:val="50175FC5"/>
    <w:rsid w:val="50A53155"/>
    <w:rsid w:val="50D92DFE"/>
    <w:rsid w:val="50DC6037"/>
    <w:rsid w:val="515801C7"/>
    <w:rsid w:val="51B01DB1"/>
    <w:rsid w:val="51B764CC"/>
    <w:rsid w:val="51BB2C17"/>
    <w:rsid w:val="528F5EEE"/>
    <w:rsid w:val="52B96A43"/>
    <w:rsid w:val="52D01FDF"/>
    <w:rsid w:val="52E02222"/>
    <w:rsid w:val="53073C53"/>
    <w:rsid w:val="532F4B44"/>
    <w:rsid w:val="53636979"/>
    <w:rsid w:val="53672943"/>
    <w:rsid w:val="53BD3691"/>
    <w:rsid w:val="53E06252"/>
    <w:rsid w:val="54045705"/>
    <w:rsid w:val="544156A8"/>
    <w:rsid w:val="54CA318A"/>
    <w:rsid w:val="54FB77E7"/>
    <w:rsid w:val="55432F3C"/>
    <w:rsid w:val="55DF2C65"/>
    <w:rsid w:val="56A33C92"/>
    <w:rsid w:val="56D402F0"/>
    <w:rsid w:val="56DE6F40"/>
    <w:rsid w:val="56F26B2D"/>
    <w:rsid w:val="57073E58"/>
    <w:rsid w:val="572E6856"/>
    <w:rsid w:val="57404807"/>
    <w:rsid w:val="577D4F75"/>
    <w:rsid w:val="582B4E00"/>
    <w:rsid w:val="582F000B"/>
    <w:rsid w:val="588B2C30"/>
    <w:rsid w:val="5895585D"/>
    <w:rsid w:val="590D625E"/>
    <w:rsid w:val="59352B9C"/>
    <w:rsid w:val="59771406"/>
    <w:rsid w:val="59883613"/>
    <w:rsid w:val="59D86349"/>
    <w:rsid w:val="5A0F31E9"/>
    <w:rsid w:val="5A292701"/>
    <w:rsid w:val="5A315A59"/>
    <w:rsid w:val="5ABF3065"/>
    <w:rsid w:val="5AE20B01"/>
    <w:rsid w:val="5B3E21DC"/>
    <w:rsid w:val="5B5F2152"/>
    <w:rsid w:val="5B6A7475"/>
    <w:rsid w:val="5B810ED0"/>
    <w:rsid w:val="5B9462A0"/>
    <w:rsid w:val="5B957F74"/>
    <w:rsid w:val="5BFB1E7B"/>
    <w:rsid w:val="5C0870DF"/>
    <w:rsid w:val="5C1B42CB"/>
    <w:rsid w:val="5C1B74C0"/>
    <w:rsid w:val="5C6E6AF1"/>
    <w:rsid w:val="5C78796F"/>
    <w:rsid w:val="5C970BF4"/>
    <w:rsid w:val="5CC24F8D"/>
    <w:rsid w:val="5CC87C26"/>
    <w:rsid w:val="5D267EA7"/>
    <w:rsid w:val="5D502A92"/>
    <w:rsid w:val="5D7E7207"/>
    <w:rsid w:val="5D8440F2"/>
    <w:rsid w:val="5DD467D8"/>
    <w:rsid w:val="5DE057CC"/>
    <w:rsid w:val="5DE61E67"/>
    <w:rsid w:val="5E413D91"/>
    <w:rsid w:val="5EA96C07"/>
    <w:rsid w:val="5EB34C8F"/>
    <w:rsid w:val="5EFF7ED4"/>
    <w:rsid w:val="5F013C4C"/>
    <w:rsid w:val="5F7F1C04"/>
    <w:rsid w:val="60043CF7"/>
    <w:rsid w:val="60107EBF"/>
    <w:rsid w:val="602F47E9"/>
    <w:rsid w:val="607E307A"/>
    <w:rsid w:val="608A5EC3"/>
    <w:rsid w:val="609A4E91"/>
    <w:rsid w:val="61016185"/>
    <w:rsid w:val="61565DA5"/>
    <w:rsid w:val="618741B1"/>
    <w:rsid w:val="620076EF"/>
    <w:rsid w:val="623E6F65"/>
    <w:rsid w:val="62B47227"/>
    <w:rsid w:val="62CF4061"/>
    <w:rsid w:val="63155F18"/>
    <w:rsid w:val="63901A42"/>
    <w:rsid w:val="63AE1EC8"/>
    <w:rsid w:val="64607667"/>
    <w:rsid w:val="6468651B"/>
    <w:rsid w:val="64990483"/>
    <w:rsid w:val="64FE478A"/>
    <w:rsid w:val="65332685"/>
    <w:rsid w:val="65660CAD"/>
    <w:rsid w:val="65F56152"/>
    <w:rsid w:val="662A7F2C"/>
    <w:rsid w:val="66377F53"/>
    <w:rsid w:val="667B0788"/>
    <w:rsid w:val="668F7D8F"/>
    <w:rsid w:val="66A355E9"/>
    <w:rsid w:val="66A870A3"/>
    <w:rsid w:val="670E2073"/>
    <w:rsid w:val="671C28B5"/>
    <w:rsid w:val="6727016D"/>
    <w:rsid w:val="67423054"/>
    <w:rsid w:val="674C076E"/>
    <w:rsid w:val="67621403"/>
    <w:rsid w:val="67852F40"/>
    <w:rsid w:val="67F87BB6"/>
    <w:rsid w:val="68566240"/>
    <w:rsid w:val="685D03B3"/>
    <w:rsid w:val="68F22857"/>
    <w:rsid w:val="68FB5BB0"/>
    <w:rsid w:val="68FC5484"/>
    <w:rsid w:val="68FF5B03"/>
    <w:rsid w:val="695D5F23"/>
    <w:rsid w:val="696D1EDE"/>
    <w:rsid w:val="696F20FA"/>
    <w:rsid w:val="69A80C2B"/>
    <w:rsid w:val="6A610863"/>
    <w:rsid w:val="6A6432E1"/>
    <w:rsid w:val="6A7118D3"/>
    <w:rsid w:val="6ABE0C43"/>
    <w:rsid w:val="6AE21E93"/>
    <w:rsid w:val="6AF1726A"/>
    <w:rsid w:val="6B1D454F"/>
    <w:rsid w:val="6B67752D"/>
    <w:rsid w:val="6B781A9A"/>
    <w:rsid w:val="6BC77FCB"/>
    <w:rsid w:val="6BEE2C86"/>
    <w:rsid w:val="6BF3491C"/>
    <w:rsid w:val="6C423AF6"/>
    <w:rsid w:val="6C643A6C"/>
    <w:rsid w:val="6C822AAB"/>
    <w:rsid w:val="6CFE17CB"/>
    <w:rsid w:val="6D395EF4"/>
    <w:rsid w:val="6D492CB4"/>
    <w:rsid w:val="6D785A21"/>
    <w:rsid w:val="6DA972F1"/>
    <w:rsid w:val="6DC01176"/>
    <w:rsid w:val="6DD4077E"/>
    <w:rsid w:val="6DF826BE"/>
    <w:rsid w:val="6E4771A1"/>
    <w:rsid w:val="6E6B10E2"/>
    <w:rsid w:val="6E8B38FA"/>
    <w:rsid w:val="6EB5235D"/>
    <w:rsid w:val="703025E3"/>
    <w:rsid w:val="70AB0085"/>
    <w:rsid w:val="70B825D8"/>
    <w:rsid w:val="70BF3967"/>
    <w:rsid w:val="710F7F52"/>
    <w:rsid w:val="71A768D5"/>
    <w:rsid w:val="72253C9E"/>
    <w:rsid w:val="725956F5"/>
    <w:rsid w:val="727E6F0A"/>
    <w:rsid w:val="727F164E"/>
    <w:rsid w:val="728269FA"/>
    <w:rsid w:val="72C62D8B"/>
    <w:rsid w:val="72D336FA"/>
    <w:rsid w:val="72DF209E"/>
    <w:rsid w:val="730218E9"/>
    <w:rsid w:val="73604E4E"/>
    <w:rsid w:val="736B2874"/>
    <w:rsid w:val="736E6F7E"/>
    <w:rsid w:val="73FB52EC"/>
    <w:rsid w:val="740643A1"/>
    <w:rsid w:val="74087A90"/>
    <w:rsid w:val="74463366"/>
    <w:rsid w:val="74F160B9"/>
    <w:rsid w:val="751240EA"/>
    <w:rsid w:val="752E4C17"/>
    <w:rsid w:val="75656A7A"/>
    <w:rsid w:val="75671ED7"/>
    <w:rsid w:val="759727BC"/>
    <w:rsid w:val="75DB769F"/>
    <w:rsid w:val="75FA2D4B"/>
    <w:rsid w:val="763F7576"/>
    <w:rsid w:val="76522B87"/>
    <w:rsid w:val="766308F1"/>
    <w:rsid w:val="76854D0B"/>
    <w:rsid w:val="76C515AB"/>
    <w:rsid w:val="76E41A31"/>
    <w:rsid w:val="77185B7F"/>
    <w:rsid w:val="7736126C"/>
    <w:rsid w:val="775F730A"/>
    <w:rsid w:val="77BB54D1"/>
    <w:rsid w:val="77BC29AE"/>
    <w:rsid w:val="77E65C7D"/>
    <w:rsid w:val="78175E36"/>
    <w:rsid w:val="78D80C26"/>
    <w:rsid w:val="79773031"/>
    <w:rsid w:val="79AA1404"/>
    <w:rsid w:val="79AD6F3B"/>
    <w:rsid w:val="79C63670"/>
    <w:rsid w:val="79F301DD"/>
    <w:rsid w:val="7A205476"/>
    <w:rsid w:val="7A5E1AFB"/>
    <w:rsid w:val="7ACC1F32"/>
    <w:rsid w:val="7AF20495"/>
    <w:rsid w:val="7B0703E4"/>
    <w:rsid w:val="7B0F7299"/>
    <w:rsid w:val="7B1F3DF0"/>
    <w:rsid w:val="7B724793"/>
    <w:rsid w:val="7B757444"/>
    <w:rsid w:val="7C765821"/>
    <w:rsid w:val="7CBE4AD3"/>
    <w:rsid w:val="7CD1728A"/>
    <w:rsid w:val="7CD51E1C"/>
    <w:rsid w:val="7CE113BB"/>
    <w:rsid w:val="7CFD1A9F"/>
    <w:rsid w:val="7CFD384D"/>
    <w:rsid w:val="7D1A174C"/>
    <w:rsid w:val="7D1B7170"/>
    <w:rsid w:val="7D3133F5"/>
    <w:rsid w:val="7DA161CA"/>
    <w:rsid w:val="7DFF7043"/>
    <w:rsid w:val="7E3E236F"/>
    <w:rsid w:val="7E4D4360"/>
    <w:rsid w:val="7ECD36F3"/>
    <w:rsid w:val="7EE30820"/>
    <w:rsid w:val="7F005876"/>
    <w:rsid w:val="7F3C6183"/>
    <w:rsid w:val="7F3E1960"/>
    <w:rsid w:val="7F45772D"/>
    <w:rsid w:val="7F5B16FB"/>
    <w:rsid w:val="7FA4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qFormat="1" w:unhideWhenUsed="0" w:uiPriority="0" w:semiHidden="0" w:name="List 2"/>
    <w:lsdException w:uiPriority="99"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78"/>
    <w:qFormat/>
    <w:uiPriority w:val="0"/>
    <w:pPr>
      <w:keepNext/>
      <w:jc w:val="center"/>
      <w:outlineLvl w:val="0"/>
    </w:pPr>
    <w:rPr>
      <w:b/>
      <w:bCs/>
      <w:color w:val="000000"/>
      <w:kern w:val="0"/>
      <w:sz w:val="32"/>
      <w:szCs w:val="20"/>
    </w:rPr>
  </w:style>
  <w:style w:type="paragraph" w:styleId="3">
    <w:name w:val="heading 2"/>
    <w:basedOn w:val="1"/>
    <w:next w:val="1"/>
    <w:link w:val="79"/>
    <w:qFormat/>
    <w:uiPriority w:val="0"/>
    <w:pPr>
      <w:keepNext/>
      <w:keepLines/>
      <w:spacing w:line="460" w:lineRule="exact"/>
      <w:outlineLvl w:val="1"/>
    </w:pPr>
    <w:rPr>
      <w:rFonts w:ascii="宋体" w:hAnsi="宋体"/>
      <w:b/>
      <w:sz w:val="30"/>
      <w:szCs w:val="30"/>
    </w:rPr>
  </w:style>
  <w:style w:type="paragraph" w:styleId="4">
    <w:name w:val="heading 3"/>
    <w:basedOn w:val="1"/>
    <w:next w:val="1"/>
    <w:link w:val="80"/>
    <w:qFormat/>
    <w:uiPriority w:val="0"/>
    <w:pPr>
      <w:keepNext/>
      <w:keepLines/>
      <w:spacing w:after="0" w:line="460" w:lineRule="exact"/>
      <w:jc w:val="left"/>
      <w:outlineLvl w:val="2"/>
    </w:pPr>
    <w:rPr>
      <w:b/>
      <w:kern w:val="0"/>
      <w:sz w:val="24"/>
      <w:szCs w:val="20"/>
    </w:rPr>
  </w:style>
  <w:style w:type="paragraph" w:styleId="5">
    <w:name w:val="heading 4"/>
    <w:basedOn w:val="1"/>
    <w:next w:val="1"/>
    <w:link w:val="81"/>
    <w:qFormat/>
    <w:uiPriority w:val="0"/>
    <w:pPr>
      <w:keepNext/>
      <w:keepLines/>
      <w:spacing w:line="360" w:lineRule="auto"/>
      <w:outlineLvl w:val="3"/>
    </w:pPr>
    <w:rPr>
      <w:rFonts w:ascii="Arial" w:hAnsi="Arial"/>
      <w:b/>
      <w:bCs/>
      <w:kern w:val="0"/>
      <w:sz w:val="30"/>
      <w:szCs w:val="28"/>
    </w:rPr>
  </w:style>
  <w:style w:type="paragraph" w:styleId="6">
    <w:name w:val="heading 5"/>
    <w:basedOn w:val="1"/>
    <w:next w:val="1"/>
    <w:link w:val="82"/>
    <w:qFormat/>
    <w:uiPriority w:val="0"/>
    <w:pPr>
      <w:keepNext/>
      <w:jc w:val="center"/>
      <w:outlineLvl w:val="4"/>
    </w:pPr>
    <w:rPr>
      <w:rFonts w:ascii="宋体" w:hAnsi="宋体"/>
      <w:b/>
      <w:bCs/>
      <w:kern w:val="0"/>
      <w:sz w:val="20"/>
      <w:szCs w:val="24"/>
    </w:rPr>
  </w:style>
  <w:style w:type="paragraph" w:styleId="7">
    <w:name w:val="heading 6"/>
    <w:basedOn w:val="1"/>
    <w:next w:val="8"/>
    <w:link w:val="83"/>
    <w:qFormat/>
    <w:uiPriority w:val="0"/>
    <w:pPr>
      <w:keepNext/>
      <w:keepLines/>
      <w:widowControl/>
      <w:tabs>
        <w:tab w:val="left" w:pos="1152"/>
      </w:tabs>
      <w:spacing w:before="140" w:after="120" w:line="220" w:lineRule="atLeast"/>
      <w:ind w:left="1152" w:hanging="1152"/>
      <w:jc w:val="left"/>
      <w:outlineLvl w:val="5"/>
    </w:pPr>
    <w:rPr>
      <w:i/>
      <w:spacing w:val="-4"/>
      <w:kern w:val="28"/>
      <w:sz w:val="20"/>
      <w:szCs w:val="24"/>
    </w:rPr>
  </w:style>
  <w:style w:type="paragraph" w:styleId="10">
    <w:name w:val="heading 7"/>
    <w:basedOn w:val="1"/>
    <w:next w:val="1"/>
    <w:link w:val="84"/>
    <w:qFormat/>
    <w:uiPriority w:val="0"/>
    <w:pPr>
      <w:keepNext/>
      <w:keepLines/>
      <w:spacing w:before="240" w:after="64" w:line="317" w:lineRule="auto"/>
      <w:outlineLvl w:val="6"/>
    </w:pPr>
    <w:rPr>
      <w:b/>
      <w:kern w:val="0"/>
      <w:sz w:val="24"/>
      <w:szCs w:val="20"/>
    </w:rPr>
  </w:style>
  <w:style w:type="paragraph" w:styleId="11">
    <w:name w:val="heading 8"/>
    <w:basedOn w:val="1"/>
    <w:next w:val="8"/>
    <w:link w:val="85"/>
    <w:qFormat/>
    <w:uiPriority w:val="0"/>
    <w:pPr>
      <w:keepNext/>
      <w:keepLines/>
      <w:widowControl/>
      <w:tabs>
        <w:tab w:val="left" w:pos="1440"/>
      </w:tabs>
      <w:spacing w:before="140" w:after="120" w:line="220" w:lineRule="atLeast"/>
      <w:ind w:left="1440" w:hanging="1440"/>
      <w:jc w:val="left"/>
      <w:outlineLvl w:val="7"/>
    </w:pPr>
    <w:rPr>
      <w:rFonts w:ascii="Arial" w:hAnsi="Arial"/>
      <w:i/>
      <w:spacing w:val="-4"/>
      <w:kern w:val="28"/>
      <w:sz w:val="18"/>
      <w:szCs w:val="24"/>
    </w:rPr>
  </w:style>
  <w:style w:type="paragraph" w:styleId="12">
    <w:name w:val="heading 9"/>
    <w:basedOn w:val="1"/>
    <w:next w:val="8"/>
    <w:link w:val="86"/>
    <w:qFormat/>
    <w:uiPriority w:val="0"/>
    <w:pPr>
      <w:keepNext/>
      <w:keepLines/>
      <w:widowControl/>
      <w:tabs>
        <w:tab w:val="left" w:pos="1584"/>
      </w:tabs>
      <w:spacing w:before="140" w:after="120" w:line="220" w:lineRule="atLeast"/>
      <w:ind w:left="1584" w:hanging="1584"/>
      <w:jc w:val="left"/>
      <w:outlineLvl w:val="8"/>
    </w:pPr>
    <w:rPr>
      <w:rFonts w:ascii="Arial" w:hAnsi="Arial"/>
      <w:spacing w:val="-4"/>
      <w:kern w:val="28"/>
      <w:sz w:val="18"/>
      <w:szCs w:val="24"/>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8">
    <w:name w:val="Body Text"/>
    <w:basedOn w:val="1"/>
    <w:next w:val="9"/>
    <w:link w:val="87"/>
    <w:unhideWhenUsed/>
    <w:qFormat/>
    <w:uiPriority w:val="0"/>
    <w:pPr>
      <w:spacing w:after="120"/>
    </w:pPr>
  </w:style>
  <w:style w:type="paragraph" w:styleId="9">
    <w:name w:val="Body Text 2"/>
    <w:basedOn w:val="1"/>
    <w:next w:val="1"/>
    <w:link w:val="89"/>
    <w:qFormat/>
    <w:uiPriority w:val="99"/>
    <w:pPr>
      <w:spacing w:after="120" w:line="480" w:lineRule="auto"/>
    </w:pPr>
    <w:rPr>
      <w:kern w:val="0"/>
      <w:sz w:val="20"/>
      <w:szCs w:val="20"/>
    </w:rPr>
  </w:style>
  <w:style w:type="paragraph" w:styleId="13">
    <w:name w:val="toc 7"/>
    <w:basedOn w:val="1"/>
    <w:next w:val="1"/>
    <w:qFormat/>
    <w:uiPriority w:val="39"/>
    <w:pPr>
      <w:ind w:left="1260"/>
      <w:jc w:val="left"/>
    </w:pPr>
    <w:rPr>
      <w:sz w:val="18"/>
      <w:szCs w:val="18"/>
    </w:rPr>
  </w:style>
  <w:style w:type="paragraph" w:styleId="14">
    <w:name w:val="Normal Indent"/>
    <w:basedOn w:val="1"/>
    <w:link w:val="92"/>
    <w:qFormat/>
    <w:uiPriority w:val="0"/>
    <w:pPr>
      <w:ind w:firstLine="420"/>
    </w:pPr>
    <w:rPr>
      <w:kern w:val="0"/>
      <w:sz w:val="20"/>
      <w:szCs w:val="20"/>
    </w:rPr>
  </w:style>
  <w:style w:type="paragraph" w:styleId="15">
    <w:name w:val="caption"/>
    <w:basedOn w:val="1"/>
    <w:next w:val="1"/>
    <w:qFormat/>
    <w:uiPriority w:val="0"/>
    <w:rPr>
      <w:rFonts w:ascii="Cambria" w:hAnsi="Cambria" w:eastAsia="黑体"/>
      <w:sz w:val="20"/>
      <w:szCs w:val="20"/>
    </w:rPr>
  </w:style>
  <w:style w:type="paragraph" w:styleId="16">
    <w:name w:val="index 5"/>
    <w:basedOn w:val="1"/>
    <w:next w:val="1"/>
    <w:qFormat/>
    <w:uiPriority w:val="0"/>
    <w:pPr>
      <w:ind w:left="798"/>
    </w:pPr>
    <w:rPr>
      <w:rFonts w:ascii="Calibri" w:hAnsi="Calibri"/>
    </w:rPr>
  </w:style>
  <w:style w:type="paragraph" w:styleId="17">
    <w:name w:val="Document Map"/>
    <w:basedOn w:val="1"/>
    <w:link w:val="93"/>
    <w:qFormat/>
    <w:uiPriority w:val="0"/>
    <w:pPr>
      <w:shd w:val="clear" w:color="auto" w:fill="000080"/>
    </w:pPr>
    <w:rPr>
      <w:kern w:val="0"/>
      <w:sz w:val="20"/>
      <w:szCs w:val="20"/>
    </w:rPr>
  </w:style>
  <w:style w:type="paragraph" w:styleId="18">
    <w:name w:val="annotation text"/>
    <w:basedOn w:val="1"/>
    <w:link w:val="94"/>
    <w:unhideWhenUsed/>
    <w:qFormat/>
    <w:uiPriority w:val="0"/>
    <w:pPr>
      <w:jc w:val="left"/>
    </w:pPr>
  </w:style>
  <w:style w:type="paragraph" w:styleId="19">
    <w:name w:val="Salutation"/>
    <w:basedOn w:val="1"/>
    <w:next w:val="1"/>
    <w:link w:val="95"/>
    <w:qFormat/>
    <w:uiPriority w:val="99"/>
    <w:rPr>
      <w:kern w:val="0"/>
      <w:sz w:val="20"/>
      <w:szCs w:val="20"/>
    </w:rPr>
  </w:style>
  <w:style w:type="paragraph" w:styleId="20">
    <w:name w:val="Body Text 3"/>
    <w:basedOn w:val="1"/>
    <w:link w:val="96"/>
    <w:qFormat/>
    <w:uiPriority w:val="99"/>
    <w:rPr>
      <w:rFonts w:ascii="宋体"/>
      <w:kern w:val="0"/>
      <w:sz w:val="24"/>
      <w:szCs w:val="20"/>
    </w:rPr>
  </w:style>
  <w:style w:type="paragraph" w:styleId="21">
    <w:name w:val="Body Text Indent"/>
    <w:basedOn w:val="1"/>
    <w:next w:val="22"/>
    <w:link w:val="90"/>
    <w:unhideWhenUsed/>
    <w:qFormat/>
    <w:uiPriority w:val="0"/>
    <w:pPr>
      <w:spacing w:after="120"/>
      <w:ind w:left="420" w:leftChars="200"/>
    </w:pPr>
  </w:style>
  <w:style w:type="paragraph" w:styleId="22">
    <w:name w:val="envelope return"/>
    <w:basedOn w:val="1"/>
    <w:qFormat/>
    <w:uiPriority w:val="0"/>
    <w:pPr>
      <w:snapToGrid w:val="0"/>
    </w:pPr>
    <w:rPr>
      <w:rFonts w:ascii="Arial" w:hAnsi="Arial"/>
    </w:rPr>
  </w:style>
  <w:style w:type="paragraph" w:styleId="23">
    <w:name w:val="List 2"/>
    <w:basedOn w:val="1"/>
    <w:qFormat/>
    <w:uiPriority w:val="0"/>
    <w:pPr>
      <w:ind w:left="100" w:leftChars="200" w:hanging="200" w:hangingChars="200"/>
    </w:pPr>
    <w:rPr>
      <w:szCs w:val="24"/>
    </w:rPr>
  </w:style>
  <w:style w:type="paragraph" w:styleId="24">
    <w:name w:val="List Continue"/>
    <w:basedOn w:val="1"/>
    <w:qFormat/>
    <w:uiPriority w:val="0"/>
    <w:pPr>
      <w:spacing w:after="120"/>
      <w:ind w:left="420"/>
    </w:pPr>
    <w:rPr>
      <w:rFonts w:eastAsia="楷体_GB2312"/>
      <w:sz w:val="32"/>
      <w:szCs w:val="20"/>
    </w:rPr>
  </w:style>
  <w:style w:type="paragraph" w:styleId="25">
    <w:name w:val="index 4"/>
    <w:basedOn w:val="1"/>
    <w:next w:val="1"/>
    <w:qFormat/>
    <w:uiPriority w:val="0"/>
    <w:pPr>
      <w:ind w:left="600" w:leftChars="600"/>
    </w:pPr>
    <w:rPr>
      <w:szCs w:val="24"/>
    </w:rPr>
  </w:style>
  <w:style w:type="paragraph" w:styleId="26">
    <w:name w:val="toc 5"/>
    <w:basedOn w:val="1"/>
    <w:next w:val="1"/>
    <w:qFormat/>
    <w:uiPriority w:val="39"/>
    <w:pPr>
      <w:ind w:left="840"/>
      <w:jc w:val="left"/>
    </w:pPr>
    <w:rPr>
      <w:sz w:val="18"/>
      <w:szCs w:val="18"/>
    </w:rPr>
  </w:style>
  <w:style w:type="paragraph" w:styleId="27">
    <w:name w:val="toc 3"/>
    <w:basedOn w:val="1"/>
    <w:next w:val="1"/>
    <w:qFormat/>
    <w:uiPriority w:val="39"/>
    <w:pPr>
      <w:ind w:left="420"/>
      <w:jc w:val="left"/>
    </w:pPr>
    <w:rPr>
      <w:i/>
      <w:iCs/>
      <w:sz w:val="20"/>
      <w:szCs w:val="20"/>
    </w:rPr>
  </w:style>
  <w:style w:type="paragraph" w:styleId="28">
    <w:name w:val="Plain Text"/>
    <w:basedOn w:val="1"/>
    <w:link w:val="97"/>
    <w:qFormat/>
    <w:uiPriority w:val="99"/>
    <w:rPr>
      <w:rFonts w:ascii="宋体" w:hAnsi="Courier New"/>
      <w:kern w:val="0"/>
      <w:sz w:val="20"/>
      <w:szCs w:val="20"/>
    </w:rPr>
  </w:style>
  <w:style w:type="paragraph" w:styleId="29">
    <w:name w:val="toc 8"/>
    <w:basedOn w:val="1"/>
    <w:next w:val="1"/>
    <w:qFormat/>
    <w:uiPriority w:val="39"/>
    <w:pPr>
      <w:ind w:left="1470"/>
      <w:jc w:val="left"/>
    </w:pPr>
    <w:rPr>
      <w:sz w:val="18"/>
      <w:szCs w:val="18"/>
    </w:rPr>
  </w:style>
  <w:style w:type="paragraph" w:styleId="30">
    <w:name w:val="Date"/>
    <w:basedOn w:val="1"/>
    <w:next w:val="1"/>
    <w:link w:val="98"/>
    <w:qFormat/>
    <w:uiPriority w:val="0"/>
    <w:pPr>
      <w:ind w:left="100" w:leftChars="2500"/>
    </w:pPr>
    <w:rPr>
      <w:kern w:val="0"/>
      <w:sz w:val="30"/>
      <w:szCs w:val="20"/>
    </w:rPr>
  </w:style>
  <w:style w:type="paragraph" w:styleId="31">
    <w:name w:val="Body Text Indent 2"/>
    <w:basedOn w:val="1"/>
    <w:link w:val="99"/>
    <w:qFormat/>
    <w:uiPriority w:val="99"/>
    <w:pPr>
      <w:spacing w:line="300" w:lineRule="auto"/>
      <w:ind w:firstLine="840" w:firstLineChars="280"/>
    </w:pPr>
    <w:rPr>
      <w:rFonts w:ascii="宋体" w:hAnsi="宋体"/>
      <w:kern w:val="0"/>
      <w:sz w:val="30"/>
      <w:szCs w:val="20"/>
    </w:rPr>
  </w:style>
  <w:style w:type="paragraph" w:styleId="32">
    <w:name w:val="Balloon Text"/>
    <w:basedOn w:val="1"/>
    <w:link w:val="100"/>
    <w:qFormat/>
    <w:uiPriority w:val="0"/>
    <w:rPr>
      <w:kern w:val="0"/>
      <w:sz w:val="18"/>
      <w:szCs w:val="20"/>
    </w:rPr>
  </w:style>
  <w:style w:type="paragraph" w:styleId="33">
    <w:name w:val="footer"/>
    <w:basedOn w:val="1"/>
    <w:link w:val="101"/>
    <w:unhideWhenUsed/>
    <w:qFormat/>
    <w:uiPriority w:val="0"/>
    <w:pPr>
      <w:tabs>
        <w:tab w:val="center" w:pos="4153"/>
        <w:tab w:val="right" w:pos="8306"/>
      </w:tabs>
      <w:snapToGrid w:val="0"/>
      <w:jc w:val="left"/>
    </w:pPr>
    <w:rPr>
      <w:kern w:val="0"/>
      <w:sz w:val="18"/>
      <w:szCs w:val="18"/>
    </w:rPr>
  </w:style>
  <w:style w:type="paragraph" w:styleId="34">
    <w:name w:val="header"/>
    <w:basedOn w:val="1"/>
    <w:next w:val="35"/>
    <w:link w:val="102"/>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5">
    <w:name w:val="toc 2"/>
    <w:basedOn w:val="1"/>
    <w:next w:val="1"/>
    <w:qFormat/>
    <w:uiPriority w:val="39"/>
    <w:pPr>
      <w:ind w:left="210"/>
      <w:jc w:val="left"/>
    </w:pPr>
    <w:rPr>
      <w:smallCaps/>
      <w:sz w:val="20"/>
      <w:szCs w:val="20"/>
    </w:rPr>
  </w:style>
  <w:style w:type="paragraph" w:styleId="36">
    <w:name w:val="toc 1"/>
    <w:basedOn w:val="1"/>
    <w:next w:val="1"/>
    <w:qFormat/>
    <w:uiPriority w:val="39"/>
    <w:pPr>
      <w:spacing w:before="120" w:after="120"/>
      <w:jc w:val="left"/>
    </w:pPr>
    <w:rPr>
      <w:b/>
      <w:bCs/>
      <w:caps/>
      <w:sz w:val="20"/>
      <w:szCs w:val="20"/>
    </w:rPr>
  </w:style>
  <w:style w:type="paragraph" w:styleId="37">
    <w:name w:val="toc 4"/>
    <w:basedOn w:val="1"/>
    <w:next w:val="1"/>
    <w:qFormat/>
    <w:uiPriority w:val="39"/>
    <w:pPr>
      <w:ind w:left="630"/>
      <w:jc w:val="left"/>
    </w:pPr>
    <w:rPr>
      <w:sz w:val="18"/>
      <w:szCs w:val="18"/>
    </w:rPr>
  </w:style>
  <w:style w:type="paragraph" w:styleId="38">
    <w:name w:val="Subtitle"/>
    <w:basedOn w:val="1"/>
    <w:next w:val="1"/>
    <w:link w:val="103"/>
    <w:qFormat/>
    <w:uiPriority w:val="0"/>
    <w:pPr>
      <w:spacing w:before="240" w:after="60"/>
      <w:jc w:val="center"/>
      <w:outlineLvl w:val="1"/>
    </w:pPr>
    <w:rPr>
      <w:rFonts w:ascii="Cambria" w:hAnsi="Cambria" w:eastAsia="Times New Roman"/>
      <w:b/>
      <w:bCs/>
      <w:kern w:val="28"/>
      <w:sz w:val="32"/>
      <w:szCs w:val="32"/>
    </w:rPr>
  </w:style>
  <w:style w:type="paragraph" w:styleId="39">
    <w:name w:val="List"/>
    <w:basedOn w:val="1"/>
    <w:qFormat/>
    <w:uiPriority w:val="99"/>
    <w:pPr>
      <w:ind w:left="420" w:hanging="420"/>
    </w:pPr>
    <w:rPr>
      <w:rFonts w:eastAsia="楷体_GB2312"/>
      <w:sz w:val="32"/>
      <w:szCs w:val="20"/>
    </w:rPr>
  </w:style>
  <w:style w:type="paragraph" w:styleId="40">
    <w:name w:val="footnote text"/>
    <w:basedOn w:val="1"/>
    <w:next w:val="16"/>
    <w:qFormat/>
    <w:uiPriority w:val="0"/>
    <w:pPr>
      <w:snapToGrid w:val="0"/>
      <w:jc w:val="left"/>
    </w:pPr>
    <w:rPr>
      <w:sz w:val="18"/>
      <w:szCs w:val="18"/>
    </w:rPr>
  </w:style>
  <w:style w:type="paragraph" w:styleId="41">
    <w:name w:val="toc 6"/>
    <w:basedOn w:val="1"/>
    <w:next w:val="1"/>
    <w:qFormat/>
    <w:uiPriority w:val="39"/>
    <w:pPr>
      <w:ind w:left="1050"/>
      <w:jc w:val="left"/>
    </w:pPr>
    <w:rPr>
      <w:sz w:val="18"/>
      <w:szCs w:val="18"/>
    </w:rPr>
  </w:style>
  <w:style w:type="paragraph" w:styleId="42">
    <w:name w:val="List 5"/>
    <w:basedOn w:val="1"/>
    <w:qFormat/>
    <w:uiPriority w:val="0"/>
    <w:pPr>
      <w:ind w:left="2100" w:hanging="420"/>
    </w:pPr>
    <w:rPr>
      <w:rFonts w:eastAsia="楷体_GB2312"/>
      <w:sz w:val="32"/>
      <w:szCs w:val="20"/>
    </w:rPr>
  </w:style>
  <w:style w:type="paragraph" w:styleId="43">
    <w:name w:val="Body Text Indent 3"/>
    <w:basedOn w:val="1"/>
    <w:link w:val="104"/>
    <w:qFormat/>
    <w:uiPriority w:val="99"/>
    <w:pPr>
      <w:spacing w:after="120"/>
      <w:ind w:left="420" w:leftChars="200"/>
    </w:pPr>
    <w:rPr>
      <w:kern w:val="0"/>
      <w:sz w:val="16"/>
      <w:szCs w:val="20"/>
    </w:rPr>
  </w:style>
  <w:style w:type="paragraph" w:styleId="44">
    <w:name w:val="toc 9"/>
    <w:basedOn w:val="1"/>
    <w:next w:val="1"/>
    <w:qFormat/>
    <w:uiPriority w:val="39"/>
    <w:pPr>
      <w:ind w:left="1680"/>
      <w:jc w:val="left"/>
    </w:pPr>
    <w:rPr>
      <w:sz w:val="18"/>
      <w:szCs w:val="18"/>
    </w:rPr>
  </w:style>
  <w:style w:type="paragraph" w:styleId="45">
    <w:name w:val="List 4"/>
    <w:basedOn w:val="1"/>
    <w:qFormat/>
    <w:uiPriority w:val="0"/>
    <w:pPr>
      <w:ind w:left="1680" w:hanging="420"/>
    </w:pPr>
    <w:rPr>
      <w:rFonts w:eastAsia="楷体_GB2312"/>
      <w:sz w:val="32"/>
      <w:szCs w:val="20"/>
    </w:rPr>
  </w:style>
  <w:style w:type="paragraph" w:styleId="46">
    <w:name w:val="Message Header"/>
    <w:basedOn w:val="1"/>
    <w:link w:val="10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47">
    <w:name w:val="HTML Preformatted"/>
    <w:basedOn w:val="1"/>
    <w:link w:val="10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8">
    <w:name w:val="Normal (Web)"/>
    <w:basedOn w:val="1"/>
    <w:link w:val="107"/>
    <w:qFormat/>
    <w:uiPriority w:val="0"/>
    <w:pPr>
      <w:widowControl/>
      <w:spacing w:before="100" w:beforeAutospacing="1" w:after="100" w:afterAutospacing="1"/>
      <w:jc w:val="left"/>
    </w:pPr>
    <w:rPr>
      <w:rFonts w:ascii="宋体" w:hAnsi="宋体"/>
      <w:kern w:val="0"/>
      <w:sz w:val="24"/>
      <w:szCs w:val="24"/>
    </w:rPr>
  </w:style>
  <w:style w:type="paragraph" w:styleId="49">
    <w:name w:val="index 1"/>
    <w:basedOn w:val="1"/>
    <w:next w:val="1"/>
    <w:qFormat/>
    <w:uiPriority w:val="0"/>
    <w:pPr>
      <w:spacing w:line="220" w:lineRule="exact"/>
      <w:jc w:val="center"/>
    </w:pPr>
    <w:rPr>
      <w:rFonts w:ascii="仿宋_GB2312" w:eastAsia="仿宋_GB2312"/>
    </w:rPr>
  </w:style>
  <w:style w:type="paragraph" w:styleId="50">
    <w:name w:val="Title"/>
    <w:basedOn w:val="1"/>
    <w:next w:val="1"/>
    <w:link w:val="108"/>
    <w:qFormat/>
    <w:uiPriority w:val="0"/>
    <w:pPr>
      <w:spacing w:before="240" w:after="60"/>
      <w:jc w:val="center"/>
      <w:outlineLvl w:val="0"/>
    </w:pPr>
    <w:rPr>
      <w:rFonts w:ascii="Cambria" w:hAnsi="Cambria"/>
      <w:b/>
      <w:bCs/>
      <w:kern w:val="0"/>
      <w:sz w:val="32"/>
      <w:szCs w:val="32"/>
    </w:rPr>
  </w:style>
  <w:style w:type="paragraph" w:styleId="51">
    <w:name w:val="annotation subject"/>
    <w:basedOn w:val="18"/>
    <w:next w:val="18"/>
    <w:link w:val="109"/>
    <w:qFormat/>
    <w:uiPriority w:val="0"/>
    <w:rPr>
      <w:b/>
      <w:bCs/>
      <w:kern w:val="0"/>
      <w:sz w:val="30"/>
      <w:szCs w:val="20"/>
    </w:rPr>
  </w:style>
  <w:style w:type="paragraph" w:styleId="52">
    <w:name w:val="Body Text First Indent"/>
    <w:basedOn w:val="8"/>
    <w:next w:val="1"/>
    <w:link w:val="88"/>
    <w:qFormat/>
    <w:uiPriority w:val="0"/>
    <w:pPr>
      <w:ind w:firstLine="420" w:firstLineChars="100"/>
    </w:pPr>
    <w:rPr>
      <w:szCs w:val="20"/>
    </w:rPr>
  </w:style>
  <w:style w:type="paragraph" w:styleId="53">
    <w:name w:val="Body Text First Indent 2"/>
    <w:basedOn w:val="21"/>
    <w:next w:val="1"/>
    <w:link w:val="91"/>
    <w:qFormat/>
    <w:uiPriority w:val="0"/>
    <w:pPr>
      <w:ind w:firstLine="420" w:firstLineChars="200"/>
    </w:pPr>
    <w:rPr>
      <w:kern w:val="0"/>
      <w:sz w:val="30"/>
      <w:szCs w:val="20"/>
    </w:rPr>
  </w:style>
  <w:style w:type="table" w:styleId="55">
    <w:name w:val="Table Grid"/>
    <w:basedOn w:val="5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qFormat/>
    <w:uiPriority w:val="0"/>
    <w:rPr>
      <w:b/>
      <w:bCs/>
    </w:rPr>
  </w:style>
  <w:style w:type="character" w:styleId="58">
    <w:name w:val="page number"/>
    <w:qFormat/>
    <w:uiPriority w:val="0"/>
  </w:style>
  <w:style w:type="character" w:styleId="59">
    <w:name w:val="FollowedHyperlink"/>
    <w:qFormat/>
    <w:uiPriority w:val="99"/>
    <w:rPr>
      <w:color w:val="333333"/>
      <w:sz w:val="18"/>
      <w:szCs w:val="18"/>
      <w:u w:val="none"/>
    </w:rPr>
  </w:style>
  <w:style w:type="character" w:styleId="60">
    <w:name w:val="Emphasis"/>
    <w:qFormat/>
    <w:uiPriority w:val="0"/>
  </w:style>
  <w:style w:type="character" w:styleId="61">
    <w:name w:val="HTML Definition"/>
    <w:unhideWhenUsed/>
    <w:qFormat/>
    <w:uiPriority w:val="99"/>
  </w:style>
  <w:style w:type="character" w:styleId="62">
    <w:name w:val="HTML Typewriter"/>
    <w:unhideWhenUsed/>
    <w:qFormat/>
    <w:uiPriority w:val="99"/>
    <w:rPr>
      <w:rFonts w:hint="default" w:ascii="monospace" w:hAnsi="monospace" w:eastAsia="monospace" w:cs="monospace"/>
      <w:sz w:val="20"/>
    </w:rPr>
  </w:style>
  <w:style w:type="character" w:styleId="63">
    <w:name w:val="HTML Acronym"/>
    <w:basedOn w:val="56"/>
    <w:unhideWhenUsed/>
    <w:qFormat/>
    <w:uiPriority w:val="99"/>
  </w:style>
  <w:style w:type="character" w:styleId="64">
    <w:name w:val="HTML Variable"/>
    <w:unhideWhenUsed/>
    <w:qFormat/>
    <w:uiPriority w:val="99"/>
  </w:style>
  <w:style w:type="character" w:styleId="65">
    <w:name w:val="Hyperlink"/>
    <w:qFormat/>
    <w:uiPriority w:val="99"/>
    <w:rPr>
      <w:color w:val="333333"/>
      <w:sz w:val="18"/>
      <w:szCs w:val="18"/>
      <w:u w:val="none"/>
    </w:rPr>
  </w:style>
  <w:style w:type="character" w:styleId="66">
    <w:name w:val="HTML Code"/>
    <w:unhideWhenUsed/>
    <w:qFormat/>
    <w:uiPriority w:val="99"/>
    <w:rPr>
      <w:rFonts w:hint="default" w:ascii="monospace" w:hAnsi="monospace" w:eastAsia="monospace" w:cs="monospace"/>
      <w:sz w:val="20"/>
    </w:rPr>
  </w:style>
  <w:style w:type="character" w:styleId="67">
    <w:name w:val="annotation reference"/>
    <w:qFormat/>
    <w:uiPriority w:val="0"/>
    <w:rPr>
      <w:sz w:val="21"/>
    </w:rPr>
  </w:style>
  <w:style w:type="character" w:styleId="68">
    <w:name w:val="HTML Cite"/>
    <w:unhideWhenUsed/>
    <w:qFormat/>
    <w:uiPriority w:val="99"/>
  </w:style>
  <w:style w:type="character" w:styleId="69">
    <w:name w:val="footnote reference"/>
    <w:qFormat/>
    <w:uiPriority w:val="0"/>
    <w:rPr>
      <w:vertAlign w:val="superscript"/>
    </w:rPr>
  </w:style>
  <w:style w:type="character" w:styleId="70">
    <w:name w:val="HTML Keyboard"/>
    <w:unhideWhenUsed/>
    <w:qFormat/>
    <w:uiPriority w:val="99"/>
    <w:rPr>
      <w:rFonts w:hint="default" w:ascii="monospace" w:hAnsi="monospace" w:eastAsia="monospace" w:cs="monospace"/>
      <w:sz w:val="20"/>
    </w:rPr>
  </w:style>
  <w:style w:type="character" w:styleId="71">
    <w:name w:val="HTML Sample"/>
    <w:unhideWhenUsed/>
    <w:qFormat/>
    <w:uiPriority w:val="99"/>
    <w:rPr>
      <w:rFonts w:ascii="monospace" w:hAnsi="monospace" w:eastAsia="monospace" w:cs="monospace"/>
    </w:rPr>
  </w:style>
  <w:style w:type="paragraph" w:customStyle="1" w:styleId="72">
    <w:name w:val="BodyText1I"/>
    <w:basedOn w:val="73"/>
    <w:qFormat/>
    <w:uiPriority w:val="99"/>
    <w:pPr>
      <w:ind w:firstLine="420" w:firstLineChars="100"/>
    </w:pPr>
  </w:style>
  <w:style w:type="paragraph" w:customStyle="1" w:styleId="73">
    <w:name w:val="BodyText"/>
    <w:basedOn w:val="1"/>
    <w:qFormat/>
    <w:uiPriority w:val="0"/>
    <w:pPr>
      <w:widowControl/>
      <w:textAlignment w:val="baseline"/>
    </w:pPr>
    <w:rPr>
      <w:sz w:val="24"/>
      <w:szCs w:val="24"/>
      <w:lang w:val="en-US" w:eastAsia="zh-CN" w:bidi="ar-SA"/>
    </w:rPr>
  </w:style>
  <w:style w:type="paragraph" w:customStyle="1" w:styleId="74">
    <w:name w:val="Default"/>
    <w:next w:val="75"/>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5">
    <w:name w:val="Char Char10 Char Char Char Char"/>
    <w:basedOn w:val="1"/>
    <w:next w:val="76"/>
    <w:qFormat/>
    <w:uiPriority w:val="0"/>
    <w:rPr>
      <w:rFonts w:ascii="Calibri" w:hAnsi="Calibri"/>
      <w:kern w:val="0"/>
    </w:rPr>
  </w:style>
  <w:style w:type="paragraph" w:customStyle="1" w:styleId="76">
    <w:name w:val="xl87"/>
    <w:basedOn w:val="1"/>
    <w:next w:val="77"/>
    <w:qFormat/>
    <w:uiPriority w:val="0"/>
    <w:pPr>
      <w:widowControl/>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rPr>
  </w:style>
  <w:style w:type="paragraph" w:customStyle="1" w:styleId="77">
    <w:name w:val="xl72"/>
    <w:basedOn w:val="1"/>
    <w:next w:val="30"/>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rPr>
  </w:style>
  <w:style w:type="character" w:customStyle="1" w:styleId="78">
    <w:name w:val="标题 1 字符"/>
    <w:basedOn w:val="56"/>
    <w:link w:val="2"/>
    <w:qFormat/>
    <w:uiPriority w:val="0"/>
    <w:rPr>
      <w:rFonts w:ascii="Times New Roman" w:hAnsi="Times New Roman" w:eastAsia="宋体" w:cs="Times New Roman"/>
      <w:b/>
      <w:bCs/>
      <w:color w:val="000000"/>
      <w:kern w:val="0"/>
      <w:sz w:val="32"/>
      <w:szCs w:val="20"/>
    </w:rPr>
  </w:style>
  <w:style w:type="character" w:customStyle="1" w:styleId="79">
    <w:name w:val="标题 2 字符"/>
    <w:basedOn w:val="56"/>
    <w:link w:val="3"/>
    <w:qFormat/>
    <w:uiPriority w:val="0"/>
    <w:rPr>
      <w:rFonts w:ascii="宋体" w:hAnsi="宋体" w:eastAsia="宋体" w:cs="Times New Roman"/>
      <w:b/>
      <w:sz w:val="30"/>
      <w:szCs w:val="30"/>
    </w:rPr>
  </w:style>
  <w:style w:type="character" w:customStyle="1" w:styleId="80">
    <w:name w:val="标题 3 字符"/>
    <w:basedOn w:val="56"/>
    <w:link w:val="4"/>
    <w:qFormat/>
    <w:uiPriority w:val="0"/>
    <w:rPr>
      <w:rFonts w:ascii="Times New Roman" w:hAnsi="Times New Roman" w:eastAsia="宋体" w:cs="Times New Roman"/>
      <w:b/>
      <w:kern w:val="0"/>
      <w:sz w:val="24"/>
      <w:szCs w:val="20"/>
    </w:rPr>
  </w:style>
  <w:style w:type="character" w:customStyle="1" w:styleId="81">
    <w:name w:val="标题 4 字符"/>
    <w:basedOn w:val="56"/>
    <w:link w:val="5"/>
    <w:qFormat/>
    <w:uiPriority w:val="0"/>
    <w:rPr>
      <w:rFonts w:ascii="Arial" w:hAnsi="Arial" w:eastAsia="宋体" w:cs="Times New Roman"/>
      <w:b/>
      <w:bCs/>
      <w:kern w:val="0"/>
      <w:sz w:val="30"/>
      <w:szCs w:val="28"/>
    </w:rPr>
  </w:style>
  <w:style w:type="character" w:customStyle="1" w:styleId="82">
    <w:name w:val="标题 5 字符"/>
    <w:basedOn w:val="56"/>
    <w:link w:val="6"/>
    <w:qFormat/>
    <w:uiPriority w:val="0"/>
    <w:rPr>
      <w:rFonts w:ascii="宋体" w:hAnsi="宋体" w:eastAsia="宋体" w:cs="Times New Roman"/>
      <w:b/>
      <w:bCs/>
      <w:kern w:val="0"/>
      <w:sz w:val="20"/>
      <w:szCs w:val="24"/>
    </w:rPr>
  </w:style>
  <w:style w:type="character" w:customStyle="1" w:styleId="83">
    <w:name w:val="标题 6 字符"/>
    <w:basedOn w:val="56"/>
    <w:link w:val="7"/>
    <w:qFormat/>
    <w:uiPriority w:val="0"/>
    <w:rPr>
      <w:rFonts w:ascii="Times New Roman" w:hAnsi="Times New Roman" w:eastAsia="宋体" w:cs="Times New Roman"/>
      <w:i/>
      <w:spacing w:val="-4"/>
      <w:kern w:val="28"/>
      <w:sz w:val="20"/>
      <w:szCs w:val="24"/>
    </w:rPr>
  </w:style>
  <w:style w:type="character" w:customStyle="1" w:styleId="84">
    <w:name w:val="标题 7 字符"/>
    <w:basedOn w:val="56"/>
    <w:link w:val="10"/>
    <w:qFormat/>
    <w:uiPriority w:val="0"/>
    <w:rPr>
      <w:rFonts w:ascii="Times New Roman" w:hAnsi="Times New Roman" w:eastAsia="宋体" w:cs="Times New Roman"/>
      <w:b/>
      <w:kern w:val="0"/>
      <w:sz w:val="24"/>
      <w:szCs w:val="20"/>
    </w:rPr>
  </w:style>
  <w:style w:type="character" w:customStyle="1" w:styleId="85">
    <w:name w:val="标题 8 字符"/>
    <w:basedOn w:val="56"/>
    <w:link w:val="11"/>
    <w:qFormat/>
    <w:uiPriority w:val="0"/>
    <w:rPr>
      <w:rFonts w:ascii="Arial" w:hAnsi="Arial" w:eastAsia="宋体" w:cs="Times New Roman"/>
      <w:i/>
      <w:spacing w:val="-4"/>
      <w:kern w:val="28"/>
      <w:sz w:val="18"/>
      <w:szCs w:val="24"/>
    </w:rPr>
  </w:style>
  <w:style w:type="character" w:customStyle="1" w:styleId="86">
    <w:name w:val="标题 9 字符"/>
    <w:basedOn w:val="56"/>
    <w:link w:val="12"/>
    <w:qFormat/>
    <w:uiPriority w:val="0"/>
    <w:rPr>
      <w:rFonts w:ascii="Arial" w:hAnsi="Arial" w:eastAsia="宋体" w:cs="Times New Roman"/>
      <w:spacing w:val="-4"/>
      <w:kern w:val="28"/>
      <w:sz w:val="18"/>
      <w:szCs w:val="24"/>
    </w:rPr>
  </w:style>
  <w:style w:type="character" w:customStyle="1" w:styleId="87">
    <w:name w:val="正文文本 字符"/>
    <w:basedOn w:val="56"/>
    <w:link w:val="8"/>
    <w:qFormat/>
    <w:uiPriority w:val="0"/>
    <w:rPr>
      <w:rFonts w:ascii="Times New Roman" w:hAnsi="Times New Roman" w:eastAsia="宋体" w:cs="Times New Roman"/>
      <w:szCs w:val="21"/>
    </w:rPr>
  </w:style>
  <w:style w:type="character" w:customStyle="1" w:styleId="88">
    <w:name w:val="正文文本首行缩进 字符"/>
    <w:basedOn w:val="87"/>
    <w:link w:val="52"/>
    <w:qFormat/>
    <w:uiPriority w:val="0"/>
    <w:rPr>
      <w:rFonts w:ascii="Times New Roman" w:hAnsi="Times New Roman" w:eastAsia="宋体" w:cs="Times New Roman"/>
      <w:szCs w:val="20"/>
    </w:rPr>
  </w:style>
  <w:style w:type="character" w:customStyle="1" w:styleId="89">
    <w:name w:val="正文文本 2 字符"/>
    <w:basedOn w:val="56"/>
    <w:link w:val="9"/>
    <w:qFormat/>
    <w:uiPriority w:val="99"/>
    <w:rPr>
      <w:rFonts w:ascii="Times New Roman" w:hAnsi="Times New Roman" w:eastAsia="宋体" w:cs="Times New Roman"/>
      <w:kern w:val="0"/>
      <w:sz w:val="20"/>
      <w:szCs w:val="20"/>
    </w:rPr>
  </w:style>
  <w:style w:type="character" w:customStyle="1" w:styleId="90">
    <w:name w:val="正文文本缩进 字符"/>
    <w:basedOn w:val="56"/>
    <w:link w:val="21"/>
    <w:qFormat/>
    <w:uiPriority w:val="0"/>
    <w:rPr>
      <w:rFonts w:ascii="Times New Roman" w:hAnsi="Times New Roman" w:eastAsia="宋体" w:cs="Times New Roman"/>
      <w:szCs w:val="21"/>
    </w:rPr>
  </w:style>
  <w:style w:type="character" w:customStyle="1" w:styleId="91">
    <w:name w:val="正文文本首行缩进 2 字符"/>
    <w:basedOn w:val="90"/>
    <w:link w:val="53"/>
    <w:qFormat/>
    <w:uiPriority w:val="0"/>
    <w:rPr>
      <w:rFonts w:ascii="Times New Roman" w:hAnsi="Times New Roman" w:eastAsia="宋体" w:cs="Times New Roman"/>
      <w:kern w:val="0"/>
      <w:sz w:val="30"/>
      <w:szCs w:val="20"/>
    </w:rPr>
  </w:style>
  <w:style w:type="character" w:customStyle="1" w:styleId="92">
    <w:name w:val="正文缩进 字符"/>
    <w:link w:val="14"/>
    <w:qFormat/>
    <w:uiPriority w:val="0"/>
    <w:rPr>
      <w:rFonts w:ascii="Times New Roman" w:hAnsi="Times New Roman" w:eastAsia="宋体" w:cs="Times New Roman"/>
      <w:kern w:val="0"/>
      <w:sz w:val="20"/>
      <w:szCs w:val="20"/>
    </w:rPr>
  </w:style>
  <w:style w:type="character" w:customStyle="1" w:styleId="93">
    <w:name w:val="文档结构图 字符"/>
    <w:basedOn w:val="56"/>
    <w:link w:val="17"/>
    <w:qFormat/>
    <w:uiPriority w:val="0"/>
    <w:rPr>
      <w:rFonts w:ascii="Times New Roman" w:hAnsi="Times New Roman" w:eastAsia="宋体" w:cs="Times New Roman"/>
      <w:kern w:val="0"/>
      <w:sz w:val="20"/>
      <w:szCs w:val="20"/>
      <w:shd w:val="clear" w:color="auto" w:fill="000080"/>
    </w:rPr>
  </w:style>
  <w:style w:type="character" w:customStyle="1" w:styleId="94">
    <w:name w:val="批注文字 字符"/>
    <w:basedOn w:val="56"/>
    <w:link w:val="18"/>
    <w:qFormat/>
    <w:uiPriority w:val="0"/>
    <w:rPr>
      <w:rFonts w:ascii="Times New Roman" w:hAnsi="Times New Roman" w:eastAsia="宋体" w:cs="Times New Roman"/>
      <w:szCs w:val="21"/>
    </w:rPr>
  </w:style>
  <w:style w:type="character" w:customStyle="1" w:styleId="95">
    <w:name w:val="称呼 字符"/>
    <w:basedOn w:val="56"/>
    <w:link w:val="19"/>
    <w:qFormat/>
    <w:uiPriority w:val="99"/>
    <w:rPr>
      <w:rFonts w:ascii="Times New Roman" w:hAnsi="Times New Roman" w:eastAsia="宋体" w:cs="Times New Roman"/>
      <w:kern w:val="0"/>
      <w:sz w:val="20"/>
      <w:szCs w:val="20"/>
    </w:rPr>
  </w:style>
  <w:style w:type="character" w:customStyle="1" w:styleId="96">
    <w:name w:val="正文文本 3 字符"/>
    <w:basedOn w:val="56"/>
    <w:link w:val="20"/>
    <w:qFormat/>
    <w:uiPriority w:val="99"/>
    <w:rPr>
      <w:rFonts w:ascii="宋体" w:hAnsi="Times New Roman" w:eastAsia="宋体" w:cs="Times New Roman"/>
      <w:kern w:val="0"/>
      <w:sz w:val="24"/>
      <w:szCs w:val="20"/>
    </w:rPr>
  </w:style>
  <w:style w:type="character" w:customStyle="1" w:styleId="97">
    <w:name w:val="纯文本 字符"/>
    <w:basedOn w:val="56"/>
    <w:link w:val="28"/>
    <w:qFormat/>
    <w:uiPriority w:val="99"/>
    <w:rPr>
      <w:rFonts w:ascii="宋体" w:hAnsi="Courier New" w:eastAsia="宋体" w:cs="Times New Roman"/>
      <w:kern w:val="0"/>
      <w:sz w:val="20"/>
      <w:szCs w:val="20"/>
    </w:rPr>
  </w:style>
  <w:style w:type="character" w:customStyle="1" w:styleId="98">
    <w:name w:val="日期 字符"/>
    <w:basedOn w:val="56"/>
    <w:link w:val="30"/>
    <w:qFormat/>
    <w:uiPriority w:val="0"/>
    <w:rPr>
      <w:rFonts w:ascii="Times New Roman" w:hAnsi="Times New Roman" w:eastAsia="宋体" w:cs="Times New Roman"/>
      <w:kern w:val="0"/>
      <w:sz w:val="30"/>
      <w:szCs w:val="20"/>
    </w:rPr>
  </w:style>
  <w:style w:type="character" w:customStyle="1" w:styleId="99">
    <w:name w:val="正文文本缩进 2 字符"/>
    <w:basedOn w:val="56"/>
    <w:link w:val="31"/>
    <w:qFormat/>
    <w:uiPriority w:val="99"/>
    <w:rPr>
      <w:rFonts w:ascii="宋体" w:hAnsi="宋体" w:eastAsia="宋体" w:cs="Times New Roman"/>
      <w:kern w:val="0"/>
      <w:sz w:val="30"/>
      <w:szCs w:val="20"/>
    </w:rPr>
  </w:style>
  <w:style w:type="character" w:customStyle="1" w:styleId="100">
    <w:name w:val="批注框文本 字符"/>
    <w:basedOn w:val="56"/>
    <w:link w:val="32"/>
    <w:qFormat/>
    <w:uiPriority w:val="0"/>
    <w:rPr>
      <w:rFonts w:ascii="Times New Roman" w:hAnsi="Times New Roman" w:eastAsia="宋体" w:cs="Times New Roman"/>
      <w:kern w:val="0"/>
      <w:sz w:val="18"/>
      <w:szCs w:val="20"/>
    </w:rPr>
  </w:style>
  <w:style w:type="character" w:customStyle="1" w:styleId="101">
    <w:name w:val="页脚 字符"/>
    <w:basedOn w:val="56"/>
    <w:link w:val="33"/>
    <w:qFormat/>
    <w:uiPriority w:val="0"/>
    <w:rPr>
      <w:rFonts w:ascii="Times New Roman" w:hAnsi="Times New Roman" w:eastAsia="宋体" w:cs="Times New Roman"/>
      <w:kern w:val="0"/>
      <w:sz w:val="18"/>
      <w:szCs w:val="18"/>
    </w:rPr>
  </w:style>
  <w:style w:type="character" w:customStyle="1" w:styleId="102">
    <w:name w:val="页眉 字符"/>
    <w:basedOn w:val="56"/>
    <w:link w:val="34"/>
    <w:qFormat/>
    <w:uiPriority w:val="0"/>
    <w:rPr>
      <w:rFonts w:ascii="Times New Roman" w:hAnsi="Times New Roman" w:eastAsia="宋体" w:cs="Times New Roman"/>
      <w:kern w:val="0"/>
      <w:sz w:val="18"/>
      <w:szCs w:val="18"/>
    </w:rPr>
  </w:style>
  <w:style w:type="character" w:customStyle="1" w:styleId="103">
    <w:name w:val="副标题 字符"/>
    <w:basedOn w:val="56"/>
    <w:link w:val="38"/>
    <w:qFormat/>
    <w:uiPriority w:val="0"/>
    <w:rPr>
      <w:rFonts w:ascii="Cambria" w:hAnsi="Cambria" w:eastAsia="Times New Roman" w:cs="Times New Roman"/>
      <w:b/>
      <w:bCs/>
      <w:kern w:val="28"/>
      <w:sz w:val="32"/>
      <w:szCs w:val="32"/>
    </w:rPr>
  </w:style>
  <w:style w:type="character" w:customStyle="1" w:styleId="104">
    <w:name w:val="正文文本缩进 3 字符"/>
    <w:basedOn w:val="56"/>
    <w:link w:val="43"/>
    <w:qFormat/>
    <w:uiPriority w:val="99"/>
    <w:rPr>
      <w:rFonts w:ascii="Times New Roman" w:hAnsi="Times New Roman" w:eastAsia="宋体" w:cs="Times New Roman"/>
      <w:kern w:val="0"/>
      <w:sz w:val="16"/>
      <w:szCs w:val="20"/>
    </w:rPr>
  </w:style>
  <w:style w:type="character" w:customStyle="1" w:styleId="105">
    <w:name w:val="信息标题 字符"/>
    <w:basedOn w:val="56"/>
    <w:link w:val="46"/>
    <w:qFormat/>
    <w:uiPriority w:val="0"/>
    <w:rPr>
      <w:rFonts w:ascii="Cambria" w:hAnsi="Cambria" w:eastAsia="宋体" w:cs="Times New Roman"/>
      <w:sz w:val="24"/>
      <w:szCs w:val="21"/>
      <w:shd w:val="pct20" w:color="auto" w:fill="auto"/>
    </w:rPr>
  </w:style>
  <w:style w:type="character" w:customStyle="1" w:styleId="106">
    <w:name w:val="HTML 预设格式 字符"/>
    <w:basedOn w:val="56"/>
    <w:link w:val="47"/>
    <w:qFormat/>
    <w:uiPriority w:val="0"/>
    <w:rPr>
      <w:rFonts w:ascii="宋体" w:hAnsi="宋体" w:eastAsia="宋体" w:cs="Times New Roman"/>
      <w:kern w:val="0"/>
      <w:sz w:val="24"/>
      <w:szCs w:val="24"/>
    </w:rPr>
  </w:style>
  <w:style w:type="character" w:customStyle="1" w:styleId="107">
    <w:name w:val="普通(网站) 字符"/>
    <w:link w:val="48"/>
    <w:qFormat/>
    <w:uiPriority w:val="0"/>
    <w:rPr>
      <w:rFonts w:ascii="宋体" w:hAnsi="宋体" w:eastAsia="宋体" w:cs="Times New Roman"/>
      <w:kern w:val="0"/>
      <w:sz w:val="24"/>
      <w:szCs w:val="24"/>
    </w:rPr>
  </w:style>
  <w:style w:type="character" w:customStyle="1" w:styleId="108">
    <w:name w:val="标题 字符"/>
    <w:basedOn w:val="56"/>
    <w:link w:val="50"/>
    <w:qFormat/>
    <w:uiPriority w:val="0"/>
    <w:rPr>
      <w:rFonts w:ascii="Cambria" w:hAnsi="Cambria" w:eastAsia="宋体" w:cs="Times New Roman"/>
      <w:b/>
      <w:bCs/>
      <w:kern w:val="0"/>
      <w:sz w:val="32"/>
      <w:szCs w:val="32"/>
    </w:rPr>
  </w:style>
  <w:style w:type="character" w:customStyle="1" w:styleId="109">
    <w:name w:val="批注主题 字符"/>
    <w:basedOn w:val="94"/>
    <w:link w:val="51"/>
    <w:qFormat/>
    <w:uiPriority w:val="0"/>
    <w:rPr>
      <w:rFonts w:ascii="Times New Roman" w:hAnsi="Times New Roman" w:eastAsia="宋体" w:cs="Times New Roman"/>
      <w:b/>
      <w:bCs/>
      <w:kern w:val="0"/>
      <w:sz w:val="30"/>
      <w:szCs w:val="20"/>
    </w:rPr>
  </w:style>
  <w:style w:type="paragraph" w:customStyle="1" w:styleId="110">
    <w:name w:val="style4"/>
    <w:basedOn w:val="111"/>
    <w:next w:val="112"/>
    <w:qFormat/>
    <w:uiPriority w:val="0"/>
    <w:pPr>
      <w:widowControl/>
      <w:spacing w:before="100" w:beforeAutospacing="1" w:after="100" w:afterAutospacing="1"/>
    </w:pPr>
    <w:rPr>
      <w:rFonts w:hAnsi="宋体" w:cs="宋体"/>
      <w:sz w:val="18"/>
      <w:szCs w:val="18"/>
    </w:rPr>
  </w:style>
  <w:style w:type="paragraph" w:customStyle="1" w:styleId="111">
    <w:name w:val="正文1"/>
    <w:basedOn w:val="1"/>
    <w:next w:val="52"/>
    <w:qFormat/>
    <w:uiPriority w:val="0"/>
    <w:pPr>
      <w:adjustRightInd w:val="0"/>
      <w:spacing w:line="360" w:lineRule="atLeast"/>
      <w:jc w:val="left"/>
      <w:textAlignment w:val="baseline"/>
    </w:pPr>
    <w:rPr>
      <w:rFonts w:ascii="宋体"/>
      <w:kern w:val="0"/>
      <w:sz w:val="24"/>
      <w:szCs w:val="20"/>
    </w:rPr>
  </w:style>
  <w:style w:type="paragraph" w:customStyle="1" w:styleId="112">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列出段落1"/>
    <w:basedOn w:val="1"/>
    <w:next w:val="1"/>
    <w:qFormat/>
    <w:uiPriority w:val="34"/>
    <w:pPr>
      <w:ind w:firstLine="420" w:firstLineChars="200"/>
    </w:pPr>
    <w:rPr>
      <w:rFonts w:ascii="Calibri" w:hAnsi="Calibri"/>
    </w:rPr>
  </w:style>
  <w:style w:type="paragraph" w:customStyle="1" w:styleId="114">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15">
    <w:name w:val="bjh-p"/>
    <w:qFormat/>
    <w:uiPriority w:val="0"/>
  </w:style>
  <w:style w:type="character" w:customStyle="1" w:styleId="116">
    <w:name w:val="4 dash Char"/>
    <w:qFormat/>
    <w:locked/>
    <w:uiPriority w:val="0"/>
    <w:rPr>
      <w:rFonts w:ascii="Arial" w:hAnsi="Arial" w:eastAsia="黑体"/>
      <w:b/>
      <w:bCs/>
      <w:kern w:val="2"/>
      <w:sz w:val="28"/>
      <w:szCs w:val="28"/>
      <w:lang w:val="en-US" w:eastAsia="zh-CN" w:bidi="ar-SA"/>
    </w:rPr>
  </w:style>
  <w:style w:type="character" w:customStyle="1" w:styleId="117">
    <w:name w:val="wz1"/>
    <w:qFormat/>
    <w:uiPriority w:val="0"/>
    <w:rPr>
      <w:rFonts w:hint="eastAsia" w:ascii="宋体" w:hAnsi="宋体" w:eastAsia="宋体"/>
      <w:color w:val="000000"/>
      <w:sz w:val="18"/>
      <w:szCs w:val="18"/>
      <w:u w:val="none"/>
    </w:rPr>
  </w:style>
  <w:style w:type="character" w:customStyle="1" w:styleId="118">
    <w:name w:val="article_f14"/>
    <w:qFormat/>
    <w:uiPriority w:val="0"/>
  </w:style>
  <w:style w:type="character" w:customStyle="1" w:styleId="119">
    <w:name w:val="Position en Zchn Zchn"/>
    <w:link w:val="120"/>
    <w:qFormat/>
    <w:uiPriority w:val="0"/>
    <w:rPr>
      <w:rFonts w:ascii="Verdana" w:hAnsi="Verdana" w:eastAsia="Times New Roman"/>
      <w:b/>
      <w:lang w:val="de-DE" w:eastAsia="de-DE"/>
    </w:rPr>
  </w:style>
  <w:style w:type="paragraph" w:customStyle="1" w:styleId="120">
    <w:name w:val="Position en"/>
    <w:link w:val="119"/>
    <w:qFormat/>
    <w:uiPriority w:val="0"/>
    <w:pPr>
      <w:tabs>
        <w:tab w:val="left" w:pos="360"/>
      </w:tabs>
      <w:spacing w:line="240" w:lineRule="atLeast"/>
      <w:ind w:hanging="360"/>
    </w:pPr>
    <w:rPr>
      <w:rFonts w:ascii="Verdana" w:hAnsi="Verdana" w:eastAsia="Times New Roman" w:cstheme="minorBidi"/>
      <w:b/>
      <w:kern w:val="2"/>
      <w:sz w:val="21"/>
      <w:szCs w:val="22"/>
      <w:lang w:val="de-DE" w:eastAsia="de-DE" w:bidi="ar-SA"/>
    </w:rPr>
  </w:style>
  <w:style w:type="character" w:customStyle="1" w:styleId="121">
    <w:name w:val="style1"/>
    <w:qFormat/>
    <w:uiPriority w:val="0"/>
  </w:style>
  <w:style w:type="character" w:customStyle="1" w:styleId="122">
    <w:name w:val="正文文本缩进 Char1"/>
    <w:semiHidden/>
    <w:qFormat/>
    <w:uiPriority w:val="99"/>
  </w:style>
  <w:style w:type="character" w:customStyle="1" w:styleId="123">
    <w:name w:val="批注引用5"/>
    <w:qFormat/>
    <w:uiPriority w:val="0"/>
    <w:rPr>
      <w:sz w:val="21"/>
      <w:szCs w:val="21"/>
    </w:rPr>
  </w:style>
  <w:style w:type="character" w:customStyle="1" w:styleId="124">
    <w:name w:val="明显引用 字符"/>
    <w:link w:val="125"/>
    <w:qFormat/>
    <w:uiPriority w:val="30"/>
    <w:rPr>
      <w:rFonts w:eastAsia="宋体"/>
      <w:b/>
      <w:bCs/>
      <w:i/>
      <w:iCs/>
      <w:color w:val="4F81BD"/>
      <w:sz w:val="24"/>
      <w:szCs w:val="21"/>
    </w:rPr>
  </w:style>
  <w:style w:type="paragraph" w:styleId="125">
    <w:name w:val="Intense Quote"/>
    <w:basedOn w:val="1"/>
    <w:next w:val="1"/>
    <w:link w:val="124"/>
    <w:qFormat/>
    <w:uiPriority w:val="30"/>
    <w:pPr>
      <w:pBdr>
        <w:bottom w:val="single" w:color="4F81BD" w:sz="4" w:space="4"/>
      </w:pBdr>
      <w:spacing w:before="200" w:after="280"/>
      <w:ind w:left="936" w:right="936"/>
    </w:pPr>
    <w:rPr>
      <w:rFonts w:asciiTheme="minorHAnsi" w:hAnsiTheme="minorHAnsi" w:cstheme="minorBidi"/>
      <w:b/>
      <w:bCs/>
      <w:i/>
      <w:iCs/>
      <w:color w:val="4F81BD"/>
      <w:sz w:val="24"/>
    </w:rPr>
  </w:style>
  <w:style w:type="character" w:customStyle="1" w:styleId="126">
    <w:name w:val="明显引用 Char1"/>
    <w:basedOn w:val="56"/>
    <w:qFormat/>
    <w:uiPriority w:val="30"/>
    <w:rPr>
      <w:rFonts w:ascii="Times New Roman" w:hAnsi="Times New Roman" w:eastAsia="宋体" w:cs="Times New Roman"/>
      <w:b/>
      <w:bCs/>
      <w:i/>
      <w:iCs/>
      <w:color w:val="4F81BD" w:themeColor="accent1"/>
      <w:szCs w:val="21"/>
      <w14:textFill>
        <w14:solidFill>
          <w14:schemeClr w14:val="accent1"/>
        </w14:solidFill>
      </w14:textFill>
    </w:rPr>
  </w:style>
  <w:style w:type="character" w:customStyle="1" w:styleId="127">
    <w:name w:val="批注框文本 Char2"/>
    <w:semiHidden/>
    <w:qFormat/>
    <w:uiPriority w:val="99"/>
    <w:rPr>
      <w:kern w:val="2"/>
      <w:sz w:val="18"/>
      <w:szCs w:val="18"/>
    </w:rPr>
  </w:style>
  <w:style w:type="character" w:customStyle="1" w:styleId="128">
    <w:name w:val="themebody1"/>
    <w:qFormat/>
    <w:uiPriority w:val="0"/>
    <w:rPr>
      <w:color w:val="FFFFFF"/>
    </w:rPr>
  </w:style>
  <w:style w:type="character" w:customStyle="1" w:styleId="129">
    <w:name w:val="style2"/>
    <w:qFormat/>
    <w:uiPriority w:val="0"/>
  </w:style>
  <w:style w:type="character" w:customStyle="1" w:styleId="130">
    <w:name w:val="Char Char15"/>
    <w:qFormat/>
    <w:uiPriority w:val="0"/>
    <w:rPr>
      <w:rFonts w:ascii="Arial" w:hAnsi="Arial" w:eastAsia="黑体"/>
      <w:b/>
      <w:kern w:val="2"/>
      <w:sz w:val="32"/>
      <w:szCs w:val="24"/>
      <w:lang w:val="en-US" w:eastAsia="zh-CN" w:bidi="ar-SA"/>
    </w:rPr>
  </w:style>
  <w:style w:type="character" w:customStyle="1" w:styleId="131">
    <w:name w:val="D3 Char Char"/>
    <w:link w:val="132"/>
    <w:qFormat/>
    <w:uiPriority w:val="0"/>
    <w:rPr>
      <w:rFonts w:ascii="EU-F1" w:eastAsia="黑体"/>
      <w:kern w:val="21"/>
      <w:szCs w:val="21"/>
    </w:rPr>
  </w:style>
  <w:style w:type="paragraph" w:customStyle="1" w:styleId="132">
    <w:name w:val="D3"/>
    <w:basedOn w:val="1"/>
    <w:link w:val="131"/>
    <w:qFormat/>
    <w:uiPriority w:val="0"/>
    <w:pPr>
      <w:spacing w:line="312" w:lineRule="exact"/>
    </w:pPr>
    <w:rPr>
      <w:rFonts w:ascii="EU-F1" w:eastAsia="黑体" w:hAnsiTheme="minorHAnsi" w:cstheme="minorBidi"/>
      <w:kern w:val="21"/>
    </w:rPr>
  </w:style>
  <w:style w:type="character" w:customStyle="1" w:styleId="133">
    <w:name w:val="hover17"/>
    <w:qFormat/>
    <w:uiPriority w:val="0"/>
  </w:style>
  <w:style w:type="character" w:customStyle="1" w:styleId="134">
    <w:name w:val="文档结构图 Char2"/>
    <w:semiHidden/>
    <w:qFormat/>
    <w:uiPriority w:val="99"/>
    <w:rPr>
      <w:rFonts w:ascii="宋体"/>
      <w:kern w:val="2"/>
      <w:sz w:val="18"/>
      <w:szCs w:val="18"/>
    </w:rPr>
  </w:style>
  <w:style w:type="character" w:customStyle="1" w:styleId="135">
    <w:name w:val="Subtle Emphasis"/>
    <w:qFormat/>
    <w:uiPriority w:val="0"/>
    <w:rPr>
      <w:i/>
      <w:iCs/>
      <w:color w:val="808080"/>
    </w:rPr>
  </w:style>
  <w:style w:type="character" w:customStyle="1" w:styleId="136">
    <w:name w:val="Char Char9"/>
    <w:qFormat/>
    <w:uiPriority w:val="0"/>
    <w:rPr>
      <w:rFonts w:ascii="楷体_GB2312" w:eastAsia="楷体_GB2312"/>
      <w:sz w:val="28"/>
      <w:lang w:val="en-US" w:eastAsia="zh-CN" w:bidi="ar-SA"/>
    </w:rPr>
  </w:style>
  <w:style w:type="character" w:customStyle="1" w:styleId="137">
    <w:name w:val="标题 1 1 Char2"/>
    <w:qFormat/>
    <w:uiPriority w:val="0"/>
    <w:rPr>
      <w:rFonts w:cs="Times New Roman"/>
      <w:b/>
      <w:bCs/>
      <w:kern w:val="44"/>
      <w:sz w:val="44"/>
      <w:szCs w:val="44"/>
    </w:rPr>
  </w:style>
  <w:style w:type="character" w:customStyle="1" w:styleId="138">
    <w:name w:val="first-child"/>
    <w:qFormat/>
    <w:uiPriority w:val="0"/>
    <w:rPr>
      <w:color w:val="1F3149"/>
      <w:sz w:val="24"/>
      <w:szCs w:val="24"/>
    </w:rPr>
  </w:style>
  <w:style w:type="character" w:customStyle="1" w:styleId="139">
    <w:name w:val="Heading 9 Char"/>
    <w:semiHidden/>
    <w:qFormat/>
    <w:uiPriority w:val="9"/>
    <w:rPr>
      <w:rFonts w:ascii="Cambria" w:hAnsi="Cambria" w:eastAsia="宋体" w:cs="Times New Roman"/>
      <w:kern w:val="2"/>
      <w:sz w:val="21"/>
      <w:szCs w:val="21"/>
    </w:rPr>
  </w:style>
  <w:style w:type="character" w:customStyle="1" w:styleId="140">
    <w:name w:val="(use for appendix) Char2"/>
    <w:qFormat/>
    <w:uiPriority w:val="0"/>
    <w:rPr>
      <w:rFonts w:cs="Times New Roman"/>
      <w:b/>
      <w:bCs/>
      <w:kern w:val="24"/>
      <w:sz w:val="24"/>
      <w:szCs w:val="24"/>
    </w:rPr>
  </w:style>
  <w:style w:type="character" w:customStyle="1" w:styleId="141">
    <w:name w:val="biaoti331"/>
    <w:qFormat/>
    <w:uiPriority w:val="0"/>
    <w:rPr>
      <w:rFonts w:cs="Times New Roman"/>
      <w:b/>
      <w:bCs/>
      <w:color w:val="000000"/>
      <w:sz w:val="24"/>
      <w:szCs w:val="24"/>
      <w:u w:val="none"/>
    </w:rPr>
  </w:style>
  <w:style w:type="character" w:customStyle="1" w:styleId="142">
    <w:name w:val="段落 Char Char"/>
    <w:qFormat/>
    <w:uiPriority w:val="0"/>
    <w:rPr>
      <w:rFonts w:ascii="宋体" w:eastAsia="宋体" w:cs="Times New Roman"/>
      <w:kern w:val="2"/>
      <w:sz w:val="28"/>
    </w:rPr>
  </w:style>
  <w:style w:type="character" w:customStyle="1" w:styleId="143">
    <w:name w:val="icon_ds"/>
    <w:qFormat/>
    <w:uiPriority w:val="0"/>
  </w:style>
  <w:style w:type="character" w:customStyle="1" w:styleId="144">
    <w:name w:val="Char Char5"/>
    <w:qFormat/>
    <w:locked/>
    <w:uiPriority w:val="0"/>
    <w:rPr>
      <w:rFonts w:ascii="宋体" w:hAnsi="宋体" w:eastAsia="宋体" w:cs="Times New Roman"/>
      <w:kern w:val="2"/>
      <w:sz w:val="16"/>
      <w:szCs w:val="16"/>
      <w:lang w:val="en-US" w:eastAsia="zh-CN" w:bidi="ar-SA"/>
    </w:rPr>
  </w:style>
  <w:style w:type="character" w:customStyle="1" w:styleId="145">
    <w:name w:val="font151"/>
    <w:qFormat/>
    <w:uiPriority w:val="0"/>
    <w:rPr>
      <w:rFonts w:hint="default" w:ascii="Wingdings 2" w:hAnsi="Wingdings 2" w:eastAsia="Wingdings 2" w:cs="Wingdings 2"/>
      <w:color w:val="000000"/>
      <w:sz w:val="20"/>
      <w:szCs w:val="20"/>
      <w:u w:val="none"/>
    </w:rPr>
  </w:style>
  <w:style w:type="character" w:customStyle="1" w:styleId="146">
    <w:name w:val="icon_ds1"/>
    <w:qFormat/>
    <w:uiPriority w:val="0"/>
    <w:rPr>
      <w:sz w:val="21"/>
      <w:szCs w:val="21"/>
    </w:rPr>
  </w:style>
  <w:style w:type="character" w:customStyle="1" w:styleId="147">
    <w:name w:val="unnamed11"/>
    <w:qFormat/>
    <w:uiPriority w:val="0"/>
    <w:rPr>
      <w:color w:val="000000"/>
      <w:sz w:val="20"/>
      <w:szCs w:val="20"/>
    </w:rPr>
  </w:style>
  <w:style w:type="character" w:customStyle="1" w:styleId="148">
    <w:name w:val="Aufzählung Ebene 1 Zchn"/>
    <w:link w:val="149"/>
    <w:qFormat/>
    <w:uiPriority w:val="0"/>
    <w:rPr>
      <w:rFonts w:ascii="Verdana" w:hAnsi="Verdana" w:eastAsia="Times New Roman"/>
      <w:szCs w:val="24"/>
      <w:lang w:val="de-DE" w:eastAsia="de-DE"/>
    </w:rPr>
  </w:style>
  <w:style w:type="paragraph" w:customStyle="1" w:styleId="149">
    <w:name w:val="Aufzählung Ebene 1"/>
    <w:link w:val="148"/>
    <w:qFormat/>
    <w:uiPriority w:val="0"/>
    <w:pPr>
      <w:tabs>
        <w:tab w:val="left" w:pos="360"/>
      </w:tabs>
      <w:spacing w:after="20"/>
      <w:ind w:left="284" w:hanging="360"/>
    </w:pPr>
    <w:rPr>
      <w:rFonts w:ascii="Verdana" w:hAnsi="Verdana" w:eastAsia="Times New Roman" w:cstheme="minorBidi"/>
      <w:kern w:val="2"/>
      <w:sz w:val="21"/>
      <w:szCs w:val="24"/>
      <w:lang w:val="de-DE" w:eastAsia="de-DE" w:bidi="ar-SA"/>
    </w:rPr>
  </w:style>
  <w:style w:type="character" w:customStyle="1" w:styleId="150">
    <w:name w:val="表格 Char"/>
    <w:qFormat/>
    <w:uiPriority w:val="0"/>
    <w:rPr>
      <w:rFonts w:ascii="宋体" w:hAnsi="Courier New"/>
      <w:kern w:val="2"/>
      <w:sz w:val="21"/>
    </w:rPr>
  </w:style>
  <w:style w:type="character" w:customStyle="1" w:styleId="151">
    <w:name w:val="样式 降低量 1 磅"/>
    <w:qFormat/>
    <w:uiPriority w:val="0"/>
    <w:rPr>
      <w:rFonts w:cs="Times New Roman"/>
      <w:kern w:val="0"/>
      <w:position w:val="0"/>
    </w:rPr>
  </w:style>
  <w:style w:type="character" w:customStyle="1" w:styleId="152">
    <w:name w:val="样式 样式 Char1 + 首行缩进:  2 字符1 + 首行缩进:  2 字符 Char Char"/>
    <w:link w:val="153"/>
    <w:qFormat/>
    <w:locked/>
    <w:uiPriority w:val="0"/>
    <w:rPr>
      <w:rFonts w:ascii="宋体"/>
      <w:sz w:val="24"/>
    </w:rPr>
  </w:style>
  <w:style w:type="paragraph" w:customStyle="1" w:styleId="153">
    <w:name w:val="样式 样式 Char1 + 首行缩进:  2 字符1 + 首行缩进:  2 字符"/>
    <w:basedOn w:val="1"/>
    <w:link w:val="152"/>
    <w:qFormat/>
    <w:uiPriority w:val="0"/>
    <w:pPr>
      <w:keepNext/>
      <w:spacing w:line="312" w:lineRule="auto"/>
      <w:ind w:firstLine="480" w:firstLineChars="200"/>
    </w:pPr>
    <w:rPr>
      <w:rFonts w:ascii="宋体" w:hAnsiTheme="minorHAnsi" w:eastAsiaTheme="minorEastAsia" w:cstheme="minorBidi"/>
      <w:sz w:val="24"/>
      <w:szCs w:val="22"/>
    </w:rPr>
  </w:style>
  <w:style w:type="character" w:customStyle="1" w:styleId="154">
    <w:name w:val="批注主题 Char2"/>
    <w:semiHidden/>
    <w:qFormat/>
    <w:uiPriority w:val="99"/>
    <w:rPr>
      <w:b/>
      <w:bCs/>
      <w:kern w:val="2"/>
      <w:sz w:val="21"/>
      <w:szCs w:val="24"/>
    </w:rPr>
  </w:style>
  <w:style w:type="character" w:customStyle="1" w:styleId="155">
    <w:name w:val="font21"/>
    <w:qFormat/>
    <w:uiPriority w:val="0"/>
    <w:rPr>
      <w:rFonts w:hint="eastAsia" w:ascii="宋体" w:hAnsi="宋体" w:eastAsia="宋体" w:cs="宋体"/>
      <w:color w:val="000000"/>
      <w:sz w:val="20"/>
      <w:szCs w:val="20"/>
      <w:u w:val="none"/>
    </w:rPr>
  </w:style>
  <w:style w:type="character" w:customStyle="1" w:styleId="156">
    <w:name w:val="first-child2"/>
    <w:qFormat/>
    <w:uiPriority w:val="0"/>
    <w:rPr>
      <w:color w:val="1F3149"/>
      <w:sz w:val="24"/>
      <w:szCs w:val="24"/>
    </w:rPr>
  </w:style>
  <w:style w:type="character" w:customStyle="1" w:styleId="157">
    <w:name w:val="blue1"/>
    <w:qFormat/>
    <w:uiPriority w:val="0"/>
  </w:style>
  <w:style w:type="character" w:customStyle="1" w:styleId="158">
    <w:name w:val="apple-style-span"/>
    <w:qFormat/>
    <w:uiPriority w:val="0"/>
  </w:style>
  <w:style w:type="character" w:customStyle="1" w:styleId="159">
    <w:name w:val="Char Char6"/>
    <w:qFormat/>
    <w:uiPriority w:val="0"/>
    <w:rPr>
      <w:rFonts w:ascii="Arial" w:hAnsi="Arial" w:eastAsia="黑体"/>
      <w:b/>
      <w:bCs/>
      <w:kern w:val="2"/>
      <w:sz w:val="32"/>
      <w:szCs w:val="32"/>
      <w:lang w:val="en-US" w:eastAsia="zh-CN" w:bidi="ar-SA"/>
    </w:rPr>
  </w:style>
  <w:style w:type="character" w:customStyle="1" w:styleId="160">
    <w:name w:val="引用 字符"/>
    <w:link w:val="161"/>
    <w:qFormat/>
    <w:uiPriority w:val="29"/>
    <w:rPr>
      <w:rFonts w:eastAsia="宋体"/>
      <w:i/>
      <w:iCs/>
      <w:color w:val="000000"/>
      <w:sz w:val="24"/>
      <w:szCs w:val="21"/>
    </w:rPr>
  </w:style>
  <w:style w:type="paragraph" w:styleId="161">
    <w:name w:val="Quote"/>
    <w:basedOn w:val="1"/>
    <w:next w:val="1"/>
    <w:link w:val="160"/>
    <w:qFormat/>
    <w:uiPriority w:val="29"/>
    <w:pPr>
      <w:spacing w:before="120" w:after="120"/>
    </w:pPr>
    <w:rPr>
      <w:rFonts w:asciiTheme="minorHAnsi" w:hAnsiTheme="minorHAnsi" w:cstheme="minorBidi"/>
      <w:i/>
      <w:iCs/>
      <w:color w:val="000000"/>
      <w:sz w:val="24"/>
    </w:rPr>
  </w:style>
  <w:style w:type="character" w:customStyle="1" w:styleId="162">
    <w:name w:val="引用 Char1"/>
    <w:basedOn w:val="56"/>
    <w:qFormat/>
    <w:uiPriority w:val="29"/>
    <w:rPr>
      <w:rFonts w:ascii="Times New Roman" w:hAnsi="Times New Roman" w:eastAsia="宋体" w:cs="Times New Roman"/>
      <w:i/>
      <w:iCs/>
      <w:color w:val="000000" w:themeColor="text1"/>
      <w:szCs w:val="21"/>
      <w14:textFill>
        <w14:solidFill>
          <w14:schemeClr w14:val="tx1"/>
        </w14:solidFill>
      </w14:textFill>
    </w:rPr>
  </w:style>
  <w:style w:type="character" w:customStyle="1" w:styleId="163">
    <w:name w:val="font101"/>
    <w:qFormat/>
    <w:uiPriority w:val="0"/>
    <w:rPr>
      <w:rFonts w:hint="default" w:ascii="Wingdings 2" w:hAnsi="Wingdings 2" w:eastAsia="Wingdings 2" w:cs="Wingdings 2"/>
      <w:color w:val="000000"/>
      <w:sz w:val="20"/>
      <w:szCs w:val="20"/>
      <w:u w:val="none"/>
    </w:rPr>
  </w:style>
  <w:style w:type="character" w:customStyle="1" w:styleId="164">
    <w:name w:val="Char Char21"/>
    <w:qFormat/>
    <w:uiPriority w:val="0"/>
    <w:rPr>
      <w:rFonts w:eastAsia="楷体_GB2312"/>
      <w:b/>
      <w:kern w:val="44"/>
      <w:sz w:val="44"/>
      <w:lang w:val="en-US" w:eastAsia="zh-CN" w:bidi="ar-SA"/>
    </w:rPr>
  </w:style>
  <w:style w:type="character" w:customStyle="1" w:styleId="165">
    <w:name w:val="Char Char18"/>
    <w:qFormat/>
    <w:uiPriority w:val="0"/>
    <w:rPr>
      <w:rFonts w:eastAsia="宋体"/>
      <w:kern w:val="2"/>
      <w:sz w:val="32"/>
      <w:lang w:val="en-US" w:eastAsia="zh-CN" w:bidi="ar-SA"/>
    </w:rPr>
  </w:style>
  <w:style w:type="character" w:customStyle="1" w:styleId="166">
    <w:name w:val="EHPT Char"/>
    <w:qFormat/>
    <w:uiPriority w:val="0"/>
    <w:rPr>
      <w:rFonts w:eastAsia="宋体"/>
      <w:kern w:val="2"/>
      <w:sz w:val="21"/>
      <w:lang w:val="en-US" w:eastAsia="zh-CN" w:bidi="ar-SA"/>
    </w:rPr>
  </w:style>
  <w:style w:type="character" w:customStyle="1" w:styleId="167">
    <w:name w:val="Intense Emphasis"/>
    <w:qFormat/>
    <w:uiPriority w:val="0"/>
    <w:rPr>
      <w:b/>
      <w:bCs/>
      <w:i/>
      <w:iCs/>
      <w:color w:val="4F81BD"/>
    </w:rPr>
  </w:style>
  <w:style w:type="character" w:customStyle="1" w:styleId="168">
    <w:name w:val="style291"/>
    <w:qFormat/>
    <w:uiPriority w:val="0"/>
    <w:rPr>
      <w:rFonts w:cs="Times New Roman"/>
      <w:sz w:val="21"/>
      <w:szCs w:val="21"/>
    </w:rPr>
  </w:style>
  <w:style w:type="character" w:customStyle="1" w:styleId="169">
    <w:name w:val="标题 Char2"/>
    <w:qFormat/>
    <w:uiPriority w:val="10"/>
    <w:rPr>
      <w:rFonts w:ascii="Cambria" w:hAnsi="Cambria" w:eastAsia="宋体" w:cs="Times New Roman"/>
      <w:b/>
      <w:bCs/>
      <w:sz w:val="32"/>
      <w:szCs w:val="32"/>
    </w:rPr>
  </w:style>
  <w:style w:type="character" w:customStyle="1" w:styleId="170">
    <w:name w:val="15"/>
    <w:qFormat/>
    <w:uiPriority w:val="0"/>
    <w:rPr>
      <w:rFonts w:hint="default" w:ascii="Times New Roman" w:hAnsi="Times New Roman" w:cs="Times New Roman"/>
      <w:sz w:val="20"/>
      <w:szCs w:val="20"/>
    </w:rPr>
  </w:style>
  <w:style w:type="character" w:customStyle="1" w:styleId="171">
    <w:name w:val="Char Char2"/>
    <w:qFormat/>
    <w:locked/>
    <w:uiPriority w:val="0"/>
    <w:rPr>
      <w:rFonts w:ascii="宋体" w:hAnsi="宋体" w:eastAsia="宋体" w:cs="Times New Roman"/>
      <w:kern w:val="2"/>
      <w:sz w:val="24"/>
      <w:szCs w:val="24"/>
      <w:lang w:val="en-US" w:eastAsia="zh-CN" w:bidi="ar-SA"/>
    </w:rPr>
  </w:style>
  <w:style w:type="character" w:customStyle="1" w:styleId="172">
    <w:name w:val="正文文本 2 Char1"/>
    <w:semiHidden/>
    <w:qFormat/>
    <w:uiPriority w:val="99"/>
    <w:rPr>
      <w:kern w:val="2"/>
      <w:sz w:val="21"/>
      <w:szCs w:val="24"/>
    </w:rPr>
  </w:style>
  <w:style w:type="character" w:customStyle="1" w:styleId="173">
    <w:name w:val="文档正文 Char Char"/>
    <w:link w:val="174"/>
    <w:qFormat/>
    <w:uiPriority w:val="0"/>
    <w:rPr>
      <w:rFonts w:ascii="仿宋_GB2312" w:eastAsia="仿宋_GB2312"/>
      <w:sz w:val="28"/>
    </w:rPr>
  </w:style>
  <w:style w:type="paragraph" w:customStyle="1" w:styleId="174">
    <w:name w:val="文档正文"/>
    <w:basedOn w:val="1"/>
    <w:link w:val="173"/>
    <w:qFormat/>
    <w:uiPriority w:val="0"/>
    <w:pPr>
      <w:adjustRightInd w:val="0"/>
      <w:spacing w:line="480" w:lineRule="atLeast"/>
      <w:ind w:firstLine="567"/>
      <w:textAlignment w:val="baseline"/>
    </w:pPr>
    <w:rPr>
      <w:rFonts w:ascii="仿宋_GB2312" w:eastAsia="仿宋_GB2312" w:hAnsiTheme="minorHAnsi" w:cstheme="minorBidi"/>
      <w:sz w:val="28"/>
      <w:szCs w:val="22"/>
    </w:rPr>
  </w:style>
  <w:style w:type="character" w:customStyle="1" w:styleId="175">
    <w:name w:val="font161"/>
    <w:qFormat/>
    <w:uiPriority w:val="0"/>
    <w:rPr>
      <w:b/>
      <w:bCs/>
      <w:sz w:val="32"/>
      <w:szCs w:val="32"/>
    </w:rPr>
  </w:style>
  <w:style w:type="character" w:customStyle="1" w:styleId="176">
    <w:name w:val="p2"/>
    <w:qFormat/>
    <w:uiPriority w:val="0"/>
  </w:style>
  <w:style w:type="character" w:customStyle="1" w:styleId="177">
    <w:name w:val="标题 Char1"/>
    <w:qFormat/>
    <w:uiPriority w:val="10"/>
    <w:rPr>
      <w:rFonts w:ascii="Cambria" w:hAnsi="Cambria" w:cs="Times New Roman"/>
      <w:b/>
      <w:bCs/>
      <w:kern w:val="2"/>
      <w:sz w:val="32"/>
      <w:szCs w:val="32"/>
    </w:rPr>
  </w:style>
  <w:style w:type="character" w:customStyle="1" w:styleId="178">
    <w:name w:val="font181"/>
    <w:qFormat/>
    <w:uiPriority w:val="0"/>
    <w:rPr>
      <w:rFonts w:hint="eastAsia" w:ascii="宋体" w:hAnsi="宋体" w:eastAsia="宋体" w:cs="宋体"/>
      <w:color w:val="000000"/>
      <w:sz w:val="20"/>
      <w:szCs w:val="20"/>
      <w:u w:val="none"/>
    </w:rPr>
  </w:style>
  <w:style w:type="character" w:customStyle="1" w:styleId="179">
    <w:name w:val="style91"/>
    <w:qFormat/>
    <w:uiPriority w:val="0"/>
    <w:rPr>
      <w:sz w:val="18"/>
    </w:rPr>
  </w:style>
  <w:style w:type="character" w:customStyle="1" w:styleId="180">
    <w:name w:val="hover"/>
    <w:qFormat/>
    <w:uiPriority w:val="0"/>
  </w:style>
  <w:style w:type="character" w:customStyle="1" w:styleId="181">
    <w:name w:val="Char Char19"/>
    <w:qFormat/>
    <w:uiPriority w:val="0"/>
    <w:rPr>
      <w:rFonts w:eastAsia="宋体"/>
      <w:b/>
      <w:kern w:val="2"/>
      <w:sz w:val="32"/>
      <w:lang w:val="en-US" w:eastAsia="zh-CN" w:bidi="ar-SA"/>
    </w:rPr>
  </w:style>
  <w:style w:type="character" w:customStyle="1" w:styleId="182">
    <w:name w:val="gray6"/>
    <w:qFormat/>
    <w:uiPriority w:val="0"/>
  </w:style>
  <w:style w:type="character" w:customStyle="1" w:styleId="183">
    <w:name w:val="title_emph1"/>
    <w:qFormat/>
    <w:uiPriority w:val="0"/>
    <w:rPr>
      <w:rFonts w:hint="default" w:ascii="Arial" w:hAnsi="Arial" w:cs="Arial"/>
      <w:b/>
      <w:bCs/>
      <w:sz w:val="18"/>
      <w:szCs w:val="18"/>
    </w:rPr>
  </w:style>
  <w:style w:type="character" w:customStyle="1" w:styleId="184">
    <w:name w:val="List Number Char"/>
    <w:qFormat/>
    <w:uiPriority w:val="0"/>
    <w:rPr>
      <w:rFonts w:eastAsia="宋体"/>
      <w:b/>
      <w:bCs/>
      <w:kern w:val="2"/>
      <w:sz w:val="32"/>
      <w:szCs w:val="32"/>
      <w:lang w:bidi="ar-SA"/>
    </w:rPr>
  </w:style>
  <w:style w:type="character" w:customStyle="1" w:styleId="185">
    <w:name w:val="font131"/>
    <w:qFormat/>
    <w:uiPriority w:val="0"/>
    <w:rPr>
      <w:rFonts w:ascii="Arial" w:hAnsi="Arial" w:cs="Arial"/>
      <w:color w:val="000000"/>
      <w:sz w:val="20"/>
      <w:szCs w:val="20"/>
      <w:u w:val="none"/>
    </w:rPr>
  </w:style>
  <w:style w:type="character" w:customStyle="1" w:styleId="186">
    <w:name w:val="正文文本缩进 3 Char1"/>
    <w:semiHidden/>
    <w:qFormat/>
    <w:uiPriority w:val="99"/>
    <w:rPr>
      <w:kern w:val="2"/>
      <w:sz w:val="16"/>
      <w:szCs w:val="16"/>
    </w:rPr>
  </w:style>
  <w:style w:type="character" w:customStyle="1" w:styleId="187">
    <w:name w:val="批注引用3"/>
    <w:qFormat/>
    <w:uiPriority w:val="0"/>
    <w:rPr>
      <w:rFonts w:cs="Times New Roman"/>
      <w:sz w:val="21"/>
      <w:szCs w:val="21"/>
    </w:rPr>
  </w:style>
  <w:style w:type="character" w:customStyle="1" w:styleId="188">
    <w:name w:val="F1 Char Char"/>
    <w:link w:val="189"/>
    <w:qFormat/>
    <w:uiPriority w:val="0"/>
    <w:rPr>
      <w:rFonts w:ascii="EU-F1" w:eastAsia="黑体"/>
      <w:szCs w:val="21"/>
    </w:rPr>
  </w:style>
  <w:style w:type="paragraph" w:customStyle="1" w:styleId="189">
    <w:name w:val="F1"/>
    <w:basedOn w:val="1"/>
    <w:link w:val="188"/>
    <w:qFormat/>
    <w:uiPriority w:val="0"/>
    <w:pPr>
      <w:topLinePunct/>
      <w:spacing w:line="312" w:lineRule="exact"/>
    </w:pPr>
    <w:rPr>
      <w:rFonts w:ascii="EU-F1" w:eastAsia="黑体" w:hAnsiTheme="minorHAnsi" w:cstheme="minorBidi"/>
    </w:rPr>
  </w:style>
  <w:style w:type="character" w:customStyle="1" w:styleId="190">
    <w:name w:val="font11"/>
    <w:qFormat/>
    <w:uiPriority w:val="0"/>
    <w:rPr>
      <w:rFonts w:hint="eastAsia" w:ascii="宋体" w:hAnsi="宋体" w:eastAsia="宋体" w:cs="宋体"/>
      <w:color w:val="000000"/>
      <w:sz w:val="20"/>
      <w:szCs w:val="20"/>
    </w:rPr>
  </w:style>
  <w:style w:type="character" w:customStyle="1" w:styleId="191">
    <w:name w:val="Char Char16"/>
    <w:qFormat/>
    <w:uiPriority w:val="0"/>
    <w:rPr>
      <w:rFonts w:eastAsia="楷体_GB2312"/>
      <w:b/>
      <w:kern w:val="44"/>
      <w:sz w:val="44"/>
      <w:szCs w:val="24"/>
      <w:lang w:val="en-US" w:eastAsia="zh-CN" w:bidi="ar-SA"/>
    </w:rPr>
  </w:style>
  <w:style w:type="character" w:customStyle="1" w:styleId="192">
    <w:name w:val="(use for tables) Char2"/>
    <w:qFormat/>
    <w:uiPriority w:val="0"/>
    <w:rPr>
      <w:rFonts w:ascii="Arial" w:hAnsi="Arial" w:eastAsia="黑体" w:cs="Times New Roman"/>
      <w:kern w:val="24"/>
      <w:sz w:val="21"/>
      <w:szCs w:val="21"/>
    </w:rPr>
  </w:style>
  <w:style w:type="character" w:customStyle="1" w:styleId="193">
    <w:name w:val="px14"/>
    <w:qFormat/>
    <w:uiPriority w:val="0"/>
  </w:style>
  <w:style w:type="character" w:customStyle="1" w:styleId="194">
    <w:name w:val="Char Char7"/>
    <w:qFormat/>
    <w:locked/>
    <w:uiPriority w:val="0"/>
    <w:rPr>
      <w:rFonts w:ascii="仿宋_GB2312" w:eastAsia="仿宋_GB2312" w:cs="Times New Roman"/>
      <w:color w:val="000000"/>
      <w:sz w:val="24"/>
      <w:lang w:val="en-US" w:eastAsia="zh-CN" w:bidi="ar-SA"/>
    </w:rPr>
  </w:style>
  <w:style w:type="character" w:customStyle="1" w:styleId="195">
    <w:name w:val="列表编号3 Char Char"/>
    <w:semiHidden/>
    <w:qFormat/>
    <w:uiPriority w:val="0"/>
    <w:rPr>
      <w:rFonts w:eastAsia="宋体"/>
      <w:b/>
      <w:bCs/>
      <w:kern w:val="2"/>
      <w:sz w:val="32"/>
      <w:szCs w:val="32"/>
      <w:lang w:val="en-US" w:eastAsia="zh-CN" w:bidi="ar-SA"/>
    </w:rPr>
  </w:style>
  <w:style w:type="character" w:customStyle="1" w:styleId="196">
    <w:name w:val="Char Char14"/>
    <w:qFormat/>
    <w:uiPriority w:val="0"/>
    <w:rPr>
      <w:rFonts w:ascii="Verdana" w:hAnsi="Verdana" w:eastAsia="宋体"/>
      <w:b/>
      <w:bCs/>
      <w:color w:val="000000"/>
      <w:kern w:val="2"/>
      <w:sz w:val="27"/>
      <w:szCs w:val="27"/>
      <w:lang w:val="en-US" w:eastAsia="zh-CN" w:bidi="ar-SA"/>
    </w:rPr>
  </w:style>
  <w:style w:type="character" w:customStyle="1" w:styleId="197">
    <w:name w:val="正文文本 Char1"/>
    <w:qFormat/>
    <w:uiPriority w:val="0"/>
  </w:style>
  <w:style w:type="character" w:customStyle="1" w:styleId="198">
    <w:name w:val="Char Char13"/>
    <w:qFormat/>
    <w:locked/>
    <w:uiPriority w:val="0"/>
    <w:rPr>
      <w:rFonts w:ascii="宋体" w:hAnsi="宋体" w:eastAsia="宋体" w:cs="Times New Roman"/>
      <w:kern w:val="2"/>
      <w:sz w:val="18"/>
      <w:szCs w:val="18"/>
      <w:lang w:val="en-US" w:eastAsia="zh-CN" w:bidi="ar-SA"/>
    </w:rPr>
  </w:style>
  <w:style w:type="character" w:customStyle="1" w:styleId="199">
    <w:name w:val="批注文字 Char2"/>
    <w:semiHidden/>
    <w:qFormat/>
    <w:uiPriority w:val="99"/>
    <w:rPr>
      <w:kern w:val="2"/>
      <w:sz w:val="21"/>
      <w:szCs w:val="24"/>
    </w:rPr>
  </w:style>
  <w:style w:type="character" w:customStyle="1" w:styleId="200">
    <w:name w:val="文档结构图 Char1"/>
    <w:qFormat/>
    <w:uiPriority w:val="0"/>
    <w:rPr>
      <w:rFonts w:eastAsia="宋体" w:cs="Times New Roman"/>
      <w:kern w:val="2"/>
      <w:sz w:val="24"/>
      <w:szCs w:val="24"/>
      <w:lang w:val="en-US" w:eastAsia="zh-CN" w:bidi="ar-SA"/>
    </w:rPr>
  </w:style>
  <w:style w:type="character" w:customStyle="1" w:styleId="201">
    <w:name w:val="2 headline Char3"/>
    <w:qFormat/>
    <w:uiPriority w:val="0"/>
    <w:rPr>
      <w:rFonts w:ascii="Cambria" w:hAnsi="Cambria" w:eastAsia="宋体" w:cs="Times New Roman"/>
      <w:b/>
      <w:bCs/>
      <w:kern w:val="2"/>
      <w:sz w:val="32"/>
      <w:szCs w:val="32"/>
    </w:rPr>
  </w:style>
  <w:style w:type="character" w:customStyle="1" w:styleId="202">
    <w:name w:val="Char Char10"/>
    <w:qFormat/>
    <w:locked/>
    <w:uiPriority w:val="0"/>
    <w:rPr>
      <w:rFonts w:ascii="宋体" w:hAnsi="宋体" w:eastAsia="宋体" w:cs="Times New Roman"/>
      <w:kern w:val="2"/>
      <w:sz w:val="24"/>
      <w:szCs w:val="24"/>
      <w:lang w:val="en-US" w:eastAsia="zh-CN" w:bidi="ar-SA"/>
    </w:rPr>
  </w:style>
  <w:style w:type="character" w:customStyle="1" w:styleId="203">
    <w:name w:val="Heading 7 Char"/>
    <w:semiHidden/>
    <w:qFormat/>
    <w:uiPriority w:val="9"/>
    <w:rPr>
      <w:b/>
      <w:bCs/>
      <w:kern w:val="2"/>
      <w:sz w:val="24"/>
      <w:szCs w:val="24"/>
    </w:rPr>
  </w:style>
  <w:style w:type="character" w:customStyle="1" w:styleId="204">
    <w:name w:val="Char Char20"/>
    <w:qFormat/>
    <w:uiPriority w:val="0"/>
    <w:rPr>
      <w:rFonts w:ascii="Arial" w:hAnsi="Arial" w:eastAsia="黑体"/>
      <w:b/>
      <w:kern w:val="2"/>
      <w:sz w:val="32"/>
      <w:szCs w:val="24"/>
      <w:lang w:val="en-US" w:eastAsia="zh-CN" w:bidi="ar-SA"/>
    </w:rPr>
  </w:style>
  <w:style w:type="character" w:customStyle="1" w:styleId="205">
    <w:name w:val="first-child1"/>
    <w:qFormat/>
    <w:uiPriority w:val="0"/>
    <w:rPr>
      <w:color w:val="1F3149"/>
      <w:sz w:val="24"/>
      <w:szCs w:val="24"/>
    </w:rPr>
  </w:style>
  <w:style w:type="character" w:customStyle="1" w:styleId="206">
    <w:name w:val="Char Char17"/>
    <w:qFormat/>
    <w:uiPriority w:val="0"/>
    <w:rPr>
      <w:rFonts w:ascii="宋体" w:hAnsi="宋体" w:eastAsia="宋体"/>
      <w:b/>
      <w:bCs/>
      <w:kern w:val="2"/>
      <w:sz w:val="21"/>
      <w:szCs w:val="24"/>
      <w:lang w:val="en-US" w:eastAsia="zh-CN" w:bidi="ar-SA"/>
    </w:rPr>
  </w:style>
  <w:style w:type="character" w:customStyle="1" w:styleId="207">
    <w:name w:val="批注引用2"/>
    <w:qFormat/>
    <w:uiPriority w:val="0"/>
    <w:rPr>
      <w:rFonts w:cs="Times New Roman"/>
      <w:sz w:val="21"/>
      <w:szCs w:val="21"/>
    </w:rPr>
  </w:style>
  <w:style w:type="character" w:customStyle="1" w:styleId="208">
    <w:name w:val="xiadan"/>
    <w:qFormat/>
    <w:uiPriority w:val="0"/>
    <w:rPr>
      <w:shd w:val="clear" w:color="auto" w:fill="E4393C"/>
    </w:rPr>
  </w:style>
  <w:style w:type="character" w:customStyle="1" w:styleId="209">
    <w:name w:val="招标正文 Char Char"/>
    <w:link w:val="210"/>
    <w:qFormat/>
    <w:uiPriority w:val="0"/>
    <w:rPr>
      <w:rFonts w:ascii="宋体" w:hAnsi="宋体" w:eastAsia="宋体"/>
      <w:sz w:val="24"/>
      <w:szCs w:val="24"/>
    </w:rPr>
  </w:style>
  <w:style w:type="paragraph" w:customStyle="1" w:styleId="210">
    <w:name w:val="招标正文"/>
    <w:basedOn w:val="1"/>
    <w:link w:val="209"/>
    <w:qFormat/>
    <w:uiPriority w:val="0"/>
    <w:pPr>
      <w:spacing w:line="360" w:lineRule="auto"/>
      <w:ind w:firstLine="480" w:firstLineChars="200"/>
    </w:pPr>
    <w:rPr>
      <w:rFonts w:ascii="宋体" w:hAnsi="宋体" w:cstheme="minorBidi"/>
      <w:sz w:val="24"/>
      <w:szCs w:val="24"/>
    </w:rPr>
  </w:style>
  <w:style w:type="character" w:customStyle="1" w:styleId="211">
    <w:name w:val="正文文本 Char2"/>
    <w:semiHidden/>
    <w:qFormat/>
    <w:uiPriority w:val="99"/>
    <w:rPr>
      <w:kern w:val="2"/>
      <w:sz w:val="21"/>
      <w:szCs w:val="24"/>
    </w:rPr>
  </w:style>
  <w:style w:type="character" w:customStyle="1" w:styleId="212">
    <w:name w:val="Subtle Reference"/>
    <w:qFormat/>
    <w:uiPriority w:val="0"/>
    <w:rPr>
      <w:smallCaps/>
      <w:color w:val="C0504D"/>
      <w:u w:val="single"/>
    </w:rPr>
  </w:style>
  <w:style w:type="character" w:customStyle="1" w:styleId="213">
    <w:name w:val="日期 Char1"/>
    <w:qFormat/>
    <w:uiPriority w:val="0"/>
  </w:style>
  <w:style w:type="character" w:customStyle="1" w:styleId="214">
    <w:name w:val="título 3 Char"/>
    <w:qFormat/>
    <w:uiPriority w:val="0"/>
    <w:rPr>
      <w:rFonts w:cs="Times New Roman"/>
      <w:b/>
      <w:bCs/>
      <w:kern w:val="2"/>
      <w:sz w:val="32"/>
      <w:szCs w:val="32"/>
    </w:rPr>
  </w:style>
  <w:style w:type="character" w:customStyle="1" w:styleId="215">
    <w:name w:val="批注引用4"/>
    <w:qFormat/>
    <w:uiPriority w:val="0"/>
    <w:rPr>
      <w:rFonts w:cs="Times New Roman"/>
      <w:sz w:val="21"/>
      <w:szCs w:val="21"/>
    </w:rPr>
  </w:style>
  <w:style w:type="character" w:customStyle="1" w:styleId="216">
    <w:name w:val="Char Char11"/>
    <w:qFormat/>
    <w:uiPriority w:val="0"/>
    <w:rPr>
      <w:rFonts w:eastAsia="楷体_GB2312"/>
      <w:b/>
      <w:kern w:val="44"/>
      <w:sz w:val="44"/>
      <w:lang w:val="en-US" w:eastAsia="zh-CN" w:bidi="ar-SA"/>
    </w:rPr>
  </w:style>
  <w:style w:type="character" w:customStyle="1" w:styleId="217">
    <w:name w:val="dash6b63_6587__char1"/>
    <w:qFormat/>
    <w:uiPriority w:val="0"/>
    <w:rPr>
      <w:rFonts w:ascii="Calibri" w:hAnsi="Calibri" w:cs="Calibri"/>
      <w:sz w:val="20"/>
      <w:szCs w:val="20"/>
    </w:rPr>
  </w:style>
  <w:style w:type="character" w:customStyle="1" w:styleId="218">
    <w:name w:val="style22"/>
    <w:qFormat/>
    <w:uiPriority w:val="0"/>
  </w:style>
  <w:style w:type="character" w:customStyle="1" w:styleId="219">
    <w:name w:val="引用 Char Char"/>
    <w:qFormat/>
    <w:uiPriority w:val="0"/>
    <w:rPr>
      <w:rFonts w:eastAsia="宋体"/>
      <w:i/>
      <w:iCs/>
      <w:color w:val="000000"/>
      <w:kern w:val="2"/>
      <w:sz w:val="24"/>
      <w:szCs w:val="21"/>
      <w:lang w:val="en-US" w:eastAsia="zh-CN" w:bidi="ar-SA"/>
    </w:rPr>
  </w:style>
  <w:style w:type="character" w:customStyle="1" w:styleId="220">
    <w:name w:val="Char Char1"/>
    <w:qFormat/>
    <w:locked/>
    <w:uiPriority w:val="0"/>
    <w:rPr>
      <w:rFonts w:ascii="宋体" w:hAnsi="宋体" w:eastAsia="宋体" w:cs="Times New Roman"/>
      <w:kern w:val="2"/>
      <w:sz w:val="24"/>
      <w:lang w:val="en-US" w:eastAsia="zh-CN" w:bidi="ar-SA"/>
    </w:rPr>
  </w:style>
  <w:style w:type="character" w:customStyle="1" w:styleId="221">
    <w:name w:val="正文文本缩进 2 Char1"/>
    <w:semiHidden/>
    <w:qFormat/>
    <w:uiPriority w:val="99"/>
    <w:rPr>
      <w:kern w:val="2"/>
      <w:sz w:val="21"/>
      <w:szCs w:val="24"/>
    </w:rPr>
  </w:style>
  <w:style w:type="character" w:customStyle="1" w:styleId="222">
    <w:name w:val="para"/>
    <w:qFormat/>
    <w:uiPriority w:val="0"/>
  </w:style>
  <w:style w:type="character" w:customStyle="1" w:styleId="223">
    <w:name w:val="纯文本 Char Char"/>
    <w:qFormat/>
    <w:uiPriority w:val="0"/>
    <w:rPr>
      <w:rFonts w:ascii="宋体" w:hAnsi="Courier New" w:eastAsia="幼圆"/>
      <w:kern w:val="2"/>
      <w:sz w:val="21"/>
      <w:lang w:val="en-US" w:eastAsia="zh-CN" w:bidi="ar-SA"/>
    </w:rPr>
  </w:style>
  <w:style w:type="character" w:customStyle="1" w:styleId="224">
    <w:name w:val="Intense Reference"/>
    <w:qFormat/>
    <w:uiPriority w:val="0"/>
    <w:rPr>
      <w:b/>
      <w:bCs/>
      <w:smallCaps/>
      <w:color w:val="C0504D"/>
      <w:spacing w:val="5"/>
      <w:u w:val="single"/>
    </w:rPr>
  </w:style>
  <w:style w:type="character" w:customStyle="1" w:styleId="225">
    <w:name w:val="批注引用1"/>
    <w:qFormat/>
    <w:uiPriority w:val="0"/>
    <w:rPr>
      <w:rFonts w:cs="Times New Roman"/>
      <w:sz w:val="21"/>
      <w:szCs w:val="21"/>
    </w:rPr>
  </w:style>
  <w:style w:type="character" w:customStyle="1" w:styleId="226">
    <w:name w:val="标题 3 Char Char"/>
    <w:qFormat/>
    <w:uiPriority w:val="0"/>
    <w:rPr>
      <w:rFonts w:eastAsia="宋体"/>
      <w:b/>
      <w:kern w:val="2"/>
      <w:sz w:val="32"/>
      <w:lang w:val="en-US" w:eastAsia="zh-CN" w:bidi="ar-SA"/>
    </w:rPr>
  </w:style>
  <w:style w:type="character" w:customStyle="1" w:styleId="227">
    <w:name w:val="even Char Char"/>
    <w:qFormat/>
    <w:uiPriority w:val="0"/>
    <w:rPr>
      <w:rFonts w:cs="Times New Roman"/>
      <w:kern w:val="2"/>
      <w:sz w:val="18"/>
      <w:szCs w:val="18"/>
    </w:rPr>
  </w:style>
  <w:style w:type="character" w:customStyle="1" w:styleId="228">
    <w:name w:val="Char Char4"/>
    <w:qFormat/>
    <w:locked/>
    <w:uiPriority w:val="0"/>
    <w:rPr>
      <w:rFonts w:ascii="宋体" w:hAnsi="宋体" w:eastAsia="宋体" w:cs="Times New Roman"/>
      <w:kern w:val="2"/>
      <w:sz w:val="24"/>
      <w:szCs w:val="24"/>
      <w:lang w:val="en-US" w:eastAsia="zh-CN" w:bidi="ar-SA"/>
    </w:rPr>
  </w:style>
  <w:style w:type="character" w:customStyle="1" w:styleId="229">
    <w:name w:val="日期 Char2"/>
    <w:semiHidden/>
    <w:qFormat/>
    <w:uiPriority w:val="99"/>
    <w:rPr>
      <w:kern w:val="2"/>
      <w:sz w:val="21"/>
      <w:szCs w:val="24"/>
    </w:rPr>
  </w:style>
  <w:style w:type="character" w:customStyle="1" w:styleId="230">
    <w:name w:val="aboutus"/>
    <w:qFormat/>
    <w:uiPriority w:val="0"/>
  </w:style>
  <w:style w:type="character" w:customStyle="1" w:styleId="231">
    <w:name w:val="hover13"/>
    <w:qFormat/>
    <w:uiPriority w:val="0"/>
  </w:style>
  <w:style w:type="character" w:customStyle="1" w:styleId="232">
    <w:name w:val="Body Text Indent Char"/>
    <w:semiHidden/>
    <w:qFormat/>
    <w:uiPriority w:val="99"/>
    <w:rPr>
      <w:kern w:val="2"/>
      <w:sz w:val="21"/>
      <w:szCs w:val="24"/>
    </w:rPr>
  </w:style>
  <w:style w:type="character" w:customStyle="1" w:styleId="233">
    <w:name w:val="Book Title"/>
    <w:qFormat/>
    <w:uiPriority w:val="0"/>
    <w:rPr>
      <w:b/>
      <w:bCs/>
      <w:smallCaps/>
      <w:spacing w:val="5"/>
    </w:rPr>
  </w:style>
  <w:style w:type="character" w:customStyle="1" w:styleId="234">
    <w:name w:val="Char Char3"/>
    <w:qFormat/>
    <w:locked/>
    <w:uiPriority w:val="0"/>
    <w:rPr>
      <w:rFonts w:ascii="Arial" w:hAnsi="Arial" w:eastAsia="宋体" w:cs="Arial"/>
      <w:b/>
      <w:sz w:val="32"/>
      <w:lang w:val="en-US" w:eastAsia="zh-CN" w:bidi="ar-SA"/>
    </w:rPr>
  </w:style>
  <w:style w:type="character" w:customStyle="1" w:styleId="235">
    <w:name w:val="明显引用 Char2"/>
    <w:qFormat/>
    <w:uiPriority w:val="30"/>
    <w:rPr>
      <w:b/>
      <w:bCs/>
      <w:i/>
      <w:iCs/>
      <w:color w:val="4F81BD"/>
    </w:rPr>
  </w:style>
  <w:style w:type="character" w:customStyle="1" w:styleId="236">
    <w:name w:val="font31"/>
    <w:qFormat/>
    <w:uiPriority w:val="0"/>
    <w:rPr>
      <w:rFonts w:hint="eastAsia" w:ascii="宋体" w:hAnsi="宋体" w:eastAsia="宋体" w:cs="宋体"/>
      <w:color w:val="000000"/>
      <w:sz w:val="20"/>
      <w:szCs w:val="20"/>
      <w:u w:val="none"/>
    </w:rPr>
  </w:style>
  <w:style w:type="character" w:customStyle="1" w:styleId="237">
    <w:name w:val="样式 正文首行缩进 2 + Arial Char Char"/>
    <w:link w:val="238"/>
    <w:qFormat/>
    <w:uiPriority w:val="0"/>
    <w:rPr>
      <w:rFonts w:ascii="Arial" w:hAnsi="Arial" w:eastAsia="宋体"/>
      <w:szCs w:val="24"/>
    </w:rPr>
  </w:style>
  <w:style w:type="paragraph" w:customStyle="1" w:styleId="238">
    <w:name w:val="样式 正文首行缩进 2 + Arial"/>
    <w:basedOn w:val="1"/>
    <w:next w:val="1"/>
    <w:link w:val="237"/>
    <w:qFormat/>
    <w:uiPriority w:val="0"/>
    <w:pPr>
      <w:spacing w:after="120" w:line="320" w:lineRule="atLeast"/>
      <w:ind w:firstLine="200" w:firstLineChars="200"/>
    </w:pPr>
    <w:rPr>
      <w:rFonts w:ascii="Arial" w:hAnsi="Arial" w:cstheme="minorBidi"/>
      <w:szCs w:val="24"/>
    </w:rPr>
  </w:style>
  <w:style w:type="character" w:customStyle="1" w:styleId="239">
    <w:name w:val="批注框文本 Char1"/>
    <w:qFormat/>
    <w:uiPriority w:val="0"/>
    <w:rPr>
      <w:kern w:val="2"/>
      <w:sz w:val="18"/>
      <w:szCs w:val="18"/>
    </w:rPr>
  </w:style>
  <w:style w:type="character" w:customStyle="1" w:styleId="240">
    <w:name w:val="列表段落 字符"/>
    <w:link w:val="241"/>
    <w:qFormat/>
    <w:uiPriority w:val="34"/>
    <w:rPr>
      <w:rFonts w:eastAsia="宋体"/>
      <w:szCs w:val="24"/>
    </w:rPr>
  </w:style>
  <w:style w:type="paragraph" w:styleId="241">
    <w:name w:val="List Paragraph"/>
    <w:basedOn w:val="1"/>
    <w:link w:val="240"/>
    <w:qFormat/>
    <w:uiPriority w:val="34"/>
    <w:pPr>
      <w:ind w:firstLine="420" w:firstLineChars="200"/>
    </w:pPr>
    <w:rPr>
      <w:rFonts w:asciiTheme="minorHAnsi" w:hAnsiTheme="minorHAnsi" w:cstheme="minorBidi"/>
      <w:szCs w:val="24"/>
    </w:rPr>
  </w:style>
  <w:style w:type="character" w:customStyle="1" w:styleId="242">
    <w:name w:val="样式 超链接 + 仿宋_GB2312 小四 加粗"/>
    <w:qFormat/>
    <w:uiPriority w:val="0"/>
    <w:rPr>
      <w:rFonts w:ascii="仿宋_GB2312" w:hAnsi="仿宋_GB2312" w:eastAsia="黑体" w:cs="Times New Roman"/>
      <w:b/>
      <w:bCs/>
      <w:color w:val="auto"/>
      <w:sz w:val="24"/>
      <w:u w:val="none"/>
    </w:rPr>
  </w:style>
  <w:style w:type="character" w:customStyle="1" w:styleId="243">
    <w:name w:val="Heading 2 Char"/>
    <w:semiHidden/>
    <w:qFormat/>
    <w:uiPriority w:val="9"/>
    <w:rPr>
      <w:rFonts w:ascii="Cambria" w:hAnsi="Cambria" w:eastAsia="宋体" w:cs="Times New Roman"/>
      <w:b/>
      <w:bCs/>
      <w:kern w:val="2"/>
      <w:sz w:val="32"/>
      <w:szCs w:val="32"/>
    </w:rPr>
  </w:style>
  <w:style w:type="character" w:customStyle="1" w:styleId="244">
    <w:name w:val="批注主题 Char1"/>
    <w:qFormat/>
    <w:uiPriority w:val="0"/>
    <w:rPr>
      <w:b/>
      <w:bCs/>
    </w:rPr>
  </w:style>
  <w:style w:type="character" w:customStyle="1" w:styleId="245">
    <w:name w:val="正文文本 3 Char1"/>
    <w:semiHidden/>
    <w:qFormat/>
    <w:uiPriority w:val="99"/>
    <w:rPr>
      <w:sz w:val="16"/>
      <w:szCs w:val="16"/>
    </w:rPr>
  </w:style>
  <w:style w:type="character" w:customStyle="1" w:styleId="246">
    <w:name w:val="兰色缩进 Char"/>
    <w:qFormat/>
    <w:uiPriority w:val="0"/>
    <w:rPr>
      <w:rFonts w:ascii="Arial" w:hAnsi="Arial" w:eastAsia="宋体"/>
      <w:snapToGrid/>
      <w:color w:val="0000FF"/>
      <w:sz w:val="24"/>
      <w:szCs w:val="21"/>
      <w:lang w:val="en-US" w:eastAsia="zh-CN" w:bidi="ar-SA"/>
    </w:rPr>
  </w:style>
  <w:style w:type="character" w:customStyle="1" w:styleId="247">
    <w:name w:val="Heading 1 Char"/>
    <w:qFormat/>
    <w:uiPriority w:val="9"/>
    <w:rPr>
      <w:b/>
      <w:bCs/>
      <w:kern w:val="44"/>
      <w:sz w:val="44"/>
      <w:szCs w:val="44"/>
    </w:rPr>
  </w:style>
  <w:style w:type="character" w:customStyle="1" w:styleId="248">
    <w:name w:val="页眉 Char1"/>
    <w:semiHidden/>
    <w:qFormat/>
    <w:uiPriority w:val="99"/>
    <w:rPr>
      <w:kern w:val="2"/>
      <w:sz w:val="18"/>
      <w:szCs w:val="18"/>
    </w:rPr>
  </w:style>
  <w:style w:type="character" w:customStyle="1" w:styleId="249">
    <w:name w:val="编号标题2 Char1"/>
    <w:qFormat/>
    <w:uiPriority w:val="0"/>
    <w:rPr>
      <w:rFonts w:ascii="Arial" w:hAnsi="Arial" w:eastAsia="黑体" w:cs="Times New Roman"/>
      <w:b/>
      <w:bCs/>
      <w:kern w:val="2"/>
      <w:sz w:val="32"/>
      <w:szCs w:val="32"/>
      <w:lang w:val="en-US" w:eastAsia="zh-CN" w:bidi="ar-SA"/>
    </w:rPr>
  </w:style>
  <w:style w:type="character" w:customStyle="1" w:styleId="250">
    <w:name w:val="Char Char41"/>
    <w:qFormat/>
    <w:uiPriority w:val="0"/>
    <w:rPr>
      <w:rFonts w:ascii="Times New Roman" w:hAnsi="Times New Roman"/>
    </w:rPr>
  </w:style>
  <w:style w:type="character" w:customStyle="1" w:styleId="251">
    <w:name w:val="页脚 Char1"/>
    <w:semiHidden/>
    <w:qFormat/>
    <w:uiPriority w:val="99"/>
    <w:rPr>
      <w:kern w:val="2"/>
      <w:sz w:val="18"/>
      <w:szCs w:val="18"/>
    </w:rPr>
  </w:style>
  <w:style w:type="character" w:customStyle="1" w:styleId="252">
    <w:name w:val="样式 标书正文 + 下划线 Char"/>
    <w:qFormat/>
    <w:uiPriority w:val="0"/>
    <w:rPr>
      <w:rFonts w:eastAsia="楷体_GB2312"/>
      <w:kern w:val="2"/>
      <w:sz w:val="28"/>
      <w:szCs w:val="28"/>
      <w:u w:val="single"/>
      <w:lang w:val="en-US" w:eastAsia="zh-CN" w:bidi="ar-SA"/>
    </w:rPr>
  </w:style>
  <w:style w:type="character" w:customStyle="1" w:styleId="253">
    <w:name w:val="title1"/>
    <w:qFormat/>
    <w:uiPriority w:val="0"/>
    <w:rPr>
      <w:rFonts w:ascii="Arial" w:hAnsi="Arial" w:cs="Arial"/>
      <w:b/>
      <w:bCs/>
      <w:color w:val="990099"/>
      <w:sz w:val="27"/>
      <w:szCs w:val="27"/>
    </w:rPr>
  </w:style>
  <w:style w:type="character" w:customStyle="1" w:styleId="254">
    <w:name w:val="普通文字 Char Char"/>
    <w:qFormat/>
    <w:uiPriority w:val="0"/>
    <w:rPr>
      <w:rFonts w:ascii="宋体" w:hAnsi="Courier New" w:cs="Courier New"/>
      <w:kern w:val="2"/>
      <w:sz w:val="21"/>
      <w:szCs w:val="21"/>
    </w:rPr>
  </w:style>
  <w:style w:type="character" w:customStyle="1" w:styleId="255">
    <w:name w:val="hover15"/>
    <w:qFormat/>
    <w:uiPriority w:val="0"/>
  </w:style>
  <w:style w:type="character" w:customStyle="1" w:styleId="256">
    <w:name w:val="unnamed1"/>
    <w:qFormat/>
    <w:uiPriority w:val="0"/>
  </w:style>
  <w:style w:type="character" w:customStyle="1" w:styleId="257">
    <w:name w:val="普通 (Web) Char Char"/>
    <w:qFormat/>
    <w:uiPriority w:val="0"/>
    <w:rPr>
      <w:rFonts w:ascii="宋体" w:hAnsi="宋体" w:eastAsia="宋体" w:cs="宋体"/>
      <w:sz w:val="24"/>
      <w:szCs w:val="24"/>
      <w:lang w:val="en-US" w:eastAsia="zh-CN" w:bidi="ar-SA"/>
    </w:rPr>
  </w:style>
  <w:style w:type="character" w:customStyle="1" w:styleId="258">
    <w:name w:val="纯文本 Char2"/>
    <w:semiHidden/>
    <w:qFormat/>
    <w:uiPriority w:val="99"/>
    <w:rPr>
      <w:rFonts w:ascii="宋体" w:hAnsi="Courier New" w:eastAsia="宋体" w:cs="Courier New"/>
      <w:szCs w:val="21"/>
    </w:rPr>
  </w:style>
  <w:style w:type="character" w:customStyle="1" w:styleId="259">
    <w:name w:val="Head 6 Char Char"/>
    <w:qFormat/>
    <w:uiPriority w:val="0"/>
    <w:rPr>
      <w:rFonts w:ascii="Arial" w:hAnsi="Arial" w:eastAsia="黑体" w:cs="Times New Roman"/>
      <w:b/>
      <w:bCs/>
      <w:kern w:val="2"/>
      <w:sz w:val="24"/>
      <w:szCs w:val="24"/>
    </w:rPr>
  </w:style>
  <w:style w:type="character" w:customStyle="1" w:styleId="260">
    <w:name w:val="明显引用 Char Char"/>
    <w:qFormat/>
    <w:uiPriority w:val="0"/>
    <w:rPr>
      <w:rFonts w:eastAsia="宋体"/>
      <w:b/>
      <w:bCs/>
      <w:i/>
      <w:iCs/>
      <w:color w:val="4F81BD"/>
      <w:kern w:val="2"/>
      <w:sz w:val="24"/>
      <w:szCs w:val="21"/>
      <w:lang w:val="en-US" w:eastAsia="zh-CN" w:bidi="ar-SA"/>
    </w:rPr>
  </w:style>
  <w:style w:type="character" w:customStyle="1" w:styleId="261">
    <w:name w:val="Heading 5 Char"/>
    <w:semiHidden/>
    <w:qFormat/>
    <w:uiPriority w:val="9"/>
    <w:rPr>
      <w:b/>
      <w:bCs/>
      <w:kern w:val="2"/>
      <w:sz w:val="28"/>
      <w:szCs w:val="28"/>
    </w:rPr>
  </w:style>
  <w:style w:type="character" w:customStyle="1" w:styleId="262">
    <w:name w:val="c lh15"/>
    <w:qFormat/>
    <w:uiPriority w:val="0"/>
  </w:style>
  <w:style w:type="character" w:customStyle="1" w:styleId="263">
    <w:name w:val="textcontents"/>
    <w:qFormat/>
    <w:uiPriority w:val="0"/>
  </w:style>
  <w:style w:type="character" w:customStyle="1" w:styleId="264">
    <w:name w:val="标题5 Char Char"/>
    <w:link w:val="265"/>
    <w:qFormat/>
    <w:uiPriority w:val="0"/>
    <w:rPr>
      <w:rFonts w:ascii="Arial" w:hAnsi="Arial"/>
      <w:b/>
      <w:bCs/>
      <w:sz w:val="24"/>
      <w:szCs w:val="32"/>
    </w:rPr>
  </w:style>
  <w:style w:type="paragraph" w:customStyle="1" w:styleId="265">
    <w:name w:val="标题5"/>
    <w:basedOn w:val="4"/>
    <w:link w:val="264"/>
    <w:qFormat/>
    <w:uiPriority w:val="0"/>
    <w:pPr>
      <w:spacing w:before="260" w:after="260" w:line="413" w:lineRule="auto"/>
      <w:jc w:val="both"/>
    </w:pPr>
    <w:rPr>
      <w:rFonts w:ascii="Arial" w:hAnsi="Arial" w:eastAsiaTheme="minorEastAsia" w:cstheme="minorBidi"/>
      <w:bCs/>
      <w:kern w:val="2"/>
      <w:szCs w:val="32"/>
    </w:rPr>
  </w:style>
  <w:style w:type="character" w:customStyle="1" w:styleId="266">
    <w:name w:val="称呼 Char1"/>
    <w:semiHidden/>
    <w:qFormat/>
    <w:uiPriority w:val="99"/>
    <w:rPr>
      <w:kern w:val="2"/>
      <w:sz w:val="21"/>
      <w:szCs w:val="22"/>
    </w:rPr>
  </w:style>
  <w:style w:type="character" w:customStyle="1" w:styleId="267">
    <w:name w:val="apple-converted-space"/>
    <w:qFormat/>
    <w:uiPriority w:val="0"/>
  </w:style>
  <w:style w:type="character" w:customStyle="1" w:styleId="268">
    <w:name w:val="样式 首行缩进:  2 字符 Char1"/>
    <w:link w:val="269"/>
    <w:qFormat/>
    <w:locked/>
    <w:uiPriority w:val="0"/>
    <w:rPr>
      <w:sz w:val="24"/>
    </w:rPr>
  </w:style>
  <w:style w:type="paragraph" w:customStyle="1" w:styleId="269">
    <w:name w:val="样式 首行缩进:  2 字符"/>
    <w:basedOn w:val="1"/>
    <w:link w:val="268"/>
    <w:qFormat/>
    <w:uiPriority w:val="0"/>
    <w:pPr>
      <w:spacing w:line="480" w:lineRule="exact"/>
      <w:ind w:firstLine="480" w:firstLineChars="200"/>
    </w:pPr>
    <w:rPr>
      <w:rFonts w:asciiTheme="minorHAnsi" w:hAnsiTheme="minorHAnsi" w:eastAsiaTheme="minorEastAsia" w:cstheme="minorBidi"/>
      <w:sz w:val="24"/>
      <w:szCs w:val="22"/>
    </w:rPr>
  </w:style>
  <w:style w:type="character" w:customStyle="1" w:styleId="270">
    <w:name w:val="Char Char12"/>
    <w:qFormat/>
    <w:locked/>
    <w:uiPriority w:val="0"/>
    <w:rPr>
      <w:rFonts w:ascii="宋体" w:hAnsi="宋体" w:eastAsia="宋体" w:cs="Times New Roman"/>
      <w:kern w:val="2"/>
      <w:sz w:val="18"/>
      <w:szCs w:val="18"/>
      <w:lang w:val="en-US" w:eastAsia="zh-CN" w:bidi="ar-SA"/>
    </w:rPr>
  </w:style>
  <w:style w:type="character" w:customStyle="1" w:styleId="271">
    <w:name w:val="style941"/>
    <w:qFormat/>
    <w:uiPriority w:val="0"/>
    <w:rPr>
      <w:color w:val="003366"/>
    </w:rPr>
  </w:style>
  <w:style w:type="character" w:customStyle="1" w:styleId="272">
    <w:name w:val="icon_gys"/>
    <w:qFormat/>
    <w:uiPriority w:val="0"/>
    <w:rPr>
      <w:sz w:val="21"/>
      <w:szCs w:val="21"/>
    </w:rPr>
  </w:style>
  <w:style w:type="character" w:customStyle="1" w:styleId="273">
    <w:name w:val="批注文字 Char Char"/>
    <w:qFormat/>
    <w:uiPriority w:val="0"/>
    <w:rPr>
      <w:rFonts w:ascii="宋体" w:hAnsi="Times New Roman" w:eastAsia="宋体" w:cs="Times New Roman"/>
      <w:sz w:val="28"/>
      <w:szCs w:val="20"/>
    </w:rPr>
  </w:style>
  <w:style w:type="character" w:customStyle="1" w:styleId="274">
    <w:name w:val="Char Char25"/>
    <w:qFormat/>
    <w:uiPriority w:val="0"/>
    <w:rPr>
      <w:rFonts w:ascii="Arial" w:hAnsi="Arial" w:eastAsia="黑体"/>
      <w:b/>
      <w:kern w:val="2"/>
      <w:sz w:val="32"/>
      <w:szCs w:val="24"/>
      <w:lang w:val="en-US" w:eastAsia="zh-CN" w:bidi="ar-SA"/>
    </w:rPr>
  </w:style>
  <w:style w:type="character" w:customStyle="1" w:styleId="275">
    <w:name w:val="Heading 8 Char"/>
    <w:semiHidden/>
    <w:qFormat/>
    <w:uiPriority w:val="9"/>
    <w:rPr>
      <w:rFonts w:ascii="Cambria" w:hAnsi="Cambria" w:eastAsia="宋体" w:cs="Times New Roman"/>
      <w:kern w:val="2"/>
      <w:sz w:val="24"/>
      <w:szCs w:val="24"/>
    </w:rPr>
  </w:style>
  <w:style w:type="character" w:customStyle="1" w:styleId="276">
    <w:name w:val="副标题 Char1"/>
    <w:qFormat/>
    <w:uiPriority w:val="11"/>
    <w:rPr>
      <w:rFonts w:ascii="Cambria" w:hAnsi="Cambria" w:cs="Times New Roman"/>
      <w:b/>
      <w:bCs/>
      <w:kern w:val="28"/>
      <w:sz w:val="32"/>
      <w:szCs w:val="32"/>
    </w:rPr>
  </w:style>
  <w:style w:type="character" w:customStyle="1" w:styleId="277">
    <w:name w:val="页码1"/>
    <w:qFormat/>
    <w:uiPriority w:val="0"/>
  </w:style>
  <w:style w:type="character" w:customStyle="1" w:styleId="278">
    <w:name w:val="引用 Char2"/>
    <w:qFormat/>
    <w:uiPriority w:val="29"/>
    <w:rPr>
      <w:i/>
      <w:iCs/>
      <w:color w:val="000000"/>
    </w:rPr>
  </w:style>
  <w:style w:type="character" w:customStyle="1" w:styleId="279">
    <w:name w:val="样式 宋体 小二 加粗 加宽量  0.7 磅"/>
    <w:qFormat/>
    <w:uiPriority w:val="0"/>
    <w:rPr>
      <w:rFonts w:ascii="宋体" w:hAnsi="宋体" w:eastAsia="宋体" w:cs="Times New Roman"/>
      <w:b/>
      <w:bCs/>
      <w:spacing w:val="14"/>
      <w:sz w:val="32"/>
      <w:szCs w:val="32"/>
    </w:rPr>
  </w:style>
  <w:style w:type="character" w:customStyle="1" w:styleId="280">
    <w:name w:val="z101"/>
    <w:qFormat/>
    <w:uiPriority w:val="0"/>
    <w:rPr>
      <w:sz w:val="24"/>
      <w:szCs w:val="24"/>
    </w:rPr>
  </w:style>
  <w:style w:type="character" w:customStyle="1" w:styleId="281">
    <w:name w:val="fr"/>
    <w:qFormat/>
    <w:uiPriority w:val="0"/>
  </w:style>
  <w:style w:type="character" w:customStyle="1" w:styleId="282">
    <w:name w:val="ask-title2"/>
    <w:qFormat/>
    <w:uiPriority w:val="0"/>
  </w:style>
  <w:style w:type="character" w:customStyle="1" w:styleId="283">
    <w:name w:val="(use for figures) Char2"/>
    <w:qFormat/>
    <w:uiPriority w:val="0"/>
    <w:rPr>
      <w:rFonts w:ascii="Arial" w:hAnsi="Arial" w:eastAsia="黑体" w:cs="Times New Roman"/>
      <w:kern w:val="24"/>
      <w:sz w:val="24"/>
      <w:szCs w:val="24"/>
    </w:rPr>
  </w:style>
  <w:style w:type="character" w:customStyle="1" w:styleId="284">
    <w:name w:val="正文首行缩进 2 Char Char"/>
    <w:qFormat/>
    <w:uiPriority w:val="0"/>
    <w:rPr>
      <w:rFonts w:ascii="宋体" w:hAnsi="宋体" w:eastAsia="宋体" w:cs="宋体"/>
      <w:kern w:val="2"/>
      <w:sz w:val="18"/>
      <w:szCs w:val="18"/>
      <w:lang w:val="en-US" w:eastAsia="zh-CN" w:bidi="ar-SA"/>
    </w:rPr>
  </w:style>
  <w:style w:type="character" w:customStyle="1" w:styleId="285">
    <w:name w:val="正文首行缩进 Char1"/>
    <w:semiHidden/>
    <w:qFormat/>
    <w:uiPriority w:val="99"/>
  </w:style>
  <w:style w:type="character" w:customStyle="1" w:styleId="286">
    <w:name w:val="5 sub-bullet Char2"/>
    <w:qFormat/>
    <w:uiPriority w:val="0"/>
    <w:rPr>
      <w:rFonts w:ascii="Tahoma" w:hAnsi="Tahoma" w:cs="Tahoma"/>
      <w:bCs/>
      <w:color w:val="FF0000"/>
      <w:kern w:val="24"/>
      <w:sz w:val="24"/>
      <w:szCs w:val="24"/>
    </w:rPr>
  </w:style>
  <w:style w:type="character" w:customStyle="1" w:styleId="287">
    <w:name w:val="正文首行缩进 2 Char1"/>
    <w:semiHidden/>
    <w:qFormat/>
    <w:uiPriority w:val="99"/>
  </w:style>
  <w:style w:type="paragraph" w:customStyle="1" w:styleId="288">
    <w:name w:val="Char Char1 Char Char1 Char Char Char Char Char Char"/>
    <w:basedOn w:val="1"/>
    <w:qFormat/>
    <w:uiPriority w:val="0"/>
    <w:pPr>
      <w:widowControl/>
      <w:spacing w:after="160" w:line="240" w:lineRule="exact"/>
      <w:jc w:val="left"/>
    </w:pPr>
    <w:rPr>
      <w:szCs w:val="24"/>
    </w:rPr>
  </w:style>
  <w:style w:type="paragraph" w:customStyle="1" w:styleId="289">
    <w:name w:val="_Style 1"/>
    <w:qFormat/>
    <w:uiPriority w:val="0"/>
    <w:pPr>
      <w:widowControl w:val="0"/>
      <w:jc w:val="both"/>
    </w:pPr>
    <w:rPr>
      <w:rFonts w:ascii="Times New Roman" w:hAnsi="Times New Roman" w:eastAsia="宋体" w:cs="Times New Roman"/>
      <w:kern w:val="2"/>
      <w:sz w:val="22"/>
      <w:szCs w:val="22"/>
      <w:lang w:val="en-US" w:eastAsia="zh-CN" w:bidi="ar-SA"/>
    </w:rPr>
  </w:style>
  <w:style w:type="paragraph" w:customStyle="1" w:styleId="290">
    <w:name w:val="xl15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91">
    <w:name w:val="保留正文"/>
    <w:basedOn w:val="8"/>
    <w:qFormat/>
    <w:uiPriority w:val="0"/>
    <w:pPr>
      <w:keepNext/>
      <w:spacing w:after="160"/>
    </w:pPr>
    <w:rPr>
      <w:szCs w:val="24"/>
    </w:rPr>
  </w:style>
  <w:style w:type="paragraph" w:customStyle="1" w:styleId="292">
    <w:name w:val="Char14"/>
    <w:basedOn w:val="1"/>
    <w:qFormat/>
    <w:uiPriority w:val="0"/>
    <w:pPr>
      <w:widowControl/>
      <w:spacing w:after="160" w:line="240" w:lineRule="exact"/>
      <w:jc w:val="left"/>
    </w:pPr>
    <w:rPr>
      <w:rFonts w:ascii="宋体" w:hAnsi="宋体"/>
      <w:kern w:val="0"/>
      <w:sz w:val="20"/>
      <w:szCs w:val="20"/>
      <w:lang w:eastAsia="en-US"/>
    </w:rPr>
  </w:style>
  <w:style w:type="paragraph" w:customStyle="1" w:styleId="293">
    <w:name w:val="Char Char"/>
    <w:basedOn w:val="1"/>
    <w:qFormat/>
    <w:uiPriority w:val="0"/>
    <w:rPr>
      <w:rFonts w:ascii="Tahoma" w:hAnsi="Tahoma"/>
      <w:sz w:val="24"/>
      <w:szCs w:val="20"/>
    </w:rPr>
  </w:style>
  <w:style w:type="paragraph" w:customStyle="1" w:styleId="294">
    <w:name w:val="Char1 Char Char Char"/>
    <w:basedOn w:val="1"/>
    <w:qFormat/>
    <w:uiPriority w:val="0"/>
    <w:rPr>
      <w:szCs w:val="20"/>
    </w:rPr>
  </w:style>
  <w:style w:type="paragraph" w:customStyle="1" w:styleId="295">
    <w:name w:val="xl1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96">
    <w:name w:val="三级条标题"/>
    <w:basedOn w:val="297"/>
    <w:next w:val="300"/>
    <w:qFormat/>
    <w:uiPriority w:val="0"/>
    <w:pPr>
      <w:outlineLvl w:val="4"/>
    </w:pPr>
  </w:style>
  <w:style w:type="paragraph" w:customStyle="1" w:styleId="297">
    <w:name w:val="二级条标题"/>
    <w:basedOn w:val="298"/>
    <w:next w:val="300"/>
    <w:qFormat/>
    <w:uiPriority w:val="0"/>
    <w:pPr>
      <w:outlineLvl w:val="3"/>
    </w:pPr>
  </w:style>
  <w:style w:type="paragraph" w:customStyle="1" w:styleId="298">
    <w:name w:val="一级条标题"/>
    <w:basedOn w:val="299"/>
    <w:next w:val="300"/>
    <w:qFormat/>
    <w:uiPriority w:val="0"/>
    <w:pPr>
      <w:outlineLvl w:val="2"/>
    </w:pPr>
  </w:style>
  <w:style w:type="paragraph" w:customStyle="1" w:styleId="299">
    <w:name w:val="章标题"/>
    <w:next w:val="300"/>
    <w:qFormat/>
    <w:uiPriority w:val="0"/>
    <w:pPr>
      <w:spacing w:before="156" w:beforeLines="50" w:after="156" w:afterLines="50"/>
      <w:jc w:val="both"/>
      <w:outlineLvl w:val="1"/>
    </w:pPr>
    <w:rPr>
      <w:rFonts w:ascii="黑体" w:hAnsi="Times New Roman" w:eastAsia="黑体" w:cs="Times New Roman"/>
      <w:kern w:val="0"/>
      <w:sz w:val="21"/>
      <w:szCs w:val="20"/>
      <w:lang w:val="en-US" w:eastAsia="zh-CN" w:bidi="ar-SA"/>
    </w:rPr>
  </w:style>
  <w:style w:type="paragraph" w:customStyle="1" w:styleId="300">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301">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302">
    <w:name w:val="正文-带编号1)"/>
    <w:basedOn w:val="1"/>
    <w:qFormat/>
    <w:uiPriority w:val="0"/>
    <w:pPr>
      <w:tabs>
        <w:tab w:val="left" w:pos="425"/>
      </w:tabs>
      <w:spacing w:line="400" w:lineRule="exact"/>
      <w:ind w:left="425" w:hanging="425"/>
    </w:pPr>
    <w:rPr>
      <w:rFonts w:ascii="Arial" w:hAnsi="Arial"/>
      <w:szCs w:val="24"/>
    </w:rPr>
  </w:style>
  <w:style w:type="paragraph" w:customStyle="1" w:styleId="303">
    <w:name w:val="Char5"/>
    <w:basedOn w:val="1"/>
    <w:qFormat/>
    <w:uiPriority w:val="0"/>
    <w:rPr>
      <w:rFonts w:ascii="宋体" w:hAnsi="宋体"/>
      <w:color w:val="000000"/>
      <w:sz w:val="24"/>
      <w:szCs w:val="20"/>
    </w:rPr>
  </w:style>
  <w:style w:type="paragraph" w:customStyle="1" w:styleId="304">
    <w:name w:val="font6"/>
    <w:basedOn w:val="1"/>
    <w:qFormat/>
    <w:uiPriority w:val="0"/>
    <w:pPr>
      <w:widowControl/>
      <w:spacing w:before="100" w:beforeAutospacing="1" w:after="100" w:afterAutospacing="1"/>
      <w:jc w:val="left"/>
    </w:pPr>
    <w:rPr>
      <w:rFonts w:ascii="宋体" w:hAnsi="宋体"/>
      <w:color w:val="000080"/>
      <w:kern w:val="0"/>
      <w:sz w:val="24"/>
      <w:szCs w:val="24"/>
    </w:rPr>
  </w:style>
  <w:style w:type="paragraph" w:customStyle="1" w:styleId="305">
    <w:name w:val="五级条标题"/>
    <w:basedOn w:val="306"/>
    <w:next w:val="1"/>
    <w:qFormat/>
    <w:uiPriority w:val="0"/>
    <w:pPr>
      <w:spacing w:before="0" w:beforeLines="0"/>
      <w:outlineLvl w:val="6"/>
    </w:pPr>
    <w:rPr>
      <w:sz w:val="20"/>
    </w:rPr>
  </w:style>
  <w:style w:type="paragraph" w:customStyle="1" w:styleId="306">
    <w:name w:val="四级条标题"/>
    <w:basedOn w:val="296"/>
    <w:next w:val="300"/>
    <w:qFormat/>
    <w:uiPriority w:val="0"/>
    <w:pPr>
      <w:outlineLvl w:val="5"/>
    </w:pPr>
  </w:style>
  <w:style w:type="paragraph" w:customStyle="1" w:styleId="307">
    <w:name w:val="Report Text"/>
    <w:basedOn w:val="1"/>
    <w:qFormat/>
    <w:uiPriority w:val="0"/>
    <w:pPr>
      <w:widowControl/>
      <w:spacing w:after="138"/>
      <w:ind w:left="1080"/>
      <w:jc w:val="left"/>
    </w:pPr>
    <w:rPr>
      <w:kern w:val="0"/>
      <w:sz w:val="22"/>
      <w:szCs w:val="20"/>
      <w:lang w:val="en-GB" w:eastAsia="en-US"/>
    </w:rPr>
  </w:style>
  <w:style w:type="paragraph" w:customStyle="1" w:styleId="308">
    <w:name w:val="xl1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9">
    <w:name w:val="TOC Heading"/>
    <w:basedOn w:val="2"/>
    <w:next w:val="1"/>
    <w:qFormat/>
    <w:uiPriority w:val="0"/>
    <w:pPr>
      <w:keepLines/>
      <w:spacing w:before="340" w:after="330" w:line="576" w:lineRule="auto"/>
      <w:jc w:val="both"/>
      <w:outlineLvl w:val="9"/>
    </w:pPr>
    <w:rPr>
      <w:rFonts w:ascii="Calibri" w:hAnsi="Calibri"/>
      <w:color w:val="auto"/>
      <w:kern w:val="44"/>
      <w:sz w:val="44"/>
      <w:szCs w:val="44"/>
    </w:rPr>
  </w:style>
  <w:style w:type="paragraph" w:customStyle="1" w:styleId="310">
    <w:name w:val="Style Heading 1 + Justified"/>
    <w:basedOn w:val="2"/>
    <w:qFormat/>
    <w:uiPriority w:val="0"/>
    <w:pPr>
      <w:widowControl/>
      <w:spacing w:before="120" w:after="360"/>
      <w:jc w:val="both"/>
    </w:pPr>
    <w:rPr>
      <w:rFonts w:ascii="Arial" w:hAnsi="Arial" w:eastAsia="PMingLiU"/>
      <w:bCs w:val="0"/>
      <w:color w:val="auto"/>
      <w:kern w:val="28"/>
      <w:sz w:val="28"/>
      <w:szCs w:val="28"/>
      <w:lang w:eastAsia="zh-TW"/>
    </w:rPr>
  </w:style>
  <w:style w:type="paragraph" w:customStyle="1" w:styleId="311">
    <w:name w:val="xl142"/>
    <w:basedOn w:val="1"/>
    <w:qFormat/>
    <w:uiPriority w:val="0"/>
    <w:pPr>
      <w:widowControl/>
      <w:shd w:val="clear" w:color="000000" w:fill="FFFFFF"/>
      <w:spacing w:before="100" w:beforeAutospacing="1" w:after="100" w:afterAutospacing="1"/>
      <w:jc w:val="center"/>
    </w:pPr>
    <w:rPr>
      <w:rFonts w:ascii="宋体" w:hAnsi="宋体" w:cs="宋体"/>
      <w:b/>
      <w:bCs/>
      <w:kern w:val="0"/>
      <w:sz w:val="28"/>
      <w:szCs w:val="28"/>
    </w:rPr>
  </w:style>
  <w:style w:type="paragraph" w:customStyle="1" w:styleId="31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13">
    <w:name w:val="证文"/>
    <w:basedOn w:val="1"/>
    <w:qFormat/>
    <w:uiPriority w:val="0"/>
    <w:pPr>
      <w:spacing w:line="360" w:lineRule="auto"/>
    </w:pPr>
    <w:rPr>
      <w:sz w:val="24"/>
      <w:szCs w:val="20"/>
    </w:rPr>
  </w:style>
  <w:style w:type="paragraph" w:customStyle="1" w:styleId="314">
    <w:name w:val="默认段落字体 Para Char Char Char Char"/>
    <w:basedOn w:val="1"/>
    <w:qFormat/>
    <w:uiPriority w:val="0"/>
    <w:pPr>
      <w:snapToGrid w:val="0"/>
      <w:spacing w:line="360" w:lineRule="auto"/>
      <w:ind w:firstLine="200" w:firstLineChars="200"/>
    </w:pPr>
    <w:rPr>
      <w:szCs w:val="24"/>
    </w:rPr>
  </w:style>
  <w:style w:type="paragraph" w:customStyle="1" w:styleId="31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31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17">
    <w:name w:val="Char4"/>
    <w:basedOn w:val="1"/>
    <w:qFormat/>
    <w:uiPriority w:val="0"/>
    <w:rPr>
      <w:rFonts w:ascii="宋体" w:hAnsi="宋体"/>
      <w:color w:val="000000"/>
      <w:sz w:val="24"/>
      <w:szCs w:val="20"/>
    </w:rPr>
  </w:style>
  <w:style w:type="paragraph" w:customStyle="1" w:styleId="318">
    <w:name w:val="Char12"/>
    <w:basedOn w:val="1"/>
    <w:qFormat/>
    <w:uiPriority w:val="0"/>
    <w:pPr>
      <w:widowControl/>
      <w:spacing w:after="160" w:line="240" w:lineRule="exact"/>
      <w:jc w:val="left"/>
    </w:pPr>
    <w:rPr>
      <w:rFonts w:ascii="宋体" w:hAnsi="宋体"/>
      <w:kern w:val="0"/>
      <w:sz w:val="20"/>
      <w:szCs w:val="20"/>
      <w:lang w:eastAsia="en-US"/>
    </w:rPr>
  </w:style>
  <w:style w:type="paragraph" w:customStyle="1" w:styleId="319">
    <w:name w:val="正文_19"/>
    <w:next w:val="3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0">
    <w:name w:val="正文文本_18"/>
    <w:basedOn w:val="319"/>
    <w:next w:val="321"/>
    <w:qFormat/>
    <w:uiPriority w:val="0"/>
    <w:pPr>
      <w:spacing w:after="120"/>
    </w:pPr>
    <w:rPr>
      <w:kern w:val="0"/>
      <w:sz w:val="20"/>
      <w:szCs w:val="20"/>
    </w:rPr>
  </w:style>
  <w:style w:type="paragraph" w:customStyle="1" w:styleId="321">
    <w:name w:val="style4_0_0"/>
    <w:basedOn w:val="319"/>
    <w:next w:val="322"/>
    <w:unhideWhenUsed/>
    <w:qFormat/>
    <w:uiPriority w:val="0"/>
    <w:pPr>
      <w:widowControl/>
      <w:spacing w:before="100" w:beforeAutospacing="1" w:after="100" w:afterAutospacing="1"/>
      <w:jc w:val="left"/>
    </w:pPr>
    <w:rPr>
      <w:rFonts w:hint="eastAsia" w:ascii="宋体" w:hAnsi="宋体"/>
      <w:kern w:val="0"/>
      <w:sz w:val="18"/>
    </w:rPr>
  </w:style>
  <w:style w:type="paragraph" w:customStyle="1" w:styleId="322">
    <w:name w:val="2_0_0"/>
    <w:next w:val="319"/>
    <w:unhideWhenUsed/>
    <w:qFormat/>
    <w:uiPriority w:val="0"/>
    <w:pPr>
      <w:widowControl w:val="0"/>
      <w:jc w:val="both"/>
    </w:pPr>
    <w:rPr>
      <w:rFonts w:ascii="Times New Roman" w:hAnsi="Times New Roman" w:eastAsia="宋体" w:cs="Times New Roman"/>
      <w:kern w:val="0"/>
      <w:sz w:val="21"/>
      <w:szCs w:val="20"/>
      <w:lang w:val="en-US" w:eastAsia="zh-CN" w:bidi="ar-SA"/>
    </w:rPr>
  </w:style>
  <w:style w:type="paragraph" w:customStyle="1" w:styleId="323">
    <w:name w:val="小标题 2"/>
    <w:basedOn w:val="324"/>
    <w:qFormat/>
    <w:uiPriority w:val="0"/>
    <w:pPr>
      <w:tabs>
        <w:tab w:val="left" w:pos="397"/>
        <w:tab w:val="left" w:pos="454"/>
      </w:tabs>
    </w:pPr>
    <w:rPr>
      <w:sz w:val="18"/>
      <w:szCs w:val="18"/>
    </w:rPr>
  </w:style>
  <w:style w:type="paragraph" w:customStyle="1" w:styleId="324">
    <w:name w:val="小标题 1"/>
    <w:basedOn w:val="1"/>
    <w:qFormat/>
    <w:uiPriority w:val="0"/>
    <w:pPr>
      <w:tabs>
        <w:tab w:val="left" w:pos="454"/>
      </w:tabs>
      <w:autoSpaceDE w:val="0"/>
      <w:autoSpaceDN w:val="0"/>
      <w:adjustRightInd w:val="0"/>
      <w:spacing w:line="360" w:lineRule="atLeast"/>
    </w:pPr>
    <w:rPr>
      <w:rFonts w:ascii="文鼎CS中黑" w:eastAsia="文鼎CS中黑"/>
      <w:kern w:val="0"/>
      <w:sz w:val="22"/>
    </w:rPr>
  </w:style>
  <w:style w:type="paragraph" w:customStyle="1" w:styleId="325">
    <w:name w:val="修订2"/>
    <w:qFormat/>
    <w:uiPriority w:val="0"/>
    <w:rPr>
      <w:rFonts w:ascii="Times New Roman" w:hAnsi="Times New Roman" w:eastAsia="宋体" w:cs="Times New Roman"/>
      <w:kern w:val="2"/>
      <w:sz w:val="21"/>
      <w:szCs w:val="24"/>
      <w:lang w:val="en-US" w:eastAsia="zh-CN" w:bidi="ar-SA"/>
    </w:rPr>
  </w:style>
  <w:style w:type="paragraph" w:customStyle="1" w:styleId="326">
    <w:name w:val="xl17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27">
    <w:name w:val="样式 正文文本缩进 3 + (西文) Times New Roman (中文) 仿宋_GB2312 四号"/>
    <w:basedOn w:val="43"/>
    <w:qFormat/>
    <w:uiPriority w:val="0"/>
    <w:pPr>
      <w:snapToGrid w:val="0"/>
      <w:spacing w:before="156" w:beforeLines="50" w:after="0" w:line="300" w:lineRule="auto"/>
      <w:ind w:left="0" w:leftChars="0" w:firstLine="561"/>
      <w:textAlignment w:val="baseline"/>
    </w:pPr>
    <w:rPr>
      <w:rFonts w:eastAsia="仿宋_GB2312"/>
      <w:sz w:val="28"/>
      <w:szCs w:val="24"/>
    </w:rPr>
  </w:style>
  <w:style w:type="paragraph" w:customStyle="1" w:styleId="328">
    <w:name w:val="样式 标题 3 + (中文) 黑体 小四 非加粗 段前: 7.8 磅 段后: 0 磅 行距: 固定值 20 磅"/>
    <w:basedOn w:val="4"/>
    <w:qFormat/>
    <w:uiPriority w:val="0"/>
    <w:pPr>
      <w:spacing w:line="400" w:lineRule="exact"/>
      <w:jc w:val="both"/>
    </w:pPr>
    <w:rPr>
      <w:rFonts w:eastAsia="黑体" w:cs="宋体"/>
      <w:b w:val="0"/>
    </w:rPr>
  </w:style>
  <w:style w:type="paragraph" w:customStyle="1" w:styleId="329">
    <w:name w:val="文档结构图5"/>
    <w:basedOn w:val="1"/>
    <w:qFormat/>
    <w:uiPriority w:val="0"/>
    <w:pPr>
      <w:shd w:val="clear" w:color="auto" w:fill="000080"/>
    </w:pPr>
    <w:rPr>
      <w:szCs w:val="24"/>
      <w:shd w:val="clear" w:color="auto" w:fill="000080"/>
    </w:rPr>
  </w:style>
  <w:style w:type="paragraph" w:customStyle="1" w:styleId="330">
    <w:name w:val="1.1.1.1"/>
    <w:basedOn w:val="331"/>
    <w:qFormat/>
    <w:uiPriority w:val="0"/>
    <w:pPr>
      <w:tabs>
        <w:tab w:val="left" w:pos="727"/>
      </w:tabs>
      <w:ind w:left="727" w:firstLine="0" w:firstLineChars="0"/>
    </w:pPr>
    <w:rPr>
      <w:rFonts w:ascii="仿宋_GB2312" w:eastAsia="仿宋_GB2312"/>
      <w:sz w:val="24"/>
    </w:rPr>
  </w:style>
  <w:style w:type="paragraph" w:customStyle="1" w:styleId="331">
    <w:name w:val="1.1.1"/>
    <w:basedOn w:val="1"/>
    <w:qFormat/>
    <w:uiPriority w:val="0"/>
    <w:pPr>
      <w:spacing w:line="440" w:lineRule="exact"/>
      <w:ind w:firstLine="400" w:firstLineChars="400"/>
    </w:pPr>
    <w:rPr>
      <w:sz w:val="28"/>
      <w:szCs w:val="20"/>
    </w:rPr>
  </w:style>
  <w:style w:type="paragraph" w:customStyle="1" w:styleId="332">
    <w:name w:val="修订1"/>
    <w:qFormat/>
    <w:uiPriority w:val="99"/>
    <w:rPr>
      <w:rFonts w:ascii="Times New Roman" w:hAnsi="Times New Roman" w:eastAsia="宋体" w:cs="Times New Roman"/>
      <w:kern w:val="2"/>
      <w:sz w:val="21"/>
      <w:szCs w:val="24"/>
      <w:lang w:val="en-US" w:eastAsia="zh-CN" w:bidi="ar-SA"/>
    </w:rPr>
  </w:style>
  <w:style w:type="paragraph" w:customStyle="1" w:styleId="333">
    <w:name w:val="批注主题1"/>
    <w:basedOn w:val="18"/>
    <w:next w:val="18"/>
    <w:qFormat/>
    <w:uiPriority w:val="0"/>
    <w:rPr>
      <w:b/>
      <w:bCs/>
      <w:kern w:val="0"/>
      <w:sz w:val="20"/>
      <w:szCs w:val="24"/>
    </w:rPr>
  </w:style>
  <w:style w:type="paragraph" w:customStyle="1" w:styleId="334">
    <w:name w:val="p12"/>
    <w:basedOn w:val="1"/>
    <w:qFormat/>
    <w:uiPriority w:val="0"/>
    <w:pPr>
      <w:widowControl/>
      <w:spacing w:before="100" w:beforeAutospacing="1" w:after="100" w:afterAutospacing="1"/>
      <w:jc w:val="left"/>
    </w:pPr>
    <w:rPr>
      <w:color w:val="000000"/>
      <w:kern w:val="0"/>
      <w:sz w:val="24"/>
      <w:szCs w:val="20"/>
    </w:rPr>
  </w:style>
  <w:style w:type="paragraph" w:customStyle="1" w:styleId="335">
    <w:name w:val="xl141"/>
    <w:basedOn w:val="1"/>
    <w:qFormat/>
    <w:uiPriority w:val="0"/>
    <w:pPr>
      <w:widowControl/>
      <w:shd w:val="clear" w:color="000000" w:fill="FFFFFF"/>
      <w:spacing w:before="100" w:beforeAutospacing="1" w:after="100" w:afterAutospacing="1"/>
      <w:jc w:val="left"/>
    </w:pPr>
    <w:rPr>
      <w:color w:val="000000"/>
      <w:kern w:val="0"/>
      <w:sz w:val="20"/>
      <w:szCs w:val="20"/>
    </w:rPr>
  </w:style>
  <w:style w:type="paragraph" w:customStyle="1" w:styleId="336">
    <w:name w:val="xl15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7030A0"/>
      <w:kern w:val="0"/>
      <w:sz w:val="20"/>
      <w:szCs w:val="20"/>
    </w:rPr>
  </w:style>
  <w:style w:type="paragraph" w:customStyle="1" w:styleId="337">
    <w:name w:val="默认段落字体 Para Char Char Char Char Char Char Char Char Char1 Char Char Char Char Char Char Char"/>
    <w:basedOn w:val="17"/>
    <w:qFormat/>
    <w:uiPriority w:val="0"/>
    <w:rPr>
      <w:rFonts w:ascii="Tahoma" w:hAnsi="Tahoma"/>
      <w:sz w:val="24"/>
      <w:szCs w:val="24"/>
    </w:rPr>
  </w:style>
  <w:style w:type="paragraph" w:customStyle="1" w:styleId="338">
    <w:name w:val="xl144"/>
    <w:basedOn w:val="1"/>
    <w:qFormat/>
    <w:uiPriority w:val="0"/>
    <w:pPr>
      <w:widowControl/>
      <w:pBdr>
        <w:bottom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339">
    <w:name w:val="xl1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41">
    <w:name w:val="Aufzählung Ebene 3"/>
    <w:qFormat/>
    <w:uiPriority w:val="0"/>
    <w:pPr>
      <w:tabs>
        <w:tab w:val="left" w:pos="851"/>
      </w:tabs>
      <w:spacing w:after="20"/>
      <w:ind w:left="851" w:hanging="284"/>
    </w:pPr>
    <w:rPr>
      <w:rFonts w:ascii="Verdana" w:hAnsi="Verdana" w:eastAsia="宋体" w:cs="Times New Roman"/>
      <w:kern w:val="0"/>
      <w:sz w:val="20"/>
      <w:szCs w:val="24"/>
      <w:lang w:val="de-DE" w:eastAsia="de-DE" w:bidi="ar-SA"/>
    </w:rPr>
  </w:style>
  <w:style w:type="paragraph" w:customStyle="1" w:styleId="342">
    <w:name w:val="文档结构图2"/>
    <w:basedOn w:val="1"/>
    <w:qFormat/>
    <w:uiPriority w:val="0"/>
    <w:pPr>
      <w:shd w:val="clear" w:color="auto" w:fill="000080"/>
    </w:pPr>
    <w:rPr>
      <w:kern w:val="0"/>
      <w:sz w:val="20"/>
      <w:szCs w:val="24"/>
      <w:shd w:val="clear" w:color="auto" w:fill="000080"/>
    </w:rPr>
  </w:style>
  <w:style w:type="paragraph" w:customStyle="1" w:styleId="343">
    <w:name w:val="样式2"/>
    <w:basedOn w:val="4"/>
    <w:qFormat/>
    <w:uiPriority w:val="0"/>
    <w:pPr>
      <w:spacing w:before="260" w:after="260" w:line="415" w:lineRule="auto"/>
      <w:ind w:firstLine="137" w:firstLineChars="49"/>
      <w:jc w:val="both"/>
    </w:pPr>
    <w:rPr>
      <w:rFonts w:ascii="黑体" w:hAnsi="宋体" w:eastAsia="黑体"/>
      <w:b w:val="0"/>
      <w:bCs/>
      <w:i/>
      <w:kern w:val="2"/>
      <w:sz w:val="28"/>
      <w:szCs w:val="28"/>
    </w:rPr>
  </w:style>
  <w:style w:type="paragraph" w:customStyle="1" w:styleId="344">
    <w:name w:val="纯文本1"/>
    <w:basedOn w:val="1"/>
    <w:qFormat/>
    <w:uiPriority w:val="0"/>
    <w:pPr>
      <w:widowControl/>
      <w:suppressAutoHyphens/>
      <w:jc w:val="left"/>
    </w:pPr>
    <w:rPr>
      <w:rFonts w:ascii="Consolas" w:hAnsi="Consolas" w:eastAsia="PMingLiU"/>
      <w:kern w:val="1"/>
      <w:lang w:eastAsia="ar-SA"/>
    </w:rPr>
  </w:style>
  <w:style w:type="paragraph" w:customStyle="1" w:styleId="345">
    <w:name w:val="日期3"/>
    <w:basedOn w:val="1"/>
    <w:next w:val="1"/>
    <w:qFormat/>
    <w:uiPriority w:val="0"/>
    <w:pPr>
      <w:ind w:left="100" w:leftChars="2500"/>
    </w:pPr>
    <w:rPr>
      <w:kern w:val="0"/>
      <w:sz w:val="20"/>
      <w:szCs w:val="24"/>
    </w:rPr>
  </w:style>
  <w:style w:type="paragraph" w:customStyle="1" w:styleId="346">
    <w:name w:val="表格文字"/>
    <w:basedOn w:val="1"/>
    <w:qFormat/>
    <w:uiPriority w:val="0"/>
    <w:pPr>
      <w:adjustRightInd w:val="0"/>
      <w:spacing w:line="420" w:lineRule="atLeast"/>
      <w:jc w:val="left"/>
      <w:textAlignment w:val="baseline"/>
    </w:pPr>
    <w:rPr>
      <w:kern w:val="0"/>
      <w:szCs w:val="20"/>
    </w:rPr>
  </w:style>
  <w:style w:type="paragraph" w:customStyle="1" w:styleId="347">
    <w:name w:val="x第n章"/>
    <w:basedOn w:val="1"/>
    <w:qFormat/>
    <w:uiPriority w:val="0"/>
    <w:pPr>
      <w:tabs>
        <w:tab w:val="left" w:pos="1080"/>
      </w:tabs>
      <w:spacing w:before="156" w:beforeLines="50" w:line="440" w:lineRule="atLeast"/>
      <w:ind w:left="170" w:hanging="170"/>
      <w:jc w:val="left"/>
      <w:outlineLvl w:val="1"/>
    </w:pPr>
    <w:rPr>
      <w:rFonts w:ascii="黑体" w:hAnsi="Arial" w:eastAsia="黑体" w:cs="Arial"/>
      <w:sz w:val="44"/>
      <w:szCs w:val="32"/>
    </w:rPr>
  </w:style>
  <w:style w:type="paragraph" w:customStyle="1" w:styleId="348">
    <w:name w:val="xl14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49">
    <w:name w:val="0"/>
    <w:basedOn w:val="1"/>
    <w:qFormat/>
    <w:uiPriority w:val="0"/>
    <w:pPr>
      <w:widowControl/>
      <w:snapToGrid w:val="0"/>
    </w:pPr>
    <w:rPr>
      <w:kern w:val="0"/>
    </w:rPr>
  </w:style>
  <w:style w:type="paragraph" w:customStyle="1" w:styleId="350">
    <w:name w:val="日期1"/>
    <w:basedOn w:val="1"/>
    <w:next w:val="1"/>
    <w:qFormat/>
    <w:uiPriority w:val="0"/>
    <w:pPr>
      <w:ind w:left="100" w:leftChars="2500"/>
    </w:pPr>
    <w:rPr>
      <w:kern w:val="0"/>
      <w:sz w:val="20"/>
      <w:szCs w:val="24"/>
    </w:rPr>
  </w:style>
  <w:style w:type="paragraph" w:customStyle="1" w:styleId="351">
    <w:name w:val="p0"/>
    <w:basedOn w:val="1"/>
    <w:qFormat/>
    <w:uiPriority w:val="0"/>
    <w:pPr>
      <w:widowControl/>
    </w:pPr>
    <w:rPr>
      <w:kern w:val="0"/>
    </w:rPr>
  </w:style>
  <w:style w:type="paragraph" w:customStyle="1" w:styleId="35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53">
    <w:name w:val="样式3"/>
    <w:basedOn w:val="1"/>
    <w:qFormat/>
    <w:uiPriority w:val="0"/>
    <w:pPr>
      <w:tabs>
        <w:tab w:val="left" w:pos="1260"/>
      </w:tabs>
      <w:autoSpaceDE w:val="0"/>
      <w:autoSpaceDN w:val="0"/>
      <w:adjustRightInd w:val="0"/>
      <w:spacing w:after="120"/>
      <w:ind w:left="1260" w:hanging="420"/>
      <w:jc w:val="left"/>
      <w:textAlignment w:val="baseline"/>
    </w:pPr>
    <w:rPr>
      <w:rFonts w:ascii="宋体" w:hAnsi="Tms Rmn"/>
      <w:kern w:val="0"/>
      <w:sz w:val="24"/>
      <w:szCs w:val="20"/>
    </w:rPr>
  </w:style>
  <w:style w:type="paragraph" w:customStyle="1" w:styleId="354">
    <w:name w:val="Report Level 3"/>
    <w:basedOn w:val="1"/>
    <w:next w:val="1"/>
    <w:qFormat/>
    <w:uiPriority w:val="0"/>
    <w:pPr>
      <w:keepNext/>
      <w:widowControl/>
      <w:tabs>
        <w:tab w:val="left" w:pos="360"/>
        <w:tab w:val="left" w:pos="1680"/>
      </w:tabs>
      <w:spacing w:before="120" w:after="120"/>
      <w:ind w:left="360" w:hanging="360"/>
      <w:jc w:val="left"/>
      <w:outlineLvl w:val="2"/>
    </w:pPr>
    <w:rPr>
      <w:rFonts w:ascii="Arial" w:hAnsi="Arial"/>
      <w:b/>
      <w:kern w:val="0"/>
      <w:sz w:val="20"/>
      <w:szCs w:val="20"/>
      <w:lang w:val="en-GB" w:eastAsia="en-US"/>
    </w:rPr>
  </w:style>
  <w:style w:type="paragraph" w:customStyle="1" w:styleId="355">
    <w:name w:val="Char Char Char1 Char Char Char Char Char Char1 Char"/>
    <w:basedOn w:val="1"/>
    <w:qFormat/>
    <w:uiPriority w:val="0"/>
    <w:pPr>
      <w:ind w:right="420"/>
      <w:jc w:val="right"/>
    </w:pPr>
    <w:rPr>
      <w:rFonts w:ascii="宋体" w:hAnsi="宋体"/>
      <w:kern w:val="0"/>
    </w:rPr>
  </w:style>
  <w:style w:type="paragraph" w:customStyle="1" w:styleId="35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57">
    <w:name w:val="前言、引言标题"/>
    <w:next w:val="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358">
    <w:name w:val="Char3"/>
    <w:basedOn w:val="1"/>
    <w:qFormat/>
    <w:uiPriority w:val="0"/>
    <w:rPr>
      <w:rFonts w:ascii="宋体" w:hAnsi="宋体"/>
      <w:color w:val="000000"/>
      <w:sz w:val="24"/>
      <w:szCs w:val="20"/>
    </w:rPr>
  </w:style>
  <w:style w:type="paragraph" w:customStyle="1" w:styleId="359">
    <w:name w:val="Table Paragraph"/>
    <w:basedOn w:val="1"/>
    <w:qFormat/>
    <w:uiPriority w:val="1"/>
    <w:rPr>
      <w:rFonts w:ascii="宋体" w:hAnsi="宋体" w:cs="宋体"/>
      <w:lang w:val="zh-CN" w:bidi="zh-CN"/>
    </w:rPr>
  </w:style>
  <w:style w:type="paragraph" w:customStyle="1" w:styleId="36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61">
    <w:name w:val="xl1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62">
    <w:name w:val="表格内字体字号"/>
    <w:basedOn w:val="1"/>
    <w:qFormat/>
    <w:uiPriority w:val="0"/>
    <w:pPr>
      <w:topLinePunct/>
      <w:snapToGrid w:val="0"/>
      <w:spacing w:before="62" w:beforeLines="20" w:after="62" w:afterLines="20"/>
      <w:ind w:left="30" w:leftChars="30" w:right="30" w:rightChars="30"/>
      <w:jc w:val="center"/>
    </w:pPr>
    <w:rPr>
      <w:sz w:val="18"/>
      <w:szCs w:val="18"/>
    </w:rPr>
  </w:style>
  <w:style w:type="paragraph" w:customStyle="1" w:styleId="363">
    <w:name w:val="Aufzählung Ebene 2"/>
    <w:qFormat/>
    <w:uiPriority w:val="0"/>
    <w:pPr>
      <w:tabs>
        <w:tab w:val="left" w:pos="360"/>
      </w:tabs>
      <w:spacing w:after="20"/>
      <w:ind w:left="568" w:hanging="284"/>
    </w:pPr>
    <w:rPr>
      <w:rFonts w:ascii="Verdana" w:hAnsi="Verdana" w:eastAsia="宋体" w:cs="Times New Roman"/>
      <w:kern w:val="0"/>
      <w:sz w:val="20"/>
      <w:szCs w:val="24"/>
      <w:lang w:val="de-DE" w:eastAsia="de-DE" w:bidi="ar-SA"/>
    </w:rPr>
  </w:style>
  <w:style w:type="paragraph" w:customStyle="1" w:styleId="364">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65">
    <w:name w:val="标提1"/>
    <w:basedOn w:val="2"/>
    <w:next w:val="313"/>
    <w:qFormat/>
    <w:uiPriority w:val="0"/>
    <w:pPr>
      <w:keepLines/>
      <w:spacing w:before="120" w:after="120"/>
      <w:jc w:val="both"/>
    </w:pPr>
    <w:rPr>
      <w:rFonts w:eastAsia="黑体"/>
      <w:bCs w:val="0"/>
      <w:color w:val="auto"/>
      <w:kern w:val="44"/>
      <w:sz w:val="28"/>
    </w:rPr>
  </w:style>
  <w:style w:type="paragraph" w:customStyle="1" w:styleId="366">
    <w:name w:val="xl143"/>
    <w:basedOn w:val="1"/>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36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68">
    <w:name w:val="1 Char"/>
    <w:basedOn w:val="1"/>
    <w:qFormat/>
    <w:uiPriority w:val="0"/>
    <w:rPr>
      <w:szCs w:val="24"/>
    </w:rPr>
  </w:style>
  <w:style w:type="paragraph" w:customStyle="1" w:styleId="369">
    <w:name w:val="文档结构图3"/>
    <w:basedOn w:val="1"/>
    <w:qFormat/>
    <w:uiPriority w:val="0"/>
    <w:pPr>
      <w:shd w:val="clear" w:color="auto" w:fill="000080"/>
    </w:pPr>
    <w:rPr>
      <w:kern w:val="0"/>
      <w:sz w:val="20"/>
      <w:szCs w:val="24"/>
      <w:shd w:val="clear" w:color="auto" w:fill="000080"/>
    </w:rPr>
  </w:style>
  <w:style w:type="paragraph" w:customStyle="1" w:styleId="370">
    <w:name w:val="批注主题4"/>
    <w:basedOn w:val="18"/>
    <w:next w:val="18"/>
    <w:qFormat/>
    <w:uiPriority w:val="0"/>
    <w:rPr>
      <w:b/>
      <w:bCs/>
      <w:kern w:val="0"/>
      <w:sz w:val="20"/>
      <w:szCs w:val="24"/>
    </w:rPr>
  </w:style>
  <w:style w:type="paragraph" w:customStyle="1" w:styleId="371">
    <w:name w:val="招标样式"/>
    <w:basedOn w:val="1"/>
    <w:qFormat/>
    <w:uiPriority w:val="0"/>
    <w:pPr>
      <w:spacing w:before="120" w:after="120"/>
    </w:pPr>
    <w:rPr>
      <w:rFonts w:ascii="宋体" w:hAnsi="宋体"/>
      <w:sz w:val="24"/>
    </w:rPr>
  </w:style>
  <w:style w:type="paragraph" w:customStyle="1" w:styleId="372">
    <w:name w:val="列出段落2"/>
    <w:basedOn w:val="1"/>
    <w:qFormat/>
    <w:uiPriority w:val="34"/>
    <w:pPr>
      <w:ind w:firstLine="420" w:firstLineChars="200"/>
    </w:pPr>
  </w:style>
  <w:style w:type="paragraph" w:customStyle="1" w:styleId="373">
    <w:name w:val="xl17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4">
    <w:name w:val="批注主题3"/>
    <w:basedOn w:val="18"/>
    <w:next w:val="18"/>
    <w:qFormat/>
    <w:uiPriority w:val="0"/>
    <w:rPr>
      <w:b/>
      <w:bCs/>
      <w:kern w:val="0"/>
      <w:sz w:val="20"/>
      <w:szCs w:val="24"/>
    </w:rPr>
  </w:style>
  <w:style w:type="paragraph" w:customStyle="1" w:styleId="375">
    <w:name w:val="日期2"/>
    <w:basedOn w:val="1"/>
    <w:next w:val="1"/>
    <w:qFormat/>
    <w:uiPriority w:val="0"/>
    <w:pPr>
      <w:ind w:left="100" w:leftChars="2500"/>
    </w:pPr>
    <w:rPr>
      <w:kern w:val="0"/>
      <w:sz w:val="20"/>
      <w:szCs w:val="24"/>
    </w:rPr>
  </w:style>
  <w:style w:type="paragraph" w:customStyle="1" w:styleId="376">
    <w:name w:val="Char8"/>
    <w:basedOn w:val="1"/>
    <w:qFormat/>
    <w:uiPriority w:val="0"/>
    <w:rPr>
      <w:rFonts w:ascii="仿宋_GB2312" w:eastAsia="仿宋_GB2312"/>
      <w:b/>
      <w:sz w:val="32"/>
      <w:szCs w:val="32"/>
    </w:rPr>
  </w:style>
  <w:style w:type="paragraph" w:customStyle="1" w:styleId="377">
    <w:name w:val="样式 标题 3条Heading 3 Char1Heading 3 Char CharHeading 3 CharHea..."/>
    <w:basedOn w:val="4"/>
    <w:qFormat/>
    <w:uiPriority w:val="0"/>
    <w:pPr>
      <w:tabs>
        <w:tab w:val="left" w:pos="3828"/>
      </w:tabs>
      <w:adjustRightInd w:val="0"/>
      <w:snapToGrid w:val="0"/>
      <w:spacing w:before="312" w:beforeLines="100" w:line="360" w:lineRule="auto"/>
      <w:jc w:val="both"/>
      <w:textAlignment w:val="baseline"/>
    </w:pPr>
    <w:rPr>
      <w:rFonts w:ascii="黑体" w:hAnsi="黑体" w:eastAsia="黑体"/>
      <w:b w:val="0"/>
      <w:kern w:val="2"/>
    </w:rPr>
  </w:style>
  <w:style w:type="paragraph" w:customStyle="1" w:styleId="378">
    <w:name w:val="修订11"/>
    <w:qFormat/>
    <w:uiPriority w:val="99"/>
    <w:rPr>
      <w:rFonts w:ascii="Times New Roman" w:hAnsi="Times New Roman" w:eastAsia="宋体" w:cs="Times New Roman"/>
      <w:kern w:val="2"/>
      <w:sz w:val="21"/>
      <w:szCs w:val="24"/>
      <w:lang w:val="en-US" w:eastAsia="zh-CN" w:bidi="ar-SA"/>
    </w:rPr>
  </w:style>
  <w:style w:type="paragraph" w:customStyle="1" w:styleId="379">
    <w:name w:val="4正文 Char"/>
    <w:basedOn w:val="1"/>
    <w:qFormat/>
    <w:uiPriority w:val="0"/>
    <w:pPr>
      <w:spacing w:after="156" w:line="480" w:lineRule="exact"/>
      <w:ind w:firstLine="420" w:firstLineChars="200"/>
    </w:pPr>
    <w:rPr>
      <w:rFonts w:hAnsi="宋体"/>
      <w:sz w:val="24"/>
      <w:szCs w:val="20"/>
    </w:rPr>
  </w:style>
  <w:style w:type="paragraph" w:customStyle="1" w:styleId="380">
    <w:name w:val="dash6b63_65871"/>
    <w:basedOn w:val="1"/>
    <w:qFormat/>
    <w:uiPriority w:val="0"/>
    <w:pPr>
      <w:widowControl/>
    </w:pPr>
    <w:rPr>
      <w:rFonts w:cs="Calibri"/>
      <w:kern w:val="0"/>
      <w:sz w:val="20"/>
      <w:szCs w:val="20"/>
    </w:rPr>
  </w:style>
  <w:style w:type="paragraph" w:styleId="381">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2">
    <w:name w:val="黑体内部标题"/>
    <w:basedOn w:val="1"/>
    <w:next w:val="383"/>
    <w:qFormat/>
    <w:uiPriority w:val="0"/>
    <w:pPr>
      <w:tabs>
        <w:tab w:val="left" w:pos="620"/>
        <w:tab w:val="left" w:pos="3510"/>
      </w:tabs>
      <w:adjustRightInd w:val="0"/>
      <w:snapToGrid w:val="0"/>
      <w:spacing w:before="156" w:beforeLines="50" w:after="156" w:afterLines="50"/>
      <w:ind w:left="3510" w:hanging="1200"/>
    </w:pPr>
    <w:rPr>
      <w:rFonts w:eastAsia="黑体"/>
      <w:color w:val="000000"/>
      <w:sz w:val="24"/>
      <w:szCs w:val="24"/>
    </w:rPr>
  </w:style>
  <w:style w:type="paragraph" w:customStyle="1" w:styleId="383">
    <w:name w:val="列表正文"/>
    <w:basedOn w:val="1"/>
    <w:qFormat/>
    <w:uiPriority w:val="0"/>
    <w:pPr>
      <w:adjustRightInd w:val="0"/>
      <w:snapToGrid w:val="0"/>
      <w:spacing w:line="360" w:lineRule="auto"/>
      <w:ind w:left="200" w:leftChars="200" w:firstLine="150" w:firstLineChars="150"/>
    </w:pPr>
    <w:rPr>
      <w:sz w:val="24"/>
      <w:szCs w:val="24"/>
    </w:rPr>
  </w:style>
  <w:style w:type="paragraph" w:customStyle="1" w:styleId="384">
    <w:name w:val="Char Char Char Char Char Char Char Char Char Char"/>
    <w:basedOn w:val="1"/>
    <w:qFormat/>
    <w:uiPriority w:val="0"/>
    <w:rPr>
      <w:kern w:val="0"/>
      <w:sz w:val="20"/>
      <w:szCs w:val="20"/>
    </w:rPr>
  </w:style>
  <w:style w:type="paragraph" w:customStyle="1" w:styleId="385">
    <w:name w:val="标题6"/>
    <w:basedOn w:val="7"/>
    <w:next w:val="10"/>
    <w:qFormat/>
    <w:uiPriority w:val="0"/>
    <w:pPr>
      <w:keepNext w:val="0"/>
      <w:keepLines w:val="0"/>
      <w:widowControl w:val="0"/>
      <w:tabs>
        <w:tab w:val="left" w:pos="2520"/>
        <w:tab w:val="clear" w:pos="1152"/>
      </w:tabs>
      <w:adjustRightInd w:val="0"/>
      <w:snapToGrid w:val="0"/>
      <w:spacing w:before="0" w:after="0" w:line="500" w:lineRule="atLeast"/>
      <w:ind w:left="2520" w:hanging="420"/>
      <w:jc w:val="both"/>
    </w:pPr>
    <w:rPr>
      <w:bCs/>
      <w:i w:val="0"/>
      <w:spacing w:val="0"/>
      <w:kern w:val="24"/>
      <w:sz w:val="24"/>
    </w:rPr>
  </w:style>
  <w:style w:type="paragraph" w:customStyle="1" w:styleId="386">
    <w:name w:val="Char1 Char Char Char1"/>
    <w:basedOn w:val="1"/>
    <w:qFormat/>
    <w:uiPriority w:val="0"/>
    <w:rPr>
      <w:szCs w:val="20"/>
    </w:rPr>
  </w:style>
  <w:style w:type="paragraph" w:customStyle="1" w:styleId="387">
    <w:name w:val="样式 一级项标 + 首行缩进:  2 字符 段前: 0.5 行1"/>
    <w:basedOn w:val="1"/>
    <w:qFormat/>
    <w:uiPriority w:val="0"/>
    <w:pPr>
      <w:spacing w:before="156" w:beforeLines="50" w:line="480" w:lineRule="exact"/>
      <w:ind w:firstLine="455" w:firstLineChars="200"/>
    </w:pPr>
    <w:rPr>
      <w:rFonts w:eastAsia="黑体"/>
      <w:b/>
      <w:bCs/>
      <w:sz w:val="24"/>
      <w:szCs w:val="20"/>
    </w:rPr>
  </w:style>
  <w:style w:type="paragraph" w:customStyle="1" w:styleId="388">
    <w:name w:val="默认段落字体 Para Char"/>
    <w:basedOn w:val="1"/>
    <w:qFormat/>
    <w:uiPriority w:val="0"/>
    <w:pPr>
      <w:widowControl/>
      <w:jc w:val="left"/>
    </w:pPr>
    <w:rPr>
      <w:rFonts w:ascii="宋体" w:hAnsi="宋体" w:cs="宋体"/>
      <w:kern w:val="0"/>
      <w:sz w:val="24"/>
      <w:szCs w:val="20"/>
    </w:rPr>
  </w:style>
  <w:style w:type="paragraph" w:customStyle="1" w:styleId="389">
    <w:name w:val="Char Char1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390">
    <w:name w:val="批注主题5"/>
    <w:basedOn w:val="18"/>
    <w:next w:val="18"/>
    <w:qFormat/>
    <w:uiPriority w:val="0"/>
    <w:rPr>
      <w:b/>
      <w:bCs/>
      <w:szCs w:val="24"/>
    </w:rPr>
  </w:style>
  <w:style w:type="paragraph" w:customStyle="1" w:styleId="391">
    <w:name w:val="Char Char Char Char Char Char Char"/>
    <w:basedOn w:val="1"/>
    <w:qFormat/>
    <w:uiPriority w:val="0"/>
    <w:pPr>
      <w:tabs>
        <w:tab w:val="left" w:pos="432"/>
      </w:tabs>
      <w:ind w:left="432" w:hanging="432"/>
    </w:pPr>
    <w:rPr>
      <w:rFonts w:ascii="Tahoma" w:hAnsi="Tahoma"/>
      <w:sz w:val="24"/>
      <w:szCs w:val="20"/>
    </w:rPr>
  </w:style>
  <w:style w:type="paragraph" w:customStyle="1" w:styleId="392">
    <w:name w:val="表格标题"/>
    <w:basedOn w:val="1"/>
    <w:qFormat/>
    <w:uiPriority w:val="0"/>
    <w:pPr>
      <w:adjustRightInd w:val="0"/>
      <w:snapToGrid w:val="0"/>
      <w:spacing w:line="480" w:lineRule="exact"/>
      <w:ind w:left="508" w:leftChars="1" w:right="113" w:hanging="505"/>
      <w:jc w:val="center"/>
    </w:pPr>
    <w:rPr>
      <w:rFonts w:ascii="宋体" w:eastAsia="黑体"/>
      <w:sz w:val="36"/>
      <w:szCs w:val="28"/>
    </w:rPr>
  </w:style>
  <w:style w:type="paragraph" w:customStyle="1" w:styleId="393">
    <w:name w:val="_Style 2"/>
    <w:basedOn w:val="1"/>
    <w:next w:val="1"/>
    <w:qFormat/>
    <w:uiPriority w:val="0"/>
    <w:pPr>
      <w:ind w:firstLine="420" w:firstLineChars="200"/>
    </w:pPr>
    <w:rPr>
      <w:rFonts w:ascii="Calibri" w:hAnsi="Calibri"/>
      <w:szCs w:val="22"/>
    </w:rPr>
  </w:style>
  <w:style w:type="paragraph" w:customStyle="1" w:styleId="394">
    <w:name w:val="正文(首行缩进)"/>
    <w:qFormat/>
    <w:uiPriority w:val="0"/>
    <w:pPr>
      <w:spacing w:line="360" w:lineRule="auto"/>
      <w:ind w:firstLine="200" w:firstLineChars="200"/>
      <w:jc w:val="both"/>
    </w:pPr>
    <w:rPr>
      <w:rFonts w:ascii="Times New Roman" w:hAnsi="Times New Roman" w:eastAsia="仿宋_GB2312" w:cs="Times New Roman"/>
      <w:spacing w:val="2"/>
      <w:kern w:val="24"/>
      <w:sz w:val="24"/>
      <w:szCs w:val="20"/>
      <w:lang w:val="en-US" w:eastAsia="zh-CN" w:bidi="ar-SA"/>
    </w:rPr>
  </w:style>
  <w:style w:type="paragraph" w:customStyle="1" w:styleId="395">
    <w:name w:val="xl1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6">
    <w:name w:val="正文 A"/>
    <w:qFormat/>
    <w:uiPriority w:val="0"/>
    <w:pPr>
      <w:framePr w:wrap="around" w:vAnchor="margin" w:hAnchor="text" w:yAlign="top"/>
      <w:widowControl w:val="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397">
    <w:name w:val="B"/>
    <w:basedOn w:val="1"/>
    <w:qFormat/>
    <w:uiPriority w:val="0"/>
    <w:pPr>
      <w:tabs>
        <w:tab w:val="center" w:pos="4706"/>
        <w:tab w:val="right" w:pos="9044"/>
      </w:tabs>
      <w:topLinePunct/>
      <w:spacing w:before="160" w:after="60" w:line="312" w:lineRule="exact"/>
      <w:jc w:val="center"/>
    </w:pPr>
    <w:rPr>
      <w:rFonts w:ascii="E-F1" w:eastAsia="黑体"/>
    </w:rPr>
  </w:style>
  <w:style w:type="paragraph" w:customStyle="1" w:styleId="398">
    <w:name w:val="xl14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99">
    <w:name w:val="Report Level 1"/>
    <w:basedOn w:val="1"/>
    <w:next w:val="1"/>
    <w:qFormat/>
    <w:uiPriority w:val="0"/>
    <w:pPr>
      <w:keepNext/>
      <w:widowControl/>
      <w:spacing w:before="240" w:after="120"/>
      <w:jc w:val="left"/>
      <w:outlineLvl w:val="0"/>
    </w:pPr>
    <w:rPr>
      <w:rFonts w:ascii="Arial" w:hAnsi="Arial"/>
      <w:b/>
      <w:caps/>
      <w:kern w:val="0"/>
      <w:sz w:val="24"/>
      <w:szCs w:val="20"/>
      <w:lang w:val="en-GB" w:eastAsia="en-US"/>
    </w:rPr>
  </w:style>
  <w:style w:type="paragraph" w:customStyle="1" w:styleId="40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1">
    <w:name w:val="xx"/>
    <w:basedOn w:val="347"/>
    <w:qFormat/>
    <w:uiPriority w:val="0"/>
    <w:pPr>
      <w:tabs>
        <w:tab w:val="left" w:pos="720"/>
        <w:tab w:val="clear" w:pos="1080"/>
      </w:tabs>
      <w:spacing w:before="312" w:beforeLines="100" w:after="156" w:afterLines="50" w:line="440" w:lineRule="exact"/>
      <w:ind w:left="170" w:hanging="170"/>
      <w:outlineLvl w:val="2"/>
    </w:pPr>
    <w:rPr>
      <w:sz w:val="28"/>
    </w:rPr>
  </w:style>
  <w:style w:type="paragraph" w:customStyle="1" w:styleId="402">
    <w:name w:val="Char"/>
    <w:basedOn w:val="17"/>
    <w:qFormat/>
    <w:uiPriority w:val="0"/>
    <w:pPr>
      <w:tabs>
        <w:tab w:val="left" w:pos="425"/>
      </w:tabs>
      <w:ind w:left="425" w:hanging="425"/>
    </w:pPr>
    <w:rPr>
      <w:rFonts w:ascii="Tahoma" w:hAnsi="Tahoma"/>
      <w:sz w:val="32"/>
      <w:szCs w:val="24"/>
    </w:rPr>
  </w:style>
  <w:style w:type="paragraph" w:customStyle="1" w:styleId="403">
    <w:name w:val="样式C"/>
    <w:basedOn w:val="1"/>
    <w:qFormat/>
    <w:uiPriority w:val="0"/>
    <w:pPr>
      <w:widowControl/>
      <w:tabs>
        <w:tab w:val="left" w:pos="840"/>
      </w:tabs>
      <w:adjustRightInd w:val="0"/>
      <w:snapToGrid w:val="0"/>
      <w:spacing w:before="156" w:beforeLines="50" w:line="360" w:lineRule="auto"/>
      <w:ind w:left="420" w:hanging="420"/>
      <w:jc w:val="left"/>
    </w:pPr>
    <w:rPr>
      <w:b/>
      <w:kern w:val="0"/>
      <w:sz w:val="24"/>
      <w:szCs w:val="20"/>
      <w:lang w:eastAsia="en-US" w:bidi="en-US"/>
    </w:rPr>
  </w:style>
  <w:style w:type="paragraph" w:customStyle="1" w:styleId="404">
    <w:name w:val="A"/>
    <w:basedOn w:val="1"/>
    <w:qFormat/>
    <w:uiPriority w:val="0"/>
    <w:pPr>
      <w:tabs>
        <w:tab w:val="left" w:pos="720"/>
      </w:tabs>
      <w:spacing w:line="336" w:lineRule="auto"/>
      <w:ind w:left="840" w:hanging="600"/>
    </w:pPr>
    <w:rPr>
      <w:rFonts w:ascii="宋体"/>
      <w:sz w:val="24"/>
      <w:szCs w:val="24"/>
    </w:rPr>
  </w:style>
  <w:style w:type="paragraph" w:customStyle="1" w:styleId="405">
    <w:name w:val="表格1"/>
    <w:qFormat/>
    <w:uiPriority w:val="0"/>
    <w:pPr>
      <w:keepNext/>
      <w:jc w:val="center"/>
    </w:pPr>
    <w:rPr>
      <w:rFonts w:ascii="宋体" w:hAnsi="Times New Roman" w:eastAsia="宋体" w:cs="Times New Roman"/>
      <w:spacing w:val="6"/>
      <w:w w:val="95"/>
      <w:kern w:val="0"/>
      <w:sz w:val="24"/>
      <w:szCs w:val="20"/>
      <w:lang w:val="en-US" w:eastAsia="zh-CN" w:bidi="ar-SA"/>
    </w:rPr>
  </w:style>
  <w:style w:type="paragraph" w:customStyle="1" w:styleId="406">
    <w:name w:val="xl14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407">
    <w:name w:val="正文3"/>
    <w:basedOn w:val="1"/>
    <w:qFormat/>
    <w:locked/>
    <w:uiPriority w:val="0"/>
    <w:pPr>
      <w:adjustRightInd w:val="0"/>
      <w:spacing w:line="360" w:lineRule="auto"/>
      <w:jc w:val="left"/>
      <w:textAlignment w:val="baseline"/>
    </w:pPr>
    <w:rPr>
      <w:rFonts w:ascii="Arial" w:hAnsi="Arial" w:cs="宋体"/>
      <w:bCs/>
      <w:iCs/>
      <w:kern w:val="0"/>
      <w:sz w:val="24"/>
      <w:szCs w:val="20"/>
    </w:rPr>
  </w:style>
  <w:style w:type="paragraph" w:customStyle="1" w:styleId="408">
    <w:name w:val="zy"/>
    <w:basedOn w:val="1"/>
    <w:qFormat/>
    <w:uiPriority w:val="0"/>
    <w:pPr>
      <w:spacing w:line="360" w:lineRule="auto"/>
    </w:pPr>
    <w:rPr>
      <w:rFonts w:ascii="宋体" w:hAnsi="宋体"/>
      <w:szCs w:val="20"/>
    </w:rPr>
  </w:style>
  <w:style w:type="paragraph" w:customStyle="1" w:styleId="409">
    <w:name w:val="标题 21"/>
    <w:basedOn w:val="1"/>
    <w:qFormat/>
    <w:uiPriority w:val="1"/>
    <w:pPr>
      <w:ind w:left="142"/>
      <w:outlineLvl w:val="2"/>
    </w:pPr>
    <w:rPr>
      <w:rFonts w:ascii="宋体" w:hAnsi="宋体"/>
      <w:b/>
      <w:bCs/>
      <w:sz w:val="28"/>
      <w:szCs w:val="28"/>
    </w:rPr>
  </w:style>
  <w:style w:type="paragraph" w:customStyle="1" w:styleId="410">
    <w:name w:val="xl15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7030A0"/>
      <w:kern w:val="0"/>
      <w:sz w:val="20"/>
      <w:szCs w:val="20"/>
    </w:rPr>
  </w:style>
  <w:style w:type="paragraph" w:customStyle="1" w:styleId="411">
    <w:name w:val="表格"/>
    <w:basedOn w:val="1"/>
    <w:qFormat/>
    <w:uiPriority w:val="0"/>
    <w:pPr>
      <w:jc w:val="center"/>
      <w:textAlignment w:val="center"/>
    </w:pPr>
    <w:rPr>
      <w:rFonts w:ascii="华文细黑" w:hAnsi="华文细黑"/>
      <w:kern w:val="0"/>
      <w:szCs w:val="20"/>
    </w:rPr>
  </w:style>
  <w:style w:type="paragraph" w:customStyle="1" w:styleId="412">
    <w:name w:val="Char1"/>
    <w:basedOn w:val="1"/>
    <w:qFormat/>
    <w:uiPriority w:val="0"/>
    <w:rPr>
      <w:rFonts w:ascii="Tahoma" w:hAnsi="Tahoma"/>
      <w:sz w:val="24"/>
      <w:szCs w:val="20"/>
    </w:rPr>
  </w:style>
  <w:style w:type="paragraph" w:customStyle="1" w:styleId="413">
    <w:name w:val="样式1"/>
    <w:basedOn w:val="10"/>
    <w:qFormat/>
    <w:uiPriority w:val="0"/>
    <w:pPr>
      <w:widowControl/>
      <w:tabs>
        <w:tab w:val="left" w:pos="3510"/>
      </w:tabs>
      <w:ind w:left="3510" w:hanging="1200"/>
      <w:jc w:val="left"/>
    </w:pPr>
    <w:rPr>
      <w:rFonts w:ascii="Arial" w:hAnsi="Arial"/>
      <w:spacing w:val="-5"/>
      <w:sz w:val="30"/>
    </w:rPr>
  </w:style>
  <w:style w:type="paragraph" w:customStyle="1" w:styleId="414">
    <w:name w:val="xl17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5">
    <w:name w:val="Char Char Char1"/>
    <w:basedOn w:val="1"/>
    <w:qFormat/>
    <w:uiPriority w:val="0"/>
    <w:pPr>
      <w:spacing w:line="300" w:lineRule="auto"/>
    </w:pPr>
    <w:rPr>
      <w:rFonts w:ascii="宋体" w:hAnsi="宋体"/>
      <w:b/>
      <w:bCs/>
      <w:color w:val="000000"/>
      <w:spacing w:val="8"/>
      <w:kern w:val="0"/>
      <w:sz w:val="24"/>
      <w:szCs w:val="24"/>
    </w:rPr>
  </w:style>
  <w:style w:type="paragraph" w:customStyle="1" w:styleId="416">
    <w:name w:val="xl140"/>
    <w:basedOn w:val="1"/>
    <w:qFormat/>
    <w:uiPriority w:val="0"/>
    <w:pPr>
      <w:widowControl/>
      <w:shd w:val="clear" w:color="000000" w:fill="FFFFFF"/>
      <w:spacing w:before="100" w:beforeAutospacing="1" w:after="100" w:afterAutospacing="1"/>
      <w:jc w:val="center"/>
    </w:pPr>
    <w:rPr>
      <w:rFonts w:ascii="宋体" w:hAnsi="宋体" w:cs="宋体"/>
      <w:b/>
      <w:bCs/>
      <w:kern w:val="0"/>
      <w:sz w:val="36"/>
      <w:szCs w:val="36"/>
    </w:rPr>
  </w:style>
  <w:style w:type="paragraph" w:customStyle="1" w:styleId="417">
    <w:name w:val="dash6b63_6587"/>
    <w:basedOn w:val="1"/>
    <w:qFormat/>
    <w:uiPriority w:val="0"/>
    <w:pPr>
      <w:widowControl/>
    </w:pPr>
    <w:rPr>
      <w:rFonts w:cs="Calibri"/>
      <w:kern w:val="0"/>
      <w:sz w:val="20"/>
      <w:szCs w:val="20"/>
    </w:rPr>
  </w:style>
  <w:style w:type="paragraph" w:customStyle="1" w:styleId="418">
    <w:name w:val="(符号)标书正文"/>
    <w:basedOn w:val="1"/>
    <w:qFormat/>
    <w:uiPriority w:val="0"/>
    <w:pPr>
      <w:spacing w:line="460" w:lineRule="exact"/>
      <w:ind w:left="628" w:leftChars="299" w:right="210" w:firstLine="270" w:firstLineChars="116"/>
    </w:pPr>
    <w:rPr>
      <w:rFonts w:ascii="宋体" w:hAnsi="宋体"/>
      <w:b/>
      <w:spacing w:val="-4"/>
      <w:kern w:val="0"/>
      <w:sz w:val="24"/>
      <w:szCs w:val="24"/>
    </w:rPr>
  </w:style>
  <w:style w:type="paragraph" w:customStyle="1" w:styleId="419">
    <w:name w:val="Char Char2 Char Char Char Char Char Char Char Char Char Char"/>
    <w:basedOn w:val="1"/>
    <w:qFormat/>
    <w:uiPriority w:val="0"/>
    <w:rPr>
      <w:rFonts w:ascii="Tahoma" w:hAnsi="Tahoma"/>
      <w:sz w:val="24"/>
      <w:szCs w:val="20"/>
    </w:rPr>
  </w:style>
  <w:style w:type="paragraph" w:customStyle="1" w:styleId="420">
    <w:name w:val="xl15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20"/>
      <w:szCs w:val="20"/>
    </w:rPr>
  </w:style>
  <w:style w:type="paragraph" w:customStyle="1" w:styleId="421">
    <w:name w:val="*正文"/>
    <w:basedOn w:val="1"/>
    <w:next w:val="1"/>
    <w:qFormat/>
    <w:uiPriority w:val="0"/>
    <w:pPr>
      <w:widowControl/>
      <w:ind w:firstLine="482"/>
    </w:pPr>
    <w:rPr>
      <w:rFonts w:ascii="微软雅黑" w:hAnsi="微软雅黑" w:eastAsia="微软雅黑"/>
    </w:rPr>
  </w:style>
  <w:style w:type="paragraph" w:customStyle="1" w:styleId="422">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423">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424">
    <w:name w:val="OmniPage #267"/>
    <w:basedOn w:val="1"/>
    <w:qFormat/>
    <w:uiPriority w:val="0"/>
    <w:pPr>
      <w:widowControl/>
      <w:tabs>
        <w:tab w:val="left" w:pos="1520"/>
        <w:tab w:val="right" w:pos="10107"/>
      </w:tabs>
      <w:ind w:left="1932" w:right="1517" w:hanging="1498"/>
      <w:jc w:val="left"/>
    </w:pPr>
    <w:rPr>
      <w:kern w:val="0"/>
      <w:sz w:val="20"/>
      <w:szCs w:val="20"/>
    </w:rPr>
  </w:style>
  <w:style w:type="paragraph" w:customStyle="1" w:styleId="425">
    <w:name w:val="xl15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7030A0"/>
      <w:kern w:val="0"/>
      <w:sz w:val="20"/>
      <w:szCs w:val="20"/>
    </w:rPr>
  </w:style>
  <w:style w:type="paragraph" w:customStyle="1" w:styleId="426">
    <w:name w:val="样式 标题 1 + 黑体 三号 非加粗 居中 段前: 6 磅 段后: 6 磅 行距: 固定值 20 磅"/>
    <w:basedOn w:val="2"/>
    <w:qFormat/>
    <w:uiPriority w:val="0"/>
    <w:pPr>
      <w:keepLines/>
      <w:spacing w:before="120" w:after="120" w:line="400" w:lineRule="exact"/>
    </w:pPr>
    <w:rPr>
      <w:rFonts w:ascii="黑体" w:hAnsi="黑体" w:eastAsia="黑体" w:cs="宋体"/>
      <w:b w:val="0"/>
      <w:bCs w:val="0"/>
      <w:color w:val="auto"/>
      <w:kern w:val="44"/>
    </w:rPr>
  </w:style>
  <w:style w:type="paragraph" w:customStyle="1" w:styleId="427">
    <w:name w:val="正文2"/>
    <w:basedOn w:val="1"/>
    <w:qFormat/>
    <w:uiPriority w:val="0"/>
    <w:pPr>
      <w:widowControl/>
      <w:spacing w:after="160" w:line="360" w:lineRule="auto"/>
      <w:ind w:firstLine="200" w:firstLineChars="200"/>
      <w:jc w:val="left"/>
    </w:pPr>
    <w:rPr>
      <w:szCs w:val="20"/>
    </w:rPr>
  </w:style>
  <w:style w:type="paragraph" w:customStyle="1" w:styleId="428">
    <w:name w:val="1.1"/>
    <w:basedOn w:val="1"/>
    <w:qFormat/>
    <w:uiPriority w:val="0"/>
    <w:pPr>
      <w:spacing w:line="440" w:lineRule="exact"/>
      <w:ind w:firstLine="200" w:firstLineChars="200"/>
    </w:pPr>
    <w:rPr>
      <w:sz w:val="28"/>
      <w:szCs w:val="20"/>
    </w:rPr>
  </w:style>
  <w:style w:type="paragraph" w:customStyle="1" w:styleId="429">
    <w:name w:val="文档结构图4"/>
    <w:basedOn w:val="1"/>
    <w:qFormat/>
    <w:uiPriority w:val="0"/>
    <w:pPr>
      <w:shd w:val="clear" w:color="auto" w:fill="000080"/>
    </w:pPr>
    <w:rPr>
      <w:kern w:val="0"/>
      <w:sz w:val="20"/>
      <w:szCs w:val="24"/>
      <w:shd w:val="clear" w:color="auto" w:fill="000080"/>
    </w:rPr>
  </w:style>
  <w:style w:type="paragraph" w:customStyle="1" w:styleId="430">
    <w:name w:val="xl37"/>
    <w:basedOn w:val="1"/>
    <w:qFormat/>
    <w:uiPriority w:val="0"/>
    <w:pPr>
      <w:widowControl/>
      <w:pBdr>
        <w:left w:val="single" w:color="auto" w:sz="4" w:space="0"/>
        <w:bottom w:val="single" w:color="auto" w:sz="8" w:space="0"/>
      </w:pBdr>
      <w:spacing w:before="100" w:beforeAutospacing="1" w:after="100" w:afterAutospacing="1"/>
      <w:jc w:val="center"/>
    </w:pPr>
    <w:rPr>
      <w:rFonts w:ascii="仿宋_GB2312" w:hAnsi="宋体" w:eastAsia="仿宋_GB2312"/>
      <w:kern w:val="0"/>
      <w:sz w:val="24"/>
      <w:szCs w:val="24"/>
    </w:rPr>
  </w:style>
  <w:style w:type="paragraph" w:customStyle="1" w:styleId="431">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32">
    <w:name w:val="xl15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433">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34">
    <w:name w:val="Paragraf"/>
    <w:basedOn w:val="1"/>
    <w:qFormat/>
    <w:uiPriority w:val="0"/>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435">
    <w:name w:val="Report Table"/>
    <w:basedOn w:val="307"/>
    <w:qFormat/>
    <w:uiPriority w:val="0"/>
    <w:pPr>
      <w:spacing w:before="60" w:after="60"/>
      <w:ind w:left="0"/>
    </w:pPr>
    <w:rPr>
      <w:sz w:val="20"/>
    </w:rPr>
  </w:style>
  <w:style w:type="paragraph" w:customStyle="1" w:styleId="436">
    <w:name w:val="Char1 Char Char Char Char Char Char"/>
    <w:basedOn w:val="1"/>
    <w:qFormat/>
    <w:uiPriority w:val="0"/>
    <w:rPr>
      <w:rFonts w:ascii="Tahoma" w:hAnsi="Tahoma"/>
      <w:sz w:val="24"/>
      <w:szCs w:val="20"/>
    </w:rPr>
  </w:style>
  <w:style w:type="paragraph" w:customStyle="1" w:styleId="437">
    <w:name w:val="文档结构图1"/>
    <w:basedOn w:val="1"/>
    <w:qFormat/>
    <w:uiPriority w:val="0"/>
    <w:pPr>
      <w:shd w:val="clear" w:color="auto" w:fill="000080"/>
    </w:pPr>
    <w:rPr>
      <w:kern w:val="0"/>
      <w:sz w:val="20"/>
      <w:szCs w:val="24"/>
      <w:shd w:val="clear" w:color="auto" w:fill="000080"/>
    </w:rPr>
  </w:style>
  <w:style w:type="paragraph" w:customStyle="1" w:styleId="438">
    <w:name w:val="表"/>
    <w:basedOn w:val="39"/>
    <w:qFormat/>
    <w:uiPriority w:val="0"/>
    <w:pPr>
      <w:spacing w:line="240" w:lineRule="atLeast"/>
      <w:ind w:left="0" w:firstLine="0"/>
    </w:pPr>
    <w:rPr>
      <w:rFonts w:eastAsia="宋体"/>
      <w:kern w:val="24"/>
      <w:sz w:val="24"/>
      <w:szCs w:val="24"/>
    </w:rPr>
  </w:style>
  <w:style w:type="paragraph" w:customStyle="1" w:styleId="439">
    <w:name w:val="Char Char1 Char Char Char Char Char Char Char Char Char Char Char Char Char Char Char"/>
    <w:basedOn w:val="1"/>
    <w:qFormat/>
    <w:uiPriority w:val="0"/>
    <w:pPr>
      <w:widowControl/>
      <w:spacing w:after="160" w:line="240" w:lineRule="exact"/>
      <w:jc w:val="left"/>
    </w:pPr>
    <w:rPr>
      <w:szCs w:val="20"/>
    </w:rPr>
  </w:style>
  <w:style w:type="paragraph" w:customStyle="1" w:styleId="440">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441">
    <w:name w:val="Briefbody"/>
    <w:qFormat/>
    <w:uiPriority w:val="0"/>
    <w:rPr>
      <w:rFonts w:ascii="Verdana" w:hAnsi="Verdana" w:eastAsia="宋体" w:cs="Verdana"/>
      <w:kern w:val="0"/>
      <w:sz w:val="20"/>
      <w:szCs w:val="20"/>
      <w:lang w:val="de-DE" w:eastAsia="de-DE" w:bidi="ar-SA"/>
    </w:rPr>
  </w:style>
  <w:style w:type="paragraph" w:customStyle="1" w:styleId="442">
    <w:name w:val="正"/>
    <w:basedOn w:val="1"/>
    <w:next w:val="1"/>
    <w:qFormat/>
    <w:uiPriority w:val="0"/>
    <w:pPr>
      <w:spacing w:line="480" w:lineRule="exact"/>
      <w:ind w:left="466" w:leftChars="141" w:firstLine="28" w:firstLineChars="9"/>
    </w:pPr>
    <w:rPr>
      <w:rFonts w:ascii="宋体" w:hAnsi="宋体" w:cs="宋体"/>
      <w:kern w:val="0"/>
      <w:sz w:val="28"/>
      <w:szCs w:val="28"/>
    </w:rPr>
  </w:style>
  <w:style w:type="paragraph" w:customStyle="1" w:styleId="443">
    <w:name w:val="spec"/>
    <w:basedOn w:val="1"/>
    <w:qFormat/>
    <w:uiPriority w:val="0"/>
    <w:pPr>
      <w:widowControl/>
      <w:ind w:left="288" w:right="144"/>
      <w:jc w:val="left"/>
    </w:pPr>
    <w:rPr>
      <w:rFonts w:ascii="Arial" w:hAnsi="Arial"/>
      <w:kern w:val="0"/>
      <w:sz w:val="20"/>
      <w:szCs w:val="20"/>
      <w:lang w:eastAsia="en-US"/>
    </w:rPr>
  </w:style>
  <w:style w:type="paragraph" w:customStyle="1" w:styleId="444">
    <w:name w:val="1"/>
    <w:basedOn w:val="1"/>
    <w:next w:val="1"/>
    <w:qFormat/>
    <w:uiPriority w:val="0"/>
    <w:rPr>
      <w:szCs w:val="24"/>
    </w:rPr>
  </w:style>
  <w:style w:type="paragraph" w:customStyle="1" w:styleId="445">
    <w:name w:val="xl23"/>
    <w:basedOn w:val="1"/>
    <w:qFormat/>
    <w:uiPriority w:val="0"/>
    <w:pPr>
      <w:widowControl/>
      <w:spacing w:before="100" w:beforeAutospacing="1" w:after="100" w:afterAutospacing="1"/>
      <w:jc w:val="center"/>
    </w:pPr>
    <w:rPr>
      <w:rFonts w:ascii="PMingLiU" w:eastAsia="PMingLiU"/>
      <w:kern w:val="0"/>
      <w:sz w:val="24"/>
      <w:szCs w:val="24"/>
      <w:lang w:eastAsia="zh-TW"/>
    </w:rPr>
  </w:style>
  <w:style w:type="paragraph" w:customStyle="1" w:styleId="446">
    <w:name w:val="批注主题2"/>
    <w:basedOn w:val="18"/>
    <w:next w:val="18"/>
    <w:qFormat/>
    <w:uiPriority w:val="0"/>
    <w:rPr>
      <w:b/>
      <w:bCs/>
      <w:kern w:val="0"/>
      <w:sz w:val="20"/>
      <w:szCs w:val="24"/>
    </w:rPr>
  </w:style>
  <w:style w:type="paragraph" w:customStyle="1" w:styleId="447">
    <w:name w:val="xl1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48">
    <w:name w:val="标点"/>
    <w:basedOn w:val="28"/>
    <w:qFormat/>
    <w:uiPriority w:val="0"/>
    <w:pPr>
      <w:keepNext/>
      <w:tabs>
        <w:tab w:val="left" w:pos="0"/>
        <w:tab w:val="left" w:pos="420"/>
      </w:tabs>
      <w:spacing w:line="360" w:lineRule="auto"/>
      <w:ind w:left="738" w:hanging="284"/>
    </w:pPr>
    <w:rPr>
      <w:rFonts w:ascii="Arial" w:hAnsi="Arial"/>
      <w:kern w:val="24"/>
      <w:sz w:val="24"/>
    </w:rPr>
  </w:style>
  <w:style w:type="paragraph" w:customStyle="1" w:styleId="449">
    <w:name w:val="Char1 Char Char Char Char Char Char1"/>
    <w:basedOn w:val="1"/>
    <w:qFormat/>
    <w:uiPriority w:val="0"/>
    <w:rPr>
      <w:rFonts w:ascii="Tahoma" w:hAnsi="Tahoma"/>
      <w:sz w:val="24"/>
      <w:szCs w:val="20"/>
    </w:rPr>
  </w:style>
  <w:style w:type="paragraph" w:customStyle="1" w:styleId="450">
    <w:name w:val="Char2"/>
    <w:basedOn w:val="1"/>
    <w:qFormat/>
    <w:uiPriority w:val="0"/>
    <w:rPr>
      <w:szCs w:val="24"/>
    </w:rPr>
  </w:style>
  <w:style w:type="paragraph" w:customStyle="1" w:styleId="451">
    <w:name w:val="xl15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452">
    <w:name w:val="Char11"/>
    <w:basedOn w:val="1"/>
    <w:qFormat/>
    <w:uiPriority w:val="0"/>
    <w:pPr>
      <w:widowControl/>
      <w:spacing w:after="160" w:line="240" w:lineRule="exact"/>
      <w:jc w:val="left"/>
    </w:pPr>
    <w:rPr>
      <w:rFonts w:ascii="宋体" w:hAnsi="宋体"/>
      <w:kern w:val="0"/>
      <w:sz w:val="20"/>
      <w:szCs w:val="20"/>
      <w:lang w:eastAsia="en-US"/>
    </w:rPr>
  </w:style>
  <w:style w:type="paragraph" w:customStyle="1" w:styleId="453">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454">
    <w:name w:val="x正文（首行缩2格）"/>
    <w:basedOn w:val="1"/>
    <w:qFormat/>
    <w:uiPriority w:val="0"/>
    <w:pPr>
      <w:spacing w:before="93" w:beforeLines="30" w:line="400" w:lineRule="exact"/>
      <w:ind w:firstLine="420" w:firstLineChars="200"/>
    </w:pPr>
    <w:rPr>
      <w:szCs w:val="24"/>
    </w:rPr>
  </w:style>
  <w:style w:type="paragraph" w:customStyle="1" w:styleId="455">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5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457">
    <w:name w:val="xl1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458">
    <w:name w:val="Char13"/>
    <w:basedOn w:val="1"/>
    <w:qFormat/>
    <w:uiPriority w:val="0"/>
    <w:pPr>
      <w:widowControl/>
      <w:spacing w:after="160" w:line="240" w:lineRule="exact"/>
      <w:jc w:val="left"/>
    </w:pPr>
    <w:rPr>
      <w:rFonts w:ascii="宋体" w:hAnsi="宋体"/>
      <w:kern w:val="0"/>
      <w:sz w:val="20"/>
      <w:szCs w:val="20"/>
      <w:lang w:eastAsia="en-US"/>
    </w:rPr>
  </w:style>
  <w:style w:type="paragraph" w:customStyle="1" w:styleId="459">
    <w:name w:val="样式 标题 2 + Times New Roman 四号 非加粗 段前: 5 磅 段后: 0 磅 行距: 固定值 20..."/>
    <w:basedOn w:val="3"/>
    <w:next w:val="1"/>
    <w:qFormat/>
    <w:uiPriority w:val="0"/>
    <w:pPr>
      <w:spacing w:before="100" w:line="400" w:lineRule="exact"/>
      <w:ind w:left="425" w:hanging="425"/>
    </w:pPr>
    <w:rPr>
      <w:rFonts w:ascii="Times New Roman" w:hAnsi="Times New Roman" w:eastAsia="黑体" w:cs="宋体"/>
      <w:b w:val="0"/>
      <w:sz w:val="28"/>
      <w:szCs w:val="20"/>
    </w:rPr>
  </w:style>
  <w:style w:type="paragraph" w:customStyle="1" w:styleId="460">
    <w:name w:val="xl14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46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szCs w:val="24"/>
    </w:rPr>
  </w:style>
  <w:style w:type="paragraph" w:customStyle="1" w:styleId="462">
    <w:name w:val="日期5"/>
    <w:basedOn w:val="1"/>
    <w:next w:val="1"/>
    <w:qFormat/>
    <w:uiPriority w:val="0"/>
    <w:pPr>
      <w:ind w:left="100" w:leftChars="2500"/>
    </w:pPr>
    <w:rPr>
      <w:szCs w:val="24"/>
    </w:rPr>
  </w:style>
  <w:style w:type="paragraph" w:customStyle="1" w:styleId="463">
    <w:name w:val="样式 标题 2h2 +"/>
    <w:basedOn w:val="3"/>
    <w:qFormat/>
    <w:uiPriority w:val="0"/>
    <w:pPr>
      <w:widowControl/>
      <w:tabs>
        <w:tab w:val="left" w:pos="840"/>
      </w:tabs>
      <w:spacing w:before="480" w:after="312" w:afterLines="100" w:line="360" w:lineRule="auto"/>
      <w:jc w:val="left"/>
    </w:pPr>
    <w:rPr>
      <w:rFonts w:ascii="Times New Roman" w:hAnsi="Times New Roman" w:eastAsia="黑体" w:cs="宋体"/>
      <w:bCs/>
      <w:sz w:val="28"/>
      <w:szCs w:val="28"/>
    </w:rPr>
  </w:style>
  <w:style w:type="paragraph" w:customStyle="1" w:styleId="464">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kern w:val="0"/>
      <w:sz w:val="24"/>
      <w:szCs w:val="24"/>
    </w:rPr>
  </w:style>
  <w:style w:type="paragraph" w:customStyle="1" w:styleId="465">
    <w:name w:val="Char Char Char Char Char Char1 Char Char Char Char"/>
    <w:basedOn w:val="17"/>
    <w:qFormat/>
    <w:uiPriority w:val="0"/>
    <w:rPr>
      <w:rFonts w:ascii="Tahoma" w:hAnsi="Tahoma"/>
      <w:sz w:val="24"/>
      <w:szCs w:val="24"/>
    </w:rPr>
  </w:style>
  <w:style w:type="paragraph" w:customStyle="1" w:styleId="466">
    <w:name w:val="xl68"/>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宋体" w:hAnsi="宋体" w:cs="宋体"/>
      <w:kern w:val="0"/>
      <w:sz w:val="24"/>
      <w:szCs w:val="24"/>
    </w:rPr>
  </w:style>
  <w:style w:type="paragraph" w:customStyle="1" w:styleId="467">
    <w:name w:val="样式4"/>
    <w:basedOn w:val="1"/>
    <w:qFormat/>
    <w:uiPriority w:val="0"/>
    <w:pPr>
      <w:tabs>
        <w:tab w:val="left" w:pos="874"/>
      </w:tabs>
      <w:spacing w:line="360" w:lineRule="auto"/>
      <w:ind w:left="874" w:hanging="420"/>
    </w:pPr>
    <w:rPr>
      <w:sz w:val="24"/>
      <w:szCs w:val="24"/>
    </w:rPr>
  </w:style>
  <w:style w:type="paragraph" w:customStyle="1" w:styleId="468">
    <w:name w:val="xl16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69">
    <w:name w:val="Revision"/>
    <w:qFormat/>
    <w:uiPriority w:val="0"/>
    <w:rPr>
      <w:rFonts w:ascii="Times New Roman" w:hAnsi="Times New Roman" w:eastAsia="宋体" w:cs="Times New Roman"/>
      <w:kern w:val="2"/>
      <w:sz w:val="21"/>
      <w:szCs w:val="24"/>
      <w:lang w:val="en-US" w:eastAsia="zh-CN" w:bidi="ar-SA"/>
    </w:rPr>
  </w:style>
  <w:style w:type="paragraph" w:customStyle="1" w:styleId="470">
    <w:name w:val="样式 标题 3 + 仿宋_GB2312 小四 段前: 0 磅 段后: 0 磅"/>
    <w:basedOn w:val="4"/>
    <w:qFormat/>
    <w:uiPriority w:val="0"/>
    <w:pPr>
      <w:spacing w:before="156" w:beforeLines="50" w:line="415" w:lineRule="auto"/>
      <w:jc w:val="center"/>
    </w:pPr>
    <w:rPr>
      <w:rFonts w:ascii="仿宋_GB2312" w:eastAsia="仿宋_GB2312" w:cs="宋体"/>
      <w:bCs/>
    </w:rPr>
  </w:style>
  <w:style w:type="paragraph" w:customStyle="1" w:styleId="471">
    <w:name w:val="标题4"/>
    <w:basedOn w:val="3"/>
    <w:next w:val="25"/>
    <w:qFormat/>
    <w:uiPriority w:val="0"/>
    <w:pPr>
      <w:spacing w:before="260" w:after="260" w:line="413" w:lineRule="auto"/>
    </w:pPr>
    <w:rPr>
      <w:rFonts w:ascii="Arial" w:hAnsi="Arial"/>
      <w:b w:val="0"/>
      <w:sz w:val="24"/>
      <w:szCs w:val="32"/>
    </w:rPr>
  </w:style>
  <w:style w:type="paragraph" w:customStyle="1" w:styleId="472">
    <w:name w:val="_Style 186"/>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73">
    <w:name w:val="p17"/>
    <w:basedOn w:val="1"/>
    <w:qFormat/>
    <w:uiPriority w:val="0"/>
    <w:pPr>
      <w:widowControl/>
      <w:spacing w:before="45" w:after="45"/>
      <w:ind w:firstLine="480"/>
      <w:jc w:val="left"/>
    </w:pPr>
    <w:rPr>
      <w:rFonts w:ascii="宋体" w:hAnsi="宋体" w:cs="宋体"/>
      <w:kern w:val="0"/>
      <w:sz w:val="18"/>
      <w:szCs w:val="18"/>
    </w:rPr>
  </w:style>
  <w:style w:type="paragraph" w:customStyle="1" w:styleId="47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0"/>
      <w:lang w:val="en-US" w:eastAsia="zh-CN" w:bidi="ar-SA"/>
    </w:rPr>
  </w:style>
  <w:style w:type="paragraph" w:customStyle="1" w:styleId="475">
    <w:name w:val="Char Char Char1 Char Char Char Char"/>
    <w:basedOn w:val="1"/>
    <w:qFormat/>
    <w:uiPriority w:val="0"/>
    <w:pPr>
      <w:widowControl/>
      <w:snapToGrid w:val="0"/>
      <w:spacing w:after="160" w:line="300" w:lineRule="auto"/>
      <w:jc w:val="left"/>
    </w:pPr>
    <w:rPr>
      <w:rFonts w:ascii="仿宋_GB2312" w:hAnsi="Verdana" w:eastAsia="仿宋_GB2312"/>
      <w:b/>
      <w:kern w:val="0"/>
      <w:sz w:val="28"/>
      <w:szCs w:val="28"/>
      <w:lang w:eastAsia="en-US"/>
    </w:rPr>
  </w:style>
  <w:style w:type="paragraph" w:customStyle="1" w:styleId="476">
    <w:name w:val="Char Char Char Char Char Char Char Char Char Char Char Char"/>
    <w:basedOn w:val="1"/>
    <w:qFormat/>
    <w:uiPriority w:val="0"/>
    <w:pPr>
      <w:spacing w:line="300" w:lineRule="auto"/>
    </w:pPr>
    <w:rPr>
      <w:rFonts w:ascii="宋体" w:hAnsi="宋体"/>
      <w:b/>
      <w:bCs/>
      <w:color w:val="000000"/>
      <w:spacing w:val="8"/>
      <w:kern w:val="0"/>
      <w:sz w:val="24"/>
      <w:szCs w:val="24"/>
    </w:rPr>
  </w:style>
  <w:style w:type="paragraph" w:customStyle="1" w:styleId="477">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78">
    <w:name w:val="Char Char Char2"/>
    <w:basedOn w:val="1"/>
    <w:qFormat/>
    <w:uiPriority w:val="0"/>
    <w:pPr>
      <w:widowControl/>
      <w:spacing w:after="160" w:line="240" w:lineRule="exact"/>
      <w:jc w:val="left"/>
    </w:pPr>
    <w:rPr>
      <w:szCs w:val="20"/>
    </w:rPr>
  </w:style>
  <w:style w:type="paragraph" w:customStyle="1" w:styleId="479">
    <w:name w:val="Char6"/>
    <w:basedOn w:val="1"/>
    <w:qFormat/>
    <w:uiPriority w:val="0"/>
    <w:rPr>
      <w:rFonts w:ascii="Tahoma" w:hAnsi="Tahoma"/>
      <w:sz w:val="30"/>
      <w:szCs w:val="30"/>
    </w:rPr>
  </w:style>
  <w:style w:type="paragraph" w:customStyle="1" w:styleId="480">
    <w:name w:val="xl1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1">
    <w:name w:val="Produktüberschrift"/>
    <w:qFormat/>
    <w:uiPriority w:val="0"/>
    <w:pPr>
      <w:spacing w:after="80" w:line="240" w:lineRule="atLeast"/>
    </w:pPr>
    <w:rPr>
      <w:rFonts w:ascii="Verdana" w:hAnsi="Verdana" w:eastAsia="宋体" w:cs="Times New Roman"/>
      <w:b/>
      <w:kern w:val="0"/>
      <w:sz w:val="20"/>
      <w:szCs w:val="20"/>
      <w:lang w:val="de-DE" w:eastAsia="de-DE" w:bidi="ar-SA"/>
    </w:rPr>
  </w:style>
  <w:style w:type="paragraph" w:customStyle="1" w:styleId="482">
    <w:name w:val="xl171"/>
    <w:basedOn w:val="1"/>
    <w:qFormat/>
    <w:uiPriority w:val="0"/>
    <w:pPr>
      <w:widowControl/>
      <w:spacing w:before="100" w:beforeAutospacing="1" w:after="100" w:afterAutospacing="1"/>
      <w:jc w:val="center"/>
    </w:pPr>
    <w:rPr>
      <w:rFonts w:ascii="宋体" w:hAnsi="宋体" w:cs="宋体"/>
      <w:b/>
      <w:bCs/>
      <w:kern w:val="0"/>
      <w:sz w:val="36"/>
      <w:szCs w:val="36"/>
    </w:rPr>
  </w:style>
  <w:style w:type="paragraph" w:customStyle="1" w:styleId="483">
    <w:name w:val="zy2"/>
    <w:basedOn w:val="408"/>
    <w:qFormat/>
    <w:uiPriority w:val="0"/>
    <w:pPr>
      <w:outlineLvl w:val="0"/>
    </w:pPr>
  </w:style>
  <w:style w:type="paragraph" w:customStyle="1" w:styleId="484">
    <w:name w:val="Char7"/>
    <w:basedOn w:val="1"/>
    <w:qFormat/>
    <w:uiPriority w:val="0"/>
    <w:rPr>
      <w:rFonts w:ascii="Tahoma" w:hAnsi="Tahoma"/>
      <w:sz w:val="30"/>
      <w:szCs w:val="30"/>
    </w:rPr>
  </w:style>
  <w:style w:type="paragraph" w:customStyle="1" w:styleId="485">
    <w:name w:val="Aufzählung Ebene 4"/>
    <w:qFormat/>
    <w:uiPriority w:val="0"/>
    <w:pPr>
      <w:tabs>
        <w:tab w:val="left" w:pos="420"/>
      </w:tabs>
      <w:spacing w:after="20"/>
      <w:ind w:left="1135" w:hanging="284"/>
    </w:pPr>
    <w:rPr>
      <w:rFonts w:ascii="Verdana" w:hAnsi="Verdana" w:eastAsia="宋体" w:cs="Times New Roman"/>
      <w:kern w:val="0"/>
      <w:sz w:val="20"/>
      <w:szCs w:val="24"/>
      <w:lang w:val="de-DE" w:eastAsia="de-DE" w:bidi="ar-SA"/>
    </w:rPr>
  </w:style>
  <w:style w:type="paragraph" w:customStyle="1" w:styleId="486">
    <w:name w:val="3780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87">
    <w:name w:val="日期4"/>
    <w:basedOn w:val="1"/>
    <w:next w:val="1"/>
    <w:qFormat/>
    <w:uiPriority w:val="0"/>
    <w:pPr>
      <w:ind w:left="100" w:leftChars="2500"/>
    </w:pPr>
    <w:rPr>
      <w:kern w:val="0"/>
      <w:sz w:val="20"/>
      <w:szCs w:val="24"/>
    </w:rPr>
  </w:style>
  <w:style w:type="paragraph" w:customStyle="1" w:styleId="488">
    <w:name w:val="普通(网站)1"/>
    <w:qFormat/>
    <w:uiPriority w:val="0"/>
    <w:pPr>
      <w:spacing w:before="100" w:beforeAutospacing="1" w:after="100" w:afterAutospacing="1"/>
    </w:pPr>
    <w:rPr>
      <w:rFonts w:ascii="宋体" w:hAnsi="宋体" w:eastAsia="宋体" w:cs="宋体"/>
      <w:kern w:val="0"/>
      <w:sz w:val="24"/>
      <w:szCs w:val="24"/>
      <w:lang w:val="en-US" w:eastAsia="zh-CN" w:bidi="ar-SA"/>
    </w:rPr>
  </w:style>
  <w:style w:type="paragraph" w:customStyle="1" w:styleId="489">
    <w:name w:val="页脚1"/>
    <w:basedOn w:val="1"/>
    <w:qFormat/>
    <w:uiPriority w:val="0"/>
    <w:pPr>
      <w:tabs>
        <w:tab w:val="center" w:pos="4153"/>
        <w:tab w:val="right" w:pos="8306"/>
      </w:tabs>
      <w:snapToGrid w:val="0"/>
      <w:jc w:val="left"/>
    </w:pPr>
    <w:rPr>
      <w:kern w:val="0"/>
      <w:sz w:val="18"/>
      <w:szCs w:val="18"/>
      <w:lang w:val="zh-CN"/>
    </w:rPr>
  </w:style>
  <w:style w:type="paragraph" w:customStyle="1" w:styleId="490">
    <w:name w:val="标题 31"/>
    <w:basedOn w:val="1"/>
    <w:qFormat/>
    <w:uiPriority w:val="1"/>
    <w:pPr>
      <w:ind w:left="583"/>
      <w:outlineLvl w:val="3"/>
    </w:pPr>
    <w:rPr>
      <w:rFonts w:ascii="宋体" w:hAnsi="宋体"/>
      <w:b/>
      <w:bCs/>
      <w:sz w:val="24"/>
      <w:szCs w:val="24"/>
    </w:rPr>
  </w:style>
  <w:style w:type="paragraph" w:customStyle="1" w:styleId="491">
    <w:name w:val="Char Char Char Char1"/>
    <w:basedOn w:val="1"/>
    <w:qFormat/>
    <w:uiPriority w:val="0"/>
    <w:rPr>
      <w:rFonts w:ascii="Tahoma" w:hAnsi="Tahoma"/>
      <w:sz w:val="24"/>
      <w:szCs w:val="20"/>
    </w:rPr>
  </w:style>
  <w:style w:type="paragraph" w:customStyle="1" w:styleId="492">
    <w:name w:val="Char Char Char Char Char Char Char Char Char Char Char Char Char Char Char Char"/>
    <w:basedOn w:val="1"/>
    <w:qFormat/>
    <w:uiPriority w:val="0"/>
    <w:rPr>
      <w:rFonts w:ascii="Tahoma" w:hAnsi="Tahoma" w:eastAsia="仿宋_GB2312"/>
      <w:b/>
      <w:sz w:val="24"/>
      <w:szCs w:val="20"/>
    </w:rPr>
  </w:style>
  <w:style w:type="paragraph" w:customStyle="1" w:styleId="493">
    <w:name w:val="列出段落21"/>
    <w:basedOn w:val="1"/>
    <w:qFormat/>
    <w:uiPriority w:val="99"/>
    <w:pPr>
      <w:ind w:firstLine="420" w:firstLineChars="200"/>
    </w:pPr>
  </w:style>
  <w:style w:type="paragraph" w:customStyle="1" w:styleId="494">
    <w:name w:val="zw"/>
    <w:qFormat/>
    <w:uiPriority w:val="0"/>
    <w:pPr>
      <w:spacing w:line="480" w:lineRule="exact"/>
      <w:ind w:firstLine="200" w:firstLineChars="200"/>
    </w:pPr>
    <w:rPr>
      <w:rFonts w:ascii="仿宋_GB2312" w:hAnsi="Times New Roman" w:eastAsia="仿宋_GB2312" w:cs="Times New Roman"/>
      <w:kern w:val="0"/>
      <w:sz w:val="24"/>
      <w:szCs w:val="20"/>
      <w:lang w:val="en-US" w:eastAsia="zh-CN" w:bidi="ar-SA"/>
    </w:rPr>
  </w:style>
  <w:style w:type="paragraph" w:customStyle="1" w:styleId="495">
    <w:name w:val="font10"/>
    <w:basedOn w:val="1"/>
    <w:qFormat/>
    <w:uiPriority w:val="0"/>
    <w:pPr>
      <w:widowControl/>
      <w:spacing w:before="100" w:beforeAutospacing="1" w:after="100" w:afterAutospacing="1"/>
      <w:jc w:val="left"/>
    </w:pPr>
    <w:rPr>
      <w:kern w:val="0"/>
      <w:sz w:val="20"/>
      <w:szCs w:val="20"/>
    </w:rPr>
  </w:style>
  <w:style w:type="paragraph" w:customStyle="1" w:styleId="496">
    <w:name w:val="青岛正文"/>
    <w:basedOn w:val="1"/>
    <w:qFormat/>
    <w:uiPriority w:val="0"/>
    <w:pPr>
      <w:spacing w:line="360" w:lineRule="auto"/>
    </w:pPr>
    <w:rPr>
      <w:sz w:val="28"/>
      <w:szCs w:val="24"/>
    </w:rPr>
  </w:style>
  <w:style w:type="paragraph" w:customStyle="1" w:styleId="497">
    <w:name w:val="xl172"/>
    <w:basedOn w:val="1"/>
    <w:qFormat/>
    <w:uiPriority w:val="0"/>
    <w:pPr>
      <w:widowControl/>
      <w:pBdr>
        <w:bottom w:val="single" w:color="auto" w:sz="4" w:space="0"/>
      </w:pBdr>
      <w:spacing w:before="100" w:beforeAutospacing="1" w:after="100" w:afterAutospacing="1"/>
      <w:jc w:val="left"/>
    </w:pPr>
    <w:rPr>
      <w:rFonts w:ascii="宋体" w:hAnsi="宋体" w:cs="宋体"/>
      <w:kern w:val="0"/>
      <w:sz w:val="20"/>
      <w:szCs w:val="20"/>
    </w:rPr>
  </w:style>
  <w:style w:type="paragraph" w:customStyle="1" w:styleId="498">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99">
    <w:name w:val="Report Level 4"/>
    <w:basedOn w:val="1"/>
    <w:next w:val="1"/>
    <w:qFormat/>
    <w:uiPriority w:val="0"/>
    <w:pPr>
      <w:keepNext/>
      <w:widowControl/>
      <w:tabs>
        <w:tab w:val="left" w:pos="1152"/>
      </w:tabs>
      <w:spacing w:before="120" w:after="120"/>
      <w:ind w:left="840" w:hanging="600"/>
      <w:jc w:val="left"/>
      <w:outlineLvl w:val="3"/>
    </w:pPr>
    <w:rPr>
      <w:b/>
      <w:kern w:val="0"/>
      <w:sz w:val="20"/>
      <w:szCs w:val="20"/>
      <w:lang w:val="en-GB" w:eastAsia="en-US"/>
    </w:rPr>
  </w:style>
  <w:style w:type="paragraph" w:customStyle="1" w:styleId="500">
    <w:name w:val="xl15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7030A0"/>
      <w:kern w:val="0"/>
      <w:sz w:val="20"/>
      <w:szCs w:val="20"/>
    </w:rPr>
  </w:style>
  <w:style w:type="paragraph" w:customStyle="1" w:styleId="501">
    <w:name w:val="xl25"/>
    <w:basedOn w:val="1"/>
    <w:qFormat/>
    <w:uiPriority w:val="0"/>
    <w:pPr>
      <w:widowControl/>
      <w:pBdr>
        <w:bottom w:val="single" w:color="auto" w:sz="8" w:space="0"/>
        <w:right w:val="single" w:color="auto" w:sz="8" w:space="0"/>
      </w:pBdr>
      <w:spacing w:before="100" w:beforeAutospacing="1" w:after="100" w:afterAutospacing="1"/>
    </w:pPr>
    <w:rPr>
      <w:kern w:val="0"/>
    </w:rPr>
  </w:style>
  <w:style w:type="paragraph" w:customStyle="1" w:styleId="502">
    <w:name w:val="xl1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3">
    <w:name w:val="列出段落11"/>
    <w:qFormat/>
    <w:uiPriority w:val="0"/>
    <w:pPr>
      <w:widowControl w:val="0"/>
      <w:suppressAutoHyphens/>
      <w:spacing w:after="200" w:line="276" w:lineRule="auto"/>
      <w:ind w:left="720"/>
    </w:pPr>
    <w:rPr>
      <w:rFonts w:ascii="Times New Roman" w:hAnsi="Times New Roman" w:eastAsia="宋体" w:cs="Times New Roman"/>
      <w:kern w:val="1"/>
      <w:sz w:val="22"/>
      <w:szCs w:val="22"/>
      <w:lang w:val="en-US" w:eastAsia="ar-SA" w:bidi="ar-SA"/>
    </w:rPr>
  </w:style>
  <w:style w:type="paragraph" w:customStyle="1" w:styleId="504">
    <w:name w:val="D2"/>
    <w:basedOn w:val="1"/>
    <w:qFormat/>
    <w:uiPriority w:val="0"/>
    <w:pPr>
      <w:spacing w:line="480" w:lineRule="auto"/>
    </w:pPr>
    <w:rPr>
      <w:rFonts w:ascii="EU-F1" w:eastAsia="黑体"/>
    </w:rPr>
  </w:style>
  <w:style w:type="paragraph" w:customStyle="1" w:styleId="505">
    <w:name w:val="WG标题3"/>
    <w:basedOn w:val="1"/>
    <w:qFormat/>
    <w:uiPriority w:val="0"/>
    <w:pPr>
      <w:autoSpaceDE w:val="0"/>
      <w:autoSpaceDN w:val="0"/>
      <w:adjustRightInd w:val="0"/>
      <w:spacing w:line="400" w:lineRule="exact"/>
      <w:outlineLvl w:val="2"/>
    </w:pPr>
    <w:rPr>
      <w:rFonts w:ascii="宋体" w:hAnsi="宋体" w:cs="宋体"/>
      <w:b/>
      <w:bCs/>
      <w:color w:val="000000"/>
      <w:kern w:val="20"/>
      <w:szCs w:val="20"/>
    </w:rPr>
  </w:style>
  <w:style w:type="paragraph" w:customStyle="1" w:styleId="506">
    <w:name w:val="Standard fett"/>
    <w:basedOn w:val="1"/>
    <w:qFormat/>
    <w:uiPriority w:val="0"/>
    <w:pPr>
      <w:widowControl/>
      <w:jc w:val="left"/>
    </w:pPr>
    <w:rPr>
      <w:rFonts w:ascii="Arial" w:hAnsi="Arial" w:eastAsia="PMingLiU"/>
      <w:b/>
      <w:bCs/>
      <w:kern w:val="0"/>
      <w:sz w:val="22"/>
      <w:szCs w:val="20"/>
      <w:lang w:val="de-DE" w:eastAsia="de-DE"/>
    </w:rPr>
  </w:style>
  <w:style w:type="paragraph" w:customStyle="1" w:styleId="507">
    <w:name w:val="xl1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08">
    <w:name w:val="xl29"/>
    <w:basedOn w:val="1"/>
    <w:qFormat/>
    <w:uiPriority w:val="0"/>
    <w:pPr>
      <w:widowControl/>
      <w:pBdr>
        <w:left w:val="single" w:color="auto" w:sz="4" w:space="0"/>
        <w:right w:val="single" w:color="auto" w:sz="4" w:space="0"/>
      </w:pBdr>
      <w:spacing w:before="100" w:beforeAutospacing="1" w:after="100" w:afterAutospacing="1"/>
      <w:jc w:val="center"/>
      <w:textAlignment w:val="center"/>
    </w:pPr>
    <w:rPr>
      <w:kern w:val="0"/>
      <w:sz w:val="24"/>
      <w:szCs w:val="24"/>
    </w:rPr>
  </w:style>
  <w:style w:type="table" w:customStyle="1" w:styleId="509">
    <w:name w:val="Table Normal"/>
    <w:unhideWhenUsed/>
    <w:qFormat/>
    <w:uiPriority w:val="2"/>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510">
    <w:name w:val="Body Text First Indent1"/>
    <w:basedOn w:val="8"/>
    <w:qFormat/>
    <w:uiPriority w:val="0"/>
    <w:pPr>
      <w:autoSpaceDE w:val="0"/>
      <w:autoSpaceDN w:val="0"/>
      <w:ind w:firstLine="420"/>
      <w:jc w:val="left"/>
    </w:pPr>
    <w:rPr>
      <w:rFonts w:ascii="宋体" w:hAnsi="宋体" w:eastAsia="等线" w:cs="宋体"/>
      <w:kern w:val="0"/>
      <w:szCs w:val="20"/>
      <w:lang w:val="zh-CN" w:bidi="zh-CN"/>
    </w:rPr>
  </w:style>
  <w:style w:type="character" w:customStyle="1" w:styleId="511">
    <w:name w:val="正文文本sqf"/>
    <w:qFormat/>
    <w:uiPriority w:val="0"/>
    <w:rPr>
      <w:rFonts w:ascii="宋体" w:hAnsi="宋体"/>
    </w:rPr>
  </w:style>
  <w:style w:type="character" w:customStyle="1" w:styleId="512">
    <w:name w:val="font71"/>
    <w:basedOn w:val="56"/>
    <w:qFormat/>
    <w:uiPriority w:val="0"/>
    <w:rPr>
      <w:rFonts w:hint="default" w:ascii="Times New Roman" w:hAnsi="Times New Roman" w:cs="Times New Roman"/>
      <w:color w:val="000000"/>
      <w:sz w:val="20"/>
      <w:szCs w:val="20"/>
      <w:u w:val="none"/>
    </w:rPr>
  </w:style>
  <w:style w:type="character" w:customStyle="1" w:styleId="513">
    <w:name w:val="font61"/>
    <w:basedOn w:val="56"/>
    <w:qFormat/>
    <w:uiPriority w:val="0"/>
    <w:rPr>
      <w:rFonts w:hint="eastAsia" w:ascii="宋体" w:hAnsi="宋体" w:eastAsia="宋体" w:cs="宋体"/>
      <w:color w:val="000000"/>
      <w:sz w:val="20"/>
      <w:szCs w:val="20"/>
      <w:u w:val="none"/>
    </w:rPr>
  </w:style>
  <w:style w:type="character" w:customStyle="1" w:styleId="514">
    <w:name w:val="hover1"/>
    <w:basedOn w:val="56"/>
    <w:qFormat/>
    <w:uiPriority w:val="0"/>
    <w:rPr>
      <w:color w:val="2590EB"/>
    </w:rPr>
  </w:style>
  <w:style w:type="character" w:customStyle="1" w:styleId="515">
    <w:name w:val="hover2"/>
    <w:basedOn w:val="56"/>
    <w:qFormat/>
    <w:uiPriority w:val="0"/>
    <w:rPr>
      <w:color w:val="2590EB"/>
    </w:rPr>
  </w:style>
  <w:style w:type="character" w:customStyle="1" w:styleId="516">
    <w:name w:val="hover3"/>
    <w:basedOn w:val="56"/>
    <w:qFormat/>
    <w:uiPriority w:val="0"/>
    <w:rPr>
      <w:color w:val="2590EB"/>
      <w:shd w:val="clear" w:fill="E9F4FD"/>
    </w:rPr>
  </w:style>
  <w:style w:type="character" w:customStyle="1" w:styleId="517">
    <w:name w:val="mini-outputtext1"/>
    <w:basedOn w:val="56"/>
    <w:qFormat/>
    <w:uiPriority w:val="0"/>
  </w:style>
  <w:style w:type="paragraph" w:customStyle="1" w:styleId="518">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53</Pages>
  <Words>17685</Words>
  <Characters>19191</Characters>
  <Lines>211</Lines>
  <Paragraphs>59</Paragraphs>
  <TotalTime>39</TotalTime>
  <ScaleCrop>false</ScaleCrop>
  <LinksUpToDate>false</LinksUpToDate>
  <CharactersWithSpaces>19980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2024-03-27T02:46:00Z</dcterms:created>
  <dc:creator>Windows</dc:creator>
  <cp:lastModifiedBy>I'm刘鑫</cp:lastModifiedBy>
  <cp:lastPrinted>2026-06-15T14:02:00Z</cp:lastPrinted>
  <dcterms:modified xsi:type="dcterms:W3CDTF">2026-07-23T01:42:10Z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58932EB8A2A64477A1E65DD71B723860_13</vt:lpwstr>
  </property>
  <property fmtid="{D5CDD505-2E9C-101B-9397-08002B2CF9AE}" pid="4" name="KSOTemplateDocerSaveRecord">
    <vt:lpwstr>eyJoZGlkIjoiNjk2NDU1MDM2ZWZjNDNiMGExNzUxZWIyM2JiM2UzZGQiLCJ1c2VySWQiOiI1NjE4MjY4OTMifQ==</vt:lpwstr>
  </property>
</Properties>
</file>