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100AF2">
      <w:pPr>
        <w:keepNext w:val="0"/>
        <w:keepLines w:val="0"/>
        <w:pageBreakBefore w:val="0"/>
        <w:kinsoku w:val="0"/>
        <w:wordWrap/>
        <w:overflowPunct/>
        <w:topLinePunct w:val="0"/>
        <w:autoSpaceDE w:val="0"/>
        <w:autoSpaceDN w:val="0"/>
        <w:bidi w:val="0"/>
        <w:adjustRightInd w:val="0"/>
        <w:snapToGrid w:val="0"/>
        <w:spacing w:line="360" w:lineRule="auto"/>
        <w:ind w:left="0" w:leftChars="0" w:right="0"/>
        <w:jc w:val="center"/>
        <w:textAlignment w:val="baseline"/>
        <w:outlineLvl w:val="9"/>
        <w:rPr>
          <w:rFonts w:ascii="宋体" w:hAnsi="宋体" w:eastAsia="宋体" w:cs="宋体"/>
          <w:color w:val="auto"/>
          <w:sz w:val="21"/>
          <w:szCs w:val="21"/>
          <w:highlight w:val="none"/>
        </w:rPr>
      </w:pPr>
    </w:p>
    <w:p w14:paraId="05482B82">
      <w:pPr>
        <w:pageBreakBefore w:val="0"/>
        <w:overflowPunct/>
        <w:bidi w:val="0"/>
        <w:adjustRightInd w:val="0"/>
        <w:snapToGrid w:val="0"/>
        <w:spacing w:line="360" w:lineRule="auto"/>
        <w:ind w:left="0" w:leftChars="0"/>
        <w:rPr>
          <w:rFonts w:hint="eastAsia" w:ascii="仿宋_GB2312" w:hAnsi="宋体" w:eastAsia="仿宋_GB2312"/>
          <w:b/>
          <w:bCs/>
          <w:color w:val="auto"/>
          <w:sz w:val="30"/>
          <w:szCs w:val="30"/>
          <w:highlight w:val="none"/>
        </w:rPr>
      </w:pPr>
      <w:r>
        <w:rPr>
          <w:rFonts w:hint="eastAsia" w:ascii="仿宋_GB2312" w:eastAsia="仿宋_GB2312"/>
          <w:b/>
          <w:color w:val="auto"/>
          <w:sz w:val="32"/>
          <w:szCs w:val="32"/>
          <w:highlight w:val="none"/>
        </w:rPr>
        <w:t>（ＧＦ－2012－0202）</w:t>
      </w:r>
    </w:p>
    <w:p w14:paraId="5259223B">
      <w:pPr>
        <w:pageBreakBefore w:val="0"/>
        <w:overflowPunct/>
        <w:bidi w:val="0"/>
        <w:adjustRightInd w:val="0"/>
        <w:snapToGrid w:val="0"/>
        <w:spacing w:line="360" w:lineRule="auto"/>
        <w:ind w:left="0" w:leftChars="0"/>
        <w:jc w:val="center"/>
        <w:rPr>
          <w:rFonts w:hint="eastAsia" w:ascii="仿宋_GB2312" w:hAnsi="宋体" w:eastAsia="仿宋_GB2312"/>
          <w:b/>
          <w:bCs/>
          <w:color w:val="auto"/>
          <w:sz w:val="52"/>
          <w:szCs w:val="52"/>
          <w:highlight w:val="none"/>
        </w:rPr>
      </w:pPr>
    </w:p>
    <w:p w14:paraId="1D88E163">
      <w:pPr>
        <w:pageBreakBefore w:val="0"/>
        <w:overflowPunct/>
        <w:bidi w:val="0"/>
        <w:adjustRightInd w:val="0"/>
        <w:snapToGrid w:val="0"/>
        <w:spacing w:line="360" w:lineRule="auto"/>
        <w:ind w:left="0" w:leftChars="0"/>
        <w:jc w:val="center"/>
        <w:rPr>
          <w:rFonts w:hint="eastAsia" w:ascii="华文中宋" w:hAnsi="华文中宋" w:eastAsia="华文中宋"/>
          <w:b/>
          <w:bCs/>
          <w:color w:val="auto"/>
          <w:sz w:val="48"/>
          <w:szCs w:val="48"/>
          <w:highlight w:val="none"/>
        </w:rPr>
      </w:pPr>
    </w:p>
    <w:p w14:paraId="4BB1AC4A">
      <w:pPr>
        <w:pageBreakBefore w:val="0"/>
        <w:overflowPunct/>
        <w:bidi w:val="0"/>
        <w:adjustRightInd w:val="0"/>
        <w:snapToGrid w:val="0"/>
        <w:spacing w:line="360" w:lineRule="auto"/>
        <w:ind w:left="0" w:leftChars="0"/>
        <w:jc w:val="center"/>
        <w:rPr>
          <w:rFonts w:hint="eastAsia" w:ascii="华文中宋" w:hAnsi="华文中宋" w:eastAsia="华文中宋"/>
          <w:b/>
          <w:bCs/>
          <w:color w:val="auto"/>
          <w:sz w:val="48"/>
          <w:szCs w:val="48"/>
          <w:highlight w:val="none"/>
        </w:rPr>
      </w:pPr>
    </w:p>
    <w:p w14:paraId="2EA4757C">
      <w:pPr>
        <w:pageBreakBefore w:val="0"/>
        <w:overflowPunct/>
        <w:bidi w:val="0"/>
        <w:adjustRightInd w:val="0"/>
        <w:snapToGrid w:val="0"/>
        <w:spacing w:line="360" w:lineRule="auto"/>
        <w:ind w:left="0" w:leftChars="0"/>
        <w:jc w:val="center"/>
        <w:rPr>
          <w:rFonts w:hint="eastAsia" w:ascii="华文中宋" w:hAnsi="华文中宋" w:eastAsia="华文中宋"/>
          <w:b/>
          <w:bCs/>
          <w:color w:val="auto"/>
          <w:sz w:val="52"/>
          <w:szCs w:val="52"/>
          <w:highlight w:val="none"/>
        </w:rPr>
      </w:pPr>
      <w:r>
        <w:rPr>
          <w:rFonts w:hint="eastAsia" w:ascii="方正小标宋简体" w:hAnsi="方正小标宋简体" w:eastAsia="方正小标宋简体" w:cs="方正小标宋简体"/>
          <w:b/>
          <w:bCs/>
          <w:color w:val="auto"/>
          <w:sz w:val="52"/>
          <w:szCs w:val="52"/>
          <w:highlight w:val="none"/>
        </w:rPr>
        <w:t>建设工程监理合同</w:t>
      </w:r>
    </w:p>
    <w:p w14:paraId="4303C673">
      <w:pPr>
        <w:pageBreakBefore w:val="0"/>
        <w:overflowPunct/>
        <w:bidi w:val="0"/>
        <w:adjustRightInd w:val="0"/>
        <w:snapToGrid w:val="0"/>
        <w:spacing w:line="360" w:lineRule="auto"/>
        <w:ind w:left="0" w:leftChars="0"/>
        <w:jc w:val="center"/>
        <w:rPr>
          <w:rFonts w:hint="eastAsia" w:ascii="仿宋_GB2312" w:hAnsi="宋体" w:eastAsia="仿宋_GB2312"/>
          <w:bCs/>
          <w:color w:val="auto"/>
          <w:sz w:val="48"/>
          <w:szCs w:val="48"/>
          <w:highlight w:val="none"/>
        </w:rPr>
      </w:pPr>
    </w:p>
    <w:p w14:paraId="4A221023">
      <w:pPr>
        <w:pageBreakBefore w:val="0"/>
        <w:overflowPunct/>
        <w:bidi w:val="0"/>
        <w:adjustRightInd w:val="0"/>
        <w:snapToGrid w:val="0"/>
        <w:spacing w:line="360" w:lineRule="auto"/>
        <w:ind w:left="0" w:leftChars="0"/>
        <w:jc w:val="center"/>
        <w:rPr>
          <w:rFonts w:hint="eastAsia" w:ascii="仿宋_GB2312" w:hAnsi="宋体" w:eastAsia="仿宋_GB2312"/>
          <w:b/>
          <w:bCs/>
          <w:color w:val="auto"/>
          <w:sz w:val="24"/>
          <w:highlight w:val="none"/>
        </w:rPr>
      </w:pPr>
    </w:p>
    <w:p w14:paraId="3C2BE7DB">
      <w:pPr>
        <w:pageBreakBefore w:val="0"/>
        <w:overflowPunct/>
        <w:bidi w:val="0"/>
        <w:adjustRightInd w:val="0"/>
        <w:snapToGrid w:val="0"/>
        <w:spacing w:line="360" w:lineRule="auto"/>
        <w:ind w:left="0" w:leftChars="0"/>
        <w:jc w:val="center"/>
        <w:rPr>
          <w:rFonts w:hint="eastAsia" w:ascii="仿宋_GB2312" w:hAnsi="宋体" w:eastAsia="仿宋_GB2312"/>
          <w:b/>
          <w:bCs/>
          <w:color w:val="auto"/>
          <w:sz w:val="24"/>
          <w:highlight w:val="none"/>
        </w:rPr>
      </w:pPr>
    </w:p>
    <w:p w14:paraId="77BECD5B">
      <w:pPr>
        <w:pageBreakBefore w:val="0"/>
        <w:overflowPunct/>
        <w:bidi w:val="0"/>
        <w:adjustRightInd w:val="0"/>
        <w:snapToGrid w:val="0"/>
        <w:spacing w:line="360" w:lineRule="auto"/>
        <w:ind w:left="0" w:leftChars="0"/>
        <w:jc w:val="center"/>
        <w:rPr>
          <w:rFonts w:hint="eastAsia" w:ascii="仿宋_GB2312" w:hAnsi="宋体" w:eastAsia="仿宋_GB2312"/>
          <w:b/>
          <w:bCs/>
          <w:color w:val="auto"/>
          <w:sz w:val="24"/>
          <w:highlight w:val="none"/>
        </w:rPr>
      </w:pPr>
    </w:p>
    <w:p w14:paraId="18CA5D94">
      <w:pPr>
        <w:pageBreakBefore w:val="0"/>
        <w:overflowPunct/>
        <w:bidi w:val="0"/>
        <w:adjustRightInd w:val="0"/>
        <w:snapToGrid w:val="0"/>
        <w:spacing w:line="360" w:lineRule="auto"/>
        <w:ind w:left="0" w:leftChars="0"/>
        <w:jc w:val="center"/>
        <w:rPr>
          <w:rFonts w:hint="eastAsia" w:ascii="仿宋_GB2312" w:hAnsi="宋体" w:eastAsia="仿宋_GB2312"/>
          <w:b/>
          <w:bCs/>
          <w:color w:val="auto"/>
          <w:sz w:val="24"/>
          <w:highlight w:val="none"/>
        </w:rPr>
      </w:pPr>
    </w:p>
    <w:p w14:paraId="4FDD8CBB">
      <w:pPr>
        <w:pageBreakBefore w:val="0"/>
        <w:overflowPunct/>
        <w:bidi w:val="0"/>
        <w:adjustRightInd w:val="0"/>
        <w:snapToGrid w:val="0"/>
        <w:spacing w:line="360" w:lineRule="auto"/>
        <w:ind w:left="0" w:leftChars="0"/>
        <w:jc w:val="center"/>
        <w:rPr>
          <w:rFonts w:hint="eastAsia" w:ascii="仿宋_GB2312" w:hAnsi="宋体" w:eastAsia="仿宋_GB2312"/>
          <w:b/>
          <w:bCs/>
          <w:color w:val="auto"/>
          <w:sz w:val="24"/>
          <w:highlight w:val="none"/>
        </w:rPr>
      </w:pPr>
    </w:p>
    <w:p w14:paraId="3DB978E6">
      <w:pPr>
        <w:pageBreakBefore w:val="0"/>
        <w:overflowPunct/>
        <w:bidi w:val="0"/>
        <w:adjustRightInd w:val="0"/>
        <w:snapToGrid w:val="0"/>
        <w:spacing w:line="360" w:lineRule="auto"/>
        <w:ind w:left="0" w:leftChars="0"/>
        <w:jc w:val="center"/>
        <w:rPr>
          <w:rFonts w:hint="eastAsia" w:ascii="仿宋_GB2312" w:hAnsi="宋体" w:eastAsia="仿宋_GB2312"/>
          <w:b/>
          <w:bCs/>
          <w:color w:val="auto"/>
          <w:sz w:val="24"/>
          <w:highlight w:val="none"/>
        </w:rPr>
      </w:pPr>
    </w:p>
    <w:p w14:paraId="60794228">
      <w:pPr>
        <w:pageBreakBefore w:val="0"/>
        <w:overflowPunct/>
        <w:bidi w:val="0"/>
        <w:adjustRightInd w:val="0"/>
        <w:snapToGrid w:val="0"/>
        <w:spacing w:line="360" w:lineRule="auto"/>
        <w:ind w:left="0" w:leftChars="0"/>
        <w:jc w:val="center"/>
        <w:rPr>
          <w:rFonts w:hint="eastAsia" w:ascii="仿宋_GB2312" w:hAnsi="宋体" w:eastAsia="仿宋_GB2312"/>
          <w:b/>
          <w:bCs/>
          <w:color w:val="auto"/>
          <w:sz w:val="24"/>
          <w:highlight w:val="none"/>
        </w:rPr>
      </w:pPr>
    </w:p>
    <w:p w14:paraId="15245712">
      <w:pPr>
        <w:pageBreakBefore w:val="0"/>
        <w:overflowPunct/>
        <w:bidi w:val="0"/>
        <w:adjustRightInd w:val="0"/>
        <w:snapToGrid w:val="0"/>
        <w:spacing w:line="360" w:lineRule="auto"/>
        <w:ind w:left="0" w:leftChars="0"/>
        <w:rPr>
          <w:rFonts w:hint="eastAsia" w:ascii="仿宋_GB2312" w:hAnsi="宋体" w:eastAsia="仿宋_GB2312"/>
          <w:b/>
          <w:bCs/>
          <w:color w:val="auto"/>
          <w:sz w:val="24"/>
          <w:highlight w:val="none"/>
        </w:rPr>
      </w:pPr>
    </w:p>
    <w:p w14:paraId="7C58FB30">
      <w:pPr>
        <w:pageBreakBefore w:val="0"/>
        <w:overflowPunct/>
        <w:bidi w:val="0"/>
        <w:adjustRightInd w:val="0"/>
        <w:snapToGrid w:val="0"/>
        <w:spacing w:line="360" w:lineRule="auto"/>
        <w:ind w:left="0" w:leftChars="0"/>
        <w:rPr>
          <w:rFonts w:hint="eastAsia" w:ascii="仿宋_GB2312" w:hAnsi="宋体" w:eastAsia="仿宋_GB2312"/>
          <w:b/>
          <w:bCs/>
          <w:color w:val="auto"/>
          <w:sz w:val="24"/>
          <w:highlight w:val="none"/>
        </w:rPr>
      </w:pPr>
    </w:p>
    <w:p w14:paraId="289B0153">
      <w:pPr>
        <w:pageBreakBefore w:val="0"/>
        <w:overflowPunct/>
        <w:bidi w:val="0"/>
        <w:adjustRightInd w:val="0"/>
        <w:snapToGrid w:val="0"/>
        <w:spacing w:line="360" w:lineRule="auto"/>
        <w:ind w:left="0" w:leftChars="0"/>
        <w:rPr>
          <w:rFonts w:hint="eastAsia" w:ascii="仿宋_GB2312" w:hAnsi="宋体" w:eastAsia="仿宋_GB2312"/>
          <w:b/>
          <w:bCs/>
          <w:color w:val="auto"/>
          <w:sz w:val="24"/>
          <w:highlight w:val="none"/>
        </w:rPr>
      </w:pPr>
    </w:p>
    <w:p w14:paraId="56E994D8">
      <w:pPr>
        <w:pageBreakBefore w:val="0"/>
        <w:overflowPunct/>
        <w:bidi w:val="0"/>
        <w:adjustRightInd w:val="0"/>
        <w:snapToGrid w:val="0"/>
        <w:spacing w:line="360" w:lineRule="auto"/>
        <w:ind w:left="0" w:leftChars="0"/>
        <w:jc w:val="center"/>
        <w:rPr>
          <w:rFonts w:hint="eastAsia" w:ascii="华文中宋" w:hAnsi="华文中宋" w:eastAsia="华文中宋"/>
          <w:b/>
          <w:color w:val="auto"/>
          <w:highlight w:val="none"/>
        </w:rPr>
      </w:pPr>
      <w:r>
        <w:rPr>
          <w:rFonts w:hint="eastAsia" w:ascii="仿宋_GB2312" w:hAnsi="宋体" w:eastAsia="仿宋_GB2312"/>
          <w:b/>
          <w:bCs/>
          <w:color w:val="auto"/>
          <w:sz w:val="32"/>
          <w:szCs w:val="32"/>
          <w:highlight w:val="none"/>
        </w:rPr>
        <w:t xml:space="preserve"> </w:t>
      </w:r>
      <w:r>
        <w:rPr>
          <w:rFonts w:hint="eastAsia" w:ascii="黑体" w:hAnsi="黑体" w:eastAsia="黑体" w:cs="黑体"/>
          <w:b w:val="0"/>
          <w:bCs w:val="0"/>
          <w:color w:val="auto"/>
          <w:sz w:val="32"/>
          <w:szCs w:val="32"/>
          <w:highlight w:val="none"/>
        </w:rPr>
        <w:t xml:space="preserve"> 住房和城乡建设部</w:t>
      </w:r>
    </w:p>
    <w:p w14:paraId="17F9853D">
      <w:pPr>
        <w:pageBreakBefore w:val="0"/>
        <w:overflowPunct/>
        <w:bidi w:val="0"/>
        <w:adjustRightInd w:val="0"/>
        <w:snapToGrid w:val="0"/>
        <w:spacing w:line="360" w:lineRule="auto"/>
        <w:ind w:left="0" w:leftChars="0"/>
        <w:jc w:val="center"/>
        <w:rPr>
          <w:rFonts w:hint="eastAsia" w:ascii="华文中宋" w:hAnsi="华文中宋" w:eastAsia="华文中宋"/>
          <w:b/>
          <w:color w:val="auto"/>
          <w:sz w:val="32"/>
          <w:szCs w:val="32"/>
          <w:highlight w:val="none"/>
        </w:rPr>
      </w:pPr>
      <w:r>
        <w:rPr>
          <w:rFonts w:hint="eastAsia" w:ascii="华文中宋" w:hAnsi="华文中宋" w:eastAsia="华文中宋"/>
          <w:b/>
          <w:color w:val="auto"/>
          <w:highlight w:val="none"/>
        </w:rPr>
        <w:t xml:space="preserve">                                                          </w:t>
      </w:r>
      <w:r>
        <w:rPr>
          <w:rFonts w:hint="eastAsia" w:ascii="华文中宋" w:hAnsi="华文中宋" w:eastAsia="华文中宋"/>
          <w:b/>
          <w:color w:val="auto"/>
          <w:sz w:val="32"/>
          <w:szCs w:val="32"/>
          <w:highlight w:val="none"/>
        </w:rPr>
        <w:t>制定</w:t>
      </w:r>
    </w:p>
    <w:p w14:paraId="55076DE8">
      <w:pPr>
        <w:pageBreakBefore w:val="0"/>
        <w:overflowPunct/>
        <w:bidi w:val="0"/>
        <w:adjustRightInd w:val="0"/>
        <w:snapToGrid w:val="0"/>
        <w:spacing w:line="360" w:lineRule="auto"/>
        <w:ind w:left="0" w:leftChars="0"/>
        <w:jc w:val="center"/>
        <w:rPr>
          <w:rFonts w:hint="eastAsia" w:ascii="黑体" w:hAnsi="黑体" w:eastAsia="黑体" w:cs="黑体"/>
          <w:b w:val="0"/>
          <w:bCs w:val="0"/>
          <w:color w:val="auto"/>
          <w:sz w:val="32"/>
          <w:szCs w:val="32"/>
          <w:highlight w:val="none"/>
        </w:rPr>
      </w:pPr>
      <w:r>
        <w:rPr>
          <w:rFonts w:hint="eastAsia" w:ascii="华文中宋" w:hAnsi="华文中宋" w:eastAsia="华文中宋"/>
          <w:b/>
          <w:bCs/>
          <w:color w:val="auto"/>
          <w:sz w:val="32"/>
          <w:szCs w:val="32"/>
          <w:highlight w:val="none"/>
        </w:rPr>
        <w:t xml:space="preserve">   </w:t>
      </w:r>
      <w:r>
        <w:rPr>
          <w:rFonts w:hint="eastAsia" w:ascii="黑体" w:hAnsi="黑体" w:eastAsia="黑体" w:cs="黑体"/>
          <w:b w:val="0"/>
          <w:bCs w:val="0"/>
          <w:color w:val="auto"/>
          <w:sz w:val="32"/>
          <w:szCs w:val="32"/>
          <w:highlight w:val="none"/>
        </w:rPr>
        <w:t>国家工商行政管理总局</w:t>
      </w:r>
    </w:p>
    <w:p w14:paraId="60ED5C0A">
      <w:pPr>
        <w:pageBreakBefore w:val="0"/>
        <w:overflowPunct/>
        <w:bidi w:val="0"/>
        <w:adjustRightInd w:val="0"/>
        <w:snapToGrid w:val="0"/>
        <w:spacing w:line="360" w:lineRule="auto"/>
        <w:ind w:left="0" w:leftChars="0"/>
        <w:rPr>
          <w:rFonts w:hint="eastAsia" w:ascii="华文中宋" w:hAnsi="华文中宋" w:eastAsia="华文中宋"/>
          <w:b/>
          <w:bCs/>
          <w:color w:val="auto"/>
          <w:sz w:val="24"/>
          <w:highlight w:val="none"/>
        </w:rPr>
      </w:pPr>
      <w:r>
        <w:rPr>
          <w:rFonts w:hint="eastAsia" w:ascii="华文中宋" w:hAnsi="华文中宋" w:eastAsia="华文中宋"/>
          <w:b/>
          <w:bCs/>
          <w:color w:val="auto"/>
          <w:sz w:val="24"/>
          <w:highlight w:val="none"/>
        </w:rPr>
        <w:br w:type="page"/>
      </w:r>
    </w:p>
    <w:p w14:paraId="1F535429">
      <w:pPr>
        <w:pageBreakBefore w:val="0"/>
        <w:tabs>
          <w:tab w:val="left" w:pos="3120"/>
        </w:tabs>
        <w:overflowPunct/>
        <w:bidi w:val="0"/>
        <w:adjustRightInd w:val="0"/>
        <w:snapToGrid w:val="0"/>
        <w:spacing w:line="360" w:lineRule="auto"/>
        <w:ind w:left="0" w:leftChars="0"/>
        <w:jc w:val="center"/>
        <w:outlineLvl w:val="1"/>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第一部分  协议书</w:t>
      </w:r>
    </w:p>
    <w:p w14:paraId="46DB87B5">
      <w:pPr>
        <w:pageBreakBefore w:val="0"/>
        <w:overflowPunct/>
        <w:bidi w:val="0"/>
        <w:adjustRightInd w:val="0"/>
        <w:snapToGrid w:val="0"/>
        <w:spacing w:line="360" w:lineRule="auto"/>
        <w:ind w:left="0" w:leftChars="0" w:firstLine="527" w:firstLineChars="250"/>
        <w:outlineLvl w:val="9"/>
        <w:rPr>
          <w:rFonts w:hint="eastAsia" w:ascii="宋体" w:hAnsi="宋体" w:eastAsia="宋体" w:cs="宋体"/>
          <w:b/>
          <w:color w:val="auto"/>
          <w:sz w:val="21"/>
          <w:szCs w:val="21"/>
          <w:highlight w:val="none"/>
        </w:rPr>
      </w:pPr>
    </w:p>
    <w:p w14:paraId="7CA63D1C">
      <w:pPr>
        <w:pageBreakBefore w:val="0"/>
        <w:overflowPunct/>
        <w:bidi w:val="0"/>
        <w:adjustRightInd w:val="0"/>
        <w:snapToGrid w:val="0"/>
        <w:spacing w:line="360" w:lineRule="auto"/>
        <w:ind w:left="0" w:leftChars="0" w:firstLine="422" w:firstLineChars="200"/>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委托人（</w:t>
      </w:r>
      <w:r>
        <w:rPr>
          <w:rFonts w:hint="eastAsia" w:ascii="宋体" w:hAnsi="宋体" w:eastAsia="宋体" w:cs="宋体"/>
          <w:b/>
          <w:color w:val="auto"/>
          <w:sz w:val="21"/>
          <w:szCs w:val="21"/>
          <w:highlight w:val="none"/>
          <w:lang w:val="en-US" w:eastAsia="zh-CN"/>
        </w:rPr>
        <w:t>甲方</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u w:val="single"/>
        </w:rPr>
        <w:t xml:space="preserve"> </w:t>
      </w:r>
      <w:r>
        <w:rPr>
          <w:rFonts w:hint="eastAsia" w:ascii="宋体" w:hAnsi="宋体" w:eastAsia="宋体" w:cs="宋体"/>
          <w:b w:val="0"/>
          <w:bCs/>
          <w:color w:val="auto"/>
          <w:kern w:val="2"/>
          <w:sz w:val="21"/>
          <w:szCs w:val="21"/>
          <w:highlight w:val="none"/>
          <w:u w:val="single"/>
          <w:lang w:val="en-US" w:eastAsia="zh-CN" w:bidi="ar-SA"/>
        </w:rPr>
        <w:t>虞城县教育体育局</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b/>
          <w:color w:val="auto"/>
          <w:sz w:val="21"/>
          <w:szCs w:val="21"/>
          <w:highlight w:val="none"/>
          <w:u w:val="single"/>
        </w:rPr>
        <w:t xml:space="preserve">      </w:t>
      </w:r>
    </w:p>
    <w:p w14:paraId="24C9E0DF">
      <w:pPr>
        <w:pageBreakBefore w:val="0"/>
        <w:overflowPunct/>
        <w:bidi w:val="0"/>
        <w:adjustRightInd w:val="0"/>
        <w:snapToGrid w:val="0"/>
        <w:spacing w:line="360" w:lineRule="auto"/>
        <w:ind w:left="0" w:leftChars="0" w:firstLine="422" w:firstLineChars="200"/>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监理人（</w:t>
      </w:r>
      <w:r>
        <w:rPr>
          <w:rFonts w:hint="eastAsia" w:ascii="宋体" w:hAnsi="宋体" w:eastAsia="宋体" w:cs="宋体"/>
          <w:b/>
          <w:color w:val="auto"/>
          <w:sz w:val="21"/>
          <w:szCs w:val="21"/>
          <w:highlight w:val="none"/>
          <w:lang w:val="en-US" w:eastAsia="zh-CN"/>
        </w:rPr>
        <w:t>乙方</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u w:val="single"/>
        </w:rPr>
        <w:t xml:space="preserve"> </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b/>
          <w:color w:val="auto"/>
          <w:sz w:val="21"/>
          <w:szCs w:val="21"/>
          <w:highlight w:val="none"/>
          <w:u w:val="single"/>
        </w:rPr>
        <w:t xml:space="preserve"> </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b/>
          <w:color w:val="auto"/>
          <w:sz w:val="21"/>
          <w:szCs w:val="21"/>
          <w:highlight w:val="none"/>
          <w:u w:val="single"/>
        </w:rPr>
        <w:t xml:space="preserve">     </w:t>
      </w:r>
    </w:p>
    <w:p w14:paraId="4F0A275D">
      <w:pPr>
        <w:pageBreakBefore w:val="0"/>
        <w:overflowPunct/>
        <w:bidi w:val="0"/>
        <w:adjustRightInd w:val="0"/>
        <w:snapToGrid w:val="0"/>
        <w:spacing w:line="360" w:lineRule="auto"/>
        <w:ind w:left="0" w:leftChars="0" w:firstLine="420" w:firstLineChars="200"/>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根据《中华人民共和国</w:t>
      </w:r>
      <w:r>
        <w:rPr>
          <w:rFonts w:hint="eastAsia" w:ascii="宋体" w:hAnsi="宋体" w:eastAsia="宋体" w:cs="宋体"/>
          <w:color w:val="auto"/>
          <w:sz w:val="21"/>
          <w:szCs w:val="21"/>
          <w:highlight w:val="none"/>
          <w:lang w:eastAsia="zh-CN"/>
        </w:rPr>
        <w:t>民法典</w:t>
      </w:r>
      <w:r>
        <w:rPr>
          <w:rFonts w:hint="eastAsia" w:ascii="宋体" w:hAnsi="宋体" w:eastAsia="宋体" w:cs="宋体"/>
          <w:color w:val="auto"/>
          <w:sz w:val="21"/>
          <w:szCs w:val="21"/>
          <w:highlight w:val="none"/>
        </w:rPr>
        <w:t>》、《中华人民共和国建筑法》及其他有关法律、法规，遵循平等、自愿、公平和诚信的原则，双方就下述工程委托监理与相关服务事项协商一致，订立本合同。</w:t>
      </w:r>
    </w:p>
    <w:p w14:paraId="75FAD362">
      <w:pPr>
        <w:pageBreakBefore w:val="0"/>
        <w:overflowPunct/>
        <w:bidi w:val="0"/>
        <w:adjustRightInd w:val="0"/>
        <w:snapToGrid w:val="0"/>
        <w:spacing w:line="360" w:lineRule="auto"/>
        <w:ind w:left="0" w:leftChars="0" w:firstLine="417" w:firstLineChars="198"/>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一、工程概况</w:t>
      </w:r>
    </w:p>
    <w:p w14:paraId="6F5CE198">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工程名称：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bidi="ar-SA"/>
        </w:rPr>
        <w:t>虞城县第一高级中学附属学校教学楼建设项目</w:t>
      </w:r>
      <w:r>
        <w:rPr>
          <w:rFonts w:hint="eastAsia" w:ascii="宋体" w:hAnsi="宋体" w:eastAsia="宋体" w:cs="宋体"/>
          <w:color w:val="auto"/>
          <w:sz w:val="21"/>
          <w:szCs w:val="21"/>
          <w:highlight w:val="none"/>
          <w:u w:val="single"/>
          <w:lang w:val="en-US" w:eastAsia="zh-CN"/>
        </w:rPr>
        <w:t xml:space="preserve">                          </w:t>
      </w:r>
    </w:p>
    <w:p w14:paraId="2DBABBC7">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工程地点：</w:t>
      </w:r>
      <w:r>
        <w:rPr>
          <w:rFonts w:hint="eastAsia" w:ascii="宋体" w:hAnsi="宋体" w:eastAsia="宋体" w:cs="宋体"/>
          <w:color w:val="auto"/>
          <w:sz w:val="21"/>
          <w:szCs w:val="21"/>
          <w:highlight w:val="none"/>
          <w:u w:val="single"/>
        </w:rPr>
        <w:t xml:space="preserve"> 商丘市-虞城县</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6C8038FD">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工程规模：</w:t>
      </w:r>
      <w:r>
        <w:rPr>
          <w:rFonts w:hint="eastAsia" w:ascii="宋体" w:hAnsi="宋体" w:eastAsia="宋体" w:cs="宋体"/>
          <w:color w:val="auto"/>
          <w:sz w:val="21"/>
          <w:szCs w:val="21"/>
          <w:highlight w:val="none"/>
          <w:u w:val="single"/>
        </w:rPr>
        <w:t xml:space="preserve"> 该项目新建教学楼1栋，建筑面积11522.55平方米，五层，框架结构，配套建设给排水、消防、电气、弱电等基础设施。</w:t>
      </w:r>
      <w:r>
        <w:rPr>
          <w:rFonts w:hint="eastAsia" w:ascii="宋体" w:hAnsi="宋体" w:eastAsia="宋体" w:cs="宋体"/>
          <w:color w:val="auto"/>
          <w:sz w:val="21"/>
          <w:szCs w:val="21"/>
          <w:highlight w:val="none"/>
          <w:u w:val="single"/>
          <w:lang w:eastAsia="zh-CN"/>
        </w:rPr>
        <w:t>施工和缺陷责任期全过程监理（具体包括施工前期准备阶段、施工阶段、交工验收阶段、缺陷责任期阶段和竣工验收阶段的全过程监理工作）</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6D2C369">
      <w:pPr>
        <w:pageBreakBefore w:val="0"/>
        <w:overflowPunct/>
        <w:bidi w:val="0"/>
        <w:adjustRightInd w:val="0"/>
        <w:snapToGrid w:val="0"/>
        <w:spacing w:line="360" w:lineRule="auto"/>
        <w:ind w:left="0" w:leftChars="0" w:firstLine="415" w:firstLineChars="198"/>
        <w:jc w:val="left"/>
        <w:outlineLvl w:val="9"/>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4. 工程</w:t>
      </w:r>
      <w:r>
        <w:rPr>
          <w:rFonts w:hint="eastAsia" w:ascii="宋体" w:hAnsi="宋体" w:eastAsia="宋体" w:cs="宋体"/>
          <w:color w:val="auto"/>
          <w:kern w:val="0"/>
          <w:sz w:val="21"/>
          <w:szCs w:val="21"/>
          <w:highlight w:val="none"/>
        </w:rPr>
        <w:t>概算投资额或建筑安装工程费</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lang w:val="en-US" w:eastAsia="zh-CN"/>
        </w:rPr>
        <w:t xml:space="preserve"> 26086896.19 </w:t>
      </w:r>
      <w:bookmarkStart w:id="0" w:name="_GoBack"/>
      <w:bookmarkEnd w:id="0"/>
      <w:r>
        <w:rPr>
          <w:rFonts w:hint="eastAsia" w:ascii="宋体" w:hAnsi="宋体" w:eastAsia="宋体" w:cs="宋体"/>
          <w:color w:val="auto"/>
          <w:sz w:val="21"/>
          <w:szCs w:val="21"/>
          <w:highlight w:val="none"/>
          <w:u w:val="single"/>
          <w:lang w:val="en-US" w:eastAsia="zh-CN"/>
        </w:rPr>
        <w:t xml:space="preserve">元              </w:t>
      </w:r>
    </w:p>
    <w:p w14:paraId="01316342">
      <w:pPr>
        <w:pageBreakBefore w:val="0"/>
        <w:overflowPunct/>
        <w:bidi w:val="0"/>
        <w:adjustRightInd w:val="0"/>
        <w:snapToGrid w:val="0"/>
        <w:spacing w:line="360" w:lineRule="auto"/>
        <w:ind w:left="0" w:leftChars="0" w:firstLine="417" w:firstLineChars="198"/>
        <w:jc w:val="left"/>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二、词语限定</w:t>
      </w:r>
    </w:p>
    <w:p w14:paraId="7FAFA050">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协议书中相关词语的含义与通用条件中的定义与解释相同。</w:t>
      </w:r>
    </w:p>
    <w:p w14:paraId="5B22C4CD">
      <w:pPr>
        <w:pageBreakBefore w:val="0"/>
        <w:overflowPunct/>
        <w:bidi w:val="0"/>
        <w:adjustRightInd w:val="0"/>
        <w:snapToGrid w:val="0"/>
        <w:spacing w:line="360" w:lineRule="auto"/>
        <w:ind w:left="0" w:leftChars="0" w:firstLine="417" w:firstLineChars="198"/>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三、组成本合同的文件</w:t>
      </w:r>
    </w:p>
    <w:p w14:paraId="3E203029">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协议书；</w:t>
      </w:r>
    </w:p>
    <w:p w14:paraId="44B83DFB">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中标通知书（适用于招标工程）或委托书（适用于非招标工程）；</w:t>
      </w:r>
    </w:p>
    <w:p w14:paraId="2D25241E">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投标文件（适用于招标工程）或监理与相关服务建议书（适用于非招标工程）；</w:t>
      </w:r>
    </w:p>
    <w:p w14:paraId="4218D468">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专用条件；</w:t>
      </w:r>
    </w:p>
    <w:p w14:paraId="3D652DFF">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通用条件；</w:t>
      </w:r>
    </w:p>
    <w:p w14:paraId="7A71E4BC">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附录，即：</w:t>
      </w:r>
    </w:p>
    <w:p w14:paraId="438CE837">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附录A  相关服务的范围和内容</w:t>
      </w:r>
    </w:p>
    <w:p w14:paraId="3B678017">
      <w:pPr>
        <w:pageBreakBefore w:val="0"/>
        <w:overflowPunct/>
        <w:bidi w:val="0"/>
        <w:adjustRightInd w:val="0"/>
        <w:snapToGrid w:val="0"/>
        <w:spacing w:line="360" w:lineRule="auto"/>
        <w:ind w:left="0" w:leftChars="0"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附录B  委托人派遣的人员和提供的</w:t>
      </w:r>
      <w:r>
        <w:rPr>
          <w:rFonts w:hint="eastAsia" w:ascii="宋体" w:hAnsi="宋体" w:eastAsia="宋体" w:cs="宋体"/>
          <w:bCs/>
          <w:color w:val="auto"/>
          <w:sz w:val="21"/>
          <w:szCs w:val="21"/>
          <w:highlight w:val="none"/>
        </w:rPr>
        <w:t>房屋、资料</w:t>
      </w:r>
      <w:r>
        <w:rPr>
          <w:rFonts w:hint="eastAsia" w:ascii="宋体" w:hAnsi="宋体" w:eastAsia="宋体" w:cs="宋体"/>
          <w:color w:val="auto"/>
          <w:sz w:val="21"/>
          <w:szCs w:val="21"/>
          <w:highlight w:val="none"/>
        </w:rPr>
        <w:t>、设备</w:t>
      </w:r>
    </w:p>
    <w:p w14:paraId="4FB31480">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本合同签订后，双方依法签订的补充协议也是本合同文件的组成部分。</w:t>
      </w:r>
    </w:p>
    <w:p w14:paraId="0E54FD71">
      <w:pPr>
        <w:pageBreakBefore w:val="0"/>
        <w:overflowPunct/>
        <w:bidi w:val="0"/>
        <w:adjustRightInd w:val="0"/>
        <w:snapToGrid w:val="0"/>
        <w:spacing w:line="360" w:lineRule="auto"/>
        <w:ind w:left="0" w:leftChars="0" w:firstLine="417" w:firstLineChars="198"/>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四、总监理工程师</w:t>
      </w:r>
    </w:p>
    <w:p w14:paraId="7ACF25EF">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总监理工程师姓名：</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，身份证号码：</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，注册号：</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679F56D">
      <w:pPr>
        <w:pageBreakBefore w:val="0"/>
        <w:overflowPunct/>
        <w:bidi w:val="0"/>
        <w:adjustRightInd w:val="0"/>
        <w:snapToGrid w:val="0"/>
        <w:spacing w:line="360" w:lineRule="auto"/>
        <w:ind w:left="0" w:leftChars="0" w:firstLine="417" w:firstLineChars="198"/>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五、签约酬金</w:t>
      </w:r>
    </w:p>
    <w:p w14:paraId="2E57783E">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签约酬金（大写）：</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3A8C3B8">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包括：监理酬金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相关服务酬金</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w:t>
      </w:r>
    </w:p>
    <w:p w14:paraId="1E3E4B25">
      <w:pPr>
        <w:pageBreakBefore w:val="0"/>
        <w:overflowPunct/>
        <w:bidi w:val="0"/>
        <w:adjustRightInd w:val="0"/>
        <w:snapToGrid w:val="0"/>
        <w:spacing w:line="360" w:lineRule="auto"/>
        <w:ind w:left="0" w:leftChars="0" w:firstLine="417" w:firstLineChars="198"/>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六、期限</w:t>
      </w:r>
    </w:p>
    <w:p w14:paraId="01A83255">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监理期限：</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C6514A9">
      <w:pPr>
        <w:pageBreakBefore w:val="0"/>
        <w:overflowPunct/>
        <w:bidi w:val="0"/>
        <w:adjustRightInd w:val="0"/>
        <w:snapToGrid w:val="0"/>
        <w:spacing w:line="360" w:lineRule="auto"/>
        <w:ind w:left="0" w:leftChars="0" w:firstLine="417" w:firstLineChars="198"/>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七、双方承诺</w:t>
      </w:r>
    </w:p>
    <w:p w14:paraId="1BE934EC">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1. </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向</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承诺，按照本合同约定</w:t>
      </w:r>
      <w:r>
        <w:rPr>
          <w:rFonts w:hint="eastAsia" w:ascii="宋体" w:hAnsi="宋体" w:eastAsia="宋体" w:cs="宋体"/>
          <w:color w:val="auto"/>
          <w:kern w:val="0"/>
          <w:sz w:val="21"/>
          <w:szCs w:val="21"/>
          <w:highlight w:val="none"/>
        </w:rPr>
        <w:t>提供</w:t>
      </w:r>
      <w:r>
        <w:rPr>
          <w:rFonts w:hint="eastAsia" w:ascii="宋体" w:hAnsi="宋体" w:eastAsia="宋体" w:cs="宋体"/>
          <w:color w:val="auto"/>
          <w:sz w:val="21"/>
          <w:szCs w:val="21"/>
          <w:highlight w:val="none"/>
        </w:rPr>
        <w:t>监理与相关服务。</w:t>
      </w:r>
    </w:p>
    <w:p w14:paraId="01150E9F">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 </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向</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承诺，按照本合同约定派遣相应的人员，提供</w:t>
      </w:r>
      <w:r>
        <w:rPr>
          <w:rFonts w:hint="eastAsia" w:ascii="宋体" w:hAnsi="宋体" w:eastAsia="宋体" w:cs="宋体"/>
          <w:bCs/>
          <w:color w:val="auto"/>
          <w:sz w:val="21"/>
          <w:szCs w:val="21"/>
          <w:highlight w:val="none"/>
        </w:rPr>
        <w:t>资料</w:t>
      </w:r>
      <w:r>
        <w:rPr>
          <w:rFonts w:hint="eastAsia" w:ascii="宋体" w:hAnsi="宋体" w:eastAsia="宋体" w:cs="宋体"/>
          <w:color w:val="auto"/>
          <w:sz w:val="21"/>
          <w:szCs w:val="21"/>
          <w:highlight w:val="none"/>
        </w:rPr>
        <w:t>、设备，并按本合同约定支付酬金。</w:t>
      </w:r>
    </w:p>
    <w:p w14:paraId="4DA9A210">
      <w:pPr>
        <w:pageBreakBefore w:val="0"/>
        <w:overflowPunct/>
        <w:bidi w:val="0"/>
        <w:adjustRightInd w:val="0"/>
        <w:snapToGrid w:val="0"/>
        <w:spacing w:line="360" w:lineRule="auto"/>
        <w:ind w:left="0" w:leftChars="0" w:firstLine="417" w:firstLineChars="198"/>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八、合同订立</w:t>
      </w:r>
    </w:p>
    <w:p w14:paraId="6B65960B">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订立时间：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118FA28F">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订立地点：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764BFA0">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本合同一式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份，具有同等法律效力，双方各执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w:t>
      </w:r>
    </w:p>
    <w:p w14:paraId="045A4490">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p>
    <w:p w14:paraId="146C9B69">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p>
    <w:p w14:paraId="40981C46">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p>
    <w:p w14:paraId="515BBD01">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p>
    <w:p w14:paraId="4F9A86A7">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p>
    <w:p w14:paraId="2268116A">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w:t>
      </w:r>
      <w:r>
        <w:rPr>
          <w:rFonts w:hint="eastAsia" w:ascii="宋体" w:hAnsi="宋体" w:eastAsia="宋体" w:cs="宋体"/>
          <w:color w:val="auto"/>
          <w:sz w:val="21"/>
          <w:szCs w:val="21"/>
          <w:highlight w:val="none"/>
          <w:u w:val="single"/>
        </w:rPr>
        <w:t xml:space="preserve">   （盖章）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监理人：</w:t>
      </w:r>
      <w:r>
        <w:rPr>
          <w:rFonts w:hint="eastAsia" w:ascii="宋体" w:hAnsi="宋体" w:eastAsia="宋体" w:cs="宋体"/>
          <w:color w:val="auto"/>
          <w:sz w:val="21"/>
          <w:szCs w:val="21"/>
          <w:highlight w:val="none"/>
          <w:u w:val="single"/>
        </w:rPr>
        <w:t xml:space="preserve">   （盖章）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6445BD65">
      <w:pPr>
        <w:pageBreakBefore w:val="0"/>
        <w:overflowPunct/>
        <w:bidi w:val="0"/>
        <w:adjustRightInd w:val="0"/>
        <w:snapToGrid w:val="0"/>
        <w:spacing w:line="360" w:lineRule="auto"/>
        <w:ind w:left="0" w:leftChars="0" w:firstLine="420" w:firstLineChars="200"/>
        <w:outlineLvl w:val="9"/>
        <w:rPr>
          <w:rFonts w:hint="eastAsia" w:ascii="宋体" w:hAnsi="宋体" w:eastAsia="宋体" w:cs="宋体"/>
          <w:color w:val="auto"/>
          <w:sz w:val="21"/>
          <w:szCs w:val="21"/>
          <w:highlight w:val="none"/>
        </w:rPr>
      </w:pPr>
    </w:p>
    <w:p w14:paraId="52525584">
      <w:pPr>
        <w:pageBreakBefore w:val="0"/>
        <w:overflowPunct/>
        <w:bidi w:val="0"/>
        <w:adjustRightInd w:val="0"/>
        <w:snapToGrid w:val="0"/>
        <w:spacing w:line="360" w:lineRule="auto"/>
        <w:ind w:left="0" w:leftChars="0" w:firstLine="420" w:firstLineChars="200"/>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住所：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住所：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0344716F">
      <w:pPr>
        <w:pageBreakBefore w:val="0"/>
        <w:overflowPunct/>
        <w:bidi w:val="0"/>
        <w:adjustRightInd w:val="0"/>
        <w:snapToGrid w:val="0"/>
        <w:spacing w:line="360" w:lineRule="auto"/>
        <w:ind w:left="0" w:leftChars="0"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75E0FC5B">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p>
    <w:p w14:paraId="337320D9">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法定代表人或其授权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法定代表人或其授权</w:t>
      </w:r>
    </w:p>
    <w:p w14:paraId="349513A6">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的代理人：</w:t>
      </w:r>
      <w:r>
        <w:rPr>
          <w:rFonts w:hint="eastAsia" w:ascii="宋体" w:hAnsi="宋体" w:eastAsia="宋体" w:cs="宋体"/>
          <w:color w:val="auto"/>
          <w:sz w:val="21"/>
          <w:szCs w:val="21"/>
          <w:highlight w:val="none"/>
          <w:u w:val="single"/>
        </w:rPr>
        <w:t xml:space="preserve">（签字）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的代理人：</w:t>
      </w:r>
      <w:r>
        <w:rPr>
          <w:rFonts w:hint="eastAsia" w:ascii="宋体" w:hAnsi="宋体" w:eastAsia="宋体" w:cs="宋体"/>
          <w:color w:val="auto"/>
          <w:sz w:val="21"/>
          <w:szCs w:val="21"/>
          <w:highlight w:val="none"/>
          <w:u w:val="single"/>
        </w:rPr>
        <w:t xml:space="preserve">（签字）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310DB95E">
      <w:pPr>
        <w:pageBreakBefore w:val="0"/>
        <w:overflowPunct/>
        <w:bidi w:val="0"/>
        <w:adjustRightInd w:val="0"/>
        <w:snapToGrid w:val="0"/>
        <w:spacing w:line="360" w:lineRule="auto"/>
        <w:ind w:left="3780" w:leftChars="0" w:hanging="3780" w:hangingChars="1800"/>
        <w:outlineLvl w:val="9"/>
        <w:rPr>
          <w:rFonts w:hint="eastAsia" w:ascii="宋体" w:hAnsi="宋体" w:eastAsia="宋体" w:cs="宋体"/>
          <w:color w:val="auto"/>
          <w:sz w:val="21"/>
          <w:szCs w:val="21"/>
          <w:highlight w:val="none"/>
        </w:rPr>
      </w:pPr>
    </w:p>
    <w:p w14:paraId="37B88719">
      <w:pPr>
        <w:pageBreakBefore w:val="0"/>
        <w:overflowPunct/>
        <w:bidi w:val="0"/>
        <w:adjustRightInd w:val="0"/>
        <w:snapToGrid w:val="0"/>
        <w:spacing w:line="360" w:lineRule="auto"/>
        <w:ind w:left="3780" w:leftChars="0" w:hanging="3780" w:hangingChars="18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lang w:val="en-US" w:eastAsia="zh-CN"/>
        </w:rPr>
        <w:t xml:space="preserve">                           </w:t>
      </w:r>
    </w:p>
    <w:p w14:paraId="1695272E">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u w:val="single"/>
          <w:lang w:val="en-US"/>
        </w:rPr>
      </w:pPr>
      <w:r>
        <w:rPr>
          <w:rFonts w:hint="eastAsia" w:ascii="宋体" w:hAnsi="宋体" w:eastAsia="宋体" w:cs="宋体"/>
          <w:color w:val="auto"/>
          <w:sz w:val="21"/>
          <w:szCs w:val="21"/>
          <w:highlight w:val="none"/>
        </w:rPr>
        <w:t>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p>
    <w:p w14:paraId="6E1C3A05">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3AE26EA4">
      <w:pPr>
        <w:pageBreakBefore w:val="0"/>
        <w:overflowPunct/>
        <w:bidi w:val="0"/>
        <w:adjustRightInd w:val="0"/>
        <w:snapToGrid w:val="0"/>
        <w:spacing w:line="360" w:lineRule="auto"/>
        <w:ind w:left="0" w:leftChars="0"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364D6809">
      <w:pPr>
        <w:pageBreakBefore w:val="0"/>
        <w:overflowPunct/>
        <w:bidi w:val="0"/>
        <w:adjustRightInd w:val="0"/>
        <w:snapToGrid w:val="0"/>
        <w:spacing w:line="360" w:lineRule="auto"/>
        <w:ind w:left="0" w:leftChars="0" w:firstLine="415" w:firstLineChars="198"/>
        <w:outlineLvl w:val="9"/>
        <w:rPr>
          <w:rFonts w:hint="eastAsia" w:ascii="仿宋_GB2312" w:hAnsi="宋体" w:eastAsia="仿宋_GB2312"/>
          <w:color w:val="auto"/>
          <w:sz w:val="24"/>
          <w:szCs w:val="24"/>
          <w:highlight w:val="none"/>
          <w:u w:val="single"/>
        </w:rPr>
      </w:pPr>
      <w:r>
        <w:rPr>
          <w:rFonts w:hint="eastAsia" w:ascii="宋体" w:hAnsi="宋体" w:eastAsia="宋体" w:cs="宋体"/>
          <w:color w:val="auto"/>
          <w:sz w:val="21"/>
          <w:szCs w:val="21"/>
          <w:highlight w:val="none"/>
        </w:rPr>
        <w:t>电子邮箱：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电子邮箱：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33449A8A">
      <w:pPr>
        <w:pageBreakBefore w:val="0"/>
        <w:overflowPunct/>
        <w:bidi w:val="0"/>
        <w:adjustRightInd w:val="0"/>
        <w:snapToGrid w:val="0"/>
        <w:spacing w:line="360" w:lineRule="auto"/>
        <w:ind w:left="0" w:leftChars="0"/>
        <w:outlineLvl w:val="9"/>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10E2C542">
      <w:pPr>
        <w:pageBreakBefore w:val="0"/>
        <w:tabs>
          <w:tab w:val="left" w:pos="3120"/>
        </w:tabs>
        <w:overflowPunct/>
        <w:bidi w:val="0"/>
        <w:adjustRightInd w:val="0"/>
        <w:snapToGrid w:val="0"/>
        <w:spacing w:line="360" w:lineRule="auto"/>
        <w:ind w:left="0" w:leftChars="0"/>
        <w:jc w:val="center"/>
        <w:outlineLvl w:val="1"/>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第二部分  通用条件</w:t>
      </w:r>
    </w:p>
    <w:p w14:paraId="2D15A42B">
      <w:pPr>
        <w:pageBreakBefore w:val="0"/>
        <w:overflowPunct/>
        <w:bidi w:val="0"/>
        <w:adjustRightInd w:val="0"/>
        <w:snapToGrid w:val="0"/>
        <w:spacing w:line="360" w:lineRule="auto"/>
        <w:ind w:left="0" w:left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 定义与解释</w:t>
      </w:r>
    </w:p>
    <w:p w14:paraId="7DF51AD4">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1.1 </w:t>
      </w:r>
      <w:r>
        <w:rPr>
          <w:rFonts w:hint="eastAsia" w:ascii="宋体" w:hAnsi="宋体" w:eastAsia="宋体" w:cs="宋体"/>
          <w:bCs/>
          <w:color w:val="auto"/>
          <w:sz w:val="21"/>
          <w:szCs w:val="21"/>
          <w:highlight w:val="none"/>
        </w:rPr>
        <w:t>定义</w:t>
      </w:r>
    </w:p>
    <w:p w14:paraId="5599EE0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除根据上下文另有其意义外，组成本合同的全部文件中的下列名词和用语应具有本款所赋予的含义：</w:t>
      </w:r>
    </w:p>
    <w:p w14:paraId="372204E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“工程”是指按照本合同约定实施监理与相关服务的建设工程。</w:t>
      </w:r>
    </w:p>
    <w:p w14:paraId="53E8D39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“委托人”是指本合同中委托监理与相关服务的一方，及其合法的继承人或受让人。</w:t>
      </w:r>
    </w:p>
    <w:p w14:paraId="1D8DD23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 “监理人”是指本合同中提供监理与相关服务的一方，及其合法的继承人。</w:t>
      </w:r>
    </w:p>
    <w:p w14:paraId="6A26568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 “承包人”是指在工程范围内与委托人签订勘察、设计、施工等有关合同的当事人，及其合法的继承人。</w:t>
      </w:r>
    </w:p>
    <w:p w14:paraId="452F57D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jc w:val="left"/>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70B4440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 “相关服务”是指监理人受委托人的委托，按照本合同约定，在勘察、设计、保修等阶段提供的服务活动。</w:t>
      </w:r>
    </w:p>
    <w:p w14:paraId="3E5C8F6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1.1.7 “正常工作”指本合同订立时通用条件和专用条件中约定的监理人的工作。</w:t>
      </w:r>
    </w:p>
    <w:p w14:paraId="62361F3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 “附加工作”是指本合同约定的正常工作以外监理人的工作。</w:t>
      </w:r>
    </w:p>
    <w:p w14:paraId="211D8CB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1.1.9 “项目监理机构”是指监理人派驻工程负责履行本合同的组织机构。</w:t>
      </w:r>
    </w:p>
    <w:p w14:paraId="54D7D59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1.1.10 “总监理工程师”是指由监理人的法定代表人书面授权，全面负责履行本合同、主持项目监理机构工作的注册监理工程师。</w:t>
      </w:r>
    </w:p>
    <w:p w14:paraId="494D3DB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 “酬金”是指监理人履行本合同义务，委托人按照本合同约定给付监理人的金额。</w:t>
      </w:r>
    </w:p>
    <w:p w14:paraId="4AADCAC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1.1.12 “正常工作</w:t>
      </w:r>
      <w:r>
        <w:rPr>
          <w:rFonts w:hint="eastAsia" w:ascii="宋体" w:hAnsi="宋体" w:eastAsia="宋体" w:cs="宋体"/>
          <w:color w:val="auto"/>
          <w:kern w:val="0"/>
          <w:sz w:val="21"/>
          <w:szCs w:val="21"/>
          <w:highlight w:val="none"/>
        </w:rPr>
        <w:t>酬金”</w:t>
      </w:r>
      <w:r>
        <w:rPr>
          <w:rFonts w:hint="eastAsia" w:ascii="宋体" w:hAnsi="宋体" w:eastAsia="宋体" w:cs="宋体"/>
          <w:color w:val="auto"/>
          <w:sz w:val="21"/>
          <w:szCs w:val="21"/>
          <w:highlight w:val="none"/>
        </w:rPr>
        <w:t>是指监理人完成正常工作，委托人应给付监理人并在协议书中载明的签约</w:t>
      </w:r>
      <w:r>
        <w:rPr>
          <w:rFonts w:hint="eastAsia" w:ascii="宋体" w:hAnsi="宋体" w:eastAsia="宋体" w:cs="宋体"/>
          <w:color w:val="auto"/>
          <w:kern w:val="0"/>
          <w:sz w:val="21"/>
          <w:szCs w:val="21"/>
          <w:highlight w:val="none"/>
        </w:rPr>
        <w:t>酬金额</w:t>
      </w:r>
      <w:r>
        <w:rPr>
          <w:rFonts w:hint="eastAsia" w:ascii="宋体" w:hAnsi="宋体" w:eastAsia="宋体" w:cs="宋体"/>
          <w:color w:val="auto"/>
          <w:sz w:val="21"/>
          <w:szCs w:val="21"/>
          <w:highlight w:val="none"/>
        </w:rPr>
        <w:t>。</w:t>
      </w:r>
    </w:p>
    <w:p w14:paraId="1F0F120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1.1.13 “附加工作酬金”是指监理人完成附加工作，委托人应给付监理人的金额。</w:t>
      </w:r>
    </w:p>
    <w:p w14:paraId="50977CD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1.1.14 “一方”是指委托人或监理人；“双方”是指委托人和监理人；“第三方”是指除委托人和监理人以外的有关方。</w:t>
      </w:r>
    </w:p>
    <w:p w14:paraId="545EF9C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1.1.15 “书面形式”是指合同书、信件和数据电文（包括电报、电传、传真、电子数据交换和电子邮件）等可以有形地表现所载内容的形式。</w:t>
      </w:r>
    </w:p>
    <w:p w14:paraId="05E8E9B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1.1.16 “天”是指第一天零时至第二天零时的时间。</w:t>
      </w:r>
    </w:p>
    <w:p w14:paraId="2D6FA94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1.1.17“月”是指按公历从一个月中任何一天开始的一个公历月时间。</w:t>
      </w:r>
    </w:p>
    <w:p w14:paraId="69670C7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1.1.18 “不可抗力”是指委托人和监理人在订立本合同时不可预见，在工程施工过程中不可避免发生并不能克服的自然灾害和社会性突发事件，如地震、海啸、瘟疫、水灾、骚乱、暴动、战争和专用条件约定的其他情形。</w:t>
      </w:r>
    </w:p>
    <w:p w14:paraId="7B9458F9">
      <w:pPr>
        <w:pageBreakBefore w:val="0"/>
        <w:overflowPunct/>
        <w:bidi w:val="0"/>
        <w:adjustRightInd w:val="0"/>
        <w:snapToGrid w:val="0"/>
        <w:spacing w:line="360" w:lineRule="auto"/>
        <w:ind w:left="0" w:leftChars="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 xml:space="preserve">1.2 </w:t>
      </w:r>
      <w:r>
        <w:rPr>
          <w:rFonts w:hint="eastAsia" w:ascii="宋体" w:hAnsi="宋体" w:eastAsia="宋体" w:cs="宋体"/>
          <w:color w:val="auto"/>
          <w:sz w:val="21"/>
          <w:szCs w:val="21"/>
          <w:highlight w:val="none"/>
        </w:rPr>
        <w:t>解释</w:t>
      </w:r>
    </w:p>
    <w:p w14:paraId="2CC15D56">
      <w:pPr>
        <w:keepNext w:val="0"/>
        <w:keepLines w:val="0"/>
        <w:pageBreakBefore w:val="0"/>
        <w:widowControl/>
        <w:tabs>
          <w:tab w:val="left" w:pos="6140"/>
        </w:tabs>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本合同使用中文书写、解释和说明。如专用条件约定使用两种及以上语言文字时，应以中文为准。</w:t>
      </w:r>
    </w:p>
    <w:p w14:paraId="52803378">
      <w:pPr>
        <w:keepNext w:val="0"/>
        <w:keepLines w:val="0"/>
        <w:pageBreakBefore w:val="0"/>
        <w:widowControl/>
        <w:tabs>
          <w:tab w:val="left" w:pos="6140"/>
        </w:tabs>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 组成本合同的下列文件彼此应能相互解释、互为说明。除专用条件另有约定外，本合同文件的解释顺序如下：</w:t>
      </w:r>
    </w:p>
    <w:p w14:paraId="415238D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（1）协议书；</w:t>
      </w:r>
    </w:p>
    <w:p w14:paraId="054A7DD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（2）中标通知书（适用于招标工程）或委托书（适用于非招标工程）；</w:t>
      </w:r>
    </w:p>
    <w:p w14:paraId="267F5FD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（3）专用条件及附录A、附录B；</w:t>
      </w:r>
    </w:p>
    <w:p w14:paraId="46F3B9D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（4）通用条件；</w:t>
      </w:r>
    </w:p>
    <w:p w14:paraId="0ECC266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（5）投标文件（适用于招标工程）或监理与相关服务建议书（适用于非招标工程）。</w:t>
      </w:r>
    </w:p>
    <w:p w14:paraId="6E8DF30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双方签订的补充协议与其他文件发生矛盾或歧义时，属于同一类内容的文件，应以最新签署的为准。</w:t>
      </w:r>
    </w:p>
    <w:p w14:paraId="5EF1B593">
      <w:pPr>
        <w:pageBreakBefore w:val="0"/>
        <w:overflowPunct/>
        <w:bidi w:val="0"/>
        <w:adjustRightInd w:val="0"/>
        <w:snapToGrid w:val="0"/>
        <w:spacing w:line="360" w:lineRule="auto"/>
        <w:ind w:left="0" w:left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 监理人的义务</w:t>
      </w:r>
    </w:p>
    <w:p w14:paraId="4DF5D83C">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2.1 监理的范围和工作内容</w:t>
      </w:r>
    </w:p>
    <w:p w14:paraId="501856B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 监理范围在专用条件中约定。</w:t>
      </w:r>
    </w:p>
    <w:p w14:paraId="44A8E22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 除专用条件另有约定外，监理工作内容包括：</w:t>
      </w:r>
    </w:p>
    <w:p w14:paraId="14AC655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（1）收到工程设计文件后编制监理规划，并在第一次工地会议7天前报委托人。根据有关规定和监理工作需要，编制监理实施细则；</w:t>
      </w:r>
    </w:p>
    <w:p w14:paraId="132E2FE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（2）熟悉工程设计文件，并参加由委托人主持的图纸会审和设计交底会议；</w:t>
      </w:r>
    </w:p>
    <w:p w14:paraId="79ED8C4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（3）参加由委托人主持的第一次工地会议；主持监理例会并根据工程需要主持或参加专题会议；</w:t>
      </w:r>
    </w:p>
    <w:p w14:paraId="7BCAB3A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（4）审查施工承包人提交的施工组织设计，重点审查其中的质量安全技术措施、专项施工方案与工程建设强制性标准的符合性；</w:t>
      </w:r>
    </w:p>
    <w:p w14:paraId="494EF58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（5）检查施工承包人工程质量、安全生产管理制度及组织机构和人员资格； </w:t>
      </w:r>
    </w:p>
    <w:p w14:paraId="7911A64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（6）检查施工承包人专职安全生产管理人员的配备情况；</w:t>
      </w:r>
    </w:p>
    <w:p w14:paraId="4C92DB5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（7）审查施工承包人提交的施工进度计划，核查承包人对施工进度计划的调整；</w:t>
      </w:r>
    </w:p>
    <w:p w14:paraId="073BEA9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（8）检查施工承包人的试验室；</w:t>
      </w:r>
    </w:p>
    <w:p w14:paraId="1B26A0F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（9）审核施工分包人资质条件；</w:t>
      </w:r>
    </w:p>
    <w:p w14:paraId="7F91707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（10）查验施工承包人的施工测量放线成果；</w:t>
      </w:r>
    </w:p>
    <w:p w14:paraId="317103B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（11）审查工程开工条件，对条件具备的签发开工令；</w:t>
      </w:r>
    </w:p>
    <w:p w14:paraId="60EED92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（12）审查施工承包人报送的工程材料、构配件、设备质量证明文件的有效性和符合性，并按规定对用于工程的材料采取平行检验或见证取样方式进行抽检；</w:t>
      </w:r>
    </w:p>
    <w:p w14:paraId="265F74D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（13）审核施工承包人提交的工程款支付申请，签发或出具工程款支付证书，并报委托人审核、批准；</w:t>
      </w:r>
    </w:p>
    <w:p w14:paraId="70552A8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（14）在巡视、旁站和检验过程中，发现工程质量、施工安全存在事故隐患的，要求施工承包人整改并报委托人；</w:t>
      </w:r>
    </w:p>
    <w:p w14:paraId="3508E67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（15）经委托人同意，签发工程暂停令和复工令；</w:t>
      </w:r>
    </w:p>
    <w:p w14:paraId="6617C8B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（16）审查施工承包人提交的采用新材料、新工艺、新技术、新设备的论证材料及相关验收标准；</w:t>
      </w:r>
    </w:p>
    <w:p w14:paraId="14CFA40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（17）验收隐蔽工程、分部分项工程；</w:t>
      </w:r>
    </w:p>
    <w:p w14:paraId="781C56C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（18）审查施工承包人提交的工程变更申请，协调处理施工进度调整、费用索赔、合同争议等事项；</w:t>
      </w:r>
    </w:p>
    <w:p w14:paraId="5EC4BC7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（19）审查施工承包人提交的竣工验收申请，编写工程质量评估报告；</w:t>
      </w:r>
    </w:p>
    <w:p w14:paraId="7BE3507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（20）参加工程竣工验收，签署竣工验收意见；</w:t>
      </w:r>
    </w:p>
    <w:p w14:paraId="4DC5A17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（21）审查施工承包人提交的竣工结算申请并报委托人；</w:t>
      </w:r>
    </w:p>
    <w:p w14:paraId="655C12F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（22）编制、整理工程监理归档文件并报委托人。</w:t>
      </w:r>
    </w:p>
    <w:p w14:paraId="3691D85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 相关服务的范围和内容在附录A中约定。</w:t>
      </w:r>
    </w:p>
    <w:p w14:paraId="601E06A2">
      <w:pPr>
        <w:pageBreakBefore w:val="0"/>
        <w:overflowPunct/>
        <w:bidi w:val="0"/>
        <w:adjustRightInd w:val="0"/>
        <w:snapToGrid w:val="0"/>
        <w:spacing w:line="360" w:lineRule="auto"/>
        <w:ind w:left="0" w:leftChars="0" w:firstLine="210" w:firstLineChars="1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2.2 </w:t>
      </w:r>
      <w:r>
        <w:rPr>
          <w:rFonts w:hint="eastAsia" w:ascii="宋体" w:hAnsi="宋体" w:eastAsia="宋体" w:cs="宋体"/>
          <w:bCs/>
          <w:color w:val="auto"/>
          <w:sz w:val="21"/>
          <w:szCs w:val="21"/>
          <w:highlight w:val="none"/>
        </w:rPr>
        <w:t>监理与相关服务依据</w:t>
      </w:r>
    </w:p>
    <w:p w14:paraId="4D00AD67">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 监理依据包括：</w:t>
      </w:r>
    </w:p>
    <w:p w14:paraId="08F0B03D">
      <w:pPr>
        <w:pageBreakBefore w:val="0"/>
        <w:overflowPunct/>
        <w:bidi w:val="0"/>
        <w:adjustRightInd w:val="0"/>
        <w:snapToGrid w:val="0"/>
        <w:spacing w:line="360" w:lineRule="auto"/>
        <w:ind w:left="0" w:leftChars="0"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（1）适用的法律、行政法规及部门规章；</w:t>
      </w:r>
    </w:p>
    <w:p w14:paraId="701B783F">
      <w:pPr>
        <w:pageBreakBefore w:val="0"/>
        <w:overflowPunct/>
        <w:bidi w:val="0"/>
        <w:adjustRightInd w:val="0"/>
        <w:snapToGrid w:val="0"/>
        <w:spacing w:line="360" w:lineRule="auto"/>
        <w:ind w:left="0" w:leftChars="0"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（2）与工程有关的标准；</w:t>
      </w:r>
    </w:p>
    <w:p w14:paraId="05C7A3F8">
      <w:pPr>
        <w:pageBreakBefore w:val="0"/>
        <w:overflowPunct/>
        <w:bidi w:val="0"/>
        <w:adjustRightInd w:val="0"/>
        <w:snapToGrid w:val="0"/>
        <w:spacing w:line="360" w:lineRule="auto"/>
        <w:ind w:left="0" w:leftChars="0"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（3）工程设计及有关文件；</w:t>
      </w:r>
    </w:p>
    <w:p w14:paraId="1FFFA799">
      <w:pPr>
        <w:pageBreakBefore w:val="0"/>
        <w:overflowPunct/>
        <w:bidi w:val="0"/>
        <w:adjustRightInd w:val="0"/>
        <w:snapToGrid w:val="0"/>
        <w:spacing w:line="360" w:lineRule="auto"/>
        <w:ind w:left="0" w:leftChars="0"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（4）本合同及委托人与第三方签订的与实施工程有关的其他合同。</w:t>
      </w:r>
    </w:p>
    <w:p w14:paraId="75840442">
      <w:pPr>
        <w:pageBreakBefore w:val="0"/>
        <w:overflowPunct/>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双方根据工程的行业和地域特点，在专用条件中具体约定监理依据。</w:t>
      </w:r>
    </w:p>
    <w:p w14:paraId="132192C7">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 相关服务依据在专用条件中约定。</w:t>
      </w:r>
    </w:p>
    <w:p w14:paraId="6D0428BA">
      <w:pPr>
        <w:pageBreakBefore w:val="0"/>
        <w:overflowPunct/>
        <w:bidi w:val="0"/>
        <w:adjustRightInd w:val="0"/>
        <w:snapToGrid w:val="0"/>
        <w:spacing w:line="360" w:lineRule="auto"/>
        <w:ind w:left="0" w:lef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项目监理机构和人员</w:t>
      </w:r>
    </w:p>
    <w:p w14:paraId="2D7828DA">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2.3.1 监理人应组建满足工作需要的项目监理机构，配备必要的检测设备。项目监理机构的主要人员应具有相应的资格条件。</w:t>
      </w:r>
    </w:p>
    <w:p w14:paraId="10636BD1">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2.3.2本合同履行过程中，总监理工程师及重要岗位监理人员应保持相对稳定，以保证监理工作正常进行。</w:t>
      </w:r>
    </w:p>
    <w:p w14:paraId="2ADCF31A">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2.3.3监理人可根据工程进展和工作需要调整项目监理机构人员。监理人更换总监理工程师时，应提前7天向委托人书面报告，经委托人</w:t>
      </w:r>
      <w:r>
        <w:rPr>
          <w:rFonts w:hint="eastAsia" w:ascii="宋体" w:hAnsi="宋体" w:eastAsia="宋体" w:cs="宋体"/>
          <w:color w:val="auto"/>
          <w:sz w:val="21"/>
          <w:szCs w:val="21"/>
          <w:highlight w:val="none"/>
          <w:lang w:val="en-US" w:eastAsia="zh-CN"/>
        </w:rPr>
        <w:t>书面</w:t>
      </w:r>
      <w:r>
        <w:rPr>
          <w:rFonts w:hint="eastAsia" w:ascii="宋体" w:hAnsi="宋体" w:eastAsia="宋体" w:cs="宋体"/>
          <w:color w:val="auto"/>
          <w:sz w:val="21"/>
          <w:szCs w:val="21"/>
          <w:highlight w:val="none"/>
        </w:rPr>
        <w:t>同意后方可更换；监理人更换项目监理机构其他监理人员，应以相当资格与能力的人员替换，并</w:t>
      </w:r>
      <w:r>
        <w:rPr>
          <w:rFonts w:hint="eastAsia" w:ascii="宋体" w:hAnsi="宋体" w:eastAsia="宋体" w:cs="宋体"/>
          <w:color w:val="auto"/>
          <w:sz w:val="21"/>
          <w:szCs w:val="21"/>
          <w:highlight w:val="none"/>
          <w:lang w:val="en-US" w:eastAsia="zh-CN"/>
        </w:rPr>
        <w:t>书面</w:t>
      </w:r>
      <w:r>
        <w:rPr>
          <w:rFonts w:hint="eastAsia" w:ascii="宋体" w:hAnsi="宋体" w:eastAsia="宋体" w:cs="宋体"/>
          <w:color w:val="auto"/>
          <w:sz w:val="21"/>
          <w:szCs w:val="21"/>
          <w:highlight w:val="none"/>
        </w:rPr>
        <w:t>通知委托人。</w:t>
      </w:r>
    </w:p>
    <w:p w14:paraId="03415FBD">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2.3.4 监理人应及时更换有下列情形之一的监理人员：</w:t>
      </w:r>
    </w:p>
    <w:p w14:paraId="2BF84E5A">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（1）严重过失行为的；</w:t>
      </w:r>
    </w:p>
    <w:p w14:paraId="6FFE073F">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（2）有违法行为不能履行职责的；</w:t>
      </w:r>
    </w:p>
    <w:p w14:paraId="06C5054B">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（3）涉嫌犯罪的；</w:t>
      </w:r>
    </w:p>
    <w:p w14:paraId="483F2057">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（4）不能胜任岗位职责的；</w:t>
      </w:r>
    </w:p>
    <w:p w14:paraId="643D9F5C">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（5）严重违反职业道德的；</w:t>
      </w:r>
    </w:p>
    <w:p w14:paraId="141F4A20">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（6）专用条件约定的其他情形。</w:t>
      </w:r>
    </w:p>
    <w:p w14:paraId="07780786">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2.3.5 委托人可要求监理人更换不能胜任本职工作的项目监理机构人员。</w:t>
      </w:r>
    </w:p>
    <w:p w14:paraId="1106607F">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2.4 履行职责</w:t>
      </w:r>
    </w:p>
    <w:p w14:paraId="1B9196CF">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监理人应遵循职业道德准则和行为规范，严格按照法律法规、工程建设有关标准及本合同履行职责。</w:t>
      </w:r>
    </w:p>
    <w:p w14:paraId="6FF5ACCC">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 在监理与相关服务范围内，委托人和承包人提出的意见和要求，监理人应及时提出处置意见。当委托人与承包人之间发生合同争议时，监理人应协助委托人、承包人协商解决。</w:t>
      </w:r>
    </w:p>
    <w:p w14:paraId="1EA4DEF2">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 当委托人与承包人之间的合同争议提交仲裁机构仲裁或人民法院审理时，监理人应提供必要的证明资料。</w:t>
      </w:r>
    </w:p>
    <w:p w14:paraId="4C9B995C">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 监理人应在专用条件约定的授权范围内，处理委托人与承包人所签订合同的变更事宜。如果变更超过授权范围，应以书面形式报委托人批准。</w:t>
      </w:r>
    </w:p>
    <w:p w14:paraId="3F5984BA">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在紧急情况下，为了保护财产和人身安全，监理人所发出的指令未能事先报委托人批准时，应在发出指令后的24小时内以书面形式报委托人。</w:t>
      </w:r>
    </w:p>
    <w:p w14:paraId="5FEC49AA">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2.4.4 除专用条件另有约定外，监理人发现承包人的人员不能胜任本职工作的，有权要求承包人予以调换。</w:t>
      </w:r>
    </w:p>
    <w:p w14:paraId="1532A050">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2.5 提交报告</w:t>
      </w:r>
    </w:p>
    <w:p w14:paraId="5F9EB3D0">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监理人应按专用条件约定的种类、时间和份数向委托人提交监理与相关服务的报告。</w:t>
      </w:r>
    </w:p>
    <w:p w14:paraId="7860B459">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2.6 文件资料</w:t>
      </w:r>
    </w:p>
    <w:p w14:paraId="04907DB2">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在本合同履行期内，监理人应在现场保留工作所用的图纸、报告及记录监理工</w:t>
      </w:r>
      <w:r>
        <w:rPr>
          <w:rFonts w:hint="eastAsia" w:ascii="宋体" w:hAnsi="宋体" w:eastAsia="宋体" w:cs="宋体"/>
          <w:color w:val="auto"/>
          <w:sz w:val="21"/>
          <w:szCs w:val="21"/>
          <w:highlight w:val="none"/>
        </w:rPr>
        <w:t>作的相关文件。工程竣工后，应当按照档案管理规定将监理有关文件归档。</w:t>
      </w:r>
    </w:p>
    <w:p w14:paraId="037846CD">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2.7 使用委托人的财产</w:t>
      </w:r>
    </w:p>
    <w:p w14:paraId="298F57E6">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14:paraId="1FDAECF4">
      <w:pPr>
        <w:pageBreakBefore w:val="0"/>
        <w:overflowPunct/>
        <w:bidi w:val="0"/>
        <w:adjustRightInd w:val="0"/>
        <w:snapToGrid w:val="0"/>
        <w:spacing w:line="360" w:lineRule="auto"/>
        <w:ind w:left="0" w:leftChars="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3．委托人的义务</w:t>
      </w:r>
    </w:p>
    <w:p w14:paraId="75C5ED30">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 告知</w:t>
      </w:r>
    </w:p>
    <w:p w14:paraId="483C5D72">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委托人应在委托人与承包人签订的合同中明确监理人、总监理工程师和授予项目监理机构的权限。如有变更，应及时通知承包人。</w:t>
      </w:r>
    </w:p>
    <w:p w14:paraId="3EE1A804">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3.2 提供资料</w:t>
      </w:r>
    </w:p>
    <w:p w14:paraId="1182F8A5">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委托人应按照附录B约定，无偿向监理人提供工程有关的资料。</w:t>
      </w:r>
      <w:r>
        <w:rPr>
          <w:rFonts w:hint="eastAsia" w:ascii="宋体" w:hAnsi="宋体" w:eastAsia="宋体" w:cs="宋体"/>
          <w:color w:val="auto"/>
          <w:sz w:val="21"/>
          <w:szCs w:val="21"/>
          <w:highlight w:val="none"/>
        </w:rPr>
        <w:t>在本合同履行过程中，委托人应及时向监理人提供最新的与工程有关的资料。</w:t>
      </w:r>
    </w:p>
    <w:p w14:paraId="1371C341">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3.3 提供工作条件</w:t>
      </w:r>
    </w:p>
    <w:p w14:paraId="115EB4AD">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委托人应为监理人完成监理与相关服务提供必要的条件。</w:t>
      </w:r>
    </w:p>
    <w:p w14:paraId="489F78C4">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3.3.1 </w:t>
      </w:r>
      <w:r>
        <w:rPr>
          <w:rFonts w:hint="eastAsia" w:ascii="宋体" w:hAnsi="宋体" w:eastAsia="宋体" w:cs="宋体"/>
          <w:color w:val="auto"/>
          <w:sz w:val="21"/>
          <w:szCs w:val="21"/>
          <w:highlight w:val="none"/>
        </w:rPr>
        <w:t>委托人应按照附录B约定，派遣相应的人员，提供房屋、设备，供监理人</w:t>
      </w:r>
      <w:r>
        <w:rPr>
          <w:rFonts w:hint="eastAsia" w:ascii="宋体" w:hAnsi="宋体" w:eastAsia="宋体" w:cs="宋体"/>
          <w:color w:val="auto"/>
          <w:kern w:val="0"/>
          <w:sz w:val="21"/>
          <w:szCs w:val="21"/>
          <w:highlight w:val="none"/>
        </w:rPr>
        <w:t>无偿</w:t>
      </w:r>
      <w:r>
        <w:rPr>
          <w:rFonts w:hint="eastAsia" w:ascii="宋体" w:hAnsi="宋体" w:eastAsia="宋体" w:cs="宋体"/>
          <w:color w:val="auto"/>
          <w:sz w:val="21"/>
          <w:szCs w:val="21"/>
          <w:highlight w:val="none"/>
        </w:rPr>
        <w:t>使用。</w:t>
      </w:r>
    </w:p>
    <w:p w14:paraId="3C3E2362">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3.3.2 </w:t>
      </w:r>
      <w:r>
        <w:rPr>
          <w:rFonts w:hint="eastAsia" w:ascii="宋体" w:hAnsi="宋体" w:eastAsia="宋体" w:cs="宋体"/>
          <w:color w:val="auto"/>
          <w:sz w:val="21"/>
          <w:szCs w:val="21"/>
          <w:highlight w:val="none"/>
        </w:rPr>
        <w:t>委托人应负责协调工程建设中所有外部关系，为监理人履行本合同提供必要的外部条件。</w:t>
      </w:r>
    </w:p>
    <w:p w14:paraId="3E025102">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 委托人代表</w:t>
      </w:r>
    </w:p>
    <w:p w14:paraId="13B1E29A">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委托人应授权一名熟悉工程情况的代表，负责与监理人联系。委托人应在双方签订本合同后7天内，将委托人代表的姓名和职责书面告知监理人。当委托人更换委托人代表时，应提前7天通知监理人。</w:t>
      </w:r>
    </w:p>
    <w:p w14:paraId="199A79EF">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3.5 委托人意见或要求</w:t>
      </w:r>
    </w:p>
    <w:p w14:paraId="7195E2BA">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在本合同约定的监理与相关服务工作范围内，委托人对承包人的任何意见或要求应通知监理人，由监理人向承包人发出相应指令。</w:t>
      </w:r>
    </w:p>
    <w:p w14:paraId="04A2A7ED">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3.6 答复</w:t>
      </w:r>
    </w:p>
    <w:p w14:paraId="59F13471">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委托人应在专用条件约定的时间内，对监理人以书面形式提交并要求作出决定的事宜，给予书面答复。</w:t>
      </w:r>
    </w:p>
    <w:p w14:paraId="017F6A35">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3.7 支付</w:t>
      </w:r>
    </w:p>
    <w:p w14:paraId="0473409D">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委托人应按本合同约定，向监理人支付酬金。</w:t>
      </w:r>
    </w:p>
    <w:p w14:paraId="5AF1B1CC">
      <w:pPr>
        <w:pageBreakBefore w:val="0"/>
        <w:overflowPunct/>
        <w:bidi w:val="0"/>
        <w:adjustRightInd w:val="0"/>
        <w:snapToGrid w:val="0"/>
        <w:spacing w:line="360" w:lineRule="auto"/>
        <w:ind w:left="0" w:leftChars="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 违约责任</w:t>
      </w:r>
    </w:p>
    <w:p w14:paraId="058976AF">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4.1 监理人的违约责任</w:t>
      </w:r>
    </w:p>
    <w:p w14:paraId="26494D7E">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监理人未履行本合同义务的，应承担相应的责任。</w:t>
      </w:r>
    </w:p>
    <w:p w14:paraId="4ED93DB0">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 因监理人违反本合同约定给委托人造成损失的，监理人应当赔偿委托人损失。赔偿金额的确定方法在专用条件中约定。</w:t>
      </w:r>
    </w:p>
    <w:p w14:paraId="6413F0C6">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4.1.2 监理人向委托人的索赔不成立时，监理人应赔偿委托人由此发生的费用。</w:t>
      </w:r>
    </w:p>
    <w:p w14:paraId="1B9D1D99">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 委托人的违约责任</w:t>
      </w:r>
    </w:p>
    <w:p w14:paraId="4CF9AFA5">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委托人未履行本合同义务的，应承担相应的责任。</w:t>
      </w:r>
    </w:p>
    <w:p w14:paraId="7B34516D">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 委托人违反本合同约定造成监理人损失的，委托人应予以赔偿。</w:t>
      </w:r>
    </w:p>
    <w:p w14:paraId="513021D0">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 委托人向监理人的索赔不成立时，应赔偿监理人由此引起的费用。</w:t>
      </w:r>
    </w:p>
    <w:p w14:paraId="23D287EA">
      <w:pPr>
        <w:pageBreakBefore w:val="0"/>
        <w:overflowPunct/>
        <w:bidi w:val="0"/>
        <w:adjustRightInd w:val="0"/>
        <w:snapToGrid w:val="0"/>
        <w:spacing w:line="360" w:lineRule="auto"/>
        <w:ind w:left="0" w:left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4.3 除外责任</w:t>
      </w:r>
    </w:p>
    <w:p w14:paraId="4928931A">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因非监理人的原因，且监理人无过错，发生工程质量事故、安全事故、工期延误等造成的损失，监理人不承担赔偿责任。</w:t>
      </w:r>
    </w:p>
    <w:p w14:paraId="1930BCBE">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因不可抗力导致本合同全部或部分不能履行时，双方各自承担其因此而造成的损失、损害。</w:t>
      </w:r>
    </w:p>
    <w:p w14:paraId="69F271E8">
      <w:pPr>
        <w:pageBreakBefore w:val="0"/>
        <w:overflowPunct/>
        <w:bidi w:val="0"/>
        <w:adjustRightInd w:val="0"/>
        <w:snapToGrid w:val="0"/>
        <w:spacing w:line="360" w:lineRule="auto"/>
        <w:ind w:left="0" w:leftChars="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 支付</w:t>
      </w:r>
    </w:p>
    <w:p w14:paraId="0B98BCFC">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5.1 </w:t>
      </w:r>
      <w:r>
        <w:rPr>
          <w:rFonts w:hint="eastAsia" w:ascii="宋体" w:hAnsi="宋体" w:eastAsia="宋体" w:cs="宋体"/>
          <w:bCs/>
          <w:color w:val="auto"/>
          <w:sz w:val="21"/>
          <w:szCs w:val="21"/>
          <w:highlight w:val="none"/>
        </w:rPr>
        <w:t>支付货币</w:t>
      </w:r>
    </w:p>
    <w:p w14:paraId="702B34F9">
      <w:pPr>
        <w:pageBreakBefore w:val="0"/>
        <w:overflowPunct/>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除专用条件另有约定外，酬金均以人民币支付。涉及外币支付的，所采用的货币种类、比例和汇率在专用条件中约定。</w:t>
      </w:r>
    </w:p>
    <w:p w14:paraId="22C2507C">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5.2 支付申请</w:t>
      </w:r>
    </w:p>
    <w:p w14:paraId="6B771152">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监理人应在本合同约定的每次应付款时间的7天前，向委托人提交支付申请书。支付申请书应当说明当期应付款总额，并列出当期应支付的款项及其金额。</w:t>
      </w:r>
    </w:p>
    <w:p w14:paraId="7A56F89F">
      <w:pPr>
        <w:pageBreakBefore w:val="0"/>
        <w:overflowPunct/>
        <w:bidi w:val="0"/>
        <w:adjustRightInd w:val="0"/>
        <w:snapToGrid w:val="0"/>
        <w:spacing w:line="360" w:lineRule="auto"/>
        <w:ind w:left="0" w:lef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 支付酬金</w:t>
      </w:r>
    </w:p>
    <w:p w14:paraId="229E9C28">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支付的酬金包括正常工作酬金、附加工作酬金、合理化建议奖励金额及费用。</w:t>
      </w:r>
    </w:p>
    <w:p w14:paraId="5AF92E8B">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5.4 </w:t>
      </w:r>
      <w:r>
        <w:rPr>
          <w:rFonts w:hint="eastAsia" w:ascii="宋体" w:hAnsi="宋体" w:eastAsia="宋体" w:cs="宋体"/>
          <w:bCs/>
          <w:color w:val="auto"/>
          <w:sz w:val="21"/>
          <w:szCs w:val="21"/>
          <w:highlight w:val="none"/>
        </w:rPr>
        <w:t>有争议部分的付款</w:t>
      </w:r>
    </w:p>
    <w:p w14:paraId="41D2FFA7">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委托人对监理人提交的支付申请书有异议时，应当在收到监理人提交的支付申请书后7天内，以书面形式向监理人发出异议通知。无异议部分的款项应按期支付，有异议部分的款项按第7条约定办理。</w:t>
      </w:r>
    </w:p>
    <w:p w14:paraId="0A065F46">
      <w:pPr>
        <w:pageBreakBefore w:val="0"/>
        <w:overflowPunct/>
        <w:bidi w:val="0"/>
        <w:adjustRightInd w:val="0"/>
        <w:snapToGrid w:val="0"/>
        <w:spacing w:line="360" w:lineRule="auto"/>
        <w:ind w:left="0" w:leftChars="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 合同生效、变更、暂停、解除与终止</w:t>
      </w:r>
    </w:p>
    <w:p w14:paraId="12BBDBF6">
      <w:pPr>
        <w:pageBreakBefore w:val="0"/>
        <w:overflowPunct/>
        <w:bidi w:val="0"/>
        <w:adjustRightInd w:val="0"/>
        <w:snapToGrid w:val="0"/>
        <w:spacing w:line="360" w:lineRule="auto"/>
        <w:ind w:left="0" w:lef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生效</w:t>
      </w:r>
    </w:p>
    <w:p w14:paraId="2B3A978A">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除法律另有规定或者专用条件另有约定外，委托人和监理人的法定代表人或其授权代理人在协议书上签字并盖单位章后本合同生效。</w:t>
      </w:r>
    </w:p>
    <w:p w14:paraId="7F397006">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6.2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Cs/>
          <w:color w:val="auto"/>
          <w:sz w:val="21"/>
          <w:szCs w:val="21"/>
          <w:highlight w:val="none"/>
        </w:rPr>
        <w:t>变更</w:t>
      </w:r>
    </w:p>
    <w:p w14:paraId="30C904E9">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6.2.1 任何一方提出变更请求时，双方经协商一致后可进行变更。</w:t>
      </w:r>
    </w:p>
    <w:p w14:paraId="1F40E103">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除不可抗力外，因非监理人原因导致监理人履行合同期限延长、内容增加时，监理人应当将此情况与可能产生的影响及时通知委托人。</w:t>
      </w:r>
    </w:p>
    <w:p w14:paraId="2895E288">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14:paraId="4B7EF4CD">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6.2.4</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合同签订后，遇有与工程相关的法律法规、标准颁布或修订的，双方应遵照执行。由此引起监理与相关服务的范围、时间、酬金变化的，双方应通过协商进行相应调整。</w:t>
      </w:r>
    </w:p>
    <w:p w14:paraId="7755F400">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6.2.5 因非监理人原因造成工程概算投资额或建筑安装工程费增加时，正常工作酬金</w:t>
      </w:r>
      <w:r>
        <w:rPr>
          <w:rFonts w:hint="eastAsia" w:ascii="宋体" w:hAnsi="宋体" w:eastAsia="宋体" w:cs="宋体"/>
          <w:color w:val="auto"/>
          <w:sz w:val="21"/>
          <w:szCs w:val="21"/>
          <w:highlight w:val="none"/>
          <w:lang w:val="en-US" w:eastAsia="zh-CN"/>
        </w:rPr>
        <w:t>经协商一致后可</w:t>
      </w:r>
      <w:r>
        <w:rPr>
          <w:rFonts w:hint="eastAsia" w:ascii="宋体" w:hAnsi="宋体" w:eastAsia="宋体" w:cs="宋体"/>
          <w:color w:val="auto"/>
          <w:sz w:val="21"/>
          <w:szCs w:val="21"/>
          <w:highlight w:val="none"/>
        </w:rPr>
        <w:t>相应调整。调整方法在专用条件中约定。</w:t>
      </w:r>
    </w:p>
    <w:p w14:paraId="5BA7FF0D">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6.2.6 因工程规模、监理范围的变化导致监理人的正常工作量减少时，正常工作酬金应作相应调整。调整方法在专用条件中约定。</w:t>
      </w:r>
    </w:p>
    <w:p w14:paraId="7328DE83">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6.3 暂停与</w:t>
      </w:r>
      <w:r>
        <w:rPr>
          <w:rFonts w:hint="eastAsia" w:ascii="宋体" w:hAnsi="宋体" w:eastAsia="宋体" w:cs="宋体"/>
          <w:bCs/>
          <w:color w:val="auto"/>
          <w:sz w:val="21"/>
          <w:szCs w:val="21"/>
          <w:highlight w:val="none"/>
        </w:rPr>
        <w:t>解除</w:t>
      </w:r>
    </w:p>
    <w:p w14:paraId="7E18C55B">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除双方协商一致可以解除本合同外，当一方无正当理由未履行本合同约定的义务时，另一方可以根据本合同约定暂停履行本合同直至解除本合同。</w:t>
      </w:r>
    </w:p>
    <w:p w14:paraId="440E283E">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14:paraId="5A7A67D6">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解除本合同的协议必须采取书面形式，协议未达成之前，本合同仍然有效。</w:t>
      </w:r>
    </w:p>
    <w:p w14:paraId="06FB1D6E">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6.3.2 在本合同有效期内，因非监理人的原因导致工程施工全部或部分暂停，委托人可通知监理人要求暂停全部或部分工作。监理人应立即安排停止工作，并将开支减至最小。</w:t>
      </w:r>
    </w:p>
    <w:p w14:paraId="40FA8DFC">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6.3.3 当监理人无正当理由未履行本合同约定的义务时，委托人应通知监理人限期改正。若委托人在监理人接到通知后的7天内未收到监理人书面形式的合理解释</w:t>
      </w:r>
      <w:r>
        <w:rPr>
          <w:rFonts w:hint="eastAsia" w:ascii="宋体" w:hAnsi="宋体" w:eastAsia="宋体" w:cs="宋体"/>
          <w:color w:val="auto"/>
          <w:sz w:val="21"/>
          <w:szCs w:val="21"/>
          <w:highlight w:val="none"/>
          <w:lang w:val="en-US" w:eastAsia="zh-CN"/>
        </w:rPr>
        <w:t>或监理人未在该限期内改正</w:t>
      </w:r>
      <w:r>
        <w:rPr>
          <w:rFonts w:hint="eastAsia" w:ascii="宋体" w:hAnsi="宋体" w:eastAsia="宋体" w:cs="宋体"/>
          <w:color w:val="auto"/>
          <w:sz w:val="21"/>
          <w:szCs w:val="21"/>
          <w:highlight w:val="none"/>
        </w:rPr>
        <w:t>，则可在7天内发出解除本合同的通知，自通知到达监理人时本合同解除</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监理人应承担第4.1款约定的责任。</w:t>
      </w:r>
    </w:p>
    <w:p w14:paraId="7B897D84">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6.3.4 监理人在专用条件5.3中约定的支付之日起28天后仍未收到委托人按本合同约定应付的款项，可向委托人发出催付通知。</w:t>
      </w:r>
    </w:p>
    <w:p w14:paraId="6ED626B4">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6.3.5 因不可抗力致使本合同部分或全部不能履行时，一方应立即通知另一方，可暂停或解除本合同。</w:t>
      </w:r>
    </w:p>
    <w:p w14:paraId="66FDED00">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6.3.6 本合同解除后，本合同约定的有关结算、清理、争议解决方式的条件仍然有效。</w:t>
      </w:r>
    </w:p>
    <w:p w14:paraId="48ECD825">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6.4 </w:t>
      </w:r>
      <w:r>
        <w:rPr>
          <w:rFonts w:hint="eastAsia" w:ascii="宋体" w:hAnsi="宋体" w:eastAsia="宋体" w:cs="宋体"/>
          <w:bCs/>
          <w:color w:val="auto"/>
          <w:sz w:val="21"/>
          <w:szCs w:val="21"/>
          <w:highlight w:val="none"/>
        </w:rPr>
        <w:t>终止</w:t>
      </w:r>
    </w:p>
    <w:p w14:paraId="0ED85BC4">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以下条件全部满足时，本合同即告终止：</w:t>
      </w:r>
    </w:p>
    <w:p w14:paraId="11EE88C1">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（1）监理人完成本合同约定的全部工作；</w:t>
      </w:r>
    </w:p>
    <w:p w14:paraId="570A24BC">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（2）委托人与监理人结清并支付全部酬金。</w:t>
      </w:r>
    </w:p>
    <w:p w14:paraId="70541AF7">
      <w:pPr>
        <w:pageBreakBefore w:val="0"/>
        <w:overflowPunct/>
        <w:bidi w:val="0"/>
        <w:adjustRightInd w:val="0"/>
        <w:snapToGrid w:val="0"/>
        <w:spacing w:line="360" w:lineRule="auto"/>
        <w:ind w:left="0" w:leftChars="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 争议解决</w:t>
      </w:r>
    </w:p>
    <w:p w14:paraId="27563328">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7.1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Cs/>
          <w:color w:val="auto"/>
          <w:sz w:val="21"/>
          <w:szCs w:val="21"/>
          <w:highlight w:val="none"/>
        </w:rPr>
        <w:t>协商</w:t>
      </w:r>
    </w:p>
    <w:p w14:paraId="1E21CA09">
      <w:pPr>
        <w:pageBreakBefore w:val="0"/>
        <w:overflowPunct/>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双方应本着诚信原则协商解决彼此间的争议。</w:t>
      </w:r>
    </w:p>
    <w:p w14:paraId="279ED440">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7.2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Cs/>
          <w:color w:val="auto"/>
          <w:sz w:val="21"/>
          <w:szCs w:val="21"/>
          <w:highlight w:val="none"/>
        </w:rPr>
        <w:t>调解</w:t>
      </w:r>
    </w:p>
    <w:p w14:paraId="5AA08056">
      <w:pPr>
        <w:pageBreakBefore w:val="0"/>
        <w:overflowPunct/>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如果双方不能在14天内或双方商定的其他时间内解决本合同争议，可以将其提交给专用条件约定的或事后达成协议的调解人进行调解。</w:t>
      </w:r>
    </w:p>
    <w:p w14:paraId="77778B5E">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7.3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Cs/>
          <w:color w:val="auto"/>
          <w:sz w:val="21"/>
          <w:szCs w:val="21"/>
          <w:highlight w:val="none"/>
        </w:rPr>
        <w:t>仲裁或诉讼</w:t>
      </w:r>
    </w:p>
    <w:p w14:paraId="40C91D5B">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双方均有权不经调解直接向专用条件约定的仲裁机构申请仲裁或向</w:t>
      </w:r>
      <w:r>
        <w:rPr>
          <w:rFonts w:hint="eastAsia" w:ascii="宋体" w:hAnsi="宋体" w:eastAsia="宋体" w:cs="宋体"/>
          <w:color w:val="auto"/>
          <w:sz w:val="21"/>
          <w:szCs w:val="21"/>
          <w:highlight w:val="none"/>
          <w:lang w:val="en-US" w:eastAsia="zh-CN"/>
        </w:rPr>
        <w:t>甲方所在地</w:t>
      </w:r>
      <w:r>
        <w:rPr>
          <w:rFonts w:hint="eastAsia" w:ascii="宋体" w:hAnsi="宋体" w:eastAsia="宋体" w:cs="宋体"/>
          <w:color w:val="auto"/>
          <w:sz w:val="21"/>
          <w:szCs w:val="21"/>
          <w:highlight w:val="none"/>
        </w:rPr>
        <w:t>人民法院提起诉讼。</w:t>
      </w:r>
    </w:p>
    <w:p w14:paraId="47799FE5">
      <w:pPr>
        <w:pageBreakBefore w:val="0"/>
        <w:overflowPunct/>
        <w:bidi w:val="0"/>
        <w:adjustRightInd w:val="0"/>
        <w:snapToGrid w:val="0"/>
        <w:spacing w:line="360" w:lineRule="auto"/>
        <w:ind w:left="0" w:leftChars="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 其他</w:t>
      </w:r>
    </w:p>
    <w:p w14:paraId="1A7BCC8B">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8.1 </w:t>
      </w:r>
      <w:r>
        <w:rPr>
          <w:rFonts w:hint="eastAsia" w:ascii="宋体" w:hAnsi="宋体" w:eastAsia="宋体" w:cs="宋体"/>
          <w:bCs/>
          <w:color w:val="auto"/>
          <w:sz w:val="21"/>
          <w:szCs w:val="21"/>
          <w:highlight w:val="none"/>
        </w:rPr>
        <w:t>外出考察费用</w:t>
      </w:r>
    </w:p>
    <w:p w14:paraId="7BC5C975">
      <w:pPr>
        <w:pageBreakBefore w:val="0"/>
        <w:overflowPunct/>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经委托人同意，监理人员外出考察发生的费用由委托人审核后支付。</w:t>
      </w:r>
    </w:p>
    <w:p w14:paraId="5A9E06A8">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8.2 </w:t>
      </w:r>
      <w:r>
        <w:rPr>
          <w:rFonts w:hint="eastAsia" w:ascii="宋体" w:hAnsi="宋体" w:eastAsia="宋体" w:cs="宋体"/>
          <w:bCs/>
          <w:color w:val="auto"/>
          <w:sz w:val="21"/>
          <w:szCs w:val="21"/>
          <w:highlight w:val="none"/>
        </w:rPr>
        <w:t>检测费用</w:t>
      </w:r>
    </w:p>
    <w:p w14:paraId="41DB16CD">
      <w:pPr>
        <w:pageBreakBefore w:val="0"/>
        <w:overflowPunct/>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委托人要求监理人进行的</w:t>
      </w:r>
      <w:r>
        <w:rPr>
          <w:rFonts w:hint="eastAsia" w:ascii="宋体" w:hAnsi="宋体" w:eastAsia="宋体" w:cs="宋体"/>
          <w:color w:val="auto"/>
          <w:sz w:val="21"/>
          <w:szCs w:val="21"/>
          <w:highlight w:val="none"/>
          <w:lang w:val="en-US" w:eastAsia="zh-CN"/>
        </w:rPr>
        <w:t>本合同外的</w:t>
      </w:r>
      <w:r>
        <w:rPr>
          <w:rFonts w:hint="eastAsia" w:ascii="宋体" w:hAnsi="宋体" w:eastAsia="宋体" w:cs="宋体"/>
          <w:color w:val="auto"/>
          <w:sz w:val="21"/>
          <w:szCs w:val="21"/>
          <w:highlight w:val="none"/>
        </w:rPr>
        <w:t>检测</w:t>
      </w:r>
      <w:r>
        <w:rPr>
          <w:rFonts w:hint="eastAsia" w:ascii="宋体" w:hAnsi="宋体" w:eastAsia="宋体" w:cs="宋体"/>
          <w:color w:val="auto"/>
          <w:sz w:val="21"/>
          <w:szCs w:val="21"/>
          <w:highlight w:val="none"/>
          <w:lang w:val="en-US" w:eastAsia="zh-CN"/>
        </w:rPr>
        <w:t>所产生的</w:t>
      </w:r>
      <w:r>
        <w:rPr>
          <w:rFonts w:hint="eastAsia" w:ascii="宋体" w:hAnsi="宋体" w:eastAsia="宋体" w:cs="宋体"/>
          <w:color w:val="auto"/>
          <w:sz w:val="21"/>
          <w:szCs w:val="21"/>
          <w:highlight w:val="none"/>
        </w:rPr>
        <w:t>费用，由委托人支付，支付时间在专用条件中约定。</w:t>
      </w:r>
    </w:p>
    <w:p w14:paraId="4C45342A">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8.3 </w:t>
      </w:r>
      <w:r>
        <w:rPr>
          <w:rFonts w:hint="eastAsia" w:ascii="宋体" w:hAnsi="宋体" w:eastAsia="宋体" w:cs="宋体"/>
          <w:bCs/>
          <w:color w:val="auto"/>
          <w:sz w:val="21"/>
          <w:szCs w:val="21"/>
          <w:highlight w:val="none"/>
        </w:rPr>
        <w:t>咨询费用</w:t>
      </w:r>
    </w:p>
    <w:p w14:paraId="4881AA28">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经委托人同意，根据工程需要由监理人组织的相关咨询论证会以及聘请相关专家等发生的费用由委托人支付，支付时间在专用条件中约定。</w:t>
      </w:r>
    </w:p>
    <w:p w14:paraId="14054A01">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8.4 </w:t>
      </w:r>
      <w:r>
        <w:rPr>
          <w:rFonts w:hint="eastAsia" w:ascii="宋体" w:hAnsi="宋体" w:eastAsia="宋体" w:cs="宋体"/>
          <w:bCs/>
          <w:color w:val="auto"/>
          <w:sz w:val="21"/>
          <w:szCs w:val="21"/>
          <w:highlight w:val="none"/>
        </w:rPr>
        <w:t>奖励</w:t>
      </w:r>
    </w:p>
    <w:p w14:paraId="5D2EA275">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监理人在服务过程中提出的合理化建议，使委托人获得经济效益的，双方在专用条件中约定奖励金额的确定方法。奖励金额在合理化建议被采纳后，与最近一期的正常工作酬金同期支付。</w:t>
      </w:r>
    </w:p>
    <w:p w14:paraId="71D6855B">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8.5 </w:t>
      </w:r>
      <w:r>
        <w:rPr>
          <w:rFonts w:hint="eastAsia" w:ascii="宋体" w:hAnsi="宋体" w:eastAsia="宋体" w:cs="宋体"/>
          <w:bCs/>
          <w:color w:val="auto"/>
          <w:sz w:val="21"/>
          <w:szCs w:val="21"/>
          <w:highlight w:val="none"/>
        </w:rPr>
        <w:t>守法诚信</w:t>
      </w:r>
    </w:p>
    <w:p w14:paraId="3B9CA43B">
      <w:pPr>
        <w:pageBreakBefore w:val="0"/>
        <w:overflowPunct/>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监理人及其工作人员不得从与实施工程有关的第三方处获得任何经济利益。</w:t>
      </w:r>
    </w:p>
    <w:p w14:paraId="19BF552D">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8.6 </w:t>
      </w:r>
      <w:r>
        <w:rPr>
          <w:rFonts w:hint="eastAsia" w:ascii="宋体" w:hAnsi="宋体" w:eastAsia="宋体" w:cs="宋体"/>
          <w:bCs/>
          <w:color w:val="auto"/>
          <w:sz w:val="21"/>
          <w:szCs w:val="21"/>
          <w:highlight w:val="none"/>
        </w:rPr>
        <w:t>保密</w:t>
      </w:r>
    </w:p>
    <w:p w14:paraId="50E19031">
      <w:pPr>
        <w:pageBreakBefore w:val="0"/>
        <w:overflowPunct/>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双方不得泄露对方申明的保密资料，亦不得泄露与实施工程有关的第三方所提供的保密资料，保密事项在专用条件中约定。</w:t>
      </w:r>
    </w:p>
    <w:p w14:paraId="6C7215C1">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8.7 </w:t>
      </w:r>
      <w:r>
        <w:rPr>
          <w:rFonts w:hint="eastAsia" w:ascii="宋体" w:hAnsi="宋体" w:eastAsia="宋体" w:cs="宋体"/>
          <w:bCs/>
          <w:color w:val="auto"/>
          <w:sz w:val="21"/>
          <w:szCs w:val="21"/>
          <w:highlight w:val="none"/>
        </w:rPr>
        <w:t>通知</w:t>
      </w:r>
    </w:p>
    <w:p w14:paraId="6C3732F1">
      <w:pPr>
        <w:pageBreakBefore w:val="0"/>
        <w:overflowPunct/>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本合同涉及的通知均应当采用书面形式，并在送达对方时生效，收件人应书面签收。</w:t>
      </w:r>
    </w:p>
    <w:p w14:paraId="24CBEFA2">
      <w:pPr>
        <w:pageBreakBefore w:val="0"/>
        <w:overflowPunct/>
        <w:bidi w:val="0"/>
        <w:adjustRightInd w:val="0"/>
        <w:snapToGrid w:val="0"/>
        <w:spacing w:line="360" w:lineRule="auto"/>
        <w:ind w:left="0" w:left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8.8 </w:t>
      </w:r>
      <w:r>
        <w:rPr>
          <w:rFonts w:hint="eastAsia" w:ascii="宋体" w:hAnsi="宋体" w:eastAsia="宋体" w:cs="宋体"/>
          <w:bCs/>
          <w:color w:val="auto"/>
          <w:sz w:val="21"/>
          <w:szCs w:val="21"/>
          <w:highlight w:val="none"/>
        </w:rPr>
        <w:t>著作权</w:t>
      </w:r>
    </w:p>
    <w:p w14:paraId="09A99C34">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监理人对其编制的文件拥有著作权。</w:t>
      </w:r>
    </w:p>
    <w:p w14:paraId="48BF5398">
      <w:pPr>
        <w:pageBreakBefore w:val="0"/>
        <w:overflowPunct/>
        <w:bidi w:val="0"/>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14:paraId="5B83E4CE">
      <w:pPr>
        <w:pageBreakBefore w:val="0"/>
        <w:overflowPunct/>
        <w:bidi w:val="0"/>
        <w:adjustRightInd w:val="0"/>
        <w:snapToGrid w:val="0"/>
        <w:spacing w:line="360" w:lineRule="auto"/>
        <w:ind w:left="0" w:leftChars="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0970808B">
      <w:pPr>
        <w:pageBreakBefore w:val="0"/>
        <w:tabs>
          <w:tab w:val="left" w:pos="3120"/>
        </w:tabs>
        <w:overflowPunct/>
        <w:bidi w:val="0"/>
        <w:adjustRightInd w:val="0"/>
        <w:snapToGrid w:val="0"/>
        <w:spacing w:line="360" w:lineRule="auto"/>
        <w:ind w:left="0" w:leftChars="0"/>
        <w:jc w:val="center"/>
        <w:outlineLvl w:val="1"/>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第三部分  专用条件</w:t>
      </w:r>
    </w:p>
    <w:p w14:paraId="3A49D9BB">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 定义与解释</w:t>
      </w:r>
    </w:p>
    <w:p w14:paraId="77822696">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  解释</w:t>
      </w:r>
    </w:p>
    <w:p w14:paraId="59003B7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 本合同文件除使用中文外，还可用</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05B9CC8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 约定本合同文件的解释顺序为：</w:t>
      </w:r>
      <w:r>
        <w:rPr>
          <w:rFonts w:hint="eastAsia" w:ascii="宋体" w:hAnsi="宋体" w:eastAsia="宋体" w:cs="宋体"/>
          <w:color w:val="auto"/>
          <w:sz w:val="21"/>
          <w:szCs w:val="21"/>
          <w:highlight w:val="none"/>
          <w:u w:val="single"/>
        </w:rPr>
        <w:t xml:space="preserve"> 按通用条件执行 </w:t>
      </w:r>
      <w:r>
        <w:rPr>
          <w:rFonts w:hint="eastAsia" w:ascii="宋体" w:hAnsi="宋体" w:eastAsia="宋体" w:cs="宋体"/>
          <w:color w:val="auto"/>
          <w:sz w:val="21"/>
          <w:szCs w:val="21"/>
          <w:highlight w:val="none"/>
        </w:rPr>
        <w:t>。</w:t>
      </w:r>
    </w:p>
    <w:p w14:paraId="5429818B">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 监理人义务</w:t>
      </w:r>
    </w:p>
    <w:p w14:paraId="05B696BD">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监理的范围和</w:t>
      </w:r>
      <w:r>
        <w:rPr>
          <w:rFonts w:hint="eastAsia" w:ascii="宋体" w:hAnsi="宋体" w:eastAsia="宋体" w:cs="宋体"/>
          <w:bCs/>
          <w:color w:val="auto"/>
          <w:sz w:val="21"/>
          <w:szCs w:val="21"/>
          <w:highlight w:val="none"/>
        </w:rPr>
        <w:t>内容</w:t>
      </w:r>
    </w:p>
    <w:p w14:paraId="6896C04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 监理范围包括：</w:t>
      </w:r>
      <w:r>
        <w:rPr>
          <w:rFonts w:hint="eastAsia" w:ascii="宋体" w:hAnsi="宋体" w:eastAsia="宋体" w:cs="宋体"/>
          <w:strike w:val="0"/>
          <w:dstrike w:val="0"/>
          <w:color w:val="auto"/>
          <w:sz w:val="21"/>
          <w:szCs w:val="21"/>
          <w:highlight w:val="none"/>
          <w:u w:val="single"/>
          <w:lang w:val="en-US" w:eastAsia="zh-CN"/>
        </w:rPr>
        <w:t>本项目施工和缺陷责任期全过程监理（具体包括施工前期准备阶段、施工阶段、交工验收阶段、缺陷责任期阶段和竣工验收阶段的全过程监理工作）</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8A3442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 监理工作内容还包括：</w:t>
      </w:r>
    </w:p>
    <w:p w14:paraId="252525B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作内容包括但不限于技术支持、图纸会审，对施工阶段工程质量、材料设备采购质量、进度、造价、安全文明和环境保护等的有效控制，对合同、工程信息的有效管理，对施工现场进行组织协调，对缺陷责任期内进行监理服务，确保项目建设的顺利进行和目标实现。</w:t>
      </w:r>
    </w:p>
    <w:p w14:paraId="31C11C0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(2)除非对以上监理范围和工作内容书面明确进行剔除，属本工程的实施范围内(监理人具有相应的监理资质)的工作内容，均应包含在监理范围之内。</w:t>
      </w:r>
    </w:p>
    <w:p w14:paraId="1C8CFE2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(3)在工程实施过程中发生的工程量、设计范围、工程规模的调整、设计变更、现场签证和索赔均属监理人监理范围，如涉及承包人费用的增减需要委托人或委托人委托的第三方批准确认。</w:t>
      </w:r>
    </w:p>
    <w:p w14:paraId="4EF5A05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(4)监理人承担对本项目范围内的不同承包人的施工作业进行组织协调和管理工作。</w:t>
      </w:r>
    </w:p>
    <w:p w14:paraId="5E723BC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(5)若实际施工中遇到特殊情况，承包人需要聘请专家进行专项技术方案论证或技术咨询时，监理人应协助委托人对承包人聘请专家的技术能力和职业操守进行考察和监督。</w:t>
      </w:r>
    </w:p>
    <w:p w14:paraId="30ACDAD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本项目实施举牌验收制度，监理单位负责具体组织举牌验收工作，在关键工序、关键部位隐蔽工程及主要节点、原材料进场检验及见证取样举牌验收前，通知相关人员参加举牌验收工作。施工单位负责验收公示牌的制作、安排专人进行举牌验收拍照、资料收集等工作。验收公示牌应包含工程名称、验收项目、验收部位、验收内容、原材料见证取样内容、验收人员、验收结论、验收时间等信息。参加验收人员应在验收公示牌上签字确认。监理单位应根据工程实际特点，编制项目举牌验收专项方案，确定本项目需进行举牌验收的关键工序、关键部位隐蔽工程及主要节点、原材料进场检验及见证取样计划，明确责任人和参加验收人员及其各自职责。专项方案应经建设单位同意后，由总监理工程师审批后实施。举牌验收照片(水印照片)应作为相应验收记录的图像资料，编入工程资料电子档案，照片应能清晰体现验收人员、验收部位及验收公示牌的内容。施工、监理单位(建设单位)应同步保存举牌验收照片原图(像素800万以上，格式为JPEG，每张大小不低于3M)等相关资料，编制照片电子目录，并在竣工后与竣工资料一并向建设单位、城建档案管理机构移交。</w:t>
      </w:r>
    </w:p>
    <w:p w14:paraId="452ADA9C">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监理与相关服务依据</w:t>
      </w:r>
    </w:p>
    <w:p w14:paraId="7FC2C20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 监理依据包括：</w:t>
      </w:r>
    </w:p>
    <w:p w14:paraId="725E8A8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rPr>
        <w:t>(1)国家、行业及河南省颁布的有关工程建设和工程建设监理的法律、法规</w:t>
      </w:r>
      <w:r>
        <w:rPr>
          <w:rFonts w:hint="eastAsia" w:ascii="宋体" w:hAnsi="宋体" w:eastAsia="宋体" w:cs="宋体"/>
          <w:color w:val="auto"/>
          <w:sz w:val="21"/>
          <w:szCs w:val="21"/>
          <w:highlight w:val="none"/>
          <w:u w:val="single"/>
          <w:lang w:eastAsia="zh-CN"/>
        </w:rPr>
        <w:t>；</w:t>
      </w:r>
    </w:p>
    <w:p w14:paraId="427740F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rPr>
        <w:t>(2)委托人与监理人签订的监理合同</w:t>
      </w:r>
      <w:r>
        <w:rPr>
          <w:rFonts w:hint="eastAsia" w:ascii="宋体" w:hAnsi="宋体" w:eastAsia="宋体" w:cs="宋体"/>
          <w:color w:val="auto"/>
          <w:sz w:val="21"/>
          <w:szCs w:val="21"/>
          <w:highlight w:val="none"/>
          <w:u w:val="single"/>
          <w:lang w:eastAsia="zh-CN"/>
        </w:rPr>
        <w:t>；</w:t>
      </w:r>
    </w:p>
    <w:p w14:paraId="193B61F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rPr>
        <w:t>(3)有关工程技术标准，施工验收规范，建设工程监理规范</w:t>
      </w:r>
      <w:r>
        <w:rPr>
          <w:rFonts w:hint="eastAsia" w:ascii="宋体" w:hAnsi="宋体" w:eastAsia="宋体" w:cs="宋体"/>
          <w:color w:val="auto"/>
          <w:sz w:val="21"/>
          <w:szCs w:val="21"/>
          <w:highlight w:val="none"/>
          <w:u w:val="single"/>
          <w:lang w:eastAsia="zh-CN"/>
        </w:rPr>
        <w:t>；</w:t>
      </w:r>
    </w:p>
    <w:p w14:paraId="28B5357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rPr>
        <w:t>(4)政府部门批准的工程项目建设的有关文件包括可行性研究报告，初步设计文件等</w:t>
      </w:r>
      <w:r>
        <w:rPr>
          <w:rFonts w:hint="eastAsia" w:ascii="宋体" w:hAnsi="宋体" w:eastAsia="宋体" w:cs="宋体"/>
          <w:color w:val="auto"/>
          <w:sz w:val="21"/>
          <w:szCs w:val="21"/>
          <w:highlight w:val="none"/>
          <w:u w:val="single"/>
          <w:lang w:eastAsia="zh-CN"/>
        </w:rPr>
        <w:t>；</w:t>
      </w:r>
    </w:p>
    <w:p w14:paraId="0E70EF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rPr>
        <w:t>(5)地勘报告、设计文件、图纸及说明</w:t>
      </w:r>
      <w:r>
        <w:rPr>
          <w:rFonts w:hint="eastAsia" w:ascii="宋体" w:hAnsi="宋体" w:eastAsia="宋体" w:cs="宋体"/>
          <w:color w:val="auto"/>
          <w:sz w:val="21"/>
          <w:szCs w:val="21"/>
          <w:highlight w:val="none"/>
          <w:u w:val="single"/>
          <w:lang w:eastAsia="zh-CN"/>
        </w:rPr>
        <w:t>；</w:t>
      </w:r>
    </w:p>
    <w:p w14:paraId="311597B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rPr>
        <w:t>(6)工程施工合同文件</w:t>
      </w:r>
      <w:r>
        <w:rPr>
          <w:rFonts w:hint="eastAsia" w:ascii="宋体" w:hAnsi="宋体" w:eastAsia="宋体" w:cs="宋体"/>
          <w:color w:val="auto"/>
          <w:sz w:val="21"/>
          <w:szCs w:val="21"/>
          <w:highlight w:val="none"/>
          <w:u w:val="single"/>
          <w:lang w:eastAsia="zh-CN"/>
        </w:rPr>
        <w:t>；</w:t>
      </w:r>
    </w:p>
    <w:p w14:paraId="413BA1E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rPr>
        <w:t>(7)其他相关文件资料</w:t>
      </w:r>
      <w:r>
        <w:rPr>
          <w:rFonts w:hint="eastAsia" w:ascii="宋体" w:hAnsi="宋体" w:eastAsia="宋体" w:cs="宋体"/>
          <w:color w:val="auto"/>
          <w:sz w:val="21"/>
          <w:szCs w:val="21"/>
          <w:highlight w:val="none"/>
          <w:u w:val="single"/>
          <w:lang w:eastAsia="zh-CN"/>
        </w:rPr>
        <w:t>。</w:t>
      </w:r>
    </w:p>
    <w:p w14:paraId="082C1AD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dstrike/>
          <w:color w:val="auto"/>
          <w:sz w:val="21"/>
          <w:szCs w:val="21"/>
          <w:highlight w:val="none"/>
        </w:rPr>
      </w:pPr>
      <w:r>
        <w:rPr>
          <w:rFonts w:hint="eastAsia" w:ascii="宋体" w:hAnsi="宋体" w:eastAsia="宋体" w:cs="宋体"/>
          <w:color w:val="auto"/>
          <w:sz w:val="21"/>
          <w:szCs w:val="21"/>
          <w:highlight w:val="none"/>
        </w:rPr>
        <w:t>2.2.2 相关服务依据包括：</w:t>
      </w:r>
      <w:r>
        <w:rPr>
          <w:rFonts w:hint="eastAsia" w:ascii="宋体" w:hAnsi="宋体" w:eastAsia="宋体" w:cs="宋体"/>
          <w:color w:val="auto"/>
          <w:sz w:val="21"/>
          <w:szCs w:val="21"/>
          <w:highlight w:val="none"/>
          <w:u w:val="single"/>
        </w:rPr>
        <w:t xml:space="preserve"> 委托人与监理人签订的合同        </w:t>
      </w:r>
      <w:r>
        <w:rPr>
          <w:rFonts w:hint="eastAsia" w:ascii="宋体" w:hAnsi="宋体" w:eastAsia="宋体" w:cs="宋体"/>
          <w:color w:val="auto"/>
          <w:sz w:val="21"/>
          <w:szCs w:val="21"/>
          <w:highlight w:val="none"/>
        </w:rPr>
        <w:t>。</w:t>
      </w:r>
    </w:p>
    <w:p w14:paraId="77700B09">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r>
        <w:rPr>
          <w:rFonts w:hint="eastAsia" w:ascii="宋体" w:hAnsi="宋体" w:eastAsia="宋体" w:cs="宋体"/>
          <w:color w:val="auto"/>
          <w:kern w:val="0"/>
          <w:sz w:val="21"/>
          <w:szCs w:val="21"/>
          <w:highlight w:val="none"/>
        </w:rPr>
        <w:t>项目监理机构和人员</w:t>
      </w:r>
    </w:p>
    <w:p w14:paraId="756297E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 总监配备：总监必须到场履职，监理部人员配备:要求配备专业监理工程师土建专业、水电专业及根据工程需要配备的其他专业、安全监理员、见证员、资料员等，人数应满足所承担项目监理工作需要，并且具有建设行政主管部门颁发的资格证书。</w:t>
      </w:r>
    </w:p>
    <w:p w14:paraId="3DF3437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 项目监理部须执行签到制度，总监每周在工地时间不得少于5天，否则，每少一天罚款1000元。甲方或者项目管理公司对总监在岗情况进行抽查，一次抽查不在岗罚款200元，连续两次抽查不在岗罚款1000元，连续三次抽查不在岗罚款5000元并约谈公司经理，连续四次抽查不在岗纳入本地诚信评价体系，并罚款10000元(措施:甲方、项目管理方和监理建微信群，总监、总监代表外出必须向甲方或项目管理方请假)。</w:t>
      </w:r>
    </w:p>
    <w:p w14:paraId="30B6BEA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2.3.3 更换监理人员的其他情形：</w:t>
      </w:r>
    </w:p>
    <w:p w14:paraId="18BF377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(1)无故缺勤或不到岗累计超过三次的；</w:t>
      </w:r>
    </w:p>
    <w:p w14:paraId="6A3CD2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(2)监理人书面申请并取得委托人书面同意的。</w:t>
      </w:r>
    </w:p>
    <w:p w14:paraId="02E7220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2.3.4补充细化:</w:t>
      </w:r>
    </w:p>
    <w:p w14:paraId="05A08F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未经同意擅自更换项目总监及其他人员的，监理人按下表向委托人支付违约金，且必须重新向委托人履行报批手续。若委托人认为上述人员能力或工作态度不能满足现场需求，委托人有权要求用不低于其资质和经历的人员进行调整替换，监理人须重新向委托人履行报批手续;在委托人提出要求后7天内不到位或不予更换的，监理人按照下表向委托人支付违约。</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6"/>
        <w:gridCol w:w="3096"/>
        <w:gridCol w:w="3096"/>
      </w:tblGrid>
      <w:tr w14:paraId="43B7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3096" w:type="dxa"/>
            <w:vAlign w:val="center"/>
          </w:tcPr>
          <w:p w14:paraId="171631C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担任职务</w:t>
            </w:r>
          </w:p>
        </w:tc>
        <w:tc>
          <w:tcPr>
            <w:tcW w:w="3096" w:type="dxa"/>
            <w:vAlign w:val="center"/>
          </w:tcPr>
          <w:p w14:paraId="6D02A1E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7天内不到位或不予更换违</w:t>
            </w:r>
          </w:p>
          <w:p w14:paraId="4159A9F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约金数额(金额/每人次)</w:t>
            </w:r>
          </w:p>
        </w:tc>
        <w:tc>
          <w:tcPr>
            <w:tcW w:w="3096" w:type="dxa"/>
            <w:vAlign w:val="center"/>
          </w:tcPr>
          <w:p w14:paraId="746CC90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未经同意更换违约金数</w:t>
            </w:r>
          </w:p>
          <w:p w14:paraId="2D781B5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额(金额/每人次)</w:t>
            </w:r>
          </w:p>
        </w:tc>
      </w:tr>
      <w:tr w14:paraId="18263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6" w:type="dxa"/>
            <w:vAlign w:val="center"/>
          </w:tcPr>
          <w:p w14:paraId="321441D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项目总监</w:t>
            </w:r>
          </w:p>
        </w:tc>
        <w:tc>
          <w:tcPr>
            <w:tcW w:w="3096" w:type="dxa"/>
            <w:vAlign w:val="center"/>
          </w:tcPr>
          <w:p w14:paraId="7901E67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20000元</w:t>
            </w:r>
          </w:p>
        </w:tc>
        <w:tc>
          <w:tcPr>
            <w:tcW w:w="3096" w:type="dxa"/>
            <w:vAlign w:val="center"/>
          </w:tcPr>
          <w:p w14:paraId="5AFC92E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20000元</w:t>
            </w:r>
          </w:p>
        </w:tc>
      </w:tr>
      <w:tr w14:paraId="10F5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6" w:type="dxa"/>
            <w:vAlign w:val="center"/>
          </w:tcPr>
          <w:p w14:paraId="7CDFF2B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其他主要管理人员</w:t>
            </w:r>
          </w:p>
        </w:tc>
        <w:tc>
          <w:tcPr>
            <w:tcW w:w="3096" w:type="dxa"/>
            <w:vAlign w:val="center"/>
          </w:tcPr>
          <w:p w14:paraId="1F45F09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5000元</w:t>
            </w:r>
          </w:p>
        </w:tc>
        <w:tc>
          <w:tcPr>
            <w:tcW w:w="3096" w:type="dxa"/>
            <w:vAlign w:val="center"/>
          </w:tcPr>
          <w:p w14:paraId="79A49B1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5000元</w:t>
            </w:r>
          </w:p>
        </w:tc>
      </w:tr>
    </w:tbl>
    <w:p w14:paraId="2FD15FF4">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2.4 </w:t>
      </w:r>
      <w:r>
        <w:rPr>
          <w:rFonts w:hint="eastAsia" w:ascii="宋体" w:hAnsi="宋体" w:eastAsia="宋体" w:cs="宋体"/>
          <w:color w:val="auto"/>
          <w:kern w:val="0"/>
          <w:sz w:val="21"/>
          <w:szCs w:val="21"/>
          <w:highlight w:val="none"/>
        </w:rPr>
        <w:t>履行职责</w:t>
      </w:r>
    </w:p>
    <w:p w14:paraId="087CF5D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2.4.3 对监理人的授权范围：工程建设期的质量、进度、投资控制，信息管理及合同管理，建设工程内部协调以及保修期的监理。</w:t>
      </w:r>
    </w:p>
    <w:p w14:paraId="6F3E809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在涉及工程延期 10天内和(或)金额 零 万元内的变更，监理人不需请示委托人即可向承包人发布变更通知。</w:t>
      </w:r>
    </w:p>
    <w:p w14:paraId="430A37B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2.4.4 监理人有权要求承包人调换其人员的限制条件:发生时双方协商解决。</w:t>
      </w:r>
    </w:p>
    <w:p w14:paraId="7421F968">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2.5 </w:t>
      </w:r>
      <w:r>
        <w:rPr>
          <w:rFonts w:hint="eastAsia" w:ascii="宋体" w:hAnsi="宋体" w:eastAsia="宋体" w:cs="宋体"/>
          <w:color w:val="auto"/>
          <w:sz w:val="21"/>
          <w:szCs w:val="21"/>
          <w:highlight w:val="none"/>
        </w:rPr>
        <w:t>提交</w:t>
      </w:r>
      <w:r>
        <w:rPr>
          <w:rFonts w:hint="eastAsia" w:ascii="宋体" w:hAnsi="宋体" w:eastAsia="宋体" w:cs="宋体"/>
          <w:color w:val="auto"/>
          <w:kern w:val="0"/>
          <w:sz w:val="21"/>
          <w:szCs w:val="21"/>
          <w:highlight w:val="none"/>
        </w:rPr>
        <w:t>报告</w:t>
      </w:r>
    </w:p>
    <w:p w14:paraId="2949047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应提交报告的种类(包括监理规划、监理实施细则、监理月报及约定的专项报告)、时间和份数:第一次工地例会前7日提交监理规划一份;每月5日前提交上月监理月报一份;对专业性较强、危险性较大的分部分项工程，项目监理机构应编制监理实施细则，分部分项工程实施前3日提交一份;监理例会、专题会议等会议纪要开会后3日内提供一份;监理通知单下发后1日内提供一份;其他专项报告事件发生后3日内提供一份;监理日志在施工期间每天如实进行记录;监理资料工程竣工后提供一份。</w:t>
      </w:r>
    </w:p>
    <w:p w14:paraId="54243FE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监理资料包括:</w:t>
      </w:r>
    </w:p>
    <w:p w14:paraId="2CE0FB1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(1)勘察设计文件、建设工程监理合同及其他合同文件;</w:t>
      </w:r>
    </w:p>
    <w:p w14:paraId="1256207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(2)监理规划、监理实施细则;</w:t>
      </w:r>
    </w:p>
    <w:p w14:paraId="16EB3F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(3)设计交底和图纸会审会议纪要;</w:t>
      </w:r>
    </w:p>
    <w:p w14:paraId="2354CF1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(4)施工组织设计、(专项)施工方案、施工进度计划报审文件资料;</w:t>
      </w:r>
    </w:p>
    <w:p w14:paraId="48141BD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(5)分包单位资格报审会议纪要;</w:t>
      </w:r>
    </w:p>
    <w:p w14:paraId="50F170D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(6)施工控制测量成果报验文件资料;</w:t>
      </w:r>
    </w:p>
    <w:p w14:paraId="566E7FB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(7)总监理工程师任命书，工程开工令、暂停令、复工令，开工或复工报审文件资料;</w:t>
      </w:r>
    </w:p>
    <w:p w14:paraId="43B84C5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(8)工程材料、构配件、设备报验文件资料;</w:t>
      </w:r>
    </w:p>
    <w:p w14:paraId="09153EE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(9)见证取样和平行检验文件资料;</w:t>
      </w:r>
    </w:p>
    <w:p w14:paraId="180628C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(10)工程质量检验报验资料及工程有关验收资料;</w:t>
      </w:r>
    </w:p>
    <w:p w14:paraId="776D2A1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(11)工程变更、费用索赔及工程延期文件资料;</w:t>
      </w:r>
    </w:p>
    <w:p w14:paraId="38539D7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(12)工程计量、工程款支付文件资料;</w:t>
      </w:r>
    </w:p>
    <w:p w14:paraId="178FC3C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(13)监理通知单、工作联系单与监理报告;</w:t>
      </w:r>
    </w:p>
    <w:p w14:paraId="35B7F85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(14)第一次工地会议，监理例会、专题会议等会议纪要;</w:t>
      </w:r>
    </w:p>
    <w:p w14:paraId="2C31B65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(15)监理月报、监理日志、旁站记录;</w:t>
      </w:r>
    </w:p>
    <w:p w14:paraId="159BC8C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(16)工程质量或安全生产事故处理文件资料;</w:t>
      </w:r>
    </w:p>
    <w:p w14:paraId="7046460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(17)工程质量评估报告及竣工验收文件资料;</w:t>
      </w:r>
    </w:p>
    <w:p w14:paraId="67BAD41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(18)监理工作总结。</w:t>
      </w:r>
    </w:p>
    <w:p w14:paraId="30F69145">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 xml:space="preserve"> 使用委托人的财产</w:t>
      </w:r>
    </w:p>
    <w:p w14:paraId="08773E9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附录B中由委托人无偿提供的房屋、资料:其所有权属于委托人，但由监理人造成的损坏、赔偿及维修费用由监理人自行承担</w:t>
      </w:r>
      <w:r>
        <w:rPr>
          <w:rFonts w:hint="eastAsia" w:ascii="宋体" w:hAnsi="宋体" w:eastAsia="宋体" w:cs="宋体"/>
          <w:color w:val="auto"/>
          <w:sz w:val="21"/>
          <w:szCs w:val="21"/>
          <w:highlight w:val="none"/>
          <w:lang w:eastAsia="zh-CN"/>
        </w:rPr>
        <w:t>。</w:t>
      </w:r>
    </w:p>
    <w:p w14:paraId="7001B01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移交的时间和方式为:监理人应在本合同终止或解除后7天内向委托人移交委托人无偿提供的房屋、资料、设备，监理人以书面方式提出申请，经委托方确认后移交</w:t>
      </w:r>
      <w:r>
        <w:rPr>
          <w:rFonts w:hint="eastAsia" w:ascii="宋体" w:hAnsi="宋体" w:eastAsia="宋体" w:cs="宋体"/>
          <w:color w:val="auto"/>
          <w:sz w:val="21"/>
          <w:szCs w:val="21"/>
          <w:highlight w:val="none"/>
          <w:lang w:eastAsia="zh-CN"/>
        </w:rPr>
        <w:t>。</w:t>
      </w:r>
    </w:p>
    <w:p w14:paraId="03CFD109">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 委托人义务</w:t>
      </w:r>
    </w:p>
    <w:p w14:paraId="79505DF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3.4</w:t>
      </w:r>
      <w:r>
        <w:rPr>
          <w:rFonts w:hint="eastAsia" w:ascii="宋体" w:hAnsi="宋体" w:eastAsia="宋体" w:cs="宋体"/>
          <w:color w:val="auto"/>
          <w:kern w:val="0"/>
          <w:sz w:val="21"/>
          <w:szCs w:val="21"/>
          <w:highlight w:val="none"/>
        </w:rPr>
        <w:t>委托人代表</w:t>
      </w:r>
    </w:p>
    <w:p w14:paraId="18899B6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委托人代表为：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3118A6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3.6答复</w:t>
      </w:r>
    </w:p>
    <w:p w14:paraId="3F0A5DC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委托人同意在 15天内，对监理人书面提交并要求做出决定的事宜给予书面答复。</w:t>
      </w:r>
    </w:p>
    <w:p w14:paraId="70D0C98F">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 违约责任</w:t>
      </w:r>
    </w:p>
    <w:p w14:paraId="33CC785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4.1监理人的违约责任</w:t>
      </w:r>
    </w:p>
    <w:p w14:paraId="1FEB6F1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4.1.1监理人赔偿金额按下列方法确定:</w:t>
      </w:r>
    </w:p>
    <w:p w14:paraId="20BB61B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赔偿金=直接经济损失x正常工作酬金÷工程概算投资额(或建筑安装工程费)</w:t>
      </w:r>
    </w:p>
    <w:p w14:paraId="7D688B4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4.2委托人的违约责任</w:t>
      </w:r>
    </w:p>
    <w:p w14:paraId="3C38C80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4.2.3委托人逾期付款利息按下列方法确定:</w:t>
      </w:r>
    </w:p>
    <w:p w14:paraId="0ADA9F3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逾期付款利息=当期应付款总额x银行同期贷款利率x拖延支付天数</w:t>
      </w:r>
    </w:p>
    <w:p w14:paraId="3F7FE954">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5. 支付</w:t>
      </w:r>
    </w:p>
    <w:p w14:paraId="40908805">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5.1 </w:t>
      </w:r>
      <w:r>
        <w:rPr>
          <w:rFonts w:hint="eastAsia" w:ascii="宋体" w:hAnsi="宋体" w:eastAsia="宋体" w:cs="宋体"/>
          <w:bCs/>
          <w:color w:val="auto"/>
          <w:sz w:val="21"/>
          <w:szCs w:val="21"/>
          <w:highlight w:val="none"/>
        </w:rPr>
        <w:t>支付货币</w:t>
      </w:r>
    </w:p>
    <w:p w14:paraId="48805F6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币种为：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人民币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，比例为：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，汇率为：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60AB4F3">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 xml:space="preserve"> 支付酬金</w:t>
      </w:r>
    </w:p>
    <w:p w14:paraId="5DE7DA7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1.根据工程形象进度，地下室及基础结构封闭正负零支付合同金额的20%;</w:t>
      </w:r>
    </w:p>
    <w:p w14:paraId="1C3C7C1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2.主体验收合格支付至合同金额的60%;</w:t>
      </w:r>
    </w:p>
    <w:p w14:paraId="6B1980D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3.至工程项目竣工预验收合格，监理人向委托人提交完整的监理资料和工程竣工资料，委托人支付工程监理费用至合同金额的97%;</w:t>
      </w:r>
    </w:p>
    <w:p w14:paraId="2C5ABD6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4.下余监理费用待缺陷责任期结束后一次性支付。</w:t>
      </w:r>
    </w:p>
    <w:p w14:paraId="2C562444">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
          <w:bCs/>
          <w:color w:val="auto"/>
          <w:sz w:val="21"/>
          <w:szCs w:val="21"/>
          <w:highlight w:val="none"/>
        </w:rPr>
      </w:pPr>
      <w:r>
        <w:rPr>
          <w:rFonts w:hint="eastAsia" w:ascii="宋体" w:hAnsi="宋体" w:eastAsia="宋体" w:cs="宋体"/>
          <w:bCs/>
          <w:color w:val="auto"/>
          <w:sz w:val="21"/>
          <w:szCs w:val="21"/>
          <w:highlight w:val="none"/>
        </w:rPr>
        <w:t>6</w:t>
      </w:r>
      <w:r>
        <w:rPr>
          <w:rFonts w:hint="eastAsia" w:ascii="宋体" w:hAnsi="宋体" w:eastAsia="宋体" w:cs="宋体"/>
          <w:b/>
          <w:bCs/>
          <w:color w:val="auto"/>
          <w:sz w:val="21"/>
          <w:szCs w:val="21"/>
          <w:highlight w:val="none"/>
        </w:rPr>
        <w:t>. 合同生效、变更、暂停、解除与终止</w:t>
      </w:r>
    </w:p>
    <w:p w14:paraId="3EF7B3FA">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 生效</w:t>
      </w:r>
    </w:p>
    <w:p w14:paraId="571FC6E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本合同生效条件：</w:t>
      </w:r>
      <w:r>
        <w:rPr>
          <w:rFonts w:hint="eastAsia" w:ascii="宋体" w:hAnsi="宋体" w:eastAsia="宋体" w:cs="宋体"/>
          <w:color w:val="auto"/>
          <w:sz w:val="21"/>
          <w:szCs w:val="21"/>
          <w:highlight w:val="none"/>
          <w:u w:val="single"/>
        </w:rPr>
        <w:t xml:space="preserve"> 按照通用条款执行 </w:t>
      </w:r>
      <w:r>
        <w:rPr>
          <w:rFonts w:hint="eastAsia" w:ascii="宋体" w:hAnsi="宋体" w:eastAsia="宋体" w:cs="宋体"/>
          <w:color w:val="auto"/>
          <w:sz w:val="21"/>
          <w:szCs w:val="21"/>
          <w:highlight w:val="none"/>
        </w:rPr>
        <w:t>。</w:t>
      </w:r>
    </w:p>
    <w:p w14:paraId="4390FB75">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 变更</w:t>
      </w:r>
    </w:p>
    <w:p w14:paraId="21828E1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6.2.2除不可抗力外，因非监理人原因导致本合同期限延长时，附加工作酬金按下列方法确定:</w:t>
      </w:r>
    </w:p>
    <w:p w14:paraId="255FF6F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附加工作酬金=本合同期限延长时间(天)x正常工作酬金÷协议书约定的监理与相关服务期限(天)</w:t>
      </w:r>
    </w:p>
    <w:p w14:paraId="58A7540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6.2.3附加工作酬金按下列方法确定:</w:t>
      </w:r>
    </w:p>
    <w:p w14:paraId="383441C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附加工作酬金=善后工作及恢复服务的准备工作时间(天)x正常工作酬金÷协议书约定的监理与相关服务期限(天)</w:t>
      </w:r>
    </w:p>
    <w:p w14:paraId="7886CC5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6.2.5正常工作酬金增加额按下列方法确定:</w:t>
      </w:r>
    </w:p>
    <w:p w14:paraId="41C8930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正常工作酬金增加额=工程投资增加额x正常工作酬金÷工程概算投资额</w:t>
      </w:r>
    </w:p>
    <w:p w14:paraId="4C2F8DA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6.2.6因工程规模、监理范围的变化导致监理人的正常工作量减少时，按减少工作量的比例从协议书约定的正常工作酬金中扣减相同比例的酬金。</w:t>
      </w:r>
    </w:p>
    <w:p w14:paraId="70DA838D">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7. 争议解决</w:t>
      </w:r>
    </w:p>
    <w:p w14:paraId="1DCF5377">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7.2 </w:t>
      </w:r>
      <w:r>
        <w:rPr>
          <w:rFonts w:hint="eastAsia" w:ascii="宋体" w:hAnsi="宋体" w:eastAsia="宋体" w:cs="宋体"/>
          <w:bCs/>
          <w:color w:val="auto"/>
          <w:sz w:val="21"/>
          <w:szCs w:val="21"/>
          <w:highlight w:val="none"/>
        </w:rPr>
        <w:t>调解</w:t>
      </w:r>
    </w:p>
    <w:p w14:paraId="625DD17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本合同争议进行调解时，可提交</w:t>
      </w:r>
      <w:r>
        <w:rPr>
          <w:rFonts w:hint="eastAsia" w:ascii="宋体" w:hAnsi="宋体" w:eastAsia="宋体" w:cs="宋体"/>
          <w:color w:val="auto"/>
          <w:sz w:val="21"/>
          <w:szCs w:val="21"/>
          <w:highlight w:val="none"/>
          <w:u w:val="single"/>
        </w:rPr>
        <w:t>项目所在地建设行政主管部门</w:t>
      </w:r>
      <w:r>
        <w:rPr>
          <w:rFonts w:hint="eastAsia" w:ascii="宋体" w:hAnsi="宋体" w:eastAsia="宋体" w:cs="宋体"/>
          <w:color w:val="auto"/>
          <w:sz w:val="21"/>
          <w:szCs w:val="21"/>
          <w:highlight w:val="none"/>
        </w:rPr>
        <w:t>进行调解。</w:t>
      </w:r>
    </w:p>
    <w:p w14:paraId="3ADD6FC0">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7.3 </w:t>
      </w:r>
      <w:r>
        <w:rPr>
          <w:rFonts w:hint="eastAsia" w:ascii="宋体" w:hAnsi="宋体" w:eastAsia="宋体" w:cs="宋体"/>
          <w:bCs/>
          <w:color w:val="auto"/>
          <w:sz w:val="21"/>
          <w:szCs w:val="21"/>
          <w:highlight w:val="none"/>
        </w:rPr>
        <w:t>仲裁或诉讼</w:t>
      </w:r>
    </w:p>
    <w:p w14:paraId="1524408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合同争议的最终解决方式为下列第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w:t>
      </w:r>
    </w:p>
    <w:p w14:paraId="532727B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仲裁委员会进行仲裁。</w:t>
      </w:r>
    </w:p>
    <w:p w14:paraId="68B8312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rPr>
        <w:t xml:space="preserve"> 合同履约地 </w:t>
      </w:r>
      <w:r>
        <w:rPr>
          <w:rFonts w:hint="eastAsia" w:ascii="宋体" w:hAnsi="宋体" w:eastAsia="宋体" w:cs="宋体"/>
          <w:color w:val="auto"/>
          <w:sz w:val="21"/>
          <w:szCs w:val="21"/>
          <w:highlight w:val="none"/>
        </w:rPr>
        <w:t>人民法院提起诉讼。</w:t>
      </w:r>
    </w:p>
    <w:p w14:paraId="3FA91EDC">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 其他</w:t>
      </w:r>
    </w:p>
    <w:p w14:paraId="4F8795DD">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8.2检测费用</w:t>
      </w:r>
    </w:p>
    <w:p w14:paraId="00AF485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删除原文，修改为:</w:t>
      </w:r>
    </w:p>
    <w:p w14:paraId="6F17C72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委托人书面要求监理人进行材料和设备特殊检测时，所发生的检测费用由委托人在检测工作完成后30天内支付。</w:t>
      </w:r>
    </w:p>
    <w:p w14:paraId="07384ED0">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8.3 咨询费用</w:t>
      </w:r>
    </w:p>
    <w:p w14:paraId="160CBB4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删除原文，修改为:</w:t>
      </w:r>
    </w:p>
    <w:p w14:paraId="61260AA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委托人书面要求监理人组织的相关咨询论证会以及聘请相关专家等发生的咨询费用由委托人在咨询工作完成后15天内支付。</w:t>
      </w:r>
    </w:p>
    <w:p w14:paraId="3956BFB4">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8.4 奖励</w:t>
      </w:r>
    </w:p>
    <w:p w14:paraId="7995FB6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删除原文，修改为:不奖励。</w:t>
      </w:r>
    </w:p>
    <w:p w14:paraId="60C57667">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 保密</w:t>
      </w:r>
    </w:p>
    <w:p w14:paraId="65A8CD6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委托人申明的保密事项和期限：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E131B9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监理人申明的保密事项和期限：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286052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第三方申明的保密事项和期限：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C95CEF9">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8.8</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Cs/>
          <w:color w:val="auto"/>
          <w:sz w:val="21"/>
          <w:szCs w:val="21"/>
          <w:highlight w:val="none"/>
        </w:rPr>
        <w:t>著作权</w:t>
      </w:r>
    </w:p>
    <w:p w14:paraId="5601E4E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监理人在本合同履行期间及本合同终止后两年内出版涉及本工程的有关监理与相关服务的资料的限制条件：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0B30A8F">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 补充条款</w:t>
      </w:r>
    </w:p>
    <w:p w14:paraId="415944A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监理合同按监理期限到期后，如发生延期，需服务至本工程整体竣工，不再增加监理费。</w:t>
      </w:r>
    </w:p>
    <w:p w14:paraId="2B2FA4CD">
      <w:pPr>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1"/>
          <w:szCs w:val="21"/>
          <w:highlight w:val="none"/>
        </w:rPr>
      </w:pPr>
    </w:p>
    <w:p w14:paraId="3EE2F517"/>
    <w:sectPr>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47E81FA-00F5-4749-A8E3-CDD0D6380C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2B8B99DE-C7D0-4863-BCA4-6DEC8196BFA6}"/>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3" w:fontKey="{4403E41A-AA47-497C-A82F-ABEA3CFE7AC1}"/>
  </w:font>
  <w:font w:name="方正小标宋简体">
    <w:panose1 w:val="02000000000000000000"/>
    <w:charset w:val="86"/>
    <w:family w:val="auto"/>
    <w:pitch w:val="default"/>
    <w:sig w:usb0="00000001" w:usb1="08000000" w:usb2="00000000" w:usb3="00000000" w:csb0="00040000" w:csb1="00000000"/>
    <w:embedRegular r:id="rId4" w:fontKey="{4424969B-8539-45B4-B207-165E512F97A1}"/>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B22E3D"/>
    <w:rsid w:val="02B33C2A"/>
    <w:rsid w:val="07E90B6A"/>
    <w:rsid w:val="081172DC"/>
    <w:rsid w:val="10A06571"/>
    <w:rsid w:val="141F6347"/>
    <w:rsid w:val="16E6765F"/>
    <w:rsid w:val="188C4A3A"/>
    <w:rsid w:val="22097CEF"/>
    <w:rsid w:val="253E60BD"/>
    <w:rsid w:val="33B3102C"/>
    <w:rsid w:val="3DDE7026"/>
    <w:rsid w:val="5495528E"/>
    <w:rsid w:val="565F0D59"/>
    <w:rsid w:val="5AAA4BD2"/>
    <w:rsid w:val="60393E85"/>
    <w:rsid w:val="60B22E3D"/>
    <w:rsid w:val="62B23804"/>
    <w:rsid w:val="63BB5D2F"/>
    <w:rsid w:val="6F8D5BE2"/>
    <w:rsid w:val="796B38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Plain Text"/>
    <w:basedOn w:val="1"/>
    <w:next w:val="2"/>
    <w:qFormat/>
    <w:uiPriority w:val="0"/>
    <w:rPr>
      <w:rFonts w:ascii="宋体" w:hAnsi="Courier New"/>
      <w:szCs w:val="20"/>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Text"/>
    <w:basedOn w:val="1"/>
    <w:semiHidden/>
    <w:qFormat/>
    <w:uiPriority w:val="0"/>
    <w:rPr>
      <w:rFonts w:ascii="宋体" w:hAnsi="宋体" w:eastAsia="宋体" w:cs="宋体"/>
      <w:sz w:val="19"/>
      <w:szCs w:val="19"/>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10322</Words>
  <Characters>10943</Characters>
  <Lines>0</Lines>
  <Paragraphs>0</Paragraphs>
  <TotalTime>0</TotalTime>
  <ScaleCrop>false</ScaleCrop>
  <LinksUpToDate>false</LinksUpToDate>
  <CharactersWithSpaces>12080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2026-08-24T01:16:00Z</dcterms:created>
  <dc:creator>zq</dc:creator>
  <cp:lastModifiedBy>zq</cp:lastModifiedBy>
  <dcterms:modified xsi:type="dcterms:W3CDTF">2026-08-24T06:10:57Z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DA1B33E3586342EAA2C5709DE7932316_11</vt:lpwstr>
  </property>
  <property fmtid="{D5CDD505-2E9C-101B-9397-08002B2CF9AE}" pid="4" name="KSOTemplateDocerSaveRecord">
    <vt:lpwstr>eyJoZGlkIjoiZjRmYjYyMWY4NWNiOTVhMGFiNDdmYTQ0NTJjOGIyOTEiLCJ1c2VySWQiOiIyNjE3NTg1NDMifQ==</vt:lpwstr>
  </property>
</Properties>
</file>