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BE486">
      <w:pPr>
        <w:spacing w:line="360" w:lineRule="auto"/>
        <w:jc w:val="center"/>
        <w:outlineLvl w:val="0"/>
        <w:rPr>
          <w:rFonts w:hint="default" w:ascii="宋体" w:hAnsi="宋体" w:eastAsia="宋体" w:cs="Times New Roman"/>
          <w:b/>
          <w:sz w:val="32"/>
          <w:szCs w:val="32"/>
          <w:lang w:val="en-US"/>
        </w:rPr>
      </w:pPr>
      <w:r>
        <w:rPr>
          <w:rFonts w:hint="eastAsia" w:ascii="宋体" w:hAnsi="宋体" w:eastAsia="宋体" w:cs="Times New Roman"/>
          <w:b/>
          <w:sz w:val="32"/>
          <w:szCs w:val="32"/>
          <w:lang w:val="en-US" w:eastAsia="zh-CN"/>
        </w:rPr>
        <w:t>郑州财经技师学院校园光纤专线及运营服务技术参数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570"/>
        <w:gridCol w:w="7100"/>
      </w:tblGrid>
      <w:tr w14:paraId="2A1C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9" w:hRule="atLeast"/>
        </w:trPr>
        <w:tc>
          <w:tcPr>
            <w:tcW w:w="426" w:type="dxa"/>
            <w:noWrap w:val="0"/>
            <w:vAlign w:val="center"/>
          </w:tcPr>
          <w:p w14:paraId="1B732484">
            <w:pPr>
              <w:widowControl/>
              <w:jc w:val="center"/>
              <w:rPr>
                <w:rFonts w:ascii="宋体" w:hAnsi="宋体" w:eastAsia="宋体" w:cs="Times New Roman"/>
                <w:bCs/>
                <w:sz w:val="32"/>
                <w:szCs w:val="32"/>
              </w:rPr>
            </w:pPr>
            <w:r>
              <w:rPr>
                <w:rFonts w:hint="eastAsia" w:ascii="宋体" w:hAnsi="宋体" w:eastAsia="宋体" w:cs="宋体"/>
                <w:bCs/>
                <w:color w:val="000000"/>
                <w:kern w:val="0"/>
                <w:szCs w:val="21"/>
              </w:rPr>
              <w:t>采购内容</w:t>
            </w:r>
          </w:p>
        </w:tc>
        <w:tc>
          <w:tcPr>
            <w:tcW w:w="412" w:type="dxa"/>
            <w:noWrap w:val="0"/>
            <w:vAlign w:val="center"/>
          </w:tcPr>
          <w:p w14:paraId="1EA71F9B">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数量</w:t>
            </w:r>
          </w:p>
        </w:tc>
        <w:tc>
          <w:tcPr>
            <w:tcW w:w="570" w:type="dxa"/>
            <w:noWrap w:val="0"/>
            <w:vAlign w:val="center"/>
          </w:tcPr>
          <w:p w14:paraId="7221819B">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单位</w:t>
            </w:r>
          </w:p>
        </w:tc>
        <w:tc>
          <w:tcPr>
            <w:tcW w:w="7120" w:type="dxa"/>
            <w:noWrap w:val="0"/>
            <w:vAlign w:val="center"/>
          </w:tcPr>
          <w:p w14:paraId="61439216">
            <w:pPr>
              <w:widowControl/>
              <w:jc w:val="center"/>
              <w:rPr>
                <w:rFonts w:ascii="宋体" w:hAnsi="宋体" w:eastAsia="宋体" w:cs="Times New Roman"/>
                <w:bCs/>
                <w:sz w:val="32"/>
                <w:szCs w:val="32"/>
              </w:rPr>
            </w:pPr>
            <w:r>
              <w:rPr>
                <w:rFonts w:hint="eastAsia" w:ascii="宋体" w:hAnsi="宋体" w:eastAsia="宋体" w:cs="宋体"/>
                <w:bCs/>
                <w:color w:val="000000"/>
                <w:kern w:val="0"/>
                <w:szCs w:val="21"/>
              </w:rPr>
              <w:t>技术参数</w:t>
            </w:r>
          </w:p>
        </w:tc>
      </w:tr>
      <w:tr w14:paraId="7095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1ED5D6C4">
            <w:pPr>
              <w:widowControl/>
              <w:rPr>
                <w:rFonts w:ascii="宋体" w:hAnsi="宋体" w:eastAsia="宋体" w:cs="Times New Roman"/>
                <w:sz w:val="32"/>
                <w:szCs w:val="32"/>
              </w:rPr>
            </w:pPr>
            <w:r>
              <w:rPr>
                <w:rFonts w:hint="eastAsia" w:ascii="宋体" w:hAnsi="宋体" w:eastAsia="宋体" w:cs="宋体"/>
                <w:color w:val="000000"/>
                <w:kern w:val="0"/>
                <w:szCs w:val="21"/>
              </w:rPr>
              <w:t>千兆光纤</w:t>
            </w:r>
          </w:p>
        </w:tc>
        <w:tc>
          <w:tcPr>
            <w:tcW w:w="412" w:type="dxa"/>
            <w:noWrap w:val="0"/>
            <w:vAlign w:val="center"/>
          </w:tcPr>
          <w:p w14:paraId="5AA3F87E">
            <w:pPr>
              <w:spacing w:line="360" w:lineRule="auto"/>
              <w:rPr>
                <w:rFonts w:hint="eastAsia" w:ascii="宋体" w:hAnsi="宋体" w:eastAsia="宋体" w:cs="Times New Roman"/>
                <w:szCs w:val="21"/>
                <w:lang w:eastAsia="zh-CN"/>
              </w:rPr>
            </w:pPr>
            <w:r>
              <w:rPr>
                <w:rFonts w:hint="eastAsia" w:ascii="宋体" w:hAnsi="宋体" w:eastAsia="宋体" w:cs="Times New Roman"/>
                <w:szCs w:val="21"/>
                <w:lang w:val="en-US" w:eastAsia="zh-CN"/>
              </w:rPr>
              <w:t>2</w:t>
            </w:r>
          </w:p>
        </w:tc>
        <w:tc>
          <w:tcPr>
            <w:tcW w:w="570" w:type="dxa"/>
            <w:noWrap w:val="0"/>
            <w:vAlign w:val="center"/>
          </w:tcPr>
          <w:p w14:paraId="69269260">
            <w:pPr>
              <w:spacing w:line="360" w:lineRule="auto"/>
              <w:rPr>
                <w:rFonts w:hint="eastAsia" w:ascii="宋体" w:hAnsi="宋体" w:eastAsia="宋体" w:cs="Times New Roman"/>
                <w:szCs w:val="21"/>
                <w:lang w:eastAsia="zh-CN"/>
              </w:rPr>
            </w:pPr>
            <w:r>
              <w:rPr>
                <w:rFonts w:hint="eastAsia" w:ascii="宋体" w:hAnsi="宋体" w:eastAsia="宋体" w:cs="Times New Roman"/>
                <w:szCs w:val="21"/>
                <w:lang w:val="en-US" w:eastAsia="zh-CN"/>
              </w:rPr>
              <w:t>条</w:t>
            </w:r>
          </w:p>
        </w:tc>
        <w:tc>
          <w:tcPr>
            <w:tcW w:w="7120" w:type="dxa"/>
            <w:noWrap w:val="0"/>
            <w:vAlign w:val="center"/>
          </w:tcPr>
          <w:p w14:paraId="0A9462CE">
            <w:pPr>
              <w:spacing w:line="360" w:lineRule="auto"/>
              <w:rPr>
                <w:rFonts w:hint="eastAsia" w:ascii="宋体" w:hAnsi="宋体" w:eastAsia="宋体" w:cs="Times New Roman"/>
                <w:b/>
                <w:bCs/>
                <w:szCs w:val="21"/>
              </w:rPr>
            </w:pPr>
            <w:r>
              <w:rPr>
                <w:rFonts w:hint="eastAsia" w:ascii="宋体" w:hAnsi="宋体" w:eastAsia="宋体" w:cs="Times New Roman"/>
                <w:b/>
                <w:bCs/>
                <w:szCs w:val="21"/>
              </w:rPr>
              <w:t>电路相关接入指标：</w:t>
            </w:r>
          </w:p>
          <w:p w14:paraId="4947174E">
            <w:pPr>
              <w:spacing w:line="360" w:lineRule="auto"/>
              <w:rPr>
                <w:rFonts w:hint="eastAsia" w:ascii="宋体" w:hAnsi="宋体" w:eastAsia="宋体" w:cs="Times New Roman"/>
                <w:szCs w:val="21"/>
                <w:lang w:eastAsia="zh-CN"/>
              </w:rPr>
            </w:pPr>
            <w:r>
              <w:rPr>
                <w:rFonts w:hint="eastAsia" w:ascii="宋体" w:hAnsi="宋体" w:eastAsia="宋体" w:cs="Times New Roman"/>
                <w:szCs w:val="21"/>
                <w:lang w:val="en-US" w:eastAsia="zh-CN"/>
              </w:rPr>
              <w:t>1.2</w:t>
            </w:r>
            <w:r>
              <w:rPr>
                <w:rFonts w:ascii="宋体" w:hAnsi="宋体" w:eastAsia="宋体" w:cs="Times New Roman"/>
                <w:szCs w:val="21"/>
              </w:rPr>
              <w:t>条1000Mbps宽带IP上网电路及云集成服务</w:t>
            </w:r>
            <w:r>
              <w:rPr>
                <w:rFonts w:hint="eastAsia" w:ascii="宋体" w:hAnsi="宋体" w:eastAsia="宋体" w:cs="Times New Roman"/>
                <w:szCs w:val="21"/>
                <w:lang w:eastAsia="zh-CN"/>
              </w:rPr>
              <w:t>。</w:t>
            </w:r>
          </w:p>
          <w:p w14:paraId="4DBF5A18">
            <w:pPr>
              <w:spacing w:line="360" w:lineRule="auto"/>
              <w:rPr>
                <w:rFonts w:hint="default" w:ascii="宋体" w:hAnsi="宋体" w:eastAsia="宋体" w:cs="Times New Roman"/>
                <w:szCs w:val="21"/>
                <w:lang w:val="en-US" w:eastAsia="zh-CN"/>
              </w:rPr>
            </w:pPr>
            <w:r>
              <w:rPr>
                <w:rFonts w:hint="eastAsia" w:ascii="宋体" w:hAnsi="宋体" w:eastAsia="宋体" w:cs="Times New Roman"/>
                <w:szCs w:val="21"/>
              </w:rPr>
              <w:t>2.</w:t>
            </w:r>
            <w:r>
              <w:rPr>
                <w:rFonts w:hint="eastAsia" w:ascii="宋体" w:hAnsi="宋体" w:eastAsia="宋体" w:cs="Times New Roman"/>
                <w:szCs w:val="21"/>
                <w:lang w:val="en-US" w:eastAsia="zh-CN"/>
              </w:rPr>
              <w:t>每条</w:t>
            </w:r>
            <w:r>
              <w:rPr>
                <w:rFonts w:ascii="宋体" w:hAnsi="宋体" w:eastAsia="宋体" w:cs="Times New Roman"/>
                <w:szCs w:val="21"/>
              </w:rPr>
              <w:t>互联网网络带宽为招标人独享1G，</w:t>
            </w:r>
            <w:r>
              <w:rPr>
                <w:rFonts w:hint="eastAsia" w:ascii="宋体" w:hAnsi="宋体" w:eastAsia="宋体" w:cs="Times New Roman"/>
                <w:szCs w:val="21"/>
              </w:rPr>
              <w:t>且上下行均为对称带宽</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最大速率一致。</w:t>
            </w:r>
            <w:r>
              <w:rPr>
                <w:rFonts w:ascii="宋体" w:hAnsi="宋体" w:eastAsia="宋体"/>
                <w:color w:val="auto"/>
              </w:rPr>
              <w:t>实际测速值不得低于标称速率的95%，且在任意时段（含业务高峰期）均须满足。</w:t>
            </w:r>
          </w:p>
          <w:p w14:paraId="320D8DA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Times New Roman"/>
                <w:szCs w:val="21"/>
                <w:lang w:val="en-US" w:eastAsia="zh-CN"/>
              </w:rPr>
            </w:pPr>
            <w:r>
              <w:rPr>
                <w:rFonts w:hint="eastAsia" w:ascii="宋体" w:hAnsi="宋体" w:eastAsia="宋体" w:cs="Times New Roman"/>
                <w:szCs w:val="21"/>
              </w:rPr>
              <w:t>3.</w:t>
            </w:r>
            <w:r>
              <w:rPr>
                <w:rFonts w:ascii="宋体" w:hAnsi="宋体" w:eastAsia="宋体" w:cs="Times New Roman"/>
                <w:szCs w:val="21"/>
              </w:rPr>
              <w:t>提供</w:t>
            </w:r>
            <w:r>
              <w:rPr>
                <w:rFonts w:hint="eastAsia" w:ascii="宋体" w:hAnsi="宋体" w:eastAsia="宋体" w:cs="Times New Roman"/>
                <w:szCs w:val="21"/>
              </w:rPr>
              <w:t>公网I</w:t>
            </w:r>
            <w:r>
              <w:rPr>
                <w:rFonts w:hint="eastAsia" w:ascii="宋体" w:hAnsi="宋体" w:eastAsia="宋体" w:cs="Times New Roman"/>
                <w:szCs w:val="21"/>
                <w:lang w:val="en-US" w:eastAsia="zh-CN"/>
              </w:rPr>
              <w:t>PV4</w:t>
            </w:r>
            <w:r>
              <w:rPr>
                <w:rFonts w:hint="eastAsia" w:ascii="宋体" w:hAnsi="宋体" w:eastAsia="宋体" w:cs="Times New Roman"/>
                <w:szCs w:val="21"/>
              </w:rPr>
              <w:t>地址≥3</w:t>
            </w:r>
            <w:r>
              <w:rPr>
                <w:rFonts w:hint="eastAsia" w:ascii="宋体" w:hAnsi="宋体" w:eastAsia="宋体" w:cs="Times New Roman"/>
                <w:szCs w:val="21"/>
                <w:lang w:val="en-US" w:eastAsia="zh-CN"/>
              </w:rPr>
              <w:t>2</w:t>
            </w:r>
            <w:r>
              <w:rPr>
                <w:rFonts w:hint="eastAsia" w:ascii="宋体" w:hAnsi="宋体" w:eastAsia="宋体" w:cs="Times New Roman"/>
                <w:szCs w:val="21"/>
              </w:rPr>
              <w:t>个；IPv6地址数量</w:t>
            </w:r>
            <w:r>
              <w:rPr>
                <w:rFonts w:hint="eastAsia" w:ascii="宋体" w:hAnsi="宋体" w:eastAsia="宋体" w:cs="Times New Roman"/>
                <w:szCs w:val="21"/>
                <w:lang w:val="en-US" w:eastAsia="zh-CN"/>
              </w:rPr>
              <w:t>为</w:t>
            </w:r>
            <w:r>
              <w:rPr>
                <w:rFonts w:hint="eastAsia" w:ascii="宋体" w:hAnsi="宋体" w:eastAsia="宋体" w:cs="Times New Roman"/>
                <w:szCs w:val="21"/>
              </w:rPr>
              <w:t xml:space="preserve">前缀/56 </w:t>
            </w:r>
            <w:r>
              <w:rPr>
                <w:rFonts w:hint="eastAsia" w:ascii="宋体" w:hAnsi="宋体" w:eastAsia="宋体" w:cs="Times New Roman"/>
                <w:szCs w:val="21"/>
                <w:lang w:val="en-US" w:eastAsia="zh-CN"/>
              </w:rPr>
              <w:t>的</w:t>
            </w:r>
            <w:r>
              <w:rPr>
                <w:rFonts w:hint="eastAsia" w:ascii="宋体" w:hAnsi="宋体" w:eastAsia="宋体" w:cs="Times New Roman"/>
                <w:szCs w:val="21"/>
              </w:rPr>
              <w:t>IPv6地址</w:t>
            </w:r>
            <w:r>
              <w:rPr>
                <w:rFonts w:hint="eastAsia" w:ascii="宋体" w:hAnsi="宋体" w:eastAsia="宋体" w:cs="Times New Roman"/>
                <w:szCs w:val="21"/>
                <w:lang w:val="en-US" w:eastAsia="zh-CN"/>
              </w:rPr>
              <w:t>段。</w:t>
            </w:r>
          </w:p>
          <w:p w14:paraId="1F9FF6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Cs w:val="21"/>
                <w:lang w:eastAsia="zh-CN"/>
              </w:rPr>
            </w:pPr>
            <w:r>
              <w:rPr>
                <w:rFonts w:hint="eastAsia" w:ascii="宋体" w:hAnsi="宋体" w:eastAsia="宋体" w:cs="Times New Roman"/>
                <w:szCs w:val="21"/>
              </w:rPr>
              <w:t>4.</w:t>
            </w:r>
            <w:r>
              <w:rPr>
                <w:rFonts w:ascii="宋体" w:hAnsi="宋体" w:eastAsia="宋体" w:cs="Times New Roman"/>
                <w:szCs w:val="21"/>
              </w:rPr>
              <w:t>本地IP链路层性能指标：average RTD≤40ms，packet loss≤0.1%</w:t>
            </w:r>
            <w:r>
              <w:rPr>
                <w:rFonts w:hint="eastAsia" w:ascii="宋体" w:hAnsi="宋体" w:eastAsia="宋体" w:cs="Times New Roman"/>
                <w:szCs w:val="21"/>
                <w:lang w:eastAsia="zh-CN"/>
              </w:rPr>
              <w:t>。</w:t>
            </w:r>
          </w:p>
          <w:p w14:paraId="46D4D899">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5.</w:t>
            </w:r>
            <w:r>
              <w:rPr>
                <w:rFonts w:ascii="宋体" w:hAnsi="宋体" w:eastAsia="宋体" w:cs="Times New Roman"/>
                <w:szCs w:val="21"/>
              </w:rPr>
              <w:t>网络运营商IP 城域网网络总出口带宽达到 2000G 以上</w:t>
            </w:r>
            <w:r>
              <w:rPr>
                <w:rFonts w:hint="eastAsia" w:ascii="宋体" w:hAnsi="宋体" w:eastAsia="宋体" w:cs="Times New Roman"/>
                <w:szCs w:val="21"/>
                <w:lang w:eastAsia="zh-CN"/>
              </w:rPr>
              <w:t>。</w:t>
            </w:r>
          </w:p>
          <w:p w14:paraId="04DDDB08">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6.</w:t>
            </w:r>
            <w:r>
              <w:rPr>
                <w:rFonts w:ascii="宋体" w:hAnsi="宋体" w:eastAsia="宋体" w:cs="Times New Roman"/>
                <w:szCs w:val="21"/>
              </w:rPr>
              <w:t>互联网接入业务时延抖动≤20ms，业务接入点靠近核心层，网络接入跳数少，时延低</w:t>
            </w:r>
            <w:r>
              <w:rPr>
                <w:rFonts w:hint="eastAsia" w:ascii="宋体" w:hAnsi="宋体" w:eastAsia="宋体" w:cs="Times New Roman"/>
                <w:szCs w:val="21"/>
                <w:lang w:eastAsia="zh-CN"/>
              </w:rPr>
              <w:t>。</w:t>
            </w:r>
          </w:p>
          <w:p w14:paraId="7FFE91D7">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7.局端到学校接入光交双物理路由</w:t>
            </w:r>
            <w:r>
              <w:rPr>
                <w:rFonts w:hint="eastAsia" w:ascii="宋体" w:hAnsi="宋体" w:eastAsia="宋体" w:cs="Times New Roman"/>
                <w:szCs w:val="21"/>
                <w:lang w:eastAsia="zh-CN"/>
              </w:rPr>
              <w:t>。</w:t>
            </w:r>
          </w:p>
          <w:p w14:paraId="7BFCFBA0">
            <w:pPr>
              <w:spacing w:line="360" w:lineRule="auto"/>
              <w:rPr>
                <w:rFonts w:hint="eastAsia" w:ascii="宋体" w:hAnsi="宋体" w:eastAsia="宋体" w:cs="Times New Roman"/>
                <w:szCs w:val="21"/>
                <w:lang w:eastAsia="zh-CN"/>
              </w:rPr>
            </w:pPr>
            <w:r>
              <w:rPr>
                <w:rFonts w:hint="eastAsia" w:ascii="宋体" w:hAnsi="宋体" w:eastAsia="宋体" w:cs="Times New Roman"/>
                <w:szCs w:val="21"/>
                <w:lang w:val="en-US" w:eastAsia="zh-CN"/>
              </w:rPr>
              <w:t>8.</w:t>
            </w:r>
            <w:r>
              <w:rPr>
                <w:rFonts w:ascii="宋体" w:hAnsi="宋体" w:eastAsia="宋体" w:cs="Times New Roman"/>
                <w:szCs w:val="21"/>
              </w:rPr>
              <w:t>提供7*24小时不间断故障维修服务</w:t>
            </w:r>
            <w:r>
              <w:rPr>
                <w:rFonts w:hint="eastAsia" w:ascii="宋体" w:hAnsi="宋体" w:eastAsia="宋体" w:cs="Times New Roman"/>
                <w:szCs w:val="21"/>
                <w:lang w:eastAsia="zh-CN"/>
              </w:rPr>
              <w:t>。</w:t>
            </w:r>
          </w:p>
          <w:p w14:paraId="2D9B3429">
            <w:pPr>
              <w:spacing w:line="360" w:lineRule="auto"/>
              <w:rPr>
                <w:rFonts w:hint="eastAsia" w:ascii="宋体" w:hAnsi="宋体" w:eastAsia="宋体" w:cs="Times New Roman"/>
                <w:b/>
                <w:bCs/>
                <w:szCs w:val="21"/>
              </w:rPr>
            </w:pPr>
            <w:r>
              <w:rPr>
                <w:rFonts w:hint="eastAsia" w:ascii="宋体" w:hAnsi="宋体" w:eastAsia="宋体" w:cs="Times New Roman"/>
                <w:b/>
                <w:bCs/>
                <w:szCs w:val="21"/>
              </w:rPr>
              <w:t>相关性能参数指标：</w:t>
            </w:r>
          </w:p>
          <w:p w14:paraId="316DA684">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1.任</w:t>
            </w:r>
            <w:r>
              <w:rPr>
                <w:rFonts w:ascii="宋体" w:hAnsi="宋体" w:eastAsia="宋体" w:cs="Times New Roman"/>
                <w:szCs w:val="21"/>
              </w:rPr>
              <w:t>意两个互联网骨干网节点的时延值≤100ms，省网出口节点到相邻骨干网节点的时延值≤20ms，IP网省内接入路由器到汇聚路由器时延值≤20ms，互联网专线用户接入到最近的接入点网关平均时延≤10ms</w:t>
            </w:r>
            <w:r>
              <w:rPr>
                <w:rFonts w:hint="eastAsia" w:ascii="宋体" w:hAnsi="宋体" w:eastAsia="宋体" w:cs="Times New Roman"/>
                <w:szCs w:val="21"/>
                <w:lang w:eastAsia="zh-CN"/>
              </w:rPr>
              <w:t>。</w:t>
            </w:r>
          </w:p>
          <w:p w14:paraId="2618FE88">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2.</w:t>
            </w:r>
            <w:r>
              <w:rPr>
                <w:rFonts w:ascii="宋体" w:hAnsi="宋体" w:eastAsia="宋体" w:cs="Times New Roman"/>
                <w:szCs w:val="21"/>
              </w:rPr>
              <w:t>任意两个互联网骨干网节点之间的丢包率≤2%，省网出口节点到相临骨干网节点之间的丢包率≤1%，省内城域网节点到省网出口节点之间的丢包率以及省内城域网节点之间的丢包率≤1%，互联网专线用户接入最近的接入点网络丢包率≤0.5%</w:t>
            </w:r>
            <w:r>
              <w:rPr>
                <w:rFonts w:hint="eastAsia" w:ascii="宋体" w:hAnsi="宋体" w:eastAsia="宋体" w:cs="Times New Roman"/>
                <w:szCs w:val="21"/>
                <w:lang w:eastAsia="zh-CN"/>
              </w:rPr>
              <w:t>。</w:t>
            </w:r>
          </w:p>
          <w:p w14:paraId="54F60E79">
            <w:pPr>
              <w:spacing w:line="360" w:lineRule="auto"/>
              <w:rPr>
                <w:rFonts w:hint="eastAsia" w:ascii="宋体" w:hAnsi="宋体" w:eastAsia="宋体" w:cs="Times New Roman"/>
                <w:b/>
                <w:bCs/>
                <w:szCs w:val="21"/>
              </w:rPr>
            </w:pPr>
            <w:r>
              <w:rPr>
                <w:rFonts w:hint="eastAsia" w:ascii="宋体" w:hAnsi="宋体" w:eastAsia="宋体" w:cs="Times New Roman"/>
                <w:b/>
                <w:bCs/>
                <w:szCs w:val="21"/>
              </w:rPr>
              <w:t>服务要求：</w:t>
            </w:r>
          </w:p>
          <w:p w14:paraId="6CF802DE">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1.</w:t>
            </w:r>
            <w:r>
              <w:rPr>
                <w:rFonts w:hint="eastAsia" w:ascii="宋体" w:hAnsi="宋体" w:eastAsia="宋体" w:cs="Times New Roman"/>
                <w:szCs w:val="21"/>
                <w:lang w:eastAsia="zh-CN"/>
              </w:rPr>
              <w:t>投标人</w:t>
            </w:r>
            <w:r>
              <w:rPr>
                <w:rFonts w:ascii="宋体" w:hAnsi="宋体" w:eastAsia="宋体" w:cs="Times New Roman"/>
                <w:szCs w:val="21"/>
              </w:rPr>
              <w:t>须提供免费咨询和免费技术支持，及时响应采购人需求</w:t>
            </w:r>
            <w:r>
              <w:rPr>
                <w:rFonts w:hint="eastAsia" w:ascii="宋体" w:hAnsi="宋体" w:eastAsia="宋体" w:cs="Times New Roman"/>
                <w:szCs w:val="21"/>
                <w:lang w:eastAsia="zh-CN"/>
              </w:rPr>
              <w:t>。</w:t>
            </w:r>
          </w:p>
          <w:p w14:paraId="0949F341">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2.</w:t>
            </w:r>
            <w:r>
              <w:rPr>
                <w:rFonts w:ascii="宋体" w:hAnsi="宋体" w:eastAsia="宋体" w:cs="Times New Roman"/>
                <w:szCs w:val="21"/>
              </w:rPr>
              <w:t>提供 7*24 小时电路监控及故障、业务受理，提供电话支持，受理客户的故障投诉</w:t>
            </w:r>
            <w:r>
              <w:rPr>
                <w:rFonts w:hint="eastAsia" w:ascii="宋体" w:hAnsi="宋体" w:eastAsia="宋体" w:cs="Times New Roman"/>
                <w:szCs w:val="21"/>
                <w:lang w:eastAsia="zh-CN"/>
              </w:rPr>
              <w:t>。</w:t>
            </w:r>
          </w:p>
          <w:p w14:paraId="4A55C7CF">
            <w:pPr>
              <w:spacing w:line="360" w:lineRule="auto"/>
              <w:rPr>
                <w:rFonts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提供备件维护，确保备件的完好性。一旦发生设备、线路故障，能够及时备件更换，</w:t>
            </w:r>
            <w:r>
              <w:rPr>
                <w:rFonts w:hint="eastAsia" w:ascii="宋体" w:hAnsi="宋体" w:eastAsia="宋体"/>
                <w:color w:val="auto"/>
                <w:lang w:val="en-US" w:eastAsia="zh-CN"/>
              </w:rPr>
              <w:t>修复时间≤2小时</w:t>
            </w:r>
            <w:r>
              <w:rPr>
                <w:rFonts w:hint="eastAsia" w:ascii="宋体" w:eastAsia="宋体"/>
                <w:color w:val="auto"/>
                <w:lang w:val="en-US" w:eastAsia="zh-CN"/>
              </w:rPr>
              <w:t>。</w:t>
            </w:r>
          </w:p>
          <w:p w14:paraId="0DEE6782">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4.</w:t>
            </w:r>
            <w:r>
              <w:rPr>
                <w:rFonts w:ascii="宋体" w:hAnsi="宋体" w:eastAsia="宋体" w:cs="Times New Roman"/>
                <w:szCs w:val="21"/>
              </w:rPr>
              <w:t>免费培训基本操作知识，定期回访</w:t>
            </w:r>
            <w:r>
              <w:rPr>
                <w:rFonts w:hint="eastAsia" w:ascii="宋体" w:hAnsi="宋体" w:eastAsia="宋体" w:cs="Times New Roman"/>
                <w:szCs w:val="21"/>
                <w:lang w:eastAsia="zh-CN"/>
              </w:rPr>
              <w:t>。</w:t>
            </w:r>
          </w:p>
        </w:tc>
      </w:tr>
      <w:tr w14:paraId="78F3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28E58BFB">
            <w:pPr>
              <w:widowControl/>
              <w:jc w:val="center"/>
              <w:rPr>
                <w:rFonts w:hint="eastAsia" w:ascii="宋体" w:hAnsi="宋体" w:eastAsia="宋体" w:cs="Times New Roman"/>
                <w:szCs w:val="21"/>
              </w:rPr>
            </w:pPr>
          </w:p>
          <w:p w14:paraId="7690B195">
            <w:pPr>
              <w:widowControl/>
              <w:jc w:val="center"/>
              <w:rPr>
                <w:rFonts w:hint="eastAsia" w:ascii="宋体" w:hAnsi="宋体" w:eastAsia="宋体" w:cs="Times New Roman"/>
                <w:szCs w:val="21"/>
              </w:rPr>
            </w:pPr>
          </w:p>
          <w:p w14:paraId="34739FF5">
            <w:pPr>
              <w:widowControl/>
              <w:jc w:val="center"/>
              <w:rPr>
                <w:rFonts w:hint="eastAsia" w:ascii="宋体" w:hAnsi="宋体" w:eastAsia="宋体" w:cs="Times New Roman"/>
                <w:szCs w:val="21"/>
              </w:rPr>
            </w:pPr>
          </w:p>
          <w:p w14:paraId="26AD9AD9">
            <w:pPr>
              <w:widowControl/>
              <w:jc w:val="center"/>
              <w:rPr>
                <w:rFonts w:hint="eastAsia" w:ascii="宋体" w:hAnsi="宋体" w:eastAsia="宋体" w:cs="Times New Roman"/>
                <w:szCs w:val="21"/>
              </w:rPr>
            </w:pPr>
          </w:p>
          <w:p w14:paraId="56B4BEF7">
            <w:pPr>
              <w:widowControl/>
              <w:jc w:val="center"/>
              <w:rPr>
                <w:rFonts w:hint="eastAsia" w:ascii="宋体" w:hAnsi="宋体" w:eastAsia="宋体" w:cs="Times New Roman"/>
                <w:szCs w:val="21"/>
              </w:rPr>
            </w:pPr>
          </w:p>
          <w:p w14:paraId="0F148990">
            <w:pPr>
              <w:widowControl/>
              <w:jc w:val="center"/>
              <w:rPr>
                <w:rFonts w:hint="eastAsia" w:ascii="宋体" w:hAnsi="宋体" w:eastAsia="宋体" w:cs="Times New Roman"/>
                <w:szCs w:val="21"/>
              </w:rPr>
            </w:pPr>
          </w:p>
          <w:p w14:paraId="7360CF7B">
            <w:pPr>
              <w:widowControl/>
              <w:jc w:val="center"/>
              <w:rPr>
                <w:rFonts w:hint="eastAsia" w:ascii="宋体" w:hAnsi="宋体" w:eastAsia="宋体" w:cs="Times New Roman"/>
                <w:szCs w:val="21"/>
              </w:rPr>
            </w:pPr>
          </w:p>
          <w:p w14:paraId="4AE4D14B">
            <w:pPr>
              <w:widowControl/>
              <w:jc w:val="center"/>
              <w:rPr>
                <w:rFonts w:hint="eastAsia" w:ascii="宋体" w:hAnsi="宋体" w:eastAsia="宋体" w:cs="Times New Roman"/>
                <w:szCs w:val="21"/>
              </w:rPr>
            </w:pPr>
          </w:p>
          <w:p w14:paraId="37CC2348">
            <w:pPr>
              <w:widowControl/>
              <w:jc w:val="center"/>
              <w:rPr>
                <w:rFonts w:hint="eastAsia" w:ascii="宋体" w:hAnsi="宋体" w:eastAsia="宋体" w:cs="Times New Roman"/>
                <w:szCs w:val="21"/>
              </w:rPr>
            </w:pPr>
          </w:p>
          <w:p w14:paraId="2ADF6779">
            <w:pPr>
              <w:widowControl/>
              <w:jc w:val="center"/>
              <w:rPr>
                <w:rFonts w:hint="eastAsia" w:ascii="宋体" w:hAnsi="宋体" w:eastAsia="宋体" w:cs="Times New Roman"/>
                <w:szCs w:val="21"/>
              </w:rPr>
            </w:pPr>
          </w:p>
          <w:p w14:paraId="6DDFC88C">
            <w:pPr>
              <w:widowControl/>
              <w:jc w:val="center"/>
              <w:rPr>
                <w:rFonts w:hint="eastAsia" w:ascii="宋体" w:hAnsi="宋体" w:eastAsia="宋体" w:cs="Times New Roman"/>
                <w:szCs w:val="21"/>
              </w:rPr>
            </w:pPr>
          </w:p>
          <w:p w14:paraId="4217DB30">
            <w:pPr>
              <w:widowControl/>
              <w:jc w:val="center"/>
              <w:rPr>
                <w:rFonts w:hint="eastAsia" w:ascii="宋体" w:hAnsi="宋体" w:eastAsia="宋体" w:cs="Times New Roman"/>
                <w:szCs w:val="21"/>
              </w:rPr>
            </w:pPr>
          </w:p>
          <w:p w14:paraId="5DDB89CE">
            <w:pPr>
              <w:widowControl/>
              <w:jc w:val="center"/>
              <w:rPr>
                <w:rFonts w:hint="eastAsia" w:ascii="宋体" w:hAnsi="宋体" w:eastAsia="宋体" w:cs="Times New Roman"/>
                <w:szCs w:val="21"/>
              </w:rPr>
            </w:pPr>
          </w:p>
          <w:p w14:paraId="6558E630">
            <w:pPr>
              <w:widowControl/>
              <w:jc w:val="center"/>
              <w:rPr>
                <w:rFonts w:hint="eastAsia" w:ascii="宋体" w:hAnsi="宋体" w:eastAsia="宋体" w:cs="Times New Roman"/>
                <w:szCs w:val="21"/>
              </w:rPr>
            </w:pPr>
          </w:p>
          <w:p w14:paraId="137B56F7">
            <w:pPr>
              <w:widowControl/>
              <w:jc w:val="center"/>
              <w:rPr>
                <w:rFonts w:hint="eastAsia" w:ascii="宋体" w:hAnsi="宋体" w:eastAsia="宋体" w:cs="Times New Roman"/>
                <w:szCs w:val="21"/>
              </w:rPr>
            </w:pPr>
          </w:p>
          <w:p w14:paraId="3000263A">
            <w:pPr>
              <w:widowControl/>
              <w:jc w:val="center"/>
              <w:rPr>
                <w:rFonts w:hint="eastAsia" w:ascii="宋体" w:hAnsi="宋体" w:eastAsia="宋体" w:cs="Times New Roman"/>
                <w:szCs w:val="21"/>
              </w:rPr>
            </w:pPr>
          </w:p>
          <w:p w14:paraId="1629F4A2">
            <w:pPr>
              <w:widowControl/>
              <w:jc w:val="center"/>
              <w:rPr>
                <w:rFonts w:hint="eastAsia" w:ascii="宋体" w:hAnsi="宋体" w:eastAsia="宋体" w:cs="Times New Roman"/>
                <w:szCs w:val="21"/>
              </w:rPr>
            </w:pPr>
          </w:p>
          <w:p w14:paraId="764CDEBC">
            <w:pPr>
              <w:widowControl/>
              <w:jc w:val="center"/>
              <w:rPr>
                <w:rFonts w:hint="eastAsia" w:ascii="宋体" w:hAnsi="宋体" w:eastAsia="宋体" w:cs="Times New Roman"/>
                <w:szCs w:val="21"/>
              </w:rPr>
            </w:pPr>
          </w:p>
          <w:p w14:paraId="760AF3D7">
            <w:pPr>
              <w:widowControl/>
              <w:jc w:val="center"/>
              <w:rPr>
                <w:rFonts w:ascii="宋体" w:hAnsi="宋体" w:eastAsia="宋体" w:cs="Times New Roman"/>
                <w:sz w:val="32"/>
                <w:szCs w:val="32"/>
              </w:rPr>
            </w:pPr>
            <w:r>
              <w:rPr>
                <w:rFonts w:hint="eastAsia" w:ascii="宋体" w:hAnsi="宋体" w:eastAsia="宋体" w:cs="Times New Roman"/>
                <w:szCs w:val="21"/>
              </w:rPr>
              <w:t>跨境网络行为审计系统</w:t>
            </w:r>
          </w:p>
        </w:tc>
        <w:tc>
          <w:tcPr>
            <w:tcW w:w="412" w:type="dxa"/>
            <w:noWrap w:val="0"/>
            <w:vAlign w:val="center"/>
          </w:tcPr>
          <w:p w14:paraId="5D2A746C">
            <w:pPr>
              <w:spacing w:line="360" w:lineRule="auto"/>
              <w:jc w:val="center"/>
              <w:rPr>
                <w:rFonts w:hint="eastAsia" w:ascii="宋体" w:hAnsi="宋体" w:eastAsia="宋体" w:cs="Times New Roman"/>
                <w:szCs w:val="21"/>
              </w:rPr>
            </w:pPr>
          </w:p>
          <w:p w14:paraId="36D79F0B">
            <w:pPr>
              <w:spacing w:line="360" w:lineRule="auto"/>
              <w:jc w:val="center"/>
              <w:rPr>
                <w:rFonts w:hint="eastAsia" w:ascii="宋体" w:hAnsi="宋体" w:eastAsia="宋体" w:cs="Times New Roman"/>
                <w:szCs w:val="21"/>
              </w:rPr>
            </w:pPr>
          </w:p>
          <w:p w14:paraId="4928A6F0">
            <w:pPr>
              <w:spacing w:line="360" w:lineRule="auto"/>
              <w:jc w:val="center"/>
              <w:rPr>
                <w:rFonts w:hint="eastAsia" w:ascii="宋体" w:hAnsi="宋体" w:eastAsia="宋体" w:cs="Times New Roman"/>
                <w:szCs w:val="21"/>
              </w:rPr>
            </w:pPr>
          </w:p>
          <w:p w14:paraId="6E8B2CE6">
            <w:pPr>
              <w:spacing w:line="360" w:lineRule="auto"/>
              <w:jc w:val="center"/>
              <w:rPr>
                <w:rFonts w:hint="eastAsia" w:ascii="宋体" w:hAnsi="宋体" w:eastAsia="宋体" w:cs="Times New Roman"/>
                <w:szCs w:val="21"/>
              </w:rPr>
            </w:pPr>
          </w:p>
          <w:p w14:paraId="3E36F827">
            <w:pPr>
              <w:spacing w:line="360" w:lineRule="auto"/>
              <w:jc w:val="center"/>
              <w:rPr>
                <w:rFonts w:hint="eastAsia" w:ascii="宋体" w:hAnsi="宋体" w:eastAsia="宋体" w:cs="Times New Roman"/>
                <w:szCs w:val="21"/>
              </w:rPr>
            </w:pPr>
          </w:p>
          <w:p w14:paraId="1EB3E1D4">
            <w:pPr>
              <w:spacing w:line="360" w:lineRule="auto"/>
              <w:jc w:val="center"/>
              <w:rPr>
                <w:rFonts w:hint="eastAsia" w:ascii="宋体" w:hAnsi="宋体" w:eastAsia="宋体" w:cs="Times New Roman"/>
                <w:szCs w:val="21"/>
              </w:rPr>
            </w:pPr>
          </w:p>
          <w:p w14:paraId="7F2FE34C">
            <w:pPr>
              <w:spacing w:line="360" w:lineRule="auto"/>
              <w:jc w:val="center"/>
              <w:rPr>
                <w:rFonts w:hint="eastAsia" w:ascii="宋体" w:hAnsi="宋体" w:eastAsia="宋体" w:cs="Times New Roman"/>
                <w:szCs w:val="21"/>
              </w:rPr>
            </w:pPr>
          </w:p>
          <w:p w14:paraId="376399AC">
            <w:pPr>
              <w:spacing w:line="360" w:lineRule="auto"/>
              <w:jc w:val="center"/>
              <w:rPr>
                <w:rFonts w:hint="eastAsia" w:ascii="宋体" w:hAnsi="宋体" w:eastAsia="宋体" w:cs="Times New Roman"/>
                <w:szCs w:val="21"/>
              </w:rPr>
            </w:pPr>
          </w:p>
          <w:p w14:paraId="23E8BE2B">
            <w:pPr>
              <w:spacing w:line="360" w:lineRule="auto"/>
              <w:jc w:val="center"/>
              <w:rPr>
                <w:rFonts w:hint="eastAsia" w:ascii="宋体" w:hAnsi="宋体" w:eastAsia="宋体" w:cs="Times New Roman"/>
                <w:szCs w:val="21"/>
              </w:rPr>
            </w:pPr>
          </w:p>
          <w:p w14:paraId="45B0B99C">
            <w:pPr>
              <w:spacing w:line="360" w:lineRule="auto"/>
              <w:jc w:val="center"/>
              <w:rPr>
                <w:rFonts w:hint="eastAsia" w:ascii="宋体" w:hAnsi="宋体" w:eastAsia="宋体" w:cs="Times New Roman"/>
                <w:szCs w:val="21"/>
              </w:rPr>
            </w:pPr>
          </w:p>
          <w:p w14:paraId="54F5C440">
            <w:pPr>
              <w:spacing w:line="360" w:lineRule="auto"/>
              <w:jc w:val="center"/>
              <w:rPr>
                <w:rFonts w:hint="eastAsia" w:ascii="宋体" w:hAnsi="宋体" w:eastAsia="宋体" w:cs="Times New Roman"/>
                <w:szCs w:val="21"/>
              </w:rPr>
            </w:pPr>
          </w:p>
          <w:p w14:paraId="5847E97F">
            <w:pPr>
              <w:spacing w:line="360" w:lineRule="auto"/>
              <w:jc w:val="center"/>
              <w:rPr>
                <w:rFonts w:hint="eastAsia" w:ascii="宋体" w:hAnsi="宋体" w:eastAsia="宋体" w:cs="Times New Roman"/>
                <w:szCs w:val="21"/>
              </w:rPr>
            </w:pPr>
          </w:p>
          <w:p w14:paraId="27FE3291">
            <w:pPr>
              <w:spacing w:line="360" w:lineRule="auto"/>
              <w:jc w:val="center"/>
              <w:rPr>
                <w:rFonts w:hint="eastAsia" w:ascii="宋体" w:hAnsi="宋体" w:eastAsia="宋体" w:cs="Times New Roman"/>
                <w:szCs w:val="21"/>
              </w:rPr>
            </w:pPr>
          </w:p>
          <w:p w14:paraId="29658E84">
            <w:pPr>
              <w:spacing w:line="360" w:lineRule="auto"/>
              <w:jc w:val="center"/>
              <w:rPr>
                <w:rFonts w:hint="eastAsia" w:ascii="宋体" w:hAnsi="宋体" w:eastAsia="宋体" w:cs="Times New Roman"/>
                <w:szCs w:val="21"/>
              </w:rPr>
            </w:pPr>
          </w:p>
          <w:p w14:paraId="63F6EFA3">
            <w:pPr>
              <w:spacing w:line="360" w:lineRule="auto"/>
              <w:jc w:val="center"/>
              <w:rPr>
                <w:rFonts w:hint="eastAsia" w:ascii="宋体" w:hAnsi="宋体" w:eastAsia="宋体" w:cs="Times New Roman"/>
                <w:szCs w:val="21"/>
              </w:rPr>
            </w:pPr>
          </w:p>
          <w:p w14:paraId="1EBAF30F">
            <w:pPr>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570" w:type="dxa"/>
            <w:noWrap w:val="0"/>
            <w:vAlign w:val="center"/>
          </w:tcPr>
          <w:p w14:paraId="1F5535CD">
            <w:pPr>
              <w:spacing w:line="360" w:lineRule="auto"/>
              <w:rPr>
                <w:rFonts w:hint="eastAsia" w:ascii="宋体" w:hAnsi="宋体" w:eastAsia="宋体" w:cs="Times New Roman"/>
                <w:szCs w:val="21"/>
              </w:rPr>
            </w:pPr>
          </w:p>
          <w:p w14:paraId="700272A8">
            <w:pPr>
              <w:spacing w:line="360" w:lineRule="auto"/>
              <w:rPr>
                <w:rFonts w:hint="eastAsia" w:ascii="宋体" w:hAnsi="宋体" w:eastAsia="宋体" w:cs="Times New Roman"/>
                <w:szCs w:val="21"/>
              </w:rPr>
            </w:pPr>
          </w:p>
          <w:p w14:paraId="08214C17">
            <w:pPr>
              <w:spacing w:line="360" w:lineRule="auto"/>
              <w:rPr>
                <w:rFonts w:hint="eastAsia" w:ascii="宋体" w:hAnsi="宋体" w:eastAsia="宋体" w:cs="Times New Roman"/>
                <w:szCs w:val="21"/>
              </w:rPr>
            </w:pPr>
          </w:p>
          <w:p w14:paraId="254E6525">
            <w:pPr>
              <w:spacing w:line="360" w:lineRule="auto"/>
              <w:rPr>
                <w:rFonts w:hint="eastAsia" w:ascii="宋体" w:hAnsi="宋体" w:eastAsia="宋体" w:cs="Times New Roman"/>
                <w:szCs w:val="21"/>
              </w:rPr>
            </w:pPr>
          </w:p>
          <w:p w14:paraId="0B08BE44">
            <w:pPr>
              <w:spacing w:line="360" w:lineRule="auto"/>
              <w:rPr>
                <w:rFonts w:hint="eastAsia" w:ascii="宋体" w:hAnsi="宋体" w:eastAsia="宋体" w:cs="Times New Roman"/>
                <w:szCs w:val="21"/>
              </w:rPr>
            </w:pPr>
          </w:p>
          <w:p w14:paraId="3FE03ACB">
            <w:pPr>
              <w:spacing w:line="360" w:lineRule="auto"/>
              <w:rPr>
                <w:rFonts w:hint="eastAsia" w:ascii="宋体" w:hAnsi="宋体" w:eastAsia="宋体" w:cs="Times New Roman"/>
                <w:szCs w:val="21"/>
              </w:rPr>
            </w:pPr>
          </w:p>
          <w:p w14:paraId="6A65EE89">
            <w:pPr>
              <w:spacing w:line="360" w:lineRule="auto"/>
              <w:rPr>
                <w:rFonts w:hint="eastAsia" w:ascii="宋体" w:hAnsi="宋体" w:eastAsia="宋体" w:cs="Times New Roman"/>
                <w:szCs w:val="21"/>
              </w:rPr>
            </w:pPr>
          </w:p>
          <w:p w14:paraId="05A16703">
            <w:pPr>
              <w:spacing w:line="360" w:lineRule="auto"/>
              <w:rPr>
                <w:rFonts w:hint="eastAsia" w:ascii="宋体" w:hAnsi="宋体" w:eastAsia="宋体" w:cs="Times New Roman"/>
                <w:szCs w:val="21"/>
              </w:rPr>
            </w:pPr>
          </w:p>
          <w:p w14:paraId="3FB92366">
            <w:pPr>
              <w:spacing w:line="360" w:lineRule="auto"/>
              <w:rPr>
                <w:rFonts w:hint="eastAsia" w:ascii="宋体" w:hAnsi="宋体" w:eastAsia="宋体" w:cs="Times New Roman"/>
                <w:szCs w:val="21"/>
              </w:rPr>
            </w:pPr>
          </w:p>
          <w:p w14:paraId="0F592E76">
            <w:pPr>
              <w:spacing w:line="360" w:lineRule="auto"/>
              <w:rPr>
                <w:rFonts w:hint="eastAsia" w:ascii="宋体" w:hAnsi="宋体" w:eastAsia="宋体" w:cs="Times New Roman"/>
                <w:szCs w:val="21"/>
              </w:rPr>
            </w:pPr>
          </w:p>
          <w:p w14:paraId="5CBCDE4E">
            <w:pPr>
              <w:spacing w:line="360" w:lineRule="auto"/>
              <w:rPr>
                <w:rFonts w:hint="eastAsia" w:ascii="宋体" w:hAnsi="宋体" w:eastAsia="宋体" w:cs="Times New Roman"/>
                <w:szCs w:val="21"/>
              </w:rPr>
            </w:pPr>
          </w:p>
          <w:p w14:paraId="3ED7D4D9">
            <w:pPr>
              <w:spacing w:line="360" w:lineRule="auto"/>
              <w:rPr>
                <w:rFonts w:hint="eastAsia" w:ascii="宋体" w:hAnsi="宋体" w:eastAsia="宋体" w:cs="Times New Roman"/>
                <w:szCs w:val="21"/>
              </w:rPr>
            </w:pPr>
          </w:p>
          <w:p w14:paraId="296CEE3C">
            <w:pPr>
              <w:spacing w:line="360" w:lineRule="auto"/>
              <w:rPr>
                <w:rFonts w:hint="eastAsia" w:ascii="宋体" w:hAnsi="宋体" w:eastAsia="宋体" w:cs="Times New Roman"/>
                <w:szCs w:val="21"/>
              </w:rPr>
            </w:pPr>
          </w:p>
          <w:p w14:paraId="12D18716">
            <w:pPr>
              <w:spacing w:line="360" w:lineRule="auto"/>
              <w:rPr>
                <w:rFonts w:hint="eastAsia" w:ascii="宋体" w:hAnsi="宋体" w:eastAsia="宋体" w:cs="Times New Roman"/>
                <w:szCs w:val="21"/>
              </w:rPr>
            </w:pPr>
          </w:p>
          <w:p w14:paraId="09957BC6">
            <w:pPr>
              <w:spacing w:line="360" w:lineRule="auto"/>
              <w:rPr>
                <w:rFonts w:hint="eastAsia" w:ascii="宋体" w:hAnsi="宋体" w:eastAsia="宋体" w:cs="Times New Roman"/>
                <w:szCs w:val="21"/>
              </w:rPr>
            </w:pPr>
          </w:p>
          <w:p w14:paraId="122581BA">
            <w:pPr>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套</w:t>
            </w:r>
          </w:p>
        </w:tc>
        <w:tc>
          <w:tcPr>
            <w:tcW w:w="7120" w:type="dxa"/>
            <w:noWrap w:val="0"/>
            <w:vAlign w:val="center"/>
          </w:tcPr>
          <w:p w14:paraId="4E81AD18">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textAlignment w:val="auto"/>
              <w:rPr>
                <w:rFonts w:hint="eastAsia" w:ascii="宋体" w:hAnsi="宋体" w:eastAsia="宋体" w:cs="Times New Roman"/>
                <w:szCs w:val="21"/>
                <w:lang w:val="en-US" w:eastAsia="zh-CN"/>
              </w:rPr>
            </w:pPr>
            <w:r>
              <w:rPr>
                <w:rFonts w:ascii="宋体" w:hAnsi="宋体" w:eastAsia="宋体" w:cs="Times New Roman"/>
                <w:szCs w:val="21"/>
              </w:rPr>
              <w:t>带宽≥</w:t>
            </w:r>
            <w:r>
              <w:rPr>
                <w:rFonts w:hint="eastAsia" w:ascii="宋体" w:hAnsi="宋体" w:eastAsia="宋体" w:cs="Times New Roman"/>
                <w:szCs w:val="21"/>
              </w:rPr>
              <w:t>2</w:t>
            </w:r>
            <w:r>
              <w:rPr>
                <w:rFonts w:ascii="宋体" w:hAnsi="宋体" w:eastAsia="宋体" w:cs="Times New Roman"/>
                <w:szCs w:val="21"/>
              </w:rPr>
              <w:t>Gbps</w:t>
            </w:r>
            <w:r>
              <w:rPr>
                <w:rFonts w:hint="eastAsia" w:ascii="宋体" w:hAnsi="宋体" w:eastAsia="宋体" w:cs="Times New Roman"/>
                <w:szCs w:val="21"/>
                <w:lang w:eastAsia="zh-CN"/>
              </w:rPr>
              <w:t>；</w:t>
            </w:r>
            <w:r>
              <w:rPr>
                <w:rFonts w:ascii="宋体" w:hAnsi="宋体" w:eastAsia="宋体" w:cs="Times New Roman"/>
                <w:szCs w:val="21"/>
              </w:rPr>
              <w:t>规格≥2U</w:t>
            </w:r>
            <w:r>
              <w:rPr>
                <w:rFonts w:hint="eastAsia" w:ascii="宋体" w:hAnsi="宋体" w:eastAsia="宋体" w:cs="Times New Roman"/>
                <w:szCs w:val="21"/>
                <w:lang w:eastAsia="zh-CN"/>
              </w:rPr>
              <w:t>；处理器主频≥2.</w:t>
            </w:r>
            <w:r>
              <w:rPr>
                <w:rFonts w:hint="eastAsia" w:ascii="宋体" w:hAnsi="宋体" w:eastAsia="宋体" w:cs="Times New Roman"/>
                <w:szCs w:val="21"/>
                <w:lang w:val="en-US" w:eastAsia="zh-CN"/>
              </w:rPr>
              <w:t>2</w:t>
            </w:r>
            <w:r>
              <w:rPr>
                <w:rFonts w:hint="eastAsia" w:ascii="宋体" w:hAnsi="宋体" w:eastAsia="宋体" w:cs="Times New Roman"/>
                <w:szCs w:val="21"/>
                <w:lang w:eastAsia="zh-CN"/>
              </w:rPr>
              <w:t>GHz、≥1</w:t>
            </w:r>
            <w:r>
              <w:rPr>
                <w:rFonts w:hint="eastAsia" w:ascii="宋体" w:hAnsi="宋体" w:eastAsia="宋体" w:cs="Times New Roman"/>
                <w:szCs w:val="21"/>
                <w:lang w:val="en-US" w:eastAsia="zh-CN"/>
              </w:rPr>
              <w:t>0</w:t>
            </w:r>
            <w:r>
              <w:rPr>
                <w:rFonts w:hint="eastAsia" w:ascii="宋体" w:hAnsi="宋体" w:eastAsia="宋体" w:cs="Times New Roman"/>
                <w:szCs w:val="21"/>
                <w:lang w:eastAsia="zh-CN"/>
              </w:rPr>
              <w:t>核心、≥</w:t>
            </w:r>
            <w:r>
              <w:rPr>
                <w:rFonts w:hint="eastAsia" w:ascii="宋体" w:hAnsi="宋体" w:eastAsia="宋体" w:cs="Times New Roman"/>
                <w:szCs w:val="21"/>
                <w:lang w:val="en-US" w:eastAsia="zh-CN"/>
              </w:rPr>
              <w:t>20</w:t>
            </w:r>
            <w:r>
              <w:rPr>
                <w:rFonts w:hint="eastAsia" w:ascii="宋体" w:hAnsi="宋体" w:eastAsia="宋体" w:cs="Times New Roman"/>
                <w:szCs w:val="21"/>
                <w:lang w:eastAsia="zh-CN"/>
              </w:rPr>
              <w:t>线程；内存≥</w:t>
            </w:r>
            <w:r>
              <w:rPr>
                <w:rFonts w:hint="eastAsia" w:ascii="宋体" w:hAnsi="宋体" w:eastAsia="宋体" w:cs="Times New Roman"/>
                <w:szCs w:val="21"/>
                <w:lang w:val="en-US" w:eastAsia="zh-CN"/>
              </w:rPr>
              <w:t>96</w:t>
            </w:r>
            <w:r>
              <w:rPr>
                <w:rFonts w:hint="eastAsia" w:ascii="宋体" w:hAnsi="宋体" w:eastAsia="宋体" w:cs="Times New Roman"/>
                <w:szCs w:val="21"/>
                <w:lang w:eastAsia="zh-CN"/>
              </w:rPr>
              <w:t>G</w:t>
            </w:r>
            <w:r>
              <w:rPr>
                <w:rFonts w:hint="eastAsia" w:ascii="宋体" w:hAnsi="宋体" w:eastAsia="宋体" w:cs="Times New Roman"/>
                <w:szCs w:val="21"/>
                <w:lang w:val="en-US" w:eastAsia="zh-CN"/>
              </w:rPr>
              <w:t xml:space="preserve">B  </w:t>
            </w:r>
            <w:r>
              <w:rPr>
                <w:rFonts w:hint="eastAsia" w:ascii="宋体" w:hAnsi="宋体" w:eastAsia="宋体" w:cs="Times New Roman"/>
                <w:szCs w:val="21"/>
              </w:rPr>
              <w:t>DDR4</w:t>
            </w:r>
            <w:r>
              <w:rPr>
                <w:rFonts w:hint="eastAsia" w:ascii="宋体" w:hAnsi="宋体" w:eastAsia="宋体" w:cs="Times New Roman"/>
                <w:szCs w:val="21"/>
                <w:lang w:eastAsia="zh-CN"/>
              </w:rPr>
              <w:t>；磁盘</w:t>
            </w:r>
            <w:r>
              <w:rPr>
                <w:rFonts w:ascii="宋体" w:hAnsi="宋体" w:eastAsia="宋体" w:cs="Times New Roman"/>
                <w:szCs w:val="21"/>
              </w:rPr>
              <w:t>≥</w:t>
            </w:r>
            <w:r>
              <w:rPr>
                <w:rFonts w:hint="eastAsia" w:ascii="宋体" w:hAnsi="宋体" w:eastAsia="宋体" w:cs="Times New Roman"/>
                <w:szCs w:val="21"/>
              </w:rPr>
              <w:t>2*1TB硬盘（RAID1）</w:t>
            </w:r>
            <w:r>
              <w:rPr>
                <w:rFonts w:hint="eastAsia" w:ascii="宋体" w:hAnsi="宋体" w:eastAsia="宋体" w:cs="Times New Roman"/>
                <w:szCs w:val="21"/>
                <w:lang w:eastAsia="zh-CN"/>
              </w:rPr>
              <w:t>；千兆电口≥2个；万兆光口</w:t>
            </w:r>
            <w:r>
              <w:rPr>
                <w:rFonts w:hint="eastAsia" w:ascii="宋体" w:hAnsi="宋体" w:eastAsia="宋体" w:cs="Times New Roman"/>
                <w:szCs w:val="21"/>
              </w:rPr>
              <w:t>（SFP+）</w:t>
            </w:r>
            <w:r>
              <w:rPr>
                <w:rFonts w:hint="eastAsia" w:ascii="宋体" w:hAnsi="宋体" w:eastAsia="宋体" w:cs="Times New Roman"/>
                <w:szCs w:val="21"/>
                <w:lang w:eastAsia="zh-CN"/>
              </w:rPr>
              <w:t>≥2个；</w:t>
            </w:r>
            <w:r>
              <w:rPr>
                <w:rFonts w:hint="eastAsia" w:ascii="宋体" w:hAnsi="宋体" w:eastAsia="宋体" w:cs="Times New Roman"/>
                <w:szCs w:val="21"/>
                <w:lang w:val="en-US" w:eastAsia="zh-CN"/>
              </w:rPr>
              <w:t>电源</w:t>
            </w:r>
            <w:r>
              <w:rPr>
                <w:rFonts w:ascii="宋体" w:hAnsi="宋体" w:eastAsia="宋体" w:cs="Times New Roman"/>
                <w:szCs w:val="21"/>
              </w:rPr>
              <w:t>≥</w:t>
            </w:r>
            <w:r>
              <w:rPr>
                <w:rFonts w:hint="eastAsia" w:ascii="宋体" w:hAnsi="宋体" w:eastAsia="宋体" w:cs="Times New Roman"/>
                <w:szCs w:val="21"/>
              </w:rPr>
              <w:t>900W*2，1+1冗余电源</w:t>
            </w:r>
            <w:r>
              <w:rPr>
                <w:rFonts w:hint="eastAsia" w:ascii="宋体" w:hAnsi="宋体" w:eastAsia="宋体" w:cs="Times New Roman"/>
                <w:szCs w:val="21"/>
                <w:lang w:eastAsia="zh-CN"/>
              </w:rPr>
              <w:t>。</w:t>
            </w:r>
          </w:p>
          <w:p w14:paraId="13C7D001">
            <w:pPr>
              <w:keepNext w:val="0"/>
              <w:keepLines w:val="0"/>
              <w:pageBreakBefore w:val="0"/>
              <w:widowControl w:val="0"/>
              <w:numPr>
                <w:ilvl w:val="0"/>
                <w:numId w:val="1"/>
              </w:numPr>
              <w:kinsoku/>
              <w:wordWrap/>
              <w:overflowPunct/>
              <w:topLinePunct w:val="0"/>
              <w:autoSpaceDE/>
              <w:autoSpaceDN/>
              <w:bidi w:val="0"/>
              <w:adjustRightInd/>
              <w:snapToGrid/>
              <w:spacing w:after="120" w:line="240" w:lineRule="auto"/>
              <w:ind w:left="425" w:leftChars="0" w:hanging="425" w:firstLineChars="0"/>
              <w:jc w:val="both"/>
              <w:textAlignment w:val="auto"/>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支持识别多种VPN隧道协议，数量≥6个，至少包括PPTP、L2TP、IpSec/IKEv2、OpenVPN、SSL VPN、WireGuard等协议。</w:t>
            </w:r>
          </w:p>
          <w:p w14:paraId="2C8DA77E">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支持识别多种跨境加密代理协议，数量≥5个，至少包括ShadowSocks（SS）、Vmess、Vless、Trojan、Hysteria等。（提供产品功能截图）</w:t>
            </w:r>
          </w:p>
          <w:p w14:paraId="13747A20">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具备跨境工具识别能力，数量≥15个，具体应支持的跨境工具识别</w:t>
            </w:r>
            <w:r>
              <w:rPr>
                <w:rFonts w:hint="eastAsia" w:ascii="宋体" w:hAnsi="宋体" w:eastAsia="宋体" w:cs="宋体"/>
                <w:kern w:val="0"/>
                <w:sz w:val="21"/>
                <w:szCs w:val="21"/>
                <w:lang w:val="en-US" w:eastAsia="zh-CN" w:bidi="ar-SA"/>
              </w:rPr>
              <w:t>至少应支持KUAI连、小H牛、A哈加速器、飞NVPN、MAX加速器、安Y加速器等</w:t>
            </w:r>
            <w:r>
              <w:rPr>
                <w:rFonts w:hint="eastAsia" w:ascii="Calibri" w:hAnsi="Calibri" w:eastAsia="宋体" w:cs="Times New Roman"/>
                <w:kern w:val="2"/>
                <w:sz w:val="21"/>
                <w:szCs w:val="21"/>
                <w:lang w:val="en-US" w:eastAsia="zh-CN" w:bidi="ar-SA"/>
              </w:rPr>
              <w:t>。（提供产品功能截图或供应商承诺函。注：承诺函中须明确支持的跨境工具，格式自拟）</w:t>
            </w:r>
          </w:p>
          <w:p w14:paraId="1B5F0186">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具备跨境代理节点识别能力，数量≥200个，</w:t>
            </w:r>
            <w:r>
              <w:rPr>
                <w:rFonts w:hint="eastAsia" w:ascii="宋体" w:hAnsi="宋体" w:eastAsia="宋体" w:cs="宋体"/>
                <w:kern w:val="0"/>
                <w:sz w:val="21"/>
                <w:szCs w:val="21"/>
                <w:lang w:val="en-US" w:eastAsia="zh-CN" w:bidi="ar-SA"/>
              </w:rPr>
              <w:t>跨境代理机场识别至少应支持灵P Cloud、iNetS、蓝FANCloud、GUOLI橙、M78星Cloud等。</w:t>
            </w:r>
            <w:r>
              <w:rPr>
                <w:rFonts w:hint="eastAsia" w:ascii="Calibri" w:hAnsi="Calibri" w:eastAsia="宋体" w:cs="Times New Roman"/>
                <w:kern w:val="2"/>
                <w:sz w:val="21"/>
                <w:szCs w:val="21"/>
                <w:lang w:val="en-US" w:eastAsia="zh-CN" w:bidi="ar-SA"/>
              </w:rPr>
              <w:t>（提供产品功能截图或承诺函。注：承诺函中须明确支持的跨境代理节点识别，格式自拟）</w:t>
            </w:r>
          </w:p>
          <w:p w14:paraId="28BF47B2">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用户认定的境外特定网站（指中国境内无法直接访问的网站）识别能力，能够识别在ShadowSocks（SS）和Vmess跨境加密代理方式下成功访问境外特定网站的行为，支持的特定网站数量≥40个，具体应支持的特定网站</w:t>
            </w:r>
            <w:r>
              <w:rPr>
                <w:rFonts w:hint="eastAsia" w:ascii="宋体" w:hAnsi="宋体" w:eastAsia="宋体" w:cs="宋体"/>
                <w:kern w:val="0"/>
                <w:sz w:val="21"/>
                <w:szCs w:val="21"/>
                <w:lang w:val="en-US" w:eastAsia="zh-CN" w:bidi="ar-SA"/>
              </w:rPr>
              <w:t>识别至少应支持RenM报、NH早报、Pincong、</w:t>
            </w:r>
            <w:r>
              <w:rPr>
                <w:rFonts w:hint="eastAsia" w:ascii="宋体" w:hAnsi="宋体" w:eastAsia="宋体" w:cs="宋体"/>
                <w:kern w:val="2"/>
                <w:sz w:val="21"/>
                <w:szCs w:val="21"/>
                <w:lang w:val="en-US" w:eastAsia="zh-CN" w:bidi="ar-SA"/>
              </w:rPr>
              <w:t>GJ世界</w:t>
            </w:r>
            <w:r>
              <w:rPr>
                <w:rFonts w:hint="eastAsia" w:ascii="宋体" w:hAnsi="宋体" w:eastAsia="宋体" w:cs="宋体"/>
                <w:kern w:val="0"/>
                <w:sz w:val="21"/>
                <w:szCs w:val="21"/>
                <w:lang w:val="en-US" w:eastAsia="zh-CN" w:bidi="ar-SA"/>
              </w:rPr>
              <w:t>、FLDF真SHanRen等</w:t>
            </w:r>
            <w:r>
              <w:rPr>
                <w:rFonts w:hint="eastAsia" w:ascii="Calibri" w:hAnsi="Calibri" w:eastAsia="宋体" w:cs="Times New Roman"/>
                <w:kern w:val="2"/>
                <w:sz w:val="21"/>
                <w:szCs w:val="21"/>
                <w:lang w:val="en-US" w:eastAsia="zh-CN" w:bidi="ar-SA"/>
              </w:rPr>
              <w:t>。（提供</w:t>
            </w:r>
            <w:r>
              <w:rPr>
                <w:rFonts w:hint="eastAsia" w:ascii="Calibri" w:hAnsi="Calibri" w:eastAsia="宋体" w:cs="Times New Roman"/>
                <w:b/>
                <w:bCs/>
                <w:kern w:val="2"/>
                <w:sz w:val="21"/>
                <w:szCs w:val="21"/>
                <w:lang w:val="en-US" w:eastAsia="zh-CN" w:bidi="ar-SA"/>
              </w:rPr>
              <w:t>演示视频</w:t>
            </w:r>
            <w:r>
              <w:rPr>
                <w:rFonts w:hint="eastAsia" w:ascii="Calibri" w:hAnsi="Calibri" w:eastAsia="宋体" w:cs="Times New Roman"/>
                <w:kern w:val="2"/>
                <w:sz w:val="21"/>
                <w:szCs w:val="21"/>
                <w:lang w:val="en-US" w:eastAsia="zh-CN" w:bidi="ar-SA"/>
              </w:rPr>
              <w:t>）</w:t>
            </w:r>
          </w:p>
          <w:p w14:paraId="21C60EAD">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特定网站列表可根据实际需求进行扩展，系统应支持对新增网站的模型快速响应与训练部署，单个新增网站整体上线时间不超过3天。（提供产品彩页资料或官网上公开的技术参数或承诺函）</w:t>
            </w:r>
          </w:p>
          <w:p w14:paraId="13EB7E33">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支持识别境外APP（指中国境内无法直接访问的APP），数量≥40个，具体的</w:t>
            </w:r>
            <w:r>
              <w:rPr>
                <w:rFonts w:hint="eastAsia" w:ascii="宋体" w:hAnsi="宋体" w:eastAsia="宋体" w:cs="宋体"/>
                <w:kern w:val="0"/>
                <w:sz w:val="21"/>
                <w:szCs w:val="21"/>
                <w:lang w:val="en-US" w:eastAsia="zh-CN" w:bidi="ar-SA"/>
              </w:rPr>
              <w:t>境外APP识别至少应支持zalo、fire币、币安、tianchao、Gemini等</w:t>
            </w:r>
            <w:r>
              <w:rPr>
                <w:rFonts w:hint="eastAsia" w:ascii="Calibri" w:hAnsi="Calibri" w:eastAsia="宋体" w:cs="Times New Roman"/>
                <w:kern w:val="2"/>
                <w:sz w:val="21"/>
                <w:szCs w:val="21"/>
                <w:lang w:val="en-US" w:eastAsia="zh-CN" w:bidi="ar-SA"/>
              </w:rPr>
              <w:t>。（提供</w:t>
            </w:r>
            <w:r>
              <w:rPr>
                <w:rFonts w:hint="eastAsia" w:ascii="Calibri" w:hAnsi="Calibri" w:eastAsia="宋体" w:cs="Times New Roman"/>
                <w:b/>
                <w:bCs/>
                <w:kern w:val="2"/>
                <w:sz w:val="21"/>
                <w:szCs w:val="21"/>
                <w:lang w:val="en-US" w:eastAsia="zh-CN" w:bidi="ar-SA"/>
              </w:rPr>
              <w:t>演示视频</w:t>
            </w:r>
            <w:r>
              <w:rPr>
                <w:rFonts w:hint="eastAsia" w:ascii="Calibri" w:hAnsi="Calibri" w:eastAsia="宋体" w:cs="Times New Roman"/>
                <w:kern w:val="2"/>
                <w:sz w:val="21"/>
                <w:szCs w:val="21"/>
                <w:lang w:val="en-US" w:eastAsia="zh-CN" w:bidi="ar-SA"/>
              </w:rPr>
              <w:t>）</w:t>
            </w:r>
          </w:p>
          <w:p w14:paraId="3F1419BA">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★具备解密ShadowSocks（SS）协议加密流量的能力，解密还原内容包括应用层协议、IP地址、域名、URL等信息；（提供</w:t>
            </w:r>
            <w:r>
              <w:rPr>
                <w:rFonts w:hint="eastAsia" w:ascii="Calibri" w:hAnsi="Calibri" w:eastAsia="宋体" w:cs="Times New Roman"/>
                <w:b/>
                <w:bCs/>
                <w:kern w:val="2"/>
                <w:sz w:val="21"/>
                <w:szCs w:val="21"/>
                <w:lang w:val="en-US" w:eastAsia="zh-CN" w:bidi="ar-SA"/>
              </w:rPr>
              <w:t>演示视频</w:t>
            </w:r>
            <w:r>
              <w:rPr>
                <w:rFonts w:hint="eastAsia" w:ascii="Calibri" w:hAnsi="Calibri" w:eastAsia="宋体" w:cs="Times New Roman"/>
                <w:kern w:val="2"/>
                <w:sz w:val="21"/>
                <w:szCs w:val="21"/>
                <w:lang w:val="en-US" w:eastAsia="zh-CN" w:bidi="ar-SA"/>
              </w:rPr>
              <w:t>）</w:t>
            </w:r>
          </w:p>
          <w:p w14:paraId="4ADE7D2F">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★具备数据外传识别能力，可以识别加密代理流量中的数据外传行为，包括时间、账号、IP、加密代理协议、数据大小等；（提供</w:t>
            </w:r>
            <w:r>
              <w:rPr>
                <w:rFonts w:hint="eastAsia" w:ascii="Calibri" w:hAnsi="Calibri" w:eastAsia="宋体" w:cs="Times New Roman"/>
                <w:b/>
                <w:bCs/>
                <w:kern w:val="2"/>
                <w:sz w:val="21"/>
                <w:szCs w:val="21"/>
                <w:lang w:val="en-US" w:eastAsia="zh-CN" w:bidi="ar-SA"/>
              </w:rPr>
              <w:t>演示视频</w:t>
            </w:r>
            <w:r>
              <w:rPr>
                <w:rFonts w:hint="eastAsia" w:ascii="Calibri" w:hAnsi="Calibri" w:eastAsia="宋体" w:cs="Times New Roman"/>
                <w:kern w:val="2"/>
                <w:sz w:val="21"/>
                <w:szCs w:val="21"/>
                <w:lang w:val="en-US" w:eastAsia="zh-CN" w:bidi="ar-SA"/>
              </w:rPr>
              <w:t>）</w:t>
            </w:r>
          </w:p>
          <w:p w14:paraId="042F6103">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★具备挖矿行为识别能力，可以识别挖矿通联行为，包括时间、账号、IP、域名等；（提供</w:t>
            </w:r>
            <w:r>
              <w:rPr>
                <w:rFonts w:hint="eastAsia" w:ascii="Calibri" w:hAnsi="Calibri" w:eastAsia="宋体" w:cs="Times New Roman"/>
                <w:b/>
                <w:bCs/>
                <w:kern w:val="2"/>
                <w:sz w:val="21"/>
                <w:szCs w:val="21"/>
                <w:lang w:val="en-US" w:eastAsia="zh-CN" w:bidi="ar-SA"/>
              </w:rPr>
              <w:t>演示视频</w:t>
            </w:r>
            <w:r>
              <w:rPr>
                <w:rFonts w:hint="eastAsia" w:ascii="Calibri" w:hAnsi="Calibri" w:eastAsia="宋体" w:cs="Times New Roman"/>
                <w:kern w:val="2"/>
                <w:sz w:val="21"/>
                <w:szCs w:val="21"/>
                <w:lang w:val="en-US" w:eastAsia="zh-CN" w:bidi="ar-SA"/>
              </w:rPr>
              <w:t>）</w:t>
            </w:r>
          </w:p>
          <w:p w14:paraId="42EF9261">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支持实时跨境行为呈现，可展现账号、终端IP、服务端IP、服务端端口、上线时间、在线时长、跨境协议、跨境工具、特定网站、上行流量、下行流量等信息，支持按账号、IP、工具、协议等方式进行查询。</w:t>
            </w:r>
          </w:p>
          <w:p w14:paraId="2B6A1AF3">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支持跨境行为监测，展现历史跨境记录，从时间、账号、终端IP、服务端IP、跨境协议、跨境工具、上行数据、下行数据等多维度展现跨境行为日志，并支持按时间段、账号、IP、协议、工具等方式查询日志。</w:t>
            </w:r>
          </w:p>
          <w:p w14:paraId="737DC3FB">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支持特定网站监测，展现特定网站访问记录，从网站名称、网址、访问趋势、类型、访问次数、访问用户数等多维度展现特定网站访问日志，并支持按时间段、账号、IP、网站名称等方式查询。</w:t>
            </w:r>
          </w:p>
          <w:p w14:paraId="4E0C68B1">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跨境人员监测，从账号、访敏次数、跨境次数、特定网站、网站类型、境外APP、跨境工具、数据外传次数等多维度展现跨境人员信息，并支持按时间段、账号、IP、跨境协议、跨境工具、网站名称、网站类型等方式查询。</w:t>
            </w:r>
          </w:p>
          <w:p w14:paraId="69CBAB75">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支持跨境工具监测，从工具名称、使用次数、使用趋势、网站名称、网站类型、服务器IP等多维度展现跨境工具信息，并支持按时间段、账号、IP、工具名称、网站名称、网站类型等方式查询。</w:t>
            </w:r>
          </w:p>
          <w:p w14:paraId="1961EA42">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支持境外APP监测，从境外APP名称、APP类型、安装人数、使用次数、使用趋势等多维度展现境外APP信息，并支持按时间段、APP名称、APP类型、账号、IP等方式查询。</w:t>
            </w:r>
          </w:p>
          <w:p w14:paraId="70AF9002">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提供监控大屏，展现维度包括跳板地理位置分布、特定网站访问热度排名、跨境工具排名、实时网站访问显示、实时翻墙统计显示、境外APP安装统计。</w:t>
            </w:r>
          </w:p>
          <w:p w14:paraId="4D4D8AEC">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支持人员画像、特定网站画像、跨境工具画像和境外APP画像功能。（提供产品功能截图）</w:t>
            </w:r>
          </w:p>
          <w:p w14:paraId="3DA8B36F">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支持系统状态监测，可查看CPU、内存、硬盘的具体使用详情，以及业务口流量统计。</w:t>
            </w:r>
          </w:p>
          <w:p w14:paraId="534D2AB9">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支持IP地址、账号黑名单和白名单手动添加、导入和导出管理功能。</w:t>
            </w:r>
          </w:p>
          <w:p w14:paraId="3CC6FA30">
            <w:pPr>
              <w:widowControl w:val="0"/>
              <w:numPr>
                <w:ilvl w:val="0"/>
                <w:numId w:val="1"/>
              </w:numPr>
              <w:spacing w:after="120"/>
              <w:ind w:left="425" w:leftChars="0" w:hanging="425" w:firstLineChars="0"/>
              <w:jc w:val="both"/>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支持设备WEB界面管理。</w:t>
            </w:r>
          </w:p>
          <w:p w14:paraId="6B1A952D">
            <w:pPr>
              <w:widowControl w:val="0"/>
              <w:numPr>
                <w:ilvl w:val="0"/>
                <w:numId w:val="1"/>
              </w:numPr>
              <w:spacing w:after="120"/>
              <w:ind w:left="425" w:leftChars="0" w:hanging="425" w:firstLineChars="0"/>
              <w:jc w:val="both"/>
              <w:rPr>
                <w:rFonts w:hint="default" w:ascii="宋体" w:hAnsi="宋体" w:eastAsia="宋体" w:cs="宋体"/>
                <w:kern w:val="2"/>
                <w:sz w:val="21"/>
                <w:szCs w:val="21"/>
                <w:lang w:val="en-US" w:eastAsia="zh-CN" w:bidi="ar-SA"/>
              </w:rPr>
            </w:pPr>
            <w:r>
              <w:rPr>
                <w:rFonts w:hint="eastAsia" w:ascii="Calibri" w:hAnsi="Calibri" w:eastAsia="宋体" w:cs="Times New Roman"/>
                <w:kern w:val="2"/>
                <w:sz w:val="21"/>
                <w:szCs w:val="21"/>
                <w:lang w:val="en-US" w:eastAsia="zh-CN" w:bidi="ar-SA"/>
              </w:rPr>
              <w:t>支持与用户现有网络防火墙进行联动，满足用户联动阻断的需求。（提供产品彩页资料或官网上公开的技术参数或承诺函）</w:t>
            </w:r>
          </w:p>
          <w:p w14:paraId="0E84041B">
            <w:pPr>
              <w:widowControl w:val="0"/>
              <w:numPr>
                <w:ilvl w:val="0"/>
                <w:numId w:val="1"/>
              </w:numPr>
              <w:spacing w:after="120"/>
              <w:ind w:left="425" w:leftChars="0" w:hanging="425" w:firstLineChars="0"/>
              <w:jc w:val="both"/>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为保证</w:t>
            </w:r>
            <w:r>
              <w:rPr>
                <w:rFonts w:hint="eastAsia" w:ascii="宋体" w:hAnsi="宋体" w:eastAsia="宋体" w:cs="宋体"/>
                <w:kern w:val="2"/>
                <w:sz w:val="21"/>
                <w:szCs w:val="21"/>
                <w:lang w:val="en-US" w:eastAsia="zh-CN" w:bidi="ar-SA"/>
              </w:rPr>
              <w:t>系统</w:t>
            </w:r>
            <w:r>
              <w:rPr>
                <w:rFonts w:hint="default" w:ascii="宋体" w:hAnsi="宋体" w:eastAsia="宋体" w:cs="宋体"/>
                <w:kern w:val="2"/>
                <w:sz w:val="21"/>
                <w:szCs w:val="21"/>
                <w:lang w:val="en-US" w:eastAsia="zh-CN" w:bidi="ar-SA"/>
              </w:rPr>
              <w:t>的可靠性，</w:t>
            </w:r>
            <w:r>
              <w:rPr>
                <w:rFonts w:hint="eastAsia" w:ascii="宋体" w:hAnsi="宋体" w:eastAsia="宋体" w:cs="宋体"/>
                <w:kern w:val="2"/>
                <w:sz w:val="21"/>
                <w:szCs w:val="21"/>
                <w:lang w:val="en-US" w:eastAsia="zh-CN" w:bidi="ar-SA"/>
              </w:rPr>
              <w:t>投标人</w:t>
            </w:r>
            <w:r>
              <w:rPr>
                <w:rFonts w:hint="default" w:ascii="宋体" w:hAnsi="宋体" w:eastAsia="宋体" w:cs="宋体"/>
                <w:kern w:val="2"/>
                <w:sz w:val="21"/>
                <w:szCs w:val="21"/>
                <w:lang w:val="en-US" w:eastAsia="zh-CN" w:bidi="ar-SA"/>
              </w:rPr>
              <w:t>需提供</w:t>
            </w:r>
            <w:r>
              <w:rPr>
                <w:rFonts w:hint="eastAsia" w:ascii="宋体" w:hAnsi="宋体" w:eastAsia="宋体" w:cs="宋体"/>
                <w:kern w:val="2"/>
                <w:sz w:val="21"/>
                <w:szCs w:val="21"/>
                <w:lang w:val="en-US" w:eastAsia="zh-CN" w:bidi="ar-SA"/>
              </w:rPr>
              <w:t>两</w:t>
            </w:r>
            <w:r>
              <w:rPr>
                <w:rFonts w:hint="default" w:ascii="宋体" w:hAnsi="宋体" w:eastAsia="宋体" w:cs="宋体"/>
                <w:kern w:val="2"/>
                <w:sz w:val="21"/>
                <w:szCs w:val="21"/>
                <w:lang w:val="en-US" w:eastAsia="zh-CN" w:bidi="ar-SA"/>
              </w:rPr>
              <w:t>年软件升级、产品质保与技术支持服务承诺函。</w:t>
            </w:r>
          </w:p>
        </w:tc>
      </w:tr>
    </w:tbl>
    <w:p w14:paraId="4796B91C">
      <w:pPr>
        <w:keepNext w:val="0"/>
        <w:keepLines w:val="0"/>
        <w:widowControl w:val="0"/>
        <w:numPr>
          <w:ilvl w:val="1"/>
          <w:numId w:val="0"/>
        </w:numPr>
        <w:spacing w:line="360" w:lineRule="auto"/>
        <w:ind w:left="0" w:firstLine="422" w:firstLineChars="200"/>
        <w:jc w:val="both"/>
        <w:outlineLvl w:val="1"/>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商务要求</w:t>
      </w:r>
    </w:p>
    <w:tbl>
      <w:tblPr>
        <w:tblStyle w:val="7"/>
        <w:tblW w:w="887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7056"/>
      </w:tblGrid>
      <w:tr w14:paraId="505F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823" w:type="dxa"/>
            <w:noWrap w:val="0"/>
            <w:vAlign w:val="center"/>
          </w:tcPr>
          <w:p w14:paraId="635DEE97">
            <w:pPr>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服务期</w:t>
            </w:r>
          </w:p>
        </w:tc>
        <w:tc>
          <w:tcPr>
            <w:tcW w:w="7056" w:type="dxa"/>
            <w:noWrap w:val="0"/>
            <w:vAlign w:val="center"/>
          </w:tcPr>
          <w:p w14:paraId="6DC3DD39">
            <w:pPr>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两年</w:t>
            </w:r>
          </w:p>
        </w:tc>
      </w:tr>
      <w:tr w14:paraId="1174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823" w:type="dxa"/>
            <w:noWrap w:val="0"/>
            <w:vAlign w:val="center"/>
          </w:tcPr>
          <w:p w14:paraId="4A3C227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服务</w:t>
            </w:r>
            <w:r>
              <w:rPr>
                <w:rFonts w:hint="eastAsia" w:ascii="宋体" w:hAnsi="宋体" w:eastAsia="宋体" w:cs="宋体"/>
                <w:color w:val="auto"/>
                <w:szCs w:val="21"/>
              </w:rPr>
              <w:t>地点</w:t>
            </w:r>
          </w:p>
        </w:tc>
        <w:tc>
          <w:tcPr>
            <w:tcW w:w="7056" w:type="dxa"/>
            <w:noWrap w:val="0"/>
            <w:vAlign w:val="center"/>
          </w:tcPr>
          <w:p w14:paraId="0B1C383B">
            <w:pPr>
              <w:spacing w:line="360" w:lineRule="auto"/>
              <w:ind w:firstLine="420" w:firstLineChars="200"/>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采购人指定地点</w:t>
            </w:r>
          </w:p>
        </w:tc>
      </w:tr>
      <w:tr w14:paraId="7B28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823" w:type="dxa"/>
            <w:noWrap w:val="0"/>
            <w:vAlign w:val="center"/>
          </w:tcPr>
          <w:p w14:paraId="468E2D96">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售后服务</w:t>
            </w:r>
          </w:p>
        </w:tc>
        <w:tc>
          <w:tcPr>
            <w:tcW w:w="7056" w:type="dxa"/>
            <w:noWrap w:val="0"/>
            <w:vAlign w:val="top"/>
          </w:tcPr>
          <w:p w14:paraId="335EE5AC">
            <w:pPr>
              <w:spacing w:line="360" w:lineRule="auto"/>
              <w:ind w:firstLine="315" w:firstLineChars="150"/>
              <w:jc w:val="left"/>
              <w:rPr>
                <w:rFonts w:hint="eastAsia" w:ascii="宋体" w:hAnsi="宋体" w:eastAsia="宋体" w:cs="宋体"/>
                <w:color w:val="auto"/>
                <w:szCs w:val="21"/>
                <w:lang w:eastAsia="zh-CN"/>
              </w:rPr>
            </w:pPr>
            <w:r>
              <w:rPr>
                <w:rFonts w:hint="eastAsia" w:ascii="宋体" w:hAnsi="宋体" w:eastAsia="宋体" w:cs="宋体"/>
                <w:color w:val="auto"/>
                <w:szCs w:val="21"/>
              </w:rPr>
              <w:t>1.供应商须提供免费咨询和免费技术支持，及时响应采购人需求</w:t>
            </w:r>
            <w:r>
              <w:rPr>
                <w:rFonts w:hint="eastAsia" w:ascii="宋体" w:hAnsi="宋体" w:eastAsia="宋体" w:cs="宋体"/>
                <w:color w:val="auto"/>
                <w:szCs w:val="21"/>
                <w:lang w:eastAsia="zh-CN"/>
              </w:rPr>
              <w:t>。</w:t>
            </w:r>
          </w:p>
          <w:p w14:paraId="136A5350">
            <w:pPr>
              <w:spacing w:line="360" w:lineRule="auto"/>
              <w:ind w:firstLine="315" w:firstLineChars="150"/>
              <w:jc w:val="left"/>
              <w:rPr>
                <w:rFonts w:hint="eastAsia" w:ascii="宋体" w:hAnsi="宋体" w:eastAsia="宋体" w:cs="宋体"/>
                <w:color w:val="auto"/>
                <w:szCs w:val="21"/>
                <w:lang w:eastAsia="zh-CN"/>
              </w:rPr>
            </w:pPr>
            <w:r>
              <w:rPr>
                <w:rFonts w:hint="eastAsia" w:ascii="宋体" w:hAnsi="宋体" w:eastAsia="宋体" w:cs="宋体"/>
                <w:color w:val="auto"/>
                <w:szCs w:val="21"/>
              </w:rPr>
              <w:t>2.提供 7*24 小时电路监控及故障、业务受理，提供电话支持，受理客户的故障投诉</w:t>
            </w:r>
            <w:r>
              <w:rPr>
                <w:rFonts w:hint="eastAsia" w:ascii="宋体" w:hAnsi="宋体" w:eastAsia="宋体" w:cs="宋体"/>
                <w:color w:val="auto"/>
                <w:szCs w:val="21"/>
                <w:lang w:eastAsia="zh-CN"/>
              </w:rPr>
              <w:t>。</w:t>
            </w:r>
          </w:p>
          <w:p w14:paraId="1E5504C2">
            <w:pPr>
              <w:spacing w:line="360" w:lineRule="auto"/>
              <w:ind w:firstLine="315" w:firstLineChars="150"/>
              <w:jc w:val="left"/>
              <w:rPr>
                <w:rFonts w:hint="eastAsia" w:ascii="宋体" w:hAnsi="宋体" w:eastAsia="宋体" w:cs="宋体"/>
                <w:color w:val="auto"/>
                <w:szCs w:val="21"/>
                <w:lang w:eastAsia="zh-CN"/>
              </w:rPr>
            </w:pPr>
            <w:r>
              <w:rPr>
                <w:rFonts w:hint="eastAsia" w:ascii="宋体" w:hAnsi="宋体" w:eastAsia="宋体" w:cs="宋体"/>
                <w:color w:val="auto"/>
                <w:szCs w:val="21"/>
              </w:rPr>
              <w:t>3.提供备件维护，确保备件的完好性。一旦发生设备、线路故障，能够及时备件更换，及时恢复网络运行</w:t>
            </w:r>
            <w:r>
              <w:rPr>
                <w:rFonts w:hint="eastAsia" w:ascii="宋体" w:hAnsi="宋体" w:eastAsia="宋体" w:cs="宋体"/>
                <w:color w:val="auto"/>
                <w:szCs w:val="21"/>
                <w:lang w:eastAsia="zh-CN"/>
              </w:rPr>
              <w:t>。</w:t>
            </w:r>
          </w:p>
          <w:p w14:paraId="75E2764C">
            <w:pPr>
              <w:spacing w:line="360" w:lineRule="auto"/>
              <w:ind w:firstLine="315" w:firstLineChars="150"/>
              <w:jc w:val="left"/>
              <w:rPr>
                <w:rFonts w:hint="eastAsia" w:ascii="宋体" w:hAnsi="宋体" w:eastAsia="宋体" w:cs="宋体"/>
                <w:color w:val="auto"/>
                <w:szCs w:val="21"/>
                <w:lang w:eastAsia="zh-CN"/>
              </w:rPr>
            </w:pPr>
            <w:r>
              <w:rPr>
                <w:rFonts w:hint="eastAsia" w:ascii="宋体" w:hAnsi="宋体" w:eastAsia="宋体" w:cs="宋体"/>
                <w:color w:val="auto"/>
                <w:szCs w:val="21"/>
              </w:rPr>
              <w:t>4.免费培训基本操作知识，定期回访</w:t>
            </w:r>
            <w:r>
              <w:rPr>
                <w:rFonts w:hint="eastAsia" w:ascii="宋体" w:hAnsi="宋体" w:eastAsia="宋体" w:cs="宋体"/>
                <w:color w:val="auto"/>
                <w:szCs w:val="21"/>
                <w:lang w:eastAsia="zh-CN"/>
              </w:rPr>
              <w:t>。</w:t>
            </w:r>
          </w:p>
        </w:tc>
      </w:tr>
    </w:tbl>
    <w:p w14:paraId="62029B9D">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技术要求</w:t>
      </w:r>
    </w:p>
    <w:p w14:paraId="65D71B7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b/>
          <w:bCs/>
        </w:rPr>
        <w:t>技术服务要求响应情况</w:t>
      </w:r>
      <w:r>
        <w:rPr>
          <w:rFonts w:hint="eastAsia" w:ascii="宋体" w:hAnsi="宋体" w:eastAsia="宋体" w:cs="宋体"/>
          <w:color w:val="auto"/>
          <w:szCs w:val="21"/>
        </w:rPr>
        <w:t>，符合本项目的采购需求。</w:t>
      </w:r>
    </w:p>
    <w:p w14:paraId="0D0442B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（2）项目实施计划方案</w:t>
      </w:r>
      <w:r>
        <w:rPr>
          <w:rFonts w:hint="eastAsia" w:ascii="宋体" w:hAnsi="宋体" w:eastAsia="宋体" w:cs="宋体"/>
          <w:color w:val="auto"/>
          <w:szCs w:val="21"/>
          <w:lang w:val="en-US" w:eastAsia="zh-CN"/>
        </w:rPr>
        <w:t>内容合理、科学、全面，非常符合项目需求要求</w:t>
      </w:r>
      <w:r>
        <w:rPr>
          <w:rFonts w:hint="eastAsia" w:ascii="宋体" w:hAnsi="宋体" w:eastAsia="宋体" w:cs="宋体"/>
          <w:color w:val="auto"/>
          <w:szCs w:val="21"/>
        </w:rPr>
        <w:t>。</w:t>
      </w:r>
    </w:p>
    <w:p w14:paraId="444E5E1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运营服务体系内容合理、科学、全面，非常符合项目需求要求。</w:t>
      </w:r>
    </w:p>
    <w:p w14:paraId="1BE5CEAE">
      <w:p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网络安全保障方案内容合理、科学、全面，非常符合项目需求要求。</w:t>
      </w:r>
    </w:p>
    <w:p w14:paraId="30492038">
      <w:p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（5）应急服务方案内容合理、科学、全面，非常符合项目需求要求。</w:t>
      </w:r>
    </w:p>
    <w:p w14:paraId="544132D8">
      <w:p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（6）加密通道一致性、兼容性保证措施内容合理、科学、全面，非常符合项目需求要求</w:t>
      </w:r>
      <w:r>
        <w:rPr>
          <w:rFonts w:hint="eastAsia" w:ascii="宋体" w:hAnsi="宋体" w:eastAsia="宋体" w:cs="宋体"/>
          <w:color w:val="auto"/>
          <w:szCs w:val="21"/>
        </w:rPr>
        <w:t>。</w:t>
      </w:r>
    </w:p>
    <w:p w14:paraId="31B69EA8">
      <w:p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（7）服务质量保证措施内容合理、科学、全面，非常符合项目需求要求。</w:t>
      </w:r>
    </w:p>
    <w:p w14:paraId="7459B0A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56C7"/>
    <w:multiLevelType w:val="singleLevel"/>
    <w:tmpl w:val="A76556C7"/>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D7B97"/>
    <w:rsid w:val="03A73344"/>
    <w:rsid w:val="06314D1E"/>
    <w:rsid w:val="07F4484F"/>
    <w:rsid w:val="0ADE5E78"/>
    <w:rsid w:val="16397FED"/>
    <w:rsid w:val="318D5B45"/>
    <w:rsid w:val="3E355072"/>
    <w:rsid w:val="3E831D63"/>
    <w:rsid w:val="3FC670AB"/>
    <w:rsid w:val="4A3411EA"/>
    <w:rsid w:val="4B39524B"/>
    <w:rsid w:val="4ED47BEB"/>
    <w:rsid w:val="56AF579F"/>
    <w:rsid w:val="5BB11EDB"/>
    <w:rsid w:val="65381A47"/>
    <w:rsid w:val="74390E42"/>
    <w:rsid w:val="796E280D"/>
    <w:rsid w:val="7DCD7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qFormat/>
    <w:uiPriority w:val="0"/>
    <w:pPr>
      <w:keepNext/>
      <w:keepLines/>
      <w:autoSpaceDE w:val="0"/>
      <w:autoSpaceDN w:val="0"/>
      <w:spacing w:before="340" w:beforeLines="0" w:beforeAutospacing="0" w:after="330" w:afterLines="0" w:afterAutospacing="0" w:line="240" w:lineRule="auto"/>
      <w:jc w:val="center"/>
      <w:outlineLvl w:val="0"/>
    </w:pPr>
    <w:rPr>
      <w:rFonts w:eastAsia="宋体" w:cs="Times New Roman" w:asciiTheme="minorAscii" w:hAnsiTheme="minorAscii"/>
      <w:b/>
      <w:kern w:val="44"/>
      <w:sz w:val="44"/>
      <w:szCs w:val="22"/>
    </w:rPr>
  </w:style>
  <w:style w:type="paragraph" w:styleId="3">
    <w:name w:val="heading 2"/>
    <w:basedOn w:val="1"/>
    <w:next w:val="1"/>
    <w:link w:val="10"/>
    <w:semiHidden/>
    <w:unhideWhenUsed/>
    <w:qFormat/>
    <w:uiPriority w:val="0"/>
    <w:pPr>
      <w:keepNext/>
      <w:keepLines/>
      <w:spacing w:line="360" w:lineRule="auto"/>
      <w:jc w:val="center"/>
      <w:outlineLvl w:val="1"/>
    </w:pPr>
    <w:rPr>
      <w:rFonts w:ascii="宋体" w:hAnsi="宋体" w:eastAsia="宋体" w:cs="宋体"/>
      <w:b/>
      <w:bCs/>
      <w:sz w:val="32"/>
      <w:szCs w:val="24"/>
      <w:highlight w:val="none"/>
      <w:shd w:val="clear" w:color="auto" w:fill="auto"/>
      <w:lang w:bidi="en-US"/>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jc w:val="center"/>
      <w:outlineLvl w:val="2"/>
    </w:pPr>
    <w:rPr>
      <w:rFonts w:ascii="Arial" w:hAnsi="Arial" w:eastAsia="宋体"/>
      <w:b/>
      <w:sz w:val="28"/>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jc w:val="center"/>
      <w:outlineLvl w:val="3"/>
    </w:pPr>
    <w:rPr>
      <w:rFonts w:ascii="Arial" w:hAnsi="Arial" w:eastAsia="宋体" w:cs="Arial"/>
      <w:b/>
      <w:snapToGrid w:val="0"/>
      <w:sz w:val="28"/>
      <w:szCs w:val="21"/>
      <w:lang w:bidi="ar-SA"/>
    </w:rPr>
  </w:style>
  <w:style w:type="paragraph" w:styleId="6">
    <w:name w:val="heading 6"/>
    <w:basedOn w:val="1"/>
    <w:next w:val="1"/>
    <w:semiHidden/>
    <w:unhideWhenUsed/>
    <w:qFormat/>
    <w:uiPriority w:val="0"/>
    <w:pPr>
      <w:keepNext/>
      <w:keepLines/>
      <w:spacing w:before="240" w:beforeLines="0" w:beforeAutospacing="0" w:after="64" w:afterLines="0" w:afterAutospacing="0" w:line="317" w:lineRule="auto"/>
      <w:jc w:val="center"/>
      <w:outlineLvl w:val="5"/>
    </w:pPr>
    <w:rPr>
      <w:rFonts w:ascii="Arial" w:hAnsi="Arial" w:eastAsia="宋体"/>
      <w:b/>
      <w:sz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Char"/>
    <w:link w:val="3"/>
    <w:qFormat/>
    <w:uiPriority w:val="0"/>
    <w:rPr>
      <w:rFonts w:ascii="宋体" w:hAnsi="宋体" w:eastAsia="宋体" w:cs="宋体"/>
      <w:b/>
      <w:bCs/>
      <w:kern w:val="2"/>
      <w:sz w:val="32"/>
      <w:szCs w:val="24"/>
      <w:highlight w:val="none"/>
      <w:shd w:val="clear" w:color="auto" w:fill="auto"/>
      <w:lang w:val="en-US" w:eastAsia="zh-CN"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2026-07-28T03:22:00Z</dcterms:created>
  <dc:creator>╰LY F╯</dc:creator>
  <cp:lastModifiedBy>╰LY F╯</cp:lastModifiedBy>
  <dcterms:modified xsi:type="dcterms:W3CDTF">2026-07-28T03:22:56Z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3A74589F343F425091B1374002C821CC_11</vt:lpwstr>
  </property>
  <property fmtid="{D5CDD505-2E9C-101B-9397-08002B2CF9AE}" pid="4" name="KSOTemplateDocerSaveRecord">
    <vt:lpwstr>eyJoZGlkIjoiZGJmM2RmMmMyYjEwOWY0Mjc0ODI1NGZlNmNhMTU0OTciLCJ1c2VySWQiOiIyMzY3NTM3MjIifQ==</vt:lpwstr>
  </property>
</Properties>
</file>