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0374">
      <w:pPr>
        <w:jc w:val="center"/>
        <w:rPr>
          <w:rFonts w:hint="eastAsia" w:ascii="宋体" w:hAnsi="宋体" w:eastAsia="宋体" w:cs="宋体"/>
          <w:b/>
          <w:bCs/>
          <w:sz w:val="28"/>
          <w:szCs w:val="28"/>
        </w:rPr>
      </w:pPr>
      <w:r>
        <w:rPr>
          <w:rFonts w:hint="eastAsia" w:ascii="宋体" w:hAnsi="宋体" w:eastAsia="宋体" w:cs="宋体"/>
          <w:b/>
          <w:bCs/>
          <w:sz w:val="28"/>
          <w:szCs w:val="28"/>
          <w:highlight w:val="none"/>
        </w:rPr>
        <w:t>郑州市生态供水保障中心2026年度水费补贴维修养护项目</w:t>
      </w:r>
      <w:r>
        <w:rPr>
          <w:rFonts w:hint="eastAsia" w:ascii="宋体" w:hAnsi="宋体" w:eastAsia="宋体" w:cs="宋体"/>
          <w:b/>
          <w:bCs/>
          <w:sz w:val="28"/>
          <w:szCs w:val="28"/>
        </w:rPr>
        <w:t>-中标公告</w:t>
      </w:r>
    </w:p>
    <w:p w14:paraId="1B3D32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4E2B05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1、采购项目编号：</w:t>
      </w:r>
      <w:r>
        <w:rPr>
          <w:rFonts w:hint="eastAsia" w:ascii="宋体" w:hAnsi="宋体" w:eastAsia="宋体" w:cs="宋体"/>
          <w:sz w:val="24"/>
          <w:szCs w:val="24"/>
          <w:highlight w:val="none"/>
        </w:rPr>
        <w:t>郑财招标采购-202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355</w:t>
      </w:r>
    </w:p>
    <w:p w14:paraId="7F3A94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2、采购项目名称：</w:t>
      </w:r>
      <w:r>
        <w:rPr>
          <w:rFonts w:hint="eastAsia" w:ascii="宋体" w:hAnsi="宋体" w:eastAsia="宋体" w:cs="宋体"/>
          <w:sz w:val="24"/>
          <w:szCs w:val="24"/>
          <w:highlight w:val="none"/>
        </w:rPr>
        <w:t>郑州市生态供水保障中心2026年度水费补贴维修养护项目</w:t>
      </w:r>
    </w:p>
    <w:p w14:paraId="2FD845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3、采购方式：公开招标</w:t>
      </w:r>
      <w:bookmarkStart w:id="0" w:name="_GoBack"/>
      <w:bookmarkEnd w:id="0"/>
    </w:p>
    <w:p w14:paraId="06BC66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4、招标公告发布日期：2026年0</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09</w:t>
      </w:r>
      <w:r>
        <w:rPr>
          <w:rFonts w:hint="eastAsia" w:ascii="宋体" w:hAnsi="宋体" w:eastAsia="宋体" w:cs="宋体"/>
          <w:sz w:val="24"/>
          <w:szCs w:val="24"/>
        </w:rPr>
        <w:t>日</w:t>
      </w:r>
    </w:p>
    <w:p w14:paraId="6D8AAF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5、评审日期：2026年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09</w:t>
      </w:r>
      <w:r>
        <w:rPr>
          <w:rFonts w:hint="eastAsia" w:ascii="宋体" w:hAnsi="宋体" w:eastAsia="宋体" w:cs="宋体"/>
          <w:sz w:val="24"/>
          <w:szCs w:val="24"/>
        </w:rPr>
        <w:t>日</w:t>
      </w:r>
    </w:p>
    <w:p w14:paraId="38779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二、采购项目用途、数量、简要技术要求、合同履行日期：</w:t>
      </w:r>
    </w:p>
    <w:p w14:paraId="1C8812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项目概况：</w:t>
      </w:r>
      <w:r>
        <w:rPr>
          <w:rFonts w:hint="eastAsia" w:ascii="宋体" w:hAnsi="宋体" w:eastAsia="宋体" w:cs="宋体"/>
          <w:sz w:val="24"/>
          <w:szCs w:val="24"/>
          <w:lang w:val="zh-CN" w:eastAsia="zh-CN"/>
        </w:rPr>
        <w:t>郑州市生态供水保障中心2026年度水费补贴维修养护项目采购内容主要包括：</w:t>
      </w:r>
      <w:r>
        <w:rPr>
          <w:rFonts w:hint="eastAsia" w:ascii="宋体" w:hAnsi="宋体" w:eastAsia="宋体" w:cs="宋体"/>
          <w:sz w:val="24"/>
          <w:szCs w:val="24"/>
          <w:lang w:val="en-US" w:eastAsia="zh-CN"/>
        </w:rPr>
        <w:t>花园口灌区总干渠渠道衬砌、东大坝干渠渠道衬砌修复、祭城干渠、姚桥干渠废桥拆除、陆浑灌区部分渠道平台硬化、天坡水库运行中心道路整修等。</w:t>
      </w:r>
    </w:p>
    <w:p w14:paraId="44628B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2、项目地点：郑州市境内。</w:t>
      </w:r>
    </w:p>
    <w:p w14:paraId="466F58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3、标包划分：本项目划分为二个包。</w:t>
      </w:r>
    </w:p>
    <w:p w14:paraId="363F8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A包：花园口灌区维修养护</w:t>
      </w:r>
    </w:p>
    <w:p w14:paraId="19FE76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B包：陆浑灌区维修养护</w:t>
      </w:r>
    </w:p>
    <w:p w14:paraId="38FF24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4、招标范围：</w:t>
      </w:r>
    </w:p>
    <w:p w14:paraId="6A9980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A包：花园口灌区维修养护，包括花园口灌区总干渠渠道衬砌、东大坝干渠渠道衬砌修复、祭城干渠、姚桥干渠废桥拆除等</w:t>
      </w:r>
      <w:r>
        <w:rPr>
          <w:rFonts w:hint="eastAsia" w:ascii="宋体" w:hAnsi="宋体" w:eastAsia="宋体" w:cs="宋体"/>
          <w:sz w:val="24"/>
          <w:szCs w:val="24"/>
          <w:lang w:val="zh-CN" w:eastAsia="zh-CN"/>
        </w:rPr>
        <w:t>；</w:t>
      </w:r>
    </w:p>
    <w:p w14:paraId="54A08F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B包：陆浑灌区维修养护，包括陆浑灌区部分渠道平台硬化、天坡水库运行中心道路整修等</w:t>
      </w:r>
      <w:r>
        <w:rPr>
          <w:rFonts w:hint="eastAsia" w:ascii="宋体" w:hAnsi="宋体" w:eastAsia="宋体" w:cs="宋体"/>
          <w:sz w:val="24"/>
          <w:szCs w:val="24"/>
          <w:lang w:val="zh-CN" w:eastAsia="zh-CN"/>
        </w:rPr>
        <w:t>。</w:t>
      </w:r>
    </w:p>
    <w:p w14:paraId="4FB383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5、质量要求：达到质量验收合格标准，且满足养护标准和考核细则要求。</w:t>
      </w:r>
    </w:p>
    <w:p w14:paraId="4AAF0B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6、维修养护期限：</w:t>
      </w:r>
      <w:r>
        <w:rPr>
          <w:rFonts w:hint="eastAsia" w:ascii="宋体" w:hAnsi="宋体" w:eastAsia="宋体" w:cs="宋体"/>
          <w:sz w:val="24"/>
          <w:szCs w:val="24"/>
          <w:lang w:val="zh-CN" w:eastAsia="zh-CN"/>
        </w:rPr>
        <w:t>自签订合同之日至2026年12月。</w:t>
      </w:r>
    </w:p>
    <w:p w14:paraId="01CE03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、合同履行期限：同</w:t>
      </w:r>
      <w:r>
        <w:rPr>
          <w:rFonts w:hint="eastAsia" w:ascii="宋体" w:hAnsi="宋体" w:eastAsia="宋体" w:cs="宋体"/>
          <w:sz w:val="24"/>
          <w:szCs w:val="24"/>
          <w:lang w:val="en-US" w:eastAsia="zh-CN"/>
        </w:rPr>
        <w:t>维修养护期限</w:t>
      </w:r>
    </w:p>
    <w:p w14:paraId="2982A7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、本项目是否接受联合体投标：否</w:t>
      </w:r>
    </w:p>
    <w:p w14:paraId="4A67DE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、是否接受进口产品：否</w:t>
      </w:r>
    </w:p>
    <w:p w14:paraId="366610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、是否专门面向中小企业：</w:t>
      </w:r>
      <w:r>
        <w:rPr>
          <w:rFonts w:hint="eastAsia" w:ascii="宋体" w:hAnsi="宋体" w:eastAsia="宋体" w:cs="宋体"/>
          <w:sz w:val="24"/>
          <w:szCs w:val="24"/>
          <w:lang w:val="en-US" w:eastAsia="zh-CN"/>
        </w:rPr>
        <w:t>是</w:t>
      </w:r>
    </w:p>
    <w:p w14:paraId="74F35A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三、中标情况</w:t>
      </w:r>
    </w:p>
    <w:tbl>
      <w:tblPr>
        <w:tblStyle w:val="2"/>
        <w:tblW w:w="9237" w:type="dxa"/>
        <w:jc w:val="center"/>
        <w:tblCellSpacing w:w="0" w:type="dxa"/>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Layout w:type="autofit"/>
        <w:tblCellMar>
          <w:top w:w="0" w:type="dxa"/>
          <w:left w:w="0" w:type="dxa"/>
          <w:bottom w:w="0" w:type="dxa"/>
          <w:right w:w="0" w:type="dxa"/>
        </w:tblCellMar>
      </w:tblPr>
      <w:tblGrid>
        <w:gridCol w:w="1006"/>
        <w:gridCol w:w="782"/>
        <w:gridCol w:w="1098"/>
        <w:gridCol w:w="15"/>
        <w:gridCol w:w="278"/>
        <w:gridCol w:w="204"/>
        <w:gridCol w:w="1195"/>
        <w:gridCol w:w="354"/>
        <w:gridCol w:w="15"/>
        <w:gridCol w:w="987"/>
        <w:gridCol w:w="290"/>
        <w:gridCol w:w="815"/>
        <w:gridCol w:w="165"/>
        <w:gridCol w:w="728"/>
        <w:gridCol w:w="1305"/>
      </w:tblGrid>
      <w:tr w14:paraId="0DB875DD">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735" w:hRule="atLeast"/>
          <w:tblCellSpacing w:w="0" w:type="dxa"/>
          <w:jc w:val="center"/>
        </w:trPr>
        <w:tc>
          <w:tcPr>
            <w:tcW w:w="1006" w:type="dxa"/>
            <w:tcBorders>
              <w:top w:val="single" w:color="333333" w:sz="4" w:space="0"/>
              <w:right w:val="single" w:color="333333" w:sz="4" w:space="0"/>
            </w:tcBorders>
            <w:shd w:val="clear" w:color="auto" w:fill="F9F9F9"/>
            <w:vAlign w:val="center"/>
          </w:tcPr>
          <w:p w14:paraId="0BECD54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包号</w:t>
            </w:r>
          </w:p>
        </w:tc>
        <w:tc>
          <w:tcPr>
            <w:tcW w:w="2173" w:type="dxa"/>
            <w:gridSpan w:val="4"/>
            <w:tcBorders>
              <w:top w:val="single" w:color="333333" w:sz="4" w:space="0"/>
              <w:right w:val="single" w:color="333333" w:sz="4" w:space="0"/>
            </w:tcBorders>
            <w:shd w:val="clear" w:color="auto" w:fill="F9F9F9"/>
            <w:vAlign w:val="center"/>
          </w:tcPr>
          <w:p w14:paraId="09C0E018">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采购内容</w:t>
            </w:r>
          </w:p>
        </w:tc>
        <w:tc>
          <w:tcPr>
            <w:tcW w:w="1399" w:type="dxa"/>
            <w:gridSpan w:val="2"/>
            <w:tcBorders>
              <w:top w:val="single" w:color="333333" w:sz="4" w:space="0"/>
              <w:right w:val="single" w:color="333333" w:sz="4" w:space="0"/>
            </w:tcBorders>
            <w:shd w:val="clear" w:color="auto" w:fill="F9F9F9"/>
            <w:vAlign w:val="center"/>
          </w:tcPr>
          <w:p w14:paraId="13A6F03E">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供应商名称</w:t>
            </w:r>
          </w:p>
        </w:tc>
        <w:tc>
          <w:tcPr>
            <w:tcW w:w="1356" w:type="dxa"/>
            <w:gridSpan w:val="3"/>
            <w:tcBorders>
              <w:top w:val="single" w:color="333333" w:sz="4" w:space="0"/>
              <w:right w:val="single" w:color="333333" w:sz="4" w:space="0"/>
            </w:tcBorders>
            <w:shd w:val="clear" w:color="auto" w:fill="F9F9F9"/>
            <w:vAlign w:val="center"/>
          </w:tcPr>
          <w:p w14:paraId="4E8A9BDD">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地址</w:t>
            </w:r>
          </w:p>
        </w:tc>
        <w:tc>
          <w:tcPr>
            <w:tcW w:w="1270" w:type="dxa"/>
            <w:gridSpan w:val="3"/>
            <w:tcBorders>
              <w:top w:val="single" w:color="333333" w:sz="4" w:space="0"/>
              <w:right w:val="single" w:color="333333" w:sz="4" w:space="0"/>
            </w:tcBorders>
            <w:shd w:val="clear" w:color="auto" w:fill="F9F9F9"/>
            <w:vAlign w:val="center"/>
          </w:tcPr>
          <w:p w14:paraId="4179FB2A">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中标金额</w:t>
            </w:r>
          </w:p>
        </w:tc>
        <w:tc>
          <w:tcPr>
            <w:tcW w:w="728" w:type="dxa"/>
            <w:tcBorders>
              <w:top w:val="single" w:color="333333" w:sz="4" w:space="0"/>
              <w:right w:val="single" w:color="333333" w:sz="4" w:space="0"/>
            </w:tcBorders>
            <w:shd w:val="clear" w:color="auto" w:fill="F9F9F9"/>
            <w:vAlign w:val="center"/>
          </w:tcPr>
          <w:p w14:paraId="46002227">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单位</w:t>
            </w:r>
          </w:p>
        </w:tc>
        <w:tc>
          <w:tcPr>
            <w:tcW w:w="1305" w:type="dxa"/>
            <w:tcBorders>
              <w:top w:val="single" w:color="333333" w:sz="4" w:space="0"/>
              <w:right w:val="single" w:color="333333" w:sz="4" w:space="0"/>
            </w:tcBorders>
            <w:shd w:val="clear" w:color="auto" w:fill="F9F9F9"/>
            <w:vAlign w:val="center"/>
          </w:tcPr>
          <w:p w14:paraId="6118A651">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备注信息</w:t>
            </w:r>
          </w:p>
        </w:tc>
      </w:tr>
      <w:tr w14:paraId="04BEE36F">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1398" w:hRule="atLeast"/>
          <w:tblCellSpacing w:w="0" w:type="dxa"/>
          <w:jc w:val="center"/>
        </w:trPr>
        <w:tc>
          <w:tcPr>
            <w:tcW w:w="1006" w:type="dxa"/>
            <w:vMerge w:val="restart"/>
            <w:tcBorders>
              <w:top w:val="single" w:color="333333" w:sz="4" w:space="0"/>
              <w:right w:val="single" w:color="333333" w:sz="4" w:space="0"/>
            </w:tcBorders>
            <w:shd w:val="clear" w:color="auto" w:fill="F9F9F9"/>
            <w:vAlign w:val="center"/>
          </w:tcPr>
          <w:p w14:paraId="3D12B1F7">
            <w:pPr>
              <w:spacing w:line="36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A包</w:t>
            </w:r>
          </w:p>
        </w:tc>
        <w:tc>
          <w:tcPr>
            <w:tcW w:w="2173" w:type="dxa"/>
            <w:gridSpan w:val="4"/>
            <w:tcBorders>
              <w:top w:val="single" w:color="333333" w:sz="4" w:space="0"/>
              <w:right w:val="single" w:color="333333" w:sz="4" w:space="0"/>
            </w:tcBorders>
            <w:shd w:val="clear" w:color="auto" w:fill="F9F9F9"/>
            <w:vAlign w:val="center"/>
          </w:tcPr>
          <w:p w14:paraId="48A2897F">
            <w:pPr>
              <w:spacing w:line="360" w:lineRule="auto"/>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花园口灌区维修养护，包括花园口灌区总干渠渠道衬砌、东大坝干渠渠道衬砌修复、祭城干渠、姚桥干渠废桥拆除等</w:t>
            </w:r>
            <w:r>
              <w:rPr>
                <w:rFonts w:hint="eastAsia" w:ascii="宋体" w:hAnsi="宋体" w:eastAsia="宋体" w:cs="宋体"/>
                <w:sz w:val="24"/>
                <w:szCs w:val="24"/>
                <w:highlight w:val="none"/>
                <w:lang w:val="zh-CN" w:eastAsia="zh-CN"/>
              </w:rPr>
              <w:t>；</w:t>
            </w:r>
          </w:p>
        </w:tc>
        <w:tc>
          <w:tcPr>
            <w:tcW w:w="1399" w:type="dxa"/>
            <w:gridSpan w:val="2"/>
            <w:tcBorders>
              <w:top w:val="single" w:color="333333" w:sz="4" w:space="0"/>
              <w:right w:val="single" w:color="333333" w:sz="4" w:space="0"/>
            </w:tcBorders>
            <w:shd w:val="clear" w:color="auto" w:fill="F9F9F9"/>
            <w:vAlign w:val="center"/>
          </w:tcPr>
          <w:p w14:paraId="351182C4">
            <w:pPr>
              <w:spacing w:line="360" w:lineRule="auto"/>
              <w:jc w:val="center"/>
              <w:rPr>
                <w:rFonts w:hint="eastAsia" w:ascii="宋体" w:hAnsi="宋体" w:eastAsia="宋体" w:cs="宋体"/>
                <w:sz w:val="24"/>
                <w:szCs w:val="24"/>
              </w:rPr>
            </w:pPr>
            <w:r>
              <w:rPr>
                <w:rFonts w:hint="eastAsia" w:ascii="Times New Roman" w:hAnsi="Times New Roman" w:eastAsia="宋体" w:cs="Times New Roman"/>
                <w:sz w:val="24"/>
                <w:szCs w:val="32"/>
                <w:lang w:val="en-US" w:eastAsia="zh-CN"/>
              </w:rPr>
              <w:t>郑州黄河工程有限公司</w:t>
            </w:r>
          </w:p>
        </w:tc>
        <w:tc>
          <w:tcPr>
            <w:tcW w:w="1356" w:type="dxa"/>
            <w:gridSpan w:val="3"/>
            <w:tcBorders>
              <w:top w:val="single" w:color="333333" w:sz="4" w:space="0"/>
              <w:right w:val="single" w:color="333333" w:sz="4" w:space="0"/>
            </w:tcBorders>
            <w:shd w:val="clear" w:color="auto" w:fill="F9F9F9"/>
            <w:vAlign w:val="center"/>
          </w:tcPr>
          <w:p w14:paraId="222D2C44">
            <w:pPr>
              <w:spacing w:line="360" w:lineRule="auto"/>
              <w:jc w:val="center"/>
              <w:rPr>
                <w:rFonts w:hint="eastAsia" w:ascii="宋体" w:hAnsi="宋体" w:eastAsia="宋体" w:cs="宋体"/>
                <w:sz w:val="24"/>
                <w:szCs w:val="24"/>
              </w:rPr>
            </w:pPr>
            <w:r>
              <w:rPr>
                <w:rFonts w:hint="eastAsia" w:ascii="Times New Roman" w:hAnsi="Times New Roman" w:eastAsia="宋体" w:cs="Times New Roman"/>
                <w:sz w:val="24"/>
                <w:szCs w:val="32"/>
                <w:lang w:val="en-US" w:eastAsia="zh-CN"/>
              </w:rPr>
              <w:t>郑州市政七街 23 号</w:t>
            </w:r>
          </w:p>
        </w:tc>
        <w:tc>
          <w:tcPr>
            <w:tcW w:w="1270" w:type="dxa"/>
            <w:gridSpan w:val="3"/>
            <w:tcBorders>
              <w:top w:val="single" w:color="333333" w:sz="4" w:space="0"/>
              <w:right w:val="single" w:color="333333" w:sz="4" w:space="0"/>
            </w:tcBorders>
            <w:shd w:val="clear" w:color="auto" w:fill="F9F9F9"/>
            <w:vAlign w:val="center"/>
          </w:tcPr>
          <w:p w14:paraId="7CD26228">
            <w:pPr>
              <w:spacing w:line="360" w:lineRule="auto"/>
              <w:jc w:val="center"/>
              <w:rPr>
                <w:rFonts w:hint="eastAsia" w:ascii="宋体" w:hAnsi="宋体" w:eastAsia="宋体" w:cs="宋体"/>
                <w:sz w:val="24"/>
                <w:szCs w:val="24"/>
              </w:rPr>
            </w:pPr>
            <w:r>
              <w:rPr>
                <w:rFonts w:hint="eastAsia" w:ascii="Times New Roman" w:hAnsi="Times New Roman" w:eastAsia="宋体" w:cs="Times New Roman"/>
                <w:sz w:val="24"/>
                <w:szCs w:val="32"/>
                <w:lang w:val="en-US" w:eastAsia="zh-CN"/>
              </w:rPr>
              <w:t>4326709.34</w:t>
            </w:r>
          </w:p>
        </w:tc>
        <w:tc>
          <w:tcPr>
            <w:tcW w:w="728" w:type="dxa"/>
            <w:tcBorders>
              <w:top w:val="single" w:color="333333" w:sz="4" w:space="0"/>
              <w:right w:val="single" w:color="333333" w:sz="4" w:space="0"/>
            </w:tcBorders>
            <w:shd w:val="clear" w:color="auto" w:fill="F9F9F9"/>
            <w:vAlign w:val="center"/>
          </w:tcPr>
          <w:p w14:paraId="0F03504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元</w:t>
            </w:r>
          </w:p>
        </w:tc>
        <w:tc>
          <w:tcPr>
            <w:tcW w:w="1305" w:type="dxa"/>
            <w:vMerge w:val="restart"/>
            <w:tcBorders>
              <w:top w:val="single" w:color="333333" w:sz="4" w:space="0"/>
              <w:right w:val="single" w:color="333333" w:sz="4" w:space="0"/>
            </w:tcBorders>
            <w:shd w:val="clear" w:color="auto" w:fill="F9F9F9"/>
            <w:vAlign w:val="center"/>
          </w:tcPr>
          <w:p w14:paraId="548BC077">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评审总得分:</w:t>
            </w:r>
            <w:r>
              <w:rPr>
                <w:rFonts w:hint="default" w:ascii="宋体" w:hAnsi="宋体" w:eastAsia="宋体" w:cs="宋体"/>
                <w:sz w:val="24"/>
                <w:szCs w:val="24"/>
                <w:lang w:val="en-US" w:eastAsia="zh-CN"/>
              </w:rPr>
              <w:t>78.96</w:t>
            </w:r>
          </w:p>
          <w:p w14:paraId="7106C492">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分</w:t>
            </w:r>
          </w:p>
        </w:tc>
      </w:tr>
      <w:tr w14:paraId="1DD74763">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477" w:hRule="atLeast"/>
          <w:tblCellSpacing w:w="0" w:type="dxa"/>
          <w:jc w:val="center"/>
        </w:trPr>
        <w:tc>
          <w:tcPr>
            <w:tcW w:w="1006" w:type="dxa"/>
            <w:vMerge w:val="continue"/>
            <w:tcBorders>
              <w:top w:val="single" w:color="333333" w:sz="4" w:space="0"/>
              <w:right w:val="single" w:color="333333" w:sz="4" w:space="0"/>
            </w:tcBorders>
            <w:shd w:val="clear" w:color="auto" w:fill="F9F9F9"/>
            <w:vAlign w:val="center"/>
          </w:tcPr>
          <w:p w14:paraId="578E34E3">
            <w:pPr>
              <w:spacing w:line="360" w:lineRule="auto"/>
              <w:jc w:val="center"/>
              <w:rPr>
                <w:rFonts w:hint="eastAsia" w:ascii="宋体" w:hAnsi="宋体" w:eastAsia="宋体" w:cs="宋体"/>
                <w:sz w:val="24"/>
                <w:szCs w:val="24"/>
              </w:rPr>
            </w:pPr>
          </w:p>
        </w:tc>
        <w:tc>
          <w:tcPr>
            <w:tcW w:w="782" w:type="dxa"/>
            <w:tcBorders>
              <w:top w:val="single" w:color="333333" w:sz="4" w:space="0"/>
              <w:right w:val="single" w:color="333333" w:sz="4" w:space="0"/>
            </w:tcBorders>
            <w:shd w:val="clear" w:color="auto" w:fill="F9F9F9"/>
            <w:vAlign w:val="center"/>
          </w:tcPr>
          <w:p w14:paraId="74624FC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序号</w:t>
            </w:r>
          </w:p>
        </w:tc>
        <w:tc>
          <w:tcPr>
            <w:tcW w:w="1595" w:type="dxa"/>
            <w:gridSpan w:val="4"/>
            <w:tcBorders>
              <w:top w:val="single" w:color="333333" w:sz="4" w:space="0"/>
              <w:right w:val="single" w:color="333333" w:sz="4" w:space="0"/>
            </w:tcBorders>
            <w:shd w:val="clear" w:color="auto" w:fill="F9F9F9"/>
            <w:vAlign w:val="center"/>
          </w:tcPr>
          <w:p w14:paraId="0204A5A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名称</w:t>
            </w:r>
          </w:p>
        </w:tc>
        <w:tc>
          <w:tcPr>
            <w:tcW w:w="1195" w:type="dxa"/>
            <w:tcBorders>
              <w:top w:val="single" w:color="333333" w:sz="4" w:space="0"/>
              <w:right w:val="single" w:color="333333" w:sz="4" w:space="0"/>
            </w:tcBorders>
            <w:shd w:val="clear" w:color="auto" w:fill="F9F9F9"/>
            <w:vAlign w:val="center"/>
          </w:tcPr>
          <w:p w14:paraId="3B94A74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服务范围</w:t>
            </w:r>
          </w:p>
        </w:tc>
        <w:tc>
          <w:tcPr>
            <w:tcW w:w="1646" w:type="dxa"/>
            <w:gridSpan w:val="4"/>
            <w:tcBorders>
              <w:top w:val="single" w:color="333333" w:sz="4" w:space="0"/>
              <w:right w:val="single" w:color="333333" w:sz="4" w:space="0"/>
            </w:tcBorders>
            <w:shd w:val="clear" w:color="auto" w:fill="F9F9F9"/>
            <w:vAlign w:val="center"/>
          </w:tcPr>
          <w:p w14:paraId="543F1754">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服务要求</w:t>
            </w:r>
          </w:p>
        </w:tc>
        <w:tc>
          <w:tcPr>
            <w:tcW w:w="815" w:type="dxa"/>
            <w:tcBorders>
              <w:top w:val="single" w:color="333333" w:sz="4" w:space="0"/>
              <w:right w:val="single" w:color="333333" w:sz="4" w:space="0"/>
            </w:tcBorders>
            <w:shd w:val="clear" w:color="auto" w:fill="F9F9F9"/>
            <w:vAlign w:val="center"/>
          </w:tcPr>
          <w:p w14:paraId="7159B26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服务时间</w:t>
            </w:r>
          </w:p>
        </w:tc>
        <w:tc>
          <w:tcPr>
            <w:tcW w:w="893" w:type="dxa"/>
            <w:gridSpan w:val="2"/>
            <w:tcBorders>
              <w:top w:val="single" w:color="333333" w:sz="4" w:space="0"/>
              <w:right w:val="single" w:color="333333" w:sz="4" w:space="0"/>
            </w:tcBorders>
            <w:shd w:val="clear" w:color="auto" w:fill="F9F9F9"/>
            <w:vAlign w:val="center"/>
          </w:tcPr>
          <w:p w14:paraId="4AB086C0">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服务标准</w:t>
            </w:r>
          </w:p>
        </w:tc>
        <w:tc>
          <w:tcPr>
            <w:tcW w:w="1305" w:type="dxa"/>
            <w:vMerge w:val="continue"/>
            <w:tcBorders>
              <w:top w:val="single" w:color="333333" w:sz="4" w:space="0"/>
              <w:right w:val="single" w:color="333333" w:sz="4" w:space="0"/>
            </w:tcBorders>
            <w:shd w:val="clear" w:color="auto" w:fill="F9F9F9"/>
            <w:vAlign w:val="center"/>
          </w:tcPr>
          <w:p w14:paraId="12FD8FA4">
            <w:pPr>
              <w:spacing w:line="360" w:lineRule="auto"/>
              <w:jc w:val="center"/>
              <w:rPr>
                <w:rFonts w:hint="eastAsia" w:ascii="宋体" w:hAnsi="宋体" w:eastAsia="宋体" w:cs="宋体"/>
                <w:sz w:val="24"/>
                <w:szCs w:val="24"/>
              </w:rPr>
            </w:pPr>
          </w:p>
        </w:tc>
      </w:tr>
      <w:tr w14:paraId="0EF24B63">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3760" w:hRule="atLeast"/>
          <w:tblCellSpacing w:w="0" w:type="dxa"/>
          <w:jc w:val="center"/>
        </w:trPr>
        <w:tc>
          <w:tcPr>
            <w:tcW w:w="1006" w:type="dxa"/>
            <w:vMerge w:val="continue"/>
            <w:tcBorders>
              <w:right w:val="single" w:color="333333" w:sz="4" w:space="0"/>
            </w:tcBorders>
            <w:shd w:val="clear" w:color="auto" w:fill="F9F9F9"/>
            <w:vAlign w:val="center"/>
          </w:tcPr>
          <w:p w14:paraId="459EBAC8">
            <w:pPr>
              <w:spacing w:line="360" w:lineRule="auto"/>
              <w:jc w:val="center"/>
              <w:rPr>
                <w:rFonts w:hint="eastAsia" w:ascii="宋体" w:hAnsi="宋体" w:eastAsia="宋体" w:cs="宋体"/>
                <w:sz w:val="24"/>
                <w:szCs w:val="24"/>
              </w:rPr>
            </w:pPr>
          </w:p>
        </w:tc>
        <w:tc>
          <w:tcPr>
            <w:tcW w:w="782" w:type="dxa"/>
            <w:tcBorders>
              <w:top w:val="single" w:color="333333" w:sz="4" w:space="0"/>
              <w:bottom w:val="single" w:color="333333" w:sz="4" w:space="0"/>
              <w:right w:val="single" w:color="333333" w:sz="4" w:space="0"/>
            </w:tcBorders>
            <w:shd w:val="clear" w:color="auto" w:fill="F9F9F9"/>
            <w:vAlign w:val="center"/>
          </w:tcPr>
          <w:p w14:paraId="2BCF0FE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098" w:type="dxa"/>
            <w:tcBorders>
              <w:top w:val="single" w:color="333333" w:sz="4" w:space="0"/>
              <w:bottom w:val="single" w:color="333333" w:sz="4" w:space="0"/>
              <w:right w:val="single" w:color="333333" w:sz="4" w:space="0"/>
            </w:tcBorders>
            <w:shd w:val="clear" w:color="auto" w:fill="F9F9F9"/>
            <w:vAlign w:val="center"/>
          </w:tcPr>
          <w:p w14:paraId="76606F66">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highlight w:val="none"/>
                <w:lang w:val="en-US" w:eastAsia="zh-CN"/>
              </w:rPr>
              <w:t>花园口灌区维修养护</w:t>
            </w:r>
          </w:p>
        </w:tc>
        <w:tc>
          <w:tcPr>
            <w:tcW w:w="2061" w:type="dxa"/>
            <w:gridSpan w:val="6"/>
            <w:tcBorders>
              <w:top w:val="single" w:color="333333" w:sz="4" w:space="0"/>
              <w:bottom w:val="single" w:color="333333" w:sz="4" w:space="0"/>
              <w:right w:val="single" w:color="333333" w:sz="4" w:space="0"/>
            </w:tcBorders>
            <w:shd w:val="clear" w:color="auto" w:fill="F9F9F9"/>
            <w:vAlign w:val="center"/>
          </w:tcPr>
          <w:p w14:paraId="6770F742">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highlight w:val="none"/>
                <w:lang w:val="en-US" w:eastAsia="zh-CN"/>
              </w:rPr>
              <w:t>花园口灌区维修养护，包括花园口灌区总干渠渠道衬砌、东大坝干渠渠道衬砌修复、祭城干渠、姚桥干渠废桥拆除等</w:t>
            </w:r>
            <w:r>
              <w:rPr>
                <w:rFonts w:hint="eastAsia" w:ascii="宋体" w:hAnsi="宋体" w:eastAsia="宋体" w:cs="宋体"/>
                <w:sz w:val="24"/>
                <w:szCs w:val="24"/>
                <w:highlight w:val="none"/>
                <w:lang w:val="zh-CN" w:eastAsia="zh-CN"/>
              </w:rPr>
              <w:t>；</w:t>
            </w:r>
          </w:p>
        </w:tc>
        <w:tc>
          <w:tcPr>
            <w:tcW w:w="1277" w:type="dxa"/>
            <w:gridSpan w:val="2"/>
            <w:tcBorders>
              <w:top w:val="single" w:color="333333" w:sz="4" w:space="0"/>
              <w:bottom w:val="single" w:color="333333" w:sz="4" w:space="0"/>
              <w:right w:val="single" w:color="333333" w:sz="4" w:space="0"/>
            </w:tcBorders>
            <w:shd w:val="clear" w:color="auto" w:fill="F9F9F9"/>
            <w:vAlign w:val="center"/>
          </w:tcPr>
          <w:p w14:paraId="23F692EF">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达到质量验收合格标准，且</w:t>
            </w:r>
            <w:r>
              <w:rPr>
                <w:rFonts w:hint="eastAsia" w:ascii="宋体" w:hAnsi="宋体" w:eastAsia="宋体" w:cs="宋体"/>
                <w:sz w:val="24"/>
                <w:szCs w:val="24"/>
                <w:lang w:val="zh-CN" w:eastAsia="zh-CN"/>
              </w:rPr>
              <w:t>满足养护标准和考核细则要求</w:t>
            </w:r>
          </w:p>
        </w:tc>
        <w:tc>
          <w:tcPr>
            <w:tcW w:w="815" w:type="dxa"/>
            <w:tcBorders>
              <w:top w:val="single" w:color="333333" w:sz="4" w:space="0"/>
              <w:bottom w:val="single" w:color="333333" w:sz="4" w:space="0"/>
              <w:right w:val="single" w:color="333333" w:sz="4" w:space="0"/>
            </w:tcBorders>
            <w:shd w:val="clear" w:color="auto" w:fill="F9F9F9"/>
            <w:vAlign w:val="center"/>
          </w:tcPr>
          <w:p w14:paraId="21126946">
            <w:pPr>
              <w:spacing w:line="360" w:lineRule="auto"/>
              <w:rPr>
                <w:rFonts w:hint="eastAsia" w:ascii="宋体" w:hAnsi="宋体" w:eastAsia="宋体" w:cs="宋体"/>
                <w:sz w:val="24"/>
                <w:szCs w:val="24"/>
              </w:rPr>
            </w:pPr>
            <w:r>
              <w:rPr>
                <w:rFonts w:hint="eastAsia" w:ascii="宋体" w:hAnsi="宋体" w:eastAsia="宋体" w:cs="宋体"/>
                <w:sz w:val="24"/>
                <w:szCs w:val="24"/>
                <w:lang w:val="zh-CN" w:eastAsia="zh-CN"/>
              </w:rPr>
              <w:t>自签订合同之日至2026年12月</w:t>
            </w:r>
          </w:p>
        </w:tc>
        <w:tc>
          <w:tcPr>
            <w:tcW w:w="893" w:type="dxa"/>
            <w:gridSpan w:val="2"/>
            <w:tcBorders>
              <w:top w:val="single" w:color="333333" w:sz="4" w:space="0"/>
              <w:bottom w:val="single" w:color="333333" w:sz="4" w:space="0"/>
              <w:right w:val="single" w:color="333333" w:sz="4" w:space="0"/>
            </w:tcBorders>
            <w:shd w:val="clear" w:color="auto" w:fill="F9F9F9"/>
            <w:vAlign w:val="center"/>
          </w:tcPr>
          <w:p w14:paraId="26697016">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达到质量验收合格标准，且</w:t>
            </w:r>
            <w:r>
              <w:rPr>
                <w:rFonts w:hint="eastAsia" w:ascii="宋体" w:hAnsi="宋体" w:eastAsia="宋体" w:cs="宋体"/>
                <w:sz w:val="24"/>
                <w:szCs w:val="24"/>
                <w:lang w:val="zh-CN" w:eastAsia="zh-CN"/>
              </w:rPr>
              <w:t>满足养护标准和考核细则要求</w:t>
            </w:r>
          </w:p>
        </w:tc>
        <w:tc>
          <w:tcPr>
            <w:tcW w:w="1305" w:type="dxa"/>
            <w:vMerge w:val="continue"/>
            <w:tcBorders>
              <w:right w:val="single" w:color="333333" w:sz="4" w:space="0"/>
            </w:tcBorders>
            <w:shd w:val="clear" w:color="auto" w:fill="F9F9F9"/>
            <w:vAlign w:val="center"/>
          </w:tcPr>
          <w:p w14:paraId="56B580FE">
            <w:pPr>
              <w:spacing w:line="360" w:lineRule="auto"/>
              <w:jc w:val="center"/>
              <w:rPr>
                <w:rFonts w:hint="eastAsia" w:ascii="宋体" w:hAnsi="宋体" w:eastAsia="宋体" w:cs="宋体"/>
                <w:sz w:val="24"/>
                <w:szCs w:val="24"/>
                <w:lang w:val="en-US" w:eastAsia="zh-CN"/>
              </w:rPr>
            </w:pPr>
          </w:p>
        </w:tc>
      </w:tr>
      <w:tr w14:paraId="0D208540">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1398" w:hRule="atLeast"/>
          <w:tblCellSpacing w:w="0" w:type="dxa"/>
          <w:jc w:val="center"/>
        </w:trPr>
        <w:tc>
          <w:tcPr>
            <w:tcW w:w="1006" w:type="dxa"/>
            <w:vMerge w:val="restart"/>
            <w:tcBorders>
              <w:top w:val="single" w:color="333333" w:sz="4" w:space="0"/>
              <w:right w:val="single" w:color="333333" w:sz="4" w:space="0"/>
            </w:tcBorders>
            <w:shd w:val="clear" w:color="auto" w:fill="F9F9F9"/>
            <w:vAlign w:val="center"/>
          </w:tcPr>
          <w:p w14:paraId="2B9C0ADD">
            <w:pPr>
              <w:spacing w:line="36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B包</w:t>
            </w:r>
          </w:p>
        </w:tc>
        <w:tc>
          <w:tcPr>
            <w:tcW w:w="2173" w:type="dxa"/>
            <w:gridSpan w:val="4"/>
            <w:tcBorders>
              <w:top w:val="single" w:color="333333" w:sz="4" w:space="0"/>
              <w:right w:val="single" w:color="333333" w:sz="4" w:space="0"/>
            </w:tcBorders>
            <w:shd w:val="clear" w:color="auto" w:fill="F9F9F9"/>
            <w:vAlign w:val="center"/>
          </w:tcPr>
          <w:p w14:paraId="75E56869">
            <w:pPr>
              <w:spacing w:line="360" w:lineRule="auto"/>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陆浑灌区维修养护，包括陆浑灌区部分渠道平台硬化、天坡水库运行中心道路整修等</w:t>
            </w:r>
            <w:r>
              <w:rPr>
                <w:rFonts w:hint="eastAsia" w:ascii="宋体" w:hAnsi="宋体" w:eastAsia="宋体" w:cs="宋体"/>
                <w:sz w:val="24"/>
                <w:szCs w:val="24"/>
                <w:highlight w:val="none"/>
                <w:lang w:val="zh-CN" w:eastAsia="zh-CN"/>
              </w:rPr>
              <w:t>。</w:t>
            </w:r>
          </w:p>
        </w:tc>
        <w:tc>
          <w:tcPr>
            <w:tcW w:w="1399" w:type="dxa"/>
            <w:gridSpan w:val="2"/>
            <w:tcBorders>
              <w:top w:val="single" w:color="333333" w:sz="4" w:space="0"/>
              <w:right w:val="single" w:color="333333" w:sz="4" w:space="0"/>
            </w:tcBorders>
            <w:shd w:val="clear" w:color="auto" w:fill="F9F9F9"/>
            <w:vAlign w:val="center"/>
          </w:tcPr>
          <w:p w14:paraId="30F0386C">
            <w:pPr>
              <w:spacing w:line="360" w:lineRule="auto"/>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河南泉达建筑工程有限公司</w:t>
            </w:r>
          </w:p>
        </w:tc>
        <w:tc>
          <w:tcPr>
            <w:tcW w:w="1356" w:type="dxa"/>
            <w:gridSpan w:val="3"/>
            <w:tcBorders>
              <w:top w:val="single" w:color="333333" w:sz="4" w:space="0"/>
              <w:right w:val="single" w:color="333333" w:sz="4" w:space="0"/>
            </w:tcBorders>
            <w:shd w:val="clear" w:color="auto" w:fill="F9F9F9"/>
            <w:vAlign w:val="center"/>
          </w:tcPr>
          <w:p w14:paraId="5A9D9C6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郑州市金水区纬五路39号院</w:t>
            </w:r>
          </w:p>
        </w:tc>
        <w:tc>
          <w:tcPr>
            <w:tcW w:w="1270" w:type="dxa"/>
            <w:gridSpan w:val="3"/>
            <w:tcBorders>
              <w:top w:val="single" w:color="333333" w:sz="4" w:space="0"/>
              <w:right w:val="single" w:color="333333" w:sz="4" w:space="0"/>
            </w:tcBorders>
            <w:shd w:val="clear" w:color="auto" w:fill="F9F9F9"/>
            <w:vAlign w:val="center"/>
          </w:tcPr>
          <w:p w14:paraId="1BFA129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1550986.92</w:t>
            </w:r>
          </w:p>
        </w:tc>
        <w:tc>
          <w:tcPr>
            <w:tcW w:w="728" w:type="dxa"/>
            <w:tcBorders>
              <w:top w:val="single" w:color="333333" w:sz="4" w:space="0"/>
              <w:right w:val="single" w:color="333333" w:sz="4" w:space="0"/>
            </w:tcBorders>
            <w:shd w:val="clear" w:color="auto" w:fill="F9F9F9"/>
            <w:vAlign w:val="center"/>
          </w:tcPr>
          <w:p w14:paraId="1D18145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元</w:t>
            </w:r>
          </w:p>
        </w:tc>
        <w:tc>
          <w:tcPr>
            <w:tcW w:w="1305" w:type="dxa"/>
            <w:vMerge w:val="restart"/>
            <w:tcBorders>
              <w:top w:val="single" w:color="333333" w:sz="4" w:space="0"/>
              <w:right w:val="single" w:color="333333" w:sz="4" w:space="0"/>
            </w:tcBorders>
            <w:shd w:val="clear" w:color="auto" w:fill="F9F9F9"/>
            <w:vAlign w:val="center"/>
          </w:tcPr>
          <w:p w14:paraId="0B3513A9">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评审总得分:82.50分</w:t>
            </w:r>
          </w:p>
        </w:tc>
      </w:tr>
      <w:tr w14:paraId="128D774C">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477" w:hRule="atLeast"/>
          <w:tblCellSpacing w:w="0" w:type="dxa"/>
          <w:jc w:val="center"/>
        </w:trPr>
        <w:tc>
          <w:tcPr>
            <w:tcW w:w="1006" w:type="dxa"/>
            <w:vMerge w:val="continue"/>
            <w:tcBorders>
              <w:top w:val="single" w:color="333333" w:sz="4" w:space="0"/>
              <w:right w:val="single" w:color="333333" w:sz="4" w:space="0"/>
            </w:tcBorders>
            <w:shd w:val="clear" w:color="auto" w:fill="F9F9F9"/>
            <w:vAlign w:val="center"/>
          </w:tcPr>
          <w:p w14:paraId="637B0026">
            <w:pPr>
              <w:spacing w:line="360" w:lineRule="auto"/>
              <w:jc w:val="center"/>
              <w:rPr>
                <w:rFonts w:hint="eastAsia" w:ascii="宋体" w:hAnsi="宋体" w:eastAsia="宋体" w:cs="宋体"/>
                <w:sz w:val="24"/>
                <w:szCs w:val="24"/>
              </w:rPr>
            </w:pPr>
          </w:p>
        </w:tc>
        <w:tc>
          <w:tcPr>
            <w:tcW w:w="782" w:type="dxa"/>
            <w:tcBorders>
              <w:top w:val="single" w:color="333333" w:sz="4" w:space="0"/>
              <w:right w:val="single" w:color="333333" w:sz="4" w:space="0"/>
            </w:tcBorders>
            <w:shd w:val="clear" w:color="auto" w:fill="F9F9F9"/>
            <w:vAlign w:val="center"/>
          </w:tcPr>
          <w:p w14:paraId="76329EFC">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序号</w:t>
            </w:r>
          </w:p>
        </w:tc>
        <w:tc>
          <w:tcPr>
            <w:tcW w:w="1595" w:type="dxa"/>
            <w:gridSpan w:val="4"/>
            <w:tcBorders>
              <w:top w:val="single" w:color="333333" w:sz="4" w:space="0"/>
              <w:right w:val="single" w:color="333333" w:sz="4" w:space="0"/>
            </w:tcBorders>
            <w:shd w:val="clear" w:color="auto" w:fill="F9F9F9"/>
            <w:vAlign w:val="center"/>
          </w:tcPr>
          <w:p w14:paraId="72C469B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名称</w:t>
            </w:r>
          </w:p>
        </w:tc>
        <w:tc>
          <w:tcPr>
            <w:tcW w:w="1195" w:type="dxa"/>
            <w:tcBorders>
              <w:top w:val="single" w:color="333333" w:sz="4" w:space="0"/>
              <w:right w:val="single" w:color="333333" w:sz="4" w:space="0"/>
            </w:tcBorders>
            <w:shd w:val="clear" w:color="auto" w:fill="F9F9F9"/>
            <w:vAlign w:val="center"/>
          </w:tcPr>
          <w:p w14:paraId="60DFFF0E">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服务范围</w:t>
            </w:r>
          </w:p>
        </w:tc>
        <w:tc>
          <w:tcPr>
            <w:tcW w:w="1646" w:type="dxa"/>
            <w:gridSpan w:val="4"/>
            <w:tcBorders>
              <w:top w:val="single" w:color="333333" w:sz="4" w:space="0"/>
              <w:right w:val="single" w:color="333333" w:sz="4" w:space="0"/>
            </w:tcBorders>
            <w:shd w:val="clear" w:color="auto" w:fill="F9F9F9"/>
            <w:vAlign w:val="center"/>
          </w:tcPr>
          <w:p w14:paraId="5F4E7E9F">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服务要求</w:t>
            </w:r>
          </w:p>
        </w:tc>
        <w:tc>
          <w:tcPr>
            <w:tcW w:w="815" w:type="dxa"/>
            <w:tcBorders>
              <w:top w:val="single" w:color="333333" w:sz="4" w:space="0"/>
              <w:right w:val="single" w:color="333333" w:sz="4" w:space="0"/>
            </w:tcBorders>
            <w:shd w:val="clear" w:color="auto" w:fill="F9F9F9"/>
            <w:vAlign w:val="center"/>
          </w:tcPr>
          <w:p w14:paraId="5C4ADBAD">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服务时间</w:t>
            </w:r>
          </w:p>
        </w:tc>
        <w:tc>
          <w:tcPr>
            <w:tcW w:w="893" w:type="dxa"/>
            <w:gridSpan w:val="2"/>
            <w:tcBorders>
              <w:top w:val="single" w:color="333333" w:sz="4" w:space="0"/>
              <w:right w:val="single" w:color="333333" w:sz="4" w:space="0"/>
            </w:tcBorders>
            <w:shd w:val="clear" w:color="auto" w:fill="F9F9F9"/>
            <w:vAlign w:val="center"/>
          </w:tcPr>
          <w:p w14:paraId="27184707">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服务标准</w:t>
            </w:r>
          </w:p>
        </w:tc>
        <w:tc>
          <w:tcPr>
            <w:tcW w:w="1305" w:type="dxa"/>
            <w:vMerge w:val="continue"/>
            <w:tcBorders>
              <w:top w:val="single" w:color="333333" w:sz="4" w:space="0"/>
              <w:right w:val="single" w:color="333333" w:sz="4" w:space="0"/>
            </w:tcBorders>
            <w:shd w:val="clear" w:color="auto" w:fill="F9F9F9"/>
            <w:vAlign w:val="center"/>
          </w:tcPr>
          <w:p w14:paraId="07E6DA42">
            <w:pPr>
              <w:spacing w:line="360" w:lineRule="auto"/>
              <w:jc w:val="center"/>
              <w:rPr>
                <w:rFonts w:hint="eastAsia" w:ascii="宋体" w:hAnsi="宋体" w:eastAsia="宋体" w:cs="宋体"/>
                <w:sz w:val="24"/>
                <w:szCs w:val="24"/>
              </w:rPr>
            </w:pPr>
          </w:p>
        </w:tc>
      </w:tr>
      <w:tr w14:paraId="2268C341">
        <w:tblPrEx>
          <w:tblBorders>
            <w:top w:val="none" w:color="auto" w:sz="0" w:space="0"/>
            <w:left w:val="single" w:color="333333" w:sz="4" w:space="0"/>
            <w:bottom w:val="single" w:color="333333" w:sz="4" w:space="0"/>
            <w:right w:val="none" w:color="auto" w:sz="0" w:space="0"/>
            <w:insideH w:val="none" w:color="auto" w:sz="0" w:space="0"/>
            <w:insideV w:val="none" w:color="auto" w:sz="0" w:space="0"/>
          </w:tblBorders>
          <w:shd w:val="clear" w:color="auto" w:fill="F9F9F9"/>
          <w:tblCellMar>
            <w:top w:w="0" w:type="dxa"/>
            <w:left w:w="0" w:type="dxa"/>
            <w:bottom w:w="0" w:type="dxa"/>
            <w:right w:w="0" w:type="dxa"/>
          </w:tblCellMar>
        </w:tblPrEx>
        <w:trPr>
          <w:trHeight w:val="3760" w:hRule="atLeast"/>
          <w:tblCellSpacing w:w="0" w:type="dxa"/>
          <w:jc w:val="center"/>
        </w:trPr>
        <w:tc>
          <w:tcPr>
            <w:tcW w:w="1006" w:type="dxa"/>
            <w:vMerge w:val="continue"/>
            <w:tcBorders>
              <w:right w:val="single" w:color="333333" w:sz="4" w:space="0"/>
            </w:tcBorders>
            <w:shd w:val="clear" w:color="auto" w:fill="F9F9F9"/>
            <w:vAlign w:val="center"/>
          </w:tcPr>
          <w:p w14:paraId="420768DA">
            <w:pPr>
              <w:spacing w:line="360" w:lineRule="auto"/>
              <w:jc w:val="center"/>
              <w:rPr>
                <w:rFonts w:hint="eastAsia" w:ascii="宋体" w:hAnsi="宋体" w:eastAsia="宋体" w:cs="宋体"/>
                <w:sz w:val="24"/>
                <w:szCs w:val="24"/>
              </w:rPr>
            </w:pPr>
          </w:p>
        </w:tc>
        <w:tc>
          <w:tcPr>
            <w:tcW w:w="782" w:type="dxa"/>
            <w:tcBorders>
              <w:top w:val="single" w:color="333333" w:sz="4" w:space="0"/>
              <w:bottom w:val="single" w:color="333333" w:sz="4" w:space="0"/>
              <w:right w:val="single" w:color="333333" w:sz="4" w:space="0"/>
            </w:tcBorders>
            <w:shd w:val="clear" w:color="auto" w:fill="F9F9F9"/>
            <w:vAlign w:val="center"/>
          </w:tcPr>
          <w:p w14:paraId="3DF69E2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113" w:type="dxa"/>
            <w:gridSpan w:val="2"/>
            <w:tcBorders>
              <w:top w:val="single" w:color="333333" w:sz="4" w:space="0"/>
              <w:bottom w:val="single" w:color="333333" w:sz="4" w:space="0"/>
              <w:right w:val="single" w:color="333333" w:sz="4" w:space="0"/>
            </w:tcBorders>
            <w:shd w:val="clear" w:color="auto" w:fill="F9F9F9"/>
            <w:vAlign w:val="center"/>
          </w:tcPr>
          <w:p w14:paraId="15B52B7F">
            <w:pPr>
              <w:pStyle w:val="4"/>
              <w:keepNext w:val="0"/>
              <w:keepLines w:val="0"/>
              <w:pageBreakBefore w:val="0"/>
              <w:widowControl w:val="0"/>
              <w:kinsoku/>
              <w:wordWrap/>
              <w:overflowPunct/>
              <w:topLinePunct w:val="0"/>
              <w:autoSpaceDE w:val="0"/>
              <w:autoSpaceDN w:val="0"/>
              <w:bidi w:val="0"/>
              <w:adjustRightInd/>
              <w:snapToGrid/>
              <w:spacing w:before="78" w:line="360" w:lineRule="auto"/>
              <w:ind w:left="16" w:leftChars="0" w:right="-15" w:rightChars="0" w:firstLine="26"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highlight w:val="none"/>
                <w:lang w:val="en-US" w:eastAsia="zh-CN"/>
              </w:rPr>
              <w:t>陆浑灌区维修养护</w:t>
            </w:r>
          </w:p>
        </w:tc>
        <w:tc>
          <w:tcPr>
            <w:tcW w:w="2031" w:type="dxa"/>
            <w:gridSpan w:val="4"/>
            <w:tcBorders>
              <w:top w:val="single" w:color="333333" w:sz="4" w:space="0"/>
              <w:bottom w:val="single" w:color="333333" w:sz="4" w:space="0"/>
              <w:right w:val="single" w:color="333333" w:sz="4" w:space="0"/>
            </w:tcBorders>
            <w:shd w:val="clear" w:color="auto" w:fill="F9F9F9"/>
            <w:vAlign w:val="center"/>
          </w:tcPr>
          <w:p w14:paraId="0B53F060">
            <w:pPr>
              <w:spacing w:line="360" w:lineRule="auto"/>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陆浑灌区维修养护，包括陆浑灌区部分渠道平台硬化、天坡水库运行中心道路整修等</w:t>
            </w:r>
            <w:r>
              <w:rPr>
                <w:rFonts w:hint="eastAsia" w:ascii="宋体" w:hAnsi="宋体" w:eastAsia="宋体" w:cs="宋体"/>
                <w:sz w:val="24"/>
                <w:szCs w:val="24"/>
                <w:highlight w:val="none"/>
                <w:lang w:val="zh-CN" w:eastAsia="zh-CN"/>
              </w:rPr>
              <w:t>。</w:t>
            </w:r>
          </w:p>
        </w:tc>
        <w:tc>
          <w:tcPr>
            <w:tcW w:w="1292" w:type="dxa"/>
            <w:gridSpan w:val="3"/>
            <w:tcBorders>
              <w:top w:val="single" w:color="333333" w:sz="4" w:space="0"/>
              <w:bottom w:val="single" w:color="333333" w:sz="4" w:space="0"/>
              <w:right w:val="single" w:color="333333" w:sz="4" w:space="0"/>
            </w:tcBorders>
            <w:shd w:val="clear" w:color="auto" w:fill="F9F9F9"/>
            <w:vAlign w:val="center"/>
          </w:tcPr>
          <w:p w14:paraId="7C6596EA">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达到质量验收合格标准，且</w:t>
            </w:r>
            <w:r>
              <w:rPr>
                <w:rFonts w:hint="eastAsia" w:ascii="宋体" w:hAnsi="宋体" w:eastAsia="宋体" w:cs="宋体"/>
                <w:sz w:val="24"/>
                <w:szCs w:val="24"/>
                <w:lang w:val="zh-CN" w:eastAsia="zh-CN"/>
              </w:rPr>
              <w:t>满足养护标准和考核细则要求</w:t>
            </w:r>
          </w:p>
        </w:tc>
        <w:tc>
          <w:tcPr>
            <w:tcW w:w="815" w:type="dxa"/>
            <w:tcBorders>
              <w:top w:val="single" w:color="333333" w:sz="4" w:space="0"/>
              <w:bottom w:val="single" w:color="333333" w:sz="4" w:space="0"/>
              <w:right w:val="single" w:color="333333" w:sz="4" w:space="0"/>
            </w:tcBorders>
            <w:shd w:val="clear" w:color="auto" w:fill="F9F9F9"/>
            <w:vAlign w:val="center"/>
          </w:tcPr>
          <w:p w14:paraId="1B20AEFC">
            <w:pPr>
              <w:spacing w:line="360" w:lineRule="auto"/>
              <w:rPr>
                <w:rFonts w:hint="eastAsia" w:ascii="宋体" w:hAnsi="宋体" w:eastAsia="宋体" w:cs="宋体"/>
                <w:sz w:val="24"/>
                <w:szCs w:val="24"/>
              </w:rPr>
            </w:pPr>
            <w:r>
              <w:rPr>
                <w:rFonts w:hint="eastAsia" w:ascii="宋体" w:hAnsi="宋体" w:eastAsia="宋体" w:cs="宋体"/>
                <w:sz w:val="24"/>
                <w:szCs w:val="24"/>
                <w:lang w:val="zh-CN" w:eastAsia="zh-CN"/>
              </w:rPr>
              <w:t>自签订合同之日至2026年12月</w:t>
            </w:r>
          </w:p>
        </w:tc>
        <w:tc>
          <w:tcPr>
            <w:tcW w:w="893" w:type="dxa"/>
            <w:gridSpan w:val="2"/>
            <w:tcBorders>
              <w:top w:val="single" w:color="333333" w:sz="4" w:space="0"/>
              <w:bottom w:val="single" w:color="333333" w:sz="4" w:space="0"/>
              <w:right w:val="single" w:color="333333" w:sz="4" w:space="0"/>
            </w:tcBorders>
            <w:shd w:val="clear" w:color="auto" w:fill="F9F9F9"/>
            <w:vAlign w:val="center"/>
          </w:tcPr>
          <w:p w14:paraId="48AF99F9">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达到质量验收合格标准，且</w:t>
            </w:r>
            <w:r>
              <w:rPr>
                <w:rFonts w:hint="eastAsia" w:ascii="宋体" w:hAnsi="宋体" w:eastAsia="宋体" w:cs="宋体"/>
                <w:sz w:val="24"/>
                <w:szCs w:val="24"/>
                <w:lang w:val="zh-CN" w:eastAsia="zh-CN"/>
              </w:rPr>
              <w:t>满足养护标准和考核细则要求</w:t>
            </w:r>
          </w:p>
        </w:tc>
        <w:tc>
          <w:tcPr>
            <w:tcW w:w="1305" w:type="dxa"/>
            <w:vMerge w:val="continue"/>
            <w:tcBorders>
              <w:right w:val="single" w:color="333333" w:sz="4" w:space="0"/>
            </w:tcBorders>
            <w:shd w:val="clear" w:color="auto" w:fill="F9F9F9"/>
            <w:vAlign w:val="center"/>
          </w:tcPr>
          <w:p w14:paraId="4883D049">
            <w:pPr>
              <w:spacing w:line="360" w:lineRule="auto"/>
              <w:jc w:val="center"/>
              <w:rPr>
                <w:rFonts w:hint="eastAsia" w:ascii="宋体" w:hAnsi="宋体" w:eastAsia="宋体" w:cs="宋体"/>
                <w:sz w:val="24"/>
                <w:szCs w:val="24"/>
                <w:lang w:val="en-US" w:eastAsia="zh-CN"/>
              </w:rPr>
            </w:pPr>
          </w:p>
        </w:tc>
      </w:tr>
    </w:tbl>
    <w:p w14:paraId="79DD33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四、评审专家名单</w:t>
      </w:r>
    </w:p>
    <w:p w14:paraId="5AAE9B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张淙皎、袁艳云、贾彩云、陈建锐、刘会君</w:t>
      </w:r>
      <w:r>
        <w:rPr>
          <w:rFonts w:hint="eastAsia" w:ascii="宋体" w:hAnsi="宋体" w:eastAsia="宋体" w:cs="宋体"/>
          <w:sz w:val="24"/>
          <w:szCs w:val="24"/>
          <w:lang w:eastAsia="zh-CN"/>
        </w:rPr>
        <w:t>、</w:t>
      </w:r>
      <w:r>
        <w:rPr>
          <w:rFonts w:hint="eastAsia" w:ascii="宋体" w:hAnsi="宋体" w:eastAsia="宋体" w:cs="宋体"/>
          <w:sz w:val="24"/>
          <w:szCs w:val="24"/>
        </w:rPr>
        <w:t>毛翠翠（采购人代表）</w:t>
      </w:r>
      <w:r>
        <w:rPr>
          <w:rFonts w:hint="eastAsia" w:ascii="宋体" w:hAnsi="宋体" w:eastAsia="宋体" w:cs="宋体"/>
          <w:sz w:val="24"/>
          <w:szCs w:val="24"/>
          <w:lang w:eastAsia="zh-CN"/>
        </w:rPr>
        <w:t>、</w:t>
      </w:r>
      <w:r>
        <w:rPr>
          <w:rFonts w:hint="eastAsia" w:ascii="宋体" w:hAnsi="宋体" w:eastAsia="宋体" w:cs="宋体"/>
          <w:sz w:val="24"/>
          <w:szCs w:val="24"/>
        </w:rPr>
        <w:t>孙孟杰（采购人代表）</w:t>
      </w:r>
    </w:p>
    <w:p w14:paraId="0AFF73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五、代理服务收费标准及金额：</w:t>
      </w:r>
    </w:p>
    <w:p w14:paraId="5E5AE6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收费标准：</w:t>
      </w:r>
      <w:r>
        <w:rPr>
          <w:rFonts w:hint="eastAsia" w:ascii="宋体" w:hAnsi="宋体" w:eastAsia="宋体" w:cs="宋体"/>
          <w:sz w:val="24"/>
          <w:szCs w:val="24"/>
          <w:lang w:val="en-US" w:eastAsia="zh-CN"/>
        </w:rPr>
        <w:t>参考“河南省招标投标协会关于印发《河南省招标代理服务收费指导意见》的通知”豫招协[2023]002号]文规定服务类收费标准在领取中标通知书前由中标人向本项目招标代理机构支付。</w:t>
      </w:r>
    </w:p>
    <w:p w14:paraId="427623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收费金额：</w:t>
      </w:r>
      <w:r>
        <w:rPr>
          <w:rFonts w:hint="eastAsia" w:ascii="宋体" w:hAnsi="宋体" w:eastAsia="宋体" w:cs="宋体"/>
          <w:sz w:val="24"/>
          <w:szCs w:val="24"/>
          <w:lang w:val="en-US" w:eastAsia="zh-CN"/>
        </w:rPr>
        <w:t>A包：56920.51元；B包：</w:t>
      </w:r>
      <w:r>
        <w:rPr>
          <w:rFonts w:hint="eastAsia" w:ascii="宋体" w:hAnsi="宋体" w:eastAsia="宋体" w:cs="宋体"/>
          <w:sz w:val="24"/>
          <w:szCs w:val="24"/>
        </w:rPr>
        <w:t>23611.84</w:t>
      </w:r>
      <w:r>
        <w:rPr>
          <w:rFonts w:hint="eastAsia" w:ascii="宋体" w:hAnsi="宋体" w:eastAsia="宋体" w:cs="宋体"/>
          <w:sz w:val="24"/>
          <w:szCs w:val="24"/>
          <w:lang w:val="en-US" w:eastAsia="zh-CN"/>
        </w:rPr>
        <w:t>元。</w:t>
      </w:r>
    </w:p>
    <w:p w14:paraId="27CD8B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六、中标公告发布的媒介及中标公告期限</w:t>
      </w:r>
    </w:p>
    <w:p w14:paraId="77094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本次中标公告在</w:t>
      </w:r>
      <w:r>
        <w:rPr>
          <w:rFonts w:hint="eastAsia" w:ascii="宋体" w:hAnsi="宋体" w:eastAsia="宋体" w:cs="宋体"/>
          <w:sz w:val="24"/>
          <w:szCs w:val="24"/>
          <w:lang w:eastAsia="zh-CN"/>
        </w:rPr>
        <w:t>《河南省政府采购网》《郑州市政府采购网》《郑州市公共资源交易中心》《郑州市水利局网》</w:t>
      </w:r>
      <w:r>
        <w:rPr>
          <w:rFonts w:hint="eastAsia" w:ascii="宋体" w:hAnsi="宋体" w:eastAsia="宋体" w:cs="宋体"/>
          <w:sz w:val="24"/>
          <w:szCs w:val="24"/>
        </w:rPr>
        <w:t>上发布，中标公告期限为1个工作日。</w:t>
      </w:r>
    </w:p>
    <w:p w14:paraId="5B8AC0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5553F6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公告发布之日同时向中标人发出中标通知书；以邮寄、电子邮件等方式对未通过资格审查的投标人，告知其未通过的原因；参与评审但未中标的，告知其本人的评审得分与排序。各有关当事人对中标公告有异议的，可以在中标公告发布之日起七个工作日内，按中华人民共和国财政部令第94号《政府采购质疑和投诉办法》的相关规定，以书面形式同时向采购人和采购代理机构提出质疑，并以质疑函接受确认日期作为受理时间。逾期未提交或未按照要求提交或不符合法律法规规定的质疑函不予受理。</w:t>
      </w:r>
    </w:p>
    <w:p w14:paraId="2ACCB0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八、凡对本次公告内容提出询问，请按以下方式联系</w:t>
      </w:r>
    </w:p>
    <w:p w14:paraId="29B3E72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 采购人信息</w:t>
      </w:r>
    </w:p>
    <w:p w14:paraId="0EE89690">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名称：郑州市生态供水保障中心</w:t>
      </w:r>
    </w:p>
    <w:p w14:paraId="68131D6D">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地址：郑州市惠济区花园口镇花园口村黄古线163号</w:t>
      </w:r>
    </w:p>
    <w:p w14:paraId="56CBAA07">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联系人：勾佳琦</w:t>
      </w:r>
    </w:p>
    <w:p w14:paraId="05716147">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联系方式：17513259211</w:t>
      </w:r>
    </w:p>
    <w:p w14:paraId="0E40EC10">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2.采购代理机构信息（如有）</w:t>
      </w:r>
    </w:p>
    <w:p w14:paraId="61FDC51A">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名称：</w:t>
      </w:r>
      <w:r>
        <w:rPr>
          <w:rFonts w:hint="eastAsia" w:ascii="宋体" w:hAnsi="宋体" w:eastAsia="宋体" w:cs="宋体"/>
          <w:sz w:val="24"/>
          <w:szCs w:val="24"/>
          <w:highlight w:val="none"/>
          <w:lang w:val="en-US" w:eastAsia="zh-CN"/>
        </w:rPr>
        <w:t>河南省国贸招标有限公司</w:t>
      </w:r>
    </w:p>
    <w:p w14:paraId="7C03C0D4">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地址：郑州市金水区农业路72号国际企业中心B座3楼东</w:t>
      </w:r>
    </w:p>
    <w:p w14:paraId="7611564F">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联系人：</w:t>
      </w:r>
      <w:r>
        <w:rPr>
          <w:rFonts w:hint="eastAsia" w:ascii="宋体" w:hAnsi="宋体" w:eastAsia="宋体" w:cs="宋体"/>
          <w:sz w:val="24"/>
          <w:szCs w:val="24"/>
          <w:highlight w:val="none"/>
          <w:lang w:val="en-US" w:eastAsia="zh-CN"/>
        </w:rPr>
        <w:t>肖鹏、梁丰</w:t>
      </w:r>
    </w:p>
    <w:p w14:paraId="0FEF957C">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联系方式：</w:t>
      </w:r>
      <w:r>
        <w:rPr>
          <w:rFonts w:hint="eastAsia" w:ascii="宋体" w:hAnsi="宋体" w:eastAsia="宋体" w:cs="宋体"/>
          <w:sz w:val="24"/>
          <w:szCs w:val="24"/>
          <w:highlight w:val="none"/>
          <w:lang w:val="en-US" w:eastAsia="zh-CN"/>
        </w:rPr>
        <w:t>0371-69131989、15515865599</w:t>
      </w:r>
    </w:p>
    <w:p w14:paraId="030C8D04">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3.项目联系方式</w:t>
      </w:r>
    </w:p>
    <w:p w14:paraId="04DB95CB">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项目联系人：</w:t>
      </w:r>
      <w:r>
        <w:rPr>
          <w:rFonts w:hint="eastAsia" w:ascii="宋体" w:hAnsi="宋体" w:eastAsia="宋体" w:cs="宋体"/>
          <w:sz w:val="24"/>
          <w:szCs w:val="24"/>
          <w:highlight w:val="none"/>
          <w:lang w:val="en-US" w:eastAsia="zh-CN"/>
        </w:rPr>
        <w:t>肖鹏</w:t>
      </w:r>
    </w:p>
    <w:p w14:paraId="3FDE97BA">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left"/>
        <w:textAlignment w:val="auto"/>
        <w:rPr>
          <w:rFonts w:hint="eastAsia" w:cs="宋体"/>
          <w:sz w:val="24"/>
          <w:szCs w:val="24"/>
          <w:highlight w:val="none"/>
          <w:lang w:val="en-US" w:eastAsia="zh-CN"/>
        </w:rPr>
      </w:pPr>
      <w:r>
        <w:rPr>
          <w:rFonts w:hint="eastAsia" w:ascii="宋体" w:hAnsi="宋体" w:eastAsia="宋体" w:cs="宋体"/>
          <w:sz w:val="24"/>
          <w:szCs w:val="24"/>
          <w:highlight w:val="none"/>
          <w:lang w:eastAsia="zh-CN"/>
        </w:rPr>
        <w:t>联系方式：</w:t>
      </w:r>
      <w:r>
        <w:rPr>
          <w:rFonts w:hint="eastAsia" w:ascii="宋体" w:hAnsi="宋体" w:eastAsia="宋体" w:cs="宋体"/>
          <w:sz w:val="24"/>
          <w:szCs w:val="24"/>
          <w:highlight w:val="none"/>
          <w:lang w:val="en-US" w:eastAsia="zh-CN"/>
        </w:rPr>
        <w:t>0371-69131989、15515865599</w:t>
      </w:r>
    </w:p>
    <w:p w14:paraId="5B543B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E000B"/>
    <w:rsid w:val="165828AD"/>
    <w:rsid w:val="3ADF6F49"/>
    <w:rsid w:val="4FFD6D38"/>
    <w:rsid w:val="60AF3EBE"/>
    <w:rsid w:val="65011C14"/>
    <w:rsid w:val="739D6D67"/>
    <w:rsid w:val="73C81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1633</Words>
  <Characters>1786</Characters>
  <Lines>0</Lines>
  <Paragraphs>0</Paragraphs>
  <TotalTime>3</TotalTime>
  <ScaleCrop>false</ScaleCrop>
  <LinksUpToDate>false</LinksUpToDate>
  <CharactersWithSpaces>1789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2026-10-09T07:55:00Z</dcterms:created>
  <dc:creator>ws</dc:creator>
  <cp:lastModifiedBy>lf</cp:lastModifiedBy>
  <dcterms:modified xsi:type="dcterms:W3CDTF">2026-10-10T05:56:52Z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eyJoZGlkIjoiNjc2OTgwOGRkYjA5ODg2NzA5OTQ3NTI3MGMyNDUxOTciLCJ1c2VySWQiOiIxMjA2OTk0ODY1In0=</vt:lpwstr>
  </property>
  <property fmtid="{D5CDD505-2E9C-101B-9397-08002B2CF9AE}" pid="4" name="ICV">
    <vt:lpwstr>8BC42E9ED5F14E7A87ABCD5611F90E9E_13</vt:lpwstr>
  </property>
</Properties>
</file>