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557BB">
      <w:pPr>
        <w:pStyle w:val="2"/>
        <w:pageBreakBefore w:val="0"/>
        <w:numPr>
          <w:numId w:val="0"/>
        </w:numPr>
        <w:kinsoku/>
        <w:overflowPunct/>
        <w:bidi w:val="0"/>
        <w:spacing w:line="360" w:lineRule="auto"/>
        <w:jc w:val="center"/>
        <w:rPr>
          <w:rFonts w:hint="eastAsia" w:ascii="宋体" w:hAnsi="宋体" w:eastAsia="宋体" w:cs="宋体"/>
          <w:b/>
          <w:color w:val="auto"/>
          <w:sz w:val="32"/>
          <w:szCs w:val="32"/>
          <w:highlight w:val="none"/>
          <w:lang w:eastAsia="zh-CN"/>
        </w:rPr>
      </w:pPr>
      <w:bookmarkStart w:id="0" w:name="_Toc31925"/>
      <w:r>
        <w:rPr>
          <w:rFonts w:hint="eastAsia" w:ascii="宋体" w:hAnsi="宋体" w:cs="宋体"/>
          <w:b/>
          <w:color w:val="auto"/>
          <w:sz w:val="32"/>
          <w:szCs w:val="32"/>
          <w:highlight w:val="none"/>
          <w:lang w:eastAsia="zh-CN"/>
        </w:rPr>
        <w:t>采购需求</w:t>
      </w:r>
      <w:bookmarkEnd w:id="0"/>
    </w:p>
    <w:p w14:paraId="5D5EC1A4">
      <w:pPr>
        <w:pStyle w:val="8"/>
        <w:pageBreakBefore w:val="0"/>
        <w:kinsoku/>
        <w:overflowPunct/>
        <w:bidi w:val="0"/>
        <w:spacing w:line="360" w:lineRule="auto"/>
        <w:ind w:firstLine="48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79DA8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一、采购标的 </w:t>
      </w:r>
    </w:p>
    <w:p w14:paraId="578DEAE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1. 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"/>
        </w:rPr>
        <w:t>采购标的</w:t>
      </w:r>
    </w:p>
    <w:p w14:paraId="72761F77">
      <w:pPr>
        <w:pStyle w:val="5"/>
        <w:pageBreakBefore w:val="0"/>
        <w:kinsoku/>
        <w:overflowPunct/>
        <w:bidi w:val="0"/>
        <w:spacing w:line="360" w:lineRule="auto"/>
        <w:ind w:left="0" w:leftChars="0" w:firstLine="0" w:firstLineChars="0"/>
        <w:rPr>
          <w:rFonts w:hint="default" w:ascii="宋体" w:hAnsi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cs="宋体"/>
          <w:color w:val="auto"/>
          <w:highlight w:val="none"/>
          <w:lang w:val="en-US" w:eastAsia="zh-CN"/>
        </w:rPr>
        <w:t>本项目采购内容为采购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一套</w:t>
      </w:r>
      <w:r>
        <w:rPr>
          <w:rFonts w:hint="eastAsia" w:cs="宋体"/>
          <w:color w:val="auto"/>
          <w:highlight w:val="none"/>
          <w:lang w:val="en-US" w:eastAsia="zh-CN"/>
        </w:rPr>
        <w:t>超声内镜系统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，包含设备的采购、安装、调试、验收、培训、质保期内外服务、与货物有关的运输和保险及其他伴随服务等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。本项目</w:t>
      </w:r>
      <w:r>
        <w:rPr>
          <w:rFonts w:hint="eastAsia" w:cs="宋体"/>
          <w:color w:val="auto"/>
          <w:highlight w:val="none"/>
          <w:lang w:val="en-US" w:eastAsia="zh-CN"/>
        </w:rPr>
        <w:t>不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接受进口产品。</w:t>
      </w:r>
    </w:p>
    <w:p w14:paraId="140E1EB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二、商务要求 </w:t>
      </w:r>
    </w:p>
    <w:p w14:paraId="655394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"/>
        </w:rPr>
        <w:t>1. 交付（实施）的时间（期限）和地点（范围）</w:t>
      </w:r>
    </w:p>
    <w:p w14:paraId="6024C5C6">
      <w:pPr>
        <w:pStyle w:val="4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  <w:t>交货期：合同签订后30日历天</w:t>
      </w:r>
      <w:bookmarkStart w:id="1" w:name="_GoBack"/>
      <w:bookmarkEnd w:id="1"/>
    </w:p>
    <w:p w14:paraId="69F253AF">
      <w:pPr>
        <w:pageBreakBefore w:val="0"/>
        <w:kinsoku/>
        <w:overflowPunct/>
        <w:bidi w:val="0"/>
        <w:spacing w:line="360" w:lineRule="auto"/>
        <w:rPr>
          <w:rFonts w:hint="default" w:ascii="宋体" w:hAnsi="宋体" w:eastAsia="宋体" w:cs="宋体"/>
          <w:color w:val="auto"/>
          <w:highlight w:val="none"/>
          <w:lang w:val="en-US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  <w:t>交货地点：</w:t>
      </w:r>
      <w:r>
        <w:rPr>
          <w:rFonts w:hint="eastAsia" w:cs="宋体"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  <w:t>郑州市第一人民医院</w:t>
      </w:r>
    </w:p>
    <w:p w14:paraId="2BB0991A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"/>
        </w:rPr>
        <w:t>付款条件（进度和方式）</w:t>
      </w:r>
    </w:p>
    <w:p w14:paraId="32790E33">
      <w:pPr>
        <w:bidi w:val="0"/>
        <w:spacing w:line="360" w:lineRule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付款方式：第五章合同</w:t>
      </w:r>
    </w:p>
    <w:p w14:paraId="42E60951">
      <w:pPr>
        <w:pStyle w:val="5"/>
        <w:pageBreakBefore w:val="0"/>
        <w:widowControl w:val="0"/>
        <w:numPr>
          <w:ilvl w:val="0"/>
          <w:numId w:val="0"/>
        </w:numPr>
        <w:kinsoku/>
        <w:overflowPunct/>
        <w:bidi w:val="0"/>
        <w:spacing w:after="120" w:line="360" w:lineRule="auto"/>
        <w:jc w:val="both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付款比例：第五章合同</w:t>
      </w:r>
    </w:p>
    <w:p w14:paraId="3E52B41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"/>
        </w:rPr>
        <w:t>售后服务（质保期）</w:t>
      </w:r>
    </w:p>
    <w:p w14:paraId="74CBAC2C">
      <w:pPr>
        <w:pStyle w:val="4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  <w:t>质保期：四年</w:t>
      </w:r>
      <w:r>
        <w:rPr>
          <w:rFonts w:hint="eastAsia" w:cs="宋体"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  <w:t>（原厂质保）</w:t>
      </w:r>
    </w:p>
    <w:p w14:paraId="0D77933C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overflowPunct/>
        <w:topLinePunct w:val="0"/>
        <w:bidi w:val="0"/>
        <w:spacing w:before="0" w:beforeAutospacing="0" w:after="0" w:afterAutospacing="0" w:line="360" w:lineRule="auto"/>
        <w:ind w:left="0" w:leftChars="0" w:firstLine="0" w:firstLineChars="0"/>
        <w:textAlignment w:val="auto"/>
        <w:rPr>
          <w:rFonts w:hint="eastAsia" w:cs="宋体"/>
          <w:b/>
          <w:bCs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cs="宋体"/>
          <w:b/>
          <w:bCs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  <w:t>其他</w:t>
      </w:r>
    </w:p>
    <w:p w14:paraId="48AF2B2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before="0" w:beforeAutospacing="0" w:after="0" w:afterAutospacing="0" w:line="360" w:lineRule="auto"/>
        <w:ind w:right="0" w:rightChars="0"/>
        <w:textAlignment w:val="auto"/>
        <w:rPr>
          <w:rFonts w:hint="default" w:ascii="宋体" w:hAnsi="宋体" w:eastAsia="宋体" w:cs="宋体"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cs="宋体"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  <w:t>提供供货方案、安装、调试方案、培训方案、应急方案、售后服务方案等内容</w:t>
      </w:r>
    </w:p>
    <w:p w14:paraId="125791C4">
      <w:pPr>
        <w:pStyle w:val="4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</w:pPr>
    </w:p>
    <w:p w14:paraId="6D8ADEA6">
      <w:pPr>
        <w:pStyle w:val="4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textAlignment w:val="auto"/>
        <w:rPr>
          <w:rFonts w:hint="eastAsia" w:cs="宋体"/>
          <w:b/>
          <w:bCs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</w:pPr>
    </w:p>
    <w:p w14:paraId="4419B64D">
      <w:pPr>
        <w:pStyle w:val="4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textAlignment w:val="auto"/>
        <w:rPr>
          <w:rFonts w:hint="eastAsia" w:cs="宋体"/>
          <w:b/>
          <w:bCs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</w:pPr>
    </w:p>
    <w:p w14:paraId="3A844FFF">
      <w:pPr>
        <w:pStyle w:val="4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textAlignment w:val="auto"/>
        <w:rPr>
          <w:rFonts w:hint="eastAsia" w:cs="宋体"/>
          <w:b/>
          <w:bCs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</w:pPr>
    </w:p>
    <w:p w14:paraId="6C1533EA">
      <w:pPr>
        <w:pStyle w:val="4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textAlignment w:val="auto"/>
        <w:rPr>
          <w:rFonts w:hint="eastAsia" w:cs="宋体"/>
          <w:b/>
          <w:bCs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</w:pPr>
    </w:p>
    <w:p w14:paraId="10CD9E75">
      <w:pPr>
        <w:pStyle w:val="4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textAlignment w:val="auto"/>
        <w:rPr>
          <w:rFonts w:hint="eastAsia" w:cs="宋体"/>
          <w:b/>
          <w:bCs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</w:pPr>
    </w:p>
    <w:p w14:paraId="575829E6">
      <w:pPr>
        <w:pStyle w:val="4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textAlignment w:val="auto"/>
        <w:rPr>
          <w:rFonts w:hint="eastAsia" w:cs="宋体"/>
          <w:b/>
          <w:bCs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</w:pPr>
    </w:p>
    <w:p w14:paraId="25EE16FB">
      <w:pPr>
        <w:rPr>
          <w:rFonts w:hint="eastAsia" w:cs="宋体"/>
          <w:b/>
          <w:bCs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cs="宋体"/>
          <w:b/>
          <w:bCs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  <w:br w:type="page"/>
      </w:r>
    </w:p>
    <w:p w14:paraId="02FB87EE">
      <w:pPr>
        <w:pStyle w:val="4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textAlignment w:val="auto"/>
        <w:rPr>
          <w:rFonts w:hint="eastAsia" w:cs="宋体"/>
          <w:b/>
          <w:bCs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</w:pPr>
    </w:p>
    <w:p w14:paraId="2DD9254B">
      <w:pPr>
        <w:pageBreakBefore w:val="0"/>
        <w:kinsoku/>
        <w:overflowPunct/>
        <w:bidi w:val="0"/>
        <w:spacing w:line="360" w:lineRule="auto"/>
        <w:rPr>
          <w:rFonts w:hint="default" w:ascii="宋体" w:hAnsi="宋体" w:eastAsia="宋体" w:cs="宋体"/>
          <w:b/>
          <w:bCs/>
          <w:color w:val="auto"/>
          <w:szCs w:val="21"/>
          <w:highlight w:val="none"/>
          <w:lang w:val="en-US" w:eastAsia="zh-CN"/>
        </w:rPr>
      </w:pPr>
      <w:r>
        <w:rPr>
          <w:rFonts w:hint="eastAsia" w:cs="宋体"/>
          <w:b/>
          <w:bCs/>
          <w:color w:val="auto"/>
          <w:szCs w:val="21"/>
          <w:highlight w:val="none"/>
          <w:lang w:val="en-US" w:eastAsia="zh-CN"/>
        </w:rPr>
        <w:t>三、技术参数</w:t>
      </w:r>
    </w:p>
    <w:p w14:paraId="168FDE25">
      <w:pPr>
        <w:pStyle w:val="4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textAlignment w:val="auto"/>
        <w:rPr>
          <w:rFonts w:hint="default" w:ascii="宋体" w:hAnsi="宋体" w:eastAsia="宋体" w:cs="宋体"/>
          <w:b/>
          <w:bCs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cs="宋体"/>
          <w:b/>
          <w:bCs/>
          <w:color w:val="auto"/>
          <w:sz w:val="21"/>
          <w:szCs w:val="21"/>
          <w:highlight w:val="none"/>
          <w:u w:val="none"/>
          <w:shd w:val="clear" w:color="auto" w:fill="FFFFFF"/>
          <w:lang w:val="en-US" w:eastAsia="zh-CN"/>
        </w:rPr>
        <w:t>设备参数：</w:t>
      </w:r>
    </w:p>
    <w:p w14:paraId="00135424">
      <w:pPr>
        <w:rPr>
          <w:rFonts w:hint="eastAsia"/>
          <w:sz w:val="24"/>
          <w:szCs w:val="24"/>
        </w:rPr>
      </w:pPr>
    </w:p>
    <w:tbl>
      <w:tblPr>
        <w:tblStyle w:val="6"/>
        <w:tblW w:w="88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2459"/>
        <w:gridCol w:w="1523"/>
        <w:gridCol w:w="3266"/>
      </w:tblGrid>
      <w:tr w14:paraId="30423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FF"/>
            <w:noWrap w:val="0"/>
            <w:vAlign w:val="center"/>
          </w:tcPr>
          <w:p w14:paraId="3BF2C191">
            <w:pPr>
              <w:spacing w:line="50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申请科室</w:t>
            </w:r>
          </w:p>
        </w:tc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B4E73B">
            <w:pPr>
              <w:spacing w:line="50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消化内科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FF"/>
            <w:noWrap w:val="0"/>
            <w:vAlign w:val="center"/>
          </w:tcPr>
          <w:p w14:paraId="65CB23C5">
            <w:pPr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设备名称</w:t>
            </w:r>
          </w:p>
        </w:tc>
        <w:tc>
          <w:tcPr>
            <w:tcW w:w="3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3EE35">
            <w:pPr>
              <w:spacing w:line="500" w:lineRule="exact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超声内镜系统</w:t>
            </w:r>
          </w:p>
        </w:tc>
      </w:tr>
      <w:tr w14:paraId="1CFBC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2F114">
            <w:pPr>
              <w:spacing w:line="50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none"/>
              </w:rPr>
              <w:t>具体技术参数：</w:t>
            </w:r>
          </w:p>
        </w:tc>
      </w:tr>
      <w:tr w14:paraId="308F5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22E75">
            <w:pPr>
              <w:autoSpaceDE w:val="0"/>
              <w:autoSpaceDN w:val="0"/>
              <w:spacing w:line="400" w:lineRule="exact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一、总体要求</w:t>
            </w:r>
          </w:p>
        </w:tc>
      </w:tr>
      <w:tr w14:paraId="28555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DD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★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1.所投产品：医用内窥镜图像处理器、医用内窥镜冷光源、电子上消化道内窥镜、电子下消化道内窥镜、超声电子上消化道内窥镜须为同一品牌;</w:t>
            </w:r>
          </w:p>
        </w:tc>
      </w:tr>
      <w:tr w14:paraId="42AB3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24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★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2.所投产品，可适配医用内窥镜图像处理器同品牌的电子胃镜、电子肠镜;（提供NMPA注册证或国家药品监督管理局数据查询页面佐证）</w:t>
            </w:r>
          </w:p>
        </w:tc>
      </w:tr>
      <w:tr w14:paraId="5CDAA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1D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.支持镜体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一键式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热插拔;</w:t>
            </w:r>
          </w:p>
        </w:tc>
      </w:tr>
      <w:tr w14:paraId="4A715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96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.具有特殊光染色功能;可显示≥2种特殊光染色模式图像;</w:t>
            </w:r>
          </w:p>
        </w:tc>
      </w:tr>
      <w:tr w14:paraId="75397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DF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一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）医用内窥镜图像处理器：</w:t>
            </w:r>
          </w:p>
        </w:tc>
      </w:tr>
      <w:tr w14:paraId="2C49C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AB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1.高清视频信号（DVI）输出视频分辨率≥1920*1080;</w:t>
            </w:r>
          </w:p>
        </w:tc>
      </w:tr>
      <w:tr w14:paraId="29344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A8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2.具有DVI、SDI、VGA、S-VIDEO等信号输出方式;</w:t>
            </w:r>
          </w:p>
        </w:tc>
      </w:tr>
      <w:tr w14:paraId="0CC71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0B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3.具有红色调、蓝色调及饱和度调节功能;</w:t>
            </w:r>
          </w:p>
        </w:tc>
      </w:tr>
      <w:tr w14:paraId="7EC2C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78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4.具有自动增益功能:开/关;</w:t>
            </w:r>
          </w:p>
        </w:tc>
      </w:tr>
      <w:tr w14:paraId="591C2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37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5.具有≥3种测光模式。</w:t>
            </w:r>
          </w:p>
        </w:tc>
      </w:tr>
      <w:tr w14:paraId="3E627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2B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6.具有色彩增强功能;</w:t>
            </w:r>
          </w:p>
        </w:tc>
      </w:tr>
      <w:tr w14:paraId="37888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52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7.具有轮廓强调功能;</w:t>
            </w:r>
          </w:p>
        </w:tc>
      </w:tr>
      <w:tr w14:paraId="58A5F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36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8.具有构造调节功能;</w:t>
            </w:r>
          </w:p>
        </w:tc>
      </w:tr>
      <w:tr w14:paraId="2728D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34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9.对比度调节功能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≥3种；</w:t>
            </w:r>
          </w:p>
        </w:tc>
      </w:tr>
      <w:tr w14:paraId="0BE8B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4F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10.具有白平衡自动修正功能;</w:t>
            </w:r>
          </w:p>
        </w:tc>
      </w:tr>
      <w:tr w14:paraId="0D227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1E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11.具有电子放大功能;</w:t>
            </w:r>
          </w:p>
        </w:tc>
      </w:tr>
      <w:tr w14:paraId="694BC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0A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.具有内置病例管理系统，可脱离外置工作站进行病例管理，可查看、编辑、保存、预览、打印病例报告及病例报告检索;</w:t>
            </w:r>
          </w:p>
        </w:tc>
      </w:tr>
      <w:tr w14:paraId="612D4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C7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.可通过USB接口一键导出视频、图像、报告等信息;</w:t>
            </w:r>
          </w:p>
          <w:p w14:paraId="799E2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.具有图像冻结功能，可通过镜体按钮、键盘、脚踏开关控制冻结功能;</w:t>
            </w:r>
          </w:p>
        </w:tc>
      </w:tr>
      <w:tr w14:paraId="79512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96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二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）、医用内窥镜冷光源：</w:t>
            </w:r>
          </w:p>
        </w:tc>
      </w:tr>
      <w:tr w14:paraId="24B1F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23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★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1.采用≥4路LED冷光源;</w:t>
            </w:r>
          </w:p>
        </w:tc>
      </w:tr>
      <w:tr w14:paraId="4BB0D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D0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2.支持≥4种照明模式;</w:t>
            </w:r>
          </w:p>
        </w:tc>
      </w:tr>
      <w:tr w14:paraId="76404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1A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3.具有特殊光染色技术;</w:t>
            </w:r>
          </w:p>
        </w:tc>
      </w:tr>
      <w:tr w14:paraId="29645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17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★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4.光源灯泡平均连续使用寿命≥15000小时;</w:t>
            </w:r>
          </w:p>
        </w:tc>
      </w:tr>
      <w:tr w14:paraId="6B058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DF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.具有手动和自动两种调光模式;</w:t>
            </w:r>
          </w:p>
        </w:tc>
      </w:tr>
      <w:tr w14:paraId="6501F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AB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.灯泡寿命具有指示灯显示，可随时掌握剩余寿命情况;</w:t>
            </w:r>
          </w:p>
        </w:tc>
      </w:tr>
      <w:tr w14:paraId="5A280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74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.具有透光功能;</w:t>
            </w:r>
          </w:p>
        </w:tc>
      </w:tr>
      <w:tr w14:paraId="688BE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EB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(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三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)、彩色多普勒超声诊断系统：</w:t>
            </w:r>
          </w:p>
        </w:tc>
      </w:tr>
      <w:tr w14:paraId="24766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3E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1.具有≥21英寸高分辨率医用液晶显示器;</w:t>
            </w:r>
          </w:p>
        </w:tc>
      </w:tr>
      <w:tr w14:paraId="659F6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D5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2.具有≥10英寸彩色液晶触摸屏;</w:t>
            </w:r>
          </w:p>
        </w:tc>
      </w:tr>
      <w:tr w14:paraId="36889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F1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3.主机前置≥3探头接口，全部激活;</w:t>
            </w:r>
          </w:p>
        </w:tc>
      </w:tr>
      <w:tr w14:paraId="46F35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A4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4.触摸屏可独立调整角度;</w:t>
            </w:r>
          </w:p>
        </w:tc>
      </w:tr>
      <w:tr w14:paraId="7070E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22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5.控制面板可上下升降，左右旋转;</w:t>
            </w:r>
          </w:p>
        </w:tc>
      </w:tr>
      <w:tr w14:paraId="534AF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5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6.多语言操作界面，支持中文键盘输入;</w:t>
            </w:r>
          </w:p>
        </w:tc>
      </w:tr>
      <w:tr w14:paraId="25857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8B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7.焦点个数：≥11个，焦距位置可调;</w:t>
            </w:r>
          </w:p>
        </w:tc>
      </w:tr>
      <w:tr w14:paraId="41AAA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C4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8.斑点噪音抑制至少0-7档可调;</w:t>
            </w:r>
          </w:p>
        </w:tc>
      </w:tr>
      <w:tr w14:paraId="3C854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92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★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9.成像模式至少包含：B模式，彩色多普勒、能量多普勒、频谱多普勒成像、方向能量多普勒、组织谐波、弹性成像、组织造影;</w:t>
            </w:r>
          </w:p>
        </w:tc>
      </w:tr>
      <w:tr w14:paraId="7D2CC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E0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10.支持B/C双实时，一键隐藏血流;</w:t>
            </w:r>
          </w:p>
        </w:tc>
      </w:tr>
      <w:tr w14:paraId="4A488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04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11.具备穿刺引导线;</w:t>
            </w:r>
          </w:p>
        </w:tc>
      </w:tr>
      <w:tr w14:paraId="00EE7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EF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12.内置存储空间≥1T;</w:t>
            </w:r>
          </w:p>
        </w:tc>
      </w:tr>
      <w:tr w14:paraId="7B74C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62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13.视频接口至少包含：HDMI、DVI、VIDEO配置；</w:t>
            </w:r>
          </w:p>
        </w:tc>
      </w:tr>
      <w:tr w14:paraId="4CB87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CBC6E">
            <w:pPr>
              <w:spacing w:line="50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四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）超声电子上消化道内窥镜（扇扫型）：</w:t>
            </w:r>
          </w:p>
        </w:tc>
      </w:tr>
      <w:tr w14:paraId="2966C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2A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1.景深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：覆盖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3-100mm；</w:t>
            </w:r>
          </w:p>
          <w:p w14:paraId="2DDB6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2.视野角：≥138°；</w:t>
            </w:r>
          </w:p>
        </w:tc>
      </w:tr>
      <w:tr w14:paraId="6A46B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11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3.视野方向：前斜视45°；</w:t>
            </w:r>
          </w:p>
        </w:tc>
      </w:tr>
      <w:tr w14:paraId="4DA38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C5A72">
            <w:pPr>
              <w:spacing w:line="50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4.弯曲角度：覆盖上≥129°、下≥129°，覆盖左右≥118°；</w:t>
            </w:r>
          </w:p>
        </w:tc>
      </w:tr>
      <w:tr w14:paraId="14636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65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5.先端部外径：≤15mm；</w:t>
            </w:r>
          </w:p>
        </w:tc>
      </w:tr>
      <w:tr w14:paraId="0AC55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3B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6.插入部外径：≤12.8mm；</w:t>
            </w:r>
          </w:p>
        </w:tc>
      </w:tr>
      <w:tr w14:paraId="71AC7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D7343">
            <w:pPr>
              <w:spacing w:line="50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7.器械孔道/钳道内径：≥3.7mm；</w:t>
            </w:r>
          </w:p>
        </w:tc>
      </w:tr>
      <w:tr w14:paraId="4337F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7A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8.工作长度≥1200mm；</w:t>
            </w:r>
          </w:p>
        </w:tc>
      </w:tr>
      <w:tr w14:paraId="0C59C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8F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9.镜体全长≥1450mm；</w:t>
            </w:r>
          </w:p>
        </w:tc>
      </w:tr>
      <w:tr w14:paraId="33077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07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10.扫描方法至少包含：电子扇形扫描；</w:t>
            </w:r>
          </w:p>
        </w:tc>
      </w:tr>
      <w:tr w14:paraId="1C85A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C0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11.超声扫描范围：≥120°；</w:t>
            </w:r>
          </w:p>
        </w:tc>
      </w:tr>
      <w:tr w14:paraId="6AD24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14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12.扫描模式至少包含：B模式、PW模式、C模式、THI模式；</w:t>
            </w:r>
          </w:p>
        </w:tc>
      </w:tr>
      <w:tr w14:paraId="52702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16311">
            <w:pPr>
              <w:spacing w:line="50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13.标称频率范围：覆盖4-12MHz或5-13MHz；</w:t>
            </w:r>
          </w:p>
        </w:tc>
      </w:tr>
      <w:tr w14:paraId="094C1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20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14.接触方法：至少包含无菌脱气水浸泡法、直接接触法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；</w:t>
            </w:r>
          </w:p>
        </w:tc>
      </w:tr>
      <w:tr w14:paraId="603B3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98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五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）超声电子上消化道内窥镜（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环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扫型）：</w:t>
            </w:r>
          </w:p>
        </w:tc>
      </w:tr>
      <w:tr w14:paraId="73B99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5C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1.景深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：覆盖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3-100mm；</w:t>
            </w:r>
          </w:p>
        </w:tc>
      </w:tr>
      <w:tr w14:paraId="774D9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B0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2.视野角：≥138°；</w:t>
            </w:r>
          </w:p>
        </w:tc>
      </w:tr>
      <w:tr w14:paraId="15DD0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6485C">
            <w:pPr>
              <w:spacing w:line="50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3.视野方向：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直视或斜视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；</w:t>
            </w:r>
          </w:p>
        </w:tc>
      </w:tr>
      <w:tr w14:paraId="31984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1A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4.弯曲角度：覆盖上≥1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30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°、下≥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90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°，覆盖左右≥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70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°；</w:t>
            </w:r>
          </w:p>
        </w:tc>
      </w:tr>
      <w:tr w14:paraId="44745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C2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5.先端部外径：≤1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mm；</w:t>
            </w:r>
          </w:p>
        </w:tc>
      </w:tr>
      <w:tr w14:paraId="14373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39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6.插入部外径：≤1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2.5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mm；</w:t>
            </w:r>
          </w:p>
        </w:tc>
      </w:tr>
      <w:tr w14:paraId="782C4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F0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7.器械孔道/钳道内径：≥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mm；</w:t>
            </w:r>
          </w:p>
        </w:tc>
      </w:tr>
      <w:tr w14:paraId="194C4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B5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8.工作长度≥1200mm；</w:t>
            </w:r>
          </w:p>
        </w:tc>
      </w:tr>
      <w:tr w14:paraId="51240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4F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9.镜体全长≥1450mm；</w:t>
            </w:r>
          </w:p>
        </w:tc>
      </w:tr>
      <w:tr w14:paraId="35309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C5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10.扫描方法至少包含：电子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环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形扫描；</w:t>
            </w:r>
          </w:p>
        </w:tc>
      </w:tr>
      <w:tr w14:paraId="57F8D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BA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.扫描模式至少包含：B模式、PW模式、C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FM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模式、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M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模式；</w:t>
            </w:r>
          </w:p>
        </w:tc>
      </w:tr>
      <w:tr w14:paraId="74C21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2C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.标称频率范围：覆盖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5-12MHz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；</w:t>
            </w:r>
          </w:p>
          <w:p w14:paraId="164D7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.接触方法：至少包含无菌脱气水浸泡法、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水囊法；</w:t>
            </w:r>
          </w:p>
        </w:tc>
      </w:tr>
      <w:tr w14:paraId="32B93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2F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六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）电子上消化道内窥镜（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治疗胃镜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）：</w:t>
            </w:r>
          </w:p>
        </w:tc>
      </w:tr>
      <w:tr w14:paraId="64B76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1C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1.景深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：覆盖2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-100mm；</w:t>
            </w:r>
          </w:p>
        </w:tc>
      </w:tr>
      <w:tr w14:paraId="22877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39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2.视野角：≥1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45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°；</w:t>
            </w:r>
          </w:p>
        </w:tc>
      </w:tr>
      <w:tr w14:paraId="6DA72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48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.弯曲角度：覆盖上≥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210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°、下≥12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°，覆盖左右≥1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°；</w:t>
            </w:r>
          </w:p>
        </w:tc>
      </w:tr>
      <w:tr w14:paraId="06DB6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08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.先端部外径：≤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9.8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mm；</w:t>
            </w:r>
          </w:p>
        </w:tc>
      </w:tr>
      <w:tr w14:paraId="38A8D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F5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.插入部外径：≤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9.9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mm；</w:t>
            </w:r>
          </w:p>
        </w:tc>
      </w:tr>
      <w:tr w14:paraId="250B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84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.器械孔道/钳道内径：≥3.2mm；</w:t>
            </w:r>
          </w:p>
        </w:tc>
      </w:tr>
      <w:tr w14:paraId="0C3BA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C7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.工作长度≥1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050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mm；</w:t>
            </w:r>
          </w:p>
        </w:tc>
      </w:tr>
      <w:tr w14:paraId="00A50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FB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.镜体全长≥1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00mm；</w:t>
            </w:r>
          </w:p>
        </w:tc>
      </w:tr>
      <w:tr w14:paraId="5E1B8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71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9.具有辅助送水功能</w:t>
            </w:r>
          </w:p>
        </w:tc>
      </w:tr>
      <w:tr w14:paraId="6217E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6D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10.使用年限：</w:t>
            </w:r>
            <w:r>
              <w:rPr>
                <w:rFonts w:hint="default" w:ascii="Arial" w:hAnsi="Arial" w:cs="Arial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≥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7年</w:t>
            </w:r>
          </w:p>
        </w:tc>
      </w:tr>
      <w:tr w14:paraId="2AE4E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CD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七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）电子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下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消化道内窥镜（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肠镜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）：</w:t>
            </w:r>
          </w:p>
        </w:tc>
      </w:tr>
      <w:tr w14:paraId="22DD0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48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1.景深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：覆盖2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-100mm；</w:t>
            </w:r>
          </w:p>
        </w:tc>
      </w:tr>
      <w:tr w14:paraId="4CA76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7B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2.视野角：≥1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70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°；</w:t>
            </w:r>
          </w:p>
        </w:tc>
      </w:tr>
      <w:tr w14:paraId="3DE69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5C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.弯曲角度：覆盖上≥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180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°、下≥1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80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°，覆盖左右≥1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60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°；</w:t>
            </w:r>
          </w:p>
        </w:tc>
      </w:tr>
      <w:tr w14:paraId="71E9B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D7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.先端部外径：≤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11.7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mm；</w:t>
            </w:r>
          </w:p>
        </w:tc>
      </w:tr>
      <w:tr w14:paraId="0EA58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81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.插入部外径：≤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11.8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mm；</w:t>
            </w:r>
          </w:p>
        </w:tc>
      </w:tr>
      <w:tr w14:paraId="0DC89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10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.器械孔道/钳道内径：≥3.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mm；</w:t>
            </w:r>
          </w:p>
        </w:tc>
      </w:tr>
      <w:tr w14:paraId="1BC50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80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.工作长度≥1300mm；</w:t>
            </w:r>
          </w:p>
        </w:tc>
      </w:tr>
      <w:tr w14:paraId="54AF4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AB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.镜体全长≥1650mm；</w:t>
            </w:r>
          </w:p>
        </w:tc>
      </w:tr>
      <w:tr w14:paraId="4B41E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0B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9.具有辅助送水功能；</w:t>
            </w:r>
          </w:p>
        </w:tc>
      </w:tr>
      <w:tr w14:paraId="5740A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44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10.具有刚度可调功能；</w:t>
            </w:r>
          </w:p>
        </w:tc>
      </w:tr>
      <w:tr w14:paraId="3DD70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B0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11.使用年限：</w:t>
            </w:r>
            <w:r>
              <w:rPr>
                <w:rFonts w:hint="default" w:ascii="Arial" w:hAnsi="Arial" w:cs="Arial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≥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7年</w:t>
            </w:r>
          </w:p>
        </w:tc>
      </w:tr>
      <w:tr w14:paraId="6BBCE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9D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(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八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)、4K超高清手术医用显示器：</w:t>
            </w:r>
          </w:p>
        </w:tc>
      </w:tr>
      <w:tr w14:paraId="20C9F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87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≥32英寸4K全高清医用液晶显示器1台；</w:t>
            </w:r>
          </w:p>
          <w:p w14:paraId="7ECA6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.分辨率≥3840×2160；</w:t>
            </w:r>
          </w:p>
        </w:tc>
      </w:tr>
      <w:tr w14:paraId="54B6A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E8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.信号输入包含：DVI/DP/HDMI/SDI。</w:t>
            </w:r>
          </w:p>
        </w:tc>
      </w:tr>
      <w:tr w14:paraId="457E1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F7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(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九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)、内窥镜专用台车：</w:t>
            </w:r>
          </w:p>
        </w:tc>
      </w:tr>
      <w:tr w14:paraId="29B5A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20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具有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键盘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托盘</w:t>
            </w:r>
          </w:p>
        </w:tc>
      </w:tr>
      <w:tr w14:paraId="791B1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1E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2.配备隔离电源</w:t>
            </w:r>
          </w:p>
        </w:tc>
      </w:tr>
    </w:tbl>
    <w:p w14:paraId="48A408A5">
      <w:pPr>
        <w:rPr>
          <w:rFonts w:hint="eastAsia"/>
          <w:sz w:val="24"/>
          <w:szCs w:val="24"/>
        </w:rPr>
      </w:pPr>
    </w:p>
    <w:tbl>
      <w:tblPr>
        <w:tblStyle w:val="6"/>
        <w:tblW w:w="0" w:type="auto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687"/>
      </w:tblGrid>
      <w:tr w14:paraId="44168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4148" w:type="dxa"/>
            <w:noWrap w:val="0"/>
            <w:vAlign w:val="center"/>
          </w:tcPr>
          <w:p w14:paraId="38582D34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4687" w:type="dxa"/>
            <w:noWrap w:val="0"/>
            <w:vAlign w:val="center"/>
          </w:tcPr>
          <w:p w14:paraId="18DAE4BB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数量</w:t>
            </w:r>
          </w:p>
        </w:tc>
      </w:tr>
      <w:tr w14:paraId="32BE3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4148" w:type="dxa"/>
            <w:noWrap w:val="0"/>
            <w:vAlign w:val="center"/>
          </w:tcPr>
          <w:p w14:paraId="1868729E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医用内窥镜图像处理器</w:t>
            </w:r>
          </w:p>
        </w:tc>
        <w:tc>
          <w:tcPr>
            <w:tcW w:w="4687" w:type="dxa"/>
            <w:noWrap w:val="0"/>
            <w:vAlign w:val="center"/>
          </w:tcPr>
          <w:p w14:paraId="126BFF29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</w:tr>
      <w:tr w14:paraId="731BF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4148" w:type="dxa"/>
            <w:noWrap w:val="0"/>
            <w:vAlign w:val="center"/>
          </w:tcPr>
          <w:p w14:paraId="4CDD198E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医用内窥镜冷光源</w:t>
            </w:r>
          </w:p>
        </w:tc>
        <w:tc>
          <w:tcPr>
            <w:tcW w:w="4687" w:type="dxa"/>
            <w:noWrap w:val="0"/>
            <w:vAlign w:val="center"/>
          </w:tcPr>
          <w:p w14:paraId="26F21FD5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</w:tr>
      <w:tr w14:paraId="43C49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148" w:type="dxa"/>
            <w:noWrap w:val="0"/>
            <w:vAlign w:val="center"/>
          </w:tcPr>
          <w:p w14:paraId="74DC7B8A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彩色多普勒超声诊断系统</w:t>
            </w:r>
          </w:p>
        </w:tc>
        <w:tc>
          <w:tcPr>
            <w:tcW w:w="4687" w:type="dxa"/>
            <w:noWrap w:val="0"/>
            <w:vAlign w:val="center"/>
          </w:tcPr>
          <w:p w14:paraId="184D25F4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</w:tr>
      <w:tr w14:paraId="658AE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148" w:type="dxa"/>
            <w:noWrap w:val="0"/>
            <w:vAlign w:val="center"/>
          </w:tcPr>
          <w:p w14:paraId="2BA24776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超声电子上消化道内窥镜(扇扫)</w:t>
            </w:r>
          </w:p>
        </w:tc>
        <w:tc>
          <w:tcPr>
            <w:tcW w:w="4687" w:type="dxa"/>
            <w:noWrap w:val="0"/>
            <w:vAlign w:val="center"/>
          </w:tcPr>
          <w:p w14:paraId="79109E62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</w:tr>
      <w:tr w14:paraId="6E369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148" w:type="dxa"/>
            <w:noWrap w:val="0"/>
            <w:vAlign w:val="center"/>
          </w:tcPr>
          <w:p w14:paraId="6AF6F46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超声电子上消化道内窥镜(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扫)</w:t>
            </w:r>
          </w:p>
        </w:tc>
        <w:tc>
          <w:tcPr>
            <w:tcW w:w="4687" w:type="dxa"/>
            <w:noWrap w:val="0"/>
            <w:vAlign w:val="center"/>
          </w:tcPr>
          <w:p w14:paraId="5224AAB1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</w:tr>
      <w:tr w14:paraId="5A84E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148" w:type="dxa"/>
            <w:noWrap w:val="0"/>
            <w:vAlign w:val="center"/>
          </w:tcPr>
          <w:p w14:paraId="410CC7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电子上消化道内窥镜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治疗胃镜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4687" w:type="dxa"/>
            <w:noWrap w:val="0"/>
            <w:vAlign w:val="center"/>
          </w:tcPr>
          <w:p w14:paraId="6BC08E39"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</w:tr>
      <w:tr w14:paraId="42B9E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148" w:type="dxa"/>
            <w:noWrap w:val="0"/>
            <w:vAlign w:val="center"/>
          </w:tcPr>
          <w:p w14:paraId="3B4C45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电子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消化道内窥镜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肠镜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4687" w:type="dxa"/>
            <w:noWrap w:val="0"/>
            <w:vAlign w:val="center"/>
          </w:tcPr>
          <w:p w14:paraId="7FD0C330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</w:tr>
      <w:tr w14:paraId="21374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148" w:type="dxa"/>
            <w:noWrap w:val="0"/>
            <w:vAlign w:val="center"/>
          </w:tcPr>
          <w:p w14:paraId="1CA044D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内窥镜专用台车</w:t>
            </w:r>
          </w:p>
        </w:tc>
        <w:tc>
          <w:tcPr>
            <w:tcW w:w="4687" w:type="dxa"/>
            <w:noWrap w:val="0"/>
            <w:vAlign w:val="center"/>
          </w:tcPr>
          <w:p w14:paraId="1AA8C8EB"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</w:tr>
      <w:tr w14:paraId="385B2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148" w:type="dxa"/>
            <w:noWrap w:val="0"/>
            <w:vAlign w:val="center"/>
          </w:tcPr>
          <w:p w14:paraId="1592F4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医用显示器</w:t>
            </w:r>
          </w:p>
        </w:tc>
        <w:tc>
          <w:tcPr>
            <w:tcW w:w="4687" w:type="dxa"/>
            <w:noWrap w:val="0"/>
            <w:vAlign w:val="center"/>
          </w:tcPr>
          <w:p w14:paraId="330E5ACB"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</w:tr>
    </w:tbl>
    <w:p w14:paraId="4BD8C40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08D2FE"/>
    <w:multiLevelType w:val="singleLevel"/>
    <w:tmpl w:val="9508D2FE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D9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jc w:val="center"/>
      <w:outlineLvl w:val="0"/>
    </w:pPr>
    <w:rPr>
      <w:rFonts w:ascii="Times New Roman" w:hAnsi="Times New Roman" w:eastAsia="宋体"/>
      <w:b/>
      <w:kern w:val="44"/>
      <w:sz w:val="32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3"/>
    <w:next w:val="1"/>
    <w:qFormat/>
    <w:uiPriority w:val="0"/>
    <w:pPr>
      <w:ind w:firstLine="420" w:firstLineChars="200"/>
    </w:pPr>
    <w:rPr>
      <w:rFonts w:eastAsia="宋体"/>
    </w:rPr>
  </w:style>
  <w:style w:type="paragraph" w:styleId="8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2026-10-14T00:24:18Z</dcterms:created>
  <dc:creator>Administrator</dc:creator>
  <cp:lastModifiedBy>Jack陈</cp:lastModifiedBy>
  <dcterms:modified xsi:type="dcterms:W3CDTF">2026-10-14T00:25:00Z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eyJoZGlkIjoiMTkzNTM4NTM0NzkwNjMxYmY3NGMzZDIxMmQ2MTg5ZmQiLCJ1c2VySWQiOiI0NDUxMzQ1MzcifQ==</vt:lpwstr>
  </property>
  <property fmtid="{D5CDD505-2E9C-101B-9397-08002B2CF9AE}" pid="4" name="ICV">
    <vt:lpwstr>8BD2E7F6EE164FA5BBE2EC0512D3D682_12</vt:lpwstr>
  </property>
</Properties>
</file>