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郸城县农村公路管理所2025年农村公路技术状况自动化检测评定项目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郸财磋商采购-2026-30</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6年5月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15780317">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381B3D82">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081367E4">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6B854A20">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7379A595">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郸城县农村公路管理所2025年农村公路技术状况自动化检测评定项目的潜在投标人应在周口市公共资源交易中心网（http://jyzx.zhoukou.gov.cn）获取招标文件，并于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06</w:t>
      </w:r>
      <w:r>
        <w:rPr>
          <w:rFonts w:hint="eastAsia" w:ascii="宋体" w:hAnsi="宋体" w:eastAsia="宋体" w:cs="宋体"/>
          <w:sz w:val="24"/>
          <w:szCs w:val="24"/>
        </w:rPr>
        <w:t>月</w:t>
      </w:r>
      <w:r>
        <w:rPr>
          <w:rFonts w:hint="eastAsia" w:ascii="宋体" w:hAnsi="宋体" w:eastAsia="宋体" w:cs="宋体"/>
          <w:sz w:val="24"/>
          <w:szCs w:val="24"/>
          <w:lang w:val="en-US" w:eastAsia="zh-CN"/>
        </w:rPr>
        <w:t>02</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35393798"/>
      <w:bookmarkStart w:id="1" w:name="_Toc28359012"/>
      <w:bookmarkStart w:id="2" w:name="_Toc28359089"/>
      <w:bookmarkStart w:id="3" w:name="_Toc35393629"/>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项目编号：郸财磋商采购-2026-30</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项目名称：郸城县农村公路管理所2025年农村公路技术状况自动化检测评定项目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预算金额：638000.00元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最高限价：638000.00元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郸城县农村公路管理所2025年农村公路技术状况自动化检测评定项目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638000.00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服务期限：合同签订后40日历天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合同履行期限：合同签订后40日历天</w:t>
      </w:r>
    </w:p>
    <w:p w14:paraId="63CB521C">
      <w:pPr>
        <w:spacing w:line="360" w:lineRule="auto"/>
        <w:ind w:firstLine="480" w:firstLineChars="200"/>
        <w:jc w:val="left"/>
        <w:rPr>
          <w:rFonts w:hint="eastAsia" w:ascii="宋体" w:hAnsi="宋体" w:eastAsia="宋体" w:cs="宋体"/>
          <w:sz w:val="24"/>
          <w:szCs w:val="24"/>
        </w:rPr>
      </w:pPr>
      <w:bookmarkStart w:id="4" w:name="_Toc35393630"/>
      <w:bookmarkStart w:id="5" w:name="_Toc28359013"/>
      <w:bookmarkStart w:id="6" w:name="_Toc28359090"/>
      <w:bookmarkStart w:id="7" w:name="_Toc35393799"/>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本项目是否为只面向中小企业采购：是，采购预留金额638000.00元；必须提供中小企业声明函。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（2）供应商须具有交通运输主管部门核发的有效的公路水运工程质量检测机构公路工程专业乙级及以上资质；拟派项目负责人须具备道路工程专业试验检测师证书。</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05</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20</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05</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27</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632"/>
      <w:bookmarkStart w:id="13" w:name="_Toc28359015"/>
      <w:bookmarkStart w:id="14" w:name="_Toc28359092"/>
      <w:bookmarkStart w:id="15" w:name="_Toc35393801"/>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06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02</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28359016"/>
      <w:bookmarkStart w:id="18" w:name="_Toc28359093"/>
      <w:bookmarkStart w:id="19" w:name="_Toc35393633"/>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06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02</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634"/>
      <w:bookmarkStart w:id="21" w:name="_Toc35393803"/>
      <w:bookmarkStart w:id="22" w:name="_Toc28359094"/>
      <w:bookmarkStart w:id="23" w:name="_Toc28359017"/>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28359018"/>
      <w:bookmarkStart w:id="28" w:name="_Toc35393805"/>
      <w:bookmarkStart w:id="29" w:name="_Toc35393636"/>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称：郸城县农村公路管理所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刘守建    联系方式：18238973356</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郝冰</w:t>
      </w:r>
      <w:r>
        <w:rPr>
          <w:rFonts w:hint="eastAsia" w:ascii="宋体" w:hAnsi="宋体" w:eastAsia="宋体" w:cs="宋体"/>
          <w:sz w:val="24"/>
          <w:szCs w:val="24"/>
        </w:rPr>
        <w:t xml:space="preserve">   联系方式：</w:t>
      </w:r>
      <w:bookmarkStart w:id="32" w:name="_Toc28359087"/>
      <w:bookmarkStart w:id="33" w:name="_Toc28359010"/>
      <w:r>
        <w:rPr>
          <w:rFonts w:hint="eastAsia" w:ascii="宋体" w:hAnsi="宋体" w:eastAsia="宋体" w:cs="宋体"/>
          <w:sz w:val="24"/>
          <w:szCs w:val="24"/>
          <w:lang w:val="en-US" w:eastAsia="zh-CN"/>
        </w:rPr>
        <w:t>0394-8106517、13513878800</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05</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20</w:t>
      </w:r>
      <w:r>
        <w:rPr>
          <w:rFonts w:hint="eastAsia" w:ascii="宋体" w:hAnsi="宋体" w:eastAsia="宋体" w:cs="宋体"/>
          <w:sz w:val="24"/>
          <w:szCs w:val="24"/>
        </w:rPr>
        <w:t>日</w:t>
      </w:r>
      <w:bookmarkStart w:id="43" w:name="_GoBack"/>
      <w:bookmarkEnd w:id="43"/>
      <w:r>
        <w:rPr>
          <w:rFonts w:hint="eastAsia" w:ascii="宋体" w:hAnsi="宋体" w:eastAsia="宋体" w:cs="宋体"/>
          <w:sz w:val="24"/>
          <w:szCs w:val="24"/>
        </w:rPr>
        <w:t>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项目名称：郸城县农村公路管理所2025年农村公路技术状况自动化检测评定项目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采购内容：郸城县农村公路管理所2025年农村公路技术状况自动化检测评定项目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采购人：郸城县农村公路管理所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合同签订后40日历天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服务完成后一次性付清所有款项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638000.00元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2.2“采购人”：郸城县农村公路管理所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7E9362B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1F536B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741DBC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649A647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20C57D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08A9D1">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73F17D7">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报价得分（30分）</w:t>
            </w:r>
          </w:p>
        </w:tc>
        <w:tc>
          <w:tcPr>
            <w:tcW w:w="2304" w:type="dxa"/>
            <w:tcBorders>
              <w:top w:val="single" w:color="auto" w:sz="4" w:space="0"/>
              <w:left w:val="single" w:color="auto" w:sz="4" w:space="0"/>
              <w:bottom w:val="single" w:color="auto" w:sz="4" w:space="0"/>
              <w:right w:val="single" w:color="auto" w:sz="4" w:space="0"/>
            </w:tcBorders>
            <w:vAlign w:val="center"/>
          </w:tcPr>
          <w:p w14:paraId="4A827BA1">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（30分）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ACDB851">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1124B353">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报价得分=（评标基准价/评标价）×30</w:t>
            </w:r>
          </w:p>
          <w:p w14:paraId="48003DF6">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4C55D2CB">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13849A14">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6117AD0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764F15EA">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FE02AD8">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E67A1D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技术部分(46分)</w:t>
            </w:r>
          </w:p>
          <w:p w14:paraId="38B8E364">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7F839D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整体服务方案（8分）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C6E08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整体服务方案的得基础分8分，缺项或不提供不</w:t>
            </w:r>
            <w:r>
              <w:rPr>
                <w:rFonts w:ascii="宋体" w:hAnsi="宋体" w:eastAsia="宋体" w:cs="宋体"/>
                <w:sz w:val="24"/>
                <w:szCs w:val="24"/>
              </w:rPr>
              <w:t>得分</w:t>
            </w:r>
            <w:r>
              <w:rPr>
                <w:rFonts w:hint="eastAsia" w:ascii="宋体" w:hAnsi="宋体" w:eastAsia="宋体" w:cs="宋体"/>
                <w:sz w:val="24"/>
                <w:szCs w:val="24"/>
              </w:rPr>
              <w:t>。</w:t>
            </w:r>
          </w:p>
          <w:p w14:paraId="78CF9DA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57F29CD">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5D8813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DE16E7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重点、难点 分析及解决方案（8分）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8FA47A7">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供应商提供重点、难点 分析及解决方案的</w:t>
            </w:r>
            <w:r>
              <w:rPr>
                <w:rFonts w:ascii="宋体" w:hAnsi="宋体" w:eastAsia="宋体" w:cs="宋体"/>
                <w:sz w:val="24"/>
                <w:szCs w:val="24"/>
              </w:rPr>
              <w:t>得</w:t>
            </w:r>
            <w:r>
              <w:rPr>
                <w:rFonts w:hint="eastAsia" w:ascii="宋体" w:hAnsi="宋体" w:eastAsia="宋体" w:cs="宋体"/>
                <w:sz w:val="24"/>
                <w:szCs w:val="24"/>
              </w:rPr>
              <w:t>基础分8分，缺项或不提供不</w:t>
            </w:r>
            <w:r>
              <w:rPr>
                <w:rFonts w:ascii="宋体" w:hAnsi="宋体" w:eastAsia="宋体" w:cs="宋体"/>
                <w:sz w:val="24"/>
                <w:szCs w:val="24"/>
              </w:rPr>
              <w:t>得分</w:t>
            </w:r>
            <w:r>
              <w:rPr>
                <w:rFonts w:hint="eastAsia" w:ascii="宋体" w:hAnsi="宋体" w:eastAsia="宋体" w:cs="宋体"/>
                <w:sz w:val="24"/>
                <w:szCs w:val="24"/>
              </w:rPr>
              <w:t>。</w:t>
            </w:r>
          </w:p>
          <w:p w14:paraId="0C57F5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4A92BBD0">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73582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6093F8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内控制度建设（8分）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19A614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供应商提供内控制度建设的得基础分8分，缺项或不提供不</w:t>
            </w:r>
            <w:r>
              <w:rPr>
                <w:rFonts w:ascii="宋体" w:hAnsi="宋体" w:eastAsia="宋体" w:cs="宋体"/>
                <w:sz w:val="24"/>
                <w:szCs w:val="24"/>
              </w:rPr>
              <w:t>得分</w:t>
            </w:r>
            <w:r>
              <w:rPr>
                <w:rFonts w:hint="eastAsia" w:ascii="宋体" w:hAnsi="宋体" w:eastAsia="宋体" w:cs="宋体"/>
                <w:sz w:val="24"/>
                <w:szCs w:val="24"/>
              </w:rPr>
              <w:t>。</w:t>
            </w:r>
          </w:p>
          <w:p w14:paraId="3BD7382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5C766B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A3BED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81370F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档案管理制度（8分）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4DD724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供应商提供档案管理制度的得基础分8分，缺项或不提供不得分。</w:t>
            </w:r>
          </w:p>
          <w:p w14:paraId="4CE26EF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07B4C010">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5D64506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C6E7A41">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关键性技术问题的识别与对策（7分）</w:t>
            </w:r>
          </w:p>
        </w:tc>
        <w:tc>
          <w:tcPr>
            <w:tcW w:w="5605" w:type="dxa"/>
            <w:gridSpan w:val="2"/>
            <w:tcBorders>
              <w:top w:val="single" w:color="auto" w:sz="4" w:space="0"/>
              <w:left w:val="single" w:color="auto" w:sz="4" w:space="0"/>
              <w:bottom w:val="single" w:color="auto" w:sz="4" w:space="0"/>
              <w:right w:val="single" w:color="auto" w:sz="4" w:space="0"/>
            </w:tcBorders>
          </w:tcPr>
          <w:p w14:paraId="797CD10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供应商提供关键性技术问题的识别与对策的得基础分7分；缺项或未提供不得分。</w:t>
            </w:r>
          </w:p>
          <w:p w14:paraId="6554F7D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AF163BE">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DBBB59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533715F">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后续服务的安排及保证措施（7分）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022CD6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后续服务的安排及保证措施的</w:t>
            </w:r>
            <w:r>
              <w:rPr>
                <w:rFonts w:ascii="宋体" w:hAnsi="宋体" w:eastAsia="宋体" w:cs="宋体"/>
                <w:sz w:val="24"/>
                <w:szCs w:val="24"/>
              </w:rPr>
              <w:t>得</w:t>
            </w:r>
            <w:r>
              <w:rPr>
                <w:rFonts w:hint="eastAsia" w:ascii="宋体" w:hAnsi="宋体" w:eastAsia="宋体" w:cs="宋体"/>
                <w:sz w:val="24"/>
                <w:szCs w:val="24"/>
              </w:rPr>
              <w:t>基础分7分，缺项或不提供不得分。</w:t>
            </w:r>
          </w:p>
          <w:p w14:paraId="319136D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068DC433">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98C4C1D">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商务部分（24分）</w:t>
            </w:r>
          </w:p>
          <w:p w14:paraId="6650B1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0A61D1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企业业绩（6分）</w:t>
            </w:r>
          </w:p>
        </w:tc>
        <w:tc>
          <w:tcPr>
            <w:tcW w:w="5605" w:type="dxa"/>
            <w:gridSpan w:val="2"/>
            <w:tcBorders>
              <w:top w:val="single" w:color="auto" w:sz="4" w:space="0"/>
              <w:left w:val="single" w:color="auto" w:sz="4" w:space="0"/>
              <w:bottom w:val="single" w:color="auto" w:sz="4" w:space="0"/>
              <w:right w:val="single" w:color="auto" w:sz="4" w:space="0"/>
            </w:tcBorders>
          </w:tcPr>
          <w:p w14:paraId="3FB7BB0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供应商具有2023年1月1日以来完成过的类似项目业绩（以合同签订时间为准）；每提供一份类似业绩得2分，满分6分。（需提供合同协议书、成交通知书及中标公告网页截图或合同协议书和资金支付凭证）</w:t>
            </w:r>
          </w:p>
        </w:tc>
      </w:tr>
      <w:tr w14:paraId="533F13C9">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8BAB0B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D1B2F7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企业实力 （6分）</w:t>
            </w:r>
          </w:p>
        </w:tc>
        <w:tc>
          <w:tcPr>
            <w:tcW w:w="5605" w:type="dxa"/>
            <w:gridSpan w:val="2"/>
            <w:tcBorders>
              <w:top w:val="single" w:color="auto" w:sz="4" w:space="0"/>
              <w:left w:val="single" w:color="auto" w:sz="4" w:space="0"/>
              <w:bottom w:val="single" w:color="auto" w:sz="4" w:space="0"/>
              <w:right w:val="single" w:color="auto" w:sz="4" w:space="0"/>
            </w:tcBorders>
          </w:tcPr>
          <w:p w14:paraId="16F86B7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供应商自成立以来，参编过农村公路相关的国家标准或地方标准的，每有一项得2分，本项最高得6分。需提供标准文件的封面、扉页、目录、版权页等相应证明材料。</w:t>
            </w:r>
          </w:p>
        </w:tc>
      </w:tr>
      <w:tr w14:paraId="0D45F22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27266C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DEEB6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7F92D2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供应商提供服务承诺，包含但不限于服务计划、服务体系等的得4分，缺项或不提供不得分。</w:t>
            </w:r>
          </w:p>
        </w:tc>
      </w:tr>
      <w:tr w14:paraId="6A29EDFE">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3A70DF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AD0B1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其他承诺（8分）</w:t>
            </w:r>
          </w:p>
        </w:tc>
        <w:tc>
          <w:tcPr>
            <w:tcW w:w="5605" w:type="dxa"/>
            <w:gridSpan w:val="2"/>
            <w:tcBorders>
              <w:top w:val="single" w:color="auto" w:sz="4" w:space="0"/>
              <w:left w:val="single" w:color="auto" w:sz="4" w:space="0"/>
              <w:bottom w:val="single" w:color="auto" w:sz="4" w:space="0"/>
              <w:right w:val="single" w:color="auto" w:sz="4" w:space="0"/>
            </w:tcBorders>
          </w:tcPr>
          <w:p w14:paraId="6F4F742D">
            <w:pPr>
              <w:jc w:val="left"/>
              <w:textAlignment w:val="center"/>
              <w:rPr>
                <w:rFonts w:hint="eastAsia" w:ascii="宋体" w:hAnsi="宋体" w:eastAsia="宋体" w:cs="宋体"/>
                <w:sz w:val="24"/>
                <w:szCs w:val="24"/>
              </w:rPr>
            </w:pPr>
            <w:r>
              <w:rPr>
                <w:rFonts w:hint="eastAsia" w:ascii="宋体" w:hAnsi="宋体" w:eastAsia="宋体" w:cs="宋体"/>
                <w:sz w:val="24"/>
                <w:szCs w:val="24"/>
              </w:rPr>
              <w:t>1.供应商承诺在合同期内积极配合采购的各项工作安排，建立顺畅的沟通机制的得4分。缺项或不提供不得分。</w:t>
            </w:r>
          </w:p>
          <w:p w14:paraId="2B4BBF60">
            <w:pPr>
              <w:jc w:val="left"/>
              <w:textAlignment w:val="center"/>
              <w:rPr>
                <w:rFonts w:hint="eastAsia" w:ascii="宋体" w:hAnsi="宋体" w:eastAsia="宋体" w:cs="宋体"/>
                <w:sz w:val="24"/>
                <w:szCs w:val="24"/>
              </w:rPr>
            </w:pPr>
            <w:r>
              <w:rPr>
                <w:rFonts w:hint="eastAsia" w:ascii="宋体" w:hAnsi="宋体" w:eastAsia="宋体" w:cs="宋体"/>
                <w:sz w:val="24"/>
                <w:szCs w:val="24"/>
              </w:rPr>
              <w:t>2.供应商承诺对服务人员加强安全教育，如发生安全事故（事故与供应商有关的），供应商则承担一切责任和费用，采购单位不承担连带责任的得4分。缺项或不提供不得分。</w:t>
            </w:r>
          </w:p>
          <w:p w14:paraId="0347879B">
            <w:pPr>
              <w:pStyle w:val="2"/>
              <w:rPr>
                <w:rFonts w:hint="eastAsia" w:ascii="宋体" w:hAnsi="宋体" w:eastAsia="宋体" w:cs="宋体"/>
                <w:color w:val="auto"/>
                <w:kern w:val="2"/>
                <w:szCs w:val="24"/>
              </w:rPr>
            </w:pP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015697D3">
      <w:pPr>
        <w:pStyle w:val="21"/>
        <w:spacing w:line="480" w:lineRule="auto"/>
        <w:ind w:firstLine="360" w:firstLineChars="200"/>
        <w:rPr>
          <w:rFonts w:hint="eastAsia" w:ascii="宋体" w:hAnsi="宋体" w:eastAsia="宋体" w:cs="Times New Roman"/>
          <w:sz w:val="28"/>
          <w:szCs w:val="28"/>
        </w:rPr>
      </w:pPr>
      <w:r>
        <w:rPr>
          <w:rFonts w:hint="eastAsia"/>
        </w:rPr>
        <w:t>　</w:t>
      </w:r>
      <w:r>
        <w:rPr>
          <w:rFonts w:hint="eastAsia" w:ascii="宋体" w:hAnsi="宋体" w:eastAsia="宋体" w:cs="Times New Roman"/>
          <w:sz w:val="28"/>
          <w:szCs w:val="28"/>
        </w:rPr>
        <w:t>一、项目概况</w:t>
      </w:r>
    </w:p>
    <w:p w14:paraId="720B1FB7">
      <w:pPr>
        <w:autoSpaceDE w:val="0"/>
        <w:autoSpaceDN w:val="0"/>
        <w:snapToGrid w:val="0"/>
        <w:spacing w:line="48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郸城县农村公路管理所2025年度农村公路路况自动化评定检测项目，总里程为2900公里。</w:t>
      </w:r>
    </w:p>
    <w:p w14:paraId="2FCC93D0">
      <w:pPr>
        <w:autoSpaceDE w:val="0"/>
        <w:autoSpaceDN w:val="0"/>
        <w:snapToGrid w:val="0"/>
        <w:spacing w:line="48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二、采购内容</w:t>
      </w:r>
    </w:p>
    <w:p w14:paraId="564F59F8">
      <w:pPr>
        <w:autoSpaceDE w:val="0"/>
        <w:autoSpaceDN w:val="0"/>
        <w:snapToGrid w:val="0"/>
        <w:spacing w:line="48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根据按照《公路技术状况评定标准》（JTG 5210）、《农村公路技术状况评定标准》(JTG 5211)有关要求，对采购人指定路段公路路面技术状况自动化检测和数据处理、提交现场检测的影像资料（包含但不限于路面原图、标注的病害图、路面景观图像等，同时能够在平台上进行可视化展示），出具分析报告。</w:t>
      </w:r>
    </w:p>
    <w:p w14:paraId="3A20531A">
      <w:pPr>
        <w:pStyle w:val="21"/>
        <w:spacing w:line="480" w:lineRule="auto"/>
        <w:ind w:firstLine="560" w:firstLineChars="200"/>
        <w:rPr>
          <w:rFonts w:hint="eastAsia" w:ascii="宋体" w:hAnsi="宋体" w:eastAsia="宋体" w:cs="Times New Roman"/>
          <w:sz w:val="28"/>
          <w:szCs w:val="28"/>
        </w:rPr>
      </w:pPr>
    </w:p>
    <w:p w14:paraId="44A4E8BD">
      <w:pPr>
        <w:spacing w:after="160" w:line="278" w:lineRule="auto"/>
        <w:jc w:val="left"/>
        <w:rPr>
          <w:rFonts w:hint="eastAsia" w:ascii="宋体" w:hAnsi="宋体" w:eastAsia="宋体" w:cs="Times New Roman"/>
          <w:sz w:val="28"/>
          <w:szCs w:val="28"/>
        </w:rPr>
      </w:pPr>
    </w:p>
    <w:p w14:paraId="1C0C04F0">
      <w:pPr>
        <w:jc w:val="center"/>
        <w:rPr>
          <w:rFonts w:hint="eastAsia"/>
        </w:rPr>
      </w:pPr>
    </w:p>
    <w:p w14:paraId="35B5E759">
      <w:pPr>
        <w:jc w:val="center"/>
        <w:rPr>
          <w:rFonts w:hint="eastAsia" w:ascii="宋体" w:hAnsi="宋体" w:eastAsia="宋体" w:cs="Times New Roman"/>
          <w:sz w:val="40"/>
          <w:szCs w:val="40"/>
          <w14:ligatures w14:val="standardContextual"/>
        </w:rPr>
      </w:pPr>
      <w:r>
        <w:rPr>
          <w:rFonts w:hint="eastAsia"/>
        </w:rPr>
        <w:t>　</w:t>
      </w:r>
    </w:p>
    <w:p w14:paraId="2B18C1A6">
      <w:pPr>
        <w:widowControl/>
        <w:spacing w:line="480" w:lineRule="auto"/>
        <w:ind w:firstLine="560" w:firstLineChars="200"/>
        <w:jc w:val="left"/>
        <w:rPr>
          <w:rFonts w:hint="eastAsia" w:ascii="宋体" w:hAnsi="宋体" w:eastAsia="宋体" w:cs="宋体"/>
          <w:bCs/>
          <w:kern w:val="0"/>
          <w:sz w:val="28"/>
          <w:szCs w:val="28"/>
        </w:rPr>
      </w:pPr>
    </w:p>
    <w:p w14:paraId="7132DFED">
      <w:pPr>
        <w:widowControl/>
        <w:spacing w:line="360" w:lineRule="auto"/>
        <w:ind w:firstLine="560" w:firstLineChars="200"/>
        <w:jc w:val="left"/>
        <w:rPr>
          <w:rFonts w:hint="eastAsia" w:ascii="宋体" w:hAnsi="宋体" w:eastAsia="宋体" w:cs="宋体"/>
          <w:bCs/>
          <w:kern w:val="0"/>
          <w:sz w:val="28"/>
          <w:szCs w:val="28"/>
        </w:rPr>
      </w:pPr>
    </w:p>
    <w:p w14:paraId="1A9B297A">
      <w:pPr>
        <w:rPr>
          <w:rFonts w:hint="eastAsia" w:ascii="宋体" w:hAnsi="宋体" w:eastAsia="宋体" w:cs="宋体"/>
          <w:sz w:val="24"/>
          <w:szCs w:val="24"/>
        </w:rPr>
      </w:pP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9073" w:type="dxa"/>
        <w:tblInd w:w="-289" w:type="dxa"/>
        <w:tblLayout w:type="autofit"/>
        <w:tblCellMar>
          <w:top w:w="0" w:type="dxa"/>
          <w:left w:w="108" w:type="dxa"/>
          <w:bottom w:w="0" w:type="dxa"/>
          <w:right w:w="108" w:type="dxa"/>
        </w:tblCellMar>
      </w:tblPr>
      <w:tblGrid>
        <w:gridCol w:w="1985"/>
        <w:gridCol w:w="1701"/>
        <w:gridCol w:w="1276"/>
        <w:gridCol w:w="1418"/>
        <w:gridCol w:w="1559"/>
        <w:gridCol w:w="1134"/>
      </w:tblGrid>
      <w:tr w14:paraId="54D2BB36">
        <w:tblPrEx>
          <w:tblCellMar>
            <w:top w:w="0" w:type="dxa"/>
            <w:left w:w="108" w:type="dxa"/>
            <w:bottom w:w="0" w:type="dxa"/>
            <w:right w:w="108" w:type="dxa"/>
          </w:tblCellMar>
        </w:tblPrEx>
        <w:trPr>
          <w:trHeight w:val="1242" w:hRule="atLeast"/>
        </w:trPr>
        <w:tc>
          <w:tcPr>
            <w:tcW w:w="1985" w:type="dxa"/>
            <w:tcBorders>
              <w:top w:val="single" w:color="auto" w:sz="4" w:space="0"/>
              <w:left w:val="single" w:color="auto" w:sz="4" w:space="0"/>
              <w:bottom w:val="single" w:color="auto" w:sz="4" w:space="0"/>
              <w:right w:val="single" w:color="auto" w:sz="4" w:space="0"/>
            </w:tcBorders>
            <w:vAlign w:val="center"/>
          </w:tcPr>
          <w:p w14:paraId="0547127F">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1701" w:type="dxa"/>
            <w:tcBorders>
              <w:top w:val="single" w:color="auto" w:sz="4" w:space="0"/>
              <w:left w:val="nil"/>
              <w:bottom w:val="single" w:color="auto" w:sz="4" w:space="0"/>
              <w:right w:val="single" w:color="auto" w:sz="4" w:space="0"/>
            </w:tcBorders>
            <w:vAlign w:val="center"/>
          </w:tcPr>
          <w:p w14:paraId="38B7D05C">
            <w:pPr>
              <w:widowControl/>
              <w:ind w:right="-176" w:rightChars="-84"/>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名称</w:t>
            </w:r>
          </w:p>
        </w:tc>
        <w:tc>
          <w:tcPr>
            <w:tcW w:w="1276" w:type="dxa"/>
            <w:tcBorders>
              <w:top w:val="single" w:color="auto" w:sz="4" w:space="0"/>
              <w:left w:val="nil"/>
              <w:bottom w:val="single" w:color="auto" w:sz="4" w:space="0"/>
              <w:right w:val="single" w:color="auto" w:sz="4" w:space="0"/>
            </w:tcBorders>
            <w:vAlign w:val="center"/>
          </w:tcPr>
          <w:p w14:paraId="5476A768">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数量</w:t>
            </w:r>
          </w:p>
        </w:tc>
        <w:tc>
          <w:tcPr>
            <w:tcW w:w="1418" w:type="dxa"/>
            <w:tcBorders>
              <w:top w:val="single" w:color="auto" w:sz="4" w:space="0"/>
              <w:left w:val="nil"/>
              <w:bottom w:val="single" w:color="auto" w:sz="4" w:space="0"/>
              <w:right w:val="single" w:color="auto" w:sz="4" w:space="0"/>
            </w:tcBorders>
            <w:vAlign w:val="center"/>
          </w:tcPr>
          <w:p w14:paraId="67013332">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单位</w:t>
            </w:r>
          </w:p>
        </w:tc>
        <w:tc>
          <w:tcPr>
            <w:tcW w:w="1559" w:type="dxa"/>
            <w:tcBorders>
              <w:top w:val="single" w:color="auto" w:sz="4" w:space="0"/>
              <w:left w:val="nil"/>
              <w:bottom w:val="single" w:color="auto" w:sz="4" w:space="0"/>
              <w:right w:val="single" w:color="auto" w:sz="4" w:space="0"/>
            </w:tcBorders>
            <w:vAlign w:val="center"/>
          </w:tcPr>
          <w:p w14:paraId="3415ED04">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单价（元）</w:t>
            </w:r>
          </w:p>
        </w:tc>
        <w:tc>
          <w:tcPr>
            <w:tcW w:w="1134" w:type="dxa"/>
            <w:tcBorders>
              <w:top w:val="single" w:color="auto" w:sz="4" w:space="0"/>
              <w:left w:val="nil"/>
              <w:bottom w:val="single" w:color="auto" w:sz="4" w:space="0"/>
              <w:right w:val="single" w:color="auto" w:sz="4" w:space="0"/>
            </w:tcBorders>
            <w:vAlign w:val="center"/>
          </w:tcPr>
          <w:p w14:paraId="483282DA">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小计（元）</w:t>
            </w:r>
          </w:p>
        </w:tc>
      </w:tr>
      <w:tr w14:paraId="12E52C42">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225E9821">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E51388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3DD79DB5">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13CA0FC9">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9CC3C21">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3B2B9AFA">
            <w:pPr>
              <w:widowControl/>
              <w:jc w:val="left"/>
              <w:rPr>
                <w:rFonts w:hint="eastAsia" w:ascii="宋体" w:hAnsi="宋体" w:eastAsia="宋体" w:cs="宋体"/>
                <w:color w:val="000000"/>
                <w:kern w:val="0"/>
                <w:sz w:val="28"/>
                <w:szCs w:val="28"/>
              </w:rPr>
            </w:pPr>
          </w:p>
        </w:tc>
      </w:tr>
      <w:tr w14:paraId="38E09F67">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1918E782">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306561CB">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B725BA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D3228C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853F6DF">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28329DE8">
            <w:pPr>
              <w:widowControl/>
              <w:jc w:val="left"/>
              <w:rPr>
                <w:rFonts w:hint="eastAsia" w:ascii="宋体" w:hAnsi="宋体" w:eastAsia="宋体" w:cs="宋体"/>
                <w:color w:val="000000"/>
                <w:kern w:val="0"/>
                <w:sz w:val="28"/>
                <w:szCs w:val="28"/>
              </w:rPr>
            </w:pPr>
          </w:p>
        </w:tc>
      </w:tr>
      <w:tr w14:paraId="300995E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63011D8">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0A50E02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66005AF">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CC6DA2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ABB9E7">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6E077B14">
            <w:pPr>
              <w:widowControl/>
              <w:jc w:val="left"/>
              <w:rPr>
                <w:rFonts w:hint="eastAsia" w:ascii="宋体" w:hAnsi="宋体" w:eastAsia="宋体" w:cs="宋体"/>
                <w:color w:val="000000"/>
                <w:kern w:val="0"/>
                <w:sz w:val="28"/>
                <w:szCs w:val="28"/>
              </w:rPr>
            </w:pPr>
          </w:p>
        </w:tc>
      </w:tr>
      <w:tr w14:paraId="433B413B">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F8749B7">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F8BD44F">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7B3EB004">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F3788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D628178">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570DB08F">
            <w:pPr>
              <w:widowControl/>
              <w:jc w:val="left"/>
              <w:rPr>
                <w:rFonts w:hint="eastAsia" w:ascii="宋体" w:hAnsi="宋体" w:eastAsia="宋体" w:cs="宋体"/>
                <w:color w:val="000000"/>
                <w:kern w:val="0"/>
                <w:sz w:val="28"/>
                <w:szCs w:val="28"/>
              </w:rPr>
            </w:pPr>
          </w:p>
        </w:tc>
      </w:tr>
      <w:tr w14:paraId="0F25FD9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34241C2">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7CF89C17">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FC7E14C">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21B0E4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3009D2E">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099AB532">
            <w:pPr>
              <w:widowControl/>
              <w:jc w:val="left"/>
              <w:rPr>
                <w:rFonts w:hint="eastAsia" w:ascii="宋体" w:hAnsi="宋体" w:eastAsia="宋体" w:cs="宋体"/>
                <w:color w:val="000000"/>
                <w:kern w:val="0"/>
                <w:sz w:val="28"/>
                <w:szCs w:val="28"/>
              </w:rPr>
            </w:pPr>
          </w:p>
        </w:tc>
      </w:tr>
      <w:tr w14:paraId="7B238BE7">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3F7DFC5E">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562CD66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B782F2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CB690C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2DE4FA2">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5A1CC33">
            <w:pPr>
              <w:widowControl/>
              <w:jc w:val="left"/>
              <w:rPr>
                <w:rFonts w:hint="eastAsia" w:ascii="宋体" w:hAnsi="宋体" w:eastAsia="宋体" w:cs="宋体"/>
                <w:color w:val="000000"/>
                <w:kern w:val="0"/>
                <w:sz w:val="28"/>
                <w:szCs w:val="28"/>
              </w:rPr>
            </w:pPr>
          </w:p>
        </w:tc>
      </w:tr>
      <w:tr w14:paraId="01A93E28">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0B0D09B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209C7B2E">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58113A7">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3DBD825">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3FFBB31">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24BCFFAC">
            <w:pPr>
              <w:widowControl/>
              <w:jc w:val="left"/>
              <w:rPr>
                <w:rFonts w:hint="eastAsia" w:ascii="宋体" w:hAnsi="宋体" w:eastAsia="宋体" w:cs="宋体"/>
                <w:color w:val="000000"/>
                <w:kern w:val="0"/>
                <w:sz w:val="28"/>
                <w:szCs w:val="28"/>
              </w:rPr>
            </w:pPr>
          </w:p>
        </w:tc>
      </w:tr>
      <w:tr w14:paraId="2EFDA0EC">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4C241B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18EBD1B2">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E6F7D9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312FB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8006C0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733E1020">
            <w:pPr>
              <w:widowControl/>
              <w:jc w:val="left"/>
              <w:rPr>
                <w:rFonts w:hint="eastAsia" w:ascii="宋体" w:hAnsi="宋体" w:eastAsia="宋体" w:cs="宋体"/>
                <w:color w:val="000000"/>
                <w:kern w:val="0"/>
                <w:sz w:val="28"/>
                <w:szCs w:val="28"/>
              </w:rPr>
            </w:pPr>
          </w:p>
        </w:tc>
      </w:tr>
      <w:tr w14:paraId="18548152">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3135CF8">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11269E6C">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C778548">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040CD5C">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11310B9">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3755BEE">
            <w:pPr>
              <w:widowControl/>
              <w:jc w:val="left"/>
              <w:rPr>
                <w:rFonts w:hint="eastAsia" w:ascii="宋体" w:hAnsi="宋体" w:eastAsia="宋体" w:cs="宋体"/>
                <w:color w:val="000000"/>
                <w:kern w:val="0"/>
                <w:sz w:val="28"/>
                <w:szCs w:val="28"/>
              </w:rPr>
            </w:pPr>
          </w:p>
        </w:tc>
      </w:tr>
      <w:tr w14:paraId="16F4075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7CF1E1AE">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FD41384">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39928FA3">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9D25E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5C3BF8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1983348">
            <w:pPr>
              <w:widowControl/>
              <w:jc w:val="left"/>
              <w:rPr>
                <w:rFonts w:hint="eastAsia" w:ascii="宋体" w:hAnsi="宋体" w:eastAsia="宋体" w:cs="宋体"/>
                <w:color w:val="000000"/>
                <w:kern w:val="0"/>
                <w:sz w:val="28"/>
                <w:szCs w:val="28"/>
              </w:rPr>
            </w:pPr>
          </w:p>
        </w:tc>
      </w:tr>
      <w:tr w14:paraId="0F6388E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2ACA07D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CD12A10">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7289F9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7C80219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A96DDE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68CCAF07">
            <w:pPr>
              <w:widowControl/>
              <w:jc w:val="left"/>
              <w:rPr>
                <w:rFonts w:hint="eastAsia" w:ascii="宋体" w:hAnsi="宋体" w:eastAsia="宋体" w:cs="宋体"/>
                <w:color w:val="000000"/>
                <w:kern w:val="0"/>
                <w:sz w:val="28"/>
                <w:szCs w:val="28"/>
              </w:rPr>
            </w:pPr>
          </w:p>
        </w:tc>
      </w:tr>
      <w:tr w14:paraId="4CA44314">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78877B80">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286E047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6E371DE">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941EF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73B1C0">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0876B256">
            <w:pPr>
              <w:widowControl/>
              <w:jc w:val="left"/>
              <w:rPr>
                <w:rFonts w:hint="eastAsia" w:ascii="宋体" w:hAnsi="宋体" w:eastAsia="宋体" w:cs="宋体"/>
                <w:color w:val="000000"/>
                <w:kern w:val="0"/>
                <w:sz w:val="28"/>
                <w:szCs w:val="28"/>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spacing w:after="120"/>
        <w:ind w:firstLine="240" w:firstLineChars="100"/>
        <w:rPr>
          <w:rFonts w:hint="eastAsia" w:ascii="宋体" w:hAnsi="宋体" w:eastAsia="宋体" w:cs="宋体"/>
          <w:sz w:val="24"/>
          <w:szCs w:val="24"/>
        </w:rPr>
      </w:pPr>
    </w:p>
    <w:p w14:paraId="584E00C4">
      <w:pPr>
        <w:spacing w:after="120"/>
        <w:ind w:firstLine="240" w:firstLineChars="100"/>
        <w:rPr>
          <w:rFonts w:hint="eastAsia" w:ascii="宋体" w:hAnsi="宋体" w:eastAsia="宋体" w:cs="宋体"/>
          <w:sz w:val="24"/>
          <w:szCs w:val="24"/>
        </w:rPr>
      </w:pP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251248814"/>
      <w:bookmarkStart w:id="39" w:name="_Toc152042598"/>
      <w:bookmarkStart w:id="40" w:name="_Toc152045809"/>
      <w:bookmarkStart w:id="41" w:name="_Toc501007317"/>
      <w:bookmarkStart w:id="42" w:name="_Toc14497487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6588"/>
    <w:rsid w:val="00011F17"/>
    <w:rsid w:val="00011FAD"/>
    <w:rsid w:val="0001363B"/>
    <w:rsid w:val="00013DE0"/>
    <w:rsid w:val="000140BD"/>
    <w:rsid w:val="000143B3"/>
    <w:rsid w:val="00015B91"/>
    <w:rsid w:val="00015D33"/>
    <w:rsid w:val="00016D2C"/>
    <w:rsid w:val="0001721E"/>
    <w:rsid w:val="00021423"/>
    <w:rsid w:val="00022263"/>
    <w:rsid w:val="000225EA"/>
    <w:rsid w:val="00023091"/>
    <w:rsid w:val="000236DB"/>
    <w:rsid w:val="0002485C"/>
    <w:rsid w:val="000273E4"/>
    <w:rsid w:val="00030998"/>
    <w:rsid w:val="0003165C"/>
    <w:rsid w:val="000318F7"/>
    <w:rsid w:val="00031938"/>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461E"/>
    <w:rsid w:val="00155B17"/>
    <w:rsid w:val="00157739"/>
    <w:rsid w:val="00157FB5"/>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E71"/>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7717"/>
    <w:rsid w:val="00227E30"/>
    <w:rsid w:val="0023081E"/>
    <w:rsid w:val="0023137B"/>
    <w:rsid w:val="00232306"/>
    <w:rsid w:val="00232566"/>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490C"/>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49"/>
    <w:rsid w:val="0043755F"/>
    <w:rsid w:val="00440018"/>
    <w:rsid w:val="00440CFE"/>
    <w:rsid w:val="00441686"/>
    <w:rsid w:val="00441D0C"/>
    <w:rsid w:val="00441F77"/>
    <w:rsid w:val="004446E7"/>
    <w:rsid w:val="00444957"/>
    <w:rsid w:val="00444E0D"/>
    <w:rsid w:val="004457E3"/>
    <w:rsid w:val="00445938"/>
    <w:rsid w:val="00445B8C"/>
    <w:rsid w:val="004465FF"/>
    <w:rsid w:val="00446D2F"/>
    <w:rsid w:val="00446E79"/>
    <w:rsid w:val="00446F75"/>
    <w:rsid w:val="00447445"/>
    <w:rsid w:val="00450007"/>
    <w:rsid w:val="00450FC4"/>
    <w:rsid w:val="00452236"/>
    <w:rsid w:val="004535AB"/>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82D"/>
    <w:rsid w:val="004A3EA9"/>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2F91"/>
    <w:rsid w:val="005135B6"/>
    <w:rsid w:val="005144F1"/>
    <w:rsid w:val="00514F3D"/>
    <w:rsid w:val="005153C9"/>
    <w:rsid w:val="00515A1A"/>
    <w:rsid w:val="00515C79"/>
    <w:rsid w:val="00516439"/>
    <w:rsid w:val="00520CB1"/>
    <w:rsid w:val="005222E9"/>
    <w:rsid w:val="00522428"/>
    <w:rsid w:val="0052513D"/>
    <w:rsid w:val="00525B90"/>
    <w:rsid w:val="00525BA9"/>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1F29"/>
    <w:rsid w:val="006723C1"/>
    <w:rsid w:val="00672F83"/>
    <w:rsid w:val="00673A89"/>
    <w:rsid w:val="00673D17"/>
    <w:rsid w:val="00675854"/>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3D"/>
    <w:rsid w:val="00746D25"/>
    <w:rsid w:val="00747212"/>
    <w:rsid w:val="007477D9"/>
    <w:rsid w:val="00747816"/>
    <w:rsid w:val="00747BE6"/>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7671"/>
    <w:rsid w:val="0078771E"/>
    <w:rsid w:val="007904A5"/>
    <w:rsid w:val="00791900"/>
    <w:rsid w:val="007922C8"/>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1F5B"/>
    <w:rsid w:val="007D25CB"/>
    <w:rsid w:val="007D2CB5"/>
    <w:rsid w:val="007D306C"/>
    <w:rsid w:val="007D4D19"/>
    <w:rsid w:val="007D5C85"/>
    <w:rsid w:val="007D7F4D"/>
    <w:rsid w:val="007E1F67"/>
    <w:rsid w:val="007E36EE"/>
    <w:rsid w:val="007E3A57"/>
    <w:rsid w:val="007E3CCB"/>
    <w:rsid w:val="007E40B5"/>
    <w:rsid w:val="007E4C10"/>
    <w:rsid w:val="007E64AB"/>
    <w:rsid w:val="007E6887"/>
    <w:rsid w:val="007E6F51"/>
    <w:rsid w:val="007E77C8"/>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9D8"/>
    <w:rsid w:val="00947C5D"/>
    <w:rsid w:val="00947DBA"/>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97E68"/>
    <w:rsid w:val="009A061B"/>
    <w:rsid w:val="009A1EBA"/>
    <w:rsid w:val="009A2605"/>
    <w:rsid w:val="009A2E0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3172"/>
    <w:rsid w:val="00A23C63"/>
    <w:rsid w:val="00A245FC"/>
    <w:rsid w:val="00A25608"/>
    <w:rsid w:val="00A27D77"/>
    <w:rsid w:val="00A27E62"/>
    <w:rsid w:val="00A30ADC"/>
    <w:rsid w:val="00A315CA"/>
    <w:rsid w:val="00A31B06"/>
    <w:rsid w:val="00A321C0"/>
    <w:rsid w:val="00A327F3"/>
    <w:rsid w:val="00A32D96"/>
    <w:rsid w:val="00A32E52"/>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A7AD3"/>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1DE"/>
    <w:rsid w:val="00B713FF"/>
    <w:rsid w:val="00B71629"/>
    <w:rsid w:val="00B722EB"/>
    <w:rsid w:val="00B72C62"/>
    <w:rsid w:val="00B735E4"/>
    <w:rsid w:val="00B73F6C"/>
    <w:rsid w:val="00B74373"/>
    <w:rsid w:val="00B753D3"/>
    <w:rsid w:val="00B80160"/>
    <w:rsid w:val="00B8064A"/>
    <w:rsid w:val="00B80A7D"/>
    <w:rsid w:val="00B80B5C"/>
    <w:rsid w:val="00B80C81"/>
    <w:rsid w:val="00B82819"/>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DFA"/>
    <w:rsid w:val="00CD3F17"/>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EDC"/>
    <w:rsid w:val="00F405C1"/>
    <w:rsid w:val="00F414F0"/>
    <w:rsid w:val="00F41AA5"/>
    <w:rsid w:val="00F42141"/>
    <w:rsid w:val="00F422D1"/>
    <w:rsid w:val="00F431D4"/>
    <w:rsid w:val="00F4403A"/>
    <w:rsid w:val="00F45DB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2430AC"/>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155</Words>
  <Characters>253</Characters>
  <Lines>28</Lines>
  <Paragraphs>46</Paragraphs>
  <TotalTime>12</TotalTime>
  <ScaleCrop>false</ScaleCrop>
  <LinksUpToDate>false</LinksUpToDate>
  <CharactersWithSpaces>277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2026-05-20T02:15:39Z</dcterms:modified>
  <cp:revision>2764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B43D718C87C046D18D6E9ABA9FA9B4F1_12</vt:lpwstr>
  </property>
  <property fmtid="{D5CDD505-2E9C-101B-9397-08002B2CF9AE}" pid="4" name="KSOTemplateDocerSaveRecord">
    <vt:lpwstr>eyJoZGlkIjoiMGI2ZDFmZmVjNjhiYmI3Nzg5YTgxNzM4YzkzMWZjMzEiLCJ1c2VySWQiOiIxMDQyNjE2NTI1In0=</vt:lpwstr>
  </property>
</Properties>
</file>