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C4F02">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5292CD6A">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0A932E5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6FB13D45">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639B5D32">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0F1F8737">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015F572F">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4CF4B8E3">
      <w:pPr>
        <w:tabs>
          <w:tab w:val="left" w:pos="315"/>
          <w:tab w:val="left" w:pos="8820"/>
        </w:tabs>
        <w:spacing w:before="0" w:after="0" w:line="600" w:lineRule="auto"/>
        <w:ind w:right="267"/>
        <w:jc w:val="left"/>
        <w:rPr>
          <w:rFonts w:ascii="宋体" w:hAnsi="宋体" w:eastAsia="宋体" w:cs="宋体"/>
          <w:b/>
          <w:bCs w:val="0"/>
          <w:color w:val="auto"/>
          <w:spacing w:val="0"/>
          <w:position w:val="0"/>
          <w:sz w:val="32"/>
          <w:szCs w:val="32"/>
          <w:highlight w:val="none"/>
          <w:shd w:val="clear" w:fill="auto"/>
        </w:rPr>
      </w:pPr>
    </w:p>
    <w:p w14:paraId="20EA70CC">
      <w:pPr>
        <w:tabs>
          <w:tab w:val="left" w:pos="315"/>
          <w:tab w:val="left" w:pos="8820"/>
        </w:tabs>
        <w:spacing w:before="0" w:after="0" w:line="600" w:lineRule="auto"/>
        <w:ind w:left="0" w:right="267" w:firstLine="643" w:firstLineChars="200"/>
        <w:jc w:val="left"/>
        <w:rPr>
          <w:rFonts w:ascii="宋体" w:hAnsi="宋体" w:eastAsia="宋体" w:cs="宋体"/>
          <w:b/>
          <w:bCs w:val="0"/>
          <w:color w:val="auto"/>
          <w:spacing w:val="0"/>
          <w:position w:val="0"/>
          <w:sz w:val="32"/>
          <w:szCs w:val="32"/>
          <w:highlight w:val="none"/>
          <w:shd w:val="clear" w:fill="auto"/>
        </w:rPr>
      </w:pPr>
    </w:p>
    <w:p w14:paraId="3DFACEDB">
      <w:pPr>
        <w:tabs>
          <w:tab w:val="left" w:pos="315"/>
          <w:tab w:val="left" w:pos="8820"/>
        </w:tabs>
        <w:spacing w:before="0" w:after="0" w:line="600" w:lineRule="auto"/>
        <w:ind w:left="0" w:right="267" w:firstLine="643" w:firstLineChars="200"/>
        <w:jc w:val="left"/>
        <w:rPr>
          <w:rFonts w:ascii="宋体" w:hAnsi="宋体" w:eastAsia="宋体" w:cs="宋体"/>
          <w:b/>
          <w:bCs w:val="0"/>
          <w:color w:val="auto"/>
          <w:spacing w:val="0"/>
          <w:position w:val="0"/>
          <w:sz w:val="32"/>
          <w:szCs w:val="32"/>
          <w:highlight w:val="none"/>
          <w:shd w:val="clear" w:fill="auto"/>
        </w:rPr>
      </w:pPr>
    </w:p>
    <w:p w14:paraId="6DE9A0BF">
      <w:pPr>
        <w:tabs>
          <w:tab w:val="left" w:pos="315"/>
          <w:tab w:val="left" w:pos="8820"/>
        </w:tabs>
        <w:spacing w:before="0" w:after="0" w:line="240" w:lineRule="auto"/>
        <w:ind w:left="0" w:right="267" w:firstLine="640" w:firstLineChars="200"/>
        <w:jc w:val="left"/>
        <w:rPr>
          <w:rFonts w:ascii="宋体" w:hAnsi="宋体" w:eastAsia="宋体" w:cs="宋体"/>
          <w:b w:val="0"/>
          <w:bCs/>
          <w:color w:val="auto"/>
          <w:spacing w:val="0"/>
          <w:position w:val="0"/>
          <w:sz w:val="32"/>
          <w:szCs w:val="32"/>
          <w:highlight w:val="none"/>
          <w:shd w:val="clear" w:fill="auto"/>
        </w:rPr>
      </w:pPr>
    </w:p>
    <w:p w14:paraId="01BC285F">
      <w:pPr>
        <w:tabs>
          <w:tab w:val="left" w:pos="315"/>
          <w:tab w:val="left" w:pos="8820"/>
        </w:tabs>
        <w:spacing w:before="0" w:after="0" w:line="240" w:lineRule="auto"/>
        <w:ind w:left="0" w:right="267" w:firstLine="640" w:firstLineChars="200"/>
        <w:jc w:val="left"/>
        <w:rPr>
          <w:rFonts w:ascii="宋体" w:hAnsi="宋体" w:eastAsia="宋体" w:cs="宋体"/>
          <w:b w:val="0"/>
          <w:bCs/>
          <w:color w:val="auto"/>
          <w:spacing w:val="0"/>
          <w:position w:val="0"/>
          <w:sz w:val="32"/>
          <w:szCs w:val="32"/>
          <w:highlight w:val="none"/>
          <w:shd w:val="clear" w:fill="auto"/>
        </w:rPr>
      </w:pPr>
    </w:p>
    <w:p w14:paraId="3CB0544B">
      <w:pPr>
        <w:tabs>
          <w:tab w:val="left" w:pos="315"/>
          <w:tab w:val="left" w:pos="8820"/>
        </w:tabs>
        <w:spacing w:before="0" w:after="0" w:line="240" w:lineRule="auto"/>
        <w:ind w:left="2238" w:leftChars="304" w:right="267" w:hanging="1600" w:hangingChars="500"/>
        <w:jc w:val="left"/>
        <w:rPr>
          <w:rFonts w:ascii="宋体" w:hAnsi="宋体" w:eastAsia="宋体" w:cs="宋体"/>
          <w:b w:val="0"/>
          <w:bCs/>
          <w:color w:val="auto"/>
          <w:spacing w:val="0"/>
          <w:position w:val="0"/>
          <w:sz w:val="32"/>
          <w:szCs w:val="32"/>
          <w:highlight w:val="none"/>
          <w:shd w:val="clear" w:fill="auto"/>
        </w:rPr>
      </w:pPr>
      <w:r>
        <w:rPr>
          <w:rFonts w:ascii="宋体" w:hAnsi="宋体" w:eastAsia="宋体" w:cs="宋体"/>
          <w:b w:val="0"/>
          <w:bCs/>
          <w:color w:val="auto"/>
          <w:spacing w:val="0"/>
          <w:position w:val="0"/>
          <w:sz w:val="32"/>
          <w:szCs w:val="32"/>
          <w:highlight w:val="none"/>
          <w:shd w:val="clear" w:fill="auto"/>
        </w:rPr>
        <w:t xml:space="preserve">项目名称: </w:t>
      </w:r>
      <w:r>
        <w:rPr>
          <w:rFonts w:hint="eastAsia" w:ascii="宋体" w:hAnsi="宋体" w:eastAsia="宋体" w:cs="宋体"/>
          <w:b w:val="0"/>
          <w:bCs/>
          <w:color w:val="auto"/>
          <w:spacing w:val="0"/>
          <w:position w:val="0"/>
          <w:sz w:val="32"/>
          <w:szCs w:val="32"/>
          <w:highlight w:val="none"/>
          <w:shd w:val="clear" w:fill="auto"/>
          <w:lang w:eastAsia="zh-CN"/>
        </w:rPr>
        <w:t>项城市教育体育局关于实施项城市第一初级中学实验室装备采购项目</w:t>
      </w:r>
    </w:p>
    <w:p w14:paraId="14A959F0">
      <w:pPr>
        <w:tabs>
          <w:tab w:val="left" w:pos="315"/>
          <w:tab w:val="left" w:pos="8820"/>
        </w:tabs>
        <w:spacing w:before="0" w:after="0" w:line="240" w:lineRule="auto"/>
        <w:ind w:left="0" w:right="267" w:firstLine="640" w:firstLineChars="200"/>
        <w:jc w:val="left"/>
        <w:rPr>
          <w:rFonts w:hint="eastAsia" w:ascii="宋体" w:hAnsi="宋体" w:eastAsia="宋体" w:cs="宋体"/>
          <w:b w:val="0"/>
          <w:bCs/>
          <w:color w:val="auto"/>
          <w:spacing w:val="0"/>
          <w:position w:val="0"/>
          <w:sz w:val="32"/>
          <w:highlight w:val="none"/>
          <w:shd w:val="clear" w:fill="auto"/>
          <w:lang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宋体" w:hAnsi="宋体" w:eastAsia="宋体" w:cs="宋体"/>
          <w:b w:val="0"/>
          <w:bCs/>
          <w:color w:val="auto"/>
          <w:spacing w:val="0"/>
          <w:position w:val="0"/>
          <w:sz w:val="32"/>
          <w:szCs w:val="32"/>
          <w:highlight w:val="none"/>
          <w:shd w:val="clear" w:fill="auto"/>
          <w:lang w:val="en-US" w:eastAsia="zh-CN"/>
        </w:rPr>
        <w:t xml:space="preserve"> 项财磋商采购-2026-11        </w:t>
      </w:r>
    </w:p>
    <w:p w14:paraId="7100FD49">
      <w:pPr>
        <w:spacing w:before="0" w:after="120" w:line="240" w:lineRule="auto"/>
        <w:ind w:left="0" w:right="0" w:firstLine="0"/>
        <w:jc w:val="center"/>
        <w:rPr>
          <w:rFonts w:hint="eastAsia" w:ascii="宋体" w:hAnsi="宋体" w:eastAsia="宋体" w:cs="宋体"/>
          <w:b w:val="0"/>
          <w:bCs/>
          <w:color w:val="auto"/>
          <w:spacing w:val="0"/>
          <w:position w:val="0"/>
          <w:sz w:val="32"/>
          <w:szCs w:val="32"/>
          <w:highlight w:val="none"/>
          <w:shd w:val="clear" w:fill="auto"/>
          <w:lang w:val="en-US" w:eastAsia="zh-CN"/>
        </w:rPr>
      </w:pPr>
    </w:p>
    <w:p w14:paraId="0CE7C851">
      <w:pPr>
        <w:spacing w:before="0" w:after="120" w:line="240" w:lineRule="auto"/>
        <w:ind w:left="0" w:right="0" w:firstLine="0"/>
        <w:jc w:val="center"/>
        <w:rPr>
          <w:rFonts w:hint="default" w:ascii="宋体" w:hAnsi="宋体" w:eastAsia="宋体" w:cs="宋体"/>
          <w:b w:val="0"/>
          <w:bCs/>
          <w:color w:val="auto"/>
          <w:spacing w:val="0"/>
          <w:position w:val="0"/>
          <w:sz w:val="32"/>
          <w:highlight w:val="none"/>
          <w:shd w:val="clear" w:fill="auto"/>
          <w:lang w:val="en-US" w:eastAsia="zh-CN"/>
        </w:rPr>
      </w:pPr>
      <w:r>
        <w:rPr>
          <w:rFonts w:hint="eastAsia" w:ascii="宋体" w:hAnsi="宋体" w:eastAsia="宋体" w:cs="宋体"/>
          <w:b w:val="0"/>
          <w:bCs/>
          <w:color w:val="auto"/>
          <w:spacing w:val="0"/>
          <w:position w:val="0"/>
          <w:sz w:val="32"/>
          <w:szCs w:val="32"/>
          <w:highlight w:val="none"/>
          <w:shd w:val="clear" w:fill="auto"/>
          <w:lang w:val="en-US" w:eastAsia="zh-CN"/>
        </w:rPr>
        <w:t>2026</w:t>
      </w:r>
      <w:r>
        <w:rPr>
          <w:rFonts w:ascii="宋体" w:hAnsi="宋体" w:eastAsia="宋体" w:cs="宋体"/>
          <w:b w:val="0"/>
          <w:bCs/>
          <w:color w:val="auto"/>
          <w:spacing w:val="0"/>
          <w:position w:val="0"/>
          <w:sz w:val="32"/>
          <w:szCs w:val="32"/>
          <w:highlight w:val="none"/>
          <w:shd w:val="clear" w:fill="auto"/>
        </w:rPr>
        <w:t>年</w:t>
      </w:r>
      <w:r>
        <w:rPr>
          <w:rFonts w:hint="eastAsia" w:ascii="宋体" w:hAnsi="宋体" w:eastAsia="宋体" w:cs="宋体"/>
          <w:b w:val="0"/>
          <w:bCs/>
          <w:color w:val="auto"/>
          <w:spacing w:val="0"/>
          <w:position w:val="0"/>
          <w:sz w:val="32"/>
          <w:szCs w:val="32"/>
          <w:highlight w:val="none"/>
          <w:shd w:val="clear" w:fill="auto"/>
          <w:lang w:val="en-US" w:eastAsia="zh-CN"/>
        </w:rPr>
        <w:t>5</w:t>
      </w:r>
      <w:r>
        <w:rPr>
          <w:rFonts w:ascii="宋体" w:hAnsi="宋体" w:eastAsia="宋体" w:cs="宋体"/>
          <w:b w:val="0"/>
          <w:bCs/>
          <w:color w:val="auto"/>
          <w:spacing w:val="0"/>
          <w:position w:val="0"/>
          <w:sz w:val="32"/>
          <w:szCs w:val="32"/>
          <w:highlight w:val="none"/>
          <w:shd w:val="clear" w:fill="auto"/>
        </w:rPr>
        <w:t>月</w:t>
      </w:r>
      <w:r>
        <w:rPr>
          <w:rFonts w:hint="eastAsia" w:ascii="宋体" w:hAnsi="宋体" w:eastAsia="宋体" w:cs="宋体"/>
          <w:b w:val="0"/>
          <w:bCs/>
          <w:color w:val="auto"/>
          <w:spacing w:val="0"/>
          <w:position w:val="0"/>
          <w:sz w:val="32"/>
          <w:szCs w:val="32"/>
          <w:highlight w:val="none"/>
          <w:shd w:val="clear" w:fill="auto"/>
          <w:lang w:val="en-US" w:eastAsia="zh-CN"/>
        </w:rPr>
        <w:t>21日</w:t>
      </w:r>
    </w:p>
    <w:p w14:paraId="4B7D3FF2">
      <w:pPr>
        <w:pStyle w:val="8"/>
        <w:ind w:left="0" w:leftChars="0" w:firstLine="0" w:firstLineChars="0"/>
        <w:rPr>
          <w:highlight w:val="none"/>
        </w:rPr>
      </w:pPr>
    </w:p>
    <w:p w14:paraId="24881330">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14C330D1">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04A4663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35E8E73D">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1AE08045">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第三章  采购</w:t>
      </w:r>
      <w:r>
        <w:rPr>
          <w:rFonts w:hint="eastAsia" w:ascii="宋体" w:hAnsi="宋体" w:eastAsia="宋体" w:cs="宋体"/>
          <w:b/>
          <w:color w:val="auto"/>
          <w:spacing w:val="0"/>
          <w:position w:val="0"/>
          <w:sz w:val="32"/>
          <w:highlight w:val="none"/>
          <w:shd w:val="clear" w:fill="auto"/>
          <w:lang w:val="en-US" w:eastAsia="zh-CN"/>
        </w:rPr>
        <w:t>项目内容及要求</w:t>
      </w:r>
      <w:r>
        <w:rPr>
          <w:rFonts w:ascii="宋体" w:hAnsi="宋体" w:eastAsia="宋体" w:cs="宋体"/>
          <w:b/>
          <w:color w:val="auto"/>
          <w:spacing w:val="0"/>
          <w:position w:val="0"/>
          <w:sz w:val="32"/>
          <w:highlight w:val="none"/>
          <w:shd w:val="clear" w:fill="auto"/>
        </w:rPr>
        <w:t>............</w:t>
      </w:r>
      <w:r>
        <w:rPr>
          <w:rFonts w:hint="eastAsia" w:ascii="宋体" w:hAnsi="宋体" w:eastAsia="宋体" w:cs="宋体"/>
          <w:b/>
          <w:color w:val="auto"/>
          <w:spacing w:val="0"/>
          <w:position w:val="0"/>
          <w:sz w:val="32"/>
          <w:highlight w:val="none"/>
          <w:shd w:val="clear" w:fill="auto"/>
          <w:lang w:val="en-US" w:eastAsia="zh-CN"/>
        </w:rPr>
        <w:t xml:space="preserve"> </w:t>
      </w:r>
      <w:r>
        <w:rPr>
          <w:rFonts w:ascii="宋体" w:hAnsi="宋体" w:eastAsia="宋体" w:cs="宋体"/>
          <w:b/>
          <w:color w:val="auto"/>
          <w:spacing w:val="0"/>
          <w:position w:val="0"/>
          <w:sz w:val="32"/>
          <w:highlight w:val="none"/>
          <w:shd w:val="clear" w:fill="auto"/>
        </w:rPr>
        <w:t>..........2</w:t>
      </w:r>
      <w:r>
        <w:rPr>
          <w:rFonts w:hint="eastAsia" w:ascii="宋体" w:hAnsi="宋体" w:eastAsia="宋体" w:cs="宋体"/>
          <w:b/>
          <w:color w:val="auto"/>
          <w:spacing w:val="0"/>
          <w:position w:val="0"/>
          <w:sz w:val="32"/>
          <w:highlight w:val="none"/>
          <w:shd w:val="clear" w:fill="auto"/>
          <w:lang w:val="en-US" w:eastAsia="zh-CN"/>
        </w:rPr>
        <w:t>9</w:t>
      </w:r>
    </w:p>
    <w:p w14:paraId="050EF137">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53</w:t>
      </w:r>
    </w:p>
    <w:p w14:paraId="37E57499">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w:t>
      </w:r>
      <w:r>
        <w:rPr>
          <w:rFonts w:hint="eastAsia" w:ascii="宋体" w:hAnsi="宋体" w:eastAsia="宋体" w:cs="宋体"/>
          <w:b/>
          <w:color w:val="auto"/>
          <w:spacing w:val="0"/>
          <w:position w:val="0"/>
          <w:sz w:val="32"/>
          <w:highlight w:val="none"/>
          <w:shd w:val="clear" w:fill="auto"/>
          <w:lang w:val="en-US" w:eastAsia="zh-CN"/>
        </w:rPr>
        <w:t>68</w:t>
      </w:r>
    </w:p>
    <w:p w14:paraId="2E095A2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7B261EF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08433C2">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1BF6EF9">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p>
    <w:p w14:paraId="24060E9F">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78587470">
      <w:pPr>
        <w:spacing w:before="0" w:after="0" w:line="240" w:lineRule="auto"/>
        <w:ind w:right="0"/>
        <w:jc w:val="left"/>
        <w:rPr>
          <w:rFonts w:ascii="仿宋_GB2312" w:hAnsi="仿宋_GB2312" w:eastAsia="仿宋_GB2312" w:cs="仿宋_GB2312"/>
          <w:b/>
          <w:color w:val="auto"/>
          <w:spacing w:val="0"/>
          <w:position w:val="0"/>
          <w:sz w:val="32"/>
          <w:highlight w:val="none"/>
          <w:shd w:val="clear" w:fill="auto"/>
        </w:rPr>
      </w:pPr>
    </w:p>
    <w:p w14:paraId="57C688C4">
      <w:pPr>
        <w:pStyle w:val="2"/>
        <w:bidi w:val="0"/>
        <w:rPr>
          <w:highlight w:val="none"/>
        </w:rPr>
      </w:pPr>
      <w:r>
        <w:rPr>
          <w:highlight w:val="none"/>
        </w:rPr>
        <w:t>第一章    竞争性磋商邀请函</w:t>
      </w:r>
    </w:p>
    <w:p w14:paraId="45E6DB7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3C46128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项城市教育体育局关于实施项城市第一初级中学实验室装备采购项目</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3DB6C451">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47673AD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val="en-US" w:eastAsia="zh-CN"/>
        </w:rPr>
        <w:t>项财磋商采购-2026-11</w:t>
      </w:r>
    </w:p>
    <w:p w14:paraId="4A7648D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项城市教育体育局关于实施项城市第一初级中学实验室装备采购项目</w:t>
      </w:r>
    </w:p>
    <w:p w14:paraId="47FA7AB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5772E977">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81.00万元</w:t>
      </w:r>
    </w:p>
    <w:p w14:paraId="3F3CFF9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81.00万元</w:t>
      </w:r>
    </w:p>
    <w:p w14:paraId="3D3D5B12">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ascii="宋体" w:hAnsi="宋体" w:eastAsia="宋体" w:cs="宋体"/>
          <w:color w:val="000000"/>
          <w:spacing w:val="0"/>
          <w:position w:val="0"/>
          <w:sz w:val="24"/>
          <w:highlight w:val="none"/>
          <w:shd w:val="clear" w:fill="auto"/>
        </w:rPr>
        <w:t>个包</w:t>
      </w:r>
    </w:p>
    <w:tbl>
      <w:tblPr>
        <w:tblStyle w:val="10"/>
        <w:tblW w:w="0" w:type="auto"/>
        <w:tblInd w:w="0" w:type="dxa"/>
        <w:tblLayout w:type="autofit"/>
        <w:tblCellMar>
          <w:top w:w="0" w:type="dxa"/>
          <w:left w:w="10" w:type="dxa"/>
          <w:bottom w:w="0" w:type="dxa"/>
          <w:right w:w="10" w:type="dxa"/>
        </w:tblCellMar>
      </w:tblPr>
      <w:tblGrid>
        <w:gridCol w:w="909"/>
        <w:gridCol w:w="4770"/>
        <w:gridCol w:w="2179"/>
      </w:tblGrid>
      <w:tr w14:paraId="70ED24CB">
        <w:tblPrEx>
          <w:tblCellMar>
            <w:top w:w="0" w:type="dxa"/>
            <w:left w:w="10" w:type="dxa"/>
            <w:bottom w:w="0" w:type="dxa"/>
            <w:right w:w="10" w:type="dxa"/>
          </w:tblCellMar>
        </w:tblPrEx>
        <w:trPr>
          <w:trHeight w:val="659" w:hRule="atLeast"/>
        </w:trPr>
        <w:tc>
          <w:tcPr>
            <w:tcW w:w="9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888697">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47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3E2B2">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1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738E7C">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包最高限价万元</w:t>
            </w:r>
          </w:p>
        </w:tc>
      </w:tr>
      <w:tr w14:paraId="0E695152">
        <w:tblPrEx>
          <w:tblCellMar>
            <w:top w:w="0" w:type="dxa"/>
            <w:left w:w="10" w:type="dxa"/>
            <w:bottom w:w="0" w:type="dxa"/>
            <w:right w:w="10" w:type="dxa"/>
          </w:tblCellMar>
        </w:tblPrEx>
        <w:trPr>
          <w:trHeight w:val="725" w:hRule="atLeast"/>
        </w:trPr>
        <w:tc>
          <w:tcPr>
            <w:tcW w:w="9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305DE">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47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7AC53">
            <w:pPr>
              <w:spacing w:before="0" w:after="0" w:line="240" w:lineRule="auto"/>
              <w:ind w:left="0" w:right="0" w:firstLine="0"/>
              <w:jc w:val="both"/>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项城市教育体育局关于实施项城市第一初级中学实验室装备采购项目</w:t>
            </w:r>
          </w:p>
        </w:tc>
        <w:tc>
          <w:tcPr>
            <w:tcW w:w="21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F5B96">
            <w:pPr>
              <w:spacing w:before="0" w:after="0" w:line="240" w:lineRule="auto"/>
              <w:ind w:left="0" w:right="0" w:firstLine="0"/>
              <w:jc w:val="center"/>
              <w:rPr>
                <w:rFonts w:hint="default" w:eastAsiaTheme="minorEastAsia"/>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81.00</w:t>
            </w:r>
          </w:p>
        </w:tc>
      </w:tr>
    </w:tbl>
    <w:p w14:paraId="23D69648">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val="en-US" w:eastAsia="zh-CN"/>
        </w:rPr>
        <w:t>详见磋商文件“第三章 采购项目内容及要求”</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4A1F65F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合同签订后30日历天内</w:t>
      </w:r>
    </w:p>
    <w:p w14:paraId="11D417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2AA03F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23154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是</w:t>
      </w:r>
    </w:p>
    <w:p w14:paraId="503C04B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0E25C1E6">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3BFA4EB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（1）具有独立承担民事责任的能力（企业营业执照等证明文件）；</w:t>
      </w:r>
    </w:p>
    <w:p w14:paraId="5AA8901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（2）具有良好的商业信誉和健全的财务会计制度；</w:t>
      </w:r>
    </w:p>
    <w:p w14:paraId="63FEE8B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（3）具有履行合同所必需的设备和专业技术能力；</w:t>
      </w:r>
    </w:p>
    <w:p w14:paraId="540F030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（4）有依法缴纳税收和社会保障资金的良好记录（缴纳的税收凭据、社会保险凭据，依法免税或不需要缴纳社会保障资金的供应商应提供相应的证明文件）；</w:t>
      </w:r>
    </w:p>
    <w:p w14:paraId="6F5A832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（5）参加政府采购活动前三年内，在经营活动中没有重大违法记录（提供没有重大违法记录的书面声明函，格式自拟）</w:t>
      </w: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 xml:space="preserve"> </w:t>
      </w:r>
    </w:p>
    <w:p w14:paraId="40123293">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49FD7340">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3F7237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7D217132">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725FB5D9">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5</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21</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5</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28</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07C53BE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0F8AB4A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5818112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277307AB">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48EA89C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7FDB8EA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pacing w:val="0"/>
          <w:position w:val="0"/>
          <w:sz w:val="24"/>
          <w:highlight w:val="none"/>
          <w:u w:val="single"/>
          <w:shd w:val="clear" w:fill="auto"/>
        </w:rPr>
        <w:t>http://jyzx.zhoukou.gov.cn</w:t>
      </w:r>
      <w:r>
        <w:rPr>
          <w:rFonts w:ascii="Times New Roman" w:hAnsi="Times New Roman" w:eastAsia="Times New Roman" w:cs="Times New Roman"/>
          <w:color w:val="000000"/>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1B549E1E">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55C5CED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4EAA66D9">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735C227F">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52C028E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1C7D49D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014B735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0AAEF35E">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291FB56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w:t>
      </w:r>
      <w:r>
        <w:rPr>
          <w:rFonts w:hint="eastAsia" w:ascii="宋体" w:hAnsi="宋体" w:eastAsia="宋体" w:cs="宋体"/>
          <w:color w:val="auto"/>
          <w:spacing w:val="0"/>
          <w:position w:val="0"/>
          <w:sz w:val="24"/>
          <w:highlight w:val="none"/>
          <w:shd w:val="clear" w:fill="auto"/>
          <w:lang w:val="en-US" w:eastAsia="zh-CN"/>
        </w:rPr>
        <w:t>项城市教育体育局</w:t>
      </w:r>
      <w:r>
        <w:rPr>
          <w:rFonts w:ascii="宋体" w:hAnsi="宋体" w:eastAsia="宋体" w:cs="宋体"/>
          <w:color w:val="auto"/>
          <w:spacing w:val="0"/>
          <w:position w:val="0"/>
          <w:sz w:val="24"/>
          <w:highlight w:val="none"/>
          <w:shd w:val="clear" w:fill="auto"/>
        </w:rPr>
        <w:t>　　　　　　　　　　　　</w:t>
      </w:r>
    </w:p>
    <w:p w14:paraId="48BBD19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项城市境内</w:t>
      </w:r>
      <w:r>
        <w:rPr>
          <w:rFonts w:ascii="宋体" w:hAnsi="宋体" w:eastAsia="宋体" w:cs="宋体"/>
          <w:color w:val="auto"/>
          <w:spacing w:val="0"/>
          <w:position w:val="0"/>
          <w:sz w:val="24"/>
          <w:highlight w:val="none"/>
          <w:shd w:val="clear" w:fill="auto"/>
        </w:rPr>
        <w:t>　　　　　　　　　　　　</w:t>
      </w:r>
    </w:p>
    <w:p w14:paraId="3113AE6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cs="宋体"/>
          <w:i w:val="0"/>
          <w:iCs w:val="0"/>
          <w:sz w:val="24"/>
          <w:szCs w:val="24"/>
          <w:highlight w:val="none"/>
          <w:lang w:val="en-US" w:eastAsia="zh-CN"/>
        </w:rPr>
        <w:t>闫文政</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15993245770</w:t>
      </w:r>
      <w:r>
        <w:rPr>
          <w:rFonts w:ascii="宋体" w:hAnsi="宋体" w:eastAsia="宋体" w:cs="宋体"/>
          <w:color w:val="auto"/>
          <w:spacing w:val="0"/>
          <w:position w:val="0"/>
          <w:sz w:val="24"/>
          <w:highlight w:val="none"/>
          <w:shd w:val="clear" w:fill="auto"/>
        </w:rPr>
        <w:t xml:space="preserve">　　　　 </w:t>
      </w:r>
    </w:p>
    <w:p w14:paraId="2AA85C8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0A757DA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7505E8F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01B4A80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0394-8106517、17839489001</w:t>
      </w:r>
      <w:r>
        <w:rPr>
          <w:rFonts w:ascii="宋体" w:hAnsi="宋体" w:eastAsia="宋体" w:cs="宋体"/>
          <w:color w:val="auto"/>
          <w:spacing w:val="0"/>
          <w:position w:val="0"/>
          <w:sz w:val="24"/>
          <w:highlight w:val="none"/>
          <w:shd w:val="clear" w:fill="auto"/>
        </w:rPr>
        <w:t>　　　　　　　　</w:t>
      </w:r>
    </w:p>
    <w:p w14:paraId="389C963B">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项城市财政局</w:t>
      </w:r>
    </w:p>
    <w:p w14:paraId="23075C6E">
      <w:pPr>
        <w:spacing w:before="0" w:after="0" w:line="24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color="auto" w:fill="auto"/>
        </w:rPr>
        <w:t>0394-4315676</w:t>
      </w:r>
      <w:r>
        <w:rPr>
          <w:rFonts w:ascii="宋体" w:hAnsi="宋体" w:eastAsia="宋体" w:cs="宋体"/>
          <w:color w:val="auto"/>
          <w:spacing w:val="0"/>
          <w:position w:val="0"/>
          <w:sz w:val="24"/>
          <w:highlight w:val="none"/>
          <w:shd w:val="clear" w:fill="auto"/>
        </w:rPr>
        <w:t xml:space="preserve">  </w:t>
      </w:r>
    </w:p>
    <w:p w14:paraId="4046544A">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5E62D18A">
      <w:pPr>
        <w:spacing w:before="0" w:after="120" w:line="360" w:lineRule="auto"/>
        <w:ind w:left="0" w:right="0" w:firstLine="2040"/>
        <w:jc w:val="both"/>
        <w:rPr>
          <w:rFonts w:ascii="宋体" w:hAnsi="宋体" w:eastAsia="宋体" w:cs="宋体"/>
          <w:color w:val="auto"/>
          <w:spacing w:val="0"/>
          <w:position w:val="0"/>
          <w:sz w:val="24"/>
          <w:highlight w:val="none"/>
          <w:shd w:val="clear" w:fill="auto"/>
        </w:rPr>
      </w:pPr>
    </w:p>
    <w:p w14:paraId="791A145C">
      <w:pPr>
        <w:spacing w:before="0" w:after="120" w:line="360" w:lineRule="auto"/>
        <w:ind w:left="0" w:right="0" w:firstLine="3050" w:firstLineChars="1271"/>
        <w:jc w:val="both"/>
        <w:rPr>
          <w:rFonts w:ascii="宋体" w:hAnsi="宋体" w:eastAsia="宋体" w:cs="宋体"/>
          <w:color w:val="auto"/>
          <w:spacing w:val="0"/>
          <w:position w:val="0"/>
          <w:sz w:val="24"/>
          <w:highlight w:val="none"/>
          <w:shd w:val="clear" w:fill="auto"/>
        </w:rPr>
      </w:pPr>
      <w:bookmarkStart w:id="0" w:name="_GoBack"/>
      <w:bookmarkEnd w:id="0"/>
      <w:r>
        <w:rPr>
          <w:rFonts w:ascii="宋体" w:hAnsi="宋体" w:eastAsia="宋体" w:cs="宋体"/>
          <w:color w:val="auto"/>
          <w:spacing w:val="0"/>
          <w:position w:val="0"/>
          <w:sz w:val="24"/>
          <w:highlight w:val="none"/>
          <w:shd w:val="clear" w:fill="auto"/>
        </w:rPr>
        <w:t>周口市公共资源交易中心政府采购中心</w:t>
      </w:r>
    </w:p>
    <w:p w14:paraId="198B3E3F">
      <w:pPr>
        <w:tabs>
          <w:tab w:val="left" w:pos="0"/>
          <w:tab w:val="left" w:pos="993"/>
          <w:tab w:val="left" w:pos="1134"/>
        </w:tabs>
        <w:spacing w:before="0" w:after="0" w:line="240" w:lineRule="auto"/>
        <w:ind w:left="0" w:right="0" w:firstLine="4353" w:firstLineChars="1814"/>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21</w:t>
      </w:r>
      <w:r>
        <w:rPr>
          <w:rFonts w:ascii="宋体" w:hAnsi="宋体" w:eastAsia="宋体" w:cs="宋体"/>
          <w:color w:val="auto"/>
          <w:spacing w:val="0"/>
          <w:position w:val="0"/>
          <w:sz w:val="24"/>
          <w:highlight w:val="none"/>
          <w:shd w:val="clear" w:fill="auto"/>
        </w:rPr>
        <w:t>日</w:t>
      </w:r>
    </w:p>
    <w:p w14:paraId="40915AFA">
      <w:pPr>
        <w:pStyle w:val="13"/>
        <w:rPr>
          <w:rFonts w:ascii="宋体" w:hAnsi="宋体" w:eastAsia="宋体" w:cs="宋体"/>
          <w:color w:val="auto"/>
          <w:spacing w:val="0"/>
          <w:position w:val="0"/>
          <w:sz w:val="24"/>
          <w:highlight w:val="none"/>
          <w:shd w:val="clear" w:fill="auto"/>
        </w:rPr>
      </w:pPr>
    </w:p>
    <w:p w14:paraId="7C9FBB95">
      <w:pPr>
        <w:pStyle w:val="13"/>
        <w:rPr>
          <w:rFonts w:ascii="宋体" w:hAnsi="宋体" w:eastAsia="宋体" w:cs="宋体"/>
          <w:color w:val="auto"/>
          <w:spacing w:val="0"/>
          <w:position w:val="0"/>
          <w:sz w:val="24"/>
          <w:highlight w:val="none"/>
          <w:shd w:val="clear" w:fill="auto"/>
        </w:rPr>
      </w:pPr>
    </w:p>
    <w:p w14:paraId="27064E59">
      <w:pPr>
        <w:pStyle w:val="13"/>
        <w:rPr>
          <w:rFonts w:ascii="宋体" w:hAnsi="宋体" w:eastAsia="宋体" w:cs="宋体"/>
          <w:color w:val="auto"/>
          <w:spacing w:val="0"/>
          <w:position w:val="0"/>
          <w:sz w:val="24"/>
          <w:highlight w:val="none"/>
          <w:shd w:val="clear" w:fill="auto"/>
        </w:rPr>
      </w:pPr>
    </w:p>
    <w:p w14:paraId="385E3847">
      <w:pPr>
        <w:pStyle w:val="13"/>
        <w:rPr>
          <w:rFonts w:ascii="宋体" w:hAnsi="宋体" w:eastAsia="宋体" w:cs="宋体"/>
          <w:color w:val="auto"/>
          <w:spacing w:val="0"/>
          <w:position w:val="0"/>
          <w:sz w:val="24"/>
          <w:highlight w:val="none"/>
          <w:shd w:val="clear" w:fill="auto"/>
        </w:rPr>
      </w:pPr>
    </w:p>
    <w:p w14:paraId="0BB17C93">
      <w:pPr>
        <w:pStyle w:val="13"/>
        <w:rPr>
          <w:rFonts w:ascii="宋体" w:hAnsi="宋体" w:eastAsia="宋体" w:cs="宋体"/>
          <w:color w:val="auto"/>
          <w:spacing w:val="0"/>
          <w:position w:val="0"/>
          <w:sz w:val="24"/>
          <w:highlight w:val="none"/>
          <w:shd w:val="clear" w:fill="auto"/>
        </w:rPr>
      </w:pPr>
    </w:p>
    <w:p w14:paraId="798A4E79">
      <w:pPr>
        <w:pStyle w:val="13"/>
        <w:rPr>
          <w:rFonts w:ascii="宋体" w:hAnsi="宋体" w:eastAsia="宋体" w:cs="宋体"/>
          <w:color w:val="auto"/>
          <w:spacing w:val="0"/>
          <w:position w:val="0"/>
          <w:sz w:val="24"/>
          <w:highlight w:val="none"/>
          <w:shd w:val="clear" w:fill="auto"/>
        </w:rPr>
      </w:pPr>
    </w:p>
    <w:p w14:paraId="714362A9">
      <w:pPr>
        <w:pStyle w:val="13"/>
        <w:rPr>
          <w:rFonts w:ascii="宋体" w:hAnsi="宋体" w:eastAsia="宋体" w:cs="宋体"/>
          <w:color w:val="auto"/>
          <w:spacing w:val="0"/>
          <w:position w:val="0"/>
          <w:sz w:val="24"/>
          <w:highlight w:val="none"/>
          <w:shd w:val="clear" w:fill="auto"/>
        </w:rPr>
      </w:pPr>
    </w:p>
    <w:p w14:paraId="310AC81C">
      <w:pPr>
        <w:pStyle w:val="13"/>
        <w:rPr>
          <w:rFonts w:ascii="宋体" w:hAnsi="宋体" w:eastAsia="宋体" w:cs="宋体"/>
          <w:color w:val="auto"/>
          <w:spacing w:val="0"/>
          <w:position w:val="0"/>
          <w:sz w:val="24"/>
          <w:highlight w:val="none"/>
          <w:shd w:val="clear" w:fill="auto"/>
        </w:rPr>
      </w:pPr>
    </w:p>
    <w:p w14:paraId="11341656">
      <w:pPr>
        <w:pStyle w:val="13"/>
        <w:rPr>
          <w:rFonts w:ascii="宋体" w:hAnsi="宋体" w:eastAsia="宋体" w:cs="宋体"/>
          <w:color w:val="auto"/>
          <w:spacing w:val="0"/>
          <w:position w:val="0"/>
          <w:sz w:val="24"/>
          <w:highlight w:val="none"/>
          <w:shd w:val="clear" w:fill="auto"/>
        </w:rPr>
      </w:pPr>
    </w:p>
    <w:p w14:paraId="29DB40FF">
      <w:pPr>
        <w:pStyle w:val="13"/>
        <w:rPr>
          <w:rFonts w:ascii="宋体" w:hAnsi="宋体" w:eastAsia="宋体" w:cs="宋体"/>
          <w:color w:val="auto"/>
          <w:spacing w:val="0"/>
          <w:position w:val="0"/>
          <w:sz w:val="24"/>
          <w:highlight w:val="none"/>
          <w:shd w:val="clear" w:fill="auto"/>
        </w:rPr>
      </w:pPr>
    </w:p>
    <w:p w14:paraId="68E06B73">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p>
    <w:p w14:paraId="4EA339AE">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2C7509C7">
      <w:pPr>
        <w:pStyle w:val="2"/>
        <w:bidi w:val="0"/>
        <w:rPr>
          <w:highlight w:val="none"/>
        </w:rPr>
      </w:pPr>
      <w:r>
        <w:rPr>
          <w:highlight w:val="none"/>
        </w:rPr>
        <w:t>第二章    供应商须知</w:t>
      </w:r>
    </w:p>
    <w:tbl>
      <w:tblPr>
        <w:tblStyle w:val="10"/>
        <w:tblW w:w="0" w:type="auto"/>
        <w:tblInd w:w="108" w:type="dxa"/>
        <w:tblLayout w:type="autofit"/>
        <w:tblCellMar>
          <w:top w:w="0" w:type="dxa"/>
          <w:left w:w="10" w:type="dxa"/>
          <w:bottom w:w="0" w:type="dxa"/>
          <w:right w:w="10" w:type="dxa"/>
        </w:tblCellMar>
      </w:tblPr>
      <w:tblGrid>
        <w:gridCol w:w="856"/>
        <w:gridCol w:w="1673"/>
        <w:gridCol w:w="5885"/>
      </w:tblGrid>
      <w:tr w14:paraId="42FA4DB7">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1708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473E81A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2B18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2155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6595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6E80E0B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A659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A5700">
            <w:pPr>
              <w:spacing w:before="0" w:after="0" w:line="240" w:lineRule="auto"/>
              <w:ind w:left="0" w:right="0" w:firstLine="0"/>
              <w:jc w:val="center"/>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1E41B">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eastAsia="zh-CN"/>
              </w:rPr>
              <w:t>项城市教育体育局关于实施项城市第一初级中学实验室装备采购项目</w:t>
            </w:r>
          </w:p>
          <w:p w14:paraId="4067F052">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rPr>
            </w:pPr>
            <w:r>
              <w:rPr>
                <w:rFonts w:ascii="宋体" w:hAnsi="宋体" w:eastAsia="宋体" w:cs="宋体"/>
                <w:color w:val="000000"/>
                <w:spacing w:val="0"/>
                <w:position w:val="0"/>
                <w:sz w:val="24"/>
                <w:highlight w:val="none"/>
                <w:shd w:val="clear" w:fill="auto"/>
              </w:rPr>
              <w:t>2）采购内容：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详见第三章 采购需求</w:t>
            </w:r>
          </w:p>
          <w:p w14:paraId="63D8DA7E">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eastAsia="zh-CN"/>
              </w:rPr>
            </w:pPr>
            <w:r>
              <w:rPr>
                <w:rFonts w:ascii="宋体" w:hAnsi="宋体" w:eastAsia="宋体" w:cs="宋体"/>
                <w:color w:val="000000"/>
                <w:spacing w:val="0"/>
                <w:position w:val="0"/>
                <w:sz w:val="24"/>
                <w:highlight w:val="none"/>
                <w:shd w:val="clear" w:fill="auto"/>
              </w:rPr>
              <w:t>3）采购人：</w:t>
            </w:r>
            <w:r>
              <w:rPr>
                <w:rFonts w:hint="eastAsia" w:ascii="宋体" w:hAnsi="宋体" w:eastAsia="宋体" w:cs="宋体"/>
                <w:color w:val="000000"/>
                <w:spacing w:val="0"/>
                <w:position w:val="0"/>
                <w:sz w:val="24"/>
                <w:highlight w:val="none"/>
                <w:shd w:val="clear" w:fill="auto"/>
                <w:lang w:val="en-US" w:eastAsia="zh-CN"/>
              </w:rPr>
              <w:t>项城市教育体育局</w:t>
            </w:r>
          </w:p>
          <w:p w14:paraId="2DFE8970">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4）采购代理机构：周口市公共资源交易中心政府采购中心</w:t>
            </w:r>
          </w:p>
        </w:tc>
      </w:tr>
      <w:tr w14:paraId="68CDE8C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2B6E15">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DA0AA">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C839C">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3395D35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8CF0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53765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89BF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6BCB439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64E3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57CA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ECF6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75AD727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5B98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C8B2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FA65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3B8FADD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841E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0911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37A1F">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42E75EA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A708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2BEA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9B53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408D204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1253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96428">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B9B25">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4028A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B8CF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F8C3C">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B35DB">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0159953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0FAF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808D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62C5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76536C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E745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C449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EA688">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39492C3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51C2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53C8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AAFE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3FC21687">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416A669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A394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DC94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04C4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7B6ACC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A700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4867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E35AD">
            <w:pPr>
              <w:bidi w:val="0"/>
              <w:rPr>
                <w:rFonts w:hint="eastAsia"/>
                <w:sz w:val="24"/>
                <w:szCs w:val="28"/>
                <w:highlight w:val="none"/>
                <w:lang w:val="en-US" w:eastAsia="zh-CN"/>
              </w:rPr>
            </w:pPr>
            <w:r>
              <w:rPr>
                <w:rFonts w:hint="eastAsia"/>
                <w:sz w:val="24"/>
                <w:szCs w:val="28"/>
                <w:highlight w:val="none"/>
              </w:rPr>
              <w:t>周口市公共资源交易中心</w:t>
            </w:r>
            <w:r>
              <w:rPr>
                <w:rFonts w:hint="eastAsia"/>
                <w:sz w:val="24"/>
                <w:szCs w:val="28"/>
                <w:highlight w:val="none"/>
                <w:lang w:val="en-US" w:eastAsia="zh-CN"/>
              </w:rPr>
              <w:t>网</w:t>
            </w:r>
          </w:p>
          <w:p w14:paraId="08B56328">
            <w:pPr>
              <w:bidi w:val="0"/>
              <w:rPr>
                <w:rFonts w:hint="eastAsia"/>
                <w:sz w:val="24"/>
                <w:szCs w:val="28"/>
                <w:highlight w:val="none"/>
                <w:lang w:val="en-US" w:eastAsia="zh-CN"/>
              </w:rPr>
            </w:pPr>
            <w:r>
              <w:rPr>
                <w:rFonts w:hint="eastAsia"/>
                <w:sz w:val="24"/>
                <w:szCs w:val="28"/>
                <w:highlight w:val="none"/>
              </w:rPr>
              <w:t>网址：周口市公共资源电子交易服务平台会员系统（网址http://jyzx.zhoukou.gov.cn</w:t>
            </w:r>
            <w:r>
              <w:rPr>
                <w:rFonts w:hint="eastAsia"/>
                <w:sz w:val="24"/>
                <w:szCs w:val="28"/>
                <w:highlight w:val="none"/>
                <w:lang w:eastAsia="zh-CN"/>
              </w:rPr>
              <w:t>）</w:t>
            </w:r>
          </w:p>
          <w:p w14:paraId="6CD73975">
            <w:pPr>
              <w:bidi w:val="0"/>
              <w:rPr>
                <w:rFonts w:ascii="宋体" w:hAnsi="宋体" w:eastAsia="宋体" w:cs="宋体"/>
                <w:color w:val="auto"/>
                <w:spacing w:val="0"/>
                <w:position w:val="0"/>
                <w:highlight w:val="none"/>
                <w:shd w:val="clear" w:fill="auto"/>
              </w:rPr>
            </w:pPr>
            <w:r>
              <w:rPr>
                <w:rFonts w:hint="eastAsia"/>
                <w:sz w:val="24"/>
                <w:szCs w:val="28"/>
                <w:highlight w:val="none"/>
              </w:rPr>
              <w:t>（本项目实行网上远程开标无须到现场提交响应文件）</w:t>
            </w:r>
          </w:p>
        </w:tc>
      </w:tr>
      <w:tr w14:paraId="645842F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0FCC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CE4C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6BE9AB">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73E8784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3CA9C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3A5F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A310">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58ECAFB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3DFC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AC856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591D1">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7B3F46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A462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E63A7">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37567">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41E2C129">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5B2C85">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004A7C">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1ED1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14299538">
        <w:tblPrEx>
          <w:tblCellMar>
            <w:top w:w="0" w:type="dxa"/>
            <w:left w:w="10" w:type="dxa"/>
            <w:bottom w:w="0" w:type="dxa"/>
            <w:right w:w="10" w:type="dxa"/>
          </w:tblCellMar>
        </w:tblPrEx>
        <w:trPr>
          <w:trHeight w:val="5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AE47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223E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BB4AE">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合同签订后30日历天内</w:t>
            </w:r>
          </w:p>
        </w:tc>
      </w:tr>
      <w:tr w14:paraId="562A6B52">
        <w:tblPrEx>
          <w:tblCellMar>
            <w:top w:w="0" w:type="dxa"/>
            <w:left w:w="10" w:type="dxa"/>
            <w:bottom w:w="0" w:type="dxa"/>
            <w:right w:w="10" w:type="dxa"/>
          </w:tblCellMar>
        </w:tblPrEx>
        <w:trPr>
          <w:trHeight w:val="74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1F6FC">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9E7A7">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FDC73">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产品供货、安装、调试交付使用并验收合格后支付合同价款的100%</w:t>
            </w:r>
            <w:r>
              <w:rPr>
                <w:rFonts w:hint="eastAsia" w:ascii="宋体" w:hAnsi="宋体" w:eastAsia="宋体" w:cs="宋体"/>
                <w:color w:val="auto"/>
                <w:spacing w:val="0"/>
                <w:position w:val="0"/>
                <w:sz w:val="24"/>
                <w:szCs w:val="28"/>
                <w:highlight w:val="none"/>
                <w:shd w:val="clear" w:fill="auto"/>
              </w:rPr>
              <w:t>。</w:t>
            </w:r>
          </w:p>
        </w:tc>
      </w:tr>
      <w:tr w14:paraId="6623FFF9">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90C78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83D5E">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46CF">
            <w:pPr>
              <w:tabs>
                <w:tab w:val="left" w:pos="8640"/>
              </w:tabs>
              <w:spacing w:before="0" w:after="0" w:line="240" w:lineRule="auto"/>
              <w:ind w:left="0" w:right="0" w:firstLine="0"/>
              <w:jc w:val="left"/>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68BA0D2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54FF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35F56">
            <w:pPr>
              <w:spacing w:beforeLines="50"/>
              <w:ind w:firstLine="14" w:firstLineChars="6"/>
              <w:jc w:val="center"/>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48B9C">
            <w:pPr>
              <w:tabs>
                <w:tab w:val="left" w:pos="8640"/>
              </w:tabs>
              <w:jc w:val="left"/>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一次报价</w:t>
            </w:r>
          </w:p>
        </w:tc>
      </w:tr>
      <w:tr w14:paraId="6A98B68F">
        <w:tblPrEx>
          <w:tblCellMar>
            <w:top w:w="0" w:type="dxa"/>
            <w:left w:w="10" w:type="dxa"/>
            <w:bottom w:w="0" w:type="dxa"/>
            <w:right w:w="10" w:type="dxa"/>
          </w:tblCellMar>
        </w:tblPrEx>
        <w:trPr>
          <w:trHeight w:val="61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B2957">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7C6AE">
            <w:pPr>
              <w:jc w:val="center"/>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E183C">
            <w:pPr>
              <w:jc w:val="both"/>
              <w:rPr>
                <w:rFonts w:hint="default"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1年</w:t>
            </w:r>
          </w:p>
        </w:tc>
      </w:tr>
      <w:tr w14:paraId="5E523CE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19180">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FAF98">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F1624">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工业      </w:t>
            </w:r>
          </w:p>
        </w:tc>
      </w:tr>
      <w:tr w14:paraId="05ADA14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B1B14">
            <w:pPr>
              <w:numPr>
                <w:ilvl w:val="0"/>
                <w:numId w:val="0"/>
              </w:numPr>
              <w:tabs>
                <w:tab w:val="left" w:pos="420"/>
              </w:tabs>
              <w:spacing w:before="0" w:after="0" w:line="240" w:lineRule="auto"/>
              <w:ind w:left="0" w:leftChars="0" w:right="0" w:rightChars="0" w:firstLine="0" w:firstLineChars="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DCBB6">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F73B1A">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4949CE22">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3983982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4A1BA57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F2A6EB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5D3659C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59347BD">
      <w:pPr>
        <w:pStyle w:val="9"/>
        <w:ind w:left="0" w:leftChars="0" w:firstLine="0" w:firstLineChars="0"/>
        <w:rPr>
          <w:highlight w:val="none"/>
        </w:rPr>
      </w:pPr>
    </w:p>
    <w:p w14:paraId="2C95AA70">
      <w:pPr>
        <w:pStyle w:val="9"/>
        <w:rPr>
          <w:highlight w:val="none"/>
        </w:rPr>
      </w:pPr>
    </w:p>
    <w:p w14:paraId="23320A6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033FB82D">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1AC848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1D7F9E7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79565C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6CBAE9E8">
      <w:pPr>
        <w:tabs>
          <w:tab w:val="left" w:pos="0"/>
        </w:tabs>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项城市教育体育局</w:t>
      </w:r>
    </w:p>
    <w:p w14:paraId="6FBA01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6EC5DDA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9A9FF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0D2ACE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10A07D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CBBC0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750690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4E9FC67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3848C7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688C1B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3105F4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6911CE8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0C0A0F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643D2A6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42C53B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000000"/>
          <w:spacing w:val="0"/>
          <w:position w:val="0"/>
          <w:sz w:val="24"/>
          <w:highlight w:val="none"/>
          <w:shd w:val="clear" w:fill="auto"/>
        </w:rPr>
        <w:t>供应商资格条件（详见第一部分供应商资格条件）</w:t>
      </w:r>
    </w:p>
    <w:p w14:paraId="3DBEFE0B">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6CF1DD34">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4.1.3 政府采购供应商诚信承诺书；</w:t>
      </w:r>
    </w:p>
    <w:p w14:paraId="4287A8AF">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4.1.4 供应商自觉抵制政府采购领域商业贿赂行为承诺书；</w:t>
      </w:r>
    </w:p>
    <w:p w14:paraId="3EC7FD90">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lang w:val="en-US" w:eastAsia="zh-CN"/>
        </w:rPr>
        <w:t>4.1.5 供应商</w:t>
      </w:r>
      <w:r>
        <w:rPr>
          <w:rFonts w:ascii="宋体" w:hAnsi="宋体" w:eastAsia="宋体" w:cs="宋体"/>
          <w:color w:val="000000"/>
          <w:spacing w:val="0"/>
          <w:position w:val="0"/>
          <w:sz w:val="24"/>
          <w:highlight w:val="none"/>
          <w:shd w:val="clear" w:fill="auto"/>
          <w:lang w:val="en-US"/>
        </w:rPr>
        <w:t>未被工商行政管理机关在全国企业信用信息公示系统中列入严重违法失信企业名单和经营异常名录。</w:t>
      </w:r>
    </w:p>
    <w:p w14:paraId="62122AC2">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4.2 供应商需提供售后服务体系与承诺。</w:t>
      </w:r>
    </w:p>
    <w:p w14:paraId="225AF257">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68768A4E">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4.4供应商应遵守国家法律、法规有关竞争性磋商的规定。</w:t>
      </w:r>
    </w:p>
    <w:p w14:paraId="5417325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6090320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4.6 </w:t>
      </w:r>
      <w:r>
        <w:rPr>
          <w:rFonts w:hint="eastAsia" w:ascii="宋体" w:hAnsi="宋体" w:cs="宋体"/>
          <w:color w:val="000000" w:themeColor="text1"/>
          <w:sz w:val="24"/>
          <w:highlight w:val="none"/>
          <w:lang w:val="en-US" w:eastAsia="zh-CN"/>
          <w14:textFill>
            <w14:solidFill>
              <w14:schemeClr w14:val="tx1"/>
            </w14:solidFill>
          </w14:textFill>
        </w:rPr>
        <w:t>采购人不统一组织勘察现场，供应商如须踏勘现场，请在获取竞争性磋商文件截止后的第一个工作日与采购人联系</w:t>
      </w:r>
      <w:r>
        <w:rPr>
          <w:rFonts w:ascii="宋体" w:hAnsi="宋体" w:eastAsia="宋体" w:cs="宋体"/>
          <w:color w:val="auto"/>
          <w:spacing w:val="0"/>
          <w:position w:val="0"/>
          <w:sz w:val="24"/>
          <w:highlight w:val="none"/>
          <w:shd w:val="clear" w:fill="auto"/>
        </w:rPr>
        <w:t>。</w:t>
      </w:r>
    </w:p>
    <w:p w14:paraId="7786C4F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w:t>
      </w:r>
      <w:r>
        <w:rPr>
          <w:rFonts w:hint="eastAsia" w:ascii="宋体" w:hAnsi="宋体" w:eastAsia="宋体" w:cs="宋体"/>
          <w:spacing w:val="-2"/>
          <w:sz w:val="24"/>
          <w:szCs w:val="24"/>
          <w:highlight w:val="none"/>
          <w:lang w:val="en-US" w:eastAsia="zh-CN"/>
        </w:rPr>
        <w:t>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息、股东或投资人的查询信息</w:t>
      </w:r>
      <w:r>
        <w:rPr>
          <w:rFonts w:hint="eastAsia" w:ascii="宋体" w:hAnsi="宋体" w:eastAsia="宋体" w:cs="宋体"/>
          <w:color w:val="auto"/>
          <w:spacing w:val="0"/>
          <w:position w:val="0"/>
          <w:sz w:val="24"/>
          <w:highlight w:val="none"/>
          <w:shd w:val="clear" w:fill="auto"/>
          <w:lang w:eastAsia="zh-CN"/>
        </w:rPr>
        <w:t>）</w:t>
      </w:r>
    </w:p>
    <w:p w14:paraId="7430B27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225D4D7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3C99B5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p>
    <w:p w14:paraId="00EDCD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4F3E9D2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38CAB37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59B6DE61">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4A7BF9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2F8469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701DFA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399B46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w:t>
      </w:r>
      <w:r>
        <w:rPr>
          <w:rFonts w:hint="eastAsia" w:ascii="宋体" w:hAnsi="宋体" w:eastAsia="宋体" w:cs="宋体"/>
          <w:color w:val="auto"/>
          <w:spacing w:val="0"/>
          <w:position w:val="0"/>
          <w:sz w:val="24"/>
          <w:highlight w:val="none"/>
          <w:shd w:val="clear" w:fill="auto"/>
          <w:lang w:val="en-US" w:eastAsia="zh-CN"/>
        </w:rPr>
        <w:t>项目内容及要求</w:t>
      </w:r>
      <w:r>
        <w:rPr>
          <w:rFonts w:ascii="宋体" w:hAnsi="宋体" w:eastAsia="宋体" w:cs="宋体"/>
          <w:color w:val="auto"/>
          <w:spacing w:val="0"/>
          <w:position w:val="0"/>
          <w:sz w:val="24"/>
          <w:highlight w:val="none"/>
          <w:shd w:val="clear" w:fill="auto"/>
        </w:rPr>
        <w:t>；</w:t>
      </w:r>
    </w:p>
    <w:p w14:paraId="6720AC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7F92B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51B92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1E721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0B8EF3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0F24DDA2">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63163E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8D5D77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293E6C5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09EFAC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r>
        <w:rPr>
          <w:rFonts w:ascii="宋体" w:hAnsi="宋体" w:eastAsia="宋体" w:cs="宋体"/>
          <w:color w:val="auto"/>
          <w:spacing w:val="0"/>
          <w:position w:val="0"/>
          <w:sz w:val="24"/>
          <w:highlight w:val="none"/>
          <w:shd w:val="clear" w:fill="auto"/>
        </w:rPr>
        <w:t>否则其响应性文件将作为无效处理。</w:t>
      </w:r>
    </w:p>
    <w:p w14:paraId="3C622A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718C17A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0C6B6C9A">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2312A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32D717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57E8778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4C1BCC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32D87A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3EE33C2B">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4E8BA52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089FA2A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ascii="宋体" w:hAnsi="宋体" w:eastAsia="宋体" w:cs="宋体"/>
          <w:color w:val="auto"/>
          <w:spacing w:val="0"/>
          <w:position w:val="0"/>
          <w:sz w:val="24"/>
          <w:highlight w:val="none"/>
          <w:shd w:val="clear" w:fill="auto"/>
        </w:rPr>
        <w:t>不得缺少、留空或私自更改任何竞争性磋商文件要求填写的表格或提交的资料。</w:t>
      </w:r>
      <w:r>
        <w:rPr>
          <w:rFonts w:hint="eastAsia" w:ascii="宋体" w:hAnsi="宋体" w:cs="宋体"/>
          <w:sz w:val="24"/>
          <w:highlight w:val="none"/>
          <w:lang w:val="en-US" w:eastAsia="zh-CN"/>
        </w:rPr>
        <w:t>投标文件封面应列明项目名称、采购编号、供应商名称、地址被授权人姓名及联系方式等信息。</w:t>
      </w:r>
      <w:r>
        <w:rPr>
          <w:rFonts w:ascii="宋体" w:hAnsi="宋体" w:eastAsia="宋体" w:cs="宋体"/>
          <w:color w:val="auto"/>
          <w:spacing w:val="0"/>
          <w:position w:val="0"/>
          <w:sz w:val="24"/>
          <w:highlight w:val="none"/>
          <w:shd w:val="clear" w:fill="auto"/>
        </w:rPr>
        <w:t>竞争性磋商文件提供格式的按格式填列，未提供格式的可自行拟定。</w:t>
      </w:r>
    </w:p>
    <w:p w14:paraId="4CAFD2F1">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5CE7BB1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204FD13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01322EE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7BAABC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7B8240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14BC6DC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40707B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4D21D7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5F130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3F3A4F8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highlight w:val="none"/>
          <w:lang w:val="zh-CN"/>
        </w:rPr>
        <w:t>法定代表人或其委托代理人</w:t>
      </w:r>
      <w:r>
        <w:rPr>
          <w:rFonts w:hint="eastAsia" w:ascii="宋体" w:hAnsi="宋体" w:cs="宋体"/>
          <w:sz w:val="24"/>
          <w:highlight w:val="none"/>
          <w:lang w:val="en-US" w:eastAsia="zh-CN"/>
        </w:rPr>
        <w:t>的身份证人像面及国徽面均须本人签字。</w:t>
      </w:r>
    </w:p>
    <w:p w14:paraId="03B12CA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596107A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735EA581">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2BF38B28">
      <w:pPr>
        <w:pStyle w:val="13"/>
        <w:rPr>
          <w:highlight w:val="none"/>
        </w:rPr>
      </w:pPr>
    </w:p>
    <w:p w14:paraId="7255CEC7">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ascii="宋体" w:hAnsi="宋体" w:eastAsia="宋体" w:cs="宋体"/>
          <w:b/>
          <w:color w:val="auto"/>
          <w:spacing w:val="0"/>
          <w:position w:val="0"/>
          <w:sz w:val="24"/>
          <w:highlight w:val="none"/>
          <w:shd w:val="clear" w:fill="auto"/>
        </w:rPr>
        <w:t>响应性文件的递交</w:t>
      </w:r>
    </w:p>
    <w:p w14:paraId="7A09BCE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195A9B4E">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09AC7EA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64FD8113">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191E20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95A24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544D34AA">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0A423894">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2287BD2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1A3F510E">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50A0A60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1A3A6B4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2F0D218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650E3C6A">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44EB9DA1">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7F0422C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1711ED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7BA64E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3B8AD0B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A2E32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C7BED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2D9E6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E30396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78A0B2F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56CF893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73B8E8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1C7E1B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643858F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21F2B1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1352644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F584E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457621B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765D070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1F10686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0FD9E85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4198572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48BE14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390E786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642FBB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1D3699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39B7CE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20EEFCC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7F42320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014BF3D6">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0CFA410">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0DBCD1A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2CBC9FE3">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D07B3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FA06B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3D8DE68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3F7924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45F9B1D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61408200">
      <w:pPr>
        <w:spacing w:before="0" w:after="0" w:line="560" w:lineRule="auto"/>
        <w:ind w:left="0" w:right="0" w:firstLine="480"/>
        <w:jc w:val="both"/>
        <w:rPr>
          <w:rFonts w:ascii="宋体" w:hAnsi="宋体" w:eastAsia="宋体" w:cs="宋体"/>
          <w:color w:val="FF0000"/>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79F4240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6D3D2F6F">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DAF02">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2CA40FF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8F0E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4807F">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B619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195CC">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5E4A1D4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CF46D">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08D705F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25B84EC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C93D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26EEA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D12C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801B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8BE2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188A9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CB02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2CAA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EB92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03D6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28A4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C99482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994F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217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904D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1833E">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9E66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64F271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5C45A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B67A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CD25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0DD0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0D1E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E4BB8E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B067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66F1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CD2F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D0723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7514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7B9B61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5ADE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4B0E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F27D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97CD9">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3FA2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F70767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7A36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2BF9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69FB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3F1D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8CDD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E6FD3F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B72C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93AD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1800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5ADC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F814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664EF4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438C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B1BD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DCA1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048C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18D3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2CA5E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901B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03456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82F8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2FFB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7463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B143D9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E4E5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8F2A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9533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7974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9986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159415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101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9FCEC">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B5DE6">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4DC2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1D12C">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D58347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B72D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F393D">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ED177">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E50D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4C669">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46C8F01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64C0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94DE5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EE15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005B2E0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82265B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743D46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77274C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72E47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75C8DC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23999A3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27FA5F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6C1C4E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513FEAB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004737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3B282B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58D63A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A6285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4FF628D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1128A6C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63E5E0F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0103EA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3FF47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0C803C9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1F9A77E">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73F51815">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713DE982">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74F5D145">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4F3B3EE4">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60E875D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1795860">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02B6B7AB">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0CC5AB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43F6D8BE">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p w14:paraId="620B2F2E">
      <w:pPr>
        <w:pStyle w:val="9"/>
        <w:rPr>
          <w:highlight w:val="none"/>
        </w:rPr>
      </w:pP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4010"/>
        <w:gridCol w:w="1511"/>
      </w:tblGrid>
      <w:tr w14:paraId="33CACA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316A7DDC">
            <w:pPr>
              <w:spacing w:line="360" w:lineRule="auto"/>
              <w:ind w:left="0" w:leftChars="0" w:firstLine="0" w:firstLineChars="0"/>
              <w:jc w:val="both"/>
              <w:rPr>
                <w:rFonts w:hint="eastAsia" w:ascii="宋体" w:hAnsi="宋体" w:eastAsia="宋体" w:cs="宋体"/>
                <w:color w:val="auto"/>
                <w:sz w:val="24"/>
                <w:szCs w:val="24"/>
                <w:highlight w:val="none"/>
              </w:rPr>
            </w:pPr>
            <w:r>
              <w:rPr>
                <w:rFonts w:hint="eastAsia" w:ascii="宋体" w:hAnsi="宋体" w:eastAsia="宋体" w:cs="宋体"/>
                <w:b/>
                <w:color w:val="000000"/>
                <w:sz w:val="24"/>
                <w:szCs w:val="24"/>
                <w:highlight w:val="none"/>
              </w:rPr>
              <w:t>评分指标</w:t>
            </w:r>
          </w:p>
        </w:tc>
        <w:tc>
          <w:tcPr>
            <w:tcW w:w="1766" w:type="dxa"/>
            <w:noWrap w:val="0"/>
            <w:vAlign w:val="center"/>
          </w:tcPr>
          <w:p w14:paraId="5BD5BC4F">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color w:val="000000"/>
                <w:sz w:val="24"/>
                <w:szCs w:val="24"/>
                <w:highlight w:val="none"/>
              </w:rPr>
              <w:t>分值</w:t>
            </w:r>
          </w:p>
        </w:tc>
        <w:tc>
          <w:tcPr>
            <w:tcW w:w="4010" w:type="dxa"/>
            <w:tcBorders>
              <w:right w:val="single" w:color="auto" w:sz="4" w:space="0"/>
            </w:tcBorders>
            <w:noWrap w:val="0"/>
            <w:vAlign w:val="center"/>
          </w:tcPr>
          <w:p w14:paraId="48A3547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000000"/>
                <w:sz w:val="24"/>
                <w:szCs w:val="24"/>
                <w:highlight w:val="none"/>
              </w:rPr>
              <w:t>指标说明及评分标准</w:t>
            </w:r>
          </w:p>
        </w:tc>
        <w:tc>
          <w:tcPr>
            <w:tcW w:w="1511" w:type="dxa"/>
            <w:tcBorders>
              <w:left w:val="single" w:color="auto" w:sz="4" w:space="0"/>
            </w:tcBorders>
            <w:noWrap w:val="0"/>
            <w:vAlign w:val="center"/>
          </w:tcPr>
          <w:p w14:paraId="4E64D4C9">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评分依据</w:t>
            </w:r>
          </w:p>
        </w:tc>
      </w:tr>
      <w:tr w14:paraId="6FB77E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0B560D4E">
            <w:pPr>
              <w:widowControl w:val="0"/>
              <w:kinsoku/>
              <w:autoSpaceDE/>
              <w:autoSpaceDN/>
              <w:bidi w:val="0"/>
              <w:adjustRightInd/>
              <w:snapToGrid/>
              <w:spacing w:after="50" w:line="360" w:lineRule="auto"/>
              <w:ind w:right="-1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投标报价</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（30分）</w:t>
            </w:r>
          </w:p>
        </w:tc>
        <w:tc>
          <w:tcPr>
            <w:tcW w:w="1766" w:type="dxa"/>
            <w:noWrap w:val="0"/>
            <w:vAlign w:val="center"/>
          </w:tcPr>
          <w:p w14:paraId="3315ADAA">
            <w:pPr>
              <w:widowControl w:val="0"/>
              <w:kinsoku/>
              <w:autoSpaceDE/>
              <w:autoSpaceDN/>
              <w:bidi w:val="0"/>
              <w:adjustRightInd/>
              <w:snapToGrid/>
              <w:spacing w:after="50" w:line="360" w:lineRule="auto"/>
              <w:ind w:right="-1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30分</w:t>
            </w:r>
          </w:p>
        </w:tc>
        <w:tc>
          <w:tcPr>
            <w:tcW w:w="5521" w:type="dxa"/>
            <w:gridSpan w:val="2"/>
            <w:noWrap w:val="0"/>
            <w:vAlign w:val="center"/>
          </w:tcPr>
          <w:p w14:paraId="221B541F">
            <w:pPr>
              <w:widowControl w:val="0"/>
              <w:tabs>
                <w:tab w:val="left" w:pos="5130"/>
              </w:tabs>
              <w:kinsoku/>
              <w:autoSpaceDE/>
              <w:autoSpaceDN/>
              <w:bidi w:val="0"/>
              <w:adjustRightInd w:val="0"/>
              <w:snapToGrid w:val="0"/>
              <w:spacing w:after="50" w:line="360" w:lineRule="auto"/>
              <w:ind w:right="-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价格分应当采用低价优先法计算，即满足</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磋商</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文件要求且投标价格最低的</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磋商</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报价为</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磋商</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基准价，其价格分为满分。其他投标人的价格分统一按照下列公式计算：</w:t>
            </w:r>
          </w:p>
          <w:p w14:paraId="3177C800">
            <w:pPr>
              <w:widowControl w:val="0"/>
              <w:tabs>
                <w:tab w:val="left" w:pos="5130"/>
              </w:tabs>
              <w:kinsoku/>
              <w:autoSpaceDE/>
              <w:autoSpaceDN/>
              <w:bidi w:val="0"/>
              <w:adjustRightInd w:val="0"/>
              <w:snapToGrid w:val="0"/>
              <w:spacing w:after="50" w:line="360" w:lineRule="auto"/>
              <w:ind w:right="-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　　</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磋商</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报价得分=(</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磋商</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基准价／</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磋商</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报价)×30</w:t>
            </w:r>
          </w:p>
          <w:p w14:paraId="736542B2">
            <w:pPr>
              <w:widowControl w:val="0"/>
              <w:tabs>
                <w:tab w:val="left" w:pos="5130"/>
              </w:tabs>
              <w:kinsoku/>
              <w:autoSpaceDE/>
              <w:autoSpaceDN/>
              <w:bidi w:val="0"/>
              <w:adjustRightInd w:val="0"/>
              <w:snapToGrid w:val="0"/>
              <w:spacing w:after="50" w:line="360" w:lineRule="auto"/>
              <w:ind w:right="-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注：价格分计算保留小数点后二位。</w:t>
            </w:r>
          </w:p>
          <w:p w14:paraId="07DB54CE">
            <w:pPr>
              <w:widowControl w:val="0"/>
              <w:kinsoku/>
              <w:autoSpaceDE w:val="0"/>
              <w:autoSpaceDN w:val="0"/>
              <w:bidi w:val="0"/>
              <w:adjustRightInd w:val="0"/>
              <w:snapToGrid/>
              <w:spacing w:after="50" w:line="360" w:lineRule="auto"/>
              <w:ind w:right="-21" w:rightChars="-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根据财政部、工信部关于印发《政府采购促进中小企业发展管理办法》的通知（财库〔2020〕46号 ）文件规定：</w:t>
            </w:r>
          </w:p>
          <w:p w14:paraId="3CDE321B">
            <w:pPr>
              <w:widowControl w:val="0"/>
              <w:kinsoku/>
              <w:autoSpaceDE w:val="0"/>
              <w:autoSpaceDN w:val="0"/>
              <w:bidi w:val="0"/>
              <w:adjustRightInd w:val="0"/>
              <w:snapToGrid/>
              <w:spacing w:after="50" w:line="360" w:lineRule="auto"/>
              <w:ind w:right="-21" w:rightChars="-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（1）对小微企业报价给予20%扣除，请按照《政府采购促进中小企业发展管理办法》要求提供中小企业声明函。</w:t>
            </w:r>
          </w:p>
          <w:p w14:paraId="53C93379">
            <w:pPr>
              <w:widowControl w:val="0"/>
              <w:kinsoku/>
              <w:autoSpaceDE w:val="0"/>
              <w:autoSpaceDN w:val="0"/>
              <w:bidi w:val="0"/>
              <w:adjustRightInd w:val="0"/>
              <w:snapToGrid/>
              <w:spacing w:after="50" w:line="360" w:lineRule="auto"/>
              <w:ind w:right="-21" w:rightChars="-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59023A43">
            <w:pPr>
              <w:widowControl w:val="0"/>
              <w:kinsoku/>
              <w:autoSpaceDE w:val="0"/>
              <w:autoSpaceDN w:val="0"/>
              <w:bidi w:val="0"/>
              <w:adjustRightInd w:val="0"/>
              <w:snapToGrid/>
              <w:spacing w:after="50" w:line="360" w:lineRule="auto"/>
              <w:ind w:right="-21" w:rightChars="-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173D60F1">
            <w:pPr>
              <w:widowControl w:val="0"/>
              <w:kinsoku/>
              <w:autoSpaceDE/>
              <w:autoSpaceDN/>
              <w:bidi w:val="0"/>
              <w:adjustRightInd/>
              <w:snapToGrid/>
              <w:spacing w:after="50" w:line="360" w:lineRule="auto"/>
              <w:ind w:right="-1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（4）没有提供有效证明材料的供应商将被视为不接受投标总价的扣除，用原投标总价参与评审。</w:t>
            </w:r>
          </w:p>
        </w:tc>
      </w:tr>
      <w:tr w14:paraId="24194C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tcBorders>
              <w:left w:val="single" w:color="auto" w:sz="4" w:space="0"/>
            </w:tcBorders>
            <w:noWrap w:val="0"/>
            <w:vAlign w:val="center"/>
          </w:tcPr>
          <w:p w14:paraId="436B8DFF">
            <w:pPr>
              <w:widowControl w:val="0"/>
              <w:kinsoku/>
              <w:autoSpaceDE w:val="0"/>
              <w:autoSpaceDN w:val="0"/>
              <w:bidi w:val="0"/>
              <w:adjustRightInd w:val="0"/>
              <w:snapToGrid/>
              <w:spacing w:after="50" w:line="360" w:lineRule="auto"/>
              <w:ind w:right="-21" w:rightChars="-1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技术部分（</w:t>
            </w:r>
            <w:r>
              <w:rPr>
                <w:rFonts w:hint="eastAsia" w:ascii="宋体" w:hAnsi="宋体" w:cs="宋体"/>
                <w:snapToGrid/>
                <w:color w:val="000000" w:themeColor="text1"/>
                <w:kern w:val="2"/>
                <w:sz w:val="24"/>
                <w:szCs w:val="24"/>
                <w:highlight w:val="none"/>
                <w:lang w:val="en-US" w:eastAsia="zh-CN" w:bidi="ar-SA"/>
                <w14:textFill>
                  <w14:solidFill>
                    <w14:schemeClr w14:val="tx1"/>
                  </w14:solidFill>
                </w14:textFill>
              </w:rPr>
              <w:t>35</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分）</w:t>
            </w:r>
          </w:p>
        </w:tc>
        <w:tc>
          <w:tcPr>
            <w:tcW w:w="1766" w:type="dxa"/>
            <w:tcBorders>
              <w:right w:val="single" w:color="auto" w:sz="4" w:space="0"/>
            </w:tcBorders>
            <w:noWrap w:val="0"/>
            <w:vAlign w:val="center"/>
          </w:tcPr>
          <w:p w14:paraId="2ECC3725">
            <w:pPr>
              <w:widowControl w:val="0"/>
              <w:kinsoku/>
              <w:autoSpaceDE w:val="0"/>
              <w:autoSpaceDN w:val="0"/>
              <w:bidi w:val="0"/>
              <w:adjustRightInd w:val="0"/>
              <w:snapToGrid/>
              <w:spacing w:after="50" w:line="360" w:lineRule="auto"/>
              <w:ind w:right="-21" w:rightChars="-10" w:firstLine="0" w:firstLine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3</w:t>
            </w:r>
            <w:r>
              <w:rPr>
                <w:rFonts w:hint="eastAsia" w:ascii="宋体" w:hAnsi="宋体" w:cs="宋体"/>
                <w:snapToGrid/>
                <w:color w:val="000000" w:themeColor="text1"/>
                <w:kern w:val="2"/>
                <w:sz w:val="24"/>
                <w:szCs w:val="24"/>
                <w:highlight w:val="none"/>
                <w:lang w:val="en-US" w:eastAsia="zh-CN" w:bidi="ar-SA"/>
                <w14:textFill>
                  <w14:solidFill>
                    <w14:schemeClr w14:val="tx1"/>
                  </w14:solidFill>
                </w14:textFill>
              </w:rPr>
              <w:t>5</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分</w:t>
            </w:r>
          </w:p>
        </w:tc>
        <w:tc>
          <w:tcPr>
            <w:tcW w:w="5521" w:type="dxa"/>
            <w:gridSpan w:val="2"/>
            <w:tcBorders>
              <w:left w:val="single" w:color="auto" w:sz="4" w:space="0"/>
            </w:tcBorders>
            <w:noWrap w:val="0"/>
            <w:vAlign w:val="center"/>
          </w:tcPr>
          <w:p w14:paraId="0F5A3427">
            <w:pPr>
              <w:widowControl w:val="0"/>
              <w:tabs>
                <w:tab w:val="left" w:pos="5130"/>
              </w:tabs>
              <w:kinsoku/>
              <w:autoSpaceDE/>
              <w:autoSpaceDN/>
              <w:bidi w:val="0"/>
              <w:adjustRightInd w:val="0"/>
              <w:snapToGrid w:val="0"/>
              <w:spacing w:after="50" w:line="360" w:lineRule="auto"/>
              <w:ind w:right="-10" w:rightChars="0" w:firstLine="0" w:firstLine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技术参数完全满足采购方要求的得35分，参数不满足招标参数中加★号的技术参数，每出现一项不满足要求的扣3分</w:t>
            </w:r>
            <w:r>
              <w:rPr>
                <w:rFonts w:hint="eastAsia" w:ascii="宋体" w:hAnsi="宋体" w:cs="宋体"/>
                <w:snapToGrid/>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不加★号的技术参数，每出现一项不满足要求的扣1分，本项分扣完为止</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w:t>
            </w:r>
          </w:p>
        </w:tc>
      </w:tr>
      <w:tr w14:paraId="0EB14F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18" w:hRule="atLeast"/>
          <w:jc w:val="center"/>
        </w:trPr>
        <w:tc>
          <w:tcPr>
            <w:tcW w:w="1503" w:type="dxa"/>
            <w:tcBorders>
              <w:left w:val="single" w:color="auto" w:sz="4" w:space="0"/>
            </w:tcBorders>
            <w:noWrap w:val="0"/>
            <w:vAlign w:val="center"/>
          </w:tcPr>
          <w:p w14:paraId="1FFED877">
            <w:pPr>
              <w:widowControl w:val="0"/>
              <w:tabs>
                <w:tab w:val="left" w:pos="5130"/>
              </w:tabs>
              <w:kinsoku/>
              <w:autoSpaceDE/>
              <w:autoSpaceDN/>
              <w:bidi w:val="0"/>
              <w:adjustRightInd w:val="0"/>
              <w:snapToGrid w:val="0"/>
              <w:spacing w:after="50" w:line="360" w:lineRule="auto"/>
              <w:ind w:right="-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商务</w:t>
            </w:r>
          </w:p>
          <w:p w14:paraId="381C077F">
            <w:pPr>
              <w:widowControl w:val="0"/>
              <w:tabs>
                <w:tab w:val="left" w:pos="5130"/>
              </w:tabs>
              <w:kinsoku/>
              <w:autoSpaceDE/>
              <w:autoSpaceDN/>
              <w:bidi w:val="0"/>
              <w:adjustRightInd w:val="0"/>
              <w:snapToGrid w:val="0"/>
              <w:spacing w:after="50" w:line="360" w:lineRule="auto"/>
              <w:ind w:right="-1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部分(3</w:t>
            </w:r>
            <w:r>
              <w:rPr>
                <w:rFonts w:hint="eastAsia" w:ascii="宋体" w:hAnsi="宋体" w:cs="宋体"/>
                <w:snapToGrid/>
                <w:color w:val="000000" w:themeColor="text1"/>
                <w:kern w:val="2"/>
                <w:sz w:val="24"/>
                <w:szCs w:val="24"/>
                <w:highlight w:val="none"/>
                <w:lang w:val="en-US" w:eastAsia="zh-CN" w:bidi="ar-SA"/>
                <w14:textFill>
                  <w14:solidFill>
                    <w14:schemeClr w14:val="tx1"/>
                  </w14:solidFill>
                </w14:textFill>
              </w:rPr>
              <w:t>5</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分)</w:t>
            </w:r>
          </w:p>
        </w:tc>
        <w:tc>
          <w:tcPr>
            <w:tcW w:w="1766" w:type="dxa"/>
            <w:tcBorders>
              <w:right w:val="single" w:color="auto" w:sz="4" w:space="0"/>
            </w:tcBorders>
            <w:noWrap w:val="0"/>
            <w:vAlign w:val="center"/>
          </w:tcPr>
          <w:p w14:paraId="3C11B9D7">
            <w:pPr>
              <w:widowControl w:val="0"/>
              <w:tabs>
                <w:tab w:val="left" w:pos="5130"/>
              </w:tabs>
              <w:kinsoku/>
              <w:autoSpaceDE/>
              <w:autoSpaceDN/>
              <w:bidi w:val="0"/>
              <w:adjustRightInd w:val="0"/>
              <w:snapToGrid w:val="0"/>
              <w:spacing w:after="50" w:line="360" w:lineRule="auto"/>
              <w:ind w:right="-10" w:rightChars="0" w:firstLine="0" w:firstLineChars="0"/>
              <w:jc w:val="left"/>
              <w:textAlignment w:val="auto"/>
              <w:rPr>
                <w:rFonts w:hint="default"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35分</w:t>
            </w:r>
          </w:p>
        </w:tc>
        <w:tc>
          <w:tcPr>
            <w:tcW w:w="5521" w:type="dxa"/>
            <w:gridSpan w:val="2"/>
            <w:tcBorders>
              <w:left w:val="single" w:color="auto" w:sz="4" w:space="0"/>
            </w:tcBorders>
            <w:noWrap w:val="0"/>
            <w:vAlign w:val="center"/>
          </w:tcPr>
          <w:p w14:paraId="459F4594">
            <w:pPr>
              <w:keepNext w:val="0"/>
              <w:keepLines w:val="0"/>
              <w:widowControl/>
              <w:numPr>
                <w:ilvl w:val="0"/>
                <w:numId w:val="1"/>
              </w:numPr>
              <w:suppressLineNumbers w:val="0"/>
              <w:spacing w:line="360" w:lineRule="auto"/>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投标人或所投实验室生产厂家提供环境管理体系认证、质量管理体系认证、职业健康安全管理体系认证、每提供一项得1分，最多得3分。（提供证明材料原件扫描件或影印件加盖投标人公章）（3分）</w:t>
            </w:r>
          </w:p>
          <w:p w14:paraId="4FF69C4C">
            <w:pPr>
              <w:keepNext w:val="0"/>
              <w:keepLines w:val="0"/>
              <w:widowControl/>
              <w:numPr>
                <w:ilvl w:val="0"/>
                <w:numId w:val="0"/>
              </w:numPr>
              <w:suppressLineNumbers w:val="0"/>
              <w:spacing w:line="360" w:lineRule="auto"/>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2.投标人所投“实验室控制管理系统”的软件制造商符合《信息技术服务 运行维护 第1部分：通用要求》(GB/T 28827.1-2012)以及《信息技术服务运行维护服务能力成熟度模型》(ITSS.1-2015)标准。投标时提供有效期内的ITSS(信息技术服务标准)认证证书，得5分；（提供证明材料原件扫描件或影印件加盖投标人公章）（5分）</w:t>
            </w:r>
          </w:p>
          <w:p w14:paraId="0E38276D">
            <w:pPr>
              <w:keepNext w:val="0"/>
              <w:keepLines w:val="0"/>
              <w:widowControl/>
              <w:suppressLineNumbers w:val="0"/>
              <w:spacing w:line="360" w:lineRule="auto"/>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投标人所投“实验室控制管理系统”的软件制造商符合《知识产权管理体系》GB/T29490-2023，证书覆盖范围包含计算机应用软件开发；教学设备及计算机周边设备的开发及组装(资质范围内)，提供有效期内知识产权合规管理体系认证证书，得5分（提供证明材料原件扫描件或影印件加盖投标人公章，提供不全不得分）（5分）</w:t>
            </w:r>
          </w:p>
          <w:p w14:paraId="7844EC1C">
            <w:pPr>
              <w:keepNext w:val="0"/>
              <w:keepLines w:val="0"/>
              <w:widowControl/>
              <w:suppressLineNumbers w:val="0"/>
              <w:spacing w:line="360" w:lineRule="auto"/>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4.投标人所投</w:t>
            </w:r>
            <w:r>
              <w:rPr>
                <w:rFonts w:hint="eastAsia" w:ascii="宋体" w:hAnsi="宋体" w:eastAsia="宋体" w:cs="宋体"/>
                <w:i w:val="0"/>
                <w:color w:val="000000"/>
                <w:sz w:val="24"/>
                <w:szCs w:val="24"/>
                <w:highlight w:val="none"/>
                <w:u w:val="none"/>
              </w:rPr>
              <w:t>“实验室控制管理系统”产品，具有计算机软件著作权登记证书的得</w:t>
            </w:r>
            <w:r>
              <w:rPr>
                <w:rFonts w:hint="eastAsia" w:ascii="宋体" w:hAnsi="宋体" w:eastAsia="宋体" w:cs="宋体"/>
                <w:i w:val="0"/>
                <w:color w:val="000000"/>
                <w:sz w:val="24"/>
                <w:szCs w:val="24"/>
                <w:highlight w:val="none"/>
                <w:u w:val="none"/>
                <w:lang w:val="en-US" w:eastAsia="zh-CN"/>
              </w:rPr>
              <w:t>5</w:t>
            </w:r>
            <w:r>
              <w:rPr>
                <w:rFonts w:hint="eastAsia" w:ascii="宋体" w:hAnsi="宋体" w:eastAsia="宋体" w:cs="宋体"/>
                <w:i w:val="0"/>
                <w:color w:val="000000"/>
                <w:sz w:val="24"/>
                <w:szCs w:val="24"/>
                <w:highlight w:val="none"/>
                <w:u w:val="none"/>
              </w:rPr>
              <w:t>分</w:t>
            </w:r>
            <w:r>
              <w:rPr>
                <w:rFonts w:hint="eastAsia" w:ascii="宋体" w:hAnsi="宋体" w:eastAsia="宋体" w:cs="宋体"/>
                <w:i w:val="0"/>
                <w:color w:val="000000"/>
                <w:sz w:val="24"/>
                <w:szCs w:val="24"/>
                <w:highlight w:val="none"/>
                <w:u w:val="none"/>
                <w:lang w:eastAsia="zh-CN"/>
              </w:rPr>
              <w:t>，</w:t>
            </w:r>
            <w:r>
              <w:rPr>
                <w:rFonts w:hint="eastAsia" w:ascii="宋体" w:hAnsi="宋体" w:eastAsia="宋体" w:cs="宋体"/>
                <w:i w:val="0"/>
                <w:color w:val="000000"/>
                <w:kern w:val="0"/>
                <w:sz w:val="24"/>
                <w:szCs w:val="24"/>
                <w:highlight w:val="none"/>
                <w:u w:val="none"/>
                <w:lang w:val="en-US" w:eastAsia="zh-CN" w:bidi="ar"/>
              </w:rPr>
              <w:t>（提供证明材料原件扫描件或影印件加盖投标人公章，提供不全不得分）（5分）</w:t>
            </w:r>
          </w:p>
          <w:p w14:paraId="02119D64">
            <w:pPr>
              <w:numPr>
                <w:ilvl w:val="0"/>
                <w:numId w:val="0"/>
              </w:num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5.</w:t>
            </w:r>
            <w:r>
              <w:rPr>
                <w:rFonts w:hint="eastAsia" w:ascii="宋体" w:hAnsi="宋体" w:eastAsia="宋体" w:cs="宋体"/>
                <w:color w:val="auto"/>
                <w:kern w:val="2"/>
                <w:sz w:val="24"/>
                <w:szCs w:val="24"/>
                <w:highlight w:val="none"/>
                <w:lang w:val="en-US" w:eastAsia="zh-CN" w:bidi="ar-SA"/>
              </w:rPr>
              <w:t>为保障产品的质量和交付服务标准，要求投标人或者所投</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kern w:val="2"/>
                <w:sz w:val="24"/>
                <w:szCs w:val="24"/>
                <w:highlight w:val="none"/>
                <w:lang w:val="en-US" w:eastAsia="zh-CN" w:bidi="ar-SA"/>
              </w:rPr>
              <w:t>制造商</w:t>
            </w:r>
            <w:r>
              <w:rPr>
                <w:rFonts w:hint="default" w:ascii="宋体" w:hAnsi="宋体" w:eastAsia="宋体" w:cs="宋体"/>
                <w:color w:val="auto"/>
                <w:kern w:val="2"/>
                <w:sz w:val="24"/>
                <w:szCs w:val="24"/>
                <w:highlight w:val="none"/>
                <w:lang w:val="en-US" w:eastAsia="zh-CN" w:bidi="ar-SA"/>
              </w:rPr>
              <w:t>有符合</w:t>
            </w:r>
            <w:r>
              <w:rPr>
                <w:rFonts w:hint="eastAsia" w:ascii="宋体" w:hAnsi="宋体" w:eastAsia="宋体" w:cs="宋体"/>
                <w:color w:val="auto"/>
                <w:kern w:val="2"/>
                <w:sz w:val="24"/>
                <w:szCs w:val="24"/>
                <w:highlight w:val="none"/>
                <w:lang w:val="en-US" w:eastAsia="zh-CN" w:bidi="ar-SA"/>
              </w:rPr>
              <w:t>相关</w:t>
            </w:r>
            <w:r>
              <w:rPr>
                <w:rFonts w:hint="default" w:ascii="宋体" w:hAnsi="宋体" w:eastAsia="宋体" w:cs="宋体"/>
                <w:color w:val="auto"/>
                <w:kern w:val="2"/>
                <w:sz w:val="24"/>
                <w:szCs w:val="24"/>
                <w:highlight w:val="none"/>
                <w:lang w:val="en-US" w:eastAsia="zh-CN" w:bidi="ar-SA"/>
              </w:rPr>
              <w:t>标准的企业管理</w:t>
            </w:r>
            <w:r>
              <w:rPr>
                <w:rFonts w:hint="eastAsia" w:ascii="宋体" w:hAnsi="宋体" w:eastAsia="宋体" w:cs="宋体"/>
                <w:color w:val="auto"/>
                <w:kern w:val="2"/>
                <w:sz w:val="24"/>
                <w:szCs w:val="24"/>
                <w:highlight w:val="none"/>
                <w:lang w:val="en-US" w:eastAsia="zh-CN" w:bidi="ar-SA"/>
              </w:rPr>
              <w:t>，具有</w:t>
            </w:r>
            <w:r>
              <w:rPr>
                <w:rFonts w:hint="default" w:ascii="宋体" w:hAnsi="宋体" w:eastAsia="宋体" w:cs="宋体"/>
                <w:color w:val="auto"/>
                <w:kern w:val="2"/>
                <w:sz w:val="24"/>
                <w:szCs w:val="24"/>
                <w:highlight w:val="none"/>
                <w:lang w:val="en-US" w:eastAsia="zh-CN" w:bidi="ar-SA"/>
              </w:rPr>
              <w:t>标准化良好行为企业</w:t>
            </w:r>
            <w:r>
              <w:rPr>
                <w:rFonts w:hint="eastAsia" w:ascii="宋体" w:hAnsi="宋体" w:eastAsia="宋体" w:cs="宋体"/>
                <w:color w:val="auto"/>
                <w:kern w:val="2"/>
                <w:sz w:val="24"/>
                <w:szCs w:val="24"/>
                <w:highlight w:val="none"/>
                <w:lang w:val="en-US" w:eastAsia="zh-CN" w:bidi="ar-SA"/>
              </w:rPr>
              <w:t>认证证书的得5分（提供证明材料原件扫描件或复印件加盖投标人公章，不提供不得分）（5分）</w:t>
            </w:r>
          </w:p>
          <w:p w14:paraId="366631C8">
            <w:pPr>
              <w:numPr>
                <w:ilvl w:val="0"/>
                <w:numId w:val="0"/>
              </w:num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6.投标人拟派本项目管理人员具有高级PMP项目管理技术资格证书的得5分，不提供不得分（5分）</w:t>
            </w:r>
          </w:p>
          <w:p w14:paraId="53AAD0E6">
            <w:pPr>
              <w:widowControl w:val="0"/>
              <w:tabs>
                <w:tab w:val="left" w:pos="5130"/>
              </w:tabs>
              <w:kinsoku/>
              <w:autoSpaceDE/>
              <w:autoSpaceDN/>
              <w:bidi w:val="0"/>
              <w:adjustRightInd w:val="0"/>
              <w:snapToGrid w:val="0"/>
              <w:spacing w:after="50" w:line="360" w:lineRule="auto"/>
              <w:ind w:right="-10" w:righ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7.</w:t>
            </w:r>
            <w:r>
              <w:rPr>
                <w:rFonts w:hint="eastAsia" w:ascii="宋体" w:hAnsi="宋体" w:eastAsia="宋体" w:cs="宋体"/>
                <w:color w:val="auto"/>
                <w:kern w:val="2"/>
                <w:sz w:val="24"/>
                <w:szCs w:val="24"/>
                <w:highlight w:val="none"/>
                <w:lang w:val="en-US" w:eastAsia="zh-CN" w:bidi="ar-SA"/>
              </w:rPr>
              <w:t>供应商须提供自 2021年 1月1日以来，承担过类似项目业绩，每提供一份有效业绩的得1分，最多得2分。注：每份有效业绩需同时提供与业绩相关的采购合同或中标通知书等相关证明材料（以响应文件中附相关证明扫描件或复印件为准）且不得遮挡涂黑, 否则不得分。（2分）</w:t>
            </w:r>
          </w:p>
          <w:p w14:paraId="6BD32195">
            <w:pPr>
              <w:widowControl w:val="0"/>
              <w:tabs>
                <w:tab w:val="left" w:pos="5130"/>
              </w:tabs>
              <w:kinsoku/>
              <w:autoSpaceDE/>
              <w:autoSpaceDN/>
              <w:bidi w:val="0"/>
              <w:adjustRightInd w:val="0"/>
              <w:snapToGrid w:val="0"/>
              <w:spacing w:after="50" w:line="360" w:lineRule="auto"/>
              <w:ind w:right="-10" w:rightChars="0" w:firstLine="0" w:firstLineChars="0"/>
              <w:jc w:val="left"/>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8.投标人提供的售后服务方案，包括售后服务流程、售后服务措施、应急处理方案、响应时间及故障排除时间等。内容实用可行并前后一致的得4分，缺项或不提供不得分。</w:t>
            </w:r>
          </w:p>
          <w:p w14:paraId="5278842A">
            <w:pPr>
              <w:widowControl w:val="0"/>
              <w:tabs>
                <w:tab w:val="left" w:pos="5130"/>
              </w:tabs>
              <w:kinsoku/>
              <w:autoSpaceDE/>
              <w:autoSpaceDN/>
              <w:bidi w:val="0"/>
              <w:adjustRightInd w:val="0"/>
              <w:snapToGrid w:val="0"/>
              <w:spacing w:after="50" w:line="360" w:lineRule="auto"/>
              <w:ind w:right="-10" w:rightChars="0" w:firstLine="0" w:firstLineChars="0"/>
              <w:jc w:val="left"/>
              <w:textAlignment w:val="auto"/>
              <w:rPr>
                <w:rFonts w:hint="default"/>
                <w:highlight w:val="none"/>
                <w:lang w:val="en-US"/>
              </w:rPr>
            </w:pPr>
            <w:r>
              <w:rPr>
                <w:rFonts w:hint="eastAsia" w:ascii="宋体" w:hAnsi="宋体" w:eastAsia="宋体" w:cs="宋体"/>
                <w:color w:val="auto"/>
                <w:kern w:val="2"/>
                <w:sz w:val="24"/>
                <w:szCs w:val="24"/>
                <w:highlight w:val="none"/>
                <w:lang w:val="en-US" w:eastAsia="zh-CN" w:bidi="ar-SA"/>
              </w:rPr>
              <w:t>9.质保时间 ：在质保1年期的基础上，每增加1年得0.5分（从第2年开始计分），最多得1分。</w:t>
            </w:r>
          </w:p>
        </w:tc>
      </w:tr>
    </w:tbl>
    <w:p w14:paraId="34EABAEA">
      <w:pPr>
        <w:pStyle w:val="13"/>
        <w:ind w:left="0" w:leftChars="0" w:firstLine="0" w:firstLineChars="0"/>
        <w:rPr>
          <w:rFonts w:ascii="宋体" w:hAnsi="宋体" w:eastAsia="宋体" w:cs="宋体"/>
          <w:color w:val="auto"/>
          <w:spacing w:val="0"/>
          <w:position w:val="0"/>
          <w:sz w:val="24"/>
          <w:highlight w:val="none"/>
          <w:shd w:val="clear" w:fill="auto"/>
        </w:rPr>
      </w:pPr>
    </w:p>
    <w:p w14:paraId="55C2FC5F">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0D749B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754B54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4EE18A4">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4DA6F1E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27368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w:t>
      </w:r>
      <w:r>
        <w:rPr>
          <w:rFonts w:hint="eastAsia" w:ascii="宋体" w:hAnsi="宋体" w:eastAsia="宋体" w:cs="宋体"/>
          <w:color w:val="auto"/>
          <w:spacing w:val="0"/>
          <w:position w:val="0"/>
          <w:sz w:val="24"/>
          <w:highlight w:val="none"/>
          <w:shd w:val="clear" w:fill="auto"/>
        </w:rPr>
        <w:t>投标人须在投标文件承诺</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在竞争性磋商期间，供应商不得向竞争性磋商小组成员询问其它供应商竞争性磋商情况，不得进行旨在影响成交结果的活动。</w:t>
      </w:r>
    </w:p>
    <w:p w14:paraId="3029BF2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59CF55E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2DA26C7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25BEF1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57B8BC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151605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27FC83CB">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779D51D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208448A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199F9F08">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37CC111E">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4A3E6F2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7BF7A56F">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7B26B5D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2BFF9E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354EE2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8FBAEB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301A534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6F9996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4D8F4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2DE8A5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7926F35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9776C6">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7D8C480D">
      <w:pPr>
        <w:pStyle w:val="8"/>
        <w:rPr>
          <w:rFonts w:hint="eastAsia"/>
          <w:highlight w:val="none"/>
          <w:lang w:val="en-US" w:eastAsia="zh-CN"/>
        </w:rPr>
      </w:pPr>
    </w:p>
    <w:p w14:paraId="6D1B6E03">
      <w:pPr>
        <w:pStyle w:val="9"/>
        <w:rPr>
          <w:rFonts w:hint="eastAsia"/>
          <w:highlight w:val="none"/>
          <w:lang w:val="en-US" w:eastAsia="zh-CN"/>
        </w:rPr>
      </w:pPr>
    </w:p>
    <w:p w14:paraId="6B2FF4E8">
      <w:pPr>
        <w:rPr>
          <w:rFonts w:hint="eastAsia"/>
          <w:highlight w:val="none"/>
          <w:lang w:val="en-US" w:eastAsia="zh-CN"/>
        </w:rPr>
      </w:pPr>
    </w:p>
    <w:p w14:paraId="1D447A96">
      <w:pPr>
        <w:pStyle w:val="8"/>
        <w:rPr>
          <w:rFonts w:hint="eastAsia"/>
          <w:highlight w:val="none"/>
          <w:lang w:val="en-US" w:eastAsia="zh-CN"/>
        </w:rPr>
      </w:pPr>
    </w:p>
    <w:p w14:paraId="1F2E2DFE">
      <w:pPr>
        <w:pStyle w:val="9"/>
        <w:rPr>
          <w:rFonts w:hint="eastAsia"/>
          <w:highlight w:val="none"/>
          <w:lang w:val="en-US" w:eastAsia="zh-CN"/>
        </w:rPr>
      </w:pPr>
    </w:p>
    <w:p w14:paraId="080750F1">
      <w:pPr>
        <w:rPr>
          <w:rFonts w:hint="eastAsia"/>
          <w:highlight w:val="none"/>
          <w:lang w:val="en-US" w:eastAsia="zh-CN"/>
        </w:rPr>
      </w:pPr>
    </w:p>
    <w:p w14:paraId="511AE02A">
      <w:pPr>
        <w:rPr>
          <w:rFonts w:hint="eastAsia"/>
          <w:highlight w:val="none"/>
          <w:lang w:val="en-US" w:eastAsia="zh-CN"/>
        </w:rPr>
      </w:pPr>
    </w:p>
    <w:p w14:paraId="33064D01">
      <w:pPr>
        <w:pStyle w:val="9"/>
        <w:rPr>
          <w:rFonts w:hint="eastAsia"/>
          <w:highlight w:val="none"/>
          <w:lang w:val="en-US" w:eastAsia="zh-CN"/>
        </w:rPr>
      </w:pPr>
    </w:p>
    <w:p w14:paraId="6E11B22C">
      <w:pPr>
        <w:rPr>
          <w:rFonts w:hint="eastAsia"/>
          <w:highlight w:val="none"/>
          <w:lang w:val="en-US" w:eastAsia="zh-CN"/>
        </w:rPr>
      </w:pPr>
    </w:p>
    <w:p w14:paraId="35EF17A3">
      <w:pPr>
        <w:pStyle w:val="8"/>
        <w:rPr>
          <w:rFonts w:hint="eastAsia"/>
          <w:highlight w:val="none"/>
          <w:lang w:val="en-US" w:eastAsia="zh-CN"/>
        </w:rPr>
      </w:pPr>
    </w:p>
    <w:p w14:paraId="5E974FED">
      <w:pPr>
        <w:pStyle w:val="9"/>
        <w:rPr>
          <w:rFonts w:hint="eastAsia"/>
          <w:highlight w:val="none"/>
          <w:lang w:val="en-US" w:eastAsia="zh-CN"/>
        </w:rPr>
      </w:pPr>
    </w:p>
    <w:p w14:paraId="76AFACC1">
      <w:pPr>
        <w:rPr>
          <w:rFonts w:hint="eastAsia"/>
          <w:highlight w:val="none"/>
          <w:lang w:val="en-US" w:eastAsia="zh-CN"/>
        </w:rPr>
      </w:pPr>
    </w:p>
    <w:p w14:paraId="00F22EB9">
      <w:pPr>
        <w:pStyle w:val="8"/>
        <w:rPr>
          <w:rFonts w:hint="eastAsia"/>
          <w:highlight w:val="none"/>
          <w:lang w:val="en-US" w:eastAsia="zh-CN"/>
        </w:rPr>
      </w:pPr>
    </w:p>
    <w:p w14:paraId="276AB168">
      <w:pPr>
        <w:pStyle w:val="9"/>
        <w:rPr>
          <w:rFonts w:hint="eastAsia"/>
          <w:highlight w:val="none"/>
          <w:lang w:val="en-US" w:eastAsia="zh-CN"/>
        </w:rPr>
      </w:pPr>
    </w:p>
    <w:p w14:paraId="2F3F3010">
      <w:pPr>
        <w:rPr>
          <w:rFonts w:hint="eastAsia"/>
          <w:highlight w:val="none"/>
          <w:lang w:val="en-US" w:eastAsia="zh-CN"/>
        </w:rPr>
      </w:pPr>
    </w:p>
    <w:p w14:paraId="16080F62">
      <w:pPr>
        <w:rPr>
          <w:rFonts w:hint="eastAsia"/>
          <w:highlight w:val="none"/>
          <w:lang w:val="en-US" w:eastAsia="zh-CN"/>
        </w:rPr>
      </w:pPr>
    </w:p>
    <w:p w14:paraId="4F0ED8FF">
      <w:pPr>
        <w:pStyle w:val="2"/>
        <w:bidi w:val="0"/>
        <w:rPr>
          <w:highlight w:val="none"/>
        </w:rPr>
      </w:pPr>
      <w:r>
        <w:rPr>
          <w:highlight w:val="none"/>
        </w:rPr>
        <w:t xml:space="preserve">第三章 </w:t>
      </w:r>
      <w:r>
        <w:rPr>
          <w:rFonts w:hint="eastAsia"/>
          <w:highlight w:val="none"/>
          <w:lang w:val="en-US" w:eastAsia="zh-CN"/>
        </w:rPr>
        <w:t xml:space="preserve">  </w:t>
      </w:r>
      <w:r>
        <w:rPr>
          <w:highlight w:val="none"/>
        </w:rPr>
        <w:t>采购项目内容及要求</w:t>
      </w:r>
    </w:p>
    <w:p w14:paraId="4545D8D3">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本项目采购内容：</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9"/>
        <w:gridCol w:w="13"/>
        <w:gridCol w:w="3"/>
        <w:gridCol w:w="853"/>
        <w:gridCol w:w="3"/>
        <w:gridCol w:w="10"/>
        <w:gridCol w:w="5991"/>
        <w:gridCol w:w="12"/>
        <w:gridCol w:w="13"/>
        <w:gridCol w:w="571"/>
        <w:gridCol w:w="6"/>
        <w:gridCol w:w="7"/>
        <w:gridCol w:w="631"/>
      </w:tblGrid>
      <w:tr w14:paraId="17C06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00" w:type="pct"/>
            <w:gridSpan w:val="13"/>
            <w:tcBorders>
              <w:top w:val="nil"/>
              <w:left w:val="nil"/>
              <w:bottom w:val="nil"/>
              <w:right w:val="nil"/>
            </w:tcBorders>
            <w:shd w:val="clear" w:color="auto" w:fill="auto"/>
            <w:noWrap/>
            <w:vAlign w:val="center"/>
          </w:tcPr>
          <w:p w14:paraId="0F145600">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生化综合实验室1</w:t>
            </w:r>
          </w:p>
        </w:tc>
      </w:tr>
      <w:tr w14:paraId="54A5C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BFBFBF"/>
            <w:vAlign w:val="center"/>
          </w:tcPr>
          <w:p w14:paraId="153D1001">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序号</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39AE8F19">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设备名称</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64274E87">
            <w:pPr>
              <w:keepNext w:val="0"/>
              <w:keepLines w:val="0"/>
              <w:widowControl/>
              <w:suppressLineNumbers w:val="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技术参数</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BFBFBF"/>
            <w:vAlign w:val="center"/>
          </w:tcPr>
          <w:p w14:paraId="3B66E00B">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数量</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38552DF4">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单位</w:t>
            </w:r>
          </w:p>
        </w:tc>
      </w:tr>
      <w:tr w14:paraId="192D7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3573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1AF0E">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智能吊装管理系统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B56006">
            <w:pPr>
              <w:jc w:val="left"/>
              <w:rPr>
                <w:rFonts w:hint="eastAsia" w:ascii="宋体" w:hAnsi="宋体" w:eastAsia="宋体" w:cs="宋体"/>
                <w:b/>
                <w:bCs/>
                <w:i w:val="0"/>
                <w:iCs w:val="0"/>
                <w:color w:val="auto"/>
                <w:sz w:val="20"/>
                <w:szCs w:val="20"/>
                <w:highlight w:val="none"/>
                <w:u w:val="none"/>
              </w:rPr>
            </w:pP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15215C">
            <w:pPr>
              <w:jc w:val="center"/>
              <w:rPr>
                <w:rFonts w:hint="eastAsia" w:ascii="宋体" w:hAnsi="宋体" w:eastAsia="宋体" w:cs="宋体"/>
                <w:b/>
                <w:bCs/>
                <w:i w:val="0"/>
                <w:iCs w:val="0"/>
                <w:color w:val="auto"/>
                <w:sz w:val="20"/>
                <w:szCs w:val="20"/>
                <w:highlight w:val="none"/>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AD988B">
            <w:pPr>
              <w:jc w:val="center"/>
              <w:rPr>
                <w:rFonts w:hint="eastAsia" w:ascii="宋体" w:hAnsi="宋体" w:eastAsia="宋体" w:cs="宋体"/>
                <w:b/>
                <w:bCs/>
                <w:i w:val="0"/>
                <w:iCs w:val="0"/>
                <w:color w:val="auto"/>
                <w:sz w:val="20"/>
                <w:szCs w:val="20"/>
                <w:highlight w:val="none"/>
                <w:u w:val="none"/>
              </w:rPr>
            </w:pPr>
          </w:p>
        </w:tc>
      </w:tr>
      <w:tr w14:paraId="5D0C9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636F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2248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智能系统控制终端</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7ABC29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1、整机高度集成了液晶触摸屏、触摸按钮、液晶旋钮、常用接口面板；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2、采用了ARM+MCU双架构，触摸按钮和液晶旋钮为独立的MCU单片机，互相独立运作，具有较高稳定性；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★3、符合GB 4943.1-2022 标准要求，对设备进行机械强度试验，500g，直径50mm钢球，跌落高度1.3m，外壳不变形；样品外壳在外物撞击造成变形时应不影响其正常工作。（投标时提供带有CMA或CNAS标志的检测报告复印件）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★4、触摸屏部分采用国产ARM架构CPU，CPU核心数4个， CPU主频为2.0Ghz，内置NPU具有1TOPS算力，内置GPU为ARMG52(支持 OpenGL、OpenCL)，内存为2G；（投标时提供带有CMA或CNAS标志的检测报告复印件）；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★5、触摸屏的液晶≥10.1"，分辨率≥1280*800，材质为IPS或更优；（投标时提供带有CMA或CNAS标志的检测报告复印件）；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6、触摸屏的触摸面板为G+G玻璃材质，采用了电容触摸屏，采用全贴合工艺；触摸面板为一体式无缝大板，触摸屏、触摸按钮、液晶旋钮三大功能模块之间没有缝隙；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7、液晶按钮部分采用智能旋钮设计，具有1组标准香蕉接口可输出稳压直流电、1组标准香蕉接口可输出稳压交流电，可根据需要切换交流或直流输出；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★8、旋钮外尺寸≥49mm，旋钮中心具有2个≥3位LED数码管显示屏，可以显示实时电压和电流，可以通过旋钮调节电压输出，并实时查看电流；（投标时提供带有CMA或CNAS标志的检测报告复印件）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9、直流输出：1组直流1.5~30V可调输出，最大电流2A；交流输出：1组交流1.5~30V可调输出，最大电流2A，输出波形为50Hz方波；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★10、电压精度：输出电压精度为±0.2V；（投标时提供带有CMA或CNAS标志的检测报告复印件）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11、具有≥6个触摸按钮，支持：同步锁定、低压电、高压电、升降、通风、通水等常用功能按钮；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12、可通过同步锁定按钮，将本机的电源状态下发到学生电源，并锁定学生电源使其不能自主调节电压；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13、可通过低压电和高压电按钮，开启学生电源的对应高压输出和低压输出；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14、可通过升降按钮，控制吊装系统的升降装置，实现系统升降控制；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16、具有≥1路HDMI直通输入，可直通教学交互平板或教学一体机的大屏，将笔记本电脑、示教终端等设备的画面进行同屏；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17、具有≥1路USB直通输入，可直通教学交互平板或教学一体机，可接入高拍仪、U盘等。</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539F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7FF0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6D9B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5C9F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02A4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实验室控制管理系统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171AF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1、电源操作控制系统：可实现远程分组控制学生高低压电源开启与关闭；可输出直流电源：1组直流1.5~30V可调，最大电流2A；可输出交流输电源1.5~30V可调，最大电流2A，设置及实时显示，带学生电压锁定功能；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2、照明系统：可实现远程控制照明系统开启与关闭。可单个或全组进行控制；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3、给排水控制系统：可实现远程控制给排水系统的开启与关闭；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4、摇臂控制系统：可实现控制电源摇臂升起或下降；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5、通风控制系统：可实现远程控制通风系统的开启与关闭及风量调节。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★6.投标时提供实验室控制管理软件相关计算机软件著作权登记证书扫描件，中国版权保护中心（https://register.ccopyright.com.cn/query.html）计算机软件著作权登记公告检索截图作为得分依据，否则不得分；</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B4EE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CC0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8031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4D04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2B02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智能吊装集成系统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E83F6A">
            <w:pPr>
              <w:jc w:val="left"/>
              <w:rPr>
                <w:rFonts w:hint="eastAsia" w:ascii="宋体" w:hAnsi="宋体" w:eastAsia="宋体" w:cs="宋体"/>
                <w:b/>
                <w:bCs/>
                <w:i w:val="0"/>
                <w:iCs w:val="0"/>
                <w:color w:val="auto"/>
                <w:sz w:val="20"/>
                <w:szCs w:val="20"/>
                <w:highlight w:val="none"/>
                <w:u w:val="none"/>
              </w:rPr>
            </w:pP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351CE63">
            <w:pPr>
              <w:jc w:val="center"/>
              <w:rPr>
                <w:rFonts w:hint="eastAsia" w:ascii="宋体" w:hAnsi="宋体" w:eastAsia="宋体" w:cs="宋体"/>
                <w:b/>
                <w:bCs/>
                <w:i w:val="0"/>
                <w:iCs w:val="0"/>
                <w:color w:val="auto"/>
                <w:sz w:val="20"/>
                <w:szCs w:val="20"/>
                <w:highlight w:val="none"/>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B134E8">
            <w:pPr>
              <w:jc w:val="center"/>
              <w:rPr>
                <w:rFonts w:hint="eastAsia" w:ascii="宋体" w:hAnsi="宋体" w:eastAsia="宋体" w:cs="宋体"/>
                <w:b/>
                <w:bCs/>
                <w:i w:val="0"/>
                <w:iCs w:val="0"/>
                <w:color w:val="auto"/>
                <w:sz w:val="20"/>
                <w:szCs w:val="20"/>
                <w:highlight w:val="none"/>
                <w:u w:val="none"/>
              </w:rPr>
            </w:pPr>
          </w:p>
        </w:tc>
      </w:tr>
      <w:tr w14:paraId="62F03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A1ED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E0AF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吊装主体框架</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6190C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标准模组规格：≥1200*630*195mm，，外壳采用整体ABS工程塑料一次性注塑成型，优雅的流线型设计，侧面配备彩条，更具有科技现代感，承重骨架采用2mm厚优质钢材激光切割焊接而成强度高、结构稳定,动力轴采用优质不锈钢棒材经CNC及数控车床加工成型，承重性能强，精度高。</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5F9F9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763C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8990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DF9F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6171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智能摇臂升降系统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571A3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结构特点：智能摇臂装置有控制系统统一远程控制，学生不能单独操作，系统自带障碍物保护功能，具有防夹，防卡功能，当摇臂在运动的过程中遇到障碍物时会自动停止，具有过流保护功能。摇臂系统主管道采用≥42*74mm方形铝合金型材，型材内部穿行进排水管道和电源线。主功能模块采用ABS材料经模具一次注塑成型，预留高低压电源接口、急停开关、网络接口、通风接口和给排水接口等，可满足当前各科实验需求及未来功能扩展。摇臂动力系统有：直流24v推杆电机、定位轴、轴承、限位开关和曲形推杆组成，摇臂升降顺畅不卡顿。</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C532C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2A3F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E7D2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2CAE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F623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电源供应模块</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53E31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1、多功能电源模块外壳体采用阻燃级ABS塑料原料模具注塑一次性加工成型，表面光滑，规格为≥320*265*120mm；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操作面板控制旋钮调节，配备2个3位LED数码管显示屏，可以随意设置电压，准确、快捷、复位键、，设有四个220v新国标的3+2多功能插座、两个DC 5V/2.1A的USB接口和新国标的3+2多功能插座和两组交直流输出接线插口；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电路板采用贴片元件生产技术，芯片控制，交直流输出：直流稳压输出：0-30V，额定电流2A。最小调节单元0.1V。交流电压输出：0~30V，额定电流2A。最小调节单元0.1V。交直流电源具有过载保护智能检测功能。采用复位功能免除反复过载冲击负载。学生高压电源可接收主控电源发送的锁定信号，学生接收老师输送的设定电源电压，教师锁定时，学生自己无法操作，这样可避免学生的误操作。</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5234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2EBD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3933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EF12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BB5D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智能照明</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068F9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照明模块有底座外壳、扩散板和LED灯条组成；外置隐藏安装，可从吊装外部拆卸，方便后期维修更换。固定底座采用ABS塑料一体成型，扩散板采用PC材料，扩大发光面，使光线变的柔和，达到匀光而又透光，同时满足各种雾度值和透光率的需求；</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5F941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E6C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FB03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BC07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B9EC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学生端给排水接口</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3407F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1、PVC材质，给排水接头采用具有耐酸碱，拔插轻松，不生锈；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2、即插即用，带自动锁紧插功能，即使在供水排水工作时，随时拔掉接口不会有任何滴漏现象。</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3E70A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4ADF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BF2B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3108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835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可伸缩万向罩</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53B9F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1、吸风外管为铝合金，摇臂面板一起升降，不用时可收入舱体内，不遮挡视线。完全展开后罩口可抵到桌面，方便学生实验操作。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2、风管分内外管：外管采用直径≥68mm铝合金圆管，第二节内管采用≥65mm的万向管圆管，表面经环氧树脂粉末静电喷涂高温固化处理，防酸防碱耐腐蚀。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3、吸风罩口和弯头部件采用ABS软塑料不易变形。</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A0F43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6C4F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ECC2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B5D6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3917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盖帽</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66AF6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两端盖帽采用全新ABS塑料经模具一次注塑成型，带有和舱体同色彩条，美观大方; 规格为 ≥144*630*195mm.。</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C65C9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2EAB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78DB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2D2C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0F595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自动给排水系统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9257B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1、由给排水系统、污水收集排放系统构成；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2、给排水系统出（进）水口置于电源操作模块底部，由智能化控制系统集中控制；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3、接口均采用带防溢水功能快速水管接口，插拔式自动锁紧连接方式，即用插拔，插拔后自动止水；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4、与污水桶水位传感器采用8芯信号线连接，达到一定水位值时传感器感应启动自动排水，污水经过连接管排至顶部排水管总管后流出；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5、该模块支持实时手动排水和当达到一定条件时自动排水两种方式，当污水全部排净后系统自动关闭。</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0034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ED8E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309C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3428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CCEE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智能吊装控制线</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0FC88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采用0.5mm²电线屏蔽电线进行系统布线。</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CB4CC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898A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3196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A825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7166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吊装系统安装辅件</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C049A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1、采用固定吊装方式，防止左右晃动，可进行调节；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2、主要辅件有：U型槽钢、龙骨架连接件、吊装挂件等。</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41219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8921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DB55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A1EF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6080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吊装设备安装调试</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EFA1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1、吊装设备安装：根据设备重量和实验室天花板结构，合理规划吊装位置；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2、系统控制调试：通电测试、通风系统调试、照明系统调试、控制系统调试及安全测试。</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0290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5F4D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2A90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C19C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14A1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学生基础部分</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944BC7">
            <w:pPr>
              <w:jc w:val="left"/>
              <w:rPr>
                <w:rFonts w:hint="eastAsia" w:ascii="宋体" w:hAnsi="宋体" w:eastAsia="宋体" w:cs="宋体"/>
                <w:b/>
                <w:bCs/>
                <w:i w:val="0"/>
                <w:iCs w:val="0"/>
                <w:color w:val="auto"/>
                <w:sz w:val="20"/>
                <w:szCs w:val="20"/>
                <w:highlight w:val="none"/>
                <w:u w:val="none"/>
              </w:rPr>
            </w:pP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119795A">
            <w:pPr>
              <w:jc w:val="center"/>
              <w:rPr>
                <w:rFonts w:hint="eastAsia" w:ascii="宋体" w:hAnsi="宋体" w:eastAsia="宋体" w:cs="宋体"/>
                <w:b/>
                <w:bCs/>
                <w:i w:val="0"/>
                <w:iCs w:val="0"/>
                <w:color w:val="auto"/>
                <w:sz w:val="20"/>
                <w:szCs w:val="20"/>
                <w:highlight w:val="none"/>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A654B0">
            <w:pPr>
              <w:jc w:val="center"/>
              <w:rPr>
                <w:rFonts w:hint="eastAsia" w:ascii="宋体" w:hAnsi="宋体" w:eastAsia="宋体" w:cs="宋体"/>
                <w:b/>
                <w:bCs/>
                <w:i w:val="0"/>
                <w:iCs w:val="0"/>
                <w:color w:val="auto"/>
                <w:sz w:val="20"/>
                <w:szCs w:val="20"/>
                <w:highlight w:val="none"/>
                <w:u w:val="none"/>
              </w:rPr>
            </w:pPr>
          </w:p>
        </w:tc>
      </w:tr>
      <w:tr w14:paraId="47F46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5EE5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B075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学生实验桌</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513BB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1、规格：≥1200*600*780mm；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2、整体构造：采用≥20mm厚度的一体化陶瓷板台面，侧面边缘打磨平整，线条流畅、表面平整光滑，台面转角位置做倒角处理；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2.1台面：按照GB/T 17657-2022标准对台面板进行不少于75种化学试剂检测，其中硫酸(98%)、尿素、碘酒、孔雀绿(5%)、氢氧化钾(65%)、硝酸(65%)、硫化钠饱和液、乙醇(99%)、二恶烷、二氯甲烷、盐酸(37%)、氯化铁(10%)、煤油、凡士林、氯乙烯基镁、碳酸氢钠溶液、氯化镁(10%)、亚甲蓝指示剂、红药水、次氯酸钠(13%)、磷酸(85%)、四氯化碳、品红(1%)、蔗糖溶液(5%)、丁酮、王水、氯仿、紫药水、铬酸钾溶(1g/L）、正已烷、铬酸、芥末、苏丹红、乙酸丁酯、甲苯、甲酸(90%)、高锰酸钾(10%)、三氯乙烯、乙醇胺、二甲苯、乙酸(99%)、丙酮、四氢呋喃、石油醚、丙三醇、甲醛溶液(37%)、苯、硫酸钠饱和液、液体石蜡、双氧水(3%)、苯酚(90%)、氯甲苯、甲基橙、高氯酸、乙醚、硫酸铜(10%)、甲酚、乙二醇、乙基苯、乳酸、硝酸银(1%)、糠醛、氧化锌饱和液、冰醋酸(90%)、乙酰丙酮、氢氧化钠(40%)、二甲基甲酰胺、丁醇、柠檬酸、N,N-二甲基甲酰胺、氨水(28%)、醋酸乙酯、萘、松节油、乙腈检验结果达到5级，无明显变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2.2负离子发生量:陶瓷台面负离子发生量参考LY/T 3235-2020标准要求，24h负离子发生量≥939个/cm3；</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2.3台面洛氏硬度：参照GB/T 3398.2-2008 标准进行检测，检测结果为≥127；</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2.4陶瓷台面燃烧性能等级为 A1 级，炉内温升≤15℃，持续燃烧时间为0 s，质量损失率≤0.4%，总热值≤0.4MJ/kg；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2.5台面承载能力：台面承载100kg，检测结果为：陶瓷板未出现损坏；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3、桌面边缘镶嵌铝合金挡水条，配备由安全塑料注塑成型的堵头，防止液体溢出；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4、配备两个书包斗，规格≥430*290*180mm，采用PP材料，正面设有可悬挂凳子的圆形孔，周边加厚加强，镂空造型。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5、立柱剖面规格≥100*40mm，立柱壁厚≥1.2mm，下脚剖面规格≥76*36mm，下脚壁厚≥1.2mm；立柱和下脚材质采用精密挤压铝型材，表面做镁铝氧化处理，脚部两端镶嵌定制注塑堵头；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6、在两立柱之间具有一根金属加强横梁，规格≥60*30mm，壁厚≥mm；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7、桌面框架采用高品质高强度钢板，通过折弯和焊接工艺成型，规格尺寸≥1144*536mm，钢板厚度≥2mm,表面采用高压静电喷涂处理，具有耐酸碱和耐腐蚀性能；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8、各组件之间的连接采用螺丝，应便于组装和拆卸，要求使结构稳固；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9、底部配备可调节的脚垫，采用高强度ABS注塑成型，通过螺旋机制实现高度调节，要求桌面平衡及稳定，适应不同地面条件。底部配备可调节的脚垫，采用高强度 ABS 注塑成型，通过螺旋机制实现高度调节，要求桌面平衡及稳定，适应不同地面条件。</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8AA8E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77FF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65D9B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8BF9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3D41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实验凳</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D1D53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1、五脚圆形升降旋转凳，升降内螺杆与50立杆可以拆卸，五脚立地并镶胶皮且不易脱落或变形脚垫。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2、凳面为ABS工程塑料注塑压成，凳面：Φ≥300mm（±20mm）；凳面带有树皮纹路，内螺杆高度升降范围为450-500mm。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3、面包管五只凳脚采用一线厂家生产的国标优质钢管制造，立杆钢管的外径≥50mm，壁厚≥1.2mm，立管上部有方托盘≥160X160钢板≥2.0厚与凳面结合，长时间使用不会脱落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4、金属表面需经抛丸、喷涂处理，表面喷漆为白色。</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08F9A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8DB9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w:t>
            </w:r>
          </w:p>
        </w:tc>
      </w:tr>
      <w:tr w14:paraId="09306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3D38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C00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水槽柜</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8E15C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1、水槽台整体规格：≥长495*宽595*高830±5mm，分柜体和水槽两部分组成，各部件采用模具一次注塑成型；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柜体部分采用全新ABS塑料原料，经注塑模一次注塑成型；柜体有上下座、侧板和柜门部件组成，各部件采用卯榫结构连接，螺丝加固确保柜体结构稳固不扭曲变形；上下座和其他部件采用不同颜色套色拼装使整个水槽台有层次感；柜体前后均留有带锁的检修门，方便日后维修；柜体四角做圆角处理，无安全隐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水槽部分：水槽采用全新耐腐蚀PP材料一次注塑成型前沿有挡水并带有防溢水孔，水槽两侧预留安装洗眼器和皂液器安装孔，方便各科室不同需求。槽体内径不小于420*220*160mm，以下水口为低点四周均有坡度防止积水；下水口为大口径直排孔配有不锈钢滤网和PP材质水塞。</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4、水槽部分安置在柜体上面，需在柜体内侧使用螺丝加固连接，防止在使用过程中脱离；所有加固螺丝均处在柜体内侧暗处，安装完成后外表无可见螺丝。</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0E1B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05EB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B3ED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4DAC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809A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三联水嘴</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0B4C7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1、主体：上排水专用，加厚铜质；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2、涂层：高亮度环氧树脂涂层；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3、陶瓷阀芯90°旋转，使用寿命开关50万次，静态最大耐压20巴；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4、鹅颈管可360°旋转；</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5、可拆卸铜质水嘴。</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0B59C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A1B1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702FD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8E0F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F565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洗眼器</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B98CB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1、台面安装方式：平时放置于台面，紧急使用时可随意抽起；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2、洗眼喷头：具有过滤泡棉及防尘功能，上面防尘盖平常可防尘，使用时可随时被水冲开，并降低突然打开时短暂的高水压，避免冲伤眼睛；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3、控水阀采用黄铜制作，经高亮度环氧树脂涂层处理，阀门可自动关闭，密封可靠；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4、供水软管：采用不锈钢软管。</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F49A8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2F41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0A138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ABA7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52707C">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教师基础部分</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5FFD64">
            <w:pPr>
              <w:jc w:val="left"/>
              <w:rPr>
                <w:rFonts w:hint="eastAsia" w:ascii="宋体" w:hAnsi="宋体" w:eastAsia="宋体" w:cs="宋体"/>
                <w:b/>
                <w:bCs/>
                <w:i w:val="0"/>
                <w:iCs w:val="0"/>
                <w:color w:val="auto"/>
                <w:sz w:val="20"/>
                <w:szCs w:val="20"/>
                <w:highlight w:val="none"/>
                <w:u w:val="none"/>
              </w:rPr>
            </w:pP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E3C5EA">
            <w:pPr>
              <w:jc w:val="center"/>
              <w:rPr>
                <w:rFonts w:hint="eastAsia" w:ascii="宋体" w:hAnsi="宋体" w:eastAsia="宋体" w:cs="宋体"/>
                <w:b/>
                <w:bCs/>
                <w:i w:val="0"/>
                <w:iCs w:val="0"/>
                <w:color w:val="auto"/>
                <w:sz w:val="20"/>
                <w:szCs w:val="20"/>
                <w:highlight w:val="none"/>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F8D37">
            <w:pPr>
              <w:jc w:val="center"/>
              <w:rPr>
                <w:rFonts w:hint="eastAsia" w:ascii="宋体" w:hAnsi="宋体" w:eastAsia="宋体" w:cs="宋体"/>
                <w:b/>
                <w:bCs/>
                <w:i w:val="0"/>
                <w:iCs w:val="0"/>
                <w:color w:val="auto"/>
                <w:sz w:val="20"/>
                <w:szCs w:val="20"/>
                <w:highlight w:val="none"/>
                <w:u w:val="none"/>
              </w:rPr>
            </w:pPr>
          </w:p>
        </w:tc>
      </w:tr>
      <w:tr w14:paraId="7ED07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A05B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A4F3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教师演示台</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756F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1、规格：≥2400*700*850mm；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2、结构：演示台设有储物柜，中间为演示台,设置电源主控系统、多媒体设备（主机、显示器、中控、功放交换机）的位置预留；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3、桌身：整体采用≥0.8mm厚优质冷轧钢板，全部钢制件纳米陶瓷镀膜防锈处理；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4、滑道：抽屉全部采用优质三节承重式滚珠滑道；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5、铰链：采用优质铰链；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6、脚垫：采用柜体内置可调ABS脚垫，保证桌面平整；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7、台面：采用≥12.7mm厚双面膜实芯理化板制作，边沿镶边加厚至≥25mm厚，耐强酸、强碱、耐高温；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7.1台面按国家标准GB/T 17657-2022标准及其他相关标准进行检测，要求需满足或优于以下性能：静曲强度≥140Mpa；弹性模量≥10450Mpa；抗拉强度≥69Mpa；拉伸强度≥69Mpa；表面耐龟裂性能：5级：表面无裂纹；耐高温性能：表面无裂纹；表面耐耐干热性能：5级：无明显变化；表面耐湿热性能：5级：无明显变化；耐光色牢度＞4级；洛氏硬度：126；耐臭氧（72h）：外观无明显变化；尺寸稳定性：横向和纵向均需一致≤0.03%；漆膜附着力：六级：切割边缘完全平滑，网格内无脱落；漆膜硬度＞9H；表面耐划痕性能：4.5N作用下，试件表面无大于90%的连续划痕；耐沸水性能：质量增加百分率≤0.01%、厚度增加百分率≤0.06%，表面质量等级：5级：无变化，边缘质量等级：5级：无明显变化；抗冲击性能：冲击高度≥1m，压痕直径≤5.1mm；表面耐磨性能≥1120r，未出现磨损；弯曲强度≥140Mpa；弯曲弹性模量≥8330Mpa；表面耐冷热循环：表面无裂纹及鼓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7.2台面检测依据 GB/T 39600-2021标准，甲醛释放量≤0.005mg/m³，满足技术要求E0级；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7.3台面按照GB/T 17657-2022标准对面板正反两面进行耐污染物检验，其中硫酸（98%）、77%硫酸、硝酸（65%）、乙酸(99%)、氢氟酸（48%）、3%双氧水、无水乙醇、水杨酸、碘伏、亚甲基蓝(5%)、乙腈、无水甲醇、正己烷、三氯乙酸等不少于135种溶液或试剂检验结果达到5级并无明显变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7.4台面依据JC/T 2039-2010标准检测板材抗霉菌性能：黑曲霉、土曲霉、宛氏拟青霉、绳状青霉、出芽短梗霉、球毛壳霉、长枝木霉等7种的霉菌检测长霉等级0级；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7.5台面依据JC/T 2039-2010标准检测板材的抗菌性能：金黄色葡萄球菌、大肠埃希氏菌、白色念珠菌、铜绿假单胞菌、肺炎克雷伯氏菌、鼠伤寒沙门氏菌、甲型溶血性链球群、枯草芽孢杆菌、耐甲氧西林金黄色葡萄球菌、白色葡萄球菌、肠沙门氏菌肠亚种、粪肠球菌、宋氏志贺氏菌、变异库克菌、表皮葡萄球菌等不少于15种的菌种抗菌率≥99.99%。</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02A0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8B07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1C0CD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5C51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B4F5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教师转椅</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04EA6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1、规格：≥500*500*800mm；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2、面料材质：靠背及下座采用高密度网布格，具有高耐磨性和抗撕裂性，符合国家阻燃标准；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3、骨架材质：采用高强度钢管，表面电镀处理；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4、气动升降，支持高度调节；配备静音滑轮，材质为PU或软胶，移动时无噪音且不损伤地面。</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CE2F6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D1CF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7F234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711B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EC5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水槽柜</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86405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1、水槽台整体规格：≥长495*宽595*高830±5mm，分柜体和水槽两部分组成，各部件采用模具一次注塑成型；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柜体部分采用全新ABS塑料原料，经注塑模一次注塑成型；柜体有上下座、侧板和柜门部件组成，各部件采用卯榫结构连接，螺丝加固确保柜体结构稳固不扭曲变形；上下座和其他部件采用不同颜色套色拼装使整个水槽台有层次感；柜体前后均留有带锁的检修门，方便日后维修；柜体四角做圆角处理，无安全隐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水槽部分：水槽采用全新耐腐蚀PP材料一次注塑成型前沿有挡水并带有防溢水孔，水槽两侧预留安装洗眼器和皂液器安装孔，方便各科室不同需求。槽体内径不小于420*220*160mm，以下水口为低点四周均有坡度防止积水；下水口为大口径直排孔配有不锈钢滤网和PP材质水塞。</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4、水槽部分安置在柜体上面，需在柜体内侧使用螺丝加固连接，防止在使用过程中脱离；所有加固螺丝均处在柜体内侧暗处，安装完成后外表无可见螺丝。</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84410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4866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9AC0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C72F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6818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三联水嘴</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1B336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1、主体：上排水专用，加厚铜质；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2、涂层：高亮度环氧树脂涂层；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3、陶瓷阀芯90°旋转，使用寿命开关50万次，静态最大耐压20巴；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4、鹅颈管可360°旋转；</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5、可拆卸铜质水嘴。</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C4632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B395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4FF69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6058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25A5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洗眼器</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F9C13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1、台面安装方式：平时放置于台面，紧急使用时可随意抽起；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2、洗眼喷头：具有过滤泡棉及防尘功能，上面防尘盖平常可防尘，使用时可随时被水冲开，并降低突然打开时短暂的高水压，避免冲伤眼睛；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3、控水阀采用黄铜制作，经高亮度环氧树脂涂层处理，阀门可自动关闭，密封可靠；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4、供水软管：采用不锈钢软管。</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CF899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DAD8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0FA4A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496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AA04B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万向吸风罩</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54013E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【整体功能】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1、主要用于实验室教学过程中，对化学实验产生的有害气体、粉尘等进行局部排风收集，通过管道将污染物排至室外，保护实验人员呼吸系统健康，适用于理化生实验室各类挥发性实验操作；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2、采用可伸缩式活动关节设计，支持360°全方位旋转调节，便于精准定位；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3、安装方式：悬挂式安装，底座固定于天花板上；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【主体结构】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4、关节：采用高密度PP聚丙烯材质；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5、关节密封圈：采用高密度橡胶材质；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6、关节连接杆：采用304不锈钢材质；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7、关节松紧旋钮：以高密度PP制成，内部嵌有不锈钢轴承，用于与连接杆锁合，调节及固定便捷；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8、气流调节阀：方手动调节外部阀门旋钮，控制进入之气流量；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9、集气罩：材质为PP，集气罩开口直径≥335mm，提供有效集气范围；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10、固定底座：采用模具一次注塑成型，非粘接结构，整体牢固可靠，无脱底风险。</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418C6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FB0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2EA6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0B94D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4225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实训示教终端机</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A7A6A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1、高度集成：整机由≥1块集成触摸屏、≥2个高清摄像机和≥1个底座组成，而非摄像机和平板电脑拼装而成；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2、占用空间：整体设计精简小巧，不影响教师正常的实验操作；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3、支持折叠收纳，不使用时可以放置在配套铝箱中；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4、单关节折叠杆：采用单关节设计的折叠杆，无需旋钮即可在活动范围内任意角度悬停，方便调节俯视角的高度；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俯视角：整机一体设计，无任何外漏线材，俯视角镜头≥800万像素，支持≥12倍光学变焦，支持激光TOF辅助微距自动聚焦（最短支持10cm）；具有物理按键，可以实现手动调节光学变焦和聚焦；具有画面锁定按键，按键冻结当前视频画面，再按一次解锁冻结画面；（投标文件中提供制造商具备CMA标志的检测报告扫描件，同时提供全国认证认可信息公共服务平台查询截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6、俯视角支持从上往下拍摄，并可通过两轴摆动调整拍摄角度，每个转轴均配有阻尼设计，确保角度调整完成后能够保持固定的拍摄角度和高度；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从正面拍摄特写操作，可以垂直滑动升降调整拍摄高度，调节范围≥9CM，且滑动升降具有阻尼设计，无需旋钮或卡扣即可在行程内保持任意固定高度；（投标文件中提供制造商具备CMA标志的检测报告扫描件，同时提供全国认证认可信息公共服务平台查询截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8、CPU：采用≥6核CPU；≥4GBRAM+256GBROM；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9、具有≥11.5英寸触摸屏，分辨率≥1920*1080，支持活动范围内任意角度翻折悬停，可活动角度≥100°；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同时支持DC供电、内置电池供电和POE供电三种模式，最高优先级采用DC充电，当DC供电丢失则自动使用POE供电，若无POE供电则自动切换内置电池供电，全过程无需重启，且完全不影响正常使用；（投标文件中提供制造商具备CMA标志的检测报告扫描件，同时提供全国认证认可信息公共服务平台查询截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11、具有但不限于HDMI、USB2.0、USB3.0、POE网口、DC电压充电口、Type-C调试口、Reset键、3.5mm音频监听口、TF卡插槽；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12、内置无线模块接口，支持扩展终端机通过WIFI连接网络进行示教；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13、设备应自带流媒体服务，支持外部系统仅需和操作系统一个IP通信即可分别获得俯视角和正视角的视频流；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14、配套铝箱：铝边木板设计，可用于放置终端套件、电源适配器、网线等设备。</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0BE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983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2577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5A39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5947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互动示教系统软件</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375CD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【终端机嵌入式管理软件】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1、软件为嵌入式底层应用，内嵌在终端机中，用于实现底层硬件调度逻辑和基础软件接口；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UPS管理：对设备内置的大容量UPS进行管理，包括充放电管理、截止电压管理、放电电流管理、充电电流管理等，生成实时百分比电池剩余容量，并输出到Android操作系统HAL层，用户可在安卓系统中查看到UPS剩余容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高清低延迟视频流媒体服务器管理：通过内建流媒体服务器对接入设备的多台摄像机的网络流进行无损转发，形成高并发、低延迟、无损的≥1080P高清视频信号，并提供≥20路高清视频流媒体并发能力，为其他应用软件提供流媒体基础支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视频流处理编码：支持将多路摄像机视频进行编码和录制，支持视频H.264/H.265编码、音频ACC编码，支持RTSP、RTMP、HTTP等多种传输协议，最高支持≥1080P视频编码。可支持画面拼接显示，包括单画面、双画面等，并确保多画面之间保持相对同步。（投标文件中提供制造商相应的“视频流处理编码”相关软件著作权证书复印件并加盖投标人电子章，同时提供中国版权登记查询服务平台登记公告检索截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多网卡管理：管理多路外接摄像机、内置安卓系统之间的虚拟物理层网络连接，形成局域网，支持ARP发现，支持onvif局域网广播，同时与无线网络网卡形成隔离，摄像机与终端机之间的广播不会影响WLAN，减少WLAN的负载，提高WLAN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6、二次开发管理：主要功能支持MQTT/HTTP/Socket通信，可便于用户进行二次开发。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【实训工位软件】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1、多路相机接入：支持接入≥2路1080P高清摄像机，支持标准RTSP协议，支持同时接入1080P主流和480P辅流；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2、无线配置：支持双网卡管理，支持无线wifi和有线RJ45双模同时连接；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3、相机画面无线投屏：支持与教室教师端连接，通过wifi局域网或有线局域网均可实时将本地摄像机画面传输至教室教师端，并结合教师端软件实现大屏画面投送；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4、低延迟投屏：支持通过较低的延迟实现向教师端进行画面投送，使教师端和本地端不产生明显的不同步，且各画面之间也不产生明显的不同步现象；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5、低延时本地预览：支持在示教终端上进行本地摄像机预览，支持小窗口480P低延时预览；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6、全屏预览：用户可根据需要，随时将任一画面放大至全屏进行预览，在全屏预览时系统自动切换至≥1080P高清视频流，并实现同步的低延迟预览，播放延迟不大于0.5秒；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摄像机多端同步控制：支持远程控制摄像机设备，可根据摄像机的特性，进行放大缩小、对焦、云台控制，镜头翻转等功能控制，且支持与示教端软件实现双向同步控制；（投标文件中提供制造商相应的“摄像机多端同步控制”相关软件著作权证书复印件并加盖投标人电子章，同时提供中国版权登记查询服务平台登记公告检索截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8、高清多通道录制：支持对接入的多个摄像机同时进行视频录制，并可在本地点播录制视频，支持本地化录制，不受wifi网络信号影响；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9、视频上传：可将本地录制的视频上传至教师端或平台端，上传时可命名文件名，以避免教师端用户混淆多个视频；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10、视频下载：可将本地录制的视频下载至U盘；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11、支持教师端下发作业任务后，上传本地视频或图片到教师端；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12、支持设置第三方推流直播，可生成观看二维码，在示范教学时可显示直播二维码，手机扫码即可进入直播画面，且声画同步；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音视频采集可视化：对采集的教学音视频进行可视化的分类管理，可查看教学时所采集录制的教学音视频文件和批注截图，点击相关视频查看可进行再次批注保存并关联图片。（投标文件中提供制造商相应的“音视频采集可视化”相关软件著作权证书复印件并加盖投标人电子章，同时提供中国版权登记查询服务平台登记公告检索截图）</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C01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239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1673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5A3B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325E6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全室供排水电线路</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A9D3C">
            <w:pPr>
              <w:jc w:val="left"/>
              <w:rPr>
                <w:rFonts w:hint="eastAsia" w:ascii="宋体" w:hAnsi="宋体" w:eastAsia="宋体" w:cs="宋体"/>
                <w:b/>
                <w:bCs/>
                <w:i w:val="0"/>
                <w:iCs w:val="0"/>
                <w:color w:val="auto"/>
                <w:sz w:val="20"/>
                <w:szCs w:val="20"/>
                <w:highlight w:val="none"/>
                <w:u w:val="none"/>
              </w:rPr>
            </w:pP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12312B1">
            <w:pPr>
              <w:jc w:val="center"/>
              <w:rPr>
                <w:rFonts w:hint="eastAsia" w:ascii="宋体" w:hAnsi="宋体" w:eastAsia="宋体" w:cs="宋体"/>
                <w:b/>
                <w:bCs/>
                <w:i w:val="0"/>
                <w:iCs w:val="0"/>
                <w:color w:val="auto"/>
                <w:sz w:val="20"/>
                <w:szCs w:val="20"/>
                <w:highlight w:val="none"/>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050CE8">
            <w:pPr>
              <w:jc w:val="center"/>
              <w:rPr>
                <w:rFonts w:hint="eastAsia" w:ascii="宋体" w:hAnsi="宋体" w:eastAsia="宋体" w:cs="宋体"/>
                <w:b/>
                <w:bCs/>
                <w:i w:val="0"/>
                <w:iCs w:val="0"/>
                <w:color w:val="auto"/>
                <w:sz w:val="20"/>
                <w:szCs w:val="20"/>
                <w:highlight w:val="none"/>
                <w:u w:val="none"/>
              </w:rPr>
            </w:pPr>
          </w:p>
        </w:tc>
      </w:tr>
      <w:tr w14:paraId="53042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65B3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4FA2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供电线路（吊装款）</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ED4CB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1、电线：国标优质铜芯线4mm²电线、2.5mm²电线。</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991B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73E7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00271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A5E9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8F85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给排水管路</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631D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1、布管规整，方便安装、检修；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2、给水管：主管选用Ф25PPR水管，支管Ф20PPR水管；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3、排水管：UPVC材质排水管为Ф50mm，排水管接头要求螺纹口、PVC胶水等；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4、安全控制：总开关阀门、电磁阀外、丝连接件等。</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F152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E24B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22D1E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30C4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04E72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通风系统部分</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0CDAE9">
            <w:pPr>
              <w:jc w:val="left"/>
              <w:rPr>
                <w:rFonts w:hint="eastAsia" w:ascii="宋体" w:hAnsi="宋体" w:eastAsia="宋体" w:cs="宋体"/>
                <w:b/>
                <w:bCs/>
                <w:i w:val="0"/>
                <w:iCs w:val="0"/>
                <w:color w:val="auto"/>
                <w:sz w:val="20"/>
                <w:szCs w:val="20"/>
                <w:highlight w:val="none"/>
                <w:u w:val="none"/>
              </w:rPr>
            </w:pP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CDCC5F">
            <w:pPr>
              <w:jc w:val="center"/>
              <w:rPr>
                <w:rFonts w:hint="eastAsia" w:ascii="宋体" w:hAnsi="宋体" w:eastAsia="宋体" w:cs="宋体"/>
                <w:b/>
                <w:bCs/>
                <w:i w:val="0"/>
                <w:iCs w:val="0"/>
                <w:color w:val="auto"/>
                <w:sz w:val="20"/>
                <w:szCs w:val="20"/>
                <w:highlight w:val="none"/>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B8EB1">
            <w:pPr>
              <w:jc w:val="center"/>
              <w:rPr>
                <w:rFonts w:hint="eastAsia" w:ascii="宋体" w:hAnsi="宋体" w:eastAsia="宋体" w:cs="宋体"/>
                <w:b/>
                <w:bCs/>
                <w:i w:val="0"/>
                <w:iCs w:val="0"/>
                <w:color w:val="auto"/>
                <w:sz w:val="20"/>
                <w:szCs w:val="20"/>
                <w:highlight w:val="none"/>
                <w:u w:val="none"/>
              </w:rPr>
            </w:pPr>
          </w:p>
        </w:tc>
      </w:tr>
      <w:tr w14:paraId="4CADE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1F67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D646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室内通风系统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7036D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1、主风管：采用具有耐酸碱性能PVC≥200mm、支分管Ф≥160mm，Ф≥110mm；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2、管卡采用碳钢制作，表面经镀铬处理，具有耐腐蚀、防火、防潮等功能。</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FA1C0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F0CD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53ED1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E9E8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9328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室外通风系统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B9F44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1、采用PVC风管，或PP焊接管具有耐酸碱性能；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2、规格：主风管Ф≥300mm；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3、管卡采用碳钢制作，表面经镀铬处理，具有耐腐蚀、防火、防潮等功能。</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28B5D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1368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710B7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1822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69B8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离心式风机</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09C8A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1、离心风机；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2、材料：PP板材料；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3、电机功率：三相5.5KW；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4、技术要求：风量:12700m3/h;全压:800Pa;功率：5.5kW;转速：1440r/min。</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09076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D596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EC9D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88D5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586E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风机配件</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4808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A、风机减震器：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1、功能：离心风机弹簧减震器，弹簧材料为60Si2Mn弹簧钢线，耐疲劳，强度高，承载力大，使用寿命长等特点。可直接将ZD型减振器置放于设备的机座下。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2、工作环境：在-40℃-110℃环境下正常工作，上下座分别设有螺栓与地基螺栓孔，可上下固定。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B、风机消音器：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1、材料：PP材质，内置隔音棉等隔音装置。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2、技术要求：消声频率30-60（Hz），耐温特性60（℃），防腐蚀、耐酸碱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C、风机进出口软连接：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1、进风口：采用PVC柔性材料制作，规格：Ф300-400mm，因风机震动引起的消除震音传递和消除微量错位对风机的影响。出风口：材料PP，规格方转圆地方风机接口，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D、风机出风口接头：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1、出风口：材料PP，规格方转圆地方风机接口。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E、风机出风口防雨帽：伞型结构。</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ABF5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A028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6356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1602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39</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2D80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风机控制线</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8DFAD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1、规格：3×2.5mm² 电线 + 2×1.5mm² 电线；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2、线芯材质：高纯度铜，无氧化铜芯；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3、绝缘护套：耐磨、耐老化、耐腐蚀、柔软。橡皮绝缘；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4、电压等级：中、低压电力电缆（35千伏及以下）。</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1DE9C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0FE5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7B2E4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1430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3821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风机控制变频器</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A17A0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1、重载矢量控制变频器，功率5.5KVA，额定输入电压：三相380V，±15%；额定输入频率：50/60HZ。</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8E017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8B5F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71C18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8861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41</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4A32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化学室安装调试</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2D750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1、实验设备安装：合理规划设备摆放位置，确保操作方便；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2、给排水调试：对给排水系统的运行状态进行调试，包括水压、流量、渗漏测试及排水测试等；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3、供电系统调试：对供电系统的运行状态进行调试，包括电压与电流测试、漏电保护测试及负载运行测试等。</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2657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D1A2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261E5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00" w:type="pct"/>
            <w:gridSpan w:val="13"/>
            <w:tcBorders>
              <w:top w:val="nil"/>
              <w:left w:val="nil"/>
              <w:bottom w:val="nil"/>
              <w:right w:val="nil"/>
            </w:tcBorders>
            <w:shd w:val="clear" w:color="auto" w:fill="auto"/>
            <w:noWrap/>
            <w:vAlign w:val="center"/>
          </w:tcPr>
          <w:p w14:paraId="7EBD223A">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生化综合实验室2</w:t>
            </w:r>
          </w:p>
        </w:tc>
      </w:tr>
      <w:tr w14:paraId="47842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41CFA0ED">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序号</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BFBFBF"/>
            <w:vAlign w:val="center"/>
          </w:tcPr>
          <w:p w14:paraId="61C89F7B">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设备名称</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0FE755D8">
            <w:pPr>
              <w:keepNext w:val="0"/>
              <w:keepLines w:val="0"/>
              <w:widowControl/>
              <w:suppressLineNumbers w:val="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技术参数</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724702AD">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数量</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BFBFBF"/>
            <w:vAlign w:val="center"/>
          </w:tcPr>
          <w:p w14:paraId="7CE9AFFC">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单位</w:t>
            </w:r>
          </w:p>
        </w:tc>
      </w:tr>
      <w:tr w14:paraId="5A4D9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1A6D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EDCFBDC">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智能吊装管理系统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B9F1A">
            <w:pPr>
              <w:jc w:val="left"/>
              <w:rPr>
                <w:rFonts w:hint="eastAsia" w:ascii="宋体" w:hAnsi="宋体" w:eastAsia="宋体" w:cs="宋体"/>
                <w:b/>
                <w:bCs/>
                <w:i w:val="0"/>
                <w:iCs w:val="0"/>
                <w:color w:val="auto"/>
                <w:sz w:val="20"/>
                <w:szCs w:val="20"/>
                <w:highlight w:val="none"/>
                <w:u w:val="none"/>
              </w:rPr>
            </w:pP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B4B34">
            <w:pPr>
              <w:jc w:val="center"/>
              <w:rPr>
                <w:rFonts w:hint="eastAsia" w:ascii="宋体" w:hAnsi="宋体" w:eastAsia="宋体" w:cs="宋体"/>
                <w:b/>
                <w:bCs/>
                <w:i w:val="0"/>
                <w:iCs w:val="0"/>
                <w:color w:val="auto"/>
                <w:sz w:val="20"/>
                <w:szCs w:val="20"/>
                <w:highlight w:val="none"/>
                <w:u w:val="none"/>
              </w:rPr>
            </w:pP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F9DD59">
            <w:pPr>
              <w:jc w:val="center"/>
              <w:rPr>
                <w:rFonts w:hint="eastAsia" w:ascii="宋体" w:hAnsi="宋体" w:eastAsia="宋体" w:cs="宋体"/>
                <w:b/>
                <w:bCs/>
                <w:i w:val="0"/>
                <w:iCs w:val="0"/>
                <w:color w:val="auto"/>
                <w:sz w:val="20"/>
                <w:szCs w:val="20"/>
                <w:highlight w:val="none"/>
                <w:u w:val="none"/>
              </w:rPr>
            </w:pPr>
          </w:p>
        </w:tc>
      </w:tr>
      <w:tr w14:paraId="23177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56CB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02FD9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智能系统控制终端</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AA9C8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1、整机高度集成了液晶触摸屏、触摸按钮、液晶旋钮、常用接口面板；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2、采用了ARM+MCU双架构，触摸按钮和液晶旋钮为独立的MCU单片机，互相独立运作，具有较高稳定性；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3、符合GB 4943.1-2022 标准要求，对设备进行机械强度试验，500g，直径50mm钢球，跌落高度1.3m，外壳不变形；样品外壳在外物撞击造成变形时应不影响其正常工作；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4、触摸屏部分采用国产ARM架构CPU，CPU核心数4个， CPU主频为2.0Ghz，内置NPU具有1TOPS算力，内置GPU为ARMG52(支持 OpenGL、OpenCL)，内存为2G；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5、触摸屏的液晶≥10.1"，分辨率≥1280*800，材质为IPS或更优；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6、触摸屏的触摸面板为G+G玻璃材质，采用了电容触摸屏，采用全贴合工艺；触摸面板为一体式无缝大板，触摸屏、触摸按钮、液晶旋钮三大功能模块之间没有缝隙；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7、液晶按钮部分采用智能旋钮设计，具有1组标准香蕉接口可输出稳压直流电、1组标准香蕉接口可输出稳压交流电，可根据需要切换交流或直流输出；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8、旋钮外尺寸≥49mm，旋钮中心具有2个≥3位LED数码管显示屏，可以显示实时电压和电流，可以通过旋钮调节电压输出，并实时查看电流；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9、直流输出：1组直流1.5~30V可调输出，最大电流2A；交流输出：1组交流1.5~30V可调输出，最大电流2A，输出波形为50Hz方波；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10、电压精度：输出电压精度为±0.2V；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11、具有≥6个触摸按钮，支持：同步锁定、低压电、高压电、升降、通风、通水等常用功能按钮；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12、可通过同步锁定按钮，将本机的电源状态下发到学生电源，并锁定学生电源使其不能自主调节电压；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13、可通过低压电和高压电按钮，开启学生电源的对应高压输出和低压输出；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14、可通过升降按钮，控制吊装系统的升降装置，实现系统升降控制；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16、具有≥1路HDMI直通输入，可直通教学交互平板或教学一体机的大屏，将笔记本电脑、示教终端等设备的画面进行同屏；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17、具有≥1路USB直通输入，可直通教学交互平板或教学一体机，可接入高拍仪、U盘等。</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C7EB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5F93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BCBC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6ADD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2D32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实验室控制管理系统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F8582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1、电源操作控制系统：可实现远程分组控制学生高低压电源开启与关闭；可输出直流电源：1组直流1.5~30V可调，最大电流2A；可输出交流输电源1.5~30V可调，最大电流2A，设置及实时显示，带学生电压锁定功能；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2、照明系统：可实现远程控制照明系统开启与关闭。可单个或全组进行控制；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3、给排水控制系统：可实现远程控制给排水系统的开启与关闭；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4、摇臂控制系统：可实现控制电源摇臂升起或下降；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5、通风控制系统：可实现远程控制通风系统的开启与关闭及风量调节。</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19FD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C384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76B8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B022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8AAF1B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智能吊装集成系统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7C0DBF">
            <w:pPr>
              <w:jc w:val="left"/>
              <w:rPr>
                <w:rFonts w:hint="eastAsia" w:ascii="宋体" w:hAnsi="宋体" w:eastAsia="宋体" w:cs="宋体"/>
                <w:b/>
                <w:bCs/>
                <w:i w:val="0"/>
                <w:iCs w:val="0"/>
                <w:color w:val="auto"/>
                <w:sz w:val="20"/>
                <w:szCs w:val="20"/>
                <w:highlight w:val="none"/>
                <w:u w:val="none"/>
              </w:rPr>
            </w:pP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B46AE7">
            <w:pPr>
              <w:jc w:val="center"/>
              <w:rPr>
                <w:rFonts w:hint="eastAsia" w:ascii="宋体" w:hAnsi="宋体" w:eastAsia="宋体" w:cs="宋体"/>
                <w:b/>
                <w:bCs/>
                <w:i w:val="0"/>
                <w:iCs w:val="0"/>
                <w:color w:val="auto"/>
                <w:sz w:val="20"/>
                <w:szCs w:val="20"/>
                <w:highlight w:val="none"/>
                <w:u w:val="none"/>
              </w:rPr>
            </w:pP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1CBFB6">
            <w:pPr>
              <w:jc w:val="center"/>
              <w:rPr>
                <w:rFonts w:hint="eastAsia" w:ascii="宋体" w:hAnsi="宋体" w:eastAsia="宋体" w:cs="宋体"/>
                <w:b/>
                <w:bCs/>
                <w:i w:val="0"/>
                <w:iCs w:val="0"/>
                <w:color w:val="auto"/>
                <w:sz w:val="20"/>
                <w:szCs w:val="20"/>
                <w:highlight w:val="none"/>
                <w:u w:val="none"/>
              </w:rPr>
            </w:pPr>
          </w:p>
        </w:tc>
      </w:tr>
      <w:tr w14:paraId="7FE30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A604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8E5A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吊装主体框架</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B1FB8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标准模组规格：≥1200*630*195mm，，外壳采用整体ABS工程塑料一次性注塑成型，优雅的流线型设计，侧面配备彩条，更具有科技现代感，承重骨架采用2mm厚优质钢材激光切割焊接而成强度高、结构稳定,动力轴采用优质不锈钢棒材经CNC及数控车床加工成型，承重性能强，精度高。</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4D7D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9C02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6ADC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F6BA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14F4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智能摇臂升降系统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09CAF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结构特点：智能摇臂装置有控制系统统一远程控制，学生不能单独操作，系统自带障碍物保护功能，具有防夹，防卡功能，当摇臂在运动的过程中遇到障碍物时会自动停止，具有过流保护功能。摇臂系统主管道采用≥42*74mm方形铝合金型材，型材内部穿行进排水管道和电源线。主功能模块采用ABS材料经模具一次注塑成型，预留高低压电源接口、急停开关、网络接口、通风接口和给排水接口等，可满足当前各科实验需求及未来功能扩展。摇臂动力系统有：直流24v推杆电机、定位轴、轴承、限位开关和曲形推杆组成，摇臂升降顺畅不卡顿。</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0E0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5E10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D492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3AB1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43C1C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电源供应模块</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26B80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1、多功能电源模块外壳体采用阻燃级ABS塑料原料模具注塑一次性加工成型，表面光滑，规格为≥320*265*120mm；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操作面板控制旋钮调节，配备2个3位LED数码管显示屏，可以随意设置电压，准确、快捷、复位键、，设有四个220v新国标的3+2多功能插座、两个DC 5V/2.1A的USB接口和新国标的3+2多功能插座和两组交直流输出接线插口；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电路板采用贴片元件生产技术，芯片控制，交直流输出：直流稳压输出：0-30V，额定电流2A。最小调节单元0.1V。交流电压输出：0~30V，额定电流2A。最小调节单元0.1V。交直流电源具有过载保护智能检测功能。采用复位功能免除反复过载冲击负载。学生高压电源可接收主控电源发送的锁定信号，学生接收老师输送的设定电源电压，教师锁定时，学生自己无法操作，这样可避免学生的误操作。</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3C4D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E554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8136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C28F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2B23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智能照明</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28E02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照明模块有底座外壳、扩散板和LED灯条组成；外置隐藏安装，可从吊装外部拆卸，方便后期维修更换。固定底座采用ABS塑料一体成型，扩散板采用PC材料，扩大发光面，使光线变的柔和，达到匀光而又透光，同时满足各种雾度值和透光率的需求；</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2F77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BC3E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E293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422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2AE9D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学生端给排水接口</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44FBE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1、PVC材质，给排水接头采用具有耐酸碱，拔插轻松，不生锈；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2、即插即用，带自动锁紧插功能，即使在供水排水工作时，随时拔掉接口不会有任何滴漏现象。</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058A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1419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1C68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EB47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1922D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可伸缩万向罩</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A52EB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1、吸风外管为铝合金，摇臂面板一起升降，不用时可收入舱体内，不遮挡视线。完全展开后罩口可抵到桌面，方便学生实验操作。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2、风管分内外管：外管采用直径≥68mm铝合金圆管，第二节内管采用≥65mm的万向管圆管，表面经环氧树脂粉末静电喷涂高温固化处理，防酸防碱耐腐蚀。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3、吸风罩口和弯头部件采用ABS软塑料不易变形。</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FDA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CFE8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E1C6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8E5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3A30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盖帽</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D3BBA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两端盖帽采用全新ABS塑料经模具一次注塑成型，带有和舱体同色彩条，美观大方; 规格为 ≥144*630*195mm.。</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BB9B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F52B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6447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C35F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B34A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自动给排水系统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A3204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1、由给排水系统、污水收集排放系统构成；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2、给排水系统出（进）水口置于电源操作模块底部，由智能化控制系统集中控制；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3、接口均采用带防溢水功能快速水管接口，插拔式自动锁紧连接方式，即用插拔，插拔后自动止水；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4、与污水桶水位传感器采用8芯信号线连接，达到一定水位值时传感器感应启动自动排水，污水经过连接管排至顶部排水管总管后流出；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5、该模块支持实时手动排水和当达到一定条件时自动排水两种方式，当污水全部排净后系统自动关闭。</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38B8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0BAC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5B6C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8060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0DA36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智能吊装控制线</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D237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采用0.5mm²电线屏蔽电线进行系统布线。</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C80B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8AA8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3FCA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5BE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5F8E9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吊装系统安装辅件</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43E7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1、采用固定吊装方式，防止左右晃动，可进行调节；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2、主要辅件有：U型槽钢、龙骨架连接件、吊装挂件等。</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5999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00E0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3308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9E7A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6162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吊装设备安装调试</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5CE67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1、吊装设备安装：根据设备重量和实验室天花板结构，合理规划吊装位置；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2、系统控制调试：通电测试、通风系统调试、照明系统调试、控制系统调试及安全测试。</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7591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05B0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1B64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8AC7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977ABE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学生基础部分</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52D9A3">
            <w:pPr>
              <w:jc w:val="left"/>
              <w:rPr>
                <w:rFonts w:hint="eastAsia" w:ascii="宋体" w:hAnsi="宋体" w:eastAsia="宋体" w:cs="宋体"/>
                <w:b/>
                <w:bCs/>
                <w:i w:val="0"/>
                <w:iCs w:val="0"/>
                <w:color w:val="auto"/>
                <w:sz w:val="20"/>
                <w:szCs w:val="20"/>
                <w:highlight w:val="none"/>
                <w:u w:val="none"/>
              </w:rPr>
            </w:pP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83646">
            <w:pPr>
              <w:jc w:val="center"/>
              <w:rPr>
                <w:rFonts w:hint="eastAsia" w:ascii="宋体" w:hAnsi="宋体" w:eastAsia="宋体" w:cs="宋体"/>
                <w:b/>
                <w:bCs/>
                <w:i w:val="0"/>
                <w:iCs w:val="0"/>
                <w:color w:val="auto"/>
                <w:sz w:val="20"/>
                <w:szCs w:val="20"/>
                <w:highlight w:val="none"/>
                <w:u w:val="none"/>
              </w:rPr>
            </w:pP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E4B1E9">
            <w:pPr>
              <w:jc w:val="center"/>
              <w:rPr>
                <w:rFonts w:hint="eastAsia" w:ascii="宋体" w:hAnsi="宋体" w:eastAsia="宋体" w:cs="宋体"/>
                <w:b/>
                <w:bCs/>
                <w:i w:val="0"/>
                <w:iCs w:val="0"/>
                <w:color w:val="auto"/>
                <w:sz w:val="20"/>
                <w:szCs w:val="20"/>
                <w:highlight w:val="none"/>
                <w:u w:val="none"/>
              </w:rPr>
            </w:pPr>
          </w:p>
        </w:tc>
      </w:tr>
      <w:tr w14:paraId="247FA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B63D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C3F3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学生实验桌</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63B13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1、规格：≥1200*600*780mm；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2、整体构造：采用≥20mm厚度的一体化陶瓷板台面，侧面边缘打磨平整，线条流畅、表面平整光滑，台面转角位置做倒角处理；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★2.1台面：按照GB/T 17657-2022标准对台面板进行不少于75种化学试剂检测，其中硫酸(98%)、尿素、碘酒、孔雀绿(5%)、氢氧化钾(65%)、硝酸(65%)、硫化钠饱和液、乙醇(99%)、二恶烷、二氯甲烷、盐酸(37%)、氯化铁(10%)、煤油、凡士林、氯乙烯基镁、碳酸氢钠溶液、氯化镁(10%)、亚甲蓝指示剂、红药水、次氯酸钠(13%)、磷酸(85%)、四氯化碳、品红(1%)、蔗糖溶液(5%)、丁酮、王水、氯仿、紫药水、铬酸钾溶(1g/L）、正已烷、铬酸、芥末、苏丹红、乙酸丁酯、甲苯、甲酸(90%)、高锰酸钾(10%)、三氯乙烯、乙醇胺、二甲苯、乙酸(99%)、丙酮、四氢呋喃、石油醚、丙三醇、甲醛溶液(37%)、苯、硫酸钠饱和液、液体石蜡、双氧水(3%)、苯酚(90%)、氯甲苯、甲基橙、高氯酸、乙醚、硫酸铜(10%)、甲酚、乙二醇、乙基苯、乳酸、硝酸银(1%)、糠醛、氧化锌饱和液、冰醋酸(90%)、乙酰丙酮、氢氧化钠(40%)、二甲基甲酰胺、丁醇、柠檬酸、N,N-二甲基甲酰胺、氨水(28%)、醋酸乙酯、萘、松节油、乙腈检验结果达到5级，无明显变化。（投标时提供带有CMA或CNAS标志的检测报告复印件作为得分依据，否则不得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★2.2负离子发生量:陶瓷台面负离子发生量参考LY/T 3235-2020标准要求，24h负离子发生量≥939个/cm3。（投标时提供带有CMA或CNAS标志的检测报告复印件作为得分依据，否则不得分）；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2.3台面洛氏硬度：参照GB/T 3398.2-2008 标准进行检测，检测结果为≥127；</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2.4陶瓷台面燃烧性能等级为 A1 级，炉内温升≤15℃，持续燃烧时间为0 s，质量损失率≤0.4%，总热值≤0.4MJ/kg；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2.5台面承载能力：台面承载100kg，检测结果为：陶瓷板未出现损坏；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3、桌面边缘镶嵌铝合金挡水条，配备由安全塑料注塑成型的堵头，防止液体溢出；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4、配备两个书包斗，规格≥430*290*180mm，采用PP材料，正面设有可悬挂凳子的圆形孔，周边加厚加强，镂空造型。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5、立柱剖面规格≥100*40mm，立柱壁厚≥1.2mm，下脚剖面规格≥76*36mm，下脚壁厚≥1.2mm；立柱和下脚材质采用精密挤压铝型材，表面做镁铝氧化处理，脚部两端镶嵌定制注塑堵头；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6、在两立柱之间具有一根金属加强横梁，规格≥60*30mm，壁厚≥mm；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7、桌面框架采用高品质高强度钢板，通过折弯和焊接工艺成型，规格尺寸≥1144*536mm，钢板厚度≥2mm,表面采用高压静电喷涂处理，具有耐酸碱和耐腐蚀性能；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8、各组件之间的连接采用螺丝，应便于组装和拆卸，要求使结构稳固；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9、底部配备可调节的脚垫，采用高强度ABS注塑成型，通过螺旋机制实现高度调节，要求桌面平衡及稳定，适应不同地面条件。底部配备可调节的脚垫，采用高强度 ABS 注塑成型，通过螺旋机制实现高度调节，要求桌面平衡及稳定，适应不同地面条件。</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3E21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5C89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5E043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3BCA5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DB59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实验凳</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DB9CE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1、五脚圆形升降旋转凳，升降内螺杆与50立杆可以拆卸，五脚立地并镶胶皮且不易脱落或变形脚垫。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2、凳面为ABS工程塑料注塑压成，凳面：Φ≥300mm（±20mm）；凳面带有树皮纹路，内螺杆高度升降范围为450-500mm。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3、面包管五只凳脚采用一线厂家生产的国标优质钢管制造，立杆钢管的外径≥50mm，壁厚≥1.2mm，立管上部有方托盘≥160X160钢板≥2.0厚与凳面结合，长时间使用不会脱落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4、金属表面需经抛丸、喷涂处理，表面喷漆为白色。</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493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F3A3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w:t>
            </w:r>
          </w:p>
        </w:tc>
      </w:tr>
      <w:tr w14:paraId="1F3B9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6EC4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B23E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水槽柜</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92178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1、水槽台整体规格：≥长495*宽595*高830±5mm，分柜体和水槽两部分组成，各部件采用模具一次注塑成型；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柜体部分采用全新ABS塑料原料，经注塑模一次注塑成型；柜体有上下座、侧板和柜门部件组成，各部件采用卯榫结构连接，螺丝加固确保柜体结构稳固不扭曲变形；上下座和其他部件采用不同颜色套色拼装使整个水槽台有层次感；柜体前后均留有带锁的检修门，方便日后维修；柜体四角做圆角处理，无安全隐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水槽部分：水槽采用全新耐腐蚀PP材料一次注塑成型前沿有挡水并带有防溢水孔，水槽两侧预留安装洗眼器和皂液器安装孔，方便各科室不同需求。槽体内径不小于420*220*160mm，以下水口为低点四周均有坡度防止积水；下水口为大口径直排孔配有不锈钢滤网和PP材质水塞。</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4、水槽部分安置在柜体上面，需在柜体内侧使用螺丝加固连接，防止在使用过程中脱离；所有加固螺丝均处在柜体内侧暗处，安装完成后外表无可见螺丝。</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1EF2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23EE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B412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616B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9100F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三联水嘴</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47A1B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1、主体：上排水专用，加厚铜质；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2、涂层：高亮度环氧树脂涂层；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3、陶瓷阀芯90°旋转，使用寿命开关50万次，静态最大耐压20巴；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4、鹅颈管可360°旋转；</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5、可拆卸铜质水嘴。</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9A0D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D6F7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2ECDD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4D14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B1085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洗眼器</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7F5BB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1、台面安装方式：平时放置于台面，紧急使用时可随意抽起；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2、洗眼喷头：具有过滤泡棉及防尘功能，上面防尘盖平常可防尘，使用时可随时被水冲开，并降低突然打开时短暂的高水压，避免冲伤眼睛；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3、控水阀采用黄铜制作，经高亮度环氧树脂涂层处理，阀门可自动关闭，密封可靠；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4、供水软管：采用不锈钢软管。</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434B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D33B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4D18F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91AB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A23551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教师基础部分</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5BED4D">
            <w:pPr>
              <w:jc w:val="left"/>
              <w:rPr>
                <w:rFonts w:hint="eastAsia" w:ascii="宋体" w:hAnsi="宋体" w:eastAsia="宋体" w:cs="宋体"/>
                <w:b/>
                <w:bCs/>
                <w:i w:val="0"/>
                <w:iCs w:val="0"/>
                <w:color w:val="auto"/>
                <w:sz w:val="20"/>
                <w:szCs w:val="20"/>
                <w:highlight w:val="none"/>
                <w:u w:val="none"/>
              </w:rPr>
            </w:pP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FAB386">
            <w:pPr>
              <w:jc w:val="center"/>
              <w:rPr>
                <w:rFonts w:hint="eastAsia" w:ascii="宋体" w:hAnsi="宋体" w:eastAsia="宋体" w:cs="宋体"/>
                <w:b/>
                <w:bCs/>
                <w:i w:val="0"/>
                <w:iCs w:val="0"/>
                <w:color w:val="auto"/>
                <w:sz w:val="20"/>
                <w:szCs w:val="20"/>
                <w:highlight w:val="none"/>
                <w:u w:val="none"/>
              </w:rPr>
            </w:pP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C6EF36">
            <w:pPr>
              <w:jc w:val="center"/>
              <w:rPr>
                <w:rFonts w:hint="eastAsia" w:ascii="宋体" w:hAnsi="宋体" w:eastAsia="宋体" w:cs="宋体"/>
                <w:b/>
                <w:bCs/>
                <w:i w:val="0"/>
                <w:iCs w:val="0"/>
                <w:color w:val="auto"/>
                <w:sz w:val="20"/>
                <w:szCs w:val="20"/>
                <w:highlight w:val="none"/>
                <w:u w:val="none"/>
              </w:rPr>
            </w:pPr>
          </w:p>
        </w:tc>
      </w:tr>
      <w:tr w14:paraId="189EF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3A67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E93AB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教师演示台</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6A56F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1、规格：≥2400*700*850mm；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2、结构：演示台设有储物柜，中间为演示台,设置电源主控系统、多媒体设备（主机、显示器、中控、功放交换机）的位置预留；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3、桌身：整体采用≥0.8mm厚优质冷轧钢板，全部钢制件纳米陶瓷镀膜防锈处理；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4、滑道：抽屉全部采用优质三节承重式滚珠滑道；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5、铰链：采用优质铰链；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6、脚垫：采用柜体内置可调ABS脚垫，保证桌面平整；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7、台面：采用≥12.7mm厚双面膜实芯理化板制作，边沿镶边加厚至≥25mm厚，耐强酸、强碱、耐高温；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7.1台面按国家标准GB/T 17657-2022标准及其他相关标准进行检测，要求需满足或优于以下性能：静曲强度≥140Mpa；弹性模量≥10450Mpa；抗拉强度≥69Mpa；拉伸强度≥69Mpa；表面耐龟裂性能：5级：表面无裂纹；耐高温性能：表面无裂纹；表面耐耐干热性能：5级：无明显变化；表面耐湿热性能：5级：无明显变化；耐光色牢度＞4级；洛氏硬度：126；耐臭氧（72h）：外观无明显变化；尺寸稳定性：横向和纵向均需一致≤0.03%；漆膜附着力：六级：切割边缘完全平滑，网格内无脱落；漆膜硬度＞9H；表面耐划痕性能：4.5N作用下，试件表面无大于90%的连续划痕；耐沸水性能：质量增加百分率≤0.01%、厚度增加百分率≤0.06%，表面质量等级：5级：无变化，边缘质量等级：5级：无明显变化；抗冲击性能：冲击高度≥1m，压痕直径≤5.1mm；表面耐磨性能≥1120r，未出现磨损；弯曲强度≥140Mpa；弯曲弹性模量≥8330Mpa；表面耐冷热循环：表面无裂纹及鼓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7.2台面检测依据 GB/T 39600-2021标准，甲醛释放量≤0.005mg/m³，满足技术要求E0级；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7.3台面按照GB/T 17657-2022标准对面板正反两面进行耐污染物检验，其中硫酸（98%）、77%硫酸、硝酸（65%）、乙酸(99%)、氢氟酸（48%）、3%双氧水、无水乙醇、水杨酸、碘伏、亚甲基蓝(5%)、乙腈、无水甲醇、正己烷、三氯乙酸等不少于135种溶液或试剂检验结果达到5级并无明显变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★7.4台面依据JC/T 2039-2010标准检测板材抗霉菌性能：黑曲霉、土曲霉、宛氏拟青霉、绳状青霉、出芽短梗霉、球毛壳霉、长枝木霉等7种的霉菌检测长霉等级0级；（投标时提供带有CMA或CNAS标志的检测报告复印件作为得分依据，否则不得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★7.5台面依据JC/T 2039-2010标准检测板材的抗菌性能：金黄色葡萄球菌、大肠埃希氏菌、白色念珠菌、铜绿假单胞菌、肺炎克雷伯氏菌、鼠伤寒沙门氏菌、甲型溶血性链球群、枯草芽孢杆菌、耐甲氧西林金黄色葡萄球菌、白色葡萄球菌、肠沙门氏菌肠亚种、粪肠球菌、宋氏志贺氏菌、变异库克菌、表皮葡萄球菌等不少于15种的菌种抗菌率≥99.99%；（投标时提供带有CMA或CNAS标志的检测报告复印件作为得分依据，否则不得分）。</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B2938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4B28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4BF7E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DF84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5ADDE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教师转椅</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1A572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1、规格：≥500*500*800mm；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2、面料材质：靠背及下座采用高密度网布格，具有高耐磨性和抗撕裂性，符合国家阻燃标准；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3、骨架材质：采用高强度钢管，表面电镀处理；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4、气动升降，支持高度调节；配备静音滑轮，材质为PU或软胶，移动时无噪音且不损伤地面。</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2D54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5F94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4EA9E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8DFF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A4560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水槽柜</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76A1F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1、水槽台整体规格：≥长495*宽595*高830±5mm，分柜体和水槽两部分组成，各部件采用模具一次注塑成型；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柜体部分采用全新ABS塑料原料，经注塑模一次注塑成型；柜体有上下座、侧板和柜门部件组成，各部件采用卯榫结构连接，螺丝加固确保柜体结构稳固不扭曲变形；上下座和其他部件采用不同颜色套色拼装使整个水槽台有层次感；柜体前后均留有带锁的检修门，方便日后维修；柜体四角做圆角处理，无安全隐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水槽部分：水槽采用全新耐腐蚀PP材料一次注塑成型前沿有挡水并带有防溢水孔，水槽两侧预留安装洗眼器和皂液器安装孔，方便各科室不同需求。槽体内径不小于420*220*160mm，以下水口为低点四周均有坡度防止积水；下水口为大口径直排孔配有不锈钢滤网和PP材质水塞。</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4、水槽部分安置在柜体上面，需在柜体内侧使用螺丝加固连接，防止在使用过程中脱离；所有加固螺丝均处在柜体内侧暗处，安装完成后外表无可见螺丝。</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2C71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34F5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4EDC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81AB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5B946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三联水嘴</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91CC3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1、主体：上排水专用，加厚铜质；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2、涂层：高亮度环氧树脂涂层；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3、陶瓷阀芯90°旋转，使用寿命开关50万次，静态最大耐压20巴；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4、鹅颈管可360°旋转；</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5、可拆卸铜质水嘴。</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6EEA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D280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7E93A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8489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81746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洗眼器</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2FBD9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1、台面安装方式：平时放置于台面，紧急使用时可随意抽起；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2、洗眼喷头：具有过滤泡棉及防尘功能，上面防尘盖平常可防尘，使用时可随时被水冲开，并降低突然打开时短暂的高水压，避免冲伤眼睛；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3、控水阀采用黄铜制作，经高亮度环氧树脂涂层处理，阀门可自动关闭，密封可靠；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4、供水软管：采用不锈钢软管。</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8199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C77A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024ED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BF4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A4C74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万向吸风罩</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D2B3B8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【整体功能】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1、主要用于实验室教学过程中，对化学实验产生的有害气体、粉尘等进行局部排风收集，通过管道将污染物排至室外，保护实验人员呼吸系统健康，适用于理化生实验室各类挥发性实验操作；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2、采用可伸缩式活动关节设计，支持360°全方位旋转调节，便于精准定位；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3、安装方式：悬挂式安装，底座固定于天花板上；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【主体结构】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4、关节：采用高密度PP聚丙烯材质；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5、关节密封圈：采用高密度橡胶材质；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6、关节连接杆：采用304不锈钢材质；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7、关节松紧旋钮：以高密度PP制成，内部嵌有不锈钢轴承，用于与连接杆锁合，调节及固定便捷；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8、气流调节阀：方手动调节外部阀门旋钮，控制进入之气流量；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9、集气罩：材质为PP，集气罩开口直径≥335mm，提供有效集气范围；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10、固定底座：采用模具一次注塑成型，非粘接结构，整体牢固可靠，无脱底风险。</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253B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ECB9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EDF2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CE96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2F7DE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全室供排水电线路</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EEE00">
            <w:pPr>
              <w:jc w:val="left"/>
              <w:rPr>
                <w:rFonts w:hint="eastAsia" w:ascii="宋体" w:hAnsi="宋体" w:eastAsia="宋体" w:cs="宋体"/>
                <w:b/>
                <w:bCs/>
                <w:i w:val="0"/>
                <w:iCs w:val="0"/>
                <w:color w:val="auto"/>
                <w:sz w:val="20"/>
                <w:szCs w:val="20"/>
                <w:highlight w:val="none"/>
                <w:u w:val="none"/>
              </w:rPr>
            </w:pP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F4242">
            <w:pPr>
              <w:jc w:val="center"/>
              <w:rPr>
                <w:rFonts w:hint="eastAsia" w:ascii="宋体" w:hAnsi="宋体" w:eastAsia="宋体" w:cs="宋体"/>
                <w:b/>
                <w:bCs/>
                <w:i w:val="0"/>
                <w:iCs w:val="0"/>
                <w:color w:val="auto"/>
                <w:sz w:val="20"/>
                <w:szCs w:val="20"/>
                <w:highlight w:val="none"/>
                <w:u w:val="none"/>
              </w:rPr>
            </w:pP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0F46A4">
            <w:pPr>
              <w:jc w:val="center"/>
              <w:rPr>
                <w:rFonts w:hint="eastAsia" w:ascii="宋体" w:hAnsi="宋体" w:eastAsia="宋体" w:cs="宋体"/>
                <w:b/>
                <w:bCs/>
                <w:i w:val="0"/>
                <w:iCs w:val="0"/>
                <w:color w:val="auto"/>
                <w:sz w:val="20"/>
                <w:szCs w:val="20"/>
                <w:highlight w:val="none"/>
                <w:u w:val="none"/>
              </w:rPr>
            </w:pPr>
          </w:p>
        </w:tc>
      </w:tr>
      <w:tr w14:paraId="3CD97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2DFF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80E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供电线路（吊装款）</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D0375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1、电线：国标优质铜芯线4mm²电线、2.5mm²电线。</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C860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92AF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6FF0A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6DA5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FB1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给排水管路</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47B75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1、布管规整，方便安装、检修；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2、给水管：主管选用Ф25PPR水管，支管Ф20PPR水管；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3、排水管：UPVC材质排水管为Ф50mm，排水管接头要求螺纹口、PVC胶水等；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4、安全控制：总开关阀门、电磁阀外、丝连接件等。</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4589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E0B3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66A2F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1B7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33C4BD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通风系统部分</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229905">
            <w:pPr>
              <w:jc w:val="left"/>
              <w:rPr>
                <w:rFonts w:hint="eastAsia" w:ascii="宋体" w:hAnsi="宋体" w:eastAsia="宋体" w:cs="宋体"/>
                <w:b/>
                <w:bCs/>
                <w:i w:val="0"/>
                <w:iCs w:val="0"/>
                <w:color w:val="auto"/>
                <w:sz w:val="20"/>
                <w:szCs w:val="20"/>
                <w:highlight w:val="none"/>
                <w:u w:val="none"/>
              </w:rPr>
            </w:pP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6771B1">
            <w:pPr>
              <w:jc w:val="center"/>
              <w:rPr>
                <w:rFonts w:hint="eastAsia" w:ascii="宋体" w:hAnsi="宋体" w:eastAsia="宋体" w:cs="宋体"/>
                <w:b/>
                <w:bCs/>
                <w:i w:val="0"/>
                <w:iCs w:val="0"/>
                <w:color w:val="auto"/>
                <w:sz w:val="20"/>
                <w:szCs w:val="20"/>
                <w:highlight w:val="none"/>
                <w:u w:val="none"/>
              </w:rPr>
            </w:pP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F49BCC">
            <w:pPr>
              <w:jc w:val="center"/>
              <w:rPr>
                <w:rFonts w:hint="eastAsia" w:ascii="宋体" w:hAnsi="宋体" w:eastAsia="宋体" w:cs="宋体"/>
                <w:b/>
                <w:bCs/>
                <w:i w:val="0"/>
                <w:iCs w:val="0"/>
                <w:color w:val="auto"/>
                <w:sz w:val="20"/>
                <w:szCs w:val="20"/>
                <w:highlight w:val="none"/>
                <w:u w:val="none"/>
              </w:rPr>
            </w:pPr>
          </w:p>
        </w:tc>
      </w:tr>
      <w:tr w14:paraId="79387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19C3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5AC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室内通风系统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6BD4F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1、主风管：采用具有耐酸碱性能PVC≥200mm、支分管Ф≥160mm，Ф≥110mm；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2、管卡采用碳钢制作，表面经镀铬处理，具有耐腐蚀、防火、防潮等功能。</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5DC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048E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4ADF3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6FC6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7FA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室外通风系统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275B3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1、采用PVC风管，或PP焊接管具有耐酸碱性能；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2、规格：主风管Ф≥300mm；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3、管卡采用碳钢制作，表面经镀铬处理，具有耐腐蚀、防火、防潮等功能。</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3E06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5C093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6ECBB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6BDF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7F6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离心式风机</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15BB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1、离心风机；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2、材料：PP板材料；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3、电机功率：三相5.5KW；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4、技术要求：风量:12700m3/h;全压:800Pa;功率：5.5kW;转速：1440r/min。</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C779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690B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66E5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71C23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C94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风机配件</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AA72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A、风机减震器：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1、功能：离心风机弹簧减震器，弹簧材料为60Si2Mn弹簧钢线，耐疲劳，强度高，承载力大，使用寿命长等特点。可直接将ZD型减振器置放于设备的机座下。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2、工作环境：在-40℃-110℃环境下正常工作，上下座分别设有螺栓与地基螺栓孔，可上下固定。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B、风机消音器：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1、材料：PP材质，内置隔音棉等隔音装置。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2、技术要求：消声频率30-60（Hz），耐温特性60（℃），防腐蚀、耐酸碱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C、风机进出口软连接：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1、进风口：采用PVC柔性材料制作，规格：Ф300-400mm，因风机震动引起的消除震音传递和消除微量错位对风机的影响。出风口：材料PP，规格方转圆地方风机接口，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D、风机出风口接头：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1、出风口：材料PP，规格方转圆地方风机接口。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E、风机出风口防雨帽：伞型结构。</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45A9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C888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57CA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8772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1EA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风机控制线</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342AB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1、规格：3×2.5mm² 电线 + 2×1.5mm² 电线；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2、线芯材质：高纯度铜，无氧化铜芯；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3、绝缘护套：耐磨、耐老化、耐腐蚀、柔软。橡皮绝缘；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4、电压等级：中、低压电力电缆（35千伏及以下）。</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C8D3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2970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79817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356E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36F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风机控制变频器</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C5261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1、重载矢量控制变频器，功率5.5KVA，额定输入电压：三相380V，±15%；额定输入频率：50/60HZ。</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8A55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77F3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71CCC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8E7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39</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31A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化学室安装调试</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32475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1、实验设备安装：合理规划设备摆放位置，确保操作方便；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2、给排水调试：对给排水系统的运行状态进行调试，包括水压、流量、渗漏测试及排水测试等；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3、供电系统调试：对供电系统的运行状态进行调试，包括电压与电流测试、漏电保护测试及负载运行测试等。</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12C0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7B6B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00F00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00" w:type="pct"/>
            <w:gridSpan w:val="13"/>
            <w:tcBorders>
              <w:top w:val="nil"/>
              <w:left w:val="nil"/>
              <w:bottom w:val="nil"/>
              <w:right w:val="nil"/>
            </w:tcBorders>
            <w:shd w:val="clear" w:color="auto" w:fill="auto"/>
            <w:noWrap/>
            <w:vAlign w:val="center"/>
          </w:tcPr>
          <w:p w14:paraId="290D32F3">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物理实验室（2间）</w:t>
            </w:r>
          </w:p>
        </w:tc>
      </w:tr>
      <w:tr w14:paraId="4ABEF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79834E82">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序号</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BFBFBF"/>
            <w:vAlign w:val="center"/>
          </w:tcPr>
          <w:p w14:paraId="07957624">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设备名称</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BFBFBF"/>
            <w:vAlign w:val="center"/>
          </w:tcPr>
          <w:p w14:paraId="5FAA099A">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技术参数</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BFBFBF"/>
            <w:vAlign w:val="center"/>
          </w:tcPr>
          <w:p w14:paraId="746B87ED">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数量</w:t>
            </w:r>
          </w:p>
        </w:tc>
        <w:tc>
          <w:tcPr>
            <w:tcW w:w="370"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31C1181D">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单位</w:t>
            </w:r>
          </w:p>
        </w:tc>
      </w:tr>
      <w:tr w14:paraId="275BE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1F0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B07C2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（一）、学生基础部分</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57B39D">
            <w:pPr>
              <w:rPr>
                <w:rFonts w:hint="eastAsia" w:ascii="宋体" w:hAnsi="宋体" w:eastAsia="宋体" w:cs="宋体"/>
                <w:b/>
                <w:bCs/>
                <w:i w:val="0"/>
                <w:iCs w:val="0"/>
                <w:color w:val="auto"/>
                <w:sz w:val="20"/>
                <w:szCs w:val="20"/>
                <w:highlight w:val="none"/>
                <w:u w:val="none"/>
              </w:rPr>
            </w:pP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33668A">
            <w:pPr>
              <w:rPr>
                <w:rFonts w:hint="eastAsia" w:ascii="宋体" w:hAnsi="宋体" w:eastAsia="宋体" w:cs="宋体"/>
                <w:b/>
                <w:bCs/>
                <w:i w:val="0"/>
                <w:iCs w:val="0"/>
                <w:color w:val="auto"/>
                <w:sz w:val="20"/>
                <w:szCs w:val="20"/>
                <w:highlight w:val="none"/>
                <w:u w:val="none"/>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8DF19">
            <w:pPr>
              <w:rPr>
                <w:rFonts w:hint="eastAsia" w:ascii="宋体" w:hAnsi="宋体" w:eastAsia="宋体" w:cs="宋体"/>
                <w:b/>
                <w:bCs/>
                <w:i w:val="0"/>
                <w:iCs w:val="0"/>
                <w:color w:val="auto"/>
                <w:sz w:val="20"/>
                <w:szCs w:val="20"/>
                <w:highlight w:val="none"/>
                <w:u w:val="none"/>
              </w:rPr>
            </w:pPr>
          </w:p>
        </w:tc>
      </w:tr>
      <w:tr w14:paraId="24335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0C1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EE56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学生实验桌</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1728F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1、规格：≥1200*600*780mm；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2、整体构造：采用≥20mm厚度的一体化陶瓷板台面，侧面边缘打磨平整，线条流畅、表面平整光滑，台面转角位置做倒角处理；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2.1台面：按照GB/T 17657-2022标准对台面板进行不少于75种化学试剂检测，其中硫酸(98%)、尿素、碘酒、孔雀绿(5%)、氢氧化钾(65%)、硝酸(65%)、硫化钠饱和液、乙醇(99%)、二恶烷、二氯甲烷、盐酸(37%)、氯化铁(10%)、煤油、凡士林、氯乙烯基镁、碳酸氢钠溶液、氯化镁(10%)、亚甲蓝指示剂、红药水、次氯酸钠(13%)、磷酸(85%)、四氯化碳、品红(1%)、蔗糖溶液(5%)、丁酮、王水、氯仿、紫药水、铬酸钾溶(1g/L）、正已烷、铬酸、芥末、苏丹红、乙酸丁酯、甲苯、甲酸(90%)、高锰酸钾(10%)、三氯乙烯、乙醇胺、二甲苯、乙酸(99%)、丙酮、四氢呋喃、石油醚、丙三醇、甲醛溶液(37%)、苯、硫酸钠饱和液、液体石蜡、双氧水(3%)、苯酚(90%)、氯甲苯、甲基橙、高氯酸、乙醚、硫酸铜(10%)、甲酚、乙二醇、乙基苯、乳酸、硝酸银(1%)、糠醛、氧化锌饱和液、冰醋酸(90%)、乙酰丙酮、氢氧化钠(40%)、二甲基甲酰胺、丁醇、柠檬酸、N,N-二甲基甲酰胺、氨水(28%)、醋酸乙酯、萘、松节油、乙腈检验结果达到5级，无明显变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2.2负离子发生量:陶瓷台面负离子发生量参考LY/T 3235-2020标准要求，24h负离子发生量≥939个/cm3；</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2.3台面洛氏硬度：参照GB/T 3398.2-2008 标准进行检测，检测结果为≥127；</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2.4陶瓷台面燃烧性能等级为 A1 级，炉内温升≤15℃，持续燃烧时间为0 s，质量损失率≤0.4%，总热值≤0.4MJ/kg；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2.5台面承载能力：台面承载100kg，检测结果为：陶瓷板未出现损坏；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3、桌面边缘镶嵌铝合金挡水条，配备由安全塑料注塑成型的堵头，防止液体溢出；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4、配备两个书包斗，规格≥430*290*180mm，采用PP材料，正面设有可悬挂凳子的圆形孔，周边加厚加强，镂空造型。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5、立柱剖面规格≥100*40mm，立柱壁厚≥1.2mm，下脚剖面规格≥76*36mm，下脚壁厚≥1.2mm；立柱和下脚材质采用精密挤压铝型材，表面做镁铝氧化处理，脚部两端镶嵌定制注塑堵头；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6、在两立柱之间具有一根金属加强横梁，规格≥60*30mm，壁厚≥mm；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7、桌面框架采用高品质高强度钢板，通过折弯和焊接工艺成型，规格尺寸≥1144*536mm，钢板厚度≥2mm,表面采用高压静电喷涂处理，具有耐酸碱和耐腐蚀性能；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8、各组件之间的连接采用螺丝，应便于组装和拆卸，要求使结构稳固；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9、底部配备可调节的脚垫，采用高强度ABS注塑成型，通过螺旋机制实现高度调节，要求桌面平衡及稳定，适应不同地面条件。底部配备可调节的脚垫，采用高强度 ABS 注塑成型，通过螺旋机制实现高度调节，要求桌面平衡及稳定，适应不同地面条件。</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9279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DBE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0505A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9F8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C222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实验凳</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F1CCF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1、五脚圆形升降旋转凳，升降内螺杆与50立杆可以拆卸，五脚立地并镶胶皮且不易脱落或变形脚垫。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2、凳面为ABS工程塑料注塑压成，凳面：Φ≥300mm（±20mm）；凳面带有树皮纹路，内螺杆高度升降范围为450-500mm。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3、面包管五只凳脚采用一线厂家生产的国标优质钢管制造，立杆钢管的外径≥50mm，壁厚≥1.2mm，立管上部有方托盘≥160X160钢板≥2.0厚与凳面结合，长时间使用不会脱落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4、金属表面需经抛丸、喷涂处理，表面喷漆为白色。</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424F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819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w:t>
            </w:r>
          </w:p>
        </w:tc>
      </w:tr>
      <w:tr w14:paraId="672CD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E64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43AD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学生高低压电源</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1D17A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【整体规格】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1、主要功能：用于在实验室教学过程中提供稳定的电源供应，支持教师远程控制、交直流输出调节等功能；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2、整体构成：包含电源盒、电源调节面板等部件；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3、整体规格：外尺寸≥290mm×180mm×160mm（长×宽×高）（±5mm）；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4、安装方式：通过螺丝固定在学生实验桌的桌面下方；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★5、产品在1～3频率（MHz）内，辐射连续骚扰的测量值均低于准峰值（dB≤70μV/m）和平均值（dB≤50μV/m）限值要求，产品判定为满足标准要求；温度（20.0 ～25.0 ）℃之间，相对湿度（40.0～50.0）%RH之间，大气压强（100.0～102.0）kPa之间，贴近实际使用场景，数据更具应用价值。（投标时需提供加盖制造商公章的由国家认可的第三方检测机构出具的带CMA及CNAS标识的近一年内的报告复印件，报告须包含该检测项完整测试数据和实验室原始测试场景照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★6、产品符合GB/T 18268.1相关要求，辐射骚扰、静电放电、浪涌、电压暂降，短时中断、工频磁场 5 项检测项目为合格（结论均为 "P"）；（投标时需提供加盖制造商公章的由国家认可的第三方检测机构出具的带CMA及CNAS标识的近一年内的报告复印件，报告须包含该检测项完整测试数据和实验室原始测试场景照片。）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【电源盒】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7、电源盒主体选用丙烯腈-丁二烯-苯乙烯塑料（ABS）材质，采用高精度模具注塑成型；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8、翻盖式设计：面向使用者方向设有翻盖舱门，翻盖舱门内装有电源调节面板，不使用时可将舱门合上保护电源，防止落尘；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【电源调节面板】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9、电源变压板和电源控制板采用分体式设计，分别为独立的PCB电路板，防止电器干扰；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10、电源调节面板材质采用亚克力贴片饰面，防止PCB电路板落尘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11、电源调节面板集成了低压交直流输出、高压交流220V输出功能；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12、调节面板具有≥1个数字电压显示器，尺寸≥20mm×10mm（长×宽）（±3mm），支持显示当前输出电压，支持显示小数点前≥2位数、小数点后≥1位数，电压分度值≤0.1V，直流电压输出误差≤0.2V；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11、调节面板具有≥1个数字调压旋钮，旋钮支持顺/逆时针旋转和按压操作方式，通过顺/逆时针旋转可调节电压，通过按压旋钮可切换交流（AC）和直流（DC）输出；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13、具有≥1组红（+）、黑（-）接线柱或香蕉座，具有交流（AC）和直流（DC）输出状态指示灯，能够实时指示当前交直流输出工作状态；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14、输出电压范围：可调电压范围≥0V-30V，满足不同实验对电压的需求；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15、限流保护：交直流调压输出均支持1.0A（±0.2A）限流电流保护功能；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16、额定功率：额定功率≥30W，可稳定驱动功率范围内的用电设备；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17、纹波与噪声：最大纹波峰峰值≤400mV（±5%），能保障输出电源的稳定性与纯净度，降低电源波动对精密设备的影响；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18、输入电压范围：AC 175-260V，能适应不同地区电网电压波动，保障设备在复杂电网环境下稳定运行，在输入电压范围内线路调整率≤±3%；</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19、额定输入电流≥0.5A（AC 230V时）；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20、输入交流电压频率范围45-60Hz；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21、具有≥1个标准五孔插座，可输出AC 220V电压，用于连接需要AC 220V 电源的实验仪器；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支持RS485串口远程控制，支持Modbus协议，可通过教师电源等设备进行RS485远程控制，支持远程锁定、远程同步电压、远程开关220V输出等操作；支持单控和组控模式，可实现对单台或多台学生电源的集中管理；可使用电脑或支持单控功能的教师电源对教室内任意一台设备进行远程单独开关、单独调压、单独开关AC 220V输出等操作，便于精细化管控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★23、投标时提供学生电源嵌入式软件相关计算机软件著作权登记证书扫描件，中国版权保护中心（https://register.ccopyright.com.cn/query.html）计算机软件著作权登记公告检索截图；</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D63C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B22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3F06F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C5D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9E08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教师演示台</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7E473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1、规格：≥2400*700*850mm；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2、结构：演示台设有储物柜，中间为演示台,设置电源主控系统、多媒体设备（主机、显示器、中控、功放交换机）的位置预留；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3、桌身：整体采用≥0.8mm厚优质冷轧钢板，全部钢制件纳米陶瓷镀膜防锈处理；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4、滑道：抽屉全部采用优质三节承重式滚珠滑道；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5、铰链：采用优质铰链；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6、脚垫：采用柜体内置可调ABS脚垫，保证桌面平整；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7、台面：采用≥12.7mm厚双面膜实芯理化板制作，边沿镶边加厚至≥25mm厚，耐强酸、强碱、耐高温；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★7.1台面按国家标准GB/T 17657-2022标准及其他相关标准进行检测，要求需满足或优于以下性能：静曲强度≥140Mpa；弹性模量≥10450Mpa；抗拉强度≥69Mpa；拉伸强度≥69Mpa；表面耐龟裂性能：5级：表面无裂纹；耐高温性能：表面无裂纹；表面耐耐干热性能：5级：无明显变化；表面耐湿热性能：5级：无明显变化；耐光色牢度＞4级；洛氏硬度：126；耐臭氧（72h）：外观无明显变化；尺寸稳定性：横向和纵向均需一致≤0.03%；漆膜附着力：六级：切割边缘完全平滑，网格内无脱落；漆膜硬度＞9H；表面耐划痕性能：4.5N作用下，试件表面无大于90%的连续划痕；耐沸水性能：质量增加百分率≤0.01%、厚度增加百分率≤0.06%，表面质量等级：5级：无变化，边缘质量等级：5级：无明显变化；抗冲击性能：冲击高度≥1m，压痕直径≤5.1mm；表面耐磨性能≥1120r，未出现磨损；弯曲强度≥140Mpa；弯曲弹性模量≥8330Mpa；表面耐冷热循环：表面无裂纹及鼓泡；（投标时提供带有CMA或CNAS标志的检测报告复印件作为得分依据，否则不得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7.2台面检测依据 GB/T 39600-2021标准，甲醛释放量≤0.005mg/m³，满足技术要求E0级；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7.3台面按照GB/T 17657-2022标准对面板正反两面进行耐污染物检验，其中硫酸（98%）、77%硫酸、硝酸（65%）、乙酸(99%)、氢氟酸（48%）、3%双氧水、无水乙醇、水杨酸、碘伏、亚甲基蓝(5%)、乙腈、无水甲醇、正己烷、三氯乙酸等不少于135种溶液或试剂检验结果达到5级并无明显变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7.4台面依据JC/T 2039-2010标准检测板材抗霉菌性能：黑曲霉、土曲霉、宛氏拟青霉、绳状青霉、出芽短梗霉、球毛壳霉、长枝木霉等7种的霉菌检测长霉等级0级；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7.5台面依据JC/T 2039-2010标准检测板材的抗菌性能：金黄色葡萄球菌、大肠埃希氏菌、白色念珠菌、铜绿假单胞菌、肺炎克雷伯氏菌、鼠伤寒沙门氏菌、甲型溶血性链球群、枯草芽孢杆菌、耐甲氧西林金黄色葡萄球菌、白色葡萄球菌、肠沙门氏菌肠亚种、粪肠球菌、宋氏志贺氏菌、变异库克菌、表皮葡萄球菌等不少于15种的菌种抗菌率≥99.99%。</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448F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D3F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17B7C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880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8A3B3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教师转椅</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D6F81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1、规格：≥500*500*800mm；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2、面料材质：靠背及下座采用高密度网布格，具有高耐磨性和抗撕裂性，符合国家阻燃标准；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3、骨架材质：采用高强度钢管，表面电镀处理；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4、气动升降，支持高度调节；配备静音滑轮，材质为PU或软胶，移动时无噪音且不损伤地面。</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C9CB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FB3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09DA7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411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325E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教师主控台总电源（带低压）</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5D77E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1、操作面板：采用钢化玻璃材质，规格：≥长 418±3mm× 宽 218±3mm× 高≥3mm，搭配抽屉式设计，兼具美观与实用特性，既保证面板的耐用性和视觉效果，又便于日常操作；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2、机身结构：运用钣金加强工艺打造，有效增强机身强度，确保在按压操作过程中稳固可靠，彻底消除塌陷风险，保障设备长期稳定使用；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3、电路保护与控制：配备电气保护器，可对整个教室的学生电源和老师电源进行统一管控；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4、学生端控制功能：支持学生端批量操作控制，配备≥3 个触摸式按钮，分别为 “锁定同步”、“高压电”、“低压电”，方便教师快速对学生端电源进行多种模式的操作与管理；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5、直流稳压输出：具备≥2 组独立的 9V40A 直流稳压输出，与教师电源输出相互独立，互不干扰，满足不同实验设备的用电需求，确保供电稳定；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6、教师电源输出控制：采用液晶智能旋钮控制教师电源输出，设有≥1 组标准香蕉接口用于输出稳压直流电，≥1组标准香蕉接口用于输出稳压交流电，可按需灵活切换交直流输出模式，满足多样化实验教学需求；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7、液晶智能旋钮参数：液晶智能旋钮外尺寸≥49mm，旋钮中心配置 2 个≥3 位 LED 数码管显示屏，可实时显示电压和电流数值；通过旋钮可调节电压输出，并同步查看电流情况，方便教师精准控制电源输出参数；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8、调压电源功率与电流：调压电源总功率≥90W，直流和交流输出在 0 至 18V 区间时，最大电流可达 6A；在 18V 至 30V 区间时，最大电流为 3A，适应不同电压和电流需求的实验设备运行；</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9、直流输出：具备≥1 组直流 0~30V 可调输出，可根据实际需求灵活调节输出电压，满足多样化的实验供电要求；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10、交流输出：配置≥1 组交流 0~30V 可调输出，输出波形为 50Hz 方波，为特定实验场景提供标准的方波交流电，确保实验数据的准确性与稳定性；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11、电压精度：在无负载状态下，输出电压误差≤0.2V，确保电源输出电压的精准度。</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3DBD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973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90E4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BDB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144F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电源材料（地面以上）</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EADFC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1、电线：国标优质铜芯线2.5mm²电线、波纹管、电工胶布等。</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9B61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533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A9D9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1A2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7348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物理室安装调试</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7F09D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1、实验设备安装：合理规划设备摆放位置，确保操作方便；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2、供电系统调试：对供电系统的运行状态进行调试，包括电压与电流测试、漏电保护测试及负载运行测试等。</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C8E6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0AD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bl>
    <w:p w14:paraId="1B3CBF59">
      <w:pPr>
        <w:spacing w:before="0" w:after="0" w:line="240" w:lineRule="auto"/>
        <w:ind w:right="0"/>
        <w:jc w:val="left"/>
        <w:rPr>
          <w:rFonts w:ascii="宋体" w:hAnsi="宋体" w:eastAsia="宋体" w:cs="宋体"/>
          <w:color w:val="auto"/>
          <w:spacing w:val="0"/>
          <w:position w:val="0"/>
          <w:sz w:val="24"/>
          <w:highlight w:val="none"/>
          <w:shd w:val="clear" w:fill="auto"/>
        </w:rPr>
      </w:pPr>
    </w:p>
    <w:p w14:paraId="1CE13DFA">
      <w:pPr>
        <w:spacing w:before="0" w:after="0" w:line="480" w:lineRule="auto"/>
        <w:ind w:left="35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其他</w:t>
      </w:r>
      <w:r>
        <w:rPr>
          <w:rFonts w:ascii="宋体" w:hAnsi="宋体" w:eastAsia="宋体" w:cs="宋体"/>
          <w:color w:val="auto"/>
          <w:spacing w:val="0"/>
          <w:position w:val="0"/>
          <w:sz w:val="24"/>
          <w:highlight w:val="none"/>
          <w:shd w:val="clear" w:fill="auto"/>
        </w:rPr>
        <w:t>要求：</w:t>
      </w:r>
    </w:p>
    <w:p w14:paraId="77C4DD10">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02E59CB5">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2.2售后服务：在接到采购方服务请求后，</w:t>
      </w:r>
      <w:r>
        <w:rPr>
          <w:rFonts w:hint="eastAsia" w:ascii="Times New Roman" w:hAnsi="Times New Roman" w:eastAsia="宋体" w:cs="Times New Roman"/>
          <w:color w:val="auto"/>
          <w:spacing w:val="0"/>
          <w:position w:val="0"/>
          <w:sz w:val="21"/>
          <w:highlight w:val="none"/>
          <w:shd w:val="clear" w:fill="FFFFFF"/>
          <w:lang w:val="en-US" w:eastAsia="zh-CN"/>
        </w:rPr>
        <w:t>1</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1"/>
          <w:highlight w:val="none"/>
          <w:shd w:val="clear" w:fill="FFFFFF"/>
          <w:lang w:val="en-US" w:eastAsia="zh-CN"/>
        </w:rPr>
        <w:t>12</w:t>
      </w:r>
      <w:r>
        <w:rPr>
          <w:rFonts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632EAB25">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301FFE41">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w:t>
      </w:r>
      <w:r>
        <w:rPr>
          <w:rFonts w:hint="eastAsia" w:ascii="宋体" w:hAnsi="宋体" w:eastAsia="宋体" w:cs="宋体"/>
          <w:color w:val="auto"/>
          <w:spacing w:val="0"/>
          <w:position w:val="0"/>
          <w:sz w:val="24"/>
          <w:highlight w:val="none"/>
          <w:shd w:val="clear" w:fill="auto"/>
          <w:lang w:val="en-US" w:eastAsia="zh-CN"/>
        </w:rPr>
        <w:t>合同签订后30日历天内</w:t>
      </w:r>
      <w:r>
        <w:rPr>
          <w:rFonts w:ascii="宋体" w:hAnsi="宋体" w:eastAsia="宋体" w:cs="宋体"/>
          <w:color w:val="auto"/>
          <w:spacing w:val="0"/>
          <w:position w:val="0"/>
          <w:sz w:val="24"/>
          <w:highlight w:val="none"/>
          <w:shd w:val="clear" w:fill="auto"/>
        </w:rPr>
        <w:t>。</w:t>
      </w:r>
    </w:p>
    <w:p w14:paraId="1069D9E1">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验收：由最终用户组织验收。</w:t>
      </w:r>
    </w:p>
    <w:p w14:paraId="1EFE272F">
      <w:pPr>
        <w:spacing w:before="0" w:after="0" w:line="420" w:lineRule="auto"/>
        <w:ind w:left="0" w:right="0" w:firstLine="480"/>
        <w:jc w:val="both"/>
        <w:rPr>
          <w:rFonts w:hint="eastAsia" w:eastAsia="楷体"/>
          <w:highlight w:val="none"/>
          <w:lang w:val="en-US" w:eastAsia="zh-CN"/>
        </w:rPr>
      </w:pPr>
      <w:r>
        <w:rPr>
          <w:rFonts w:hint="eastAsia" w:ascii="宋体" w:hAnsi="宋体" w:eastAsia="宋体" w:cs="宋体"/>
          <w:color w:val="auto"/>
          <w:spacing w:val="0"/>
          <w:position w:val="0"/>
          <w:sz w:val="24"/>
          <w:highlight w:val="none"/>
          <w:shd w:val="clear" w:fill="auto"/>
          <w:lang w:val="en-US" w:eastAsia="zh-CN"/>
        </w:rPr>
        <w:t>2.6供应商对其提供的产品请出具《关于符合本国产品标准的声明函》或财政部会同有关部门规定的有关证明文件。</w:t>
      </w:r>
    </w:p>
    <w:p w14:paraId="675D5AEE">
      <w:pPr>
        <w:pStyle w:val="2"/>
        <w:bidi w:val="0"/>
        <w:rPr>
          <w:highlight w:val="none"/>
        </w:rPr>
      </w:pPr>
      <w:r>
        <w:rPr>
          <w:highlight w:val="none"/>
        </w:rPr>
        <w:t xml:space="preserve">第四章 </w:t>
      </w:r>
      <w:r>
        <w:rPr>
          <w:rFonts w:hint="eastAsia"/>
          <w:highlight w:val="none"/>
          <w:lang w:val="en-US" w:eastAsia="zh-CN"/>
        </w:rPr>
        <w:t xml:space="preserve"> </w:t>
      </w:r>
      <w:r>
        <w:rPr>
          <w:highlight w:val="none"/>
        </w:rPr>
        <w:t xml:space="preserve"> 响应性文件内容及格式</w:t>
      </w:r>
    </w:p>
    <w:p w14:paraId="26818F20">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51E11F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C6ECF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65B468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1A0C182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0F8F9D0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35F2A6D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547BE5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274AB9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F7EF9F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C4DB09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AA9E8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CB1D56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6AEED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D81D66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AF687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7115FF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67AC1C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FF9EAF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9948A7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FDF39B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A52D29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78861A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2CBD91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4BAC7C0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73E117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4C8DF2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w:t>
      </w:r>
    </w:p>
    <w:p w14:paraId="34B2CE0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6726010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36736D4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681B9EC5">
      <w:pPr>
        <w:spacing w:before="0" w:after="0" w:line="360" w:lineRule="auto"/>
        <w:ind w:right="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同志，系我单位法定代表人，任</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职务。</w:t>
      </w:r>
    </w:p>
    <w:p w14:paraId="56FB438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6991E4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40933736">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0"/>
        <w:tblW w:w="0" w:type="auto"/>
        <w:tblInd w:w="0" w:type="dxa"/>
        <w:tblLayout w:type="autofit"/>
        <w:tblCellMar>
          <w:top w:w="0" w:type="dxa"/>
          <w:left w:w="10" w:type="dxa"/>
          <w:bottom w:w="0" w:type="dxa"/>
          <w:right w:w="10" w:type="dxa"/>
        </w:tblCellMar>
      </w:tblPr>
      <w:tblGrid>
        <w:gridCol w:w="5328"/>
      </w:tblGrid>
      <w:tr w14:paraId="7F03EDA4">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38CA34">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6AC2BC2">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BFC7480">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6941FEE4">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1E08799E">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3D9C95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72F849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BEDB055">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64CD23A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84296D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204103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1F0ED3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DA9ADB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618517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77348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F8AC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6370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2C2C72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FDA64E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E0B81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366085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w:t>
      </w:r>
    </w:p>
    <w:p w14:paraId="61EE0874">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6097DC7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74B4D4F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75DB18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（被委托人的姓名、职务）</w:t>
      </w:r>
      <w:r>
        <w:rPr>
          <w:rFonts w:ascii="宋体" w:hAnsi="宋体" w:eastAsia="宋体" w:cs="宋体"/>
          <w:color w:val="auto"/>
          <w:spacing w:val="0"/>
          <w:position w:val="0"/>
          <w:sz w:val="24"/>
          <w:highlight w:val="none"/>
          <w:shd w:val="clear" w:fill="auto"/>
        </w:rPr>
        <w:t>为委托人的委托代理人，就项目编号为</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的项目及合同的执行，以本单位名义处理一切与之有关的事务。</w:t>
      </w:r>
    </w:p>
    <w:p w14:paraId="319D4A2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199D250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E7663A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0005184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4B853AF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3BC409D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0"/>
        <w:tblW w:w="0" w:type="auto"/>
        <w:tblInd w:w="0" w:type="dxa"/>
        <w:tblLayout w:type="autofit"/>
        <w:tblCellMar>
          <w:top w:w="0" w:type="dxa"/>
          <w:left w:w="10" w:type="dxa"/>
          <w:bottom w:w="0" w:type="dxa"/>
          <w:right w:w="10" w:type="dxa"/>
        </w:tblCellMar>
      </w:tblPr>
      <w:tblGrid>
        <w:gridCol w:w="5508"/>
      </w:tblGrid>
      <w:tr w14:paraId="3EFAE783">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1F2E03">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D9B01BB">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430DD2C">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3FA959A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768F99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334928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A2905D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C7D954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670D36F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2E0583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8CF632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5813CB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12FC13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833806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611A8A6">
      <w:pPr>
        <w:pStyle w:val="13"/>
        <w:rPr>
          <w:highlight w:val="none"/>
        </w:rPr>
      </w:pPr>
    </w:p>
    <w:p w14:paraId="692B99A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7C8399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937BFA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2259E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630215D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2863B23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9A14CA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8A3E25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582EB2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768FF4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98C61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460BD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CC82B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E18AB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DE75C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992B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BF5B64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BF696B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7F5BD6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F8E54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2561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88370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AA23D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553165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F1FEAE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4445E2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2EB4E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8022E2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2E13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9E73E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A2DD98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05C3FA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6D0CF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B5D04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13F197B">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4</w:t>
      </w:r>
    </w:p>
    <w:p w14:paraId="10C841F2">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511F2995">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396F427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17E431B">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eastAsia="zh-CN"/>
        </w:rPr>
        <w:t>（</w:t>
      </w:r>
      <w:r>
        <w:rPr>
          <w:rFonts w:hint="eastAsia" w:ascii="宋体" w:hAnsi="宋体" w:eastAsia="宋体" w:cs="宋体"/>
          <w:color w:val="auto"/>
          <w:spacing w:val="0"/>
          <w:position w:val="0"/>
          <w:sz w:val="24"/>
          <w:highlight w:val="none"/>
          <w:u w:val="single"/>
          <w:shd w:val="clear" w:fill="auto"/>
          <w:lang w:val="en-US" w:eastAsia="zh-CN"/>
        </w:rPr>
        <w:t>项目名称</w:t>
      </w:r>
      <w:r>
        <w:rPr>
          <w:rFonts w:hint="eastAsia" w:ascii="宋体" w:hAnsi="宋体" w:eastAsia="宋体" w:cs="宋体"/>
          <w:color w:val="auto"/>
          <w:spacing w:val="0"/>
          <w:position w:val="0"/>
          <w:sz w:val="24"/>
          <w:highlight w:val="none"/>
          <w:u w:val="single"/>
          <w:shd w:val="clear" w:fill="auto"/>
          <w:lang w:eastAsia="zh-CN"/>
        </w:rPr>
        <w:t>）</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的竞争性磋商邀请</w:t>
      </w:r>
      <w:r>
        <w:rPr>
          <w:rFonts w:ascii="宋体" w:hAnsi="宋体" w:eastAsia="宋体" w:cs="宋体"/>
          <w:color w:val="auto"/>
          <w:spacing w:val="0"/>
          <w:position w:val="0"/>
          <w:sz w:val="24"/>
          <w:highlight w:val="none"/>
          <w:u w:val="single"/>
          <w:shd w:val="clear" w:fill="auto"/>
        </w:rPr>
        <w:t>（项目编号：          ）</w:t>
      </w:r>
      <w:r>
        <w:rPr>
          <w:rFonts w:ascii="宋体" w:hAnsi="宋体" w:eastAsia="宋体" w:cs="宋体"/>
          <w:color w:val="auto"/>
          <w:spacing w:val="0"/>
          <w:position w:val="0"/>
          <w:sz w:val="24"/>
          <w:highlight w:val="none"/>
          <w:shd w:val="clear" w:fill="auto"/>
        </w:rPr>
        <w:t>，委托代理人</w:t>
      </w:r>
      <w:r>
        <w:rPr>
          <w:rFonts w:ascii="宋体" w:hAnsi="宋体" w:eastAsia="宋体" w:cs="宋体"/>
          <w:color w:val="auto"/>
          <w:spacing w:val="0"/>
          <w:position w:val="0"/>
          <w:sz w:val="24"/>
          <w:highlight w:val="none"/>
          <w:u w:val="single"/>
          <w:shd w:val="clear" w:fill="auto"/>
        </w:rPr>
        <w:t xml:space="preserve">      (全名、职务)</w:t>
      </w:r>
      <w:r>
        <w:rPr>
          <w:rFonts w:ascii="宋体" w:hAnsi="宋体" w:eastAsia="宋体" w:cs="宋体"/>
          <w:color w:val="auto"/>
          <w:spacing w:val="0"/>
          <w:position w:val="0"/>
          <w:sz w:val="24"/>
          <w:highlight w:val="none"/>
          <w:shd w:val="clear" w:fill="auto"/>
        </w:rPr>
        <w:t>代表</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eastAsia="zh-CN"/>
        </w:rPr>
        <w:t>（</w:t>
      </w:r>
      <w:r>
        <w:rPr>
          <w:rFonts w:ascii="宋体" w:hAnsi="宋体" w:eastAsia="宋体" w:cs="宋体"/>
          <w:color w:val="auto"/>
          <w:spacing w:val="0"/>
          <w:position w:val="0"/>
          <w:sz w:val="24"/>
          <w:highlight w:val="none"/>
          <w:u w:val="single"/>
          <w:shd w:val="clear" w:fill="auto"/>
        </w:rPr>
        <w:t>供应商名称、地址)</w:t>
      </w:r>
      <w:r>
        <w:rPr>
          <w:rFonts w:ascii="宋体" w:hAnsi="宋体" w:eastAsia="宋体" w:cs="宋体"/>
          <w:color w:val="auto"/>
          <w:spacing w:val="0"/>
          <w:position w:val="0"/>
          <w:sz w:val="24"/>
          <w:highlight w:val="none"/>
          <w:shd w:val="clear" w:fill="auto"/>
        </w:rPr>
        <w:t>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404CE28E">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B454A9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r>
        <w:rPr>
          <w:rFonts w:hint="eastAsia" w:ascii="宋体" w:hAnsi="宋体" w:eastAsia="宋体" w:cs="宋体"/>
          <w:color w:val="auto"/>
          <w:spacing w:val="0"/>
          <w:position w:val="0"/>
          <w:sz w:val="24"/>
          <w:highlight w:val="none"/>
          <w:shd w:val="clear" w:fill="auto"/>
          <w:lang w:val="en-US" w:eastAsia="zh-CN"/>
        </w:rPr>
        <w:t>为天内</w:t>
      </w:r>
      <w:r>
        <w:rPr>
          <w:rFonts w:ascii="宋体" w:hAnsi="宋体" w:eastAsia="宋体" w:cs="宋体"/>
          <w:color w:val="auto"/>
          <w:spacing w:val="0"/>
          <w:position w:val="0"/>
          <w:sz w:val="24"/>
          <w:highlight w:val="none"/>
          <w:shd w:val="clear" w:fill="auto"/>
        </w:rPr>
        <w:t>。</w:t>
      </w:r>
    </w:p>
    <w:p w14:paraId="5B0F4FB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614E674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4F3AFA4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7126856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10567D8D">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4603809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54BD79EA">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24DFCBC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554A80A4">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27906ED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6B60FEF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598D4E01">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6CF87B90">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1B43A4B6">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198A62B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A15B34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00F1A4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87DEFB2">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A8F6D2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EF2501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1284EE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CA0057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E98FA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596D6C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06364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5</w:t>
      </w:r>
    </w:p>
    <w:p w14:paraId="08DE2270">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报价一览表</w:t>
      </w:r>
    </w:p>
    <w:tbl>
      <w:tblPr>
        <w:tblStyle w:val="10"/>
        <w:tblW w:w="0" w:type="auto"/>
        <w:jc w:val="center"/>
        <w:tblLayout w:type="autofit"/>
        <w:tblCellMar>
          <w:top w:w="0" w:type="dxa"/>
          <w:left w:w="10" w:type="dxa"/>
          <w:bottom w:w="0" w:type="dxa"/>
          <w:right w:w="10" w:type="dxa"/>
        </w:tblCellMar>
      </w:tblPr>
      <w:tblGrid>
        <w:gridCol w:w="2338"/>
        <w:gridCol w:w="6184"/>
      </w:tblGrid>
      <w:tr w14:paraId="49ADAF4F">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C033A">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C3D84">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066F63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C7434">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32540">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6FB7964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9872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w:t>
            </w:r>
          </w:p>
          <w:p w14:paraId="715280ED">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FDC89">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465B45F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876A1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7CCB1">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689A384F">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3FE9424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671F183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78004CD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61704D4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01E80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A75F4C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E9802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E6D4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771EA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D020F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E1E7C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613AAC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149AA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E6A60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BC802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05C6B2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F5D69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75F0F1">
      <w:pPr>
        <w:pStyle w:val="13"/>
        <w:rPr>
          <w:highlight w:val="none"/>
        </w:rPr>
      </w:pPr>
    </w:p>
    <w:p w14:paraId="4D4944C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4ADDC77">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6</w:t>
      </w:r>
    </w:p>
    <w:p w14:paraId="5FCA9271">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7430431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59367FCD">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供应商名称：</w:t>
      </w:r>
    </w:p>
    <w:p w14:paraId="37706043">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4BD58EDB">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EDB4E6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D8BC22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F41282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2B6A2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8370A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22FBE56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2A5C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AC432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CB080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15035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18424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E1843E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C531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0FF4E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38C5C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49B50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06C3FF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76468D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1210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DCA61F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2B7397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749B1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98D86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586A71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49D2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A47D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E65BB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4382AA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FA9B8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DB2E33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A5BF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87F40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4447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D4932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F26FFE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FA2A09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44676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18105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17F7E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D8A34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482FC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BA8807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E23D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188BD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E91A5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3B7F2A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CFE56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899756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509F2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8F25F5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062D87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AFE43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99E73D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837568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E505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63F8CE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35908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CFAEB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32F3E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87C1A7F">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5AC745">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293C542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190D39D1">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021CD22">
      <w:pPr>
        <w:spacing w:before="0" w:after="0" w:line="24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供应商代表签字：</w:t>
      </w:r>
    </w:p>
    <w:p w14:paraId="3415C4DB">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6283F99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23ED4F3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883576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FFE482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58F4C9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18485D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F9BCA0B">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1569B95">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989BEE5">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6D5D612">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38DB02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A35717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7519DF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4A1E3B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D34220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BDED6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07AD6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5BEFFC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 xml:space="preserve">                     </w:t>
      </w:r>
      <w:r>
        <w:rPr>
          <w:rFonts w:ascii="宋体" w:hAnsi="宋体" w:eastAsia="宋体" w:cs="宋体"/>
          <w:b/>
          <w:color w:val="auto"/>
          <w:spacing w:val="0"/>
          <w:position w:val="0"/>
          <w:sz w:val="24"/>
          <w:highlight w:val="none"/>
          <w:shd w:val="clear" w:fill="auto"/>
        </w:rPr>
        <w:t>技术参数响应表</w:t>
      </w:r>
    </w:p>
    <w:p w14:paraId="12E55AF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2C8367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8B48A17">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52C3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D596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444A9F4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F42F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3AEE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2BA2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CFBD2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70A9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68012C1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C6D5B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FB69D">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8E65F2">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3D364C">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93A23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8067C0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8F44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9B31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F3E5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12EE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B22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628530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CDE4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0276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6D55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5A3D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BF2C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77E0BE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12CAA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ADA5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45D8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FFBF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13B5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B1A918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3CF7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F9D92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DF13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728C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4BC7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DD4230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20BA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29D2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B59C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689AF">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E64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436A15C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CE1109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052CE92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63E402B">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7EBE0C3">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9486898">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371F933">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2383190E">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495EDDE">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0319D7C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7570717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CF17B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AA0D87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FA3691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3D081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E6B48D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918BB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D71CE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171508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44B52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15403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A286CB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910EE6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E4DBDE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8</w:t>
      </w:r>
    </w:p>
    <w:p w14:paraId="4999051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1142002">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620F4C14">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82CAFBD">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26C7E8C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623BCE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336B38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460B9A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EEE5A5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DC3D8F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0B7EECF">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1AC49155">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259EBB2">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12C97252">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296D7F9D">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6E6E5E57">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F3F004C">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72E0A2A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69F6EA0">
      <w:pPr>
        <w:pStyle w:val="17"/>
        <w:rPr>
          <w:rFonts w:ascii="宋体" w:hAnsi="宋体" w:eastAsia="宋体" w:cs="宋体"/>
          <w:b/>
          <w:color w:val="auto"/>
          <w:spacing w:val="0"/>
          <w:position w:val="0"/>
          <w:sz w:val="24"/>
          <w:highlight w:val="none"/>
          <w:shd w:val="clear" w:fill="auto"/>
        </w:rPr>
      </w:pPr>
    </w:p>
    <w:p w14:paraId="2E620538">
      <w:pPr>
        <w:pStyle w:val="3"/>
        <w:rPr>
          <w:rFonts w:ascii="宋体" w:hAnsi="宋体" w:eastAsia="宋体" w:cs="宋体"/>
          <w:b/>
          <w:color w:val="auto"/>
          <w:spacing w:val="0"/>
          <w:position w:val="0"/>
          <w:sz w:val="24"/>
          <w:highlight w:val="none"/>
          <w:shd w:val="clear" w:fill="auto"/>
        </w:rPr>
      </w:pPr>
    </w:p>
    <w:p w14:paraId="7E3455CE">
      <w:pPr>
        <w:rPr>
          <w:rFonts w:ascii="宋体" w:hAnsi="宋体" w:eastAsia="宋体" w:cs="宋体"/>
          <w:b/>
          <w:color w:val="auto"/>
          <w:spacing w:val="0"/>
          <w:position w:val="0"/>
          <w:sz w:val="24"/>
          <w:highlight w:val="none"/>
          <w:shd w:val="clear" w:fill="auto"/>
        </w:rPr>
      </w:pPr>
    </w:p>
    <w:p w14:paraId="5BEA64B2">
      <w:pPr>
        <w:pStyle w:val="17"/>
        <w:rPr>
          <w:rFonts w:ascii="宋体" w:hAnsi="宋体" w:eastAsia="宋体" w:cs="宋体"/>
          <w:b/>
          <w:color w:val="auto"/>
          <w:spacing w:val="0"/>
          <w:position w:val="0"/>
          <w:sz w:val="24"/>
          <w:highlight w:val="none"/>
          <w:shd w:val="clear" w:fill="auto"/>
        </w:rPr>
      </w:pPr>
    </w:p>
    <w:p w14:paraId="118EA706">
      <w:pPr>
        <w:pStyle w:val="3"/>
        <w:rPr>
          <w:rFonts w:ascii="宋体" w:hAnsi="宋体" w:eastAsia="宋体" w:cs="宋体"/>
          <w:b/>
          <w:color w:val="auto"/>
          <w:spacing w:val="0"/>
          <w:position w:val="0"/>
          <w:sz w:val="24"/>
          <w:highlight w:val="none"/>
          <w:shd w:val="clear" w:fill="auto"/>
        </w:rPr>
      </w:pPr>
    </w:p>
    <w:p w14:paraId="7F88558F">
      <w:pPr>
        <w:rPr>
          <w:rFonts w:ascii="宋体" w:hAnsi="宋体" w:eastAsia="宋体" w:cs="宋体"/>
          <w:b/>
          <w:color w:val="auto"/>
          <w:spacing w:val="0"/>
          <w:position w:val="0"/>
          <w:sz w:val="24"/>
          <w:highlight w:val="none"/>
          <w:shd w:val="clear" w:fill="auto"/>
        </w:rPr>
      </w:pPr>
    </w:p>
    <w:p w14:paraId="26DAAF15">
      <w:pPr>
        <w:pStyle w:val="17"/>
        <w:rPr>
          <w:rFonts w:ascii="宋体" w:hAnsi="宋体" w:eastAsia="宋体" w:cs="宋体"/>
          <w:b/>
          <w:color w:val="auto"/>
          <w:spacing w:val="0"/>
          <w:position w:val="0"/>
          <w:sz w:val="24"/>
          <w:highlight w:val="none"/>
          <w:shd w:val="clear" w:fill="auto"/>
        </w:rPr>
      </w:pPr>
    </w:p>
    <w:p w14:paraId="3AE1D50C">
      <w:pPr>
        <w:pStyle w:val="3"/>
        <w:rPr>
          <w:rFonts w:ascii="宋体" w:hAnsi="宋体" w:eastAsia="宋体" w:cs="宋体"/>
          <w:b/>
          <w:color w:val="auto"/>
          <w:spacing w:val="0"/>
          <w:position w:val="0"/>
          <w:sz w:val="24"/>
          <w:highlight w:val="none"/>
          <w:shd w:val="clear" w:fill="auto"/>
        </w:rPr>
      </w:pPr>
    </w:p>
    <w:p w14:paraId="2B4C437C">
      <w:pPr>
        <w:rPr>
          <w:rFonts w:ascii="宋体" w:hAnsi="宋体" w:eastAsia="宋体" w:cs="宋体"/>
          <w:b/>
          <w:color w:val="auto"/>
          <w:spacing w:val="0"/>
          <w:position w:val="0"/>
          <w:sz w:val="24"/>
          <w:highlight w:val="none"/>
          <w:shd w:val="clear" w:fill="auto"/>
        </w:rPr>
      </w:pPr>
    </w:p>
    <w:p w14:paraId="13B20A48">
      <w:pPr>
        <w:pStyle w:val="17"/>
        <w:rPr>
          <w:rFonts w:ascii="宋体" w:hAnsi="宋体" w:eastAsia="宋体" w:cs="宋体"/>
          <w:b/>
          <w:color w:val="auto"/>
          <w:spacing w:val="0"/>
          <w:position w:val="0"/>
          <w:sz w:val="24"/>
          <w:highlight w:val="none"/>
          <w:shd w:val="clear" w:fill="auto"/>
        </w:rPr>
      </w:pPr>
    </w:p>
    <w:p w14:paraId="5F3CB3F9">
      <w:pPr>
        <w:pStyle w:val="3"/>
        <w:rPr>
          <w:rFonts w:ascii="宋体" w:hAnsi="宋体" w:eastAsia="宋体" w:cs="宋体"/>
          <w:b/>
          <w:color w:val="auto"/>
          <w:spacing w:val="0"/>
          <w:position w:val="0"/>
          <w:sz w:val="24"/>
          <w:highlight w:val="none"/>
          <w:shd w:val="clear" w:fill="auto"/>
        </w:rPr>
      </w:pPr>
    </w:p>
    <w:p w14:paraId="07AC3B36">
      <w:pPr>
        <w:rPr>
          <w:rFonts w:ascii="宋体" w:hAnsi="宋体" w:eastAsia="宋体" w:cs="宋体"/>
          <w:b/>
          <w:color w:val="auto"/>
          <w:spacing w:val="0"/>
          <w:position w:val="0"/>
          <w:sz w:val="24"/>
          <w:highlight w:val="none"/>
          <w:shd w:val="clear" w:fill="auto"/>
        </w:rPr>
      </w:pPr>
    </w:p>
    <w:p w14:paraId="3C550D3D">
      <w:pPr>
        <w:pStyle w:val="17"/>
        <w:rPr>
          <w:rFonts w:ascii="宋体" w:hAnsi="宋体" w:eastAsia="宋体" w:cs="宋体"/>
          <w:b/>
          <w:color w:val="auto"/>
          <w:spacing w:val="0"/>
          <w:position w:val="0"/>
          <w:sz w:val="24"/>
          <w:highlight w:val="none"/>
          <w:shd w:val="clear" w:fill="auto"/>
        </w:rPr>
      </w:pPr>
    </w:p>
    <w:p w14:paraId="6E6B0CCE">
      <w:pPr>
        <w:pStyle w:val="3"/>
        <w:rPr>
          <w:rFonts w:ascii="宋体" w:hAnsi="宋体" w:eastAsia="宋体" w:cs="宋体"/>
          <w:b/>
          <w:color w:val="auto"/>
          <w:spacing w:val="0"/>
          <w:position w:val="0"/>
          <w:sz w:val="24"/>
          <w:highlight w:val="none"/>
          <w:shd w:val="clear" w:fill="auto"/>
        </w:rPr>
      </w:pPr>
    </w:p>
    <w:p w14:paraId="56552CD0">
      <w:pPr>
        <w:rPr>
          <w:rFonts w:ascii="宋体" w:hAnsi="宋体" w:eastAsia="宋体" w:cs="宋体"/>
          <w:b/>
          <w:color w:val="auto"/>
          <w:spacing w:val="0"/>
          <w:position w:val="0"/>
          <w:sz w:val="24"/>
          <w:highlight w:val="none"/>
          <w:shd w:val="clear" w:fill="auto"/>
        </w:rPr>
      </w:pPr>
    </w:p>
    <w:p w14:paraId="365A6DC8">
      <w:pPr>
        <w:pStyle w:val="17"/>
        <w:rPr>
          <w:rFonts w:ascii="宋体" w:hAnsi="宋体" w:eastAsia="宋体" w:cs="宋体"/>
          <w:b/>
          <w:color w:val="auto"/>
          <w:spacing w:val="0"/>
          <w:position w:val="0"/>
          <w:sz w:val="24"/>
          <w:highlight w:val="none"/>
          <w:shd w:val="clear" w:fill="auto"/>
        </w:rPr>
      </w:pPr>
    </w:p>
    <w:p w14:paraId="6B45B9BC">
      <w:pPr>
        <w:pStyle w:val="3"/>
        <w:rPr>
          <w:rFonts w:ascii="宋体" w:hAnsi="宋体" w:eastAsia="宋体" w:cs="宋体"/>
          <w:b/>
          <w:color w:val="auto"/>
          <w:spacing w:val="0"/>
          <w:position w:val="0"/>
          <w:sz w:val="24"/>
          <w:highlight w:val="none"/>
          <w:shd w:val="clear" w:fill="auto"/>
        </w:rPr>
      </w:pPr>
    </w:p>
    <w:p w14:paraId="57EDED05">
      <w:pPr>
        <w:rPr>
          <w:highlight w:val="none"/>
        </w:rPr>
      </w:pPr>
    </w:p>
    <w:p w14:paraId="75909DF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9</w:t>
      </w:r>
    </w:p>
    <w:p w14:paraId="5C5C07E7">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0A35EC9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AFC6C3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1326DA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7DB7C4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21DD56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ECF974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C13D10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F32235">
      <w:pPr>
        <w:pStyle w:val="17"/>
        <w:rPr>
          <w:highlight w:val="none"/>
        </w:rPr>
      </w:pPr>
    </w:p>
    <w:p w14:paraId="6BF676E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1CA5FD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8A55B5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DBA4DC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4AFC33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FCEF8B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323FA7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6E90B74">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90408DF">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4833699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A1B3B5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0D172C2">
      <w:pPr>
        <w:pStyle w:val="17"/>
        <w:rPr>
          <w:rFonts w:ascii="宋体" w:hAnsi="宋体" w:eastAsia="宋体" w:cs="宋体"/>
          <w:b/>
          <w:color w:val="auto"/>
          <w:spacing w:val="0"/>
          <w:position w:val="0"/>
          <w:sz w:val="24"/>
          <w:highlight w:val="none"/>
          <w:shd w:val="clear" w:fill="auto"/>
        </w:rPr>
      </w:pPr>
    </w:p>
    <w:p w14:paraId="435B4860">
      <w:pPr>
        <w:pStyle w:val="3"/>
        <w:rPr>
          <w:rFonts w:ascii="宋体" w:hAnsi="宋体" w:eastAsia="宋体" w:cs="宋体"/>
          <w:b/>
          <w:color w:val="auto"/>
          <w:spacing w:val="0"/>
          <w:position w:val="0"/>
          <w:sz w:val="24"/>
          <w:highlight w:val="none"/>
          <w:shd w:val="clear" w:fill="auto"/>
        </w:rPr>
      </w:pPr>
    </w:p>
    <w:p w14:paraId="065DA4E7">
      <w:pPr>
        <w:rPr>
          <w:rFonts w:ascii="宋体" w:hAnsi="宋体" w:eastAsia="宋体" w:cs="宋体"/>
          <w:b/>
          <w:color w:val="auto"/>
          <w:spacing w:val="0"/>
          <w:position w:val="0"/>
          <w:sz w:val="24"/>
          <w:highlight w:val="none"/>
          <w:shd w:val="clear" w:fill="auto"/>
        </w:rPr>
      </w:pPr>
    </w:p>
    <w:p w14:paraId="3BB471D8">
      <w:pPr>
        <w:pStyle w:val="17"/>
        <w:rPr>
          <w:rFonts w:ascii="宋体" w:hAnsi="宋体" w:eastAsia="宋体" w:cs="宋体"/>
          <w:b/>
          <w:color w:val="auto"/>
          <w:spacing w:val="0"/>
          <w:position w:val="0"/>
          <w:sz w:val="24"/>
          <w:highlight w:val="none"/>
          <w:shd w:val="clear" w:fill="auto"/>
        </w:rPr>
      </w:pPr>
    </w:p>
    <w:p w14:paraId="394B88EE">
      <w:pPr>
        <w:pStyle w:val="3"/>
        <w:rPr>
          <w:rFonts w:ascii="宋体" w:hAnsi="宋体" w:eastAsia="宋体" w:cs="宋体"/>
          <w:b/>
          <w:color w:val="auto"/>
          <w:spacing w:val="0"/>
          <w:position w:val="0"/>
          <w:sz w:val="24"/>
          <w:highlight w:val="none"/>
          <w:shd w:val="clear" w:fill="auto"/>
        </w:rPr>
      </w:pPr>
    </w:p>
    <w:p w14:paraId="7770AC54">
      <w:pPr>
        <w:rPr>
          <w:rFonts w:ascii="宋体" w:hAnsi="宋体" w:eastAsia="宋体" w:cs="宋体"/>
          <w:b/>
          <w:color w:val="auto"/>
          <w:spacing w:val="0"/>
          <w:position w:val="0"/>
          <w:sz w:val="24"/>
          <w:highlight w:val="none"/>
          <w:shd w:val="clear" w:fill="auto"/>
        </w:rPr>
      </w:pPr>
    </w:p>
    <w:p w14:paraId="54EB8322">
      <w:pPr>
        <w:pStyle w:val="17"/>
        <w:rPr>
          <w:rFonts w:ascii="宋体" w:hAnsi="宋体" w:eastAsia="宋体" w:cs="宋体"/>
          <w:b/>
          <w:color w:val="auto"/>
          <w:spacing w:val="0"/>
          <w:position w:val="0"/>
          <w:sz w:val="24"/>
          <w:highlight w:val="none"/>
          <w:shd w:val="clear" w:fill="auto"/>
        </w:rPr>
      </w:pPr>
    </w:p>
    <w:p w14:paraId="302600C0">
      <w:pPr>
        <w:pStyle w:val="3"/>
        <w:rPr>
          <w:rFonts w:ascii="宋体" w:hAnsi="宋体" w:eastAsia="宋体" w:cs="宋体"/>
          <w:b/>
          <w:color w:val="auto"/>
          <w:spacing w:val="0"/>
          <w:position w:val="0"/>
          <w:sz w:val="24"/>
          <w:highlight w:val="none"/>
          <w:shd w:val="clear" w:fill="auto"/>
        </w:rPr>
      </w:pPr>
    </w:p>
    <w:p w14:paraId="65D41D01">
      <w:pPr>
        <w:rPr>
          <w:rFonts w:ascii="宋体" w:hAnsi="宋体" w:eastAsia="宋体" w:cs="宋体"/>
          <w:b/>
          <w:color w:val="auto"/>
          <w:spacing w:val="0"/>
          <w:position w:val="0"/>
          <w:sz w:val="24"/>
          <w:highlight w:val="none"/>
          <w:shd w:val="clear" w:fill="auto"/>
        </w:rPr>
      </w:pPr>
    </w:p>
    <w:p w14:paraId="50EE6114">
      <w:pPr>
        <w:pStyle w:val="17"/>
        <w:rPr>
          <w:rFonts w:ascii="宋体" w:hAnsi="宋体" w:eastAsia="宋体" w:cs="宋体"/>
          <w:b/>
          <w:color w:val="auto"/>
          <w:spacing w:val="0"/>
          <w:position w:val="0"/>
          <w:sz w:val="24"/>
          <w:highlight w:val="none"/>
          <w:shd w:val="clear" w:fill="auto"/>
        </w:rPr>
      </w:pPr>
    </w:p>
    <w:p w14:paraId="2218730E">
      <w:pPr>
        <w:pStyle w:val="3"/>
        <w:rPr>
          <w:rFonts w:ascii="宋体" w:hAnsi="宋体" w:eastAsia="宋体" w:cs="宋体"/>
          <w:b/>
          <w:color w:val="auto"/>
          <w:spacing w:val="0"/>
          <w:position w:val="0"/>
          <w:sz w:val="24"/>
          <w:highlight w:val="none"/>
          <w:shd w:val="clear" w:fill="auto"/>
        </w:rPr>
      </w:pPr>
    </w:p>
    <w:p w14:paraId="4F00A0CC">
      <w:pPr>
        <w:rPr>
          <w:highlight w:val="none"/>
        </w:rPr>
      </w:pPr>
    </w:p>
    <w:p w14:paraId="162460B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7BD06A3">
      <w:pPr>
        <w:spacing w:before="0" w:after="0" w:line="360" w:lineRule="auto"/>
        <w:ind w:left="0" w:right="0" w:firstLine="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p>
    <w:p w14:paraId="43791ED2">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5822874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6DC9FF7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7415F3C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1E0932C0">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5228B10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0B81F80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0835AD8B">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AB04797">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6EC4DB1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4E99609">
      <w:pPr>
        <w:rPr>
          <w:rFonts w:hint="eastAsia"/>
          <w:highlight w:val="none"/>
        </w:rPr>
      </w:pPr>
    </w:p>
    <w:p w14:paraId="1689FF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94CDD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1B4F321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475F2B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23B0438">
      <w:pPr>
        <w:pStyle w:val="17"/>
        <w:rPr>
          <w:rFonts w:ascii="宋体" w:hAnsi="宋体" w:eastAsia="宋体" w:cs="宋体"/>
          <w:color w:val="auto"/>
          <w:spacing w:val="0"/>
          <w:position w:val="0"/>
          <w:sz w:val="24"/>
          <w:highlight w:val="none"/>
          <w:shd w:val="clear" w:fill="auto"/>
        </w:rPr>
      </w:pPr>
    </w:p>
    <w:p w14:paraId="73FEB1F0">
      <w:pPr>
        <w:pStyle w:val="3"/>
        <w:rPr>
          <w:rFonts w:ascii="宋体" w:hAnsi="宋体" w:eastAsia="宋体" w:cs="宋体"/>
          <w:color w:val="auto"/>
          <w:spacing w:val="0"/>
          <w:position w:val="0"/>
          <w:sz w:val="24"/>
          <w:highlight w:val="none"/>
          <w:shd w:val="clear" w:fill="auto"/>
        </w:rPr>
      </w:pPr>
    </w:p>
    <w:p w14:paraId="71055C99">
      <w:pPr>
        <w:rPr>
          <w:rFonts w:ascii="宋体" w:hAnsi="宋体" w:eastAsia="宋体" w:cs="宋体"/>
          <w:color w:val="auto"/>
          <w:spacing w:val="0"/>
          <w:position w:val="0"/>
          <w:sz w:val="24"/>
          <w:highlight w:val="none"/>
          <w:shd w:val="clear" w:fill="auto"/>
        </w:rPr>
      </w:pPr>
    </w:p>
    <w:p w14:paraId="00467128">
      <w:pPr>
        <w:pStyle w:val="17"/>
        <w:rPr>
          <w:rFonts w:ascii="宋体" w:hAnsi="宋体" w:eastAsia="宋体" w:cs="宋体"/>
          <w:color w:val="auto"/>
          <w:spacing w:val="0"/>
          <w:position w:val="0"/>
          <w:sz w:val="24"/>
          <w:highlight w:val="none"/>
          <w:shd w:val="clear" w:fill="auto"/>
        </w:rPr>
      </w:pPr>
    </w:p>
    <w:p w14:paraId="27B912B9">
      <w:pPr>
        <w:pStyle w:val="3"/>
        <w:rPr>
          <w:rFonts w:ascii="宋体" w:hAnsi="宋体" w:eastAsia="宋体" w:cs="宋体"/>
          <w:color w:val="auto"/>
          <w:spacing w:val="0"/>
          <w:position w:val="0"/>
          <w:sz w:val="24"/>
          <w:highlight w:val="none"/>
          <w:shd w:val="clear" w:fill="auto"/>
        </w:rPr>
      </w:pPr>
    </w:p>
    <w:p w14:paraId="654D8552">
      <w:pPr>
        <w:rPr>
          <w:rFonts w:ascii="宋体" w:hAnsi="宋体" w:eastAsia="宋体" w:cs="宋体"/>
          <w:color w:val="auto"/>
          <w:spacing w:val="0"/>
          <w:position w:val="0"/>
          <w:sz w:val="24"/>
          <w:highlight w:val="none"/>
          <w:shd w:val="clear" w:fill="auto"/>
        </w:rPr>
      </w:pPr>
    </w:p>
    <w:p w14:paraId="63A5BD5B">
      <w:pPr>
        <w:pStyle w:val="13"/>
        <w:rPr>
          <w:rFonts w:ascii="宋体" w:hAnsi="宋体" w:eastAsia="宋体" w:cs="宋体"/>
          <w:color w:val="auto"/>
          <w:spacing w:val="0"/>
          <w:position w:val="0"/>
          <w:sz w:val="24"/>
          <w:highlight w:val="none"/>
          <w:shd w:val="clear" w:fill="auto"/>
        </w:rPr>
      </w:pPr>
    </w:p>
    <w:p w14:paraId="69FFDD36">
      <w:pPr>
        <w:pStyle w:val="13"/>
        <w:rPr>
          <w:rFonts w:ascii="宋体" w:hAnsi="宋体" w:eastAsia="宋体" w:cs="宋体"/>
          <w:color w:val="auto"/>
          <w:spacing w:val="0"/>
          <w:position w:val="0"/>
          <w:sz w:val="24"/>
          <w:highlight w:val="none"/>
          <w:shd w:val="clear" w:fill="auto"/>
        </w:rPr>
      </w:pPr>
    </w:p>
    <w:p w14:paraId="5B387D7C">
      <w:pPr>
        <w:pStyle w:val="13"/>
        <w:rPr>
          <w:rFonts w:ascii="宋体" w:hAnsi="宋体" w:eastAsia="宋体" w:cs="宋体"/>
          <w:color w:val="auto"/>
          <w:spacing w:val="0"/>
          <w:position w:val="0"/>
          <w:sz w:val="24"/>
          <w:highlight w:val="none"/>
          <w:shd w:val="clear" w:fill="auto"/>
        </w:rPr>
      </w:pPr>
    </w:p>
    <w:p w14:paraId="510CC146">
      <w:pPr>
        <w:pStyle w:val="13"/>
        <w:rPr>
          <w:rFonts w:ascii="宋体" w:hAnsi="宋体" w:eastAsia="宋体" w:cs="宋体"/>
          <w:color w:val="auto"/>
          <w:spacing w:val="0"/>
          <w:position w:val="0"/>
          <w:sz w:val="24"/>
          <w:highlight w:val="none"/>
          <w:shd w:val="clear" w:fill="auto"/>
        </w:rPr>
      </w:pPr>
    </w:p>
    <w:p w14:paraId="485006DD">
      <w:pPr>
        <w:pStyle w:val="13"/>
        <w:rPr>
          <w:rFonts w:ascii="宋体" w:hAnsi="宋体" w:eastAsia="宋体" w:cs="宋体"/>
          <w:color w:val="auto"/>
          <w:spacing w:val="0"/>
          <w:position w:val="0"/>
          <w:sz w:val="24"/>
          <w:highlight w:val="none"/>
          <w:shd w:val="clear" w:fill="auto"/>
        </w:rPr>
      </w:pPr>
    </w:p>
    <w:p w14:paraId="58FC3770">
      <w:pPr>
        <w:pStyle w:val="13"/>
        <w:rPr>
          <w:rFonts w:ascii="宋体" w:hAnsi="宋体" w:eastAsia="宋体" w:cs="宋体"/>
          <w:color w:val="auto"/>
          <w:spacing w:val="0"/>
          <w:position w:val="0"/>
          <w:sz w:val="24"/>
          <w:highlight w:val="none"/>
          <w:shd w:val="clear" w:fill="auto"/>
        </w:rPr>
      </w:pPr>
    </w:p>
    <w:p w14:paraId="0B181509">
      <w:pPr>
        <w:pStyle w:val="13"/>
        <w:rPr>
          <w:rFonts w:ascii="宋体" w:hAnsi="宋体" w:eastAsia="宋体" w:cs="宋体"/>
          <w:color w:val="auto"/>
          <w:spacing w:val="0"/>
          <w:position w:val="0"/>
          <w:sz w:val="24"/>
          <w:highlight w:val="none"/>
          <w:shd w:val="clear" w:fill="auto"/>
        </w:rPr>
      </w:pPr>
    </w:p>
    <w:p w14:paraId="42FB2086">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11</w:t>
      </w:r>
      <w:r>
        <w:rPr>
          <w:rFonts w:ascii="宋体" w:hAnsi="宋体" w:eastAsia="宋体" w:cs="宋体"/>
          <w:color w:val="auto"/>
          <w:spacing w:val="0"/>
          <w:position w:val="0"/>
          <w:sz w:val="24"/>
          <w:highlight w:val="none"/>
          <w:shd w:val="clear" w:fill="auto"/>
        </w:rPr>
        <w:t xml:space="preserve">  其他资料</w:t>
      </w:r>
    </w:p>
    <w:p w14:paraId="394D791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50286BD">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EA9EA84">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F669CFF">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58D4C6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CB1871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2D9BD2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15AF3B0">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246AF9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BD291B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ABEE76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05359B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F190C8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B54A32D">
      <w:pPr>
        <w:pStyle w:val="17"/>
        <w:rPr>
          <w:rFonts w:ascii="宋体" w:hAnsi="宋体" w:eastAsia="宋体" w:cs="宋体"/>
          <w:color w:val="auto"/>
          <w:spacing w:val="0"/>
          <w:position w:val="0"/>
          <w:sz w:val="24"/>
          <w:highlight w:val="none"/>
          <w:shd w:val="clear" w:fill="auto"/>
        </w:rPr>
      </w:pPr>
    </w:p>
    <w:p w14:paraId="5CDE0996">
      <w:pPr>
        <w:pStyle w:val="3"/>
        <w:rPr>
          <w:rFonts w:ascii="宋体" w:hAnsi="宋体" w:eastAsia="宋体" w:cs="宋体"/>
          <w:color w:val="auto"/>
          <w:spacing w:val="0"/>
          <w:position w:val="0"/>
          <w:sz w:val="24"/>
          <w:highlight w:val="none"/>
          <w:shd w:val="clear" w:fill="auto"/>
        </w:rPr>
      </w:pPr>
    </w:p>
    <w:p w14:paraId="5B46FAF2">
      <w:pPr>
        <w:rPr>
          <w:rFonts w:ascii="宋体" w:hAnsi="宋体" w:eastAsia="宋体" w:cs="宋体"/>
          <w:color w:val="auto"/>
          <w:spacing w:val="0"/>
          <w:position w:val="0"/>
          <w:sz w:val="24"/>
          <w:highlight w:val="none"/>
          <w:shd w:val="clear" w:fill="auto"/>
        </w:rPr>
      </w:pPr>
    </w:p>
    <w:p w14:paraId="55E13659">
      <w:pPr>
        <w:pStyle w:val="17"/>
        <w:rPr>
          <w:rFonts w:ascii="宋体" w:hAnsi="宋体" w:eastAsia="宋体" w:cs="宋体"/>
          <w:color w:val="auto"/>
          <w:spacing w:val="0"/>
          <w:position w:val="0"/>
          <w:sz w:val="24"/>
          <w:highlight w:val="none"/>
          <w:shd w:val="clear" w:fill="auto"/>
        </w:rPr>
      </w:pPr>
    </w:p>
    <w:p w14:paraId="5D729F02">
      <w:pPr>
        <w:pStyle w:val="3"/>
        <w:rPr>
          <w:rFonts w:ascii="宋体" w:hAnsi="宋体" w:eastAsia="宋体" w:cs="宋体"/>
          <w:color w:val="auto"/>
          <w:spacing w:val="0"/>
          <w:position w:val="0"/>
          <w:sz w:val="24"/>
          <w:highlight w:val="none"/>
          <w:shd w:val="clear" w:fill="auto"/>
        </w:rPr>
      </w:pPr>
    </w:p>
    <w:p w14:paraId="67687DF6">
      <w:pPr>
        <w:rPr>
          <w:rFonts w:ascii="宋体" w:hAnsi="宋体" w:eastAsia="宋体" w:cs="宋体"/>
          <w:color w:val="auto"/>
          <w:spacing w:val="0"/>
          <w:position w:val="0"/>
          <w:sz w:val="24"/>
          <w:highlight w:val="none"/>
          <w:shd w:val="clear" w:fill="auto"/>
        </w:rPr>
      </w:pPr>
    </w:p>
    <w:p w14:paraId="7BC35A84">
      <w:pPr>
        <w:pStyle w:val="17"/>
        <w:rPr>
          <w:rFonts w:ascii="宋体" w:hAnsi="宋体" w:eastAsia="宋体" w:cs="宋体"/>
          <w:color w:val="auto"/>
          <w:spacing w:val="0"/>
          <w:position w:val="0"/>
          <w:sz w:val="24"/>
          <w:highlight w:val="none"/>
          <w:shd w:val="clear" w:fill="auto"/>
        </w:rPr>
      </w:pPr>
    </w:p>
    <w:p w14:paraId="737CF526">
      <w:pPr>
        <w:pStyle w:val="3"/>
        <w:rPr>
          <w:rFonts w:ascii="宋体" w:hAnsi="宋体" w:eastAsia="宋体" w:cs="宋体"/>
          <w:color w:val="auto"/>
          <w:spacing w:val="0"/>
          <w:position w:val="0"/>
          <w:sz w:val="24"/>
          <w:highlight w:val="none"/>
          <w:shd w:val="clear" w:fill="auto"/>
        </w:rPr>
      </w:pPr>
    </w:p>
    <w:p w14:paraId="62970B94">
      <w:pPr>
        <w:rPr>
          <w:rFonts w:ascii="宋体" w:hAnsi="宋体" w:eastAsia="宋体" w:cs="宋体"/>
          <w:color w:val="auto"/>
          <w:spacing w:val="0"/>
          <w:position w:val="0"/>
          <w:sz w:val="24"/>
          <w:highlight w:val="none"/>
          <w:shd w:val="clear" w:fill="auto"/>
        </w:rPr>
      </w:pPr>
    </w:p>
    <w:p w14:paraId="40629803">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59E86E0A">
      <w:pPr>
        <w:pStyle w:val="13"/>
        <w:rPr>
          <w:rFonts w:hint="eastAsia" w:ascii="宋体" w:hAnsi="宋体" w:eastAsia="宋体" w:cs="宋体"/>
          <w:color w:val="auto"/>
          <w:spacing w:val="0"/>
          <w:position w:val="0"/>
          <w:sz w:val="24"/>
          <w:highlight w:val="none"/>
          <w:shd w:val="clear" w:fill="auto"/>
          <w:lang w:eastAsia="zh-CN"/>
        </w:rPr>
      </w:pPr>
    </w:p>
    <w:p w14:paraId="4B109688">
      <w:pPr>
        <w:pStyle w:val="13"/>
        <w:rPr>
          <w:rFonts w:hint="eastAsia" w:ascii="宋体" w:hAnsi="宋体" w:eastAsia="宋体" w:cs="宋体"/>
          <w:color w:val="auto"/>
          <w:spacing w:val="0"/>
          <w:position w:val="0"/>
          <w:sz w:val="24"/>
          <w:highlight w:val="none"/>
          <w:shd w:val="clear" w:fill="auto"/>
          <w:lang w:eastAsia="zh-CN"/>
        </w:rPr>
      </w:pPr>
    </w:p>
    <w:p w14:paraId="06926CB7">
      <w:pPr>
        <w:pStyle w:val="13"/>
        <w:rPr>
          <w:rFonts w:hint="eastAsia" w:ascii="宋体" w:hAnsi="宋体" w:eastAsia="宋体" w:cs="宋体"/>
          <w:color w:val="auto"/>
          <w:spacing w:val="0"/>
          <w:position w:val="0"/>
          <w:sz w:val="24"/>
          <w:highlight w:val="none"/>
          <w:shd w:val="clear" w:fill="auto"/>
          <w:lang w:eastAsia="zh-CN"/>
        </w:rPr>
      </w:pPr>
    </w:p>
    <w:p w14:paraId="24A10DF8">
      <w:pPr>
        <w:pStyle w:val="17"/>
        <w:rPr>
          <w:rFonts w:ascii="宋体" w:hAnsi="宋体" w:eastAsia="宋体" w:cs="宋体"/>
          <w:color w:val="auto"/>
          <w:spacing w:val="0"/>
          <w:position w:val="0"/>
          <w:sz w:val="24"/>
          <w:highlight w:val="none"/>
          <w:shd w:val="clear" w:fill="auto"/>
        </w:rPr>
      </w:pPr>
    </w:p>
    <w:p w14:paraId="54479C21">
      <w:pPr>
        <w:pStyle w:val="3"/>
        <w:rPr>
          <w:rFonts w:ascii="宋体" w:hAnsi="宋体" w:eastAsia="宋体" w:cs="宋体"/>
          <w:color w:val="auto"/>
          <w:spacing w:val="0"/>
          <w:position w:val="0"/>
          <w:sz w:val="24"/>
          <w:highlight w:val="none"/>
          <w:shd w:val="clear" w:fill="auto"/>
        </w:rPr>
      </w:pPr>
    </w:p>
    <w:p w14:paraId="6467855F">
      <w:pPr>
        <w:rPr>
          <w:rFonts w:ascii="宋体" w:hAnsi="宋体" w:eastAsia="宋体" w:cs="宋体"/>
          <w:color w:val="auto"/>
          <w:spacing w:val="0"/>
          <w:position w:val="0"/>
          <w:sz w:val="24"/>
          <w:highlight w:val="none"/>
          <w:shd w:val="clear" w:fill="auto"/>
        </w:rPr>
      </w:pPr>
    </w:p>
    <w:p w14:paraId="68FA7FA9">
      <w:pPr>
        <w:pStyle w:val="17"/>
        <w:rPr>
          <w:highlight w:val="none"/>
        </w:rPr>
      </w:pPr>
    </w:p>
    <w:p w14:paraId="63DB0CB0">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8F32675">
      <w:pPr>
        <w:spacing w:before="0" w:after="0" w:line="360" w:lineRule="auto"/>
        <w:ind w:left="0" w:right="0" w:firstLine="0"/>
        <w:jc w:val="both"/>
        <w:rPr>
          <w:rFonts w:hint="default" w:ascii="宋体" w:hAnsi="宋体" w:eastAsia="宋体" w:cs="宋体"/>
          <w:b/>
          <w:color w:val="auto"/>
          <w:spacing w:val="0"/>
          <w:position w:val="0"/>
          <w:sz w:val="21"/>
          <w:szCs w:val="21"/>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t>格式</w:t>
      </w:r>
      <w:r>
        <w:rPr>
          <w:rFonts w:hint="eastAsia" w:ascii="宋体" w:hAnsi="宋体" w:eastAsia="宋体" w:cs="宋体"/>
          <w:color w:val="auto"/>
          <w:spacing w:val="0"/>
          <w:position w:val="0"/>
          <w:sz w:val="21"/>
          <w:szCs w:val="21"/>
          <w:highlight w:val="none"/>
          <w:shd w:val="clear" w:fill="auto"/>
          <w:lang w:val="en-US" w:eastAsia="zh-CN"/>
        </w:rPr>
        <w:t>12</w:t>
      </w:r>
    </w:p>
    <w:p w14:paraId="6AA3558F">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0DCC272D">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E9CB1E3">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854F7A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7BD8763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7E3C52E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6499373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7D3599F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7B53FA2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4165E26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2402006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758D959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3955F69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6EE42DB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6D82A5B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5053B88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6B94280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79562A0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5AFC3EF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0E188DA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34F0CC7D">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6F0F3FBB">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4A605898">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1F37B200">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25BB4760">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098B3ACC">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1D788968">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38866B8E">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5798A7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724307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86B674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BE007D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6B5ED79">
      <w:pPr>
        <w:pStyle w:val="17"/>
        <w:rPr>
          <w:rFonts w:hint="eastAsia" w:ascii="宋体" w:hAnsi="宋体" w:eastAsia="宋体" w:cs="宋体"/>
          <w:b/>
          <w:color w:val="auto"/>
          <w:spacing w:val="0"/>
          <w:position w:val="0"/>
          <w:sz w:val="21"/>
          <w:szCs w:val="21"/>
          <w:highlight w:val="none"/>
          <w:shd w:val="clear" w:fill="auto"/>
        </w:rPr>
      </w:pPr>
    </w:p>
    <w:p w14:paraId="2ECE8064">
      <w:pPr>
        <w:pStyle w:val="3"/>
        <w:rPr>
          <w:rFonts w:hint="eastAsia" w:ascii="宋体" w:hAnsi="宋体" w:eastAsia="宋体" w:cs="宋体"/>
          <w:b/>
          <w:color w:val="auto"/>
          <w:spacing w:val="0"/>
          <w:position w:val="0"/>
          <w:sz w:val="21"/>
          <w:szCs w:val="21"/>
          <w:highlight w:val="none"/>
          <w:shd w:val="clear" w:fill="auto"/>
        </w:rPr>
      </w:pPr>
    </w:p>
    <w:p w14:paraId="09343D38">
      <w:pPr>
        <w:rPr>
          <w:rFonts w:hint="eastAsia" w:ascii="宋体" w:hAnsi="宋体" w:eastAsia="宋体" w:cs="宋体"/>
          <w:b/>
          <w:color w:val="auto"/>
          <w:spacing w:val="0"/>
          <w:position w:val="0"/>
          <w:sz w:val="21"/>
          <w:szCs w:val="21"/>
          <w:highlight w:val="none"/>
          <w:shd w:val="clear" w:fill="auto"/>
        </w:rPr>
      </w:pPr>
    </w:p>
    <w:p w14:paraId="32F5244B">
      <w:pPr>
        <w:pStyle w:val="17"/>
        <w:rPr>
          <w:rFonts w:hint="eastAsia" w:ascii="宋体" w:hAnsi="宋体" w:eastAsia="宋体" w:cs="宋体"/>
          <w:b/>
          <w:color w:val="auto"/>
          <w:spacing w:val="0"/>
          <w:position w:val="0"/>
          <w:sz w:val="21"/>
          <w:szCs w:val="21"/>
          <w:highlight w:val="none"/>
          <w:shd w:val="clear" w:fill="auto"/>
        </w:rPr>
      </w:pPr>
    </w:p>
    <w:p w14:paraId="7AA64312">
      <w:pPr>
        <w:pStyle w:val="3"/>
        <w:rPr>
          <w:rFonts w:hint="eastAsia" w:ascii="宋体" w:hAnsi="宋体" w:eastAsia="宋体" w:cs="宋体"/>
          <w:b/>
          <w:color w:val="auto"/>
          <w:spacing w:val="0"/>
          <w:position w:val="0"/>
          <w:sz w:val="21"/>
          <w:szCs w:val="21"/>
          <w:highlight w:val="none"/>
          <w:shd w:val="clear" w:fill="auto"/>
        </w:rPr>
      </w:pPr>
    </w:p>
    <w:p w14:paraId="5A22099F">
      <w:pPr>
        <w:rPr>
          <w:rFonts w:hint="eastAsia" w:ascii="宋体" w:hAnsi="宋体" w:eastAsia="宋体" w:cs="宋体"/>
          <w:b/>
          <w:color w:val="auto"/>
          <w:spacing w:val="0"/>
          <w:position w:val="0"/>
          <w:sz w:val="21"/>
          <w:szCs w:val="21"/>
          <w:highlight w:val="none"/>
          <w:shd w:val="clear" w:fill="auto"/>
        </w:rPr>
      </w:pPr>
    </w:p>
    <w:p w14:paraId="70FDC6B5">
      <w:pPr>
        <w:pStyle w:val="17"/>
        <w:rPr>
          <w:rFonts w:hint="eastAsia" w:ascii="宋体" w:hAnsi="宋体" w:eastAsia="宋体" w:cs="宋体"/>
          <w:b/>
          <w:color w:val="auto"/>
          <w:spacing w:val="0"/>
          <w:position w:val="0"/>
          <w:sz w:val="21"/>
          <w:szCs w:val="21"/>
          <w:highlight w:val="none"/>
          <w:shd w:val="clear" w:fill="auto"/>
        </w:rPr>
      </w:pPr>
    </w:p>
    <w:p w14:paraId="72D512CA">
      <w:pPr>
        <w:pStyle w:val="3"/>
        <w:rPr>
          <w:rFonts w:hint="eastAsia" w:ascii="宋体" w:hAnsi="宋体" w:eastAsia="宋体" w:cs="宋体"/>
          <w:sz w:val="21"/>
          <w:szCs w:val="21"/>
          <w:highlight w:val="none"/>
        </w:rPr>
      </w:pPr>
    </w:p>
    <w:p w14:paraId="0A86A549">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0BB73E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A017D7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EDE9E86">
      <w:pPr>
        <w:pStyle w:val="8"/>
        <w:rPr>
          <w:rFonts w:hint="eastAsia" w:ascii="宋体" w:hAnsi="宋体" w:eastAsia="宋体" w:cs="宋体"/>
          <w:b/>
          <w:color w:val="auto"/>
          <w:spacing w:val="0"/>
          <w:position w:val="0"/>
          <w:sz w:val="21"/>
          <w:szCs w:val="21"/>
          <w:highlight w:val="none"/>
          <w:shd w:val="clear" w:fill="auto"/>
        </w:rPr>
      </w:pPr>
    </w:p>
    <w:p w14:paraId="0745969E">
      <w:pPr>
        <w:pStyle w:val="9"/>
        <w:rPr>
          <w:rFonts w:hint="eastAsia" w:ascii="宋体" w:hAnsi="宋体" w:eastAsia="宋体" w:cs="宋体"/>
          <w:b/>
          <w:color w:val="auto"/>
          <w:spacing w:val="0"/>
          <w:position w:val="0"/>
          <w:sz w:val="21"/>
          <w:szCs w:val="21"/>
          <w:highlight w:val="none"/>
          <w:shd w:val="clear" w:fill="auto"/>
        </w:rPr>
      </w:pPr>
    </w:p>
    <w:p w14:paraId="6A9E2047">
      <w:pPr>
        <w:rPr>
          <w:rFonts w:hint="eastAsia" w:ascii="宋体" w:hAnsi="宋体" w:eastAsia="宋体" w:cs="宋体"/>
          <w:b/>
          <w:color w:val="auto"/>
          <w:spacing w:val="0"/>
          <w:position w:val="0"/>
          <w:sz w:val="21"/>
          <w:szCs w:val="21"/>
          <w:highlight w:val="none"/>
          <w:shd w:val="clear" w:fill="auto"/>
        </w:rPr>
      </w:pPr>
    </w:p>
    <w:p w14:paraId="426C39C2">
      <w:pPr>
        <w:pStyle w:val="8"/>
        <w:rPr>
          <w:rFonts w:hint="eastAsia" w:ascii="宋体" w:hAnsi="宋体" w:eastAsia="宋体" w:cs="宋体"/>
          <w:b/>
          <w:color w:val="auto"/>
          <w:spacing w:val="0"/>
          <w:position w:val="0"/>
          <w:sz w:val="21"/>
          <w:szCs w:val="21"/>
          <w:highlight w:val="none"/>
          <w:shd w:val="clear" w:fill="auto"/>
        </w:rPr>
      </w:pPr>
    </w:p>
    <w:p w14:paraId="619ACE0B">
      <w:pPr>
        <w:pStyle w:val="9"/>
        <w:rPr>
          <w:rFonts w:hint="eastAsia" w:ascii="宋体" w:hAnsi="宋体" w:eastAsia="宋体" w:cs="宋体"/>
          <w:b/>
          <w:color w:val="auto"/>
          <w:spacing w:val="0"/>
          <w:position w:val="0"/>
          <w:sz w:val="21"/>
          <w:szCs w:val="21"/>
          <w:highlight w:val="none"/>
          <w:shd w:val="clear" w:fill="auto"/>
        </w:rPr>
      </w:pPr>
    </w:p>
    <w:p w14:paraId="6FC6A5D8">
      <w:pPr>
        <w:rPr>
          <w:rFonts w:hint="eastAsia" w:ascii="宋体" w:hAnsi="宋体" w:eastAsia="宋体" w:cs="宋体"/>
          <w:b/>
          <w:color w:val="auto"/>
          <w:spacing w:val="0"/>
          <w:position w:val="0"/>
          <w:sz w:val="21"/>
          <w:szCs w:val="21"/>
          <w:highlight w:val="none"/>
          <w:shd w:val="clear" w:fill="auto"/>
        </w:rPr>
      </w:pPr>
    </w:p>
    <w:p w14:paraId="3B221A06">
      <w:pPr>
        <w:pStyle w:val="8"/>
        <w:rPr>
          <w:rFonts w:hint="eastAsia" w:ascii="宋体" w:hAnsi="宋体" w:eastAsia="宋体" w:cs="宋体"/>
          <w:b/>
          <w:color w:val="auto"/>
          <w:spacing w:val="0"/>
          <w:position w:val="0"/>
          <w:sz w:val="21"/>
          <w:szCs w:val="21"/>
          <w:highlight w:val="none"/>
          <w:shd w:val="clear" w:fill="auto"/>
        </w:rPr>
      </w:pPr>
    </w:p>
    <w:p w14:paraId="45E1DEB4">
      <w:pPr>
        <w:pStyle w:val="9"/>
        <w:rPr>
          <w:rFonts w:hint="eastAsia" w:ascii="宋体" w:hAnsi="宋体" w:eastAsia="宋体" w:cs="宋体"/>
          <w:b/>
          <w:color w:val="auto"/>
          <w:spacing w:val="0"/>
          <w:position w:val="0"/>
          <w:sz w:val="21"/>
          <w:szCs w:val="21"/>
          <w:highlight w:val="none"/>
          <w:shd w:val="clear" w:fill="auto"/>
        </w:rPr>
      </w:pPr>
    </w:p>
    <w:p w14:paraId="5216A4FE">
      <w:pPr>
        <w:rPr>
          <w:rFonts w:hint="eastAsia" w:ascii="宋体" w:hAnsi="宋体" w:eastAsia="宋体" w:cs="宋体"/>
          <w:b/>
          <w:color w:val="auto"/>
          <w:spacing w:val="0"/>
          <w:position w:val="0"/>
          <w:sz w:val="21"/>
          <w:szCs w:val="21"/>
          <w:highlight w:val="none"/>
          <w:shd w:val="clear" w:fill="auto"/>
        </w:rPr>
      </w:pPr>
    </w:p>
    <w:p w14:paraId="29DFA55C">
      <w:pPr>
        <w:pStyle w:val="8"/>
        <w:rPr>
          <w:rFonts w:hint="eastAsia"/>
          <w:highlight w:val="none"/>
        </w:rPr>
      </w:pPr>
    </w:p>
    <w:p w14:paraId="53A5CB9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301E610">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4364F465">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B880E34">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466777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168559DE">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05FB44B9">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78A1362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0BB88CF">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1C74F89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21F33CD">
      <w:pPr>
        <w:pStyle w:val="17"/>
        <w:rPr>
          <w:rFonts w:hint="eastAsia" w:ascii="宋体" w:hAnsi="宋体" w:eastAsia="宋体" w:cs="宋体"/>
          <w:b/>
          <w:color w:val="auto"/>
          <w:spacing w:val="0"/>
          <w:position w:val="0"/>
          <w:sz w:val="21"/>
          <w:szCs w:val="21"/>
          <w:highlight w:val="none"/>
          <w:shd w:val="clear" w:fill="auto"/>
        </w:rPr>
      </w:pPr>
    </w:p>
    <w:p w14:paraId="2E247B63">
      <w:pPr>
        <w:pStyle w:val="3"/>
        <w:rPr>
          <w:rFonts w:ascii="宋体" w:hAnsi="宋体" w:eastAsia="宋体" w:cs="宋体"/>
          <w:b/>
          <w:color w:val="auto"/>
          <w:spacing w:val="0"/>
          <w:position w:val="0"/>
          <w:sz w:val="28"/>
          <w:highlight w:val="none"/>
          <w:shd w:val="clear" w:fill="auto"/>
        </w:rPr>
      </w:pPr>
    </w:p>
    <w:p w14:paraId="38F483D6">
      <w:pPr>
        <w:rPr>
          <w:rFonts w:ascii="宋体" w:hAnsi="宋体" w:eastAsia="宋体" w:cs="宋体"/>
          <w:b/>
          <w:color w:val="auto"/>
          <w:spacing w:val="0"/>
          <w:position w:val="0"/>
          <w:sz w:val="28"/>
          <w:highlight w:val="none"/>
          <w:shd w:val="clear" w:fill="auto"/>
        </w:rPr>
      </w:pPr>
    </w:p>
    <w:p w14:paraId="6217CF92">
      <w:pPr>
        <w:pStyle w:val="17"/>
        <w:rPr>
          <w:rFonts w:ascii="宋体" w:hAnsi="宋体" w:eastAsia="宋体" w:cs="宋体"/>
          <w:b/>
          <w:color w:val="auto"/>
          <w:spacing w:val="0"/>
          <w:position w:val="0"/>
          <w:sz w:val="28"/>
          <w:highlight w:val="none"/>
          <w:shd w:val="clear" w:fill="auto"/>
        </w:rPr>
      </w:pPr>
    </w:p>
    <w:p w14:paraId="623401DE">
      <w:pPr>
        <w:pStyle w:val="3"/>
        <w:rPr>
          <w:rFonts w:ascii="宋体" w:hAnsi="宋体" w:eastAsia="宋体" w:cs="宋体"/>
          <w:b/>
          <w:color w:val="auto"/>
          <w:spacing w:val="0"/>
          <w:position w:val="0"/>
          <w:sz w:val="28"/>
          <w:highlight w:val="none"/>
          <w:shd w:val="clear" w:fill="auto"/>
        </w:rPr>
      </w:pPr>
    </w:p>
    <w:p w14:paraId="4C409E3B">
      <w:pPr>
        <w:rPr>
          <w:rFonts w:ascii="宋体" w:hAnsi="宋体" w:eastAsia="宋体" w:cs="宋体"/>
          <w:b/>
          <w:color w:val="auto"/>
          <w:spacing w:val="0"/>
          <w:position w:val="0"/>
          <w:sz w:val="28"/>
          <w:highlight w:val="none"/>
          <w:shd w:val="clear" w:fill="auto"/>
        </w:rPr>
      </w:pPr>
    </w:p>
    <w:p w14:paraId="388857ED">
      <w:pPr>
        <w:pStyle w:val="17"/>
        <w:rPr>
          <w:rFonts w:ascii="宋体" w:hAnsi="宋体" w:eastAsia="宋体" w:cs="宋体"/>
          <w:b/>
          <w:color w:val="auto"/>
          <w:spacing w:val="0"/>
          <w:position w:val="0"/>
          <w:sz w:val="28"/>
          <w:highlight w:val="none"/>
          <w:shd w:val="clear" w:fill="auto"/>
        </w:rPr>
      </w:pPr>
    </w:p>
    <w:p w14:paraId="2A61F3D2">
      <w:pPr>
        <w:pStyle w:val="3"/>
        <w:rPr>
          <w:rFonts w:ascii="宋体" w:hAnsi="宋体" w:eastAsia="宋体" w:cs="宋体"/>
          <w:b/>
          <w:color w:val="auto"/>
          <w:spacing w:val="0"/>
          <w:position w:val="0"/>
          <w:sz w:val="28"/>
          <w:highlight w:val="none"/>
          <w:shd w:val="clear" w:fill="auto"/>
        </w:rPr>
      </w:pPr>
    </w:p>
    <w:p w14:paraId="180175B4">
      <w:pPr>
        <w:rPr>
          <w:rFonts w:ascii="宋体" w:hAnsi="宋体" w:eastAsia="宋体" w:cs="宋体"/>
          <w:b/>
          <w:color w:val="auto"/>
          <w:spacing w:val="0"/>
          <w:position w:val="0"/>
          <w:sz w:val="28"/>
          <w:highlight w:val="none"/>
          <w:shd w:val="clear" w:fill="auto"/>
        </w:rPr>
      </w:pPr>
    </w:p>
    <w:p w14:paraId="76DC9D61">
      <w:pPr>
        <w:pStyle w:val="17"/>
        <w:rPr>
          <w:rFonts w:ascii="宋体" w:hAnsi="宋体" w:eastAsia="宋体" w:cs="宋体"/>
          <w:b/>
          <w:color w:val="auto"/>
          <w:spacing w:val="0"/>
          <w:position w:val="0"/>
          <w:sz w:val="28"/>
          <w:highlight w:val="none"/>
          <w:shd w:val="clear" w:fill="auto"/>
        </w:rPr>
      </w:pPr>
    </w:p>
    <w:p w14:paraId="268EDF9C">
      <w:pPr>
        <w:pStyle w:val="3"/>
        <w:rPr>
          <w:rFonts w:ascii="宋体" w:hAnsi="宋体" w:eastAsia="宋体" w:cs="宋体"/>
          <w:b/>
          <w:color w:val="auto"/>
          <w:spacing w:val="0"/>
          <w:position w:val="0"/>
          <w:sz w:val="28"/>
          <w:highlight w:val="none"/>
          <w:shd w:val="clear" w:fill="auto"/>
        </w:rPr>
      </w:pPr>
    </w:p>
    <w:p w14:paraId="27B195B0">
      <w:pPr>
        <w:rPr>
          <w:rFonts w:ascii="宋体" w:hAnsi="宋体" w:eastAsia="宋体" w:cs="宋体"/>
          <w:b/>
          <w:color w:val="auto"/>
          <w:spacing w:val="0"/>
          <w:position w:val="0"/>
          <w:sz w:val="28"/>
          <w:highlight w:val="none"/>
          <w:shd w:val="clear" w:fill="auto"/>
        </w:rPr>
      </w:pPr>
    </w:p>
    <w:p w14:paraId="45CC4F8C">
      <w:pPr>
        <w:pStyle w:val="17"/>
        <w:rPr>
          <w:rFonts w:ascii="宋体" w:hAnsi="宋体" w:eastAsia="宋体" w:cs="宋体"/>
          <w:b/>
          <w:color w:val="auto"/>
          <w:spacing w:val="0"/>
          <w:position w:val="0"/>
          <w:sz w:val="28"/>
          <w:highlight w:val="none"/>
          <w:shd w:val="clear" w:fill="auto"/>
        </w:rPr>
      </w:pPr>
    </w:p>
    <w:p w14:paraId="3505B3A9">
      <w:pPr>
        <w:pStyle w:val="3"/>
        <w:rPr>
          <w:rFonts w:ascii="宋体" w:hAnsi="宋体" w:eastAsia="宋体" w:cs="宋体"/>
          <w:b/>
          <w:color w:val="auto"/>
          <w:spacing w:val="0"/>
          <w:position w:val="0"/>
          <w:sz w:val="28"/>
          <w:highlight w:val="none"/>
          <w:shd w:val="clear" w:fill="auto"/>
        </w:rPr>
      </w:pPr>
    </w:p>
    <w:p w14:paraId="4300969E">
      <w:pPr>
        <w:rPr>
          <w:rFonts w:ascii="宋体" w:hAnsi="宋体" w:eastAsia="宋体" w:cs="宋体"/>
          <w:b/>
          <w:color w:val="auto"/>
          <w:spacing w:val="0"/>
          <w:position w:val="0"/>
          <w:sz w:val="28"/>
          <w:highlight w:val="none"/>
          <w:shd w:val="clear" w:fill="auto"/>
        </w:rPr>
      </w:pPr>
    </w:p>
    <w:p w14:paraId="6C6D98DE">
      <w:pPr>
        <w:numPr>
          <w:ilvl w:val="0"/>
          <w:numId w:val="0"/>
        </w:numPr>
        <w:spacing w:before="0" w:after="0" w:line="360" w:lineRule="auto"/>
        <w:ind w:leftChars="0" w:right="0" w:rightChars="0"/>
        <w:jc w:val="both"/>
        <w:rPr>
          <w:rFonts w:ascii="宋体" w:hAnsi="宋体" w:eastAsia="宋体" w:cs="宋体"/>
          <w:b/>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t xml:space="preserve"> </w:t>
      </w:r>
    </w:p>
    <w:p w14:paraId="1DA11094">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6EA8187C">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430C12F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8DF0B0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208509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5798CA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AD33AC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828990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9D658A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1EC14F9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72A46AA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787D3A4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359F60E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6143ACF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106E165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30AD0A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C272933">
      <w:pPr>
        <w:pStyle w:val="8"/>
        <w:rPr>
          <w:rFonts w:ascii="黑体" w:hAnsi="黑体" w:eastAsia="黑体" w:cs="黑体"/>
          <w:color w:val="auto"/>
          <w:spacing w:val="0"/>
          <w:position w:val="0"/>
          <w:sz w:val="30"/>
          <w:highlight w:val="none"/>
          <w:shd w:val="clear" w:fill="auto"/>
        </w:rPr>
      </w:pPr>
    </w:p>
    <w:p w14:paraId="290D22A4">
      <w:pPr>
        <w:pStyle w:val="9"/>
        <w:rPr>
          <w:rFonts w:ascii="黑体" w:hAnsi="黑体" w:eastAsia="黑体" w:cs="黑体"/>
          <w:color w:val="auto"/>
          <w:spacing w:val="0"/>
          <w:position w:val="0"/>
          <w:sz w:val="30"/>
          <w:highlight w:val="none"/>
          <w:shd w:val="clear" w:fill="auto"/>
        </w:rPr>
      </w:pPr>
    </w:p>
    <w:p w14:paraId="072EDA25">
      <w:pPr>
        <w:rPr>
          <w:rFonts w:ascii="黑体" w:hAnsi="黑体" w:eastAsia="黑体" w:cs="黑体"/>
          <w:color w:val="auto"/>
          <w:spacing w:val="0"/>
          <w:position w:val="0"/>
          <w:sz w:val="30"/>
          <w:highlight w:val="none"/>
          <w:shd w:val="clear" w:fill="auto"/>
        </w:rPr>
      </w:pPr>
    </w:p>
    <w:p w14:paraId="057D67C8">
      <w:pPr>
        <w:pStyle w:val="8"/>
        <w:rPr>
          <w:highlight w:val="none"/>
        </w:rPr>
      </w:pPr>
    </w:p>
    <w:p w14:paraId="3C9DCE8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4B2F53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6FC81200">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1ADCB8F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37447B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675296A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2D538E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06F436A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3851E96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62D782E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69561B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69540F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1CD78FD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11697AD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1566C4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609FBC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6E44989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F5C008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147C59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66B3FAC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67E10D8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60A7B4D4">
      <w:pPr>
        <w:widowControl w:val="0"/>
        <w:numPr>
          <w:ilvl w:val="0"/>
          <w:numId w:val="2"/>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1175E911">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449F3F94">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515E8D2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4473BA4B">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5342B31A">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0A4C856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43172820">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F49941F">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59211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3AB8F99">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8188AC6">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A6D62E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C918973">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CBE56D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C22364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D757ED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E10B663">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904998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DDF7817">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64DC602">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A597418">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758CF44">
      <w:pPr>
        <w:pStyle w:val="8"/>
        <w:rPr>
          <w:highlight w:val="none"/>
        </w:rPr>
      </w:pPr>
    </w:p>
    <w:p w14:paraId="33FAD448">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02BD977A">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7722E36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4BEDB23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5297B90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2DD0DEB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520747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08701D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132EFE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ED1E17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3E4C9DC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A5EFE9">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4D72A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0C53C5">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F9BB2F">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58D195">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35656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CE3CD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55DE746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85D64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3C28A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4A9C2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08E98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295F7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1820BF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474BA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268B383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1E5BA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79FE5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FFB32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FD447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20F63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67FB4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0D951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78E7BC9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21B85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5F533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D0AEF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E453B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25938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398AB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3AC33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790FF8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246AD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696FC31D">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5B68015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6ADA87C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0E76E5A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12C434D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3C570E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B2B1DF3">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65C016C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61C6C98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1635326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226F0BE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5169505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153E49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0EA0884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6152521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1C83001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25AEB7DE">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六</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753963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488B151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48EA17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709225B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071AEFA1">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7F738137">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七</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验收方法</w:t>
      </w:r>
    </w:p>
    <w:p w14:paraId="3B0CB54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51BD1BB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4A6DAA2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2C3D2C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1C8097C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08A52FA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786F2E5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0E75C5A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645C6FF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3FA1D73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770E913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182EC64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0225648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711FFDC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57DF522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A346C34">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5CE3BB0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6C8DDC5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1FEE8D8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762590D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34161C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6FE638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6DC1229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1C511A3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4F4FBDB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759E6C6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0564E8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607A52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13E96C7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268B789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08D29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826E74B">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60D25F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27300EE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671F61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4D1E6AE8">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4D6D58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6D08497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F394B2D">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67E875F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1998635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7F43822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6534D66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2B38D47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6272A0C7">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77A1587E">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52D5C8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4261DD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567C4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C4990C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7333156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5A8F871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2B721E7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6828DF5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1B54E8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5262EF3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415EB2D0">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7DCB936A">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766A026B">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42089FDB">
      <w:pPr>
        <w:rPr>
          <w:highlight w:val="none"/>
        </w:rPr>
      </w:pPr>
    </w:p>
    <w:p w14:paraId="7122297E">
      <w:pPr>
        <w:rPr>
          <w:highlight w:val="none"/>
        </w:rPr>
      </w:pPr>
    </w:p>
    <w:p w14:paraId="2B244E24">
      <w:pPr>
        <w:rPr>
          <w:highlight w:val="none"/>
        </w:rPr>
      </w:pPr>
    </w:p>
    <w:p w14:paraId="58566AF4">
      <w:pPr>
        <w:rPr>
          <w:highlight w:val="none"/>
        </w:rPr>
      </w:pPr>
    </w:p>
    <w:p w14:paraId="2E55B955">
      <w:pPr>
        <w:rPr>
          <w:highlight w:val="none"/>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font>
  <w:font w:name="仿宋_GB2312">
    <w:panose1 w:val="02010609030101010101"/>
    <w:charset w:val="86"/>
    <w:family w:val="auto"/>
    <w:pitch w:val="default"/>
    <w:sig w:usb0="00000001" w:usb1="080E0000" w:usb2="00000000" w:usb3="00000000" w:csb0="00040000" w:csb1="00000000"/>
  </w:font>
  <w:font w:name="微软简标宋">
    <w:altName w:val="宋体"/>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F02AA">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3EAB53">
                          <w:pPr>
                            <w:pStyle w:val="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53EAB53">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38D58A"/>
    <w:multiLevelType w:val="singleLevel"/>
    <w:tmpl w:val="5E38D58A"/>
    <w:lvl w:ilvl="0" w:tentative="0">
      <w:start w:val="1"/>
      <w:numFmt w:val="decimal"/>
      <w:lvlText w:val="%1."/>
      <w:lvlJc w:val="left"/>
      <w:pPr>
        <w:tabs>
          <w:tab w:val="left" w:pos="312"/>
        </w:tabs>
      </w:pPr>
    </w:lvl>
  </w:abstractNum>
  <w:abstractNum w:abstractNumId="1">
    <w:nsid w:val="629F7852"/>
    <w:multiLevelType w:val="singleLevel"/>
    <w:tmpl w:val="629F7852"/>
    <w:lvl w:ilvl="0" w:tentative="0">
      <w:start w:val="1"/>
      <w:numFmt w:val="decimal"/>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19230E85"/>
    <w:rsid w:val="0CFF6FA6"/>
    <w:rsid w:val="0E715E49"/>
    <w:rsid w:val="16873CAF"/>
    <w:rsid w:val="19230E85"/>
    <w:rsid w:val="28BD4A84"/>
    <w:rsid w:val="2EC02441"/>
    <w:rsid w:val="394465E9"/>
    <w:rsid w:val="3C595690"/>
    <w:rsid w:val="5A1A2D13"/>
    <w:rsid w:val="646A3B04"/>
    <w:rsid w:val="65287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next w:val="5"/>
    <w:qFormat/>
    <w:uiPriority w:val="0"/>
    <w:pPr>
      <w:spacing w:after="120"/>
    </w:pPr>
    <w:rPr>
      <w:rFonts w:ascii="Calibri" w:hAnsi="Calibri"/>
      <w:kern w:val="0"/>
      <w:sz w:val="24"/>
      <w:szCs w:val="20"/>
    </w:rPr>
  </w:style>
  <w:style w:type="paragraph" w:styleId="5">
    <w:name w:val="Body Text 2"/>
    <w:basedOn w:val="1"/>
    <w:next w:val="4"/>
    <w:qFormat/>
    <w:uiPriority w:val="0"/>
    <w:pPr>
      <w:spacing w:after="120" w:line="480" w:lineRule="auto"/>
    </w:pPr>
  </w:style>
  <w:style w:type="paragraph" w:styleId="6">
    <w:name w:val="Body Text Indent"/>
    <w:basedOn w:val="1"/>
    <w:next w:val="1"/>
    <w:qFormat/>
    <w:uiPriority w:val="0"/>
    <w:pPr>
      <w:ind w:firstLine="570"/>
    </w:pPr>
    <w:rPr>
      <w:rFonts w:ascii="宋体" w:hAnsi="宋体"/>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w:basedOn w:val="4"/>
    <w:next w:val="9"/>
    <w:qFormat/>
    <w:uiPriority w:val="0"/>
    <w:pPr>
      <w:spacing w:line="500" w:lineRule="exact"/>
      <w:ind w:firstLine="320" w:firstLineChars="100"/>
    </w:pPr>
    <w:rPr>
      <w:rFonts w:ascii="Times New Roman" w:hAnsi="Times New Roman" w:eastAsia="楷体"/>
    </w:rPr>
  </w:style>
  <w:style w:type="paragraph" w:styleId="9">
    <w:name w:val="Body Text First Indent 2"/>
    <w:basedOn w:val="6"/>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BodyText1I"/>
    <w:basedOn w:val="14"/>
    <w:qFormat/>
    <w:uiPriority w:val="99"/>
    <w:pPr>
      <w:ind w:firstLine="420" w:firstLineChars="100"/>
    </w:pPr>
  </w:style>
  <w:style w:type="paragraph" w:customStyle="1" w:styleId="14">
    <w:name w:val="BodyText"/>
    <w:basedOn w:val="1"/>
    <w:next w:val="15"/>
    <w:qFormat/>
    <w:uiPriority w:val="99"/>
    <w:pPr>
      <w:spacing w:after="120"/>
    </w:pPr>
  </w:style>
  <w:style w:type="paragraph" w:customStyle="1" w:styleId="15">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6">
    <w:name w:val="正文缩进1"/>
    <w:basedOn w:val="1"/>
    <w:qFormat/>
    <w:uiPriority w:val="0"/>
    <w:pPr>
      <w:widowControl/>
      <w:ind w:firstLine="420"/>
      <w:jc w:val="left"/>
    </w:pPr>
    <w:rPr>
      <w:rFonts w:ascii="Times New Roman" w:hAnsi="Times New Roman" w:eastAsia="宋体" w:cs="Times New Roman"/>
    </w:rPr>
  </w:style>
  <w:style w:type="paragraph" w:customStyle="1" w:styleId="17">
    <w:name w:val="无间隔1"/>
    <w:next w:val="3"/>
    <w:qFormat/>
    <w:uiPriority w:val="0"/>
    <w:pPr>
      <w:widowControl w:val="0"/>
      <w:jc w:val="both"/>
    </w:pPr>
    <w:rPr>
      <w:rFonts w:ascii="Calibri" w:hAnsi="Calibri" w:eastAsia="宋体" w:cs="Times New Roman"/>
      <w:kern w:val="2"/>
      <w:sz w:val="21"/>
      <w:szCs w:val="22"/>
      <w:lang w:val="en-US" w:eastAsia="zh-CN" w:bidi="ar-SA"/>
    </w:rPr>
  </w:style>
  <w:style w:type="character" w:customStyle="1" w:styleId="18">
    <w:name w:val="font11"/>
    <w:basedOn w:val="12"/>
    <w:qFormat/>
    <w:uiPriority w:val="0"/>
    <w:rPr>
      <w:rFonts w:hint="eastAsia" w:ascii="宋体" w:hAnsi="宋体" w:eastAsia="宋体" w:cs="宋体"/>
      <w:color w:val="000000"/>
      <w:sz w:val="20"/>
      <w:szCs w:val="20"/>
      <w:u w:val="none"/>
    </w:rPr>
  </w:style>
  <w:style w:type="character" w:customStyle="1" w:styleId="19">
    <w:name w:val="font51"/>
    <w:basedOn w:val="12"/>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7898</Words>
  <Characters>8630</Characters>
  <Lines>0</Lines>
  <Paragraphs>0</Paragraphs>
  <TotalTime>9</TotalTime>
  <ScaleCrop>false</ScaleCrop>
  <LinksUpToDate>false</LinksUpToDate>
  <CharactersWithSpaces>8849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2026-03-12T08:59:00Z</dcterms:created>
  <dc:creator>syimanda</dc:creator>
  <cp:lastModifiedBy>user</cp:lastModifiedBy>
  <dcterms:modified xsi:type="dcterms:W3CDTF">2026-05-21T01:21:45Z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4E80257A50BC4D7F9C50131BB2AD43EC_13</vt:lpwstr>
  </property>
  <property fmtid="{D5CDD505-2E9C-101B-9397-08002B2CF9AE}" pid="4" name="KSOTemplateDocerSaveRecord">
    <vt:lpwstr>eyJoZGlkIjoiNTQ3MGY4OWEwYWQ5MGRhOTEyZDdjODBiNTM4ZTJjNzciLCJ1c2VySWQiOiIxMDg5MjYwMDExIn0=</vt:lpwstr>
  </property>
</Properties>
</file>