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77E11AA4">
      <w:pPr>
        <w:pStyle w:val="12"/>
        <w:rPr>
          <w:rFonts w:ascii="宋体" w:hAnsi="宋体"/>
          <w:sz w:val="32"/>
          <w:highlight w:val="none"/>
        </w:rPr>
      </w:pPr>
    </w:p>
    <w:p w14:paraId="479DB073">
      <w:pPr>
        <w:pStyle w:val="39"/>
        <w:rPr>
          <w:rFonts w:ascii="宋体" w:hAnsi="宋体"/>
          <w:sz w:val="32"/>
          <w:highlight w:val="none"/>
        </w:rPr>
      </w:pPr>
    </w:p>
    <w:p w14:paraId="25ECA8C5"/>
    <w:p w14:paraId="5946A4B1"/>
    <w:p w14:paraId="58E63542"/>
    <w:p w14:paraId="60937E31">
      <w:pPr>
        <w:pStyle w:val="12"/>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沈丘县自然资源局国土空间总体规划动态维护项目</w:t>
      </w:r>
    </w:p>
    <w:p w14:paraId="6886C6F2">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沈财磋商采购-2026-8</w:t>
      </w:r>
    </w:p>
    <w:p w14:paraId="6F5A92F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2026年5月</w:t>
      </w:r>
    </w:p>
    <w:p w14:paraId="450A2A74">
      <w:pPr>
        <w:pStyle w:val="11"/>
        <w:jc w:val="center"/>
        <w:rPr>
          <w:rFonts w:ascii="宋体" w:hAnsi="宋体"/>
          <w:b/>
          <w:sz w:val="32"/>
          <w:highlight w:val="none"/>
        </w:rPr>
      </w:pPr>
    </w:p>
    <w:p w14:paraId="125C012F">
      <w:pPr>
        <w:rPr>
          <w:rFonts w:ascii="仿宋_GB2312" w:eastAsia="仿宋_GB2312"/>
          <w:b/>
          <w:sz w:val="30"/>
          <w:szCs w:val="30"/>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2"/>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沈丘县自然资源局国土空间总体规划动态维护项目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w:t>
      </w:r>
      <w:r>
        <w:rPr>
          <w:rFonts w:hint="eastAsia" w:ascii="宋体" w:hAnsi="宋体" w:cs="宋体"/>
          <w:sz w:val="24"/>
          <w:highlight w:val="none"/>
          <w:lang w:val="en-US" w:eastAsia="zh-CN"/>
        </w:rPr>
        <w:t>9</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5"/>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35393798"/>
      <w:bookmarkStart w:id="2" w:name="_Toc35393629"/>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5F4388FB">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沈财磋商采购-2026-8</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沈丘县自然资源局国土空间总体规划动态维护项目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960000.00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960000.00</w:t>
      </w:r>
      <w:r>
        <w:rPr>
          <w:rFonts w:hint="eastAsia" w:asciiTheme="minorEastAsia" w:hAnsiTheme="minorEastAsia" w:eastAsiaTheme="minorEastAsia" w:cstheme="minorEastAsia"/>
          <w:sz w:val="24"/>
          <w:highlight w:val="none"/>
          <w:lang w:eastAsia="zh-CN"/>
        </w:rPr>
        <w:t>元</w:t>
      </w:r>
    </w:p>
    <w:p w14:paraId="39192EAA">
      <w:pPr>
        <w:pStyle w:val="27"/>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沈丘县自然资源局国土空间总体规划动态维护项目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960000.00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其他专业技术服务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合同签订后90日历天</w:t>
      </w:r>
    </w:p>
    <w:p w14:paraId="4E4740DB">
      <w:pPr>
        <w:spacing w:line="360" w:lineRule="auto"/>
        <w:ind w:firstLine="480" w:firstLineChars="200"/>
        <w:jc w:val="left"/>
        <w:rPr>
          <w:rFonts w:ascii="宋体" w:hAnsi="宋体" w:cs="宋体"/>
          <w:sz w:val="24"/>
          <w:highlight w:val="none"/>
        </w:rPr>
      </w:pPr>
      <w:bookmarkStart w:id="4" w:name="_Toc28359090"/>
      <w:bookmarkStart w:id="5" w:name="_Toc28359013"/>
      <w:bookmarkStart w:id="6" w:name="_Toc35393799"/>
      <w:bookmarkStart w:id="7" w:name="_Toc3539363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23C46480">
      <w:pPr>
        <w:spacing w:line="360" w:lineRule="auto"/>
        <w:ind w:firstLine="480" w:firstLineChars="200"/>
        <w:jc w:val="left"/>
        <w:rPr>
          <w:rFonts w:hint="eastAsia" w:ascii="宋体" w:hAnsi="宋体" w:eastAsia="宋体" w:cs="宋体"/>
          <w:color w:val="0000FF"/>
          <w:sz w:val="24"/>
          <w:highlight w:val="yellow"/>
          <w:lang w:val="en-US" w:eastAsia="zh-CN"/>
        </w:rPr>
      </w:pPr>
      <w:r>
        <w:rPr>
          <w:rFonts w:hint="eastAsia" w:ascii="宋体" w:hAnsi="宋体" w:cs="宋体"/>
          <w:sz w:val="24"/>
          <w:highlight w:val="none"/>
        </w:rPr>
        <w:t>本项目是否为只面向中小企业采购：</w:t>
      </w:r>
      <w:r>
        <w:rPr>
          <w:rFonts w:hint="eastAsia" w:ascii="宋体" w:hAnsi="宋体" w:cs="宋体"/>
          <w:sz w:val="24"/>
          <w:highlight w:val="none"/>
          <w:lang w:val="en-US" w:eastAsia="zh-CN"/>
        </w:rPr>
        <w:t>是，</w:t>
      </w:r>
      <w:r>
        <w:rPr>
          <w:rFonts w:hint="eastAsia" w:ascii="宋体" w:hAnsi="宋体" w:cs="宋体"/>
          <w:sz w:val="24"/>
        </w:rPr>
        <w:t>采购预留金额</w:t>
      </w:r>
      <w:r>
        <w:rPr>
          <w:rFonts w:hint="eastAsia" w:asciiTheme="minorEastAsia" w:hAnsiTheme="minorEastAsia" w:eastAsiaTheme="minorEastAsia" w:cstheme="minorEastAsia"/>
          <w:sz w:val="24"/>
          <w:highlight w:val="none"/>
          <w:lang w:val="en-US" w:eastAsia="zh-CN"/>
        </w:rPr>
        <w:t>960000.00</w:t>
      </w:r>
      <w:r>
        <w:rPr>
          <w:rFonts w:hint="eastAsia" w:asciiTheme="minorEastAsia" w:hAnsiTheme="minorEastAsia" w:eastAsiaTheme="minorEastAsia" w:cstheme="minorEastAsia"/>
          <w:sz w:val="24"/>
          <w:highlight w:val="none"/>
          <w:lang w:eastAsia="zh-CN"/>
        </w:rPr>
        <w:t>元，</w:t>
      </w:r>
      <w:r>
        <w:rPr>
          <w:rFonts w:hint="eastAsia" w:ascii="宋体" w:hAnsi="宋体" w:cs="宋体"/>
          <w:sz w:val="24"/>
        </w:rPr>
        <w:t>必须提供中小企业声明函</w:t>
      </w:r>
      <w:r>
        <w:rPr>
          <w:rFonts w:hint="eastAsia" w:ascii="宋体" w:hAnsi="宋体" w:cs="宋体"/>
          <w:sz w:val="24"/>
          <w:lang w:eastAsia="zh-CN"/>
        </w:rPr>
        <w:t>。</w:t>
      </w:r>
    </w:p>
    <w:p w14:paraId="4F6A46BE">
      <w:pPr>
        <w:pStyle w:val="5"/>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D3F7B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1DD53F23">
      <w:pPr>
        <w:spacing w:line="360" w:lineRule="auto"/>
        <w:ind w:firstLine="480" w:firstLineChars="200"/>
        <w:rPr>
          <w:rFonts w:hint="eastAsia" w:ascii="宋体" w:hAnsi="宋体" w:cs="宋体"/>
          <w:sz w:val="24"/>
          <w:highlight w:val="none"/>
        </w:rPr>
      </w:pPr>
      <w:r>
        <w:rPr>
          <w:rFonts w:hint="eastAsia" w:ascii="宋体" w:hAnsi="宋体" w:cs="宋体"/>
          <w:bCs/>
          <w:kern w:val="2"/>
          <w:sz w:val="24"/>
          <w:szCs w:val="24"/>
          <w:highlight w:val="none"/>
          <w:lang w:val="en-US" w:eastAsia="zh-CN" w:bidi="ar-SA"/>
        </w:rPr>
        <w:t>3.2</w:t>
      </w:r>
      <w:r>
        <w:rPr>
          <w:rFonts w:hint="eastAsia" w:ascii="宋体" w:hAnsi="宋体" w:cs="宋体"/>
          <w:color w:val="auto"/>
          <w:sz w:val="24"/>
          <w:highlight w:val="none"/>
          <w:lang w:eastAsia="zh-CN"/>
        </w:rPr>
        <w:t>供应商须具有行政主管部门颁发的有效的城乡规划（国土空间规划）编制甲级资质；拟派项目负责人须具备有城乡规划相关专业高级技术职称或注册城乡规划师资格。</w:t>
      </w:r>
    </w:p>
    <w:p w14:paraId="24573C6F">
      <w:pPr>
        <w:pStyle w:val="29"/>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5"/>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bookmarkStart w:id="38" w:name="_GoBack"/>
      <w:bookmarkEnd w:id="38"/>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5"/>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28359092"/>
      <w:bookmarkStart w:id="14" w:name="_Toc35393801"/>
      <w:bookmarkStart w:id="15" w:name="_Toc28359015"/>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6</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9</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5"/>
        <w:autoSpaceDE w:val="0"/>
        <w:autoSpaceDN w:val="0"/>
        <w:spacing w:line="360" w:lineRule="auto"/>
        <w:jc w:val="left"/>
        <w:rPr>
          <w:rFonts w:asciiTheme="minorEastAsia" w:hAnsiTheme="minorEastAsia" w:eastAsiaTheme="minorEastAsia" w:cstheme="minorEastAsia"/>
          <w:sz w:val="24"/>
          <w:highlight w:val="none"/>
        </w:rPr>
      </w:pPr>
      <w:bookmarkStart w:id="16" w:name="_Toc35393633"/>
      <w:bookmarkStart w:id="17" w:name="_Toc28359093"/>
      <w:bookmarkStart w:id="18" w:name="_Toc28359016"/>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67E50A2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6</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9</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5"/>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5"/>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5"/>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35393636"/>
      <w:bookmarkStart w:id="28" w:name="_Toc28359095"/>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2CF30A23">
      <w:pPr>
        <w:spacing w:line="360" w:lineRule="auto"/>
        <w:ind w:firstLine="480" w:firstLineChars="200"/>
        <w:jc w:val="left"/>
        <w:rPr>
          <w:rFonts w:hint="eastAsia" w:ascii="宋体" w:hAnsi="宋体" w:cs="宋体"/>
          <w:sz w:val="24"/>
        </w:rPr>
      </w:pPr>
      <w:r>
        <w:rPr>
          <w:rFonts w:hint="eastAsia" w:ascii="宋体" w:hAnsi="宋体" w:cs="宋体"/>
          <w:sz w:val="24"/>
        </w:rPr>
        <w:t>名 称：</w:t>
      </w:r>
      <w:r>
        <w:rPr>
          <w:rFonts w:hint="eastAsia" w:ascii="宋体" w:hAnsi="宋体" w:cs="宋体"/>
          <w:sz w:val="24"/>
          <w:lang w:val="en-US" w:eastAsia="zh-CN"/>
        </w:rPr>
        <w:t>沈丘县自然资源局</w:t>
      </w:r>
      <w:r>
        <w:rPr>
          <w:rFonts w:hint="eastAsia" w:ascii="宋体" w:hAnsi="宋体" w:cs="宋体"/>
          <w:sz w:val="24"/>
        </w:rPr>
        <w:t>　　　　　　　　　　　</w:t>
      </w:r>
    </w:p>
    <w:p w14:paraId="10D6F8C9">
      <w:pPr>
        <w:spacing w:line="360" w:lineRule="auto"/>
        <w:ind w:firstLine="480" w:firstLineChars="200"/>
        <w:jc w:val="left"/>
        <w:rPr>
          <w:rFonts w:hint="eastAsia" w:ascii="宋体" w:hAnsi="宋体" w:cs="宋体"/>
          <w:sz w:val="24"/>
        </w:rPr>
      </w:pPr>
      <w:r>
        <w:rPr>
          <w:rFonts w:hint="eastAsia" w:ascii="宋体" w:hAnsi="宋体" w:cs="宋体"/>
          <w:sz w:val="24"/>
        </w:rPr>
        <w:t>地址：</w:t>
      </w:r>
      <w:r>
        <w:rPr>
          <w:rFonts w:hint="eastAsia" w:ascii="宋体" w:hAnsi="宋体" w:cs="宋体"/>
          <w:sz w:val="24"/>
          <w:lang w:val="en-US" w:eastAsia="zh-CN"/>
        </w:rPr>
        <w:t>沈丘县</w:t>
      </w:r>
      <w:r>
        <w:rPr>
          <w:rFonts w:hint="eastAsia" w:ascii="宋体" w:hAnsi="宋体" w:cs="宋体"/>
          <w:sz w:val="24"/>
        </w:rPr>
        <w:t>　　　　　　　　　　　</w:t>
      </w:r>
    </w:p>
    <w:p w14:paraId="48A1CC16">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朱勇润</w:t>
      </w:r>
      <w:r>
        <w:rPr>
          <w:rFonts w:hint="eastAsia" w:ascii="宋体" w:hAnsi="宋体" w:cs="宋体"/>
          <w:sz w:val="24"/>
        </w:rPr>
        <w:t xml:space="preserve">    联系方式：</w:t>
      </w:r>
      <w:r>
        <w:rPr>
          <w:rFonts w:hint="eastAsia" w:ascii="宋体" w:hAnsi="宋体" w:cs="宋体"/>
          <w:sz w:val="24"/>
          <w:lang w:val="en-US" w:eastAsia="zh-CN"/>
        </w:rPr>
        <w:t>13523681383</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0394-8106517、19913281180</w:t>
      </w:r>
      <w:r>
        <w:rPr>
          <w:rFonts w:hint="eastAsia" w:ascii="宋体" w:hAnsi="宋体" w:cs="宋体"/>
          <w:sz w:val="24"/>
        </w:rPr>
        <w:t>　　　　　　　　</w:t>
      </w:r>
    </w:p>
    <w:bookmarkEnd w:id="32"/>
    <w:bookmarkEnd w:id="33"/>
    <w:p w14:paraId="0E6566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sz w:val="24"/>
        </w:rPr>
        <w:t>3.</w:t>
      </w:r>
      <w:r>
        <w:rPr>
          <w:rFonts w:hint="eastAsia" w:asciiTheme="minorEastAsia" w:hAnsiTheme="minorEastAsia" w:eastAsiaTheme="minorEastAsia" w:cstheme="minorEastAsia"/>
          <w:b w:val="0"/>
          <w:i w:val="0"/>
          <w:iCs w:val="0"/>
          <w:sz w:val="24"/>
          <w:szCs w:val="24"/>
        </w:rPr>
        <w:t>监督单位：</w:t>
      </w:r>
      <w:r>
        <w:rPr>
          <w:rFonts w:hint="eastAsia" w:ascii="宋体" w:hAnsi="宋体" w:cs="宋体"/>
          <w:color w:val="auto"/>
          <w:spacing w:val="0"/>
          <w:position w:val="0"/>
          <w:sz w:val="24"/>
          <w:highlight w:val="none"/>
          <w:shd w:val="clear" w:color="auto" w:fill="auto"/>
          <w:lang w:eastAsia="zh-CN"/>
        </w:rPr>
        <w:t>沈丘县财政局</w:t>
      </w:r>
    </w:p>
    <w:p w14:paraId="6E4B289D">
      <w:pPr>
        <w:pStyle w:val="2"/>
        <w:ind w:firstLine="720" w:firstLineChars="300"/>
        <w:rPr>
          <w:rFonts w:ascii="宋体" w:hAnsi="宋体" w:eastAsia="宋体" w:cs="宋体"/>
          <w:sz w:val="24"/>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0394-5104466</w:t>
      </w:r>
    </w:p>
    <w:p w14:paraId="14EA5711">
      <w:pPr>
        <w:pStyle w:val="2"/>
        <w:ind w:firstLine="480" w:firstLineChars="200"/>
        <w:rPr>
          <w:rFonts w:hint="eastAsia" w:ascii="宋体" w:hAnsi="宋体" w:cs="宋体"/>
          <w:sz w:val="24"/>
        </w:rPr>
      </w:pPr>
    </w:p>
    <w:p w14:paraId="7FAD1289">
      <w:pPr>
        <w:pStyle w:val="2"/>
        <w:ind w:firstLine="480" w:firstLineChars="200"/>
        <w:rPr>
          <w:highlight w:val="none"/>
        </w:rPr>
      </w:pPr>
      <w:r>
        <w:rPr>
          <w:rFonts w:hint="eastAsia" w:ascii="宋体" w:hAnsi="宋体" w:eastAsia="宋体" w:cs="宋体"/>
          <w:color w:val="auto"/>
          <w:spacing w:val="0"/>
          <w:position w:val="0"/>
          <w:sz w:val="24"/>
          <w:shd w:val="clear" w:fill="auto"/>
        </w:rPr>
        <w:t xml:space="preserve"> </w:t>
      </w:r>
    </w:p>
    <w:p w14:paraId="32DCD84C">
      <w:pPr>
        <w:pStyle w:val="2"/>
        <w:rPr>
          <w:highlight w:val="none"/>
        </w:rPr>
      </w:pPr>
    </w:p>
    <w:p w14:paraId="59FCCA32">
      <w:pPr>
        <w:pStyle w:val="1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3"/>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2026年5月</w:t>
      </w:r>
      <w:r>
        <w:rPr>
          <w:rFonts w:hint="eastAsia" w:ascii="宋体" w:hAnsi="宋体" w:cs="宋体"/>
          <w:color w:val="000000" w:themeColor="text1"/>
          <w:sz w:val="24"/>
          <w:szCs w:val="24"/>
          <w:highlight w:val="none"/>
        </w:rPr>
        <w:t>　</w:t>
      </w:r>
    </w:p>
    <w:p w14:paraId="04D37CC4">
      <w:pPr>
        <w:pStyle w:val="29"/>
        <w:adjustRightInd w:val="0"/>
        <w:snapToGrid w:val="0"/>
        <w:spacing w:line="360" w:lineRule="auto"/>
        <w:ind w:firstLine="0" w:firstLineChars="0"/>
        <w:rPr>
          <w:highlight w:val="none"/>
        </w:rPr>
      </w:pP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沈丘县自然资源局国土空间总体规划动态维护项目</w:t>
            </w:r>
          </w:p>
          <w:p w14:paraId="5AB06AC2">
            <w:pPr>
              <w:rPr>
                <w:rFonts w:hint="eastAsia"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宋体" w:hAnsi="宋体" w:cs="宋体"/>
                <w:color w:val="0C0C0C" w:themeColor="text1" w:themeTint="F2"/>
                <w:sz w:val="24"/>
                <w:szCs w:val="24"/>
                <w:highlight w:val="none"/>
                <w:lang w:val="en-US" w:eastAsia="zh-CN"/>
              </w:rPr>
              <w:t>其他专业技术服务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沈丘县自然资源局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宋体" w:hAnsi="宋体" w:cs="宋体"/>
                <w:color w:val="auto"/>
                <w:sz w:val="24"/>
                <w:szCs w:val="24"/>
                <w:lang w:val="en-US" w:eastAsia="zh-CN"/>
              </w:rPr>
              <w:t>合同签订后90日历天</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322F19DB">
            <w:pPr>
              <w:spacing w:line="360" w:lineRule="auto"/>
              <w:rPr>
                <w:rFonts w:hint="default" w:ascii="宋体" w:hAnsi="宋体" w:cs="宋体"/>
                <w:color w:val="auto"/>
                <w:sz w:val="24"/>
                <w:szCs w:val="24"/>
                <w:highlight w:val="none"/>
                <w:lang w:val="en-US"/>
              </w:rPr>
            </w:pPr>
            <w:r>
              <w:rPr>
                <w:rFonts w:hint="default" w:ascii="宋体" w:hAnsi="宋体" w:cs="宋体"/>
                <w:color w:val="auto"/>
                <w:sz w:val="24"/>
                <w:szCs w:val="24"/>
                <w:highlight w:val="none"/>
                <w:lang w:val="en-US"/>
              </w:rPr>
              <w:t>项目分3次支付</w:t>
            </w:r>
          </w:p>
          <w:p w14:paraId="74F8ABF9">
            <w:pPr>
              <w:spacing w:line="360" w:lineRule="auto"/>
              <w:rPr>
                <w:rFonts w:hint="default" w:ascii="宋体" w:hAnsi="宋体" w:cs="宋体"/>
                <w:color w:val="auto"/>
                <w:sz w:val="24"/>
                <w:szCs w:val="24"/>
                <w:highlight w:val="none"/>
                <w:lang w:val="en-US"/>
              </w:rPr>
            </w:pPr>
            <w:r>
              <w:rPr>
                <w:rFonts w:hint="default" w:ascii="宋体" w:hAnsi="宋体" w:cs="宋体"/>
                <w:color w:val="auto"/>
                <w:sz w:val="24"/>
                <w:szCs w:val="24"/>
                <w:highlight w:val="none"/>
                <w:lang w:val="en-US"/>
              </w:rPr>
              <w:t>(1) 本合同签订生效后，甲方向乙方支付前期费用，即合同价款的30%。</w:t>
            </w:r>
          </w:p>
          <w:p w14:paraId="1C309AA4">
            <w:pPr>
              <w:spacing w:line="360" w:lineRule="auto"/>
              <w:rPr>
                <w:rFonts w:hint="default" w:ascii="宋体" w:hAnsi="宋体" w:cs="宋体"/>
                <w:color w:val="auto"/>
                <w:sz w:val="24"/>
                <w:szCs w:val="24"/>
                <w:highlight w:val="none"/>
                <w:lang w:val="en-US"/>
              </w:rPr>
            </w:pPr>
            <w:r>
              <w:rPr>
                <w:rFonts w:hint="default" w:ascii="宋体" w:hAnsi="宋体" w:cs="宋体"/>
                <w:color w:val="auto"/>
                <w:sz w:val="24"/>
                <w:szCs w:val="24"/>
                <w:highlight w:val="none"/>
                <w:lang w:val="en-US"/>
              </w:rPr>
              <w:t>(2)乙方完成项目专家评审工作后，甲方向乙方支付合同价款的40%。</w:t>
            </w:r>
          </w:p>
          <w:p w14:paraId="5E3967E1">
            <w:pPr>
              <w:spacing w:line="360" w:lineRule="auto"/>
              <w:rPr>
                <w:rFonts w:hint="default" w:ascii="宋体" w:hAnsi="宋体" w:cs="宋体"/>
                <w:color w:val="auto"/>
                <w:sz w:val="24"/>
                <w:szCs w:val="24"/>
                <w:highlight w:val="none"/>
                <w:lang w:val="en-US"/>
              </w:rPr>
            </w:pPr>
            <w:r>
              <w:rPr>
                <w:rFonts w:hint="default" w:ascii="宋体" w:hAnsi="宋体" w:cs="宋体"/>
                <w:color w:val="auto"/>
                <w:sz w:val="24"/>
                <w:szCs w:val="24"/>
                <w:highlight w:val="none"/>
                <w:lang w:val="en-US"/>
              </w:rPr>
              <w:t>(3)规划成果完成提交后，支付合同剩余价款的30%。</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color w:val="auto"/>
                <w:sz w:val="24"/>
                <w:szCs w:val="24"/>
                <w:highlight w:val="none"/>
              </w:rPr>
              <w:t>其他未列明行业</w:t>
            </w:r>
          </w:p>
        </w:tc>
      </w:tr>
    </w:tbl>
    <w:p w14:paraId="2BD7ACE3">
      <w:pPr>
        <w:pStyle w:val="29"/>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沈丘县自然资源局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9"/>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9"/>
        <w:keepNext w:val="0"/>
        <w:keepLines w:val="0"/>
        <w:pageBreakBefore w:val="0"/>
        <w:widowControl w:val="0"/>
        <w:kinsoku/>
        <w:wordWrap/>
        <w:overflowPunct/>
        <w:topLinePunct w:val="0"/>
        <w:bidi w:val="0"/>
        <w:snapToGrid w:val="0"/>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786FACD">
      <w:pPr>
        <w:spacing w:line="360" w:lineRule="auto"/>
        <w:ind w:firstLine="55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highlight w:val="none"/>
          <w:lang w:val="zh-CN"/>
        </w:rPr>
        <w:t>。</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3"/>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3"/>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3"/>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2"/>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0"/>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2"/>
        <w:rPr>
          <w:rFonts w:ascii="宋体" w:hAnsi="宋体" w:cs="宋体"/>
          <w:sz w:val="24"/>
          <w:szCs w:val="24"/>
          <w:highlight w:val="none"/>
        </w:rPr>
      </w:pPr>
    </w:p>
    <w:p w14:paraId="3C2E2FD7">
      <w:pPr>
        <w:pStyle w:val="42"/>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2"/>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2"/>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8AAC56A">
      <w:pPr>
        <w:pStyle w:val="18"/>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767F526E">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30"/>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2967"/>
        <w:gridCol w:w="2554"/>
      </w:tblGrid>
      <w:tr w14:paraId="632F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vAlign w:val="center"/>
          </w:tcPr>
          <w:p w14:paraId="2B8FD5DB">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1766" w:type="dxa"/>
            <w:vAlign w:val="center"/>
          </w:tcPr>
          <w:p w14:paraId="0DBFFDC7">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967" w:type="dxa"/>
            <w:vAlign w:val="center"/>
          </w:tcPr>
          <w:p w14:paraId="6C5F6E08">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指标说明及评分标准</w:t>
            </w:r>
          </w:p>
        </w:tc>
        <w:tc>
          <w:tcPr>
            <w:tcW w:w="2554" w:type="dxa"/>
            <w:vAlign w:val="center"/>
          </w:tcPr>
          <w:p w14:paraId="124D7575">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评分依据</w:t>
            </w:r>
          </w:p>
        </w:tc>
      </w:tr>
      <w:tr w14:paraId="4FC8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vAlign w:val="center"/>
          </w:tcPr>
          <w:p w14:paraId="726A6C08">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报价得分（1</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分）</w:t>
            </w:r>
          </w:p>
        </w:tc>
        <w:tc>
          <w:tcPr>
            <w:tcW w:w="1766" w:type="dxa"/>
            <w:vAlign w:val="center"/>
          </w:tcPr>
          <w:p w14:paraId="121E2939">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报价（1</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tc>
        <w:tc>
          <w:tcPr>
            <w:tcW w:w="5521" w:type="dxa"/>
            <w:gridSpan w:val="2"/>
            <w:vAlign w:val="center"/>
          </w:tcPr>
          <w:p w14:paraId="584AF630">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满足磋商文件要求且最后报价最低的供应商的价格为磋商基准价，其价格分为满分。其他供应商的价格分统一按照下列公式计算：磋商报价得分=（磋商基准价/最后磋商报价）×1</w:t>
            </w:r>
            <w:r>
              <w:rPr>
                <w:rFonts w:hint="eastAsia" w:ascii="宋体" w:hAnsi="宋体" w:eastAsia="宋体" w:cs="宋体"/>
                <w:sz w:val="24"/>
                <w:szCs w:val="24"/>
                <w:lang w:val="en-US" w:eastAsia="zh-CN"/>
              </w:rPr>
              <w:t>5</w:t>
            </w:r>
            <w:r>
              <w:rPr>
                <w:rFonts w:hint="eastAsia" w:ascii="宋体" w:hAnsi="宋体" w:eastAsia="宋体" w:cs="宋体"/>
                <w:sz w:val="24"/>
                <w:szCs w:val="24"/>
              </w:rPr>
              <w:t>备注：价格分计算保留小数点后二位。根据财政部、工信部关于印发《政府采购促进中小企业发展管理办法》的通知（财库〔2022〕19号）文件规定：</w:t>
            </w:r>
          </w:p>
          <w:p w14:paraId="4ED3642E">
            <w:pPr>
              <w:keepNext w:val="0"/>
              <w:keepLines w:val="0"/>
              <w:pageBreakBefore w:val="0"/>
              <w:numPr>
                <w:ilvl w:val="0"/>
                <w:numId w:val="3"/>
              </w:numPr>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对小微企业报价给予20%扣除，请按照《政府采购促进中小企业发展管理办法》要求提供中小企业声明函。</w:t>
            </w:r>
          </w:p>
          <w:p w14:paraId="1EB72343">
            <w:pPr>
              <w:keepNext w:val="0"/>
              <w:keepLines w:val="0"/>
              <w:pageBreakBefore w:val="0"/>
              <w:numPr>
                <w:ilvl w:val="0"/>
                <w:numId w:val="3"/>
              </w:numPr>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关于监狱企业：视同小微企业。须提供由省级以上监狱管理局、戒毒管理局（含新疆生产建设兵团）出具的属于监狱企业的证明文件，否则不考虑价格扣除。</w:t>
            </w:r>
          </w:p>
          <w:p w14:paraId="72D0800D">
            <w:pPr>
              <w:keepNext w:val="0"/>
              <w:keepLines w:val="0"/>
              <w:pageBreakBefore w:val="0"/>
              <w:numPr>
                <w:ilvl w:val="0"/>
                <w:numId w:val="4"/>
              </w:numPr>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关于残疾人福利性单位：视同小微企业。须提供完整的“残疾人福利性单位声明函”，否则在价格评审时不予考虑价格扣除。残疾人福利性单位属于小型、微型企业的，不重复享受政策。</w:t>
            </w:r>
          </w:p>
          <w:p w14:paraId="4F9D3D8D">
            <w:pPr>
              <w:keepNext w:val="0"/>
              <w:keepLines w:val="0"/>
              <w:pageBreakBefore w:val="0"/>
              <w:numPr>
                <w:ilvl w:val="0"/>
                <w:numId w:val="4"/>
              </w:numPr>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没有提供有效证明材料的供应商将被视为不接受投标总价的扣除，用原投标总价参与评审。</w:t>
            </w:r>
          </w:p>
        </w:tc>
      </w:tr>
      <w:tr w14:paraId="39DF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vAlign w:val="center"/>
          </w:tcPr>
          <w:p w14:paraId="7F3DFB66">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技术部分（</w:t>
            </w:r>
            <w:r>
              <w:rPr>
                <w:rFonts w:hint="eastAsia" w:ascii="宋体" w:hAnsi="宋体" w:eastAsia="宋体" w:cs="宋体"/>
                <w:b/>
                <w:bCs/>
                <w:sz w:val="24"/>
                <w:szCs w:val="24"/>
                <w:lang w:val="en-US" w:eastAsia="zh-CN"/>
              </w:rPr>
              <w:t>55</w:t>
            </w:r>
            <w:r>
              <w:rPr>
                <w:rFonts w:hint="eastAsia" w:ascii="宋体" w:hAnsi="宋体" w:eastAsia="宋体" w:cs="宋体"/>
                <w:b/>
                <w:bCs/>
                <w:sz w:val="24"/>
                <w:szCs w:val="24"/>
              </w:rPr>
              <w:t>分）</w:t>
            </w:r>
          </w:p>
        </w:tc>
        <w:tc>
          <w:tcPr>
            <w:tcW w:w="1766" w:type="dxa"/>
            <w:vAlign w:val="center"/>
          </w:tcPr>
          <w:p w14:paraId="12CF60E6">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总体方案（</w:t>
            </w:r>
            <w:r>
              <w:rPr>
                <w:rFonts w:hint="eastAsia" w:ascii="宋体" w:hAnsi="宋体" w:eastAsia="宋体" w:cs="宋体"/>
                <w:sz w:val="24"/>
                <w:szCs w:val="24"/>
                <w:lang w:val="en-US" w:eastAsia="zh-CN"/>
              </w:rPr>
              <w:t>15</w:t>
            </w:r>
            <w:r>
              <w:rPr>
                <w:rFonts w:hint="eastAsia" w:ascii="宋体" w:hAnsi="宋体" w:eastAsia="宋体" w:cs="宋体"/>
                <w:sz w:val="24"/>
                <w:szCs w:val="24"/>
              </w:rPr>
              <w:t>分）</w:t>
            </w:r>
          </w:p>
        </w:tc>
        <w:tc>
          <w:tcPr>
            <w:tcW w:w="5521" w:type="dxa"/>
            <w:gridSpan w:val="2"/>
            <w:vAlign w:val="center"/>
          </w:tcPr>
          <w:p w14:paraId="42732ED7">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编制本项目总体计划和方案，方案包括但不限于项目背景、任务来源、需求分析、项目技术路线、项目管理制度、</w:t>
            </w:r>
            <w:r>
              <w:rPr>
                <w:rFonts w:hint="eastAsia" w:ascii="宋体" w:hAnsi="宋体" w:eastAsia="宋体" w:cs="宋体"/>
                <w:bCs/>
                <w:sz w:val="24"/>
                <w:szCs w:val="24"/>
              </w:rPr>
              <w:t>保障措施</w:t>
            </w:r>
            <w:r>
              <w:rPr>
                <w:rFonts w:hint="eastAsia" w:ascii="宋体" w:hAnsi="宋体" w:eastAsia="宋体" w:cs="宋体"/>
                <w:sz w:val="24"/>
                <w:szCs w:val="24"/>
              </w:rPr>
              <w:t>等的得</w:t>
            </w:r>
            <w:r>
              <w:rPr>
                <w:rFonts w:hint="eastAsia" w:ascii="宋体" w:hAnsi="宋体" w:eastAsia="宋体" w:cs="宋体"/>
                <w:sz w:val="24"/>
                <w:szCs w:val="24"/>
                <w:lang w:val="en-US" w:eastAsia="zh-CN"/>
              </w:rPr>
              <w:t>15</w:t>
            </w:r>
            <w:r>
              <w:rPr>
                <w:rFonts w:hint="eastAsia" w:ascii="宋体" w:hAnsi="宋体" w:eastAsia="宋体" w:cs="宋体"/>
                <w:sz w:val="24"/>
                <w:szCs w:val="24"/>
              </w:rPr>
              <w:t>分，，不提供或缺项不得分。以上所提供的方案中每有一处具有缺陷(缺陷是指凭空编造、只有简单描述无实质性内容，内容前后不一致、前后逻辑错误、涉及的规范及标准错误、地点区域错误、内容缺失、提供内容不符合本项目特点)的扣2分，扣完为止。</w:t>
            </w:r>
          </w:p>
        </w:tc>
      </w:tr>
      <w:tr w14:paraId="0FF6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724D29A8">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p>
        </w:tc>
        <w:tc>
          <w:tcPr>
            <w:tcW w:w="1766" w:type="dxa"/>
            <w:vAlign w:val="center"/>
          </w:tcPr>
          <w:p w14:paraId="3EC8205A">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重难点分析</w:t>
            </w:r>
          </w:p>
          <w:p w14:paraId="44A91D11">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0</w:t>
            </w:r>
            <w:r>
              <w:rPr>
                <w:rFonts w:hint="eastAsia" w:ascii="宋体" w:hAnsi="宋体" w:eastAsia="宋体" w:cs="宋体"/>
                <w:sz w:val="24"/>
                <w:szCs w:val="24"/>
              </w:rPr>
              <w:t>分）</w:t>
            </w:r>
          </w:p>
        </w:tc>
        <w:tc>
          <w:tcPr>
            <w:tcW w:w="5521" w:type="dxa"/>
            <w:gridSpan w:val="2"/>
            <w:vAlign w:val="center"/>
          </w:tcPr>
          <w:p w14:paraId="0A408DB2">
            <w:pPr>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val="zh-CN"/>
              </w:rPr>
              <w:t>针对本项目进行重难点分析，包括项目实施过程中重难点的认识、分析、应对措施、前瞻性等</w:t>
            </w:r>
            <w:r>
              <w:rPr>
                <w:rFonts w:hint="eastAsia" w:ascii="宋体" w:hAnsi="宋体" w:eastAsia="宋体" w:cs="宋体"/>
                <w:sz w:val="24"/>
                <w:szCs w:val="24"/>
              </w:rPr>
              <w:t>的得1</w:t>
            </w:r>
            <w:r>
              <w:rPr>
                <w:rFonts w:hint="eastAsia" w:ascii="宋体" w:hAnsi="宋体" w:eastAsia="宋体" w:cs="宋体"/>
                <w:sz w:val="24"/>
                <w:szCs w:val="24"/>
                <w:lang w:val="en-US" w:eastAsia="zh-CN"/>
              </w:rPr>
              <w:t>0</w:t>
            </w:r>
            <w:r>
              <w:rPr>
                <w:rFonts w:hint="eastAsia" w:ascii="宋体" w:hAnsi="宋体" w:eastAsia="宋体" w:cs="宋体"/>
                <w:sz w:val="24"/>
                <w:szCs w:val="24"/>
              </w:rPr>
              <w:t>分，不提供或缺项不得分。</w:t>
            </w:r>
          </w:p>
        </w:tc>
      </w:tr>
      <w:tr w14:paraId="25F9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5238856F">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p>
        </w:tc>
        <w:tc>
          <w:tcPr>
            <w:tcW w:w="1766" w:type="dxa"/>
            <w:vAlign w:val="center"/>
          </w:tcPr>
          <w:p w14:paraId="340B0387">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确保项目进度保障措施</w:t>
            </w:r>
          </w:p>
          <w:p w14:paraId="43463E28">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（9分）</w:t>
            </w:r>
          </w:p>
        </w:tc>
        <w:tc>
          <w:tcPr>
            <w:tcW w:w="5521" w:type="dxa"/>
            <w:gridSpan w:val="2"/>
            <w:vAlign w:val="center"/>
          </w:tcPr>
          <w:p w14:paraId="5DA1F98B">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针对本项目制定的进度保障措施，包括完成相应工作进度计划、阶段性目标、保障措施的得9分，不提供或缺项不得分。</w:t>
            </w:r>
          </w:p>
        </w:tc>
      </w:tr>
      <w:tr w14:paraId="611B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5328A6D6">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p>
        </w:tc>
        <w:tc>
          <w:tcPr>
            <w:tcW w:w="1766" w:type="dxa"/>
            <w:vAlign w:val="center"/>
          </w:tcPr>
          <w:p w14:paraId="0A2D079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确保服务质量保障措施</w:t>
            </w:r>
          </w:p>
          <w:p w14:paraId="368BA9C5">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rPr>
              <w:t>分）</w:t>
            </w:r>
          </w:p>
        </w:tc>
        <w:tc>
          <w:tcPr>
            <w:tcW w:w="5521" w:type="dxa"/>
            <w:gridSpan w:val="2"/>
            <w:vAlign w:val="center"/>
          </w:tcPr>
          <w:p w14:paraId="3FC9BD67">
            <w:pPr>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针对本项目提供服务质量保证和措施：措施包括但不限于质量管理体系、质量保证措施、质量问题处理方案等的得</w:t>
            </w:r>
            <w:r>
              <w:rPr>
                <w:rFonts w:hint="eastAsia" w:ascii="宋体" w:hAnsi="宋体" w:eastAsia="宋体" w:cs="宋体"/>
                <w:sz w:val="24"/>
                <w:szCs w:val="24"/>
                <w:lang w:val="en-US" w:eastAsia="zh-CN"/>
              </w:rPr>
              <w:t>8</w:t>
            </w:r>
            <w:r>
              <w:rPr>
                <w:rFonts w:hint="eastAsia" w:ascii="宋体" w:hAnsi="宋体" w:eastAsia="宋体" w:cs="宋体"/>
                <w:sz w:val="24"/>
                <w:szCs w:val="24"/>
              </w:rPr>
              <w:t>分，不提供或缺项不得分。</w:t>
            </w:r>
          </w:p>
        </w:tc>
      </w:tr>
      <w:tr w14:paraId="7FB31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528D1D8F">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p>
        </w:tc>
        <w:tc>
          <w:tcPr>
            <w:tcW w:w="1766" w:type="dxa"/>
            <w:vAlign w:val="center"/>
          </w:tcPr>
          <w:p w14:paraId="67397EDB">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确保数据安全保障措施</w:t>
            </w:r>
          </w:p>
          <w:p w14:paraId="76647C9C">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rPr>
              <w:t>分）</w:t>
            </w:r>
          </w:p>
        </w:tc>
        <w:tc>
          <w:tcPr>
            <w:tcW w:w="5521" w:type="dxa"/>
            <w:gridSpan w:val="2"/>
            <w:vAlign w:val="center"/>
          </w:tcPr>
          <w:p w14:paraId="2D82B82B">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针对本项目提供数据安全保障措施，包括人员保密性培训、安全保障制度、网络安全措施、风险应对措施的得</w:t>
            </w:r>
            <w:r>
              <w:rPr>
                <w:rFonts w:hint="eastAsia" w:ascii="宋体" w:hAnsi="宋体" w:eastAsia="宋体" w:cs="宋体"/>
                <w:sz w:val="24"/>
                <w:szCs w:val="24"/>
                <w:lang w:val="en-US" w:eastAsia="zh-CN"/>
              </w:rPr>
              <w:t>8</w:t>
            </w:r>
            <w:r>
              <w:rPr>
                <w:rFonts w:hint="eastAsia" w:ascii="宋体" w:hAnsi="宋体" w:eastAsia="宋体" w:cs="宋体"/>
                <w:sz w:val="24"/>
                <w:szCs w:val="24"/>
              </w:rPr>
              <w:t>分，不提供或缺项不得分。</w:t>
            </w:r>
          </w:p>
        </w:tc>
      </w:tr>
      <w:tr w14:paraId="702D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30D5104C">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p>
        </w:tc>
        <w:tc>
          <w:tcPr>
            <w:tcW w:w="1766" w:type="dxa"/>
            <w:shd w:val="clear" w:color="auto" w:fill="auto"/>
            <w:vAlign w:val="center"/>
          </w:tcPr>
          <w:p w14:paraId="3BA4876C">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服务的质量保证和能力</w:t>
            </w:r>
          </w:p>
          <w:p w14:paraId="3C21E992">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tc>
        <w:tc>
          <w:tcPr>
            <w:tcW w:w="5521" w:type="dxa"/>
            <w:gridSpan w:val="2"/>
            <w:shd w:val="clear" w:color="auto" w:fill="auto"/>
            <w:vAlign w:val="center"/>
          </w:tcPr>
          <w:p w14:paraId="6859D581">
            <w:pPr>
              <w:pStyle w:val="24"/>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投标人提供服务的质量保证和能力（包括但不限于整体实力、行业口碑、服务能力、创新能力、遵守国家和有关行业管理规定等）</w:t>
            </w:r>
            <w:r>
              <w:rPr>
                <w:rFonts w:hint="eastAsia" w:ascii="宋体" w:hAnsi="宋体" w:eastAsia="宋体" w:cs="宋体"/>
                <w:sz w:val="24"/>
                <w:szCs w:val="24"/>
                <w:lang w:val="en-US" w:eastAsia="zh-CN"/>
              </w:rPr>
              <w:t>的</w:t>
            </w:r>
            <w:r>
              <w:rPr>
                <w:rFonts w:hint="eastAsia" w:ascii="宋体" w:hAnsi="宋体" w:eastAsia="宋体" w:cs="宋体"/>
                <w:sz w:val="24"/>
                <w:szCs w:val="24"/>
              </w:rPr>
              <w:t>得</w:t>
            </w:r>
            <w:r>
              <w:rPr>
                <w:rFonts w:hint="eastAsia" w:ascii="宋体" w:hAnsi="宋体" w:eastAsia="宋体" w:cs="宋体"/>
                <w:sz w:val="24"/>
                <w:szCs w:val="24"/>
                <w:lang w:val="en-US" w:eastAsia="zh-CN"/>
              </w:rPr>
              <w:t>5</w:t>
            </w:r>
            <w:r>
              <w:rPr>
                <w:rFonts w:hint="eastAsia" w:ascii="宋体" w:hAnsi="宋体" w:eastAsia="宋体" w:cs="宋体"/>
                <w:sz w:val="24"/>
                <w:szCs w:val="24"/>
              </w:rPr>
              <w:t>分，不提供或缺项不得分。</w:t>
            </w:r>
          </w:p>
        </w:tc>
      </w:tr>
      <w:tr w14:paraId="12D6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vAlign w:val="center"/>
          </w:tcPr>
          <w:p w14:paraId="4BE6ED14">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商务部分</w:t>
            </w:r>
          </w:p>
          <w:p w14:paraId="3E1BDFB4">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30</w:t>
            </w:r>
            <w:r>
              <w:rPr>
                <w:rFonts w:hint="eastAsia" w:ascii="宋体" w:hAnsi="宋体" w:eastAsia="宋体" w:cs="宋体"/>
                <w:b/>
                <w:bCs/>
                <w:sz w:val="24"/>
                <w:szCs w:val="24"/>
              </w:rPr>
              <w:t>分）</w:t>
            </w:r>
          </w:p>
        </w:tc>
        <w:tc>
          <w:tcPr>
            <w:tcW w:w="1766" w:type="dxa"/>
            <w:vAlign w:val="center"/>
          </w:tcPr>
          <w:p w14:paraId="7A5B013D">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企业</w:t>
            </w:r>
            <w:r>
              <w:rPr>
                <w:rFonts w:hint="eastAsia" w:ascii="宋体" w:hAnsi="宋体" w:eastAsia="宋体" w:cs="宋体"/>
                <w:sz w:val="24"/>
                <w:szCs w:val="24"/>
              </w:rPr>
              <w:t>实力</w:t>
            </w:r>
          </w:p>
          <w:p w14:paraId="27D9A223">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（6分）</w:t>
            </w:r>
          </w:p>
        </w:tc>
        <w:tc>
          <w:tcPr>
            <w:tcW w:w="5521" w:type="dxa"/>
            <w:gridSpan w:val="2"/>
            <w:vAlign w:val="center"/>
          </w:tcPr>
          <w:p w14:paraId="6753B2FD">
            <w:pPr>
              <w:keepNext w:val="0"/>
              <w:keepLines w:val="0"/>
              <w:pageBreakBefore w:val="0"/>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1.投标人2021年01月01日以来（以证书或获奖红头文件时间为准（两者时间不一致的，以证书时间为准））获得过城市规划类奖项的，每有一项得2分，最多得6分。</w:t>
            </w:r>
            <w:r>
              <w:rPr>
                <w:rFonts w:hint="eastAsia" w:ascii="宋体" w:hAnsi="宋体" w:eastAsia="宋体" w:cs="宋体"/>
                <w:color w:val="000000" w:themeColor="text1"/>
                <w:sz w:val="24"/>
                <w:szCs w:val="24"/>
              </w:rPr>
              <w:t>（需提供获奖证书或获奖红头文件扫描件</w:t>
            </w:r>
            <w:r>
              <w:rPr>
                <w:rFonts w:hint="eastAsia" w:ascii="宋体" w:hAnsi="宋体" w:eastAsia="宋体" w:cs="宋体"/>
                <w:sz w:val="24"/>
                <w:szCs w:val="24"/>
              </w:rPr>
              <w:t>，不提供不得分。</w:t>
            </w:r>
            <w:r>
              <w:rPr>
                <w:rFonts w:hint="eastAsia" w:ascii="宋体" w:hAnsi="宋体" w:eastAsia="宋体" w:cs="宋体"/>
                <w:color w:val="000000" w:themeColor="text1"/>
                <w:sz w:val="24"/>
                <w:szCs w:val="24"/>
              </w:rPr>
              <w:t>）</w:t>
            </w:r>
          </w:p>
        </w:tc>
      </w:tr>
      <w:tr w14:paraId="699A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39DCA076">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p>
        </w:tc>
        <w:tc>
          <w:tcPr>
            <w:tcW w:w="1766" w:type="dxa"/>
            <w:shd w:val="clear" w:color="auto" w:fill="auto"/>
            <w:vAlign w:val="center"/>
          </w:tcPr>
          <w:p w14:paraId="5CA554E7">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人员配备</w:t>
            </w:r>
          </w:p>
          <w:p w14:paraId="5E89A9B1">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sz w:val="24"/>
                <w:szCs w:val="24"/>
              </w:rPr>
              <w:t>（</w:t>
            </w:r>
            <w:r>
              <w:rPr>
                <w:rFonts w:hint="eastAsia" w:ascii="宋体" w:hAnsi="宋体" w:eastAsia="宋体" w:cs="宋体"/>
                <w:sz w:val="24"/>
                <w:szCs w:val="24"/>
                <w:lang w:val="en-US" w:eastAsia="zh-CN"/>
              </w:rPr>
              <w:t>16</w:t>
            </w:r>
            <w:r>
              <w:rPr>
                <w:rFonts w:hint="eastAsia" w:ascii="宋体" w:hAnsi="宋体" w:eastAsia="宋体" w:cs="宋体"/>
                <w:sz w:val="24"/>
                <w:szCs w:val="24"/>
              </w:rPr>
              <w:t>分）</w:t>
            </w:r>
          </w:p>
        </w:tc>
        <w:tc>
          <w:tcPr>
            <w:tcW w:w="5521" w:type="dxa"/>
            <w:gridSpan w:val="2"/>
            <w:shd w:val="clear" w:color="auto" w:fill="auto"/>
            <w:vAlign w:val="center"/>
          </w:tcPr>
          <w:p w14:paraId="161A66FC">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1.除项目负责人外，项目组成员中每有1名注册城乡规划师证</w:t>
            </w:r>
            <w:r>
              <w:rPr>
                <w:rFonts w:hint="eastAsia" w:ascii="宋体" w:hAnsi="宋体" w:eastAsia="宋体" w:cs="宋体"/>
                <w:sz w:val="24"/>
                <w:szCs w:val="24"/>
                <w:lang w:val="en-US" w:eastAsia="zh-CN"/>
              </w:rPr>
              <w:t>且</w:t>
            </w:r>
            <w:r>
              <w:rPr>
                <w:rFonts w:hint="eastAsia" w:ascii="宋体" w:hAnsi="宋体" w:eastAsia="宋体" w:cs="宋体"/>
                <w:sz w:val="24"/>
                <w:szCs w:val="24"/>
              </w:rPr>
              <w:t>具有</w:t>
            </w:r>
            <w:r>
              <w:rPr>
                <w:rFonts w:hint="eastAsia" w:ascii="宋体" w:hAnsi="宋体" w:eastAsia="宋体" w:cs="宋体"/>
                <w:sz w:val="24"/>
                <w:szCs w:val="24"/>
                <w:lang w:val="en-US" w:eastAsia="zh-CN"/>
              </w:rPr>
              <w:t>中</w:t>
            </w:r>
            <w:r>
              <w:rPr>
                <w:rFonts w:hint="eastAsia" w:ascii="宋体" w:hAnsi="宋体" w:eastAsia="宋体" w:cs="宋体"/>
                <w:sz w:val="24"/>
                <w:szCs w:val="24"/>
              </w:rPr>
              <w:t>级工程师的得</w:t>
            </w:r>
            <w:r>
              <w:rPr>
                <w:rFonts w:hint="eastAsia" w:ascii="宋体" w:hAnsi="宋体" w:eastAsia="宋体" w:cs="宋体"/>
                <w:sz w:val="24"/>
                <w:szCs w:val="24"/>
                <w:lang w:val="en-US" w:eastAsia="zh-CN"/>
              </w:rPr>
              <w:t>2</w:t>
            </w:r>
            <w:r>
              <w:rPr>
                <w:rFonts w:hint="eastAsia" w:ascii="宋体" w:hAnsi="宋体" w:eastAsia="宋体" w:cs="宋体"/>
                <w:sz w:val="24"/>
                <w:szCs w:val="24"/>
              </w:rPr>
              <w:t>分，最多得</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p w14:paraId="63C2250D">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.除项目负责人外，项目组成员中每有1名注册城乡规划师证</w:t>
            </w:r>
            <w:r>
              <w:rPr>
                <w:rFonts w:hint="eastAsia" w:ascii="宋体" w:hAnsi="宋体" w:eastAsia="宋体" w:cs="宋体"/>
                <w:sz w:val="24"/>
                <w:szCs w:val="24"/>
                <w:lang w:val="en-US" w:eastAsia="zh-CN"/>
              </w:rPr>
              <w:t>且</w:t>
            </w:r>
            <w:r>
              <w:rPr>
                <w:rFonts w:hint="eastAsia" w:ascii="宋体" w:hAnsi="宋体" w:eastAsia="宋体" w:cs="宋体"/>
                <w:sz w:val="24"/>
                <w:szCs w:val="24"/>
              </w:rPr>
              <w:t>具有高级工程师的得</w:t>
            </w:r>
            <w:r>
              <w:rPr>
                <w:rFonts w:hint="eastAsia" w:ascii="宋体" w:hAnsi="宋体" w:eastAsia="宋体" w:cs="宋体"/>
                <w:sz w:val="24"/>
                <w:szCs w:val="24"/>
                <w:lang w:val="en-US" w:eastAsia="zh-CN"/>
              </w:rPr>
              <w:t>3</w:t>
            </w:r>
            <w:r>
              <w:rPr>
                <w:rFonts w:hint="eastAsia" w:ascii="宋体" w:hAnsi="宋体" w:eastAsia="宋体" w:cs="宋体"/>
                <w:sz w:val="24"/>
                <w:szCs w:val="24"/>
              </w:rPr>
              <w:t>分，最多得</w:t>
            </w:r>
            <w:r>
              <w:rPr>
                <w:rFonts w:hint="eastAsia" w:ascii="宋体" w:hAnsi="宋体" w:eastAsia="宋体" w:cs="宋体"/>
                <w:sz w:val="24"/>
                <w:szCs w:val="24"/>
                <w:lang w:val="en-US" w:eastAsia="zh-CN"/>
              </w:rPr>
              <w:t>12</w:t>
            </w:r>
            <w:r>
              <w:rPr>
                <w:rFonts w:hint="eastAsia" w:ascii="宋体" w:hAnsi="宋体" w:eastAsia="宋体" w:cs="宋体"/>
                <w:sz w:val="24"/>
                <w:szCs w:val="24"/>
              </w:rPr>
              <w:t>分。</w:t>
            </w:r>
          </w:p>
          <w:p w14:paraId="2B70286C">
            <w:pPr>
              <w:keepNext w:val="0"/>
              <w:keepLines w:val="0"/>
              <w:pageBreakBefore w:val="0"/>
              <w:tabs>
                <w:tab w:val="left" w:pos="5130"/>
              </w:tabs>
              <w:kinsoku/>
              <w:wordWrap/>
              <w:overflowPunct/>
              <w:topLinePunct w:val="0"/>
              <w:autoSpaceDE/>
              <w:autoSpaceDN/>
              <w:bidi w:val="0"/>
              <w:adjustRightInd w:val="0"/>
              <w:snapToGrid w:val="0"/>
              <w:spacing w:after="0" w:line="360" w:lineRule="auto"/>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kern w:val="2"/>
                <w:sz w:val="24"/>
                <w:szCs w:val="24"/>
                <w:lang w:val="en-US" w:eastAsia="zh-CN" w:bidi="ar-SA"/>
                <w14:ligatures w14:val="standardContextual"/>
              </w:rPr>
              <w:t>注：以上拟投入人员得分不可兼得。（须提供证书及近半年来连续三个月在本公司的社保缴纳证明（新公司从成立之日算起）</w:t>
            </w:r>
            <w:r>
              <w:rPr>
                <w:rFonts w:hint="eastAsia" w:ascii="宋体" w:hAnsi="宋体" w:eastAsia="宋体" w:cs="宋体"/>
                <w:sz w:val="24"/>
                <w:szCs w:val="24"/>
              </w:rPr>
              <w:t>，不提供或缺项不得分。</w:t>
            </w:r>
            <w:r>
              <w:rPr>
                <w:rFonts w:hint="eastAsia" w:ascii="宋体" w:hAnsi="宋体" w:eastAsia="宋体" w:cs="宋体"/>
                <w:kern w:val="2"/>
                <w:sz w:val="24"/>
                <w:szCs w:val="24"/>
                <w:lang w:val="en-US" w:eastAsia="zh-CN" w:bidi="ar-SA"/>
                <w14:ligatures w14:val="standardContextual"/>
              </w:rPr>
              <w:t>）</w:t>
            </w:r>
          </w:p>
        </w:tc>
      </w:tr>
      <w:tr w14:paraId="6E975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5A56DFD8">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p>
        </w:tc>
        <w:tc>
          <w:tcPr>
            <w:tcW w:w="1766" w:type="dxa"/>
            <w:vAlign w:val="center"/>
          </w:tcPr>
          <w:p w14:paraId="0463819B">
            <w:pPr>
              <w:pStyle w:val="24"/>
              <w:keepNext w:val="0"/>
              <w:keepLines w:val="0"/>
              <w:pageBreakBefore w:val="0"/>
              <w:kinsoku/>
              <w:wordWrap/>
              <w:overflowPunct/>
              <w:topLinePunct w:val="0"/>
              <w:autoSpaceDE/>
              <w:autoSpaceDN/>
              <w:bidi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业绩</w:t>
            </w:r>
          </w:p>
          <w:p w14:paraId="147401C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（6分）</w:t>
            </w:r>
          </w:p>
        </w:tc>
        <w:tc>
          <w:tcPr>
            <w:tcW w:w="5521" w:type="dxa"/>
            <w:gridSpan w:val="2"/>
            <w:vAlign w:val="center"/>
          </w:tcPr>
          <w:p w14:paraId="582AAF89">
            <w:pPr>
              <w:pStyle w:val="24"/>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投标人提供自202</w:t>
            </w:r>
            <w:r>
              <w:rPr>
                <w:rFonts w:hint="eastAsia" w:ascii="宋体" w:hAnsi="宋体" w:eastAsia="宋体" w:cs="宋体"/>
                <w:sz w:val="24"/>
                <w:szCs w:val="24"/>
                <w:lang w:val="en-US" w:eastAsia="zh-CN"/>
              </w:rPr>
              <w:t>1</w:t>
            </w:r>
            <w:r>
              <w:rPr>
                <w:rFonts w:hint="eastAsia" w:ascii="宋体" w:hAnsi="宋体" w:eastAsia="宋体" w:cs="宋体"/>
                <w:sz w:val="24"/>
                <w:szCs w:val="24"/>
              </w:rPr>
              <w:t>年1月1日以来</w:t>
            </w:r>
            <w:r>
              <w:rPr>
                <w:rFonts w:hint="eastAsia" w:ascii="宋体" w:hAnsi="宋体" w:eastAsia="宋体" w:cs="宋体"/>
                <w:sz w:val="24"/>
                <w:szCs w:val="24"/>
                <w:lang w:val="en-US" w:eastAsia="zh-CN"/>
              </w:rPr>
              <w:t>类似规划类</w:t>
            </w:r>
            <w:r>
              <w:rPr>
                <w:rFonts w:hint="eastAsia" w:ascii="宋体" w:hAnsi="宋体" w:eastAsia="宋体" w:cs="宋体"/>
                <w:sz w:val="24"/>
                <w:szCs w:val="24"/>
              </w:rPr>
              <w:t>业绩，每提供一个得3分。本项最高得6分。</w:t>
            </w:r>
          </w:p>
          <w:p w14:paraId="67DC1800">
            <w:pPr>
              <w:pStyle w:val="24"/>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注：以合同签订时间为准</w:t>
            </w:r>
            <w:r>
              <w:rPr>
                <w:rFonts w:hint="eastAsia" w:ascii="宋体" w:hAnsi="宋体" w:eastAsia="宋体" w:cs="宋体"/>
                <w:sz w:val="24"/>
                <w:szCs w:val="24"/>
                <w:lang w:eastAsia="zh-CN"/>
              </w:rPr>
              <w:t>；</w:t>
            </w:r>
            <w:r>
              <w:rPr>
                <w:rFonts w:hint="eastAsia" w:ascii="宋体" w:hAnsi="宋体" w:eastAsia="宋体" w:cs="宋体"/>
                <w:sz w:val="24"/>
                <w:szCs w:val="24"/>
              </w:rPr>
              <w:t>响应文件中需提供中标通知书或合同扫描件，不提供不得分。</w:t>
            </w:r>
          </w:p>
        </w:tc>
      </w:tr>
      <w:tr w14:paraId="005C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218FE8CB">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p>
        </w:tc>
        <w:tc>
          <w:tcPr>
            <w:tcW w:w="1766" w:type="dxa"/>
            <w:shd w:val="clear" w:color="auto" w:fill="auto"/>
            <w:vAlign w:val="center"/>
          </w:tcPr>
          <w:p w14:paraId="1F0EED63">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服务承诺</w:t>
            </w:r>
          </w:p>
          <w:p w14:paraId="2030C0EC">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tc>
        <w:tc>
          <w:tcPr>
            <w:tcW w:w="5521" w:type="dxa"/>
            <w:gridSpan w:val="2"/>
            <w:shd w:val="clear" w:color="auto" w:fill="auto"/>
            <w:vAlign w:val="center"/>
          </w:tcPr>
          <w:p w14:paraId="2977DEC3">
            <w:pPr>
              <w:pStyle w:val="24"/>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sz w:val="24"/>
                <w:szCs w:val="24"/>
                <w:lang w:val="zh-CN"/>
              </w:rPr>
              <w:t>供应商</w:t>
            </w:r>
            <w:r>
              <w:rPr>
                <w:rFonts w:hint="eastAsia" w:ascii="宋体" w:hAnsi="宋体" w:eastAsia="宋体" w:cs="宋体"/>
                <w:sz w:val="24"/>
                <w:szCs w:val="24"/>
              </w:rPr>
              <w:t>承诺</w:t>
            </w:r>
            <w:r>
              <w:rPr>
                <w:rFonts w:hint="eastAsia" w:ascii="宋体" w:hAnsi="宋体" w:eastAsia="宋体" w:cs="宋体"/>
                <w:sz w:val="24"/>
                <w:szCs w:val="24"/>
                <w:lang w:val="zh-CN"/>
              </w:rPr>
              <w:t>在后续服务过程中相关专业人员积极提供相关服务，配合采购人协调各方关系，顺利衔接，并有实质性措施</w:t>
            </w:r>
            <w:r>
              <w:rPr>
                <w:rFonts w:hint="eastAsia" w:ascii="宋体" w:hAnsi="宋体" w:eastAsia="宋体" w:cs="宋体"/>
                <w:sz w:val="24"/>
                <w:szCs w:val="24"/>
              </w:rPr>
              <w:t>的得</w:t>
            </w:r>
            <w:r>
              <w:rPr>
                <w:rFonts w:hint="eastAsia" w:ascii="宋体" w:hAnsi="宋体" w:eastAsia="宋体" w:cs="宋体"/>
                <w:sz w:val="24"/>
                <w:szCs w:val="24"/>
                <w:lang w:val="en-US" w:eastAsia="zh-CN"/>
              </w:rPr>
              <w:t>2</w:t>
            </w:r>
            <w:r>
              <w:rPr>
                <w:rFonts w:hint="eastAsia" w:ascii="宋体" w:hAnsi="宋体" w:eastAsia="宋体" w:cs="宋体"/>
                <w:sz w:val="24"/>
                <w:szCs w:val="24"/>
              </w:rPr>
              <w:t>分，不提供或缺项不得分。</w:t>
            </w:r>
          </w:p>
        </w:tc>
      </w:tr>
    </w:tbl>
    <w:p w14:paraId="684C9B6A">
      <w:pPr>
        <w:spacing w:line="360" w:lineRule="auto"/>
        <w:ind w:right="-92" w:rightChars="-44"/>
        <w:rPr>
          <w:rFonts w:hint="eastAsia" w:ascii="宋体" w:hAnsi="宋体" w:cs="宋体"/>
          <w:sz w:val="24"/>
          <w:highlight w:val="none"/>
        </w:rPr>
      </w:pPr>
    </w:p>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08A9F2">
      <w:pPr>
        <w:spacing w:line="560" w:lineRule="exact"/>
        <w:rPr>
          <w:rFonts w:ascii="宋体" w:hAnsi="宋体" w:cs="宋体"/>
          <w:sz w:val="24"/>
          <w:highlight w:val="none"/>
        </w:rPr>
        <w:sectPr>
          <w:footerReference r:id="rId5" w:type="default"/>
          <w:pgSz w:w="11907" w:h="16840"/>
          <w:pgMar w:top="2098" w:right="1474" w:bottom="1985" w:left="1588" w:header="851" w:footer="992" w:gutter="0"/>
          <w:pgNumType w:fmt="decimal"/>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03A83A25">
      <w:pPr>
        <w:spacing w:line="360" w:lineRule="auto"/>
        <w:ind w:firstLine="482" w:firstLineChars="200"/>
        <w:rPr>
          <w:rFonts w:hint="eastAsia" w:asciiTheme="minorEastAsia" w:hAnsiTheme="minorEastAsia" w:eastAsia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w:t>
      </w:r>
      <w:r>
        <w:rPr>
          <w:rFonts w:hint="eastAsia" w:asciiTheme="minorEastAsia" w:hAnsiTheme="minorEastAsia" w:eastAsiaTheme="minorEastAsia" w:cstheme="minorEastAsia"/>
          <w:b/>
          <w:bCs w:val="0"/>
          <w:sz w:val="24"/>
          <w:szCs w:val="24"/>
          <w:highlight w:val="none"/>
          <w:lang w:val="en-US" w:eastAsia="zh-CN"/>
        </w:rPr>
        <w:t>采购内容</w:t>
      </w:r>
    </w:p>
    <w:p w14:paraId="14AB6640">
      <w:pPr>
        <w:pStyle w:val="69"/>
        <w:spacing w:line="360" w:lineRule="auto"/>
        <w:ind w:left="360"/>
        <w:rPr>
          <w:rFonts w:hint="eastAsia" w:ascii="宋体" w:hAnsi="宋体" w:eastAsia="宋体"/>
          <w:sz w:val="24"/>
          <w:szCs w:val="24"/>
        </w:rPr>
      </w:pPr>
      <w:r>
        <w:rPr>
          <w:rFonts w:hint="eastAsia" w:ascii="宋体" w:hAnsi="宋体" w:eastAsia="宋体"/>
          <w:sz w:val="24"/>
          <w:szCs w:val="24"/>
        </w:rPr>
        <w:t>一、项目目标</w:t>
      </w:r>
    </w:p>
    <w:p w14:paraId="0E7E54C2">
      <w:pPr>
        <w:pStyle w:val="69"/>
        <w:spacing w:line="360" w:lineRule="auto"/>
        <w:ind w:left="360" w:firstLine="480" w:firstLineChars="200"/>
        <w:rPr>
          <w:rFonts w:hint="eastAsia" w:ascii="宋体" w:hAnsi="宋体" w:eastAsia="宋体"/>
          <w:sz w:val="24"/>
          <w:szCs w:val="24"/>
        </w:rPr>
      </w:pPr>
      <w:r>
        <w:rPr>
          <w:rFonts w:hint="eastAsia" w:ascii="宋体" w:hAnsi="宋体" w:eastAsia="宋体"/>
          <w:sz w:val="24"/>
          <w:szCs w:val="24"/>
        </w:rPr>
        <w:t>落实县级国土空间规划动态维护要求，严守三条控制线，优化空间布局，保障重点项目落地，更新规划数据库，提升规划实施效能，支撑县域高质量发展。</w:t>
      </w:r>
    </w:p>
    <w:p w14:paraId="1F865019">
      <w:pPr>
        <w:pStyle w:val="69"/>
        <w:spacing w:line="360" w:lineRule="auto"/>
        <w:ind w:left="360"/>
        <w:rPr>
          <w:rFonts w:hint="eastAsia" w:ascii="宋体" w:hAnsi="宋体" w:eastAsia="宋体"/>
          <w:sz w:val="24"/>
          <w:szCs w:val="24"/>
        </w:rPr>
      </w:pPr>
      <w:r>
        <w:rPr>
          <w:rFonts w:hint="eastAsia" w:ascii="宋体" w:hAnsi="宋体" w:eastAsia="宋体"/>
          <w:sz w:val="24"/>
          <w:szCs w:val="24"/>
        </w:rPr>
        <w:t>二、服务范围</w:t>
      </w:r>
    </w:p>
    <w:p w14:paraId="7EBB9CB4">
      <w:pPr>
        <w:pStyle w:val="69"/>
        <w:spacing w:line="360" w:lineRule="auto"/>
        <w:ind w:left="360"/>
        <w:rPr>
          <w:rFonts w:hint="eastAsia" w:ascii="宋体" w:hAnsi="宋体" w:eastAsia="宋体"/>
          <w:sz w:val="24"/>
          <w:szCs w:val="24"/>
        </w:rPr>
      </w:pPr>
      <w:r>
        <w:rPr>
          <w:rFonts w:hint="eastAsia" w:ascii="宋体" w:hAnsi="宋体" w:eastAsia="宋体"/>
          <w:sz w:val="24"/>
          <w:szCs w:val="24"/>
        </w:rPr>
        <w:t>沈丘县行政辖区，以已批复的《沈丘县国土空间总体规划（2021—2035年）》为基础，开展年度动态维护及相关技术服务。</w:t>
      </w:r>
    </w:p>
    <w:p w14:paraId="7E77AC7C">
      <w:pPr>
        <w:pStyle w:val="69"/>
        <w:spacing w:line="360" w:lineRule="auto"/>
        <w:ind w:left="360"/>
        <w:rPr>
          <w:rFonts w:hint="eastAsia" w:ascii="宋体" w:hAnsi="宋体" w:eastAsia="宋体"/>
          <w:sz w:val="24"/>
          <w:szCs w:val="24"/>
        </w:rPr>
      </w:pPr>
      <w:r>
        <w:rPr>
          <w:rFonts w:hint="eastAsia" w:ascii="宋体" w:hAnsi="宋体" w:eastAsia="宋体"/>
          <w:sz w:val="24"/>
          <w:szCs w:val="24"/>
        </w:rPr>
        <w:t>三、核心工作内容</w:t>
      </w:r>
    </w:p>
    <w:p w14:paraId="5020FE11">
      <w:pPr>
        <w:pStyle w:val="69"/>
        <w:spacing w:line="360" w:lineRule="auto"/>
        <w:ind w:left="360"/>
        <w:rPr>
          <w:rFonts w:hint="eastAsia" w:ascii="宋体" w:hAnsi="宋体" w:eastAsia="宋体"/>
          <w:sz w:val="24"/>
          <w:szCs w:val="24"/>
        </w:rPr>
      </w:pPr>
      <w:r>
        <w:rPr>
          <w:rFonts w:hint="eastAsia" w:ascii="宋体" w:hAnsi="宋体" w:eastAsia="宋体"/>
          <w:sz w:val="24"/>
          <w:szCs w:val="24"/>
        </w:rPr>
        <w:t>1. 结合年度体检评估：收集基础数据，开展合规性、实施效益评估。</w:t>
      </w:r>
    </w:p>
    <w:p w14:paraId="1CBFB71B">
      <w:pPr>
        <w:pStyle w:val="69"/>
        <w:spacing w:line="360" w:lineRule="auto"/>
        <w:ind w:left="360"/>
        <w:rPr>
          <w:rFonts w:hint="eastAsia" w:ascii="宋体" w:hAnsi="宋体" w:eastAsia="宋体"/>
          <w:sz w:val="24"/>
          <w:szCs w:val="24"/>
        </w:rPr>
      </w:pPr>
      <w:r>
        <w:rPr>
          <w:rFonts w:hint="eastAsia" w:ascii="宋体" w:hAnsi="宋体" w:eastAsia="宋体"/>
          <w:sz w:val="24"/>
          <w:szCs w:val="24"/>
        </w:rPr>
        <w:t>2. “三区三线”正向优化：在合规前提下，优化永久基本农田保护红线、城镇开发边界布局，确保指标达标、功能稳定。</w:t>
      </w:r>
    </w:p>
    <w:p w14:paraId="01E053FD">
      <w:pPr>
        <w:pStyle w:val="69"/>
        <w:spacing w:line="360" w:lineRule="auto"/>
        <w:ind w:left="360"/>
        <w:rPr>
          <w:rFonts w:hint="eastAsia" w:ascii="宋体" w:hAnsi="宋体" w:eastAsia="宋体"/>
          <w:sz w:val="24"/>
          <w:szCs w:val="24"/>
        </w:rPr>
      </w:pPr>
      <w:r>
        <w:rPr>
          <w:rFonts w:hint="eastAsia" w:ascii="宋体" w:hAnsi="宋体" w:eastAsia="宋体"/>
          <w:sz w:val="24"/>
          <w:szCs w:val="24"/>
        </w:rPr>
        <w:t>3. 规划布局优化：优化“三生空间”及城镇功能分区，中心城区用地布局，城市四线、城市重要控制线等内容。</w:t>
      </w:r>
    </w:p>
    <w:p w14:paraId="1602C7D6">
      <w:pPr>
        <w:pStyle w:val="69"/>
        <w:spacing w:line="360" w:lineRule="auto"/>
        <w:ind w:left="360"/>
        <w:rPr>
          <w:rFonts w:hint="eastAsia" w:ascii="宋体" w:hAnsi="宋体" w:eastAsia="宋体"/>
          <w:sz w:val="24"/>
          <w:szCs w:val="24"/>
        </w:rPr>
      </w:pPr>
      <w:r>
        <w:rPr>
          <w:rFonts w:hint="eastAsia" w:ascii="宋体" w:hAnsi="宋体" w:eastAsia="宋体"/>
          <w:sz w:val="24"/>
          <w:szCs w:val="24"/>
        </w:rPr>
        <w:t>4. 重点项目保障：梳理年度重点项目，精准落位并协调解决用地冲突，建立动态台账。</w:t>
      </w:r>
    </w:p>
    <w:p w14:paraId="03B915B2">
      <w:pPr>
        <w:pStyle w:val="69"/>
        <w:spacing w:line="360" w:lineRule="auto"/>
        <w:ind w:left="360"/>
        <w:rPr>
          <w:rFonts w:hint="eastAsia" w:ascii="宋体" w:hAnsi="宋体" w:eastAsia="宋体"/>
          <w:sz w:val="24"/>
          <w:szCs w:val="24"/>
        </w:rPr>
      </w:pPr>
      <w:r>
        <w:rPr>
          <w:rFonts w:hint="eastAsia" w:ascii="宋体" w:hAnsi="宋体" w:eastAsia="宋体"/>
          <w:sz w:val="24"/>
          <w:szCs w:val="24"/>
        </w:rPr>
        <w:t>5. 数据库更新与入库：按标准更新规划数据库，对接省市“一张图”系统并汇交备案。</w:t>
      </w:r>
    </w:p>
    <w:p w14:paraId="6E81F393">
      <w:pPr>
        <w:pStyle w:val="69"/>
        <w:spacing w:line="360" w:lineRule="auto"/>
        <w:ind w:left="360"/>
        <w:rPr>
          <w:rFonts w:hint="eastAsia" w:ascii="宋体" w:hAnsi="宋体" w:eastAsia="宋体"/>
          <w:sz w:val="24"/>
          <w:szCs w:val="24"/>
        </w:rPr>
      </w:pPr>
      <w:r>
        <w:rPr>
          <w:rFonts w:hint="eastAsia" w:ascii="宋体" w:hAnsi="宋体" w:eastAsia="宋体"/>
          <w:sz w:val="24"/>
          <w:szCs w:val="24"/>
        </w:rPr>
        <w:t>6. 成果编制与报审：编制动态维护方案及相关成果，协助完成征求意见、论证、公示、报批及备案，提供技术交底与1年技术咨询。</w:t>
      </w:r>
    </w:p>
    <w:p w14:paraId="0A6A4B29">
      <w:pPr>
        <w:pStyle w:val="69"/>
        <w:spacing w:line="360" w:lineRule="auto"/>
        <w:ind w:left="360"/>
        <w:rPr>
          <w:rFonts w:hint="eastAsia" w:ascii="宋体" w:hAnsi="宋体" w:eastAsia="宋体"/>
          <w:sz w:val="24"/>
          <w:szCs w:val="24"/>
        </w:rPr>
      </w:pPr>
      <w:r>
        <w:rPr>
          <w:rFonts w:hint="eastAsia" w:ascii="宋体" w:hAnsi="宋体" w:eastAsia="宋体"/>
          <w:sz w:val="24"/>
          <w:szCs w:val="24"/>
        </w:rPr>
        <w:t>四、交付成果</w:t>
      </w:r>
    </w:p>
    <w:p w14:paraId="0D082C30">
      <w:pPr>
        <w:pStyle w:val="69"/>
        <w:spacing w:line="360" w:lineRule="auto"/>
        <w:ind w:left="360"/>
        <w:rPr>
          <w:rFonts w:hint="eastAsia" w:ascii="宋体" w:hAnsi="宋体" w:cs="宋体"/>
          <w:color w:val="auto"/>
          <w:sz w:val="24"/>
          <w:lang w:val="zh-CN"/>
        </w:rPr>
      </w:pPr>
      <w:r>
        <w:rPr>
          <w:rFonts w:hint="eastAsia" w:ascii="宋体" w:hAnsi="宋体" w:eastAsia="宋体"/>
          <w:sz w:val="24"/>
          <w:szCs w:val="24"/>
        </w:rPr>
        <w:t>包括文字成果（维护方案等）、图件成果（各类规划图件）、数据库成果（合规可入库）及全套报审资料。</w:t>
      </w:r>
    </w:p>
    <w:p w14:paraId="1BD4C005">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197831AD">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支付方式：项目分3次支付</w:t>
      </w:r>
    </w:p>
    <w:p w14:paraId="1CB20812">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(1) 本合同签订生效后，甲方向乙方支付前期费用，即合同价款的30%。</w:t>
      </w:r>
    </w:p>
    <w:p w14:paraId="05311F43">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(2)乙方完成项目专家评审工作后，甲方向乙方支付合同价款的40%。</w:t>
      </w:r>
    </w:p>
    <w:p w14:paraId="4297A887">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rPr>
        <w:t>(3)规划成果完成提交后，支付合同剩余价款的30%。</w:t>
      </w:r>
    </w:p>
    <w:p w14:paraId="7DCEB4CA">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5CD20FD2">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3、服务期：合同签订后90日历天</w:t>
      </w:r>
    </w:p>
    <w:p w14:paraId="54C11B7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质量保证：符合国家、省、市相关技术规范，通过主管部门审查、入库及备案。</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5CB7EE59">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2"/>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2"/>
        <w:ind w:firstLine="240"/>
        <w:rPr>
          <w:rFonts w:ascii="宋体" w:hAnsi="宋体" w:cs="宋体"/>
          <w:sz w:val="24"/>
          <w:highlight w:val="none"/>
        </w:rPr>
      </w:pPr>
    </w:p>
    <w:p w14:paraId="2742E2F9">
      <w:pPr>
        <w:pStyle w:val="2"/>
        <w:ind w:firstLine="240"/>
        <w:rPr>
          <w:rFonts w:ascii="宋体" w:hAnsi="宋体" w:cs="宋体"/>
          <w:sz w:val="24"/>
          <w:highlight w:val="none"/>
        </w:rPr>
      </w:pPr>
    </w:p>
    <w:p w14:paraId="399B1873">
      <w:pPr>
        <w:pStyle w:val="2"/>
        <w:ind w:firstLine="240"/>
        <w:rPr>
          <w:rFonts w:ascii="宋体" w:hAnsi="宋体" w:cs="宋体"/>
          <w:sz w:val="24"/>
          <w:highlight w:val="none"/>
        </w:rPr>
      </w:pPr>
    </w:p>
    <w:p w14:paraId="4A5C0908">
      <w:pPr>
        <w:pStyle w:val="2"/>
        <w:ind w:firstLine="240"/>
        <w:rPr>
          <w:rFonts w:ascii="宋体" w:hAnsi="宋体" w:cs="宋体"/>
          <w:sz w:val="24"/>
          <w:highlight w:val="none"/>
        </w:rPr>
      </w:pPr>
    </w:p>
    <w:p w14:paraId="72335D9F">
      <w:pPr>
        <w:pStyle w:val="2"/>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2"/>
        <w:ind w:firstLine="210"/>
        <w:rPr>
          <w:highlight w:val="none"/>
        </w:rPr>
      </w:pPr>
    </w:p>
    <w:p w14:paraId="7CDDF6E2">
      <w:pPr>
        <w:pStyle w:val="2"/>
        <w:ind w:firstLine="210"/>
        <w:rPr>
          <w:highlight w:val="none"/>
        </w:rPr>
      </w:pPr>
    </w:p>
    <w:p w14:paraId="014F088B">
      <w:pPr>
        <w:pStyle w:val="2"/>
        <w:ind w:firstLine="210"/>
        <w:rPr>
          <w:highlight w:val="none"/>
        </w:rPr>
      </w:pPr>
    </w:p>
    <w:p w14:paraId="11C3C249">
      <w:pPr>
        <w:pStyle w:val="2"/>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7"/>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3"/>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5"/>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 xml:space="preserve">电 话：               </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2"/>
        <w:ind w:firstLine="240"/>
        <w:rPr>
          <w:rFonts w:ascii="宋体" w:hAnsi="宋体" w:cs="宋体"/>
          <w:sz w:val="24"/>
          <w:highlight w:val="none"/>
        </w:rPr>
      </w:pPr>
    </w:p>
    <w:p w14:paraId="0AF5410C">
      <w:pPr>
        <w:pStyle w:val="2"/>
        <w:ind w:firstLine="240"/>
        <w:rPr>
          <w:rFonts w:ascii="宋体" w:hAnsi="宋体" w:cs="宋体"/>
          <w:sz w:val="24"/>
          <w:highlight w:val="none"/>
        </w:rPr>
      </w:pPr>
    </w:p>
    <w:p w14:paraId="36C60824">
      <w:pPr>
        <w:pStyle w:val="2"/>
        <w:ind w:firstLine="240"/>
        <w:rPr>
          <w:rFonts w:ascii="宋体" w:hAnsi="宋体" w:cs="宋体"/>
          <w:sz w:val="24"/>
          <w:highlight w:val="none"/>
        </w:rPr>
      </w:pPr>
    </w:p>
    <w:p w14:paraId="35A34597">
      <w:pPr>
        <w:pStyle w:val="2"/>
        <w:ind w:firstLine="240"/>
        <w:rPr>
          <w:rFonts w:ascii="宋体" w:hAnsi="宋体" w:cs="宋体"/>
          <w:sz w:val="24"/>
          <w:highlight w:val="none"/>
        </w:rPr>
      </w:pPr>
    </w:p>
    <w:p w14:paraId="5A8EFA76">
      <w:pPr>
        <w:pStyle w:val="2"/>
        <w:ind w:firstLine="240"/>
        <w:rPr>
          <w:rFonts w:ascii="宋体" w:hAnsi="宋体" w:cs="宋体"/>
          <w:sz w:val="24"/>
          <w:highlight w:val="none"/>
        </w:rPr>
      </w:pPr>
    </w:p>
    <w:p w14:paraId="35705D53">
      <w:pPr>
        <w:pStyle w:val="2"/>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7"/>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8"/>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8"/>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8"/>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2"/>
        <w:ind w:firstLine="241"/>
        <w:rPr>
          <w:rFonts w:ascii="宋体" w:hAnsi="宋体" w:cs="宋体"/>
          <w:b/>
          <w:sz w:val="24"/>
          <w:highlight w:val="none"/>
        </w:rPr>
      </w:pPr>
    </w:p>
    <w:p w14:paraId="7912DE7A">
      <w:pPr>
        <w:pStyle w:val="2"/>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6"/>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6"/>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6"/>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6"/>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6"/>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6"/>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6"/>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2"/>
        <w:rPr>
          <w:rFonts w:ascii="宋体" w:hAnsi="宋体" w:cs="宋体"/>
          <w:sz w:val="24"/>
          <w:szCs w:val="24"/>
          <w:highlight w:val="none"/>
        </w:rPr>
      </w:pPr>
    </w:p>
    <w:p w14:paraId="51726D06">
      <w:pPr>
        <w:pStyle w:val="42"/>
        <w:rPr>
          <w:rFonts w:ascii="宋体" w:hAnsi="宋体" w:cs="宋体"/>
          <w:sz w:val="24"/>
          <w:szCs w:val="24"/>
          <w:highlight w:val="none"/>
        </w:rPr>
      </w:pPr>
    </w:p>
    <w:p w14:paraId="5CF83A87">
      <w:pPr>
        <w:pStyle w:val="42"/>
        <w:rPr>
          <w:rFonts w:ascii="宋体" w:hAnsi="宋体" w:cs="宋体"/>
          <w:sz w:val="24"/>
          <w:szCs w:val="24"/>
          <w:highlight w:val="none"/>
        </w:rPr>
      </w:pPr>
    </w:p>
    <w:p w14:paraId="6949FCEF">
      <w:pPr>
        <w:pStyle w:val="42"/>
        <w:rPr>
          <w:rFonts w:ascii="宋体" w:hAnsi="宋体" w:cs="宋体"/>
          <w:sz w:val="24"/>
          <w:szCs w:val="24"/>
          <w:highlight w:val="none"/>
        </w:rPr>
      </w:pPr>
    </w:p>
    <w:p w14:paraId="66079CD5">
      <w:pPr>
        <w:pStyle w:val="42"/>
        <w:rPr>
          <w:rFonts w:ascii="宋体" w:hAnsi="宋体" w:cs="宋体"/>
          <w:sz w:val="24"/>
          <w:szCs w:val="24"/>
          <w:highlight w:val="none"/>
        </w:rPr>
      </w:pPr>
    </w:p>
    <w:p w14:paraId="2955110F">
      <w:pPr>
        <w:pStyle w:val="42"/>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2"/>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w:t>
      </w:r>
      <w:r>
        <w:rPr>
          <w:rFonts w:hint="eastAsia" w:ascii="宋体" w:hAnsi="宋体" w:cs="宋体"/>
          <w:sz w:val="24"/>
          <w:highlight w:val="none"/>
          <w:lang w:val="en-US" w:eastAsia="zh-CN"/>
        </w:rPr>
        <w:t>22</w:t>
      </w:r>
      <w:r>
        <w:rPr>
          <w:rFonts w:hint="eastAsia" w:ascii="宋体" w:hAnsi="宋体" w:cs="宋体"/>
          <w:sz w:val="24"/>
          <w:highlight w:val="none"/>
        </w:rPr>
        <w:t>﹞</w:t>
      </w:r>
      <w:r>
        <w:rPr>
          <w:rFonts w:hint="eastAsia" w:ascii="宋体" w:hAnsi="宋体" w:cs="宋体"/>
          <w:sz w:val="24"/>
          <w:highlight w:val="none"/>
          <w:lang w:val="en-US" w:eastAsia="zh-CN"/>
        </w:rPr>
        <w:t>19</w:t>
      </w:r>
      <w:r>
        <w:rPr>
          <w:rFonts w:hint="eastAsia" w:ascii="宋体" w:hAnsi="宋体" w:cs="宋体"/>
          <w:sz w:val="24"/>
          <w:highlight w:val="none"/>
        </w:rPr>
        <w:t>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2"/>
        <w:rPr>
          <w:rFonts w:ascii="宋体" w:hAnsi="宋体" w:cs="宋体"/>
          <w:sz w:val="24"/>
          <w:szCs w:val="24"/>
          <w:highlight w:val="none"/>
        </w:rPr>
      </w:pPr>
    </w:p>
    <w:p w14:paraId="05C4B55B">
      <w:pPr>
        <w:pStyle w:val="8"/>
        <w:rPr>
          <w:rFonts w:ascii="宋体" w:hAnsi="宋体" w:eastAsia="宋体" w:cs="宋体"/>
          <w:sz w:val="24"/>
          <w:highlight w:val="none"/>
        </w:rPr>
      </w:pPr>
    </w:p>
    <w:p w14:paraId="4F4099A1">
      <w:pPr>
        <w:rPr>
          <w:rFonts w:ascii="宋体" w:hAnsi="宋体" w:cs="宋体"/>
          <w:sz w:val="24"/>
          <w:highlight w:val="none"/>
        </w:rPr>
      </w:pPr>
    </w:p>
    <w:p w14:paraId="742CDDD6">
      <w:pPr>
        <w:pStyle w:val="42"/>
        <w:rPr>
          <w:rFonts w:ascii="宋体" w:hAnsi="宋体" w:cs="宋体"/>
          <w:sz w:val="24"/>
          <w:szCs w:val="24"/>
          <w:highlight w:val="none"/>
        </w:rPr>
      </w:pPr>
    </w:p>
    <w:p w14:paraId="4A130160">
      <w:pPr>
        <w:pStyle w:val="8"/>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6"/>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4"/>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4"/>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4"/>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2"/>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5"/>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54A7639E">
      <w:pPr>
        <w:pStyle w:val="87"/>
        <w:spacing w:beforeLines="0" w:afterLines="0"/>
        <w:ind w:left="0" w:firstLine="640" w:firstLineChars="200"/>
        <w:rPr>
          <w:rFonts w:ascii="宋体" w:hAnsi="宋体" w:cs="宋体"/>
          <w:sz w:val="32"/>
          <w:szCs w:val="32"/>
          <w:highlight w:val="none"/>
        </w:rPr>
      </w:pPr>
    </w:p>
    <w:p w14:paraId="71DFBF10">
      <w:pPr>
        <w:pStyle w:val="87"/>
        <w:spacing w:beforeLines="0" w:afterLines="0"/>
        <w:ind w:left="0" w:firstLine="640" w:firstLineChars="200"/>
        <w:rPr>
          <w:rFonts w:ascii="宋体" w:hAnsi="宋体" w:cs="宋体"/>
          <w:sz w:val="32"/>
          <w:szCs w:val="32"/>
          <w:highlight w:val="none"/>
        </w:rPr>
      </w:pPr>
    </w:p>
    <w:p w14:paraId="226AD88D">
      <w:pPr>
        <w:pStyle w:val="87"/>
        <w:spacing w:beforeLines="0" w:afterLines="0"/>
        <w:ind w:left="0" w:firstLine="600" w:firstLineChars="200"/>
        <w:rPr>
          <w:rFonts w:ascii="宋体" w:hAnsi="宋体" w:cs="宋体"/>
          <w:sz w:val="30"/>
          <w:szCs w:val="30"/>
          <w:highlight w:val="none"/>
        </w:rPr>
      </w:pPr>
    </w:p>
    <w:p w14:paraId="42E9FDFB">
      <w:pPr>
        <w:pStyle w:val="87"/>
        <w:spacing w:beforeLines="0" w:afterLines="0"/>
        <w:ind w:left="0" w:firstLine="600" w:firstLineChars="200"/>
        <w:rPr>
          <w:rFonts w:ascii="宋体" w:hAnsi="宋体" w:cs="宋体"/>
          <w:sz w:val="30"/>
          <w:szCs w:val="30"/>
          <w:highlight w:val="none"/>
        </w:rPr>
      </w:pPr>
    </w:p>
    <w:p w14:paraId="2F5AB4FE">
      <w:pPr>
        <w:pStyle w:val="87"/>
        <w:spacing w:beforeLines="0" w:afterLines="0"/>
        <w:ind w:left="0" w:firstLine="600" w:firstLineChars="200"/>
        <w:rPr>
          <w:rFonts w:ascii="宋体" w:hAnsi="宋体" w:cs="宋体"/>
          <w:sz w:val="30"/>
          <w:szCs w:val="30"/>
          <w:highlight w:val="none"/>
        </w:rPr>
      </w:pPr>
    </w:p>
    <w:p w14:paraId="27D7FCB6">
      <w:pPr>
        <w:pStyle w:val="87"/>
        <w:spacing w:beforeLines="0" w:afterLines="0"/>
        <w:ind w:left="0" w:firstLine="600" w:firstLineChars="200"/>
        <w:rPr>
          <w:rFonts w:ascii="宋体" w:hAnsi="宋体" w:cs="宋体"/>
          <w:sz w:val="30"/>
          <w:szCs w:val="30"/>
          <w:highlight w:val="none"/>
        </w:rPr>
      </w:pPr>
    </w:p>
    <w:p w14:paraId="561789D6">
      <w:pPr>
        <w:pStyle w:val="87"/>
        <w:spacing w:beforeLines="0" w:afterLines="0"/>
        <w:ind w:left="0" w:firstLine="600" w:firstLineChars="200"/>
        <w:rPr>
          <w:rFonts w:ascii="宋体" w:hAnsi="宋体" w:cs="宋体"/>
          <w:sz w:val="30"/>
          <w:szCs w:val="30"/>
          <w:highlight w:val="none"/>
        </w:rPr>
      </w:pPr>
    </w:p>
    <w:p w14:paraId="74A9D594">
      <w:pPr>
        <w:pStyle w:val="87"/>
        <w:spacing w:beforeLines="0" w:afterLines="0"/>
        <w:ind w:left="0" w:firstLine="600" w:firstLineChars="200"/>
        <w:rPr>
          <w:rFonts w:ascii="宋体" w:hAnsi="宋体" w:cs="宋体"/>
          <w:sz w:val="30"/>
          <w:szCs w:val="30"/>
          <w:highlight w:val="none"/>
        </w:rPr>
      </w:pPr>
    </w:p>
    <w:p w14:paraId="45155C0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7"/>
        <w:spacing w:beforeLines="0" w:afterLines="0"/>
        <w:ind w:left="0" w:firstLine="600" w:firstLineChars="200"/>
        <w:rPr>
          <w:rFonts w:ascii="宋体" w:hAnsi="宋体" w:cs="宋体"/>
          <w:sz w:val="30"/>
          <w:szCs w:val="30"/>
          <w:highlight w:val="none"/>
        </w:rPr>
      </w:pPr>
    </w:p>
    <w:p w14:paraId="17C569B3">
      <w:pPr>
        <w:pStyle w:val="87"/>
        <w:spacing w:beforeLines="0" w:afterLines="0"/>
        <w:ind w:left="0" w:firstLine="600" w:firstLineChars="200"/>
        <w:rPr>
          <w:rFonts w:ascii="宋体" w:hAnsi="宋体" w:cs="宋体"/>
          <w:sz w:val="30"/>
          <w:szCs w:val="30"/>
          <w:highlight w:val="none"/>
        </w:rPr>
      </w:pPr>
    </w:p>
    <w:p w14:paraId="267B9FD9">
      <w:pPr>
        <w:pStyle w:val="87"/>
        <w:spacing w:beforeLines="0" w:afterLines="0"/>
        <w:ind w:left="0" w:firstLine="600" w:firstLineChars="200"/>
        <w:rPr>
          <w:rFonts w:ascii="宋体" w:hAnsi="宋体" w:cs="宋体"/>
          <w:sz w:val="30"/>
          <w:szCs w:val="30"/>
          <w:highlight w:val="none"/>
        </w:rPr>
      </w:pPr>
    </w:p>
    <w:p w14:paraId="529D7325">
      <w:pPr>
        <w:pStyle w:val="87"/>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7"/>
        <w:spacing w:beforeLines="0" w:afterLines="0" w:line="440" w:lineRule="exact"/>
        <w:ind w:left="0"/>
        <w:rPr>
          <w:rFonts w:ascii="宋体" w:hAnsi="宋体" w:cs="宋体"/>
          <w:sz w:val="30"/>
          <w:szCs w:val="30"/>
          <w:highlight w:val="none"/>
        </w:rPr>
      </w:pPr>
    </w:p>
    <w:p w14:paraId="476B4E2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7"/>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7"/>
        <w:spacing w:beforeLines="0" w:afterLines="0" w:line="440" w:lineRule="exact"/>
        <w:ind w:left="0"/>
        <w:jc w:val="center"/>
        <w:rPr>
          <w:rFonts w:ascii="宋体" w:hAnsi="宋体" w:cs="宋体"/>
          <w:bCs/>
          <w:sz w:val="32"/>
          <w:szCs w:val="32"/>
          <w:highlight w:val="none"/>
        </w:rPr>
      </w:pPr>
    </w:p>
    <w:p w14:paraId="4F09D6F1">
      <w:pPr>
        <w:pStyle w:val="87"/>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7"/>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5"/>
        <w:spacing w:line="500" w:lineRule="exact"/>
        <w:jc w:val="both"/>
        <w:rPr>
          <w:rFonts w:ascii="宋体" w:hAnsi="宋体" w:cs="宋体"/>
          <w:sz w:val="21"/>
          <w:szCs w:val="21"/>
          <w:highlight w:val="none"/>
        </w:rPr>
      </w:pPr>
    </w:p>
    <w:p w14:paraId="6FD8C736">
      <w:pPr>
        <w:pStyle w:val="5"/>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4"/>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12"/>
        <w:pageBreakBefore w:val="0"/>
        <w:widowControl w:val="0"/>
        <w:kinsoku/>
        <w:wordWrap/>
        <w:overflowPunct w:val="0"/>
        <w:topLinePunct w:val="0"/>
        <w:autoSpaceDE/>
        <w:autoSpaceDN/>
        <w:bidi w:val="0"/>
        <w:adjustRightInd/>
        <w:snapToGrid/>
        <w:spacing w:line="364" w:lineRule="auto"/>
        <w:ind w:firstLine="420" w:firstLineChars="200"/>
        <w:textAlignment w:val="auto"/>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4"/>
        <w:pageBreakBefore w:val="0"/>
        <w:widowControl w:val="0"/>
        <w:kinsoku/>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2"/>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4"/>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1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CA963B">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4"/>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2"/>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2"/>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2"/>
        <w:ind w:firstLine="321"/>
        <w:jc w:val="center"/>
        <w:rPr>
          <w:b/>
          <w:sz w:val="32"/>
          <w:szCs w:val="32"/>
          <w:highlight w:val="none"/>
        </w:rPr>
      </w:pPr>
      <w:r>
        <w:rPr>
          <w:rFonts w:hint="eastAsia"/>
          <w:b/>
          <w:sz w:val="32"/>
          <w:szCs w:val="32"/>
          <w:highlight w:val="none"/>
        </w:rPr>
        <w:t>周口市政府采购合同融资政策告知函</w:t>
      </w:r>
    </w:p>
    <w:p w14:paraId="1FD406FB">
      <w:pPr>
        <w:pStyle w:val="2"/>
        <w:ind w:firstLine="240"/>
        <w:rPr>
          <w:rFonts w:asciiTheme="minorEastAsia" w:hAnsiTheme="minorEastAsia" w:eastAsiaTheme="minorEastAsia"/>
          <w:sz w:val="24"/>
          <w:highlight w:val="none"/>
        </w:rPr>
      </w:pPr>
    </w:p>
    <w:p w14:paraId="0E082FA9">
      <w:pPr>
        <w:pStyle w:val="2"/>
        <w:ind w:firstLine="240"/>
        <w:rPr>
          <w:rFonts w:asciiTheme="minorEastAsia" w:hAnsiTheme="minorEastAsia" w:eastAsiaTheme="minorEastAsia"/>
          <w:sz w:val="24"/>
          <w:highlight w:val="none"/>
        </w:rPr>
      </w:pPr>
    </w:p>
    <w:p w14:paraId="620107BF">
      <w:pPr>
        <w:pStyle w:val="2"/>
        <w:ind w:firstLine="240"/>
        <w:rPr>
          <w:rFonts w:asciiTheme="minorEastAsia" w:hAnsiTheme="minorEastAsia" w:eastAsiaTheme="minorEastAsia"/>
          <w:sz w:val="24"/>
          <w:highlight w:val="none"/>
        </w:rPr>
      </w:pPr>
    </w:p>
    <w:p w14:paraId="01674F72">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7"/>
        <w:spacing w:before="0" w:beforeAutospacing="0" w:after="0" w:afterAutospacing="0" w:line="330" w:lineRule="atLeast"/>
        <w:rPr>
          <w:rFonts w:cs="仿宋_GB2312"/>
          <w:b/>
          <w:bCs/>
          <w:color w:val="0000FF"/>
          <w:sz w:val="21"/>
          <w:szCs w:val="21"/>
          <w:highlight w:val="none"/>
        </w:rPr>
      </w:pPr>
    </w:p>
    <w:p w14:paraId="40B779FA">
      <w:pPr>
        <w:pStyle w:val="27"/>
        <w:spacing w:before="0" w:beforeAutospacing="0" w:after="0" w:afterAutospacing="0" w:line="330" w:lineRule="atLeast"/>
        <w:rPr>
          <w:rFonts w:cs="仿宋_GB2312"/>
          <w:b/>
          <w:bCs/>
          <w:color w:val="0000FF"/>
          <w:sz w:val="21"/>
          <w:szCs w:val="21"/>
          <w:highlight w:val="none"/>
        </w:rPr>
      </w:pPr>
    </w:p>
    <w:p w14:paraId="183C33C5">
      <w:pPr>
        <w:pStyle w:val="27"/>
        <w:spacing w:before="0" w:beforeAutospacing="0" w:after="0" w:afterAutospacing="0" w:line="330" w:lineRule="atLeast"/>
        <w:rPr>
          <w:rFonts w:cs="仿宋_GB2312"/>
          <w:b/>
          <w:bCs/>
          <w:color w:val="0000FF"/>
          <w:sz w:val="21"/>
          <w:szCs w:val="21"/>
          <w:highlight w:val="none"/>
        </w:rPr>
      </w:pPr>
    </w:p>
    <w:p w14:paraId="37E20749">
      <w:pPr>
        <w:pStyle w:val="27"/>
        <w:spacing w:before="0" w:beforeAutospacing="0" w:after="0" w:afterAutospacing="0" w:line="330" w:lineRule="atLeast"/>
        <w:rPr>
          <w:rFonts w:cs="仿宋_GB2312"/>
          <w:b/>
          <w:bCs/>
          <w:color w:val="0000FF"/>
          <w:sz w:val="21"/>
          <w:szCs w:val="21"/>
          <w:highlight w:val="none"/>
        </w:rPr>
      </w:pPr>
    </w:p>
    <w:p w14:paraId="085FE3BA">
      <w:pPr>
        <w:pStyle w:val="27"/>
        <w:spacing w:before="0" w:beforeAutospacing="0" w:after="0" w:afterAutospacing="0" w:line="330" w:lineRule="atLeast"/>
        <w:rPr>
          <w:rFonts w:cs="仿宋_GB2312"/>
          <w:b/>
          <w:bCs/>
          <w:color w:val="0000FF"/>
          <w:sz w:val="21"/>
          <w:szCs w:val="21"/>
          <w:highlight w:val="none"/>
        </w:rPr>
      </w:pPr>
    </w:p>
    <w:p w14:paraId="78203EFC">
      <w:pPr>
        <w:pStyle w:val="27"/>
        <w:spacing w:before="0" w:beforeAutospacing="0" w:after="0" w:afterAutospacing="0" w:line="330" w:lineRule="atLeast"/>
        <w:rPr>
          <w:rFonts w:cs="仿宋_GB2312"/>
          <w:b/>
          <w:bCs/>
          <w:color w:val="0000FF"/>
          <w:sz w:val="21"/>
          <w:szCs w:val="21"/>
          <w:highlight w:val="none"/>
        </w:rPr>
      </w:pPr>
    </w:p>
    <w:p w14:paraId="062659B3">
      <w:pPr>
        <w:pStyle w:val="27"/>
        <w:spacing w:before="0" w:beforeAutospacing="0" w:after="0" w:afterAutospacing="0" w:line="330" w:lineRule="atLeast"/>
        <w:rPr>
          <w:rFonts w:cs="仿宋_GB2312"/>
          <w:b/>
          <w:bCs/>
          <w:color w:val="0000FF"/>
          <w:sz w:val="21"/>
          <w:szCs w:val="21"/>
          <w:highlight w:val="none"/>
        </w:rPr>
      </w:pPr>
    </w:p>
    <w:p w14:paraId="14F724CC">
      <w:pPr>
        <w:pStyle w:val="27"/>
        <w:spacing w:before="0" w:beforeAutospacing="0" w:after="0" w:afterAutospacing="0" w:line="330" w:lineRule="atLeast"/>
        <w:rPr>
          <w:rFonts w:cs="仿宋_GB2312"/>
          <w:b/>
          <w:bCs/>
          <w:color w:val="0000FF"/>
          <w:sz w:val="21"/>
          <w:szCs w:val="21"/>
          <w:highlight w:val="none"/>
        </w:rPr>
      </w:pPr>
    </w:p>
    <w:p w14:paraId="57E04E81">
      <w:pPr>
        <w:pStyle w:val="27"/>
        <w:spacing w:before="0" w:beforeAutospacing="0" w:after="0" w:afterAutospacing="0" w:line="330" w:lineRule="atLeast"/>
        <w:rPr>
          <w:rFonts w:cs="仿宋_GB2312"/>
          <w:b/>
          <w:bCs/>
          <w:color w:val="0000FF"/>
          <w:sz w:val="21"/>
          <w:szCs w:val="21"/>
          <w:highlight w:val="none"/>
        </w:rPr>
      </w:pPr>
    </w:p>
    <w:p w14:paraId="46A6A1B1">
      <w:pPr>
        <w:pStyle w:val="27"/>
        <w:spacing w:before="0" w:beforeAutospacing="0" w:after="0" w:afterAutospacing="0" w:line="330" w:lineRule="atLeast"/>
        <w:rPr>
          <w:rFonts w:cs="仿宋_GB2312"/>
          <w:b/>
          <w:bCs/>
          <w:color w:val="0000FF"/>
          <w:sz w:val="21"/>
          <w:szCs w:val="21"/>
          <w:highlight w:val="none"/>
        </w:rPr>
      </w:pPr>
    </w:p>
    <w:p w14:paraId="3EFB33B5">
      <w:pPr>
        <w:pStyle w:val="27"/>
        <w:spacing w:before="0" w:beforeAutospacing="0" w:after="0" w:afterAutospacing="0" w:line="330" w:lineRule="atLeast"/>
        <w:rPr>
          <w:rFonts w:cs="仿宋_GB2312"/>
          <w:b/>
          <w:bCs/>
          <w:color w:val="0000FF"/>
          <w:sz w:val="21"/>
          <w:szCs w:val="21"/>
          <w:highlight w:val="none"/>
        </w:rPr>
      </w:pPr>
    </w:p>
    <w:p w14:paraId="12ABD3D6">
      <w:pPr>
        <w:pStyle w:val="27"/>
        <w:spacing w:before="0" w:beforeAutospacing="0" w:after="0" w:afterAutospacing="0" w:line="330" w:lineRule="atLeast"/>
        <w:rPr>
          <w:rFonts w:cs="仿宋_GB2312"/>
          <w:b/>
          <w:bCs/>
          <w:color w:val="0000FF"/>
          <w:sz w:val="21"/>
          <w:szCs w:val="21"/>
          <w:highlight w:val="none"/>
        </w:rPr>
      </w:pPr>
    </w:p>
    <w:p w14:paraId="6B947510">
      <w:pPr>
        <w:pStyle w:val="27"/>
        <w:spacing w:before="0" w:beforeAutospacing="0" w:after="0" w:afterAutospacing="0" w:line="330" w:lineRule="atLeast"/>
        <w:rPr>
          <w:rFonts w:cs="仿宋_GB2312"/>
          <w:b/>
          <w:bCs/>
          <w:color w:val="0000FF"/>
          <w:sz w:val="21"/>
          <w:szCs w:val="21"/>
          <w:highlight w:val="none"/>
        </w:rPr>
      </w:pPr>
    </w:p>
    <w:p w14:paraId="0622DF07">
      <w:pPr>
        <w:pStyle w:val="2"/>
        <w:ind w:firstLine="210"/>
        <w:rPr>
          <w:highlight w:val="none"/>
        </w:rPr>
      </w:pPr>
    </w:p>
    <w:sectPr>
      <w:headerReference r:id="rId6" w:type="default"/>
      <w:footerReference r:id="rId7" w:type="default"/>
      <w:pgSz w:w="11907" w:h="16840"/>
      <w:pgMar w:top="1440" w:right="1588" w:bottom="1440" w:left="1588" w:header="851"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63F00">
    <w:pPr>
      <w:pStyle w:val="20"/>
    </w:pPr>
    <w:r>
      <w:rPr>
        <w:sz w:val="18"/>
      </w:rPr>
      <w:pict>
        <v:shape id="_x0000_s4106" o:spid="_x0000_s410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8D5E82E">
                <w:pPr>
                  <w:pStyle w:val="20"/>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20"/>
    </w:pPr>
    <w:r>
      <w:rPr>
        <w:sz w:val="18"/>
      </w:rPr>
      <w:pict>
        <v:shape id="_x0000_s4107" o:spid="_x0000_s410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9C601EC">
                <w:pPr>
                  <w:pStyle w:val="20"/>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B105">
    <w:pPr>
      <w:pStyle w:val="12"/>
      <w:spacing w:line="278" w:lineRule="auto"/>
    </w:pPr>
    <w:r>
      <w:rPr>
        <w:sz w:val="21"/>
      </w:rPr>
      <w:pict>
        <v:shape id="_x0000_s4111" o:spid="_x0000_s4111"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C03CD47">
                <w:pPr>
                  <w:pStyle w:val="20"/>
                </w:pPr>
                <w:r>
                  <w:fldChar w:fldCharType="begin"/>
                </w:r>
                <w:r>
                  <w:instrText xml:space="preserve"> PAGE  \* MERGEFORMAT </w:instrText>
                </w:r>
                <w:r>
                  <w:fldChar w:fldCharType="separate"/>
                </w:r>
                <w:r>
                  <w:t>29</w:t>
                </w:r>
                <w:r>
                  <w:fldChar w:fldCharType="end"/>
                </w:r>
              </w:p>
            </w:txbxContent>
          </v:textbox>
        </v:shape>
      </w:pict>
    </w:r>
  </w:p>
  <w:p w14:paraId="3734B4E9">
    <w:pPr>
      <w:pStyle w:val="12"/>
      <w:spacing w:line="277" w:lineRule="auto"/>
    </w:pPr>
  </w:p>
  <w:p w14:paraId="639BCDFD">
    <w:pPr>
      <w:spacing w:line="39" w:lineRule="exact"/>
      <w:ind w:firstLine="45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1"/>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6D9AF">
    <w:pPr>
      <w:pStyle w:val="12"/>
      <w:spacing w:line="104" w:lineRule="auto"/>
      <w:rPr>
        <w:sz w:val="2"/>
      </w:rPr>
    </w:pPr>
    <w:r>
      <w:drawing>
        <wp:anchor distT="0" distB="0" distL="0" distR="0" simplePos="0" relativeHeight="251659264" behindDoc="0" locked="0" layoutInCell="0" allowOverlap="1">
          <wp:simplePos x="0" y="0"/>
          <wp:positionH relativeFrom="page">
            <wp:posOffset>824865</wp:posOffset>
          </wp:positionH>
          <wp:positionV relativeFrom="page">
            <wp:posOffset>704215</wp:posOffset>
          </wp:positionV>
          <wp:extent cx="6153150" cy="127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153183" cy="1267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9DA02D31"/>
    <w:multiLevelType w:val="singleLevel"/>
    <w:tmpl w:val="9DA02D31"/>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B300210"/>
    <w:multiLevelType w:val="singleLevel"/>
    <w:tmpl w:val="2B300210"/>
    <w:lvl w:ilvl="0" w:tentative="0">
      <w:start w:val="3"/>
      <w:numFmt w:val="decimal"/>
      <w:suff w:val="nothing"/>
      <w:lvlText w:val="（%1）"/>
      <w:lvlJc w:val="left"/>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4369E"/>
    <w:rsid w:val="03196F07"/>
    <w:rsid w:val="034026E5"/>
    <w:rsid w:val="0346264F"/>
    <w:rsid w:val="035166A0"/>
    <w:rsid w:val="03733BDF"/>
    <w:rsid w:val="039F6B6F"/>
    <w:rsid w:val="03A308DC"/>
    <w:rsid w:val="03D5618C"/>
    <w:rsid w:val="03DC636C"/>
    <w:rsid w:val="03EF6322"/>
    <w:rsid w:val="040532BA"/>
    <w:rsid w:val="04073203"/>
    <w:rsid w:val="040B08CC"/>
    <w:rsid w:val="04176582"/>
    <w:rsid w:val="04717837"/>
    <w:rsid w:val="04721B8D"/>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D93108"/>
    <w:rsid w:val="07F876A6"/>
    <w:rsid w:val="081E6D6D"/>
    <w:rsid w:val="08306015"/>
    <w:rsid w:val="083E11BD"/>
    <w:rsid w:val="08660CC0"/>
    <w:rsid w:val="08703D30"/>
    <w:rsid w:val="088E7A4F"/>
    <w:rsid w:val="08AA23AF"/>
    <w:rsid w:val="08B33959"/>
    <w:rsid w:val="08BB45BC"/>
    <w:rsid w:val="08CC4A1B"/>
    <w:rsid w:val="08DB1CFF"/>
    <w:rsid w:val="09066CD0"/>
    <w:rsid w:val="090F7700"/>
    <w:rsid w:val="09293C1C"/>
    <w:rsid w:val="092E1232"/>
    <w:rsid w:val="095A5B83"/>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55920"/>
    <w:rsid w:val="0AEE2A27"/>
    <w:rsid w:val="0AFA4C08"/>
    <w:rsid w:val="0B065FC2"/>
    <w:rsid w:val="0B226B74"/>
    <w:rsid w:val="0B7A6133"/>
    <w:rsid w:val="0B867103"/>
    <w:rsid w:val="0B93537C"/>
    <w:rsid w:val="0BA61553"/>
    <w:rsid w:val="0BAB0918"/>
    <w:rsid w:val="0BAE62C0"/>
    <w:rsid w:val="0BBA0B5B"/>
    <w:rsid w:val="0BBE689D"/>
    <w:rsid w:val="0BD0037E"/>
    <w:rsid w:val="0BE35ECF"/>
    <w:rsid w:val="0BEB3B44"/>
    <w:rsid w:val="0C0644C0"/>
    <w:rsid w:val="0C4F74F5"/>
    <w:rsid w:val="0C505731"/>
    <w:rsid w:val="0C522BFB"/>
    <w:rsid w:val="0C5B0590"/>
    <w:rsid w:val="0C7B02EA"/>
    <w:rsid w:val="0CB8153E"/>
    <w:rsid w:val="0CBB4B8B"/>
    <w:rsid w:val="0CC2416B"/>
    <w:rsid w:val="0CCA3020"/>
    <w:rsid w:val="0D1150F2"/>
    <w:rsid w:val="0D3D1A44"/>
    <w:rsid w:val="0D417345"/>
    <w:rsid w:val="0D4234FE"/>
    <w:rsid w:val="0D45142A"/>
    <w:rsid w:val="0D705975"/>
    <w:rsid w:val="0D802AB6"/>
    <w:rsid w:val="0D9F44AC"/>
    <w:rsid w:val="0DC32327"/>
    <w:rsid w:val="0DC54782"/>
    <w:rsid w:val="0DD405FA"/>
    <w:rsid w:val="0DDC1DC5"/>
    <w:rsid w:val="0DFE5677"/>
    <w:rsid w:val="0DFF4F4B"/>
    <w:rsid w:val="0E0D1416"/>
    <w:rsid w:val="0E3C1CFB"/>
    <w:rsid w:val="0E470868"/>
    <w:rsid w:val="0E4D1706"/>
    <w:rsid w:val="0E590AFF"/>
    <w:rsid w:val="0E664FCA"/>
    <w:rsid w:val="0E745939"/>
    <w:rsid w:val="0E835B7C"/>
    <w:rsid w:val="0EA31D7A"/>
    <w:rsid w:val="0EDB4DDC"/>
    <w:rsid w:val="0EF425D6"/>
    <w:rsid w:val="0F31382A"/>
    <w:rsid w:val="0F4A4D91"/>
    <w:rsid w:val="0F506F7B"/>
    <w:rsid w:val="0F6634D4"/>
    <w:rsid w:val="0F68037E"/>
    <w:rsid w:val="0F9D4A1B"/>
    <w:rsid w:val="0F9F2542"/>
    <w:rsid w:val="0FC5229E"/>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A32DB"/>
    <w:rsid w:val="12902616"/>
    <w:rsid w:val="12AD766B"/>
    <w:rsid w:val="12C060EB"/>
    <w:rsid w:val="12C0739F"/>
    <w:rsid w:val="12D01F78"/>
    <w:rsid w:val="12EC0194"/>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02302"/>
    <w:rsid w:val="14354A58"/>
    <w:rsid w:val="143F0797"/>
    <w:rsid w:val="144E2788"/>
    <w:rsid w:val="14504752"/>
    <w:rsid w:val="1451054A"/>
    <w:rsid w:val="14677422"/>
    <w:rsid w:val="146A4FD5"/>
    <w:rsid w:val="147A17CF"/>
    <w:rsid w:val="148B12E6"/>
    <w:rsid w:val="149522B6"/>
    <w:rsid w:val="149C34F4"/>
    <w:rsid w:val="14DE58BA"/>
    <w:rsid w:val="152E6B10"/>
    <w:rsid w:val="15311E8E"/>
    <w:rsid w:val="15347BD0"/>
    <w:rsid w:val="15437E13"/>
    <w:rsid w:val="154C6CC8"/>
    <w:rsid w:val="15521864"/>
    <w:rsid w:val="15593193"/>
    <w:rsid w:val="156C736A"/>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CD0120"/>
    <w:rsid w:val="18D74DC1"/>
    <w:rsid w:val="18EB2C9C"/>
    <w:rsid w:val="18F57676"/>
    <w:rsid w:val="193E7F56"/>
    <w:rsid w:val="195E16BF"/>
    <w:rsid w:val="197C38F7"/>
    <w:rsid w:val="19A60971"/>
    <w:rsid w:val="19BE61D3"/>
    <w:rsid w:val="19C71013"/>
    <w:rsid w:val="19ED659F"/>
    <w:rsid w:val="19FA13E8"/>
    <w:rsid w:val="1A152210"/>
    <w:rsid w:val="1A197394"/>
    <w:rsid w:val="1A1D4FC7"/>
    <w:rsid w:val="1A2024D1"/>
    <w:rsid w:val="1A670100"/>
    <w:rsid w:val="1A6C12ED"/>
    <w:rsid w:val="1A8618F5"/>
    <w:rsid w:val="1A9D7FC6"/>
    <w:rsid w:val="1AA94BBC"/>
    <w:rsid w:val="1AD339E7"/>
    <w:rsid w:val="1AE259D8"/>
    <w:rsid w:val="1AE34745"/>
    <w:rsid w:val="1AED58EF"/>
    <w:rsid w:val="1B057C4F"/>
    <w:rsid w:val="1B300E3A"/>
    <w:rsid w:val="1B3501FE"/>
    <w:rsid w:val="1B561B37"/>
    <w:rsid w:val="1B724FAE"/>
    <w:rsid w:val="1B960FA2"/>
    <w:rsid w:val="1BAC671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063C00"/>
    <w:rsid w:val="1D097B94"/>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DA6160"/>
    <w:rsid w:val="20193BC8"/>
    <w:rsid w:val="202D76F6"/>
    <w:rsid w:val="204F3B10"/>
    <w:rsid w:val="20601879"/>
    <w:rsid w:val="2063580D"/>
    <w:rsid w:val="206C021E"/>
    <w:rsid w:val="208F215E"/>
    <w:rsid w:val="20981EA4"/>
    <w:rsid w:val="20A51947"/>
    <w:rsid w:val="20B15F3B"/>
    <w:rsid w:val="20EC5803"/>
    <w:rsid w:val="20F36B91"/>
    <w:rsid w:val="21222FD3"/>
    <w:rsid w:val="213A031C"/>
    <w:rsid w:val="213D7E0C"/>
    <w:rsid w:val="214E3DC8"/>
    <w:rsid w:val="21747CD2"/>
    <w:rsid w:val="21751354"/>
    <w:rsid w:val="2177331E"/>
    <w:rsid w:val="218617B3"/>
    <w:rsid w:val="21867A05"/>
    <w:rsid w:val="219A700D"/>
    <w:rsid w:val="21A460DD"/>
    <w:rsid w:val="21ED67BC"/>
    <w:rsid w:val="21EF55AB"/>
    <w:rsid w:val="220D398C"/>
    <w:rsid w:val="226677BB"/>
    <w:rsid w:val="22721109"/>
    <w:rsid w:val="22853819"/>
    <w:rsid w:val="22A842BC"/>
    <w:rsid w:val="22C12E9B"/>
    <w:rsid w:val="22D93819"/>
    <w:rsid w:val="22EA32EC"/>
    <w:rsid w:val="22F4099F"/>
    <w:rsid w:val="22FD3CF7"/>
    <w:rsid w:val="2301566F"/>
    <w:rsid w:val="23111551"/>
    <w:rsid w:val="231F3C6E"/>
    <w:rsid w:val="23242385"/>
    <w:rsid w:val="23282412"/>
    <w:rsid w:val="23290648"/>
    <w:rsid w:val="23384D2F"/>
    <w:rsid w:val="234731C4"/>
    <w:rsid w:val="23825FAA"/>
    <w:rsid w:val="238E494F"/>
    <w:rsid w:val="23953F30"/>
    <w:rsid w:val="23B00D6A"/>
    <w:rsid w:val="23CB7951"/>
    <w:rsid w:val="23DC74F7"/>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377520"/>
    <w:rsid w:val="26483AF9"/>
    <w:rsid w:val="264E6012"/>
    <w:rsid w:val="26502390"/>
    <w:rsid w:val="267732C0"/>
    <w:rsid w:val="26802C75"/>
    <w:rsid w:val="26865DB2"/>
    <w:rsid w:val="26AB07CC"/>
    <w:rsid w:val="26C03072"/>
    <w:rsid w:val="26E50D2A"/>
    <w:rsid w:val="26E86A6C"/>
    <w:rsid w:val="26F21A04"/>
    <w:rsid w:val="26F62F37"/>
    <w:rsid w:val="27035654"/>
    <w:rsid w:val="27397C5C"/>
    <w:rsid w:val="27435A51"/>
    <w:rsid w:val="275D2FB6"/>
    <w:rsid w:val="27610678"/>
    <w:rsid w:val="27644345"/>
    <w:rsid w:val="27873B8F"/>
    <w:rsid w:val="279C795E"/>
    <w:rsid w:val="27C74EE3"/>
    <w:rsid w:val="28017035"/>
    <w:rsid w:val="28043432"/>
    <w:rsid w:val="281F026C"/>
    <w:rsid w:val="28480D72"/>
    <w:rsid w:val="28593D52"/>
    <w:rsid w:val="285E0D94"/>
    <w:rsid w:val="287B63A6"/>
    <w:rsid w:val="28887BBF"/>
    <w:rsid w:val="288C33EF"/>
    <w:rsid w:val="28D948BF"/>
    <w:rsid w:val="28F25980"/>
    <w:rsid w:val="28F33BD2"/>
    <w:rsid w:val="28F74D45"/>
    <w:rsid w:val="29023E15"/>
    <w:rsid w:val="29051210"/>
    <w:rsid w:val="290C4C94"/>
    <w:rsid w:val="291A315C"/>
    <w:rsid w:val="292A336C"/>
    <w:rsid w:val="29387837"/>
    <w:rsid w:val="29613C02"/>
    <w:rsid w:val="29736AC1"/>
    <w:rsid w:val="297E7214"/>
    <w:rsid w:val="29A0718A"/>
    <w:rsid w:val="29BD5D4E"/>
    <w:rsid w:val="29D3130E"/>
    <w:rsid w:val="29DD218D"/>
    <w:rsid w:val="29DD2CB3"/>
    <w:rsid w:val="2A0C2A72"/>
    <w:rsid w:val="2A111E36"/>
    <w:rsid w:val="2A366266"/>
    <w:rsid w:val="2A383867"/>
    <w:rsid w:val="2A397C18"/>
    <w:rsid w:val="2A5015D5"/>
    <w:rsid w:val="2AA44A58"/>
    <w:rsid w:val="2AB729DE"/>
    <w:rsid w:val="2AB949A8"/>
    <w:rsid w:val="2AD74E2E"/>
    <w:rsid w:val="2AF27EBA"/>
    <w:rsid w:val="2AF63392"/>
    <w:rsid w:val="2AFC2AE6"/>
    <w:rsid w:val="2B45448D"/>
    <w:rsid w:val="2B7E174D"/>
    <w:rsid w:val="2B856638"/>
    <w:rsid w:val="2BA2368E"/>
    <w:rsid w:val="2BA67492"/>
    <w:rsid w:val="2BC03B14"/>
    <w:rsid w:val="2BCA04EF"/>
    <w:rsid w:val="2BDA1BE3"/>
    <w:rsid w:val="2BEE4D59"/>
    <w:rsid w:val="2C0343BA"/>
    <w:rsid w:val="2C047EA4"/>
    <w:rsid w:val="2C66791C"/>
    <w:rsid w:val="2C673F8F"/>
    <w:rsid w:val="2C6B1CD2"/>
    <w:rsid w:val="2CB41783"/>
    <w:rsid w:val="2CC338BC"/>
    <w:rsid w:val="2CD77367"/>
    <w:rsid w:val="2CE00E0B"/>
    <w:rsid w:val="2D221D01"/>
    <w:rsid w:val="2D2D6F87"/>
    <w:rsid w:val="2D360531"/>
    <w:rsid w:val="2D531028"/>
    <w:rsid w:val="2D676A80"/>
    <w:rsid w:val="2D7352E2"/>
    <w:rsid w:val="2D78094D"/>
    <w:rsid w:val="2D7A3266"/>
    <w:rsid w:val="2DA134D1"/>
    <w:rsid w:val="2DCE2518"/>
    <w:rsid w:val="2DD33BD7"/>
    <w:rsid w:val="2DD41AF8"/>
    <w:rsid w:val="2DD9710F"/>
    <w:rsid w:val="2DDB4C35"/>
    <w:rsid w:val="2DE0224B"/>
    <w:rsid w:val="2DE53D06"/>
    <w:rsid w:val="2DFB7085"/>
    <w:rsid w:val="2E0C1292"/>
    <w:rsid w:val="2E12606D"/>
    <w:rsid w:val="2E304F81"/>
    <w:rsid w:val="2E591C0D"/>
    <w:rsid w:val="2E8E1A42"/>
    <w:rsid w:val="2E8F76EA"/>
    <w:rsid w:val="2EAA4B78"/>
    <w:rsid w:val="2EC868B0"/>
    <w:rsid w:val="2EC95935"/>
    <w:rsid w:val="2F097580"/>
    <w:rsid w:val="2F465CA7"/>
    <w:rsid w:val="2F590507"/>
    <w:rsid w:val="2F5F2B72"/>
    <w:rsid w:val="2F7E1D1C"/>
    <w:rsid w:val="2F84625D"/>
    <w:rsid w:val="2F932167"/>
    <w:rsid w:val="2F9B467C"/>
    <w:rsid w:val="2FAA0D63"/>
    <w:rsid w:val="2FC17E5A"/>
    <w:rsid w:val="2FCA6D0F"/>
    <w:rsid w:val="2FD01CE8"/>
    <w:rsid w:val="2FD42B08"/>
    <w:rsid w:val="305D5DD5"/>
    <w:rsid w:val="30A26617"/>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BD0DAD"/>
    <w:rsid w:val="32C71C2C"/>
    <w:rsid w:val="32E427DE"/>
    <w:rsid w:val="32EC3440"/>
    <w:rsid w:val="32FF13C6"/>
    <w:rsid w:val="33022C64"/>
    <w:rsid w:val="33055DF4"/>
    <w:rsid w:val="333F5C66"/>
    <w:rsid w:val="33482D6D"/>
    <w:rsid w:val="334868C9"/>
    <w:rsid w:val="33523A32"/>
    <w:rsid w:val="33552D94"/>
    <w:rsid w:val="335D1FE1"/>
    <w:rsid w:val="335E1849"/>
    <w:rsid w:val="339B7340"/>
    <w:rsid w:val="33DA636A"/>
    <w:rsid w:val="33EA25D1"/>
    <w:rsid w:val="33F848B7"/>
    <w:rsid w:val="342521E3"/>
    <w:rsid w:val="34366616"/>
    <w:rsid w:val="344F1ED9"/>
    <w:rsid w:val="345D2848"/>
    <w:rsid w:val="34637732"/>
    <w:rsid w:val="34655258"/>
    <w:rsid w:val="346C2A8B"/>
    <w:rsid w:val="34863867"/>
    <w:rsid w:val="34943D90"/>
    <w:rsid w:val="349A13A6"/>
    <w:rsid w:val="34B524C1"/>
    <w:rsid w:val="34D60CBB"/>
    <w:rsid w:val="34E341D7"/>
    <w:rsid w:val="34FC75A6"/>
    <w:rsid w:val="35030C9C"/>
    <w:rsid w:val="353C4230"/>
    <w:rsid w:val="35447564"/>
    <w:rsid w:val="35A23F2B"/>
    <w:rsid w:val="35A3072E"/>
    <w:rsid w:val="35E85214"/>
    <w:rsid w:val="35F47297"/>
    <w:rsid w:val="35FA132C"/>
    <w:rsid w:val="360311CD"/>
    <w:rsid w:val="360D7E33"/>
    <w:rsid w:val="362C7056"/>
    <w:rsid w:val="363B2715"/>
    <w:rsid w:val="3651018A"/>
    <w:rsid w:val="3659703F"/>
    <w:rsid w:val="366C6D72"/>
    <w:rsid w:val="36857E34"/>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020739"/>
    <w:rsid w:val="38204506"/>
    <w:rsid w:val="382F62A9"/>
    <w:rsid w:val="383F751D"/>
    <w:rsid w:val="386677F1"/>
    <w:rsid w:val="38AF73EA"/>
    <w:rsid w:val="38C84008"/>
    <w:rsid w:val="38D95136"/>
    <w:rsid w:val="38DC4FA1"/>
    <w:rsid w:val="38DD3F57"/>
    <w:rsid w:val="38ED03A5"/>
    <w:rsid w:val="38FB1FB4"/>
    <w:rsid w:val="39145073"/>
    <w:rsid w:val="391D25A6"/>
    <w:rsid w:val="39243934"/>
    <w:rsid w:val="39321D68"/>
    <w:rsid w:val="393517E8"/>
    <w:rsid w:val="393C475A"/>
    <w:rsid w:val="393D67A4"/>
    <w:rsid w:val="3942025E"/>
    <w:rsid w:val="39565AB7"/>
    <w:rsid w:val="396170BB"/>
    <w:rsid w:val="39736669"/>
    <w:rsid w:val="399D5494"/>
    <w:rsid w:val="39B7430B"/>
    <w:rsid w:val="39BA7DF4"/>
    <w:rsid w:val="39C26CA9"/>
    <w:rsid w:val="39D4535A"/>
    <w:rsid w:val="3A034261"/>
    <w:rsid w:val="3A1C460B"/>
    <w:rsid w:val="3A1E4827"/>
    <w:rsid w:val="3A26548A"/>
    <w:rsid w:val="3A612966"/>
    <w:rsid w:val="3A777A93"/>
    <w:rsid w:val="3A944AE9"/>
    <w:rsid w:val="3AA06EC0"/>
    <w:rsid w:val="3AA50AA5"/>
    <w:rsid w:val="3AC16F61"/>
    <w:rsid w:val="3ACA2C02"/>
    <w:rsid w:val="3ACC1BCC"/>
    <w:rsid w:val="3ACC4283"/>
    <w:rsid w:val="3AE80991"/>
    <w:rsid w:val="3B08098E"/>
    <w:rsid w:val="3B255E69"/>
    <w:rsid w:val="3B693880"/>
    <w:rsid w:val="3B6B584A"/>
    <w:rsid w:val="3B8763FC"/>
    <w:rsid w:val="3B8C57C0"/>
    <w:rsid w:val="3B903503"/>
    <w:rsid w:val="3B920829"/>
    <w:rsid w:val="3BAE6CD9"/>
    <w:rsid w:val="3BB6283D"/>
    <w:rsid w:val="3BB84807"/>
    <w:rsid w:val="3BC82C9D"/>
    <w:rsid w:val="3C221C81"/>
    <w:rsid w:val="3C270B87"/>
    <w:rsid w:val="3C3000ED"/>
    <w:rsid w:val="3C371186"/>
    <w:rsid w:val="3C3C2D43"/>
    <w:rsid w:val="3C5207B8"/>
    <w:rsid w:val="3C7921E9"/>
    <w:rsid w:val="3C885F88"/>
    <w:rsid w:val="3CBE5E4E"/>
    <w:rsid w:val="3CC03974"/>
    <w:rsid w:val="3CE358B4"/>
    <w:rsid w:val="3CF25AF7"/>
    <w:rsid w:val="3D141F11"/>
    <w:rsid w:val="3D232399"/>
    <w:rsid w:val="3D2E2D19"/>
    <w:rsid w:val="3D31181A"/>
    <w:rsid w:val="3D485717"/>
    <w:rsid w:val="3D6A38DF"/>
    <w:rsid w:val="3D7911B5"/>
    <w:rsid w:val="3D7D3613"/>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52388"/>
    <w:rsid w:val="3EFB5137"/>
    <w:rsid w:val="3F0D7928"/>
    <w:rsid w:val="3F1749BD"/>
    <w:rsid w:val="3F285800"/>
    <w:rsid w:val="3F2A77CA"/>
    <w:rsid w:val="3F4F365B"/>
    <w:rsid w:val="3F4F5483"/>
    <w:rsid w:val="3F577E93"/>
    <w:rsid w:val="3F6A6789"/>
    <w:rsid w:val="3F7D78FA"/>
    <w:rsid w:val="3F9A5B70"/>
    <w:rsid w:val="3FA56E51"/>
    <w:rsid w:val="3FBB0422"/>
    <w:rsid w:val="3FBD063E"/>
    <w:rsid w:val="3FCC6AD3"/>
    <w:rsid w:val="3FCF0015"/>
    <w:rsid w:val="4050500F"/>
    <w:rsid w:val="40517EBE"/>
    <w:rsid w:val="405C7E57"/>
    <w:rsid w:val="408353E4"/>
    <w:rsid w:val="409273D5"/>
    <w:rsid w:val="40AC5344"/>
    <w:rsid w:val="40D27557"/>
    <w:rsid w:val="40D6427E"/>
    <w:rsid w:val="40EF3CF6"/>
    <w:rsid w:val="40FA31CC"/>
    <w:rsid w:val="41093759"/>
    <w:rsid w:val="41214BFD"/>
    <w:rsid w:val="41263FC1"/>
    <w:rsid w:val="412D35A2"/>
    <w:rsid w:val="412F10C8"/>
    <w:rsid w:val="41380196"/>
    <w:rsid w:val="41415EFF"/>
    <w:rsid w:val="41434B73"/>
    <w:rsid w:val="414F52C6"/>
    <w:rsid w:val="418F600A"/>
    <w:rsid w:val="41A20564"/>
    <w:rsid w:val="41B16896"/>
    <w:rsid w:val="41D026B4"/>
    <w:rsid w:val="41EE4ADF"/>
    <w:rsid w:val="420A5691"/>
    <w:rsid w:val="42114C71"/>
    <w:rsid w:val="42154762"/>
    <w:rsid w:val="42204EB5"/>
    <w:rsid w:val="42213106"/>
    <w:rsid w:val="422E5823"/>
    <w:rsid w:val="423A7D24"/>
    <w:rsid w:val="425608D6"/>
    <w:rsid w:val="425D589D"/>
    <w:rsid w:val="425F59DD"/>
    <w:rsid w:val="425F778B"/>
    <w:rsid w:val="42770F78"/>
    <w:rsid w:val="42935686"/>
    <w:rsid w:val="42982C9D"/>
    <w:rsid w:val="42B21FB1"/>
    <w:rsid w:val="42B6777F"/>
    <w:rsid w:val="42CB6A8E"/>
    <w:rsid w:val="42E3216A"/>
    <w:rsid w:val="43195B8C"/>
    <w:rsid w:val="43284021"/>
    <w:rsid w:val="43574906"/>
    <w:rsid w:val="43640466"/>
    <w:rsid w:val="4383394D"/>
    <w:rsid w:val="439D67BD"/>
    <w:rsid w:val="43A044FF"/>
    <w:rsid w:val="43D1290A"/>
    <w:rsid w:val="43D51DCA"/>
    <w:rsid w:val="43EA7528"/>
    <w:rsid w:val="4439400C"/>
    <w:rsid w:val="446E1F07"/>
    <w:rsid w:val="44A57C2A"/>
    <w:rsid w:val="44C47D79"/>
    <w:rsid w:val="44CB55AC"/>
    <w:rsid w:val="44D0671E"/>
    <w:rsid w:val="44D81A76"/>
    <w:rsid w:val="44E95A32"/>
    <w:rsid w:val="44F22B38"/>
    <w:rsid w:val="44F45243"/>
    <w:rsid w:val="45050ABD"/>
    <w:rsid w:val="45100658"/>
    <w:rsid w:val="451707F1"/>
    <w:rsid w:val="452567EA"/>
    <w:rsid w:val="454D4212"/>
    <w:rsid w:val="456B16B7"/>
    <w:rsid w:val="45921C25"/>
    <w:rsid w:val="459260C9"/>
    <w:rsid w:val="45E05087"/>
    <w:rsid w:val="45E16709"/>
    <w:rsid w:val="460F0807"/>
    <w:rsid w:val="46207231"/>
    <w:rsid w:val="465313B5"/>
    <w:rsid w:val="4654337F"/>
    <w:rsid w:val="465515D1"/>
    <w:rsid w:val="46603AD2"/>
    <w:rsid w:val="46886BA6"/>
    <w:rsid w:val="46B02CAB"/>
    <w:rsid w:val="471A1ED2"/>
    <w:rsid w:val="473D3E13"/>
    <w:rsid w:val="4743767B"/>
    <w:rsid w:val="474451A1"/>
    <w:rsid w:val="475D052A"/>
    <w:rsid w:val="47777325"/>
    <w:rsid w:val="477E5B11"/>
    <w:rsid w:val="478657BA"/>
    <w:rsid w:val="47C655AE"/>
    <w:rsid w:val="47CA7D9C"/>
    <w:rsid w:val="47CB141F"/>
    <w:rsid w:val="47E55DDB"/>
    <w:rsid w:val="47F46BC7"/>
    <w:rsid w:val="481132D5"/>
    <w:rsid w:val="48311BC9"/>
    <w:rsid w:val="48524AAD"/>
    <w:rsid w:val="48627FD5"/>
    <w:rsid w:val="48861F15"/>
    <w:rsid w:val="48A76753"/>
    <w:rsid w:val="48D72771"/>
    <w:rsid w:val="48F629D2"/>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7A4CDC"/>
    <w:rsid w:val="4B8225F6"/>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F22EBA"/>
    <w:rsid w:val="4D091EAA"/>
    <w:rsid w:val="4D153868"/>
    <w:rsid w:val="4D21045F"/>
    <w:rsid w:val="4D471D29"/>
    <w:rsid w:val="4D4C3002"/>
    <w:rsid w:val="4D7F33D7"/>
    <w:rsid w:val="4DA90454"/>
    <w:rsid w:val="4DEA4CF4"/>
    <w:rsid w:val="4E3C6BD2"/>
    <w:rsid w:val="4E516B22"/>
    <w:rsid w:val="4E79167E"/>
    <w:rsid w:val="4E913FBD"/>
    <w:rsid w:val="4E9F7959"/>
    <w:rsid w:val="4EA95DEB"/>
    <w:rsid w:val="4EAA4484"/>
    <w:rsid w:val="4ECF5C98"/>
    <w:rsid w:val="4F245FE4"/>
    <w:rsid w:val="4F6E3703"/>
    <w:rsid w:val="4F960564"/>
    <w:rsid w:val="4F9C3DCC"/>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1C23892"/>
    <w:rsid w:val="51EB2DE9"/>
    <w:rsid w:val="520420FD"/>
    <w:rsid w:val="52390069"/>
    <w:rsid w:val="523A78CD"/>
    <w:rsid w:val="5246001F"/>
    <w:rsid w:val="524F431A"/>
    <w:rsid w:val="52500E9E"/>
    <w:rsid w:val="52861534"/>
    <w:rsid w:val="528D1696"/>
    <w:rsid w:val="52A04D83"/>
    <w:rsid w:val="52AD183E"/>
    <w:rsid w:val="52C06024"/>
    <w:rsid w:val="52CB2821"/>
    <w:rsid w:val="52CC5908"/>
    <w:rsid w:val="530879CB"/>
    <w:rsid w:val="53195734"/>
    <w:rsid w:val="53226CDE"/>
    <w:rsid w:val="53330CBE"/>
    <w:rsid w:val="537312E8"/>
    <w:rsid w:val="5391176E"/>
    <w:rsid w:val="539D45B7"/>
    <w:rsid w:val="53A86F0D"/>
    <w:rsid w:val="53B65415"/>
    <w:rsid w:val="53C438F2"/>
    <w:rsid w:val="53D77AC9"/>
    <w:rsid w:val="53E126F6"/>
    <w:rsid w:val="53FD0BB2"/>
    <w:rsid w:val="53FF0DCE"/>
    <w:rsid w:val="540957A8"/>
    <w:rsid w:val="540A3D6B"/>
    <w:rsid w:val="542F765C"/>
    <w:rsid w:val="543E06FA"/>
    <w:rsid w:val="54436F0C"/>
    <w:rsid w:val="54596730"/>
    <w:rsid w:val="546463D8"/>
    <w:rsid w:val="54813591"/>
    <w:rsid w:val="54901A26"/>
    <w:rsid w:val="54914939"/>
    <w:rsid w:val="54A02118"/>
    <w:rsid w:val="54B576DE"/>
    <w:rsid w:val="54D04160"/>
    <w:rsid w:val="54D758A7"/>
    <w:rsid w:val="54E34B9A"/>
    <w:rsid w:val="54EB5EC1"/>
    <w:rsid w:val="54F226E1"/>
    <w:rsid w:val="55052414"/>
    <w:rsid w:val="553D1BAE"/>
    <w:rsid w:val="554D13F6"/>
    <w:rsid w:val="55676C2B"/>
    <w:rsid w:val="55766E6E"/>
    <w:rsid w:val="558F3DC0"/>
    <w:rsid w:val="55913CA7"/>
    <w:rsid w:val="55997DAA"/>
    <w:rsid w:val="55B94FAC"/>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D519F"/>
    <w:rsid w:val="589A7317"/>
    <w:rsid w:val="58BD4DB3"/>
    <w:rsid w:val="59444C41"/>
    <w:rsid w:val="597A4A53"/>
    <w:rsid w:val="59B52E52"/>
    <w:rsid w:val="59B90367"/>
    <w:rsid w:val="59CC347C"/>
    <w:rsid w:val="59DA41E0"/>
    <w:rsid w:val="59F900F6"/>
    <w:rsid w:val="5A0C1C4B"/>
    <w:rsid w:val="5A221ED3"/>
    <w:rsid w:val="5A2375CC"/>
    <w:rsid w:val="5A2424B3"/>
    <w:rsid w:val="5A2F4B9E"/>
    <w:rsid w:val="5A3906A0"/>
    <w:rsid w:val="5A7B6CD4"/>
    <w:rsid w:val="5A9919E3"/>
    <w:rsid w:val="5AAE70AA"/>
    <w:rsid w:val="5ABF12B7"/>
    <w:rsid w:val="5B2A7B0A"/>
    <w:rsid w:val="5B2F58ED"/>
    <w:rsid w:val="5B411CCC"/>
    <w:rsid w:val="5B417B6B"/>
    <w:rsid w:val="5B54373E"/>
    <w:rsid w:val="5B5437AD"/>
    <w:rsid w:val="5B8027F4"/>
    <w:rsid w:val="5B81656C"/>
    <w:rsid w:val="5BA1276A"/>
    <w:rsid w:val="5BAD7D2F"/>
    <w:rsid w:val="5BC11E23"/>
    <w:rsid w:val="5BC745F2"/>
    <w:rsid w:val="5BCD3B32"/>
    <w:rsid w:val="5BD963A8"/>
    <w:rsid w:val="5C115B42"/>
    <w:rsid w:val="5C1B42CB"/>
    <w:rsid w:val="5C1B7B96"/>
    <w:rsid w:val="5C3F7E9C"/>
    <w:rsid w:val="5C5F065B"/>
    <w:rsid w:val="5C6F4617"/>
    <w:rsid w:val="5C796835"/>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655CD1"/>
    <w:rsid w:val="5EB855B3"/>
    <w:rsid w:val="5ED510A9"/>
    <w:rsid w:val="5EE21916"/>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2C2F4B"/>
    <w:rsid w:val="60363DC9"/>
    <w:rsid w:val="605F38FD"/>
    <w:rsid w:val="606C7B8D"/>
    <w:rsid w:val="606F72DB"/>
    <w:rsid w:val="607B04BD"/>
    <w:rsid w:val="607E751E"/>
    <w:rsid w:val="608368E3"/>
    <w:rsid w:val="60AC7F80"/>
    <w:rsid w:val="60C56EFB"/>
    <w:rsid w:val="60CC2038"/>
    <w:rsid w:val="60D22077"/>
    <w:rsid w:val="60E5134B"/>
    <w:rsid w:val="60F035F8"/>
    <w:rsid w:val="61365912"/>
    <w:rsid w:val="613E10B3"/>
    <w:rsid w:val="61483DB4"/>
    <w:rsid w:val="616F390D"/>
    <w:rsid w:val="61905EB4"/>
    <w:rsid w:val="61D07906"/>
    <w:rsid w:val="61D373F6"/>
    <w:rsid w:val="61F03F10"/>
    <w:rsid w:val="61FD4500"/>
    <w:rsid w:val="62051CA5"/>
    <w:rsid w:val="622A5268"/>
    <w:rsid w:val="622F04A1"/>
    <w:rsid w:val="623C143F"/>
    <w:rsid w:val="623E1776"/>
    <w:rsid w:val="62456183"/>
    <w:rsid w:val="625D29E9"/>
    <w:rsid w:val="62707B3A"/>
    <w:rsid w:val="62744735"/>
    <w:rsid w:val="62A768B8"/>
    <w:rsid w:val="62B334AF"/>
    <w:rsid w:val="62DF24F6"/>
    <w:rsid w:val="62EC69C1"/>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F63B27"/>
    <w:rsid w:val="65055B18"/>
    <w:rsid w:val="651641C9"/>
    <w:rsid w:val="655C6080"/>
    <w:rsid w:val="65605444"/>
    <w:rsid w:val="656B3097"/>
    <w:rsid w:val="65742119"/>
    <w:rsid w:val="657F2DFA"/>
    <w:rsid w:val="6592686F"/>
    <w:rsid w:val="65A44D2D"/>
    <w:rsid w:val="65B0017A"/>
    <w:rsid w:val="65B0271E"/>
    <w:rsid w:val="65C43C25"/>
    <w:rsid w:val="65E73470"/>
    <w:rsid w:val="65EF1521"/>
    <w:rsid w:val="665C4848"/>
    <w:rsid w:val="66763171"/>
    <w:rsid w:val="668A0D6B"/>
    <w:rsid w:val="66AB4942"/>
    <w:rsid w:val="66B94F27"/>
    <w:rsid w:val="66C37A39"/>
    <w:rsid w:val="66D460EA"/>
    <w:rsid w:val="66DC0AFB"/>
    <w:rsid w:val="66F67E0E"/>
    <w:rsid w:val="67114C48"/>
    <w:rsid w:val="67303449"/>
    <w:rsid w:val="679E1DF4"/>
    <w:rsid w:val="67E73776"/>
    <w:rsid w:val="67F85E08"/>
    <w:rsid w:val="68411B87"/>
    <w:rsid w:val="687951D6"/>
    <w:rsid w:val="688431F8"/>
    <w:rsid w:val="68AB69AF"/>
    <w:rsid w:val="68BC6E36"/>
    <w:rsid w:val="68D653C8"/>
    <w:rsid w:val="68D85250"/>
    <w:rsid w:val="68EF4B15"/>
    <w:rsid w:val="68F6059A"/>
    <w:rsid w:val="69470DF5"/>
    <w:rsid w:val="695D23C7"/>
    <w:rsid w:val="696077C1"/>
    <w:rsid w:val="698D4180"/>
    <w:rsid w:val="69AF055A"/>
    <w:rsid w:val="69B51B3F"/>
    <w:rsid w:val="69BF098B"/>
    <w:rsid w:val="69C441F4"/>
    <w:rsid w:val="69CE6625"/>
    <w:rsid w:val="69D106BF"/>
    <w:rsid w:val="69F50851"/>
    <w:rsid w:val="69FF522C"/>
    <w:rsid w:val="6A0960AB"/>
    <w:rsid w:val="6A413A96"/>
    <w:rsid w:val="6A8120E5"/>
    <w:rsid w:val="6A8219B9"/>
    <w:rsid w:val="6A885ED1"/>
    <w:rsid w:val="6AAD6A36"/>
    <w:rsid w:val="6B182A49"/>
    <w:rsid w:val="6B511AB7"/>
    <w:rsid w:val="6B5275DD"/>
    <w:rsid w:val="6B762D04"/>
    <w:rsid w:val="6BB43DF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A71E62"/>
    <w:rsid w:val="6DB602F7"/>
    <w:rsid w:val="6DDE15FC"/>
    <w:rsid w:val="6DE0518A"/>
    <w:rsid w:val="6DE7336D"/>
    <w:rsid w:val="6E22598D"/>
    <w:rsid w:val="6E2434B3"/>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B52AE8"/>
    <w:rsid w:val="70D50A94"/>
    <w:rsid w:val="71534FCD"/>
    <w:rsid w:val="71864485"/>
    <w:rsid w:val="718F6E95"/>
    <w:rsid w:val="71973F9C"/>
    <w:rsid w:val="71A32941"/>
    <w:rsid w:val="71FD0B25"/>
    <w:rsid w:val="720B620B"/>
    <w:rsid w:val="721147C0"/>
    <w:rsid w:val="721A6835"/>
    <w:rsid w:val="724E4FA2"/>
    <w:rsid w:val="72823C75"/>
    <w:rsid w:val="728F1117"/>
    <w:rsid w:val="729F75AC"/>
    <w:rsid w:val="72A430EE"/>
    <w:rsid w:val="72A5093A"/>
    <w:rsid w:val="72BE68BD"/>
    <w:rsid w:val="72C708B1"/>
    <w:rsid w:val="72CD6775"/>
    <w:rsid w:val="72DA72BE"/>
    <w:rsid w:val="72EE22E1"/>
    <w:rsid w:val="73075151"/>
    <w:rsid w:val="731F249B"/>
    <w:rsid w:val="734B3290"/>
    <w:rsid w:val="736B3932"/>
    <w:rsid w:val="73702AE1"/>
    <w:rsid w:val="738B702F"/>
    <w:rsid w:val="739A5FC5"/>
    <w:rsid w:val="73AA445A"/>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1E6757"/>
    <w:rsid w:val="752B3379"/>
    <w:rsid w:val="752E10BB"/>
    <w:rsid w:val="75376381"/>
    <w:rsid w:val="755328D0"/>
    <w:rsid w:val="759321B8"/>
    <w:rsid w:val="75954C96"/>
    <w:rsid w:val="759E1D9D"/>
    <w:rsid w:val="75A447EA"/>
    <w:rsid w:val="75CD2682"/>
    <w:rsid w:val="75DA08FB"/>
    <w:rsid w:val="75DC35E9"/>
    <w:rsid w:val="75FA2D4B"/>
    <w:rsid w:val="76171B4F"/>
    <w:rsid w:val="7629538E"/>
    <w:rsid w:val="762F6E99"/>
    <w:rsid w:val="767F69B6"/>
    <w:rsid w:val="768F5B89"/>
    <w:rsid w:val="76902210"/>
    <w:rsid w:val="769E5BA6"/>
    <w:rsid w:val="77184DE6"/>
    <w:rsid w:val="773D55E5"/>
    <w:rsid w:val="77AE2E62"/>
    <w:rsid w:val="77BE6726"/>
    <w:rsid w:val="77C81C3B"/>
    <w:rsid w:val="77E517D3"/>
    <w:rsid w:val="77ED2E5B"/>
    <w:rsid w:val="77FA11D3"/>
    <w:rsid w:val="77FD1797"/>
    <w:rsid w:val="78120820"/>
    <w:rsid w:val="782C4FAF"/>
    <w:rsid w:val="7879089F"/>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86B03"/>
    <w:rsid w:val="79DD67E6"/>
    <w:rsid w:val="79DE4F03"/>
    <w:rsid w:val="79FA072F"/>
    <w:rsid w:val="7A340F22"/>
    <w:rsid w:val="7A3C1B84"/>
    <w:rsid w:val="7A4078C7"/>
    <w:rsid w:val="7A545120"/>
    <w:rsid w:val="7A684727"/>
    <w:rsid w:val="7A7C6425"/>
    <w:rsid w:val="7A835A05"/>
    <w:rsid w:val="7AAF2356"/>
    <w:rsid w:val="7AB23BF5"/>
    <w:rsid w:val="7ACD0A2E"/>
    <w:rsid w:val="7AD26045"/>
    <w:rsid w:val="7AE81103"/>
    <w:rsid w:val="7AEC7106"/>
    <w:rsid w:val="7B095F0A"/>
    <w:rsid w:val="7B25086A"/>
    <w:rsid w:val="7B403937"/>
    <w:rsid w:val="7B767318"/>
    <w:rsid w:val="7B892BA7"/>
    <w:rsid w:val="7B8B4516"/>
    <w:rsid w:val="7BA72548"/>
    <w:rsid w:val="7BCB1412"/>
    <w:rsid w:val="7BCF79D9"/>
    <w:rsid w:val="7BDA1655"/>
    <w:rsid w:val="7BDE7397"/>
    <w:rsid w:val="7BFF6846"/>
    <w:rsid w:val="7C0304D8"/>
    <w:rsid w:val="7C10151B"/>
    <w:rsid w:val="7C1A4C7A"/>
    <w:rsid w:val="7C2974E5"/>
    <w:rsid w:val="7C3A0345"/>
    <w:rsid w:val="7C3C40BE"/>
    <w:rsid w:val="7C444892"/>
    <w:rsid w:val="7C55371E"/>
    <w:rsid w:val="7CAE7448"/>
    <w:rsid w:val="7CB62772"/>
    <w:rsid w:val="7CCD4D16"/>
    <w:rsid w:val="7D37724C"/>
    <w:rsid w:val="7D6F401F"/>
    <w:rsid w:val="7D9D293A"/>
    <w:rsid w:val="7DBB1012"/>
    <w:rsid w:val="7DDF2F52"/>
    <w:rsid w:val="7DF36BF7"/>
    <w:rsid w:val="7DF764EE"/>
    <w:rsid w:val="7E2579C2"/>
    <w:rsid w:val="7E2D0162"/>
    <w:rsid w:val="7E33504C"/>
    <w:rsid w:val="7E5410D9"/>
    <w:rsid w:val="7E543E84"/>
    <w:rsid w:val="7E7F0292"/>
    <w:rsid w:val="7E8A310F"/>
    <w:rsid w:val="7EAC5767"/>
    <w:rsid w:val="7EBC3294"/>
    <w:rsid w:val="7EC90255"/>
    <w:rsid w:val="7EED5B43"/>
    <w:rsid w:val="7EF40C80"/>
    <w:rsid w:val="7F01339C"/>
    <w:rsid w:val="7F101066"/>
    <w:rsid w:val="7F402117"/>
    <w:rsid w:val="7F565496"/>
    <w:rsid w:val="7F620EF8"/>
    <w:rsid w:val="7F822E3C"/>
    <w:rsid w:val="7FE9455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index 8"/>
    <w:basedOn w:val="1"/>
    <w:next w:val="1"/>
    <w:qFormat/>
    <w:uiPriority w:val="0"/>
    <w:pPr>
      <w:ind w:left="1400" w:leftChars="1400"/>
    </w:pPr>
  </w:style>
  <w:style w:type="paragraph" w:styleId="8">
    <w:name w:val="caption"/>
    <w:basedOn w:val="1"/>
    <w:next w:val="1"/>
    <w:qFormat/>
    <w:uiPriority w:val="0"/>
    <w:rPr>
      <w:rFonts w:ascii="Cambria" w:hAnsi="Cambria" w:eastAsia="黑体"/>
      <w:sz w:val="20"/>
    </w:rPr>
  </w:style>
  <w:style w:type="paragraph" w:styleId="9">
    <w:name w:val="Document Map"/>
    <w:basedOn w:val="1"/>
    <w:link w:val="54"/>
    <w:qFormat/>
    <w:uiPriority w:val="0"/>
    <w:rPr>
      <w:rFonts w:ascii="宋体"/>
      <w:sz w:val="18"/>
      <w:szCs w:val="18"/>
    </w:rPr>
  </w:style>
  <w:style w:type="paragraph" w:styleId="10">
    <w:name w:val="annotation text"/>
    <w:basedOn w:val="1"/>
    <w:link w:val="53"/>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link w:val="51"/>
    <w:qFormat/>
    <w:uiPriority w:val="99"/>
    <w:pPr>
      <w:spacing w:after="120"/>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9"/>
    <w:qFormat/>
    <w:uiPriority w:val="99"/>
    <w:rPr>
      <w:rFonts w:ascii="宋体" w:hAnsi="Courier New"/>
      <w:szCs w:val="20"/>
    </w:rPr>
  </w:style>
  <w:style w:type="paragraph" w:styleId="17">
    <w:name w:val="Date"/>
    <w:basedOn w:val="1"/>
    <w:next w:val="1"/>
    <w:link w:val="55"/>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6"/>
    <w:qFormat/>
    <w:uiPriority w:val="99"/>
    <w:pPr>
      <w:tabs>
        <w:tab w:val="center" w:pos="4153"/>
        <w:tab w:val="right" w:pos="8306"/>
      </w:tabs>
      <w:snapToGrid w:val="0"/>
      <w:jc w:val="left"/>
    </w:pPr>
    <w:rPr>
      <w:sz w:val="18"/>
      <w:szCs w:val="18"/>
    </w:rPr>
  </w:style>
  <w:style w:type="paragraph" w:styleId="21">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toc 2"/>
    <w:basedOn w:val="1"/>
    <w:next w:val="1"/>
    <w:unhideWhenUsed/>
    <w:qFormat/>
    <w:uiPriority w:val="99"/>
    <w:pPr>
      <w:widowControl/>
      <w:spacing w:line="360" w:lineRule="auto"/>
    </w:pPr>
    <w:rPr>
      <w:rFonts w:ascii="Calibri" w:hAnsi="Calibri" w:cs="黑体"/>
      <w:szCs w:val="21"/>
    </w:rPr>
  </w:style>
  <w:style w:type="paragraph" w:styleId="25">
    <w:name w:val="Body Text 2"/>
    <w:basedOn w:val="1"/>
    <w:link w:val="73"/>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50"/>
    <w:qFormat/>
    <w:uiPriority w:val="0"/>
    <w:pPr>
      <w:ind w:firstLine="420" w:firstLineChars="100"/>
    </w:pPr>
  </w:style>
  <w:style w:type="paragraph" w:styleId="29">
    <w:name w:val="Body Text First Indent 2"/>
    <w:basedOn w:val="13"/>
    <w:next w:val="1"/>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character" w:customStyle="1" w:styleId="38">
    <w:name w:val="标题 3 字符"/>
    <w:link w:val="6"/>
    <w:semiHidden/>
    <w:qFormat/>
    <w:uiPriority w:val="0"/>
    <w:rPr>
      <w:b/>
      <w:bCs/>
      <w:kern w:val="2"/>
      <w:sz w:val="32"/>
      <w:szCs w:val="32"/>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我的正文"/>
    <w:basedOn w:val="13"/>
    <w:qFormat/>
    <w:uiPriority w:val="0"/>
    <w:pPr>
      <w:spacing w:line="500" w:lineRule="exact"/>
      <w:ind w:firstLine="480" w:firstLineChars="200"/>
    </w:pPr>
    <w:rPr>
      <w:sz w:val="24"/>
    </w:rPr>
  </w:style>
  <w:style w:type="paragraph" w:customStyle="1" w:styleId="41">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Body Text 21"/>
    <w:basedOn w:val="1"/>
    <w:next w:val="12"/>
    <w:qFormat/>
    <w:uiPriority w:val="0"/>
    <w:rPr>
      <w:rFonts w:ascii="ˎ̥" w:hAnsi="ˎ̥" w:cs="宋体"/>
      <w:b/>
      <w:sz w:val="32"/>
    </w:rPr>
  </w:style>
  <w:style w:type="paragraph" w:customStyle="1" w:styleId="44">
    <w:name w:val="Char Char10 Char Char Char Char"/>
    <w:basedOn w:val="1"/>
    <w:next w:val="45"/>
    <w:qFormat/>
    <w:uiPriority w:val="0"/>
    <w:rPr>
      <w:rFonts w:ascii="Times New Roman" w:hAnsi="Times New Roman" w:eastAsia="宋体" w:cs="Times New Roman"/>
    </w:rPr>
  </w:style>
  <w:style w:type="paragraph" w:customStyle="1" w:styleId="45">
    <w:name w:val="xl87"/>
    <w:basedOn w:val="1"/>
    <w:next w:val="4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6">
    <w:name w:val="xl72"/>
    <w:basedOn w:val="1"/>
    <w:next w:val="1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文本首行缩进 字符"/>
    <w:link w:val="28"/>
    <w:qFormat/>
    <w:uiPriority w:val="0"/>
    <w:rPr>
      <w:kern w:val="2"/>
      <w:sz w:val="21"/>
      <w:szCs w:val="24"/>
    </w:rPr>
  </w:style>
  <w:style w:type="character" w:customStyle="1" w:styleId="51">
    <w:name w:val="正文文本 字符"/>
    <w:link w:val="12"/>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10"/>
    <w:qFormat/>
    <w:uiPriority w:val="0"/>
    <w:rPr>
      <w:kern w:val="2"/>
      <w:sz w:val="21"/>
      <w:szCs w:val="24"/>
    </w:rPr>
  </w:style>
  <w:style w:type="character" w:customStyle="1" w:styleId="54">
    <w:name w:val="文档结构图 字符"/>
    <w:link w:val="9"/>
    <w:qFormat/>
    <w:uiPriority w:val="0"/>
    <w:rPr>
      <w:rFonts w:ascii="宋体"/>
      <w:kern w:val="2"/>
      <w:sz w:val="18"/>
      <w:szCs w:val="18"/>
    </w:rPr>
  </w:style>
  <w:style w:type="character" w:customStyle="1" w:styleId="55">
    <w:name w:val="日期 字符"/>
    <w:link w:val="17"/>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basedOn w:val="32"/>
    <w:qFormat/>
    <w:uiPriority w:val="0"/>
    <w:rPr>
      <w:rFonts w:hint="eastAsia" w:ascii="宋体" w:hAnsi="宋体" w:eastAsia="宋体" w:cs="宋体"/>
      <w:color w:val="000000"/>
      <w:sz w:val="18"/>
      <w:szCs w:val="18"/>
      <w:u w:val="none"/>
    </w:rPr>
  </w:style>
  <w:style w:type="character" w:customStyle="1" w:styleId="59">
    <w:name w:val="纯文本 字符"/>
    <w:link w:val="16"/>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32"/>
    <w:qFormat/>
    <w:uiPriority w:val="0"/>
  </w:style>
  <w:style w:type="character" w:customStyle="1" w:styleId="73">
    <w:name w:val="正文文本 2 字符"/>
    <w:link w:val="25"/>
    <w:qFormat/>
    <w:uiPriority w:val="0"/>
    <w:rPr>
      <w:kern w:val="2"/>
      <w:sz w:val="21"/>
      <w:szCs w:val="24"/>
    </w:rPr>
  </w:style>
  <w:style w:type="character" w:customStyle="1" w:styleId="74">
    <w:name w:val="NormalCharacter"/>
    <w:qFormat/>
    <w:uiPriority w:val="0"/>
  </w:style>
  <w:style w:type="character" w:customStyle="1" w:styleId="75">
    <w:name w:val="页眉 字符"/>
    <w:link w:val="21"/>
    <w:qFormat/>
    <w:uiPriority w:val="99"/>
    <w:rPr>
      <w:kern w:val="2"/>
      <w:sz w:val="18"/>
      <w:szCs w:val="18"/>
    </w:rPr>
  </w:style>
  <w:style w:type="character" w:customStyle="1" w:styleId="76">
    <w:name w:val="页脚 字符"/>
    <w:link w:val="20"/>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32"/>
    <w:qFormat/>
    <w:uiPriority w:val="0"/>
    <w:rPr>
      <w:sz w:val="21"/>
      <w:szCs w:val="21"/>
    </w:rPr>
  </w:style>
  <w:style w:type="character" w:customStyle="1" w:styleId="82">
    <w:name w:val="first-child"/>
    <w:basedOn w:val="32"/>
    <w:qFormat/>
    <w:uiPriority w:val="0"/>
    <w:rPr>
      <w:color w:val="1F3149"/>
      <w:sz w:val="24"/>
      <w:szCs w:val="24"/>
    </w:rPr>
  </w:style>
  <w:style w:type="character" w:customStyle="1" w:styleId="83">
    <w:name w:val="first-child1"/>
    <w:basedOn w:val="32"/>
    <w:qFormat/>
    <w:uiPriority w:val="0"/>
    <w:rPr>
      <w:color w:val="1F3149"/>
      <w:sz w:val="24"/>
      <w:szCs w:val="24"/>
    </w:rPr>
  </w:style>
  <w:style w:type="character" w:customStyle="1" w:styleId="84">
    <w:name w:val="xiadan"/>
    <w:basedOn w:val="32"/>
    <w:qFormat/>
    <w:uiPriority w:val="0"/>
    <w:rPr>
      <w:shd w:val="clear" w:color="auto" w:fill="E4393C"/>
    </w:rPr>
  </w:style>
  <w:style w:type="character" w:customStyle="1" w:styleId="85">
    <w:name w:val="fr"/>
    <w:basedOn w:val="32"/>
    <w:qFormat/>
    <w:uiPriority w:val="0"/>
  </w:style>
  <w:style w:type="character" w:customStyle="1" w:styleId="86">
    <w:name w:val="icon_ds"/>
    <w:basedOn w:val="32"/>
    <w:qFormat/>
    <w:uiPriority w:val="0"/>
  </w:style>
  <w:style w:type="paragraph" w:customStyle="1" w:styleId="87">
    <w:name w:val="正文1"/>
    <w:basedOn w:val="1"/>
    <w:qFormat/>
    <w:uiPriority w:val="0"/>
    <w:pPr>
      <w:widowControl/>
      <w:topLinePunct/>
      <w:spacing w:beforeLines="50" w:afterLines="50" w:line="300" w:lineRule="auto"/>
      <w:ind w:left="420"/>
    </w:pPr>
  </w:style>
  <w:style w:type="table" w:customStyle="1" w:styleId="88">
    <w:name w:val="Table Normal"/>
    <w:basedOn w:val="30"/>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9">
    <w:name w:val="前附表"/>
    <w:basedOn w:val="90"/>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0">
    <w:name w:val="正文样式"/>
    <w:basedOn w:val="1"/>
    <w:qFormat/>
    <w:uiPriority w:val="0"/>
  </w:style>
  <w:style w:type="paragraph" w:customStyle="1" w:styleId="91">
    <w:name w:val="Table Text"/>
    <w:basedOn w:val="1"/>
    <w:semiHidden/>
    <w:qFormat/>
    <w:uiPriority w:val="0"/>
    <w:rPr>
      <w:rFonts w:ascii="宋体" w:hAnsi="宋体" w:eastAsia="宋体" w:cs="宋体"/>
      <w:sz w:val="20"/>
      <w:szCs w:val="20"/>
      <w:lang w:val="en-US" w:eastAsia="en-US" w:bidi="ar-SA"/>
    </w:rPr>
  </w:style>
  <w:style w:type="character" w:customStyle="1" w:styleId="92">
    <w:name w:val="font41"/>
    <w:basedOn w:val="32"/>
    <w:qFormat/>
    <w:uiPriority w:val="0"/>
    <w:rPr>
      <w:rFonts w:hint="eastAsia" w:ascii="宋体" w:hAnsi="宋体" w:eastAsia="宋体" w:cs="宋体"/>
      <w:b/>
      <w:bCs/>
      <w:color w:val="000000"/>
      <w:sz w:val="24"/>
      <w:szCs w:val="24"/>
      <w:u w:val="none"/>
    </w:rPr>
  </w:style>
  <w:style w:type="character" w:customStyle="1" w:styleId="93">
    <w:name w:val="font51"/>
    <w:basedOn w:val="32"/>
    <w:qFormat/>
    <w:uiPriority w:val="0"/>
    <w:rPr>
      <w:rFonts w:ascii="Arial" w:hAnsi="Arial" w:cs="Arial"/>
      <w:color w:val="000000"/>
      <w:sz w:val="24"/>
      <w:szCs w:val="24"/>
      <w:u w:val="none"/>
    </w:rPr>
  </w:style>
  <w:style w:type="paragraph" w:customStyle="1" w:styleId="94">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6" textRotate="1"/>
    <customShpInfo spid="_x0000_s4107" textRotate="1"/>
    <customShpInfo spid="_x0000_s4111"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143</Words>
  <Characters>152</Characters>
  <Lines>146</Lines>
  <Paragraphs>41</Paragraphs>
  <TotalTime>7</TotalTime>
  <ScaleCrop>false</ScaleCrop>
  <LinksUpToDate>false</LinksUpToDate>
  <CharactersWithSpaces>173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2024-03-20T01:10:00Z</cp:lastPrinted>
  <dcterms:modified xsi:type="dcterms:W3CDTF">2026-05-26T02:23:38Z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