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FEBA1">
      <w:pPr>
        <w:tabs>
          <w:tab w:val="left" w:pos="315"/>
          <w:tab w:val="left" w:pos="8820"/>
        </w:tabs>
        <w:spacing w:before="0" w:after="0" w:line="500" w:lineRule="auto"/>
        <w:ind w:left="0" w:right="267" w:firstLine="0"/>
        <w:jc w:val="center"/>
        <w:rPr>
          <w:rFonts w:ascii="宋体" w:hAnsi="宋体" w:eastAsia="宋体" w:cs="宋体"/>
          <w:b/>
          <w:color w:val="auto"/>
          <w:spacing w:val="0"/>
          <w:position w:val="0"/>
          <w:sz w:val="52"/>
          <w:highlight w:val="none"/>
          <w:shd w:val="clear" w:fill="auto"/>
        </w:rPr>
      </w:pPr>
    </w:p>
    <w:p w14:paraId="7FEDC066">
      <w:pPr>
        <w:tabs>
          <w:tab w:val="left" w:pos="315"/>
          <w:tab w:val="left" w:pos="8820"/>
        </w:tabs>
        <w:spacing w:before="0" w:after="0" w:line="500" w:lineRule="auto"/>
        <w:ind w:left="0" w:right="267" w:firstLine="0"/>
        <w:jc w:val="center"/>
        <w:rPr>
          <w:rFonts w:ascii="宋体" w:hAnsi="宋体" w:eastAsia="宋体" w:cs="宋体"/>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周口市公共资源交易中心</w:t>
      </w:r>
    </w:p>
    <w:p w14:paraId="5A41395A">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2018A3DB">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3EA39AF3">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794CB66C">
      <w:pPr>
        <w:tabs>
          <w:tab w:val="left" w:pos="315"/>
          <w:tab w:val="left" w:pos="8820"/>
        </w:tabs>
        <w:spacing w:before="0" w:after="0" w:line="500" w:lineRule="auto"/>
        <w:ind w:left="0" w:right="267" w:firstLine="0"/>
        <w:jc w:val="both"/>
        <w:rPr>
          <w:rFonts w:ascii="微软简标宋" w:hAnsi="微软简标宋" w:eastAsia="微软简标宋" w:cs="微软简标宋"/>
          <w:b/>
          <w:color w:val="auto"/>
          <w:spacing w:val="0"/>
          <w:position w:val="0"/>
          <w:sz w:val="52"/>
          <w:highlight w:val="none"/>
          <w:shd w:val="clear" w:fill="auto"/>
        </w:rPr>
      </w:pPr>
    </w:p>
    <w:p w14:paraId="0F65F16A">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3524190E">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4D7A67E9">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385E6168">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529843C0">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63ABFC79">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459A2DD2">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3FFEEA69">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308ACA73">
      <w:pPr>
        <w:tabs>
          <w:tab w:val="left" w:pos="315"/>
          <w:tab w:val="left" w:pos="8820"/>
        </w:tabs>
        <w:spacing w:before="0" w:after="0" w:line="240" w:lineRule="auto"/>
        <w:ind w:left="2209" w:right="267" w:hanging="1600" w:hangingChars="500"/>
        <w:jc w:val="left"/>
        <w:rPr>
          <w:rFonts w:hint="eastAsia" w:ascii="Times New Roman" w:hAnsi="Times New Roman" w:eastAsia="Times New Roman" w:cs="Times New Roman"/>
          <w:b w:val="0"/>
          <w:bCs/>
          <w:color w:val="auto"/>
          <w:spacing w:val="0"/>
          <w:position w:val="0"/>
          <w:sz w:val="32"/>
          <w:szCs w:val="32"/>
          <w:highlight w:val="none"/>
          <w:u w:val="none"/>
          <w:shd w:val="clear" w:fill="auto"/>
          <w:lang w:val="en-US" w:eastAsia="zh-CN"/>
        </w:rPr>
      </w:pPr>
      <w:r>
        <w:rPr>
          <w:rFonts w:ascii="宋体" w:hAnsi="宋体" w:eastAsia="宋体" w:cs="宋体"/>
          <w:b w:val="0"/>
          <w:bCs/>
          <w:color w:val="auto"/>
          <w:spacing w:val="0"/>
          <w:position w:val="0"/>
          <w:sz w:val="32"/>
          <w:szCs w:val="32"/>
          <w:highlight w:val="none"/>
          <w:shd w:val="clear" w:fill="auto"/>
        </w:rPr>
        <w:t xml:space="preserve">项目名称: </w:t>
      </w:r>
      <w:r>
        <w:rPr>
          <w:rFonts w:hint="eastAsia" w:ascii="Times New Roman" w:hAnsi="Times New Roman" w:eastAsia="Times New Roman" w:cs="Times New Roman"/>
          <w:b w:val="0"/>
          <w:bCs/>
          <w:color w:val="auto"/>
          <w:spacing w:val="0"/>
          <w:position w:val="0"/>
          <w:sz w:val="32"/>
          <w:szCs w:val="32"/>
          <w:highlight w:val="none"/>
          <w:u w:val="none"/>
          <w:shd w:val="clear" w:fill="auto"/>
        </w:rPr>
        <w:t>周口市第一高级中学周口一高改善办学条件项目</w:t>
      </w:r>
      <w:r>
        <w:rPr>
          <w:rFonts w:hint="eastAsia" w:ascii="Times New Roman" w:hAnsi="Times New Roman" w:eastAsia="Times New Roman" w:cs="Times New Roman"/>
          <w:b w:val="0"/>
          <w:bCs/>
          <w:color w:val="auto"/>
          <w:spacing w:val="0"/>
          <w:position w:val="0"/>
          <w:sz w:val="32"/>
          <w:szCs w:val="32"/>
          <w:highlight w:val="none"/>
          <w:u w:val="none"/>
          <w:shd w:val="clear" w:fill="auto"/>
          <w:lang w:val="en-US" w:eastAsia="zh-CN"/>
        </w:rPr>
        <w:t>(2025年普通高中发展引导省级补助资金)</w:t>
      </w:r>
    </w:p>
    <w:p w14:paraId="646CDBC6">
      <w:pPr>
        <w:tabs>
          <w:tab w:val="left" w:pos="315"/>
          <w:tab w:val="left" w:pos="8820"/>
        </w:tabs>
        <w:spacing w:before="0" w:after="0" w:line="240" w:lineRule="auto"/>
        <w:ind w:left="2209" w:right="267" w:hanging="1600" w:hangingChars="500"/>
        <w:jc w:val="left"/>
        <w:rPr>
          <w:rFonts w:hint="default" w:ascii="宋体" w:hAnsi="宋体" w:eastAsia="宋体" w:cs="宋体"/>
          <w:b w:val="0"/>
          <w:bCs/>
          <w:color w:val="auto"/>
          <w:spacing w:val="0"/>
          <w:position w:val="0"/>
          <w:sz w:val="32"/>
          <w:szCs w:val="32"/>
          <w:highlight w:val="none"/>
          <w:shd w:val="clear" w:fill="auto"/>
          <w:lang w:val="en-US" w:eastAsia="zh-CN"/>
        </w:rPr>
      </w:pPr>
      <w:r>
        <w:rPr>
          <w:rFonts w:ascii="宋体" w:hAnsi="宋体" w:eastAsia="宋体" w:cs="宋体"/>
          <w:b w:val="0"/>
          <w:bCs/>
          <w:color w:val="auto"/>
          <w:spacing w:val="0"/>
          <w:position w:val="0"/>
          <w:sz w:val="32"/>
          <w:szCs w:val="32"/>
          <w:highlight w:val="none"/>
          <w:shd w:val="clear" w:fill="auto"/>
        </w:rPr>
        <w:t>项目编号:</w:t>
      </w:r>
      <w:r>
        <w:rPr>
          <w:rFonts w:hint="eastAsia" w:ascii="Times New Roman" w:hAnsi="Times New Roman" w:eastAsia="Times New Roman" w:cs="Times New Roman"/>
          <w:b w:val="0"/>
          <w:bCs/>
          <w:color w:val="auto"/>
          <w:spacing w:val="0"/>
          <w:position w:val="0"/>
          <w:sz w:val="32"/>
          <w:szCs w:val="32"/>
          <w:highlight w:val="none"/>
          <w:u w:val="none"/>
          <w:shd w:val="clear" w:fill="auto"/>
        </w:rPr>
        <w:t>周</w:t>
      </w:r>
      <w:r>
        <w:rPr>
          <w:rFonts w:hint="eastAsia" w:ascii="Times New Roman" w:hAnsi="Times New Roman" w:eastAsia="宋体" w:cs="Times New Roman"/>
          <w:b w:val="0"/>
          <w:bCs/>
          <w:color w:val="auto"/>
          <w:spacing w:val="0"/>
          <w:position w:val="0"/>
          <w:sz w:val="32"/>
          <w:szCs w:val="32"/>
          <w:highlight w:val="none"/>
          <w:u w:val="none"/>
          <w:shd w:val="clear" w:fill="auto"/>
          <w:lang w:val="en-US" w:eastAsia="zh-CN"/>
        </w:rPr>
        <w:t>财磋商采购-2026-52</w:t>
      </w:r>
    </w:p>
    <w:p w14:paraId="0B839F44">
      <w:pPr>
        <w:spacing w:before="0" w:after="120" w:line="240" w:lineRule="auto"/>
        <w:ind w:left="0" w:right="0" w:firstLine="0"/>
        <w:jc w:val="both"/>
        <w:rPr>
          <w:rFonts w:ascii="宋体" w:hAnsi="宋体" w:eastAsia="宋体" w:cs="宋体"/>
          <w:b w:val="0"/>
          <w:bCs/>
          <w:color w:val="auto"/>
          <w:spacing w:val="0"/>
          <w:position w:val="0"/>
          <w:sz w:val="32"/>
          <w:szCs w:val="32"/>
          <w:highlight w:val="none"/>
          <w:shd w:val="clear" w:fill="auto"/>
        </w:rPr>
      </w:pPr>
    </w:p>
    <w:p w14:paraId="0C4600FE">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r>
        <w:rPr>
          <w:rFonts w:hint="eastAsia" w:ascii="宋体" w:hAnsi="宋体" w:eastAsia="宋体" w:cs="宋体"/>
          <w:b w:val="0"/>
          <w:bCs/>
          <w:color w:val="auto"/>
          <w:spacing w:val="0"/>
          <w:position w:val="0"/>
          <w:sz w:val="32"/>
          <w:szCs w:val="32"/>
          <w:highlight w:val="none"/>
          <w:shd w:val="clear" w:fill="auto"/>
          <w:lang w:val="en-US" w:eastAsia="zh-CN"/>
        </w:rPr>
        <w:t>2026年5月26日</w:t>
      </w:r>
    </w:p>
    <w:p w14:paraId="1EE59C04">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A1CD6A9">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2186119">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49F8C6BD">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2ADF2401">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730F8C59">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042B26FF">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第三章  采购需求.................................24</w:t>
      </w:r>
    </w:p>
    <w:p w14:paraId="2FDFE431">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第四章  响应性文件内容及格式.....................25</w:t>
      </w:r>
    </w:p>
    <w:p w14:paraId="41F3379E">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0</w:t>
      </w:r>
    </w:p>
    <w:p w14:paraId="242BAB2B">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11FDD87">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E02371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31680303">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12EEEA55">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7634820B">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5A2E8F7F">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BCAE6AC">
      <w:pPr>
        <w:spacing w:before="0" w:after="0" w:line="240" w:lineRule="auto"/>
        <w:ind w:left="0" w:right="0" w:firstLine="420"/>
        <w:jc w:val="left"/>
        <w:rPr>
          <w:rFonts w:ascii="仿宋_GB2312" w:hAnsi="仿宋_GB2312" w:eastAsia="仿宋_GB2312" w:cs="仿宋_GB2312"/>
          <w:b/>
          <w:color w:val="auto"/>
          <w:spacing w:val="0"/>
          <w:position w:val="0"/>
          <w:sz w:val="32"/>
          <w:highlight w:val="none"/>
          <w:shd w:val="clear" w:fill="auto"/>
        </w:rPr>
      </w:pPr>
      <w:r>
        <w:rPr>
          <w:rFonts w:ascii="仿宋_GB2312" w:hAnsi="仿宋_GB2312" w:eastAsia="仿宋_GB2312" w:cs="仿宋_GB2312"/>
          <w:b/>
          <w:color w:val="auto"/>
          <w:spacing w:val="0"/>
          <w:position w:val="0"/>
          <w:sz w:val="32"/>
          <w:highlight w:val="none"/>
          <w:shd w:val="clear" w:fill="auto"/>
        </w:rPr>
        <w:t xml:space="preserve"> </w:t>
      </w:r>
    </w:p>
    <w:p w14:paraId="535035EE">
      <w:pPr>
        <w:spacing w:before="0" w:after="0" w:line="24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w:t>
      </w:r>
    </w:p>
    <w:p w14:paraId="5A32F397">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5260A157">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周口市第一高级中学</w:t>
      </w:r>
      <w:r>
        <w:rPr>
          <w:rFonts w:hint="eastAsia" w:ascii="Times New Roman" w:hAnsi="Times New Roman" w:eastAsia="宋体" w:cs="Times New Roman"/>
          <w:color w:val="auto"/>
          <w:spacing w:val="0"/>
          <w:position w:val="0"/>
          <w:sz w:val="24"/>
          <w:highlight w:val="none"/>
          <w:u w:val="single"/>
          <w:shd w:val="clear" w:fill="auto"/>
          <w:lang w:eastAsia="zh-CN"/>
        </w:rPr>
        <w:t xml:space="preserve">周口市第一高级中学周口一高改善办学条件项目(2025年普通高中发展引导省级补助资金) </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月</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日</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5EFB119D">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p>
    <w:p w14:paraId="650636C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4EE86C1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rPr>
        <w:t>周</w:t>
      </w:r>
      <w:r>
        <w:rPr>
          <w:rFonts w:hint="eastAsia" w:ascii="宋体" w:hAnsi="宋体" w:eastAsia="宋体" w:cs="宋体"/>
          <w:color w:val="auto"/>
          <w:spacing w:val="0"/>
          <w:position w:val="0"/>
          <w:sz w:val="24"/>
          <w:highlight w:val="none"/>
          <w:shd w:val="clear" w:fill="auto"/>
          <w:lang w:val="en-US" w:eastAsia="zh-CN"/>
        </w:rPr>
        <w:t>财磋商采购-2026-52</w:t>
      </w:r>
    </w:p>
    <w:p w14:paraId="24A210DB">
      <w:pPr>
        <w:spacing w:before="0" w:after="0" w:line="360" w:lineRule="auto"/>
        <w:ind w:left="479" w:leftChars="228" w:right="0" w:firstLine="64" w:firstLineChars="27"/>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项目名称：</w:t>
      </w:r>
      <w:r>
        <w:rPr>
          <w:rFonts w:hint="eastAsia" w:ascii="Times New Roman" w:hAnsi="Times New Roman" w:eastAsia="Times New Roman" w:cs="Times New Roman"/>
          <w:color w:val="auto"/>
          <w:spacing w:val="0"/>
          <w:position w:val="0"/>
          <w:sz w:val="24"/>
          <w:highlight w:val="none"/>
          <w:u w:val="none"/>
          <w:shd w:val="clear" w:fill="auto"/>
        </w:rPr>
        <w:t>周口市第一高级中学周口一高改善办学条件</w:t>
      </w:r>
      <w:r>
        <w:rPr>
          <w:rFonts w:ascii="宋体" w:hAnsi="宋体" w:eastAsia="宋体" w:cs="宋体"/>
          <w:color w:val="auto"/>
          <w:spacing w:val="0"/>
          <w:position w:val="0"/>
          <w:sz w:val="24"/>
          <w:highlight w:val="none"/>
          <w:u w:val="none"/>
          <w:shd w:val="clear" w:fill="auto"/>
        </w:rPr>
        <w:t>项目</w:t>
      </w:r>
      <w:r>
        <w:rPr>
          <w:rFonts w:hint="eastAsia" w:ascii="Times New Roman" w:hAnsi="Times New Roman" w:eastAsia="宋体" w:cs="Times New Roman"/>
          <w:color w:val="auto"/>
          <w:spacing w:val="0"/>
          <w:position w:val="0"/>
          <w:sz w:val="24"/>
          <w:highlight w:val="none"/>
          <w:u w:val="none"/>
          <w:shd w:val="clear" w:fill="auto"/>
          <w:lang w:val="en-US" w:eastAsia="zh-CN"/>
        </w:rPr>
        <w:t>(2</w:t>
      </w:r>
      <w:r>
        <w:rPr>
          <w:rFonts w:hint="eastAsia" w:ascii="宋体" w:hAnsi="宋体" w:eastAsia="宋体" w:cs="宋体"/>
          <w:color w:val="auto"/>
          <w:spacing w:val="0"/>
          <w:position w:val="0"/>
          <w:sz w:val="24"/>
          <w:szCs w:val="24"/>
          <w:highlight w:val="none"/>
          <w:u w:val="non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none"/>
          <w:shd w:val="clear" w:fill="auto"/>
          <w:lang w:val="en-US" w:eastAsia="zh-CN"/>
        </w:rPr>
        <w:t>)</w:t>
      </w:r>
      <w:r>
        <w:rPr>
          <w:rFonts w:ascii="宋体" w:hAnsi="宋体" w:eastAsia="宋体" w:cs="宋体"/>
          <w:color w:val="auto"/>
          <w:spacing w:val="0"/>
          <w:position w:val="0"/>
          <w:sz w:val="24"/>
          <w:highlight w:val="none"/>
          <w:shd w:val="clear" w:fill="auto"/>
        </w:rPr>
        <w:t>采购方式：竞争性磋商</w:t>
      </w:r>
    </w:p>
    <w:p w14:paraId="7849584F">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2663000</w:t>
      </w:r>
    </w:p>
    <w:p w14:paraId="3BA61389">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2663000</w:t>
      </w:r>
    </w:p>
    <w:p w14:paraId="6ABE8885">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包划分：</w:t>
      </w:r>
      <w:r>
        <w:rPr>
          <w:rFonts w:hint="eastAsia" w:ascii="宋体" w:hAnsi="宋体" w:eastAsia="宋体" w:cs="宋体"/>
          <w:color w:val="auto"/>
          <w:spacing w:val="0"/>
          <w:position w:val="0"/>
          <w:sz w:val="24"/>
          <w:highlight w:val="none"/>
          <w:shd w:val="clear" w:fill="auto"/>
          <w:lang w:val="en-US" w:eastAsia="zh-CN"/>
        </w:rPr>
        <w:t>5</w:t>
      </w:r>
      <w:r>
        <w:rPr>
          <w:rFonts w:ascii="宋体" w:hAnsi="宋体" w:eastAsia="宋体" w:cs="宋体"/>
          <w:color w:val="auto"/>
          <w:spacing w:val="0"/>
          <w:position w:val="0"/>
          <w:sz w:val="24"/>
          <w:highlight w:val="none"/>
          <w:shd w:val="clear" w:fill="auto"/>
        </w:rPr>
        <w:t>个包</w:t>
      </w:r>
    </w:p>
    <w:tbl>
      <w:tblPr>
        <w:tblStyle w:val="13"/>
        <w:tblW w:w="0" w:type="auto"/>
        <w:tblInd w:w="0" w:type="dxa"/>
        <w:tblLayout w:type="autofit"/>
        <w:tblCellMar>
          <w:top w:w="0" w:type="dxa"/>
          <w:left w:w="10" w:type="dxa"/>
          <w:bottom w:w="0" w:type="dxa"/>
          <w:right w:w="10" w:type="dxa"/>
        </w:tblCellMar>
      </w:tblPr>
      <w:tblGrid>
        <w:gridCol w:w="1176"/>
        <w:gridCol w:w="3697"/>
        <w:gridCol w:w="1824"/>
        <w:gridCol w:w="1824"/>
      </w:tblGrid>
      <w:tr w14:paraId="4422245B">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04A60">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E79DA0">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AB2B1">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包最高限价万元</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71D04">
            <w:pPr>
              <w:widowControl w:val="0"/>
              <w:spacing w:before="0" w:after="0" w:line="360" w:lineRule="auto"/>
              <w:ind w:left="0" w:right="0" w:firstLine="0"/>
              <w:jc w:val="center"/>
              <w:rPr>
                <w:rFonts w:hint="default"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备注</w:t>
            </w:r>
          </w:p>
        </w:tc>
      </w:tr>
      <w:tr w14:paraId="60FC8A6D">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6AC02">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C17AB">
            <w:pPr>
              <w:spacing w:before="0" w:after="0" w:line="360" w:lineRule="auto"/>
              <w:ind w:left="0" w:right="0" w:firstLine="0"/>
              <w:jc w:val="center"/>
              <w:rPr>
                <w:rFonts w:hint="default" w:eastAsia="宋体"/>
                <w:color w:val="auto"/>
                <w:spacing w:val="0"/>
                <w:position w:val="0"/>
                <w:highlight w:val="none"/>
                <w:shd w:val="clear" w:fill="auto"/>
                <w:lang w:val="en-US" w:eastAsia="zh-CN"/>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3CE20">
            <w:pPr>
              <w:spacing w:before="0" w:after="0" w:line="360" w:lineRule="auto"/>
              <w:ind w:left="0" w:right="0" w:firstLine="0"/>
              <w:jc w:val="center"/>
              <w:rPr>
                <w:rFonts w:hint="default" w:eastAsiaTheme="minorEastAsia"/>
                <w:color w:val="auto"/>
                <w:spacing w:val="0"/>
                <w:position w:val="0"/>
                <w:highlight w:val="none"/>
                <w:shd w:val="clear" w:fill="auto"/>
                <w:lang w:val="en-US" w:eastAsia="zh-CN"/>
              </w:rPr>
            </w:pPr>
            <w:r>
              <w:rPr>
                <w:rFonts w:hint="eastAsia"/>
                <w:color w:val="auto"/>
                <w:spacing w:val="0"/>
                <w:position w:val="0"/>
                <w:highlight w:val="none"/>
                <w:shd w:val="clear" w:fill="auto"/>
                <w:lang w:val="en-US" w:eastAsia="zh-CN"/>
              </w:rPr>
              <w:t>44.010152</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61A98">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高一、高二教学楼</w:t>
            </w:r>
          </w:p>
        </w:tc>
      </w:tr>
      <w:tr w14:paraId="665ADC3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9BA79">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D93E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258381">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30.9</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E3A3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教室黑板更新</w:t>
            </w:r>
          </w:p>
        </w:tc>
      </w:tr>
      <w:tr w14:paraId="3A8FC727">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DC26E">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E8298">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84F27">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122.8935</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BD167">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科技类等</w:t>
            </w:r>
          </w:p>
        </w:tc>
      </w:tr>
      <w:tr w14:paraId="2BD95C59">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1A9A7">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A245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3CE8F">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24.624043</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608AB">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高一、高二教学楼及高三男女寝室</w:t>
            </w:r>
          </w:p>
        </w:tc>
      </w:tr>
      <w:tr w14:paraId="3CF85373">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2F1EE">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B4CC5">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FC859">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40.6</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0385C7">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高一高二教学楼</w:t>
            </w:r>
          </w:p>
        </w:tc>
      </w:tr>
    </w:tbl>
    <w:p w14:paraId="0552D91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采购需求：（包括但不限于标的的名称、数量、简要技术需求或服务要求等）</w:t>
      </w:r>
    </w:p>
    <w:p w14:paraId="33FAD11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p>
    <w:tbl>
      <w:tblPr>
        <w:tblStyle w:val="13"/>
        <w:tblW w:w="0" w:type="auto"/>
        <w:tblInd w:w="0" w:type="dxa"/>
        <w:tblLayout w:type="autofit"/>
        <w:tblCellMar>
          <w:top w:w="0" w:type="dxa"/>
          <w:left w:w="10" w:type="dxa"/>
          <w:bottom w:w="0" w:type="dxa"/>
          <w:right w:w="10" w:type="dxa"/>
        </w:tblCellMar>
      </w:tblPr>
      <w:tblGrid>
        <w:gridCol w:w="1176"/>
        <w:gridCol w:w="3697"/>
        <w:gridCol w:w="1824"/>
        <w:gridCol w:w="1824"/>
      </w:tblGrid>
      <w:tr w14:paraId="618538D8">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A95A1">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2D341B">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B0346">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auto"/>
              </w:rPr>
              <w:t>合同履行期限</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560C6">
            <w:pPr>
              <w:widowControl w:val="0"/>
              <w:spacing w:before="0" w:after="0" w:line="360" w:lineRule="auto"/>
              <w:ind w:left="0" w:right="0" w:firstLine="0"/>
              <w:jc w:val="center"/>
              <w:rPr>
                <w:rFonts w:hint="default"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备注</w:t>
            </w:r>
          </w:p>
        </w:tc>
      </w:tr>
      <w:tr w14:paraId="4A579B4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9777D">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43AE2">
            <w:pPr>
              <w:spacing w:before="0" w:after="0" w:line="360" w:lineRule="auto"/>
              <w:ind w:left="0" w:right="0" w:firstLine="0"/>
              <w:jc w:val="center"/>
              <w:rPr>
                <w:color w:val="auto"/>
                <w:spacing w:val="0"/>
                <w:position w:val="0"/>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575E0">
            <w:pPr>
              <w:spacing w:before="0" w:after="0" w:line="360" w:lineRule="auto"/>
              <w:ind w:left="0" w:right="0" w:firstLine="0"/>
              <w:jc w:val="center"/>
              <w:rPr>
                <w:rFonts w:hint="default" w:eastAsiaTheme="minorEastAsia"/>
                <w:color w:val="auto"/>
                <w:spacing w:val="0"/>
                <w:position w:val="0"/>
                <w:highlight w:val="none"/>
                <w:shd w:val="clear" w:fill="auto"/>
                <w:lang w:val="en-US" w:eastAsia="zh-CN"/>
              </w:rPr>
            </w:pPr>
            <w:r>
              <w:rPr>
                <w:rFonts w:hint="eastAsia"/>
                <w:color w:val="auto"/>
                <w:spacing w:val="0"/>
                <w:position w:val="0"/>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9C61B">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p>
        </w:tc>
      </w:tr>
      <w:tr w14:paraId="469D2EB5">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35A7C">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1B81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671A">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545DC">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2D8DE05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04488">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A046F">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9CFEA">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r>
              <w:rPr>
                <w:rFonts w:hint="eastAsia"/>
                <w:color w:val="auto"/>
                <w:spacing w:val="0"/>
                <w:position w:val="0"/>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0301C">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4A849ECF">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42788">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F4C52">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auto" w:fill="auto"/>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3C3A1">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A4C6C">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62F851A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C8E4F">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6260B">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CAD3C">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C1871">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bl>
    <w:p w14:paraId="5D1F73F9">
      <w:pPr>
        <w:pStyle w:val="17"/>
        <w:rPr>
          <w:color w:val="auto"/>
          <w:highlight w:val="none"/>
        </w:rPr>
      </w:pPr>
    </w:p>
    <w:p w14:paraId="50EE70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3A6CF6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6CA45E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是否为只面向中小企业采购：否</w:t>
      </w:r>
    </w:p>
    <w:p w14:paraId="01F4BE9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5B7D3736">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6261076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679DA7FE">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00D1E9B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66B88B1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6849D397">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36DD07D6">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4112F380">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55ED69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w:t>
      </w:r>
      <w:r>
        <w:rPr>
          <w:rFonts w:hint="eastAsia" w:ascii="宋体" w:hAnsi="宋体" w:eastAsia="宋体" w:cs="宋体"/>
          <w:i w:val="0"/>
          <w:iCs w:val="0"/>
          <w:color w:val="auto"/>
          <w:sz w:val="24"/>
          <w:szCs w:val="24"/>
          <w:highlight w:val="none"/>
          <w:lang w:val="en-US" w:eastAsia="zh-CN"/>
        </w:rPr>
        <w:t>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3E262884">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493CE827">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5</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26</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6</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1E854B0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69E2C11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1B753E9B">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241E476D">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41C24A5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6</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7494CC7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ascii="Times New Roman" w:hAnsi="Times New Roman" w:eastAsia="Times New Roman" w:cs="Times New Roman"/>
          <w:color w:val="auto"/>
          <w:spacing w:val="0"/>
          <w:position w:val="0"/>
          <w:sz w:val="24"/>
          <w:highlight w:val="none"/>
          <w:u w:val="single"/>
          <w:shd w:val="clear" w:fill="auto"/>
        </w:rPr>
        <w:t>http://jyzx.zhoukou.gov.cn</w:t>
      </w:r>
      <w:r>
        <w:rPr>
          <w:rFonts w:ascii="Times New Roman" w:hAnsi="Times New Roman" w:eastAsia="Times New Roman" w:cs="Times New Roman"/>
          <w:color w:val="auto"/>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3C3D52FF">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0568B4D3">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6</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5D2F75FE">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5EF28089">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7727683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176DFC0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0F29A073">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67ABF085">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2D27CC4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eastAsia="宋体" w:cs="宋体"/>
          <w:color w:val="auto"/>
          <w:spacing w:val="0"/>
          <w:position w:val="0"/>
          <w:sz w:val="24"/>
          <w:highlight w:val="none"/>
          <w:shd w:val="clear" w:fill="auto"/>
        </w:rPr>
        <w:t>周口市第一高级中学</w:t>
      </w:r>
      <w:r>
        <w:rPr>
          <w:rFonts w:ascii="宋体" w:hAnsi="宋体" w:eastAsia="宋体" w:cs="宋体"/>
          <w:color w:val="auto"/>
          <w:spacing w:val="0"/>
          <w:position w:val="0"/>
          <w:sz w:val="24"/>
          <w:highlight w:val="none"/>
          <w:shd w:val="clear" w:fill="auto"/>
        </w:rPr>
        <w:t>　　　　　　　　　　　　</w:t>
      </w:r>
    </w:p>
    <w:p w14:paraId="442C59F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rPr>
        <w:t>周口市银珠路 1 号</w:t>
      </w:r>
      <w:r>
        <w:rPr>
          <w:rFonts w:ascii="宋体" w:hAnsi="宋体" w:eastAsia="宋体" w:cs="宋体"/>
          <w:color w:val="auto"/>
          <w:spacing w:val="0"/>
          <w:position w:val="0"/>
          <w:sz w:val="24"/>
          <w:highlight w:val="none"/>
          <w:shd w:val="clear" w:fill="auto"/>
        </w:rPr>
        <w:t>　　　　　　　　　　　　</w:t>
      </w:r>
    </w:p>
    <w:p w14:paraId="688141C5">
      <w:pPr>
        <w:spacing w:before="0" w:after="0" w:line="360" w:lineRule="auto"/>
        <w:ind w:left="0" w:right="0" w:firstLine="480"/>
        <w:jc w:val="left"/>
        <w:rPr>
          <w:rFonts w:hint="default" w:ascii="宋体" w:hAnsi="宋体" w:eastAsia="宋体" w:cs="宋体"/>
          <w:color w:val="auto"/>
          <w:spacing w:val="0"/>
          <w:position w:val="0"/>
          <w:sz w:val="24"/>
          <w:szCs w:val="24"/>
          <w:highlight w:val="none"/>
          <w:shd w:val="clear" w:fill="auto"/>
          <w:lang w:val="en-US" w:eastAsia="zh-CN"/>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eastAsia="zh-CN"/>
        </w:rPr>
        <w:t>王庆刚</w:t>
      </w:r>
      <w:r>
        <w:rPr>
          <w:rFonts w:hint="eastAsia" w:ascii="宋体" w:hAnsi="宋体" w:eastAsia="宋体" w:cs="宋体"/>
          <w:color w:val="auto"/>
          <w:spacing w:val="0"/>
          <w:position w:val="0"/>
          <w:sz w:val="24"/>
          <w:highlight w:val="none"/>
          <w:shd w:val="clear" w:fill="auto"/>
          <w:lang w:val="en-US" w:eastAsia="zh-CN"/>
        </w:rPr>
        <w:t xml:space="preserve"> （总联系人）</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bl>
      <w:tblPr>
        <w:tblStyle w:val="14"/>
        <w:tblpPr w:leftFromText="180" w:rightFromText="180" w:vertAnchor="text" w:horzAnchor="page" w:tblpX="2268" w:tblpY="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2652"/>
        <w:gridCol w:w="4509"/>
      </w:tblGrid>
      <w:tr w14:paraId="5FE48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5373C54D">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包号</w:t>
            </w:r>
          </w:p>
        </w:tc>
        <w:tc>
          <w:tcPr>
            <w:tcW w:w="2652" w:type="dxa"/>
            <w:vAlign w:val="top"/>
          </w:tcPr>
          <w:p w14:paraId="06D48809">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联系人（分包联系人）</w:t>
            </w:r>
          </w:p>
        </w:tc>
        <w:tc>
          <w:tcPr>
            <w:tcW w:w="4509" w:type="dxa"/>
            <w:vAlign w:val="top"/>
          </w:tcPr>
          <w:p w14:paraId="7D680FEF">
            <w:pPr>
              <w:spacing w:before="0" w:after="0" w:line="360" w:lineRule="auto"/>
              <w:ind w:right="0"/>
              <w:jc w:val="left"/>
              <w:rPr>
                <w:rFonts w:hint="eastAsia"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联系电话</w:t>
            </w:r>
          </w:p>
        </w:tc>
      </w:tr>
      <w:tr w14:paraId="0D78C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1967FF00">
            <w:pPr>
              <w:spacing w:before="0" w:after="0" w:line="360" w:lineRule="auto"/>
              <w:ind w:right="0"/>
              <w:jc w:val="left"/>
              <w:rPr>
                <w:rFonts w:hint="default"/>
                <w:color w:val="auto"/>
                <w:sz w:val="24"/>
                <w:szCs w:val="24"/>
                <w:highlight w:val="no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w:t>
            </w:r>
          </w:p>
        </w:tc>
        <w:tc>
          <w:tcPr>
            <w:tcW w:w="2652" w:type="dxa"/>
            <w:vAlign w:val="top"/>
          </w:tcPr>
          <w:p w14:paraId="3C431597">
            <w:pPr>
              <w:spacing w:before="0" w:after="0" w:line="360" w:lineRule="auto"/>
              <w:ind w:right="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vAlign w:val="top"/>
          </w:tcPr>
          <w:p w14:paraId="396C2A2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275A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12468A10">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2</w:t>
            </w:r>
          </w:p>
        </w:tc>
        <w:tc>
          <w:tcPr>
            <w:tcW w:w="2652" w:type="dxa"/>
            <w:shd w:val="clear" w:color="auto" w:fill="auto"/>
            <w:vAlign w:val="top"/>
          </w:tcPr>
          <w:p w14:paraId="12BFEA69">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刘峰</w:t>
            </w:r>
          </w:p>
        </w:tc>
        <w:tc>
          <w:tcPr>
            <w:tcW w:w="4509" w:type="dxa"/>
            <w:shd w:val="clear" w:color="auto" w:fill="auto"/>
            <w:vAlign w:val="top"/>
          </w:tcPr>
          <w:p w14:paraId="26CA569E">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13525776599</w:t>
            </w:r>
            <w:r>
              <w:rPr>
                <w:rFonts w:ascii="宋体" w:hAnsi="宋体" w:eastAsia="宋体" w:cs="宋体"/>
                <w:color w:val="auto"/>
                <w:spacing w:val="0"/>
                <w:position w:val="0"/>
                <w:sz w:val="24"/>
                <w:szCs w:val="24"/>
                <w:highlight w:val="none"/>
                <w:shd w:val="clear" w:fill="auto"/>
              </w:rPr>
              <w:t>　</w:t>
            </w:r>
          </w:p>
        </w:tc>
      </w:tr>
      <w:tr w14:paraId="599B4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06A95595">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3</w:t>
            </w:r>
          </w:p>
        </w:tc>
        <w:tc>
          <w:tcPr>
            <w:tcW w:w="2652" w:type="dxa"/>
            <w:vAlign w:val="top"/>
          </w:tcPr>
          <w:p w14:paraId="6FFAC343">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王永刚</w:t>
            </w:r>
          </w:p>
        </w:tc>
        <w:tc>
          <w:tcPr>
            <w:tcW w:w="4509" w:type="dxa"/>
            <w:vAlign w:val="top"/>
          </w:tcPr>
          <w:p w14:paraId="26B4ECB5">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13949988136</w:t>
            </w:r>
          </w:p>
        </w:tc>
      </w:tr>
      <w:tr w14:paraId="7117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5F3736C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4</w:t>
            </w:r>
          </w:p>
        </w:tc>
        <w:tc>
          <w:tcPr>
            <w:tcW w:w="2652" w:type="dxa"/>
            <w:shd w:val="clear" w:color="auto" w:fill="auto"/>
            <w:vAlign w:val="top"/>
          </w:tcPr>
          <w:p w14:paraId="0EF7684F">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2B11C1B9">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23EC3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69544DF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5</w:t>
            </w:r>
          </w:p>
        </w:tc>
        <w:tc>
          <w:tcPr>
            <w:tcW w:w="2652" w:type="dxa"/>
            <w:shd w:val="clear" w:color="auto" w:fill="auto"/>
            <w:vAlign w:val="top"/>
          </w:tcPr>
          <w:p w14:paraId="2A20E9FA">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1F0FC602">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bl>
    <w:p w14:paraId="63B0A993">
      <w:pPr>
        <w:spacing w:before="0" w:after="0" w:line="360" w:lineRule="auto"/>
        <w:ind w:right="0"/>
        <w:jc w:val="left"/>
        <w:rPr>
          <w:rFonts w:ascii="宋体" w:hAnsi="宋体" w:eastAsia="宋体" w:cs="宋体"/>
          <w:color w:val="auto"/>
          <w:spacing w:val="0"/>
          <w:position w:val="0"/>
          <w:sz w:val="24"/>
          <w:highlight w:val="none"/>
          <w:shd w:val="clear" w:fill="auto"/>
        </w:rPr>
      </w:pPr>
    </w:p>
    <w:p w14:paraId="31A0EDCF">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68785FB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名称：周口市公共资源交易中心政府采购中心　　　　　　　　　　　　</w:t>
      </w:r>
    </w:p>
    <w:p w14:paraId="37637901">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地址：周口市光明路与政通路交叉口向北100米路东</w:t>
      </w:r>
    </w:p>
    <w:p w14:paraId="42E95EE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郭战伟</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 xml:space="preserve">0394-8106517、17839489001  </w:t>
      </w:r>
    </w:p>
    <w:p w14:paraId="723188C4">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rPr>
        <w:t>周口市财政局</w:t>
      </w:r>
    </w:p>
    <w:p w14:paraId="0CC2E3A7">
      <w:pPr>
        <w:spacing w:before="0" w:after="0" w:line="360" w:lineRule="auto"/>
        <w:ind w:right="0"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rPr>
        <w:t>0394-8106976</w:t>
      </w:r>
      <w:r>
        <w:rPr>
          <w:rFonts w:ascii="宋体" w:hAnsi="宋体" w:eastAsia="宋体" w:cs="宋体"/>
          <w:color w:val="auto"/>
          <w:spacing w:val="0"/>
          <w:position w:val="0"/>
          <w:sz w:val="24"/>
          <w:highlight w:val="none"/>
          <w:shd w:val="clear" w:fill="auto"/>
        </w:rPr>
        <w:t xml:space="preserve">  </w:t>
      </w:r>
    </w:p>
    <w:p w14:paraId="1878F4E3">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7B565D0F">
      <w:pPr>
        <w:pStyle w:val="18"/>
        <w:ind w:left="0" w:leftChars="0" w:firstLine="0" w:firstLineChars="0"/>
        <w:rPr>
          <w:rFonts w:ascii="宋体" w:hAnsi="宋体" w:eastAsia="宋体" w:cs="宋体"/>
          <w:color w:val="auto"/>
          <w:spacing w:val="0"/>
          <w:position w:val="0"/>
          <w:sz w:val="24"/>
          <w:highlight w:val="none"/>
          <w:shd w:val="clear" w:fill="auto"/>
        </w:rPr>
      </w:pPr>
      <w:bookmarkStart w:id="0" w:name="_GoBack"/>
      <w:bookmarkEnd w:id="0"/>
    </w:p>
    <w:p w14:paraId="79014E97">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4B9D40E0">
      <w:pP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p>
    <w:p w14:paraId="5BF924B3">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第二章    供应商须知</w:t>
      </w:r>
    </w:p>
    <w:p w14:paraId="4A669BA0">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tbl>
      <w:tblPr>
        <w:tblStyle w:val="13"/>
        <w:tblW w:w="0" w:type="auto"/>
        <w:tblInd w:w="108" w:type="dxa"/>
        <w:tblLayout w:type="autofit"/>
        <w:tblCellMar>
          <w:top w:w="0" w:type="dxa"/>
          <w:left w:w="10" w:type="dxa"/>
          <w:bottom w:w="0" w:type="dxa"/>
          <w:right w:w="10" w:type="dxa"/>
        </w:tblCellMar>
      </w:tblPr>
      <w:tblGrid>
        <w:gridCol w:w="856"/>
        <w:gridCol w:w="1673"/>
        <w:gridCol w:w="5885"/>
      </w:tblGrid>
      <w:tr w14:paraId="22158926">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62B6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5CC0F00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88B4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6A0D1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B7116">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1FC94B3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C2FBC">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F6BF4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4B799">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1）项目名称：</w:t>
            </w:r>
            <w:r>
              <w:rPr>
                <w:rFonts w:hint="eastAsia" w:ascii="Times New Roman" w:hAnsi="Times New Roman" w:eastAsia="Times New Roman" w:cs="Times New Roman"/>
                <w:color w:val="auto"/>
                <w:spacing w:val="0"/>
                <w:position w:val="0"/>
                <w:sz w:val="24"/>
                <w:highlight w:val="none"/>
                <w:u w:val="single"/>
                <w:shd w:val="clear" w:fill="auto"/>
              </w:rPr>
              <w:t>周口市第一高级中学周口一高改善办学条件</w:t>
            </w:r>
            <w:r>
              <w:rPr>
                <w:rFonts w:ascii="宋体" w:hAnsi="宋体" w:eastAsia="宋体" w:cs="宋体"/>
                <w:color w:val="auto"/>
                <w:spacing w:val="0"/>
                <w:position w:val="0"/>
                <w:sz w:val="24"/>
                <w:highlight w:val="none"/>
                <w:shd w:val="clear" w:fill="auto"/>
              </w:rPr>
              <w:t>项目</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hint="eastAsia" w:ascii="宋体" w:hAnsi="宋体" w:eastAsia="宋体" w:cs="宋体"/>
                <w:color w:val="auto"/>
                <w:spacing w:val="0"/>
                <w:position w:val="0"/>
                <w:sz w:val="24"/>
                <w:szCs w:val="24"/>
                <w:highlight w:val="none"/>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single"/>
                <w:shd w:val="clear" w:fill="auto"/>
                <w:lang w:val="en-US" w:eastAsia="zh-CN"/>
              </w:rPr>
              <w:t>)</w:t>
            </w:r>
            <w:r>
              <w:rPr>
                <w:rFonts w:ascii="Times New Roman" w:hAnsi="Times New Roman" w:eastAsia="Times New Roman" w:cs="Times New Roman"/>
                <w:color w:val="auto"/>
                <w:spacing w:val="0"/>
                <w:position w:val="0"/>
                <w:sz w:val="24"/>
                <w:highlight w:val="none"/>
                <w:shd w:val="clear" w:fill="auto"/>
              </w:rPr>
              <w:t xml:space="preserve"> </w:t>
            </w:r>
          </w:p>
          <w:p w14:paraId="30F2944E">
            <w:pPr>
              <w:numPr>
                <w:ilvl w:val="0"/>
                <w:numId w:val="0"/>
              </w:numPr>
              <w:spacing w:before="0" w:after="0" w:line="240" w:lineRule="auto"/>
              <w:ind w:leftChars="0" w:right="0" w:rightChars="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2）采购内容：</w:t>
            </w:r>
            <w:r>
              <w:rPr>
                <w:rFonts w:hint="eastAsia" w:ascii="宋体" w:hAnsi="宋体" w:eastAsia="宋体" w:cs="宋体"/>
                <w:color w:val="auto"/>
                <w:spacing w:val="0"/>
                <w:position w:val="0"/>
                <w:sz w:val="24"/>
                <w:highlight w:val="none"/>
                <w:shd w:val="clear" w:fill="auto"/>
                <w:lang w:val="en-US" w:eastAsia="zh-CN"/>
              </w:rPr>
              <w:t>生物吊装实验室和生物学科教室工程</w:t>
            </w:r>
          </w:p>
          <w:p w14:paraId="3C36C82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3）采购人：</w:t>
            </w:r>
            <w:r>
              <w:rPr>
                <w:rFonts w:hint="eastAsia" w:ascii="宋体" w:hAnsi="宋体" w:eastAsia="宋体" w:cs="宋体"/>
                <w:color w:val="auto"/>
                <w:spacing w:val="0"/>
                <w:position w:val="0"/>
                <w:sz w:val="24"/>
                <w:highlight w:val="none"/>
                <w:shd w:val="clear" w:fill="auto"/>
              </w:rPr>
              <w:t>周口市第一高级中学</w:t>
            </w:r>
          </w:p>
          <w:p w14:paraId="60504C4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4）采购代理机构：周口市公共资源交易中心政府采购中心</w:t>
            </w:r>
          </w:p>
        </w:tc>
      </w:tr>
      <w:tr w14:paraId="6811EF0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7D817">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2F6A1">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2F1EE">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11D0685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F045E">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8EF1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0CBDA">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7AE21CE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91BDC">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1FB87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DC73B">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02A9C0A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426C1">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66AE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8894C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16BD5F3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E202C">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E394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6F15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报价包括本项目所招标的货物、保险、税费、包装、加工及加工损耗、运输、现场落地、安装、验收</w:t>
            </w:r>
            <w:r>
              <w:rPr>
                <w:rFonts w:ascii="宋体" w:hAnsi="宋体" w:eastAsia="宋体" w:cs="宋体"/>
                <w:color w:val="auto"/>
                <w:spacing w:val="0"/>
                <w:position w:val="0"/>
                <w:sz w:val="24"/>
                <w:highlight w:val="none"/>
                <w:shd w:val="clear" w:fill="auto"/>
              </w:rPr>
              <w:t>等（采购项目技术规格、参数及要求）</w:t>
            </w:r>
          </w:p>
        </w:tc>
      </w:tr>
      <w:tr w14:paraId="6BAEA2F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649A4">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C1C7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2D18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w:t>
            </w:r>
            <w:r>
              <w:rPr>
                <w:rFonts w:ascii="宋体" w:hAnsi="宋体" w:eastAsia="宋体" w:cs="宋体"/>
                <w:color w:val="auto"/>
                <w:spacing w:val="0"/>
                <w:position w:val="0"/>
                <w:sz w:val="24"/>
                <w:highlight w:val="none"/>
                <w:shd w:val="clear" w:fill="auto"/>
              </w:rPr>
              <w:t>60</w:t>
            </w:r>
            <w:r>
              <w:rPr>
                <w:rFonts w:hint="eastAsia" w:ascii="宋体" w:hAnsi="宋体" w:eastAsia="宋体" w:cs="宋体"/>
                <w:color w:val="auto"/>
                <w:spacing w:val="0"/>
                <w:position w:val="0"/>
                <w:sz w:val="24"/>
                <w:highlight w:val="none"/>
                <w:shd w:val="clear" w:fill="auto"/>
                <w:lang w:val="en-US" w:eastAsia="zh-CN"/>
              </w:rPr>
              <w:t>日历</w:t>
            </w:r>
            <w:r>
              <w:rPr>
                <w:rFonts w:ascii="宋体" w:hAnsi="宋体" w:eastAsia="宋体" w:cs="宋体"/>
                <w:color w:val="auto"/>
                <w:spacing w:val="0"/>
                <w:position w:val="0"/>
                <w:sz w:val="24"/>
                <w:highlight w:val="none"/>
                <w:shd w:val="clear" w:fill="auto"/>
              </w:rPr>
              <w:t>日</w:t>
            </w:r>
            <w:r>
              <w:rPr>
                <w:rFonts w:ascii="宋体" w:hAnsi="宋体" w:eastAsia="宋体" w:cs="宋体"/>
                <w:color w:val="auto"/>
                <w:spacing w:val="0"/>
                <w:position w:val="0"/>
                <w:sz w:val="24"/>
                <w:highlight w:val="none"/>
                <w:shd w:val="clear" w:fill="auto"/>
              </w:rPr>
              <w:t>内有效</w:t>
            </w:r>
          </w:p>
        </w:tc>
      </w:tr>
      <w:tr w14:paraId="5D99A63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88A11">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1B89B">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0B20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0BE270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BAEB1">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580AD">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B42A4">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28783CE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C4FF8">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278DE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4AAD3">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2BB46B7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64221">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7B76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6D449">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3B01F98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BC0A0">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215D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9BBE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5A147497">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7D5E72C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2D4">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AFCD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4289C">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年 </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 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日上午   （见磋商公告） </w:t>
            </w:r>
          </w:p>
        </w:tc>
      </w:tr>
      <w:tr w14:paraId="3329E5E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453BC">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5151F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88A25">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4888476D">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78A8D8AD">
            <w:pPr>
              <w:spacing w:before="0" w:after="0" w:line="560" w:lineRule="auto"/>
              <w:ind w:left="0" w:right="0" w:firstLine="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z w:val="24"/>
                <w:szCs w:val="24"/>
                <w:highlight w:val="none"/>
              </w:rPr>
              <w:t>（本项目实行网上远程开标无须到现场提交响应文件）</w:t>
            </w:r>
          </w:p>
        </w:tc>
      </w:tr>
      <w:tr w14:paraId="2D4C7B7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2B436">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8859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1D61A">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年</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日上午    见磋商公告</w:t>
            </w:r>
          </w:p>
        </w:tc>
      </w:tr>
      <w:tr w14:paraId="4E8EF4D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1C446">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EC1E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CCE05">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64E4881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D905">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7002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16FE6">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274ACD4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A21C">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BCACC">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4B035">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37A2110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39364">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C7FB00">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341A9">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7B9F9E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6684E">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15BD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9F284">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30</w:t>
            </w:r>
            <w:r>
              <w:rPr>
                <w:rFonts w:ascii="宋体" w:hAnsi="宋体" w:eastAsia="宋体" w:cs="宋体"/>
                <w:color w:val="auto"/>
                <w:spacing w:val="0"/>
                <w:position w:val="0"/>
                <w:sz w:val="24"/>
                <w:highlight w:val="none"/>
                <w:shd w:val="clear" w:fill="auto"/>
              </w:rPr>
              <w:t>日历天</w:t>
            </w:r>
          </w:p>
        </w:tc>
      </w:tr>
      <w:tr w14:paraId="4F9FFCF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3C29C">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3EA42">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4C2BF">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cs="宋体"/>
                <w:color w:val="auto"/>
                <w:sz w:val="24"/>
                <w:highlight w:val="none"/>
                <w:lang w:val="en-US" w:eastAsia="zh-CN"/>
              </w:rPr>
              <w:t>项目验收合格后付款。</w:t>
            </w:r>
          </w:p>
        </w:tc>
      </w:tr>
      <w:tr w14:paraId="4EDC95A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74F1B">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8F76D">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D94C6">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需勘查</w:t>
            </w:r>
          </w:p>
          <w:p w14:paraId="3D53C487">
            <w:pPr>
              <w:pStyle w:val="2"/>
              <w:rPr>
                <w:color w:val="auto"/>
                <w:highlight w:val="none"/>
              </w:rPr>
            </w:pPr>
            <w:r>
              <w:rPr>
                <w:rFonts w:hint="eastAsia" w:ascii="宋体" w:hAnsi="宋体" w:cs="宋体"/>
                <w:bCs/>
                <w:color w:val="auto"/>
                <w:sz w:val="24"/>
                <w:highlight w:val="none"/>
              </w:rPr>
              <w:t>勘察时间为</w:t>
            </w:r>
            <w:r>
              <w:rPr>
                <w:rFonts w:ascii="宋体" w:hAnsi="宋体" w:cs="宋体"/>
                <w:color w:val="auto"/>
                <w:sz w:val="24"/>
                <w:highlight w:val="none"/>
              </w:rPr>
              <w:t>在项目</w:t>
            </w:r>
            <w:r>
              <w:rPr>
                <w:rFonts w:hint="eastAsia" w:ascii="宋体" w:hAnsi="宋体" w:cs="宋体"/>
                <w:color w:val="auto"/>
                <w:sz w:val="24"/>
                <w:highlight w:val="none"/>
              </w:rPr>
              <w:t>获取招标文件截止时间后第二天开始3个工作日内进行</w:t>
            </w:r>
            <w:r>
              <w:rPr>
                <w:rFonts w:ascii="宋体" w:hAnsi="宋体" w:cs="宋体"/>
                <w:color w:val="auto"/>
                <w:sz w:val="24"/>
                <w:highlight w:val="none"/>
              </w:rPr>
              <w:t>，及时到项目所在地进行实地勘</w:t>
            </w:r>
            <w:r>
              <w:rPr>
                <w:rFonts w:hint="eastAsia" w:ascii="宋体" w:hAnsi="宋体" w:cs="宋体"/>
                <w:color w:val="auto"/>
                <w:sz w:val="24"/>
                <w:highlight w:val="none"/>
              </w:rPr>
              <w:t>察</w:t>
            </w:r>
            <w:r>
              <w:rPr>
                <w:rFonts w:ascii="宋体" w:hAnsi="宋体" w:cs="宋体"/>
                <w:color w:val="auto"/>
                <w:sz w:val="24"/>
                <w:highlight w:val="none"/>
              </w:rPr>
              <w:t>，经采购人证实供应商已到现场勘察后，开具加盖采购单位公章的勘察证明函</w:t>
            </w:r>
            <w:r>
              <w:rPr>
                <w:rFonts w:hint="eastAsia" w:ascii="宋体" w:hAnsi="宋体" w:cs="宋体"/>
                <w:color w:val="auto"/>
                <w:sz w:val="24"/>
                <w:highlight w:val="none"/>
              </w:rPr>
              <w:t>，</w:t>
            </w:r>
            <w:r>
              <w:rPr>
                <w:rFonts w:ascii="宋体" w:hAnsi="宋体" w:cs="宋体"/>
                <w:color w:val="auto"/>
                <w:sz w:val="24"/>
                <w:highlight w:val="none"/>
              </w:rPr>
              <w:t>供应商应将证明函原件扫描件放在投标文件中</w:t>
            </w:r>
            <w:r>
              <w:rPr>
                <w:rFonts w:hint="eastAsia" w:ascii="宋体" w:hAnsi="宋体" w:cs="宋体"/>
                <w:color w:val="auto"/>
                <w:sz w:val="24"/>
                <w:highlight w:val="none"/>
                <w:lang w:eastAsia="zh-CN"/>
              </w:rPr>
              <w:t>。</w:t>
            </w:r>
            <w:r>
              <w:rPr>
                <w:rFonts w:ascii="宋体" w:hAnsi="宋体" w:eastAsia="宋体" w:cs="宋体"/>
                <w:color w:val="auto"/>
                <w:spacing w:val="0"/>
                <w:position w:val="0"/>
                <w:sz w:val="24"/>
                <w:highlight w:val="none"/>
                <w:shd w:val="clear" w:fill="auto"/>
              </w:rPr>
              <w:t>联系人：</w:t>
            </w:r>
            <w:r>
              <w:rPr>
                <w:rFonts w:hint="eastAsia" w:ascii="宋体" w:hAnsi="宋体" w:eastAsia="宋体" w:cs="宋体"/>
                <w:color w:val="auto"/>
                <w:spacing w:val="0"/>
                <w:position w:val="0"/>
                <w:sz w:val="24"/>
                <w:highlight w:val="none"/>
                <w:shd w:val="clear" w:fill="auto"/>
                <w:lang w:eastAsia="zh-CN"/>
              </w:rPr>
              <w:t>王庆刚</w:t>
            </w:r>
            <w:r>
              <w:rPr>
                <w:rFonts w:hint="eastAsia" w:ascii="宋体" w:hAnsi="宋体" w:eastAsia="宋体" w:cs="宋体"/>
                <w:color w:val="auto"/>
                <w:spacing w:val="0"/>
                <w:position w:val="0"/>
                <w:sz w:val="24"/>
                <w:highlight w:val="none"/>
                <w:shd w:val="clear" w:fill="auto"/>
                <w:lang w:val="en-US" w:eastAsia="zh-CN"/>
              </w:rPr>
              <w:t xml:space="preserve"> （总联系人）</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c>
      </w:tr>
      <w:tr w14:paraId="7FA71F8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E2150">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292FF">
            <w:pPr>
              <w:spacing w:beforeLines="50"/>
              <w:ind w:firstLine="14" w:firstLineChars="6"/>
              <w:jc w:val="center"/>
              <w:rPr>
                <w:rFonts w:ascii="宋体" w:hAnsi="宋体" w:eastAsia="宋体" w:cs="宋体"/>
                <w:color w:val="auto"/>
                <w:spacing w:val="0"/>
                <w:position w:val="0"/>
                <w:highlight w:val="none"/>
                <w:shd w:val="clear" w:fill="auto"/>
              </w:rPr>
            </w:pPr>
            <w:r>
              <w:rPr>
                <w:rFonts w:hint="eastAsia" w:ascii="宋体" w:hAnsi="宋体" w:cs="宋体"/>
                <w:b/>
                <w:bCs/>
                <w:color w:val="auto"/>
                <w:sz w:val="24"/>
                <w:highlight w:val="none"/>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87341">
            <w:pPr>
              <w:tabs>
                <w:tab w:val="left" w:pos="8640"/>
              </w:tabs>
              <w:jc w:val="left"/>
              <w:rPr>
                <w:rFonts w:ascii="宋体" w:hAnsi="宋体" w:eastAsia="宋体" w:cs="宋体"/>
                <w:color w:val="auto"/>
                <w:spacing w:val="0"/>
                <w:position w:val="0"/>
                <w:highlight w:val="none"/>
                <w:shd w:val="clear" w:fill="auto"/>
              </w:rPr>
            </w:pPr>
            <w:r>
              <w:rPr>
                <w:rFonts w:hint="eastAsia" w:ascii="宋体" w:hAnsi="宋体" w:cs="宋体"/>
                <w:b/>
                <w:bCs/>
                <w:color w:val="auto"/>
                <w:sz w:val="24"/>
                <w:highlight w:val="none"/>
                <w:lang w:val="en-US" w:eastAsia="zh-CN"/>
              </w:rPr>
              <w:t xml:space="preserve">二次报价 </w:t>
            </w:r>
          </w:p>
        </w:tc>
      </w:tr>
      <w:tr w14:paraId="08A8741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74E96">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9D2DE">
            <w:pPr>
              <w:keepNext w:val="0"/>
              <w:keepLines w:val="0"/>
              <w:pageBreakBefore w:val="0"/>
              <w:widowControl w:val="0"/>
              <w:kinsoku/>
              <w:wordWrap/>
              <w:overflowPunct/>
              <w:topLinePunct w:val="0"/>
              <w:bidi w:val="0"/>
              <w:spacing w:line="400" w:lineRule="exact"/>
              <w:ind w:left="0" w:leftChars="0" w:firstLine="0" w:firstLineChars="0"/>
              <w:jc w:val="center"/>
              <w:rPr>
                <w:rFonts w:hint="default" w:ascii="宋体" w:hAnsi="宋体" w:eastAsiaTheme="minorEastAsia" w:cstheme="minorBidi"/>
                <w:b w:val="0"/>
                <w:bCs w:val="0"/>
                <w:color w:val="auto"/>
                <w:sz w:val="24"/>
                <w:szCs w:val="24"/>
                <w:highlight w:val="none"/>
                <w:lang w:val="en-US" w:eastAsia="zh-CN" w:bidi="ar-SA"/>
              </w:rPr>
            </w:pPr>
            <w:r>
              <w:rPr>
                <w:rFonts w:hint="eastAsia" w:ascii="宋体" w:hAnsi="宋体" w:eastAsiaTheme="minorEastAsia" w:cstheme="minorBidi"/>
                <w:b w:val="0"/>
                <w:bCs w:val="0"/>
                <w:color w:val="auto"/>
                <w:sz w:val="24"/>
                <w:szCs w:val="24"/>
                <w:highlight w:val="none"/>
                <w:lang w:val="en-US" w:eastAsia="zh-CN" w:bidi="ar-SA"/>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18D83">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auto"/>
                <w:sz w:val="24"/>
                <w:szCs w:val="24"/>
                <w:highlight w:val="none"/>
                <w:lang w:val="en-US" w:eastAsia="zh-CN" w:bidi="ar-SA"/>
              </w:rPr>
            </w:pPr>
            <w:r>
              <w:rPr>
                <w:rFonts w:hint="eastAsia" w:ascii="宋体" w:hAnsi="宋体" w:eastAsiaTheme="minorEastAsia" w:cstheme="minorBidi"/>
                <w:b w:val="0"/>
                <w:bCs w:val="0"/>
                <w:color w:val="auto"/>
                <w:sz w:val="24"/>
                <w:szCs w:val="24"/>
                <w:highlight w:val="none"/>
                <w:lang w:val="en-US" w:eastAsia="zh-CN" w:bidi="ar-SA"/>
              </w:rPr>
              <w:t>工业</w:t>
            </w:r>
          </w:p>
        </w:tc>
      </w:tr>
      <w:tr w14:paraId="57C3A14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2C652">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1DC3B">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auto"/>
                <w:sz w:val="24"/>
                <w:szCs w:val="24"/>
                <w:highlight w:val="none"/>
                <w:lang w:val="en-US" w:eastAsia="zh-CN" w:bidi="ar-SA"/>
              </w:rPr>
            </w:pPr>
            <w:r>
              <w:rPr>
                <w:rFonts w:hint="eastAsia" w:ascii="宋体" w:hAnsi="宋体"/>
                <w:b w:val="0"/>
                <w:bCs w:val="0"/>
                <w:color w:val="auto"/>
                <w:sz w:val="24"/>
                <w:szCs w:val="24"/>
                <w:highlight w:val="none"/>
                <w:lang w:val="en-US" w:eastAsia="zh-CN"/>
              </w:rPr>
              <w:t>其它</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F9D03">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auto"/>
                <w:sz w:val="24"/>
                <w:szCs w:val="24"/>
                <w:highlight w:val="none"/>
                <w:lang w:val="en-US" w:eastAsia="zh-CN" w:bidi="ar-SA"/>
              </w:rPr>
            </w:pPr>
            <w:r>
              <w:rPr>
                <w:rFonts w:hint="eastAsia" w:ascii="宋体" w:hAnsi="宋体"/>
                <w:b w:val="0"/>
                <w:bCs w:val="0"/>
                <w:color w:val="auto"/>
                <w:sz w:val="24"/>
                <w:szCs w:val="24"/>
                <w:highlight w:val="none"/>
                <w:lang w:val="en-US" w:eastAsia="zh-CN"/>
              </w:rPr>
              <w:t>供应商对其提供的产品请出具《关于符合本国产品标准的声明函》或财政部会同有关部门规定的有关证明文件。</w:t>
            </w:r>
          </w:p>
        </w:tc>
      </w:tr>
    </w:tbl>
    <w:p w14:paraId="2CE01247">
      <w:pPr>
        <w:pStyle w:val="17"/>
        <w:rPr>
          <w:rFonts w:hint="eastAsia" w:ascii="Times New Roman" w:hAnsi="Times New Roman" w:eastAsia="宋体" w:cs="Times New Roman"/>
          <w:color w:val="auto"/>
          <w:spacing w:val="0"/>
          <w:position w:val="0"/>
          <w:sz w:val="24"/>
          <w:highlight w:val="none"/>
          <w:shd w:val="clear" w:color="FFFFFF" w:fill="D9D9D9"/>
          <w:lang w:val="en-US" w:eastAsia="zh-CN"/>
        </w:rPr>
      </w:pPr>
    </w:p>
    <w:p w14:paraId="0FE985E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50F4E662">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6E3F77C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513B716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3D3A829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1174BB99">
      <w:pPr>
        <w:tabs>
          <w:tab w:val="left" w:pos="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rPr>
        <w:t>周口市第一高级中学</w:t>
      </w:r>
    </w:p>
    <w:p w14:paraId="2EDAEA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1E976CA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617C469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40D7560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822342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4684F61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6A3F2A2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6C2BED3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6682C79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7F6431E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4D4DAA9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2FAAE6D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19AAA4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2B826D3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2453448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w:t>
      </w:r>
      <w:r>
        <w:rPr>
          <w:rFonts w:ascii="宋体" w:hAnsi="宋体" w:eastAsia="宋体" w:cs="宋体"/>
          <w:color w:val="auto"/>
          <w:spacing w:val="0"/>
          <w:position w:val="0"/>
          <w:sz w:val="24"/>
          <w:highlight w:val="none"/>
          <w:shd w:val="clear" w:fill="auto"/>
        </w:rPr>
        <w:t>供应商资格条件（详见第一部分供应商资格条件）</w:t>
      </w:r>
    </w:p>
    <w:p w14:paraId="02E893E4">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49CC982A">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4.1.3 政府采购供应商诚信承诺书；</w:t>
      </w:r>
    </w:p>
    <w:p w14:paraId="22EA9169">
      <w:pPr>
        <w:spacing w:before="0" w:after="12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4.1.4 供应商自觉抵制政府采购领域商业贿赂行为承诺书；</w:t>
      </w:r>
    </w:p>
    <w:p w14:paraId="43EDB7D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4.2 供应商需提供售后服务体系与承诺。</w:t>
      </w:r>
    </w:p>
    <w:p w14:paraId="31DDBDCA">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auto"/>
          <w:spacing w:val="0"/>
          <w:position w:val="0"/>
          <w:sz w:val="24"/>
          <w:highlight w:val="none"/>
          <w:shd w:val="clear" w:fill="auto"/>
        </w:rPr>
        <w:t>4.3符合本竞争性磋商文件规定的供应商资格要求及项目要求的其它条件，并按照要求提供相关证明材料。</w:t>
      </w:r>
    </w:p>
    <w:p w14:paraId="2A6CDD8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4.4供应商应遵守国家法律、法规有关竞争性磋商的规定。</w:t>
      </w:r>
    </w:p>
    <w:p w14:paraId="5210C93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7033E82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p>
    <w:p w14:paraId="6A918B4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26E614D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7CFF57C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6150C8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118055F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08900268">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016415F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21157EF4">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6D6AE0A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182FF89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1E2694F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54ECBC2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（3）采购需求；</w:t>
      </w:r>
    </w:p>
    <w:p w14:paraId="0070BC3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51C1065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328F8CB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0D050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6588DB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25CAEA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3762FC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CAFBE8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5D87102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552ED1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052DF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6C9F2677">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3D2D71D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35B5F5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01F1255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444D1A0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063D2D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67528C9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478DBEB1">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20892BA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5D1B1BB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D15905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3A14928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54E7F97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43221D4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62195B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29CB4E1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39883D5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1FF37D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w:t>
      </w:r>
      <w:r>
        <w:rPr>
          <w:rFonts w:hint="eastAsia" w:ascii="宋体" w:hAnsi="宋体" w:eastAsia="宋体" w:cs="宋体"/>
          <w:color w:val="auto"/>
          <w:spacing w:val="0"/>
          <w:position w:val="0"/>
          <w:sz w:val="24"/>
          <w:highlight w:val="none"/>
          <w:shd w:val="clear" w:fill="auto"/>
          <w:lang w:val="en-US" w:eastAsia="zh-CN"/>
        </w:rPr>
        <w:t>日历日</w:t>
      </w:r>
      <w:r>
        <w:rPr>
          <w:rFonts w:ascii="宋体" w:hAnsi="宋体" w:eastAsia="宋体" w:cs="宋体"/>
          <w:color w:val="auto"/>
          <w:spacing w:val="0"/>
          <w:position w:val="0"/>
          <w:sz w:val="24"/>
          <w:highlight w:val="none"/>
          <w:shd w:val="clear" w:fill="auto"/>
        </w:rPr>
        <w:t>，有效期短于此规定的响应性文件将被视为无效。</w:t>
      </w:r>
    </w:p>
    <w:p w14:paraId="501853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4BDE7F8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1EB13B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777A9C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6FB32D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14.3供应商提交的资料应证明其满足竞争性磋商文件要求，该文件可以是</w:t>
      </w:r>
      <w:r>
        <w:rPr>
          <w:rFonts w:ascii="宋体" w:hAnsi="宋体" w:eastAsia="宋体" w:cs="宋体"/>
          <w:color w:val="auto"/>
          <w:spacing w:val="0"/>
          <w:position w:val="0"/>
          <w:sz w:val="24"/>
          <w:highlight w:val="none"/>
          <w:shd w:val="clear" w:fill="auto"/>
        </w:rPr>
        <w:t>文字资料、图纸和数据等详细描述的资料。</w:t>
      </w:r>
    </w:p>
    <w:p w14:paraId="6D5CA41C">
      <w:pPr>
        <w:spacing w:line="360" w:lineRule="auto"/>
        <w:ind w:firstLine="550"/>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37C2586F">
      <w:pPr>
        <w:pStyle w:val="18"/>
        <w:rPr>
          <w:color w:val="auto"/>
          <w:highlight w:val="none"/>
        </w:rPr>
      </w:pPr>
    </w:p>
    <w:p w14:paraId="7800D829">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响应性文件的递交</w:t>
      </w:r>
    </w:p>
    <w:p w14:paraId="0D7505E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auto"/>
          <w:spacing w:val="0"/>
          <w:position w:val="0"/>
          <w:sz w:val="24"/>
          <w:highlight w:val="none"/>
          <w:shd w:val="clear" w:fill="auto"/>
        </w:rPr>
        <w:t>弃递交</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w:t>
      </w:r>
    </w:p>
    <w:p w14:paraId="26E8B551">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注：加密的电子投标文件的递交</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见周口市公共资源交易中心</w:t>
      </w:r>
      <w:r>
        <w:rPr>
          <w:rFonts w:hint="eastAsia" w:ascii="宋体" w:hAnsi="宋体" w:eastAsia="宋体" w:cs="宋体"/>
          <w:color w:val="auto"/>
          <w:spacing w:val="0"/>
          <w:position w:val="0"/>
          <w:sz w:val="24"/>
          <w:highlight w:val="none"/>
          <w:shd w:val="clear" w:fill="auto"/>
          <w:lang w:val="en-US" w:eastAsia="zh-CN"/>
        </w:rPr>
        <w:t>网站下载中心版块</w:t>
      </w:r>
      <w:r>
        <w:rPr>
          <w:rFonts w:hint="eastAsia" w:ascii="宋体" w:hAnsi="宋体" w:eastAsia="宋体" w:cs="宋体"/>
          <w:color w:val="auto"/>
          <w:spacing w:val="0"/>
          <w:position w:val="0"/>
          <w:sz w:val="24"/>
          <w:highlight w:val="none"/>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文件，投标无效。</w:t>
      </w:r>
    </w:p>
    <w:p w14:paraId="55543FF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48D0AE8E">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73E409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1C62E89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3A6ADA17">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22352F50">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30706B4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36F6116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7EBF8688">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09062DFF">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327DECC5">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0CEB8633">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6BF2790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24C1E7BE">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7A9C224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45B905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24EC44F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2C5D26B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E20C109">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1E07B0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C3996B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649491F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7E81A0C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67B51D8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7B19E79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3C0020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37ABA1D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6EF25C1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016D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2240D25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106085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03D4BA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16937D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40E62E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6DAB22A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57198E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289360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733BBCF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4FE094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603BEA4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A3FFECF">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131EDC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6B43D4C8">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18E9531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575C6F3">
      <w:pPr>
        <w:spacing w:line="360" w:lineRule="auto"/>
        <w:ind w:firstLine="480" w:firstLineChars="200"/>
        <w:rPr>
          <w:rFonts w:hint="eastAsia" w:eastAsia="宋体"/>
          <w:color w:val="auto"/>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41C7107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15A0579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10187A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1264AA2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7B041D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48F5D42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2181D3D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07DDC2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137C3F51">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FCA2B">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0B4E342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0506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1A8DF3">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F53FD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D1DFE">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6D4F209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92309">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1832237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0A6CA61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0BCE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A9CC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894BF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433E57">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5828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055F01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C9B9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139A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0B87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A740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9773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1E8398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8EDF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A0717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59F9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4AC7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FCB3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512D94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64AF9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1FB8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73E3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D986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E123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95CEE4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DBF9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3FC8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2E61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1342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3E82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506293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D5A61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D113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E971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F9B5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DA69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35679C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084C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5B32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B0394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536A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6ED5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649147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9638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BB7E6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C97F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557F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05B98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922931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C2AB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FA779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26B7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9AE0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71332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ACD149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AA68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630F2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75A2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FA46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D92EF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B0A574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3100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6F7DE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BE0D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E3A0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DA4A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7683FC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76F3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003FF">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3E3C1">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1B5E8">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659FA8">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7E79B6F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7442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82F1DE">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6C375">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9B02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9617B">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062EFD8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3F5E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CE02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6CBB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4496B7C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98FA51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C43101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0E0941B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624A3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DE190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74CFE5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5AD45C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4E6F2B7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0DB7522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7F53FA8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2B057E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00A7DBE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6A0C137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0A21BD0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4AB6E15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1A6C444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5C8FADC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A908B1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3880A3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6DAFEB14">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0F5A4C7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264F07D2">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760810E8">
      <w:pPr>
        <w:spacing w:line="560" w:lineRule="exact"/>
        <w:ind w:firstLine="480" w:firstLineChars="200"/>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8BCBB8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2D1BE89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388335AF">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52AAAB71">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7683D7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tbl>
      <w:tblPr>
        <w:tblStyle w:val="13"/>
        <w:tblpPr w:leftFromText="180" w:rightFromText="180" w:vertAnchor="text" w:horzAnchor="page" w:tblpX="1256" w:tblpY="428"/>
        <w:tblOverlap w:val="never"/>
        <w:tblW w:w="91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125"/>
        <w:gridCol w:w="1250"/>
        <w:gridCol w:w="5962"/>
      </w:tblGrid>
      <w:tr w14:paraId="65FE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88" w:type="dxa"/>
            <w:vMerge w:val="restart"/>
            <w:noWrap w:val="0"/>
            <w:vAlign w:val="center"/>
          </w:tcPr>
          <w:p w14:paraId="012407D9">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序</w:t>
            </w:r>
            <w:r>
              <w:rPr>
                <w:rFonts w:hint="eastAsia" w:ascii="宋体" w:hAnsi="宋体" w:eastAsia="宋体" w:cs="宋体"/>
                <w:color w:val="auto"/>
                <w:kern w:val="0"/>
                <w:sz w:val="21"/>
                <w:szCs w:val="21"/>
                <w:highlight w:val="none"/>
              </w:rPr>
              <w:t xml:space="preserve">号       </w:t>
            </w:r>
          </w:p>
        </w:tc>
        <w:tc>
          <w:tcPr>
            <w:tcW w:w="1125" w:type="dxa"/>
            <w:vMerge w:val="restart"/>
            <w:noWrap w:val="0"/>
            <w:vAlign w:val="center"/>
          </w:tcPr>
          <w:p w14:paraId="7EF64FB6">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内容</w:t>
            </w:r>
          </w:p>
        </w:tc>
        <w:tc>
          <w:tcPr>
            <w:tcW w:w="1250" w:type="dxa"/>
            <w:vMerge w:val="restart"/>
            <w:noWrap w:val="0"/>
            <w:vAlign w:val="center"/>
          </w:tcPr>
          <w:p w14:paraId="246A1C57">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评标因素</w:t>
            </w:r>
          </w:p>
        </w:tc>
        <w:tc>
          <w:tcPr>
            <w:tcW w:w="5962" w:type="dxa"/>
            <w:vMerge w:val="restart"/>
            <w:noWrap w:val="0"/>
            <w:vAlign w:val="center"/>
          </w:tcPr>
          <w:p w14:paraId="1523DFA0">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评分标准</w:t>
            </w:r>
          </w:p>
        </w:tc>
      </w:tr>
      <w:tr w14:paraId="7F54E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88" w:type="dxa"/>
            <w:vMerge w:val="continue"/>
            <w:noWrap w:val="0"/>
            <w:vAlign w:val="center"/>
          </w:tcPr>
          <w:p w14:paraId="4CB1B2D1">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p>
        </w:tc>
        <w:tc>
          <w:tcPr>
            <w:tcW w:w="1125" w:type="dxa"/>
            <w:vMerge w:val="continue"/>
            <w:noWrap w:val="0"/>
            <w:vAlign w:val="center"/>
          </w:tcPr>
          <w:p w14:paraId="08DC663F">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p>
        </w:tc>
        <w:tc>
          <w:tcPr>
            <w:tcW w:w="1250" w:type="dxa"/>
            <w:vMerge w:val="continue"/>
            <w:noWrap w:val="0"/>
            <w:vAlign w:val="center"/>
          </w:tcPr>
          <w:p w14:paraId="545E831A">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p>
        </w:tc>
        <w:tc>
          <w:tcPr>
            <w:tcW w:w="5962" w:type="dxa"/>
            <w:vMerge w:val="continue"/>
            <w:noWrap w:val="0"/>
            <w:vAlign w:val="center"/>
          </w:tcPr>
          <w:p w14:paraId="4D045A37">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p>
        </w:tc>
      </w:tr>
      <w:tr w14:paraId="6DA4A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788" w:type="dxa"/>
            <w:noWrap w:val="0"/>
            <w:vAlign w:val="center"/>
          </w:tcPr>
          <w:p w14:paraId="0561F48A">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1125" w:type="dxa"/>
            <w:noWrap w:val="0"/>
            <w:vAlign w:val="center"/>
          </w:tcPr>
          <w:p w14:paraId="2D6BE3B1">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投标报价（30）</w:t>
            </w:r>
          </w:p>
        </w:tc>
        <w:tc>
          <w:tcPr>
            <w:tcW w:w="1250" w:type="dxa"/>
            <w:noWrap w:val="0"/>
            <w:vAlign w:val="center"/>
          </w:tcPr>
          <w:p w14:paraId="3AD58223">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投标报价</w:t>
            </w:r>
          </w:p>
          <w:p w14:paraId="306D5177">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30分</w:t>
            </w:r>
          </w:p>
        </w:tc>
        <w:tc>
          <w:tcPr>
            <w:tcW w:w="5962" w:type="dxa"/>
            <w:noWrap w:val="0"/>
            <w:vAlign w:val="center"/>
          </w:tcPr>
          <w:p w14:paraId="21BC2E9A">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满足磋商文件要求且最后报价最低的供应商的价格为磋商基准价，其价格分为满分。其他供应商的价格分统一按照下列公式计算：磋商报价得分=（磋商基准价/最后磋商报价） ×价格权值×100 备注：价格分计算保留小数点后二位。</w:t>
            </w:r>
          </w:p>
          <w:p w14:paraId="2A8A0F84">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注：1.若投标人投标价格均超过控制价，做废标处理。</w:t>
            </w:r>
          </w:p>
          <w:p w14:paraId="0D84EEF5">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2.对小型、微型、监狱企业、残疾人福利性单位投标报价给予</w:t>
            </w: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%的扣除，用扣除后的价格参与评审。</w:t>
            </w:r>
          </w:p>
          <w:p w14:paraId="46E15463">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 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9CA6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8" w:type="dxa"/>
            <w:noWrap w:val="0"/>
            <w:vAlign w:val="center"/>
          </w:tcPr>
          <w:p w14:paraId="27852C8C">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1125" w:type="dxa"/>
            <w:noWrap w:val="0"/>
            <w:vAlign w:val="center"/>
          </w:tcPr>
          <w:p w14:paraId="79F8A933">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技术部分（</w:t>
            </w:r>
            <w:r>
              <w:rPr>
                <w:rFonts w:hint="eastAsia" w:ascii="宋体" w:hAnsi="宋体" w:eastAsia="宋体" w:cs="宋体"/>
                <w:color w:val="auto"/>
                <w:kern w:val="0"/>
                <w:sz w:val="21"/>
                <w:szCs w:val="21"/>
                <w:highlight w:val="none"/>
                <w:lang w:val="en-US" w:eastAsia="zh-CN"/>
              </w:rPr>
              <w:t>5</w:t>
            </w:r>
            <w:r>
              <w:rPr>
                <w:rFonts w:hint="eastAsia" w:ascii="宋体" w:hAnsi="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rPr>
              <w:t>分）</w:t>
            </w:r>
          </w:p>
        </w:tc>
        <w:tc>
          <w:tcPr>
            <w:tcW w:w="1250" w:type="dxa"/>
            <w:noWrap w:val="0"/>
            <w:vAlign w:val="center"/>
          </w:tcPr>
          <w:p w14:paraId="64B2B41A">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技术指标</w:t>
            </w:r>
            <w:r>
              <w:rPr>
                <w:rFonts w:hint="eastAsia" w:ascii="宋体" w:hAnsi="宋体" w:eastAsia="宋体" w:cs="宋体"/>
                <w:color w:val="auto"/>
                <w:kern w:val="0"/>
                <w:sz w:val="21"/>
                <w:szCs w:val="21"/>
                <w:highlight w:val="none"/>
                <w:lang w:val="en-US" w:eastAsia="zh-CN"/>
              </w:rPr>
              <w:t>5</w:t>
            </w:r>
            <w:r>
              <w:rPr>
                <w:rFonts w:hint="eastAsia" w:ascii="宋体" w:hAnsi="宋体" w:cs="宋体"/>
                <w:color w:val="auto"/>
                <w:kern w:val="0"/>
                <w:sz w:val="21"/>
                <w:szCs w:val="21"/>
                <w:highlight w:val="none"/>
                <w:lang w:val="en-US" w:eastAsia="zh-CN"/>
              </w:rPr>
              <w:t>0分</w:t>
            </w:r>
          </w:p>
        </w:tc>
        <w:tc>
          <w:tcPr>
            <w:tcW w:w="5962" w:type="dxa"/>
            <w:noWrap w:val="0"/>
            <w:vAlign w:val="center"/>
          </w:tcPr>
          <w:p w14:paraId="101A8CAF">
            <w:pPr>
              <w:tabs>
                <w:tab w:val="left" w:pos="5130"/>
              </w:tabs>
              <w:adjustRightInd w:val="0"/>
              <w:snapToGrid w:val="0"/>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投标人完全满足</w:t>
            </w:r>
            <w:r>
              <w:rPr>
                <w:rFonts w:hint="eastAsia" w:ascii="宋体" w:hAnsi="宋体" w:cs="宋体"/>
                <w:color w:val="auto"/>
                <w:kern w:val="0"/>
                <w:sz w:val="21"/>
                <w:szCs w:val="21"/>
                <w:highlight w:val="none"/>
                <w:lang w:val="en-US" w:eastAsia="zh-CN"/>
              </w:rPr>
              <w:t>或高于</w:t>
            </w:r>
            <w:r>
              <w:rPr>
                <w:rFonts w:hint="eastAsia" w:ascii="宋体" w:hAnsi="宋体" w:eastAsia="宋体" w:cs="宋体"/>
                <w:color w:val="auto"/>
                <w:kern w:val="0"/>
                <w:sz w:val="21"/>
                <w:szCs w:val="21"/>
                <w:highlight w:val="none"/>
                <w:lang w:val="en-US" w:eastAsia="zh-CN"/>
              </w:rPr>
              <w:t>所有技术指标得5</w:t>
            </w:r>
            <w:r>
              <w:rPr>
                <w:rFonts w:hint="eastAsia" w:ascii="宋体" w:hAnsi="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lang w:val="en-US" w:eastAsia="zh-CN"/>
              </w:rPr>
              <w:t>分；所投产品参数中标★的为关键性指标，每项不满足，扣4分；非标★参数每项不满足，扣2分；扣完为止。</w:t>
            </w:r>
            <w:r>
              <w:rPr>
                <w:rFonts w:hint="eastAsia" w:ascii="宋体" w:hAnsi="宋体" w:cs="宋体"/>
                <w:color w:val="auto"/>
                <w:kern w:val="0"/>
                <w:sz w:val="21"/>
                <w:szCs w:val="21"/>
                <w:highlight w:val="none"/>
                <w:lang w:val="en-US" w:eastAsia="zh-CN"/>
              </w:rPr>
              <w:t>（按照磋商文件要求提供相关证明材料）</w:t>
            </w:r>
          </w:p>
        </w:tc>
      </w:tr>
      <w:tr w14:paraId="43A3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788" w:type="dxa"/>
            <w:vMerge w:val="restart"/>
            <w:noWrap w:val="0"/>
            <w:vAlign w:val="center"/>
          </w:tcPr>
          <w:p w14:paraId="626FD581">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w:t>
            </w:r>
          </w:p>
        </w:tc>
        <w:tc>
          <w:tcPr>
            <w:tcW w:w="1125" w:type="dxa"/>
            <w:vMerge w:val="restart"/>
            <w:noWrap w:val="0"/>
            <w:vAlign w:val="center"/>
          </w:tcPr>
          <w:p w14:paraId="0190ACC5">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商务部分（</w:t>
            </w:r>
            <w:r>
              <w:rPr>
                <w:rFonts w:hint="eastAsia" w:ascii="宋体" w:hAnsi="宋体" w:eastAsia="宋体" w:cs="宋体"/>
                <w:color w:val="auto"/>
                <w:kern w:val="0"/>
                <w:sz w:val="21"/>
                <w:szCs w:val="21"/>
                <w:highlight w:val="none"/>
                <w:lang w:val="en-US" w:eastAsia="zh-CN"/>
              </w:rPr>
              <w:t>2</w:t>
            </w:r>
            <w:r>
              <w:rPr>
                <w:rFonts w:hint="eastAsia" w:ascii="宋体" w:hAnsi="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rPr>
              <w:t>分）</w:t>
            </w:r>
          </w:p>
        </w:tc>
        <w:tc>
          <w:tcPr>
            <w:tcW w:w="1250" w:type="dxa"/>
            <w:noWrap w:val="0"/>
            <w:vAlign w:val="center"/>
          </w:tcPr>
          <w:p w14:paraId="53AF63CD">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商务</w:t>
            </w:r>
          </w:p>
          <w:p w14:paraId="19BAEA7D">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10分</w:t>
            </w:r>
          </w:p>
        </w:tc>
        <w:tc>
          <w:tcPr>
            <w:tcW w:w="5962" w:type="dxa"/>
            <w:noWrap w:val="0"/>
            <w:vAlign w:val="center"/>
          </w:tcPr>
          <w:p w14:paraId="39F2B682">
            <w:pPr>
              <w:pStyle w:val="2"/>
              <w:numPr>
                <w:ilvl w:val="0"/>
                <w:numId w:val="25"/>
              </w:numPr>
              <w:ind w:left="0" w:leftChars="0" w:right="-21" w:firstLine="0" w:firstLineChars="0"/>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 xml:space="preserve">投标人或核心产品制造厂商通过 ISO 9001 </w:t>
            </w:r>
            <w:r>
              <w:rPr>
                <w:rFonts w:hint="eastAsia" w:ascii="宋体" w:hAnsi="宋体" w:eastAsia="宋体" w:cs="宋体"/>
                <w:color w:val="auto"/>
                <w:kern w:val="2"/>
                <w:sz w:val="21"/>
                <w:szCs w:val="21"/>
                <w:highlight w:val="none"/>
              </w:rPr>
              <w:t>质量管理体系、 ISO 14001 环境管理体系认证、ISO 45001 职业健康安全管理体系认证，</w:t>
            </w:r>
            <w:r>
              <w:rPr>
                <w:rFonts w:hint="eastAsia" w:ascii="宋体" w:hAnsi="宋体" w:eastAsia="宋体" w:cs="宋体"/>
                <w:color w:val="auto"/>
                <w:kern w:val="2"/>
                <w:sz w:val="21"/>
                <w:szCs w:val="21"/>
                <w:highlight w:val="none"/>
              </w:rPr>
              <w:t>全部满足得</w:t>
            </w:r>
            <w:r>
              <w:rPr>
                <w:rFonts w:hint="eastAsia" w:ascii="宋体" w:hAnsi="宋体" w:eastAsia="宋体" w:cs="宋体"/>
                <w:color w:val="auto"/>
                <w:kern w:val="2"/>
                <w:sz w:val="21"/>
                <w:szCs w:val="21"/>
                <w:highlight w:val="none"/>
                <w:lang w:val="en-US" w:eastAsia="zh-CN"/>
              </w:rPr>
              <w:t>6</w:t>
            </w:r>
            <w:r>
              <w:rPr>
                <w:rFonts w:hint="eastAsia" w:ascii="宋体" w:hAnsi="宋体" w:eastAsia="宋体" w:cs="宋体"/>
                <w:color w:val="auto"/>
                <w:kern w:val="2"/>
                <w:sz w:val="21"/>
                <w:szCs w:val="21"/>
                <w:highlight w:val="none"/>
              </w:rPr>
              <w:t>分，缺一项扣</w:t>
            </w: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分。</w:t>
            </w:r>
            <w:r>
              <w:rPr>
                <w:rFonts w:hint="eastAsia" w:ascii="宋体" w:hAnsi="宋体" w:eastAsia="宋体" w:cs="宋体"/>
                <w:color w:val="auto"/>
                <w:kern w:val="2"/>
                <w:sz w:val="21"/>
                <w:szCs w:val="21"/>
                <w:highlight w:val="none"/>
                <w:lang w:eastAsia="zh-CN"/>
              </w:rPr>
              <w:t>(需提供有效证明材料复印件或扫描件并加盖生产厂家公章)</w:t>
            </w:r>
          </w:p>
          <w:p w14:paraId="62C71FBF">
            <w:pPr>
              <w:pStyle w:val="2"/>
              <w:numPr>
                <w:ilvl w:val="0"/>
                <w:numId w:val="25"/>
              </w:numPr>
              <w:ind w:left="0" w:leftChars="0" w:right="-21" w:rightChars="-10" w:firstLine="0" w:firstLineChars="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2"/>
                <w:sz w:val="21"/>
                <w:szCs w:val="21"/>
                <w:highlight w:val="none"/>
                <w:lang w:val="en-US" w:eastAsia="zh-CN"/>
              </w:rPr>
              <w:t>为保证产品质量，投标人所投核心产品通过中国环境标志产品认证的，得4分，不提供不得分。</w:t>
            </w:r>
            <w:r>
              <w:rPr>
                <w:rFonts w:hint="eastAsia" w:ascii="宋体" w:hAnsi="宋体" w:eastAsia="宋体" w:cs="宋体"/>
                <w:color w:val="auto"/>
                <w:kern w:val="2"/>
                <w:sz w:val="21"/>
                <w:szCs w:val="21"/>
                <w:highlight w:val="none"/>
                <w:lang w:eastAsia="zh-CN"/>
              </w:rPr>
              <w:t>(需提供有效证明材料复印件或扫描件并加盖生产厂家公章)</w:t>
            </w:r>
          </w:p>
        </w:tc>
      </w:tr>
      <w:tr w14:paraId="1D7CF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788" w:type="dxa"/>
            <w:vMerge w:val="continue"/>
            <w:noWrap w:val="0"/>
            <w:vAlign w:val="center"/>
          </w:tcPr>
          <w:p w14:paraId="731B5E5A">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lang w:val="en-US" w:eastAsia="zh-CN"/>
              </w:rPr>
            </w:pPr>
          </w:p>
        </w:tc>
        <w:tc>
          <w:tcPr>
            <w:tcW w:w="1125" w:type="dxa"/>
            <w:vMerge w:val="continue"/>
            <w:noWrap w:val="0"/>
            <w:vAlign w:val="center"/>
          </w:tcPr>
          <w:p w14:paraId="11262150">
            <w:pPr>
              <w:pStyle w:val="3"/>
              <w:keepNext w:val="0"/>
              <w:keepLines w:val="0"/>
              <w:pageBreakBefore w:val="0"/>
              <w:kinsoku/>
              <w:wordWrap/>
              <w:overflowPunct/>
              <w:topLinePunct w:val="0"/>
              <w:bidi w:val="0"/>
              <w:spacing w:line="400" w:lineRule="exact"/>
              <w:textAlignment w:val="auto"/>
              <w:rPr>
                <w:rFonts w:hint="eastAsia" w:ascii="宋体" w:hAnsi="宋体" w:eastAsia="宋体" w:cs="宋体"/>
                <w:color w:val="auto"/>
                <w:sz w:val="21"/>
                <w:szCs w:val="21"/>
                <w:highlight w:val="none"/>
              </w:rPr>
            </w:pPr>
          </w:p>
        </w:tc>
        <w:tc>
          <w:tcPr>
            <w:tcW w:w="1250" w:type="dxa"/>
            <w:vMerge w:val="restart"/>
            <w:noWrap w:val="0"/>
            <w:vAlign w:val="center"/>
          </w:tcPr>
          <w:p w14:paraId="7F7CE012">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售后服务</w:t>
            </w:r>
          </w:p>
          <w:p w14:paraId="74093589">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10分</w:t>
            </w:r>
          </w:p>
        </w:tc>
        <w:tc>
          <w:tcPr>
            <w:tcW w:w="5962" w:type="dxa"/>
            <w:noWrap w:val="0"/>
            <w:vAlign w:val="center"/>
          </w:tcPr>
          <w:p w14:paraId="1C6FC516">
            <w:pPr>
              <w:keepNext w:val="0"/>
              <w:keepLines w:val="0"/>
              <w:pageBreakBefore w:val="0"/>
              <w:widowControl/>
              <w:kinsoku/>
              <w:wordWrap/>
              <w:overflowPunct/>
              <w:topLinePunct w:val="0"/>
              <w:bidi w:val="0"/>
              <w:spacing w:line="40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Cs w:val="21"/>
                <w:highlight w:val="none"/>
                <w:lang w:val="en-US" w:eastAsia="zh-CN"/>
              </w:rPr>
              <w:t>提供安装、调试实施方案，承诺故障维修12 小时达现场 24 小时修复(包含供货安装调试方案、安装进度计划编制、人员安排、进度保证措施等)得6分;提供不全的得0分。</w:t>
            </w:r>
          </w:p>
        </w:tc>
      </w:tr>
      <w:tr w14:paraId="34087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788" w:type="dxa"/>
            <w:vMerge w:val="continue"/>
            <w:noWrap w:val="0"/>
            <w:vAlign w:val="center"/>
          </w:tcPr>
          <w:p w14:paraId="72AE441B">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p>
        </w:tc>
        <w:tc>
          <w:tcPr>
            <w:tcW w:w="1125" w:type="dxa"/>
            <w:vMerge w:val="continue"/>
            <w:noWrap w:val="0"/>
            <w:vAlign w:val="center"/>
          </w:tcPr>
          <w:p w14:paraId="7A4B5C4A">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lang w:eastAsia="zh-CN"/>
              </w:rPr>
            </w:pPr>
          </w:p>
        </w:tc>
        <w:tc>
          <w:tcPr>
            <w:tcW w:w="1250" w:type="dxa"/>
            <w:vMerge w:val="continue"/>
            <w:noWrap w:val="0"/>
            <w:vAlign w:val="center"/>
          </w:tcPr>
          <w:p w14:paraId="74A46895">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p>
        </w:tc>
        <w:tc>
          <w:tcPr>
            <w:tcW w:w="5962" w:type="dxa"/>
            <w:noWrap w:val="0"/>
            <w:vAlign w:val="center"/>
          </w:tcPr>
          <w:p w14:paraId="28A1F79B">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Cs w:val="21"/>
                <w:highlight w:val="none"/>
                <w:lang w:val="en-US" w:eastAsia="zh-CN"/>
              </w:rPr>
              <w:t>提供对本产品的使用技术培训方案，厂家技术支持400专线电话且承诺提供完整使用技术演示视频得4分;提供不全的得 0 分。</w:t>
            </w:r>
          </w:p>
        </w:tc>
      </w:tr>
    </w:tbl>
    <w:p w14:paraId="62B65DFE">
      <w:pPr>
        <w:pStyle w:val="17"/>
        <w:numPr>
          <w:ilvl w:val="0"/>
          <w:numId w:val="0"/>
        </w:numPr>
        <w:rPr>
          <w:color w:val="auto"/>
          <w:highlight w:val="none"/>
        </w:rPr>
      </w:pPr>
    </w:p>
    <w:p w14:paraId="259B0D74">
      <w:pPr>
        <w:pStyle w:val="17"/>
        <w:rPr>
          <w:color w:val="auto"/>
          <w:highlight w:val="none"/>
        </w:rPr>
      </w:pPr>
    </w:p>
    <w:p w14:paraId="1DBE22C8">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最终得分为磋商小组所有成员计分的算术平均值，计算保留小数点两位，小数点后第三位四舍五入。</w:t>
      </w:r>
    </w:p>
    <w:p w14:paraId="308F69D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4FAE314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8901218">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0F9E61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24B246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22.7在竞争性磋商期间，供应商不得向竞争性磋商小组成员询问其它供应商竞争性磋商情况，不得进行旨在影响成交结果的活动。</w:t>
      </w:r>
    </w:p>
    <w:p w14:paraId="51E9966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4EB0618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43B60B2D">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164323B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4C675E5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7CE3D11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5A67235C">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0603D30C">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0F4AAD2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6D50141D">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3F13F2C0">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6D29A706">
      <w:pPr>
        <w:spacing w:before="0" w:after="0" w:line="72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50689382">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468F058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5320C3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4841440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4736EB2">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2133AED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2CCE4BF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ED561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180192E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59BEB9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A9DEBE">
      <w:pPr>
        <w:spacing w:before="0" w:after="0" w:line="560" w:lineRule="auto"/>
        <w:ind w:left="0" w:right="0" w:firstLine="0"/>
        <w:jc w:val="both"/>
        <w:rPr>
          <w:rFonts w:ascii="宋体" w:hAnsi="宋体" w:eastAsia="宋体" w:cs="宋体"/>
          <w:color w:val="auto"/>
          <w:spacing w:val="0"/>
          <w:position w:val="0"/>
          <w:sz w:val="24"/>
          <w:highlight w:val="none"/>
          <w:shd w:val="clear" w:fill="auto"/>
        </w:rPr>
      </w:pPr>
    </w:p>
    <w:p w14:paraId="41A368BA">
      <w:pP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p>
    <w:p w14:paraId="0E21FF7F">
      <w:pPr>
        <w:numPr>
          <w:ilvl w:val="0"/>
          <w:numId w:val="26"/>
        </w:num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采购项目内容及要求</w:t>
      </w:r>
    </w:p>
    <w:p w14:paraId="4683DA48">
      <w:pPr>
        <w:pStyle w:val="8"/>
        <w:numPr>
          <w:ilvl w:val="0"/>
          <w:numId w:val="0"/>
        </w:numPr>
        <w:rPr>
          <w:rFonts w:hint="default"/>
          <w:color w:val="auto"/>
          <w:highlight w:val="none"/>
          <w:lang w:val="en-US" w:eastAsia="zh-CN"/>
        </w:rPr>
      </w:pPr>
    </w:p>
    <w:p w14:paraId="2D7B4827">
      <w:pPr>
        <w:numPr>
          <w:ilvl w:val="0"/>
          <w:numId w:val="0"/>
        </w:numPr>
        <w:spacing w:before="0" w:after="0" w:line="480" w:lineRule="auto"/>
        <w:ind w:right="0" w:rightChars="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szCs w:val="22"/>
          <w:highlight w:val="none"/>
          <w:shd w:val="clear" w:fill="auto"/>
          <w:lang w:val="en-US" w:eastAsia="zh-CN"/>
        </w:rPr>
        <w:t>生物教室工程技术参数及数量</w:t>
      </w:r>
    </w:p>
    <w:tbl>
      <w:tblPr>
        <w:tblStyle w:val="13"/>
        <w:tblW w:w="89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7"/>
        <w:gridCol w:w="740"/>
        <w:gridCol w:w="6035"/>
        <w:gridCol w:w="780"/>
        <w:gridCol w:w="841"/>
      </w:tblGrid>
      <w:tr w14:paraId="5EB6E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blHeader/>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426E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序号</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C3BC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产品名称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089D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基础参数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61844">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4054B">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r>
      <w:tr w14:paraId="29F07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8C9E1">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p>
        </w:tc>
        <w:tc>
          <w:tcPr>
            <w:tcW w:w="83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F09B2A2">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吊装实验室</w:t>
            </w:r>
          </w:p>
        </w:tc>
      </w:tr>
      <w:tr w14:paraId="02364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BCB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397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教师演示台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35BC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Style w:val="23"/>
                <w:color w:val="auto"/>
                <w:highlight w:val="none"/>
                <w:lang w:val="en-US" w:eastAsia="zh-CN" w:bidi="ar"/>
              </w:rPr>
              <w:t>规格：长2800mm×宽700mm×高850mm</w:t>
            </w:r>
            <w:r>
              <w:rPr>
                <w:rStyle w:val="23"/>
                <w:color w:val="auto"/>
                <w:highlight w:val="none"/>
                <w:lang w:val="en-US" w:eastAsia="zh-CN" w:bidi="ar"/>
              </w:rPr>
              <w:br w:type="textWrapping"/>
            </w:r>
            <w:r>
              <w:rPr>
                <w:rStyle w:val="23"/>
                <w:color w:val="auto"/>
                <w:highlight w:val="none"/>
                <w:lang w:val="en-US" w:eastAsia="zh-CN" w:bidi="ar"/>
              </w:rPr>
              <w:t>1.台面采用12.7mm厚实芯理化板，外露边沿修圆弧，整体美观大方，耐高温、耐酸碱、耐腐蚀、不吸水、防火、阻燃、防静电、抗老化、无毒、无褪色、材质坚硬，牢固可靠。</w:t>
            </w:r>
            <w:r>
              <w:rPr>
                <w:rStyle w:val="23"/>
                <w:color w:val="auto"/>
                <w:highlight w:val="none"/>
                <w:lang w:val="en-US" w:eastAsia="zh-CN" w:bidi="ar"/>
              </w:rPr>
              <w:br w:type="textWrapping"/>
            </w:r>
            <w:r>
              <w:rPr>
                <w:rStyle w:val="23"/>
                <w:color w:val="auto"/>
                <w:highlight w:val="none"/>
                <w:lang w:val="en-US" w:eastAsia="zh-CN" w:bidi="ar"/>
              </w:rPr>
              <w:t>2.桌柜采用16mm厚聚木屑三聚氰胺双面板。</w:t>
            </w:r>
            <w:r>
              <w:rPr>
                <w:rStyle w:val="23"/>
                <w:color w:val="auto"/>
                <w:highlight w:val="none"/>
                <w:lang w:val="en-US" w:eastAsia="zh-CN" w:bidi="ar"/>
              </w:rPr>
              <w:br w:type="textWrapping"/>
            </w:r>
            <w:r>
              <w:rPr>
                <w:rStyle w:val="23"/>
                <w:color w:val="auto"/>
                <w:highlight w:val="none"/>
                <w:lang w:val="en-US" w:eastAsia="zh-CN" w:bidi="ar"/>
              </w:rPr>
              <w:t>3.桌架采用40mm×60mm×1.2mm方钢管。</w:t>
            </w:r>
            <w:r>
              <w:rPr>
                <w:rStyle w:val="23"/>
                <w:color w:val="auto"/>
                <w:highlight w:val="none"/>
                <w:lang w:val="en-US" w:eastAsia="zh-CN" w:bidi="ar"/>
              </w:rPr>
              <w:br w:type="textWrapping"/>
            </w:r>
            <w:r>
              <w:rPr>
                <w:rStyle w:val="23"/>
                <w:color w:val="auto"/>
                <w:highlight w:val="none"/>
                <w:lang w:val="en-US" w:eastAsia="zh-CN" w:bidi="ar"/>
              </w:rPr>
              <w:t>4.五金配件</w:t>
            </w:r>
            <w:r>
              <w:rPr>
                <w:rStyle w:val="23"/>
                <w:color w:val="auto"/>
                <w:highlight w:val="none"/>
                <w:lang w:val="en-US" w:eastAsia="zh-CN" w:bidi="ar"/>
              </w:rPr>
              <w:br w:type="textWrapping"/>
            </w:r>
            <w:r>
              <w:rPr>
                <w:rStyle w:val="23"/>
                <w:color w:val="auto"/>
                <w:highlight w:val="none"/>
                <w:lang w:val="en-US" w:eastAsia="zh-CN" w:bidi="ar"/>
              </w:rPr>
              <w:t>1）拉手：采用一字型铝合金拉手。</w:t>
            </w:r>
            <w:r>
              <w:rPr>
                <w:rStyle w:val="23"/>
                <w:color w:val="auto"/>
                <w:highlight w:val="none"/>
                <w:lang w:val="en-US" w:eastAsia="zh-CN" w:bidi="ar"/>
              </w:rPr>
              <w:br w:type="textWrapping"/>
            </w:r>
            <w:r>
              <w:rPr>
                <w:rStyle w:val="23"/>
                <w:color w:val="auto"/>
                <w:highlight w:val="none"/>
                <w:lang w:val="en-US" w:eastAsia="zh-CN" w:bidi="ar"/>
              </w:rPr>
              <w:t>2）铰链：采用铰链，最大开启角度110°，开启15º以内具有自闭功能。耐腐蚀、承重、经久耐用。</w:t>
            </w:r>
            <w:r>
              <w:rPr>
                <w:rStyle w:val="23"/>
                <w:color w:val="auto"/>
                <w:highlight w:val="none"/>
                <w:lang w:val="en-US" w:eastAsia="zh-CN" w:bidi="ar"/>
              </w:rPr>
              <w:br w:type="textWrapping"/>
            </w:r>
            <w:r>
              <w:rPr>
                <w:rStyle w:val="23"/>
                <w:color w:val="auto"/>
                <w:highlight w:val="none"/>
                <w:lang w:val="en-US" w:eastAsia="zh-CN" w:bidi="ar"/>
              </w:rPr>
              <w:t>3）导轨：采用超静音三节滚珠滑轨。</w:t>
            </w:r>
            <w:r>
              <w:rPr>
                <w:rStyle w:val="23"/>
                <w:color w:val="auto"/>
                <w:highlight w:val="none"/>
                <w:lang w:val="en-US" w:eastAsia="zh-CN" w:bidi="ar"/>
              </w:rPr>
              <w:br w:type="textWrapping"/>
            </w:r>
            <w:r>
              <w:rPr>
                <w:rStyle w:val="23"/>
                <w:color w:val="auto"/>
                <w:highlight w:val="none"/>
                <w:lang w:val="en-US" w:eastAsia="zh-CN" w:bidi="ar"/>
              </w:rPr>
              <w:t>4）地脚：ABS工程塑料可调脚，螺杆≥Φ10mm，具有减缓冲击力功能。</w:t>
            </w:r>
            <w:r>
              <w:rPr>
                <w:rStyle w:val="23"/>
                <w:color w:val="auto"/>
                <w:highlight w:val="none"/>
                <w:lang w:val="en-US" w:eastAsia="zh-CN" w:bidi="ar"/>
              </w:rPr>
              <w:br w:type="textWrapping"/>
            </w:r>
            <w:r>
              <w:rPr>
                <w:rStyle w:val="23"/>
                <w:color w:val="auto"/>
                <w:highlight w:val="none"/>
                <w:lang w:val="en-US" w:eastAsia="zh-CN" w:bidi="ar"/>
              </w:rPr>
              <w:t>结构：</w:t>
            </w:r>
            <w:r>
              <w:rPr>
                <w:rStyle w:val="23"/>
                <w:color w:val="auto"/>
                <w:highlight w:val="none"/>
                <w:lang w:val="en-US" w:eastAsia="zh-CN" w:bidi="ar"/>
              </w:rPr>
              <w:br w:type="textWrapping"/>
            </w:r>
            <w:r>
              <w:rPr>
                <w:rStyle w:val="23"/>
                <w:color w:val="auto"/>
                <w:highlight w:val="none"/>
                <w:lang w:val="en-US" w:eastAsia="zh-CN" w:bidi="ar"/>
              </w:rPr>
              <w:t>1.钢木左右结构；</w:t>
            </w:r>
            <w:r>
              <w:rPr>
                <w:rStyle w:val="23"/>
                <w:color w:val="auto"/>
                <w:highlight w:val="none"/>
                <w:lang w:val="en-US" w:eastAsia="zh-CN" w:bidi="ar"/>
              </w:rPr>
              <w:br w:type="textWrapping"/>
            </w:r>
            <w:r>
              <w:rPr>
                <w:rStyle w:val="23"/>
                <w:color w:val="auto"/>
                <w:highlight w:val="none"/>
                <w:lang w:val="en-US" w:eastAsia="zh-CN" w:bidi="ar"/>
              </w:rPr>
              <w:t>2.钢架采用“工”字形结构，前面放置木柜，木柜下设钢管托撑，并有M8mm螺丝顶固，带可调地脚；</w:t>
            </w:r>
            <w:r>
              <w:rPr>
                <w:rStyle w:val="23"/>
                <w:color w:val="auto"/>
                <w:highlight w:val="none"/>
                <w:lang w:val="en-US" w:eastAsia="zh-CN" w:bidi="ar"/>
              </w:rPr>
              <w:br w:type="textWrapping"/>
            </w:r>
            <w:r>
              <w:rPr>
                <w:rStyle w:val="23"/>
                <w:color w:val="auto"/>
                <w:highlight w:val="none"/>
                <w:lang w:val="en-US" w:eastAsia="zh-CN" w:bidi="ar"/>
              </w:rPr>
              <w:t>3.桌柜上设抽屉，下设储物柜；水槽柜设检修门；</w:t>
            </w:r>
            <w:r>
              <w:rPr>
                <w:rStyle w:val="23"/>
                <w:color w:val="auto"/>
                <w:highlight w:val="none"/>
                <w:lang w:val="en-US" w:eastAsia="zh-CN" w:bidi="ar"/>
              </w:rPr>
              <w:br w:type="textWrapping"/>
            </w:r>
            <w:r>
              <w:rPr>
                <w:rStyle w:val="23"/>
                <w:color w:val="auto"/>
                <w:highlight w:val="none"/>
                <w:lang w:val="en-US" w:eastAsia="zh-CN" w:bidi="ar"/>
              </w:rPr>
              <w:t>工艺：</w:t>
            </w:r>
            <w:r>
              <w:rPr>
                <w:rStyle w:val="23"/>
                <w:color w:val="auto"/>
                <w:highlight w:val="none"/>
                <w:lang w:val="en-US" w:eastAsia="zh-CN" w:bidi="ar"/>
              </w:rPr>
              <w:br w:type="textWrapping"/>
            </w:r>
            <w:r>
              <w:rPr>
                <w:rStyle w:val="23"/>
                <w:color w:val="auto"/>
                <w:highlight w:val="none"/>
                <w:lang w:val="en-US" w:eastAsia="zh-CN" w:bidi="ar"/>
              </w:rPr>
              <w:t>1.板材截面采用pvc封边条机械高温封边；</w:t>
            </w:r>
            <w:r>
              <w:rPr>
                <w:rStyle w:val="23"/>
                <w:color w:val="auto"/>
                <w:highlight w:val="none"/>
                <w:lang w:val="en-US" w:eastAsia="zh-CN" w:bidi="ar"/>
              </w:rPr>
              <w:br w:type="textWrapping"/>
            </w:r>
            <w:r>
              <w:rPr>
                <w:rStyle w:val="23"/>
                <w:color w:val="auto"/>
                <w:highlight w:val="none"/>
                <w:lang w:val="en-US" w:eastAsia="zh-CN" w:bidi="ar"/>
              </w:rPr>
              <w:t>2.钢材采用CO</w:t>
            </w:r>
            <w:r>
              <w:rPr>
                <w:rStyle w:val="24"/>
                <w:rFonts w:eastAsia="宋体"/>
                <w:color w:val="auto"/>
                <w:highlight w:val="none"/>
                <w:lang w:val="en-US" w:eastAsia="zh-CN" w:bidi="ar"/>
              </w:rPr>
              <w:t>₂</w:t>
            </w:r>
            <w:r>
              <w:rPr>
                <w:rStyle w:val="23"/>
                <w:color w:val="auto"/>
                <w:highlight w:val="none"/>
                <w:lang w:val="en-US" w:eastAsia="zh-CN" w:bidi="ar"/>
              </w:rPr>
              <w:t>保护焊焊接，钢材表面经喷砂抛丸去油除锈，静电喷涂；</w:t>
            </w:r>
            <w:r>
              <w:rPr>
                <w:rStyle w:val="23"/>
                <w:color w:val="auto"/>
                <w:highlight w:val="none"/>
                <w:lang w:val="en-US" w:eastAsia="zh-CN" w:bidi="ar"/>
              </w:rPr>
              <w:br w:type="textWrapping"/>
            </w:r>
            <w:r>
              <w:rPr>
                <w:rStyle w:val="23"/>
                <w:color w:val="auto"/>
                <w:highlight w:val="none"/>
                <w:lang w:val="en-US" w:eastAsia="zh-CN" w:bidi="ar"/>
              </w:rPr>
              <w:t>性能：1.台面双面膜耐腐蚀实芯理化板，耐酸、耐碱、耐高温，坚固耐用，防潮、无细孔、不膨胀、不龟裂、不变形、不导电、便于维护及具有良好的承重性；</w:t>
            </w:r>
            <w:r>
              <w:rPr>
                <w:rStyle w:val="23"/>
                <w:color w:val="auto"/>
                <w:highlight w:val="none"/>
                <w:lang w:val="en-US" w:eastAsia="zh-CN" w:bidi="ar"/>
              </w:rPr>
              <w:br w:type="textWrapping"/>
            </w:r>
            <w:r>
              <w:rPr>
                <w:rStyle w:val="23"/>
                <w:color w:val="auto"/>
                <w:highlight w:val="none"/>
                <w:lang w:val="en-US" w:eastAsia="zh-CN" w:bidi="ar"/>
              </w:rPr>
              <w:t>3.桌柜离地150mm左右，方便打扫卫生；</w:t>
            </w:r>
            <w:r>
              <w:rPr>
                <w:rStyle w:val="23"/>
                <w:color w:val="auto"/>
                <w:highlight w:val="none"/>
                <w:lang w:val="en-US" w:eastAsia="zh-CN" w:bidi="ar"/>
              </w:rPr>
              <w:br w:type="textWrapping"/>
            </w:r>
            <w:r>
              <w:rPr>
                <w:rStyle w:val="23"/>
                <w:color w:val="auto"/>
                <w:highlight w:val="none"/>
                <w:lang w:val="en-US" w:eastAsia="zh-CN" w:bidi="ar"/>
              </w:rPr>
              <w:t>4.水池柜：演示台一侧应设置水池柜，安放高密度黑色PPR一体化水槽，其内腔尺寸（长宽高）480mm×380mm×280mm。并设置活动检修门，便于进行维护。</w:t>
            </w:r>
            <w:r>
              <w:rPr>
                <w:rStyle w:val="23"/>
                <w:color w:val="auto"/>
                <w:highlight w:val="none"/>
                <w:lang w:val="en-US" w:eastAsia="zh-CN" w:bidi="ar"/>
              </w:rPr>
              <w:br w:type="textWrapping"/>
            </w:r>
            <w:r>
              <w:rPr>
                <w:rStyle w:val="23"/>
                <w:color w:val="auto"/>
                <w:highlight w:val="none"/>
                <w:lang w:val="en-US" w:eastAsia="zh-CN" w:bidi="ar"/>
              </w:rPr>
              <w:t>5.水嘴：喷塑三联式高位水嘴、陶瓷芯片水阀水槽。</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EB4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F434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04F7A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CBA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65D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生物实验室总控电源</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2FE3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产品外壳采用镀锌板折弯焊接成型，表面喷塑。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1.电源面板表面贴面膜，设有漏电总开关、交流220V五孔带防护插座。</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D17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8F4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9BAB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A41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22E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学生实验台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EE3D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规格：长1200mm×宽600mm×高780mm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1.台面：台面采用≥12mm 双面膜理化板台面，学生位置设圆弧造型 两侧设阻水边。台面后方卡入学生桌铝型槽内。耐酸、耐碱、耐高温，坚固耐用，防潮、无细孔、不膨胀、不龟裂、不变形、不导电、便于维护及具有良好的承重性能。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2.结构：新型钢塑结构，符合人体工程学设计，美观大方。专用书包斗采用 ABS 工程塑料一次性注塑成型结合，内净尺寸≥365mm×280mm×120mm。镂空设计，底部设有排水孔，便于清理，不屯垃圾，中间设挂凳卡。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3.桌架：桌腿采用≥90mm×60mm×2mm 椭圆管模具一体成型为”Y”字型（不得二次焊接），下开口采用磨具成型改性工程塑料材料装饰，上端连接件采用铸铝一体成型，上框采用 20mm×30mm矩形管焊接成型，并用高强度内六角螺丝连接，便于组装及拆卸，外观流线形设计，简洁美观，易碰撞处全部采用倒圆角，产品款式要求整体设计美观、合理、安全、牢固、耐用。金属表面经静电粉沫喷涂处理。要做到承重性能强和耐酸碱、耐腐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4.挡水板：后挡水板采用≥1150mm×140mm×20mm 厚一体成型铝合金，左右堵头连接件采用ABS模具一体成型，固定于台架不易脱落，便于组装及拆卸，外观流线形设计，简洁美观,易碰撞处全部采用倒圆角，产品款式要求整体设计美观、合理、安全牢固、耐用。金属表面经静电粉沫喷涂处理。要做到承重性能强和耐酸碱、耐腐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5.桌脚：采用一体注塑模具成型，结构美观牢固，并设有防滑调整脚，同时可以与地面固定，防止桌体移动。采用专用注塑模具件装饰。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为保证产品质量以及从环保角度保障实验室人员健康，产品必须通过GB24820-2009《实验室家具通用技术条件》检测，符合以下技术参数及要求：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▲（1）、台面宽度，净操作面深度，台面高度，操作台高度，操作台下净空高，操作台下净空宽；满足第三方检测机构主要尺寸检测，检测结果均为符合。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▲（2）、外形尺寸偏差，台面翘曲度，台面平整度，底脚平稳性；满足第三方检测机构外形尺寸偏差及形状位置公差测检测，检测结果均为符合。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操作台面的裂缝和渗透，板件或部件的毛刺和光滑，封边或包边不应出现脱胶，贴面应严密和平整，零部件结合的严密和牢固，配件安装的无松动，金属件应闭口和焊接无虚焊，焊疤表面波纹应均匀、高低之差应不大于1mm，金属件涂层应无漏喷、锈蚀和脱色、掉色现象，涂层应光滑均匀、色泽一致、应无流挂、疙瘩、皱皮、飞漆等缺陷；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▲（4）、台面磨耗值28mg/100r，表面情况应无露底现象，无整圈连续划痕、无开裂，耐龟裂性0级，无裂纹、鼓泡、起皱和无明显变色，无凸起、龟裂和 明显变色，耐干热1级，冲击凹坑直径7.5mm，化学实验台面抗化学试剂符合要求，耐高温，耐污染1级；满足第三方检测机构检测，检测结果均为符合。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▲（5）、金属喷(漆)塑涂层硬度3H，冲击强度符合要求，耐腐蚀10级；满足第三方检测机构检测，检测结果均为符合。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产品整体的力学性能经过水平静载荷试验，垂直静载荷试验，持续垂直静载荷，独立操作台水平冲击稳定性试验，独立操作台垂直加载稳定性试验，水平耐久性试验，垂直冲击试验；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▲（7）、甲醛释放量：0.2mg/L；满足第三方检测机构检测，检测结果均为符合。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▲（8）、重金属含量中的可溶性铅、可溶性镉、可溶性铬、可溶性汞；满足第三方检测机构检测，检测结果均为符合。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响应文件中需提供国家认可的检测机构出具的检测报告（复印件盖供应商公章），原件现场核查。且报告中须反应以上（1）～（8）项技术指标。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B9B9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5E5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2B628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F9B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2DCF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实验凳</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439A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规格：Φ315mm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1.螺旋式升降。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2.凳脚材质：4个凳脚采用17mm×34mm×1.2mm无缝钢管模具一次弯管成型。二氧化碳保护焊焊接，结构牢固，金属表面经静电粉沫喷涂处理。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3.凳面材质：采用聚丙烯共聚级注塑,厚5mm。表面细纹咬花，防滑不发光。凳面底部镶嵌4枚铜质螺纹，采用螺丝与圆型托盘固定。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4.脚垫材质：采用PP加耐磨纤维质塑料，实心倒勾式一体射出成型凳面与凳脚留有一定的空间便于凳子挂在挂凳扣上。方便教室的打扫。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▲（1）、实验凳座高430mm，满足第三方检测机构主要尺寸及偏差检测，检测结果均为符合。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▲（2）、实验凳着地平稳性；满足第三方检测机构形状和位置公差检测，检测结果均为符合。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▲（3）、实验凳外观性能-金属件的喷涂层应涂层应无漏喷、锈蚀和脱色、掉色现象，涂层应光滑均匀、色泽一致，应无流挂、疙瘩、皱皮、飞漆；满足第三方检测机构检测，检测结果均为符合。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▲（4）、实验凳外观性能-塑料件应无裂纹，无明 显变形，应无明显缩孔、气泡、杂质、伤痕，外表用塑料件表面应光洁、无划痕，无污渍，无明显色差；满足第三方检测机构检测，检测结果均为符合。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▲（5）、实验凳应满足安全性能-结构安全的要求；满足第三方检测机构检测，检测结果均为符合。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▲（6）、实验凳金属喷漆 ( 塑 )涂层的硬度4H，冲击高度400mm,应无剥落、裂纹、皱纹，附着力1级，耐腐蚀应无鼓泡产生、无锈迹、剥落、起皱、变色 和失光等现象；满足第三方检测机构检测，检测结果均为符合。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▲（7）、实验凳的塑料件冲击强度29J/m²；满足第三方检测机构检测，检测结果均为符合。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实验凳整体的力学性能通过座面和椅背静载荷试验-座面静载荷试验，座面和椅背静载荷试验-椅背静载荷试验，座面耐久性试验，椅背耐久性试验，椅腿前向静载荷试验，椅腿侧向静载荷试验，座面冲击试验，椅背冲击试验，跌落试验，凳子任意方向的倾翻试验；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▲（9）、实验凳重金属含量中的可溶性铅、可溶性镉、可溶性铬、可溶性汞；满足第三方检测机构检测，检测结果均为符合。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响应文件中需提供国家认可的检测机构出具的检测报告（复印件盖供应商公章），原件现场核查。且报告中须反应以上（1）～（9）项技术指标。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6B78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57</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971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61A01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452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5B96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移动水槽台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2981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规格：长600mm×宽460mm×高820mm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1.由柜体和水槽底座部分组成。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水槽内规格≥400mm×300mm×240mm,柜体底座采用ABS注塑成型，水槽采用PP塑料一次模具成型，确保柜体结构稳固；柜体前后带有磁吸检修门，方便日后维修，前沿带有围边挡水，带有防溢水孔，水槽预留安装水嘴孔，洗眼器孔，按压洗手液孔，柜体内设有隐藏式抽屉方便放置洗涤用品，水封式水塞可防止废水回流和堵塞。</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3.水嘴：喷塑三联式高位水嘴。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4.水槽专配型排水管，不锈钢卡扣连接，安装方便不渗漏，储水罐PP材质。</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AF45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BEB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06B7F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13C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0782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控制机柜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C25E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1、外观设计整洁美观，采用1.0mm厚钢板经数控折弯加工，表面硅烷处理、喷塑。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2、箱门上安裝控制屏、启动开关，急停开关。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制箱内置3P总电源开关，智能控制总开关，漏电、过载、短路保护开关，485通讯输出，微电脑控制器及功能扩展模块，微电脑保护模块，急停控制系统，电源分组控制系统，照明分组控制系统，给排水控制系统，吊臂控制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FF13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FBCA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3356E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502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8EE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总控软件系统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7638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1、开机即用，无系统启动时间。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2、经密码验证之后，方可进入控制系统界面，以增加控制安全性。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3、接通总开关和支路开关，可集中或分组控制吊臂的升降、照明灯亮与灭、交流220V插座、给排水控制（排水自动检测并及时排水）、低压交直流电压输出并可控。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4、系统时间可设置、可延时关机、可定时关机。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5、可支持拓展远程控制系统使用。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6、控制柜与各个吊臂之间采用高可靠性的Modbus-RTU通讯协议下进行控制：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a、吊臂控制系统：教师通过智能控制屏对实验室进行单独、分组、全部控制，升、降、暂停，升、降到位后会自动停止。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b、电源控制系统：教师通过智能控制屏对实验室进行单独、分组、全部控制交流220V输出和学生用低压输出。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c、照明控制系统：教师通过智能控制屏对实验室吊仓上的照明进行单独、分组、全部控制。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d、给排水控制系统：每个学生终端配置一组水流自动检测传感器，当给水时自动进行排水控制；吊臂下方配有插拔式自动锁紧排水接口，接口与学生水槽柜下方水箱连接通过具有耐酸碱、耐腐蚀功能的改性PVC橡胶塑料软管连接，即插即用，用完拔下收起，给排水管具有到位检测功能，在没有拔下水管，吊臂不能收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7、总电源控制：可以通过选择触摸控制屏的电源界面，按下屏幕中间的“总电源”按键开机，再按关机。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8、吊臂升降控制：可以通过单选按键或屏下方的“全选”“反选”按键，选中位置号，按下吊臂升、吊臂暂停、吊臂降按键，吊臂执行相应操作，并在升降过程中，到达顶部和底部停止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照明灯控制：可以通过单选按键或屏下方的“全选”、“反选”按键，选中位置号，按下照明键，打开照明灯电源，再按下关闭照明灯电源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9、220V插座控制：可以通过单选按键或屏下方的“全选反选”按键，选中位置号，按 220V 电按键，打开220V插电源，再按下关闭220V插座电源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低压电源控制：可以通过单选按键或屏下方“全选”、“反选”按键，选中位置号，按下直流区域/交流区域，按下“锁电压”或“锁上限”弹出对话框，拖动电压条到设定位置，按确定输出直流/交流;可以在上限锁定后，学生在锁定范围内调整电压:可以在过载后进入恒流状态并关闭输出;可以在排除故障后，按学生端任意键复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11、给排水控制：可以通过单选按键或屏下方的“全选”、“反选”按键，选中位置号，按下给水开按键，打开给水，并进行排水;可以按下给水关按键，关闭给水，排水在废水排完后停止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12、通风控制：可以通过选择触摸屏的排风界面，按下“排风”按键，启动通风风机;可以滑动风速变化条改变风量大小;可以显示风量百分比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▲产品应符合GB/T 25000.51-2016《系统与软件工程系统与软件质量要求和评价(SQuaRE)第51部分:就绪可用软件产品(RUSP)的质量要求和测试细则》的检测要求，需提供国家认可的检测机构出具的检测报告（复印件盖供应商公章），原件现场核查。</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887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2F2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21C4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D64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9072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控制屏</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D0EA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1、控制屏幕采用12.1寸，外部用铝合金包边，分辨率为1024*768。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2、屏幕为电容触摸，支持单点、滑动触摸。</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2C9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321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300A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7980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101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远程控制系统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2FF0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1、远程控制系统自适应PC、平板、手机端，兼顾不同系统不同终端的使用需求。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2、远程控制系统采用终端账号统一管理，实现账号与实验室一一对应，避免误操作和账号管理分散，登录验证唯一性，保证安全。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3、远程控制系统与总控软件系统实时通信，保证状态实时同步，实现远程实时对总控软件系统的远程操作。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4、具有良好的拓展性，可以接入其他标准系统接口，实现对实验室产品控制功能的拓展。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总电源控制：可以通过选择触摸控制屏的电源界面，按下屏幕中间的“总电源”按键开机，再按关机。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5、吊臂升降控制：可以通过单选按键或屏下方的“全选”“反选”按键，选中位置号，按下吊臂升、吊臂暂停、吊臂降按键，吊臂执行相应操作，并在升降过程中，到达顶部和底部停止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照明灯控制：可以通过单选按键或屏下方的“全选”、“反选”按键，选中位置号，按下照明键，打开照明灯电源，再按下关闭照明灯电源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6、220V插座控制：可以通过单选按键或屏下方的“全选反选”按键，选中位置号，按 220V 电按键，打开220V插电源，再按下关闭220V插座电源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低压电源控制：可以通过单选按键或屏下方“全选”、“反选”按键，选中位置号，按下直流区域/交流区域，按下“锁电压”或“锁上限”弹出对话框，拖动电压条到设定位置，按确定输出直流/交流;可以在上限锁定后，学生在锁定范围内调整电压:可以在过载后进入恒流状态并关闭输出;可以在排除故障后，按学生端任意键复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8、给排水控制：可以通过单选按键或屏下方的“全选”、“反选”按键，选中位置号，按下给水开按键，打开给水，并进行排水;可以按下给水关按键，关闭给水，排水在废水排完后停止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9、通风控制：可以通过选择触摸屏的排风界面，按下“排风”按键，启动通风风机;可以滑动风速变化条改变风量大小;可以显示风量百分比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10、系统设置：可以修改密码数据;可以设置开关机时间;可以查看报警日志、运行日志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▲产品应符合GB/T 25000.51-2016《系统与软件工程系统与软件质量要求和评价(SOuaRE)第51部分:就绪可用软件产品(RUSP的质量要求和测试细则》，需提供国家认可的检测机构出具的检测报告（复印件盖供应商公章），原件现场核查。</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8CB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D2B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CAB2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5947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4569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环境检测套件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301B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可在实验室加装温度、湿度等传感装置，实时监控房间内的温度和湿度，保障室内舒适的环境舒适性，在控制系统中进行显示</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6F3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148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2B14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1B8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802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吊舱模组</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F9D9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Style w:val="23"/>
                <w:color w:val="auto"/>
                <w:highlight w:val="none"/>
                <w:lang w:val="en-US" w:eastAsia="zh-CN" w:bidi="ar"/>
              </w:rPr>
              <w:t>规格：1200mm×550mm×240mm</w:t>
            </w:r>
            <w:r>
              <w:rPr>
                <w:rStyle w:val="23"/>
                <w:color w:val="auto"/>
                <w:highlight w:val="none"/>
                <w:lang w:val="en-US" w:eastAsia="zh-CN" w:bidi="ar"/>
              </w:rPr>
              <w:br w:type="textWrapping"/>
            </w:r>
            <w:r>
              <w:rPr>
                <w:rStyle w:val="23"/>
                <w:color w:val="auto"/>
                <w:highlight w:val="none"/>
                <w:lang w:val="en-US" w:eastAsia="zh-CN" w:bidi="ar"/>
              </w:rPr>
              <w:t>1、材质：吊舱整体采用1mm冷轧钢板经数控折弯成型，连接处采用3mm冷轧钢板加固，金属框架部分为一体式结构，比分体式或拼插式结构具有更高的结构强度，内部设有20*40*1.2mm矩管做为加强龙骨，两侧设有LED灯，照度不小于150lx，下方设有可拆卸挡板，方便检修；工艺：钢材采用焊接机器人CO</w:t>
            </w:r>
            <w:r>
              <w:rPr>
                <w:rStyle w:val="24"/>
                <w:rFonts w:eastAsia="宋体"/>
                <w:color w:val="auto"/>
                <w:highlight w:val="none"/>
                <w:lang w:val="en-US" w:eastAsia="zh-CN" w:bidi="ar"/>
              </w:rPr>
              <w:t>₂</w:t>
            </w:r>
            <w:r>
              <w:rPr>
                <w:rStyle w:val="23"/>
                <w:color w:val="auto"/>
                <w:highlight w:val="none"/>
                <w:lang w:val="en-US" w:eastAsia="zh-CN" w:bidi="ar"/>
              </w:rPr>
              <w:t>保护焊焊接，表层采用去油、除锈、打磨、喷塑工艺处理。</w:t>
            </w:r>
            <w:r>
              <w:rPr>
                <w:rStyle w:val="23"/>
                <w:color w:val="auto"/>
                <w:highlight w:val="none"/>
                <w:lang w:val="en-US" w:eastAsia="zh-CN" w:bidi="ar"/>
              </w:rPr>
              <w:br w:type="textWrapping"/>
            </w:r>
            <w:r>
              <w:rPr>
                <w:rStyle w:val="23"/>
                <w:color w:val="auto"/>
                <w:highlight w:val="none"/>
                <w:lang w:val="en-US" w:eastAsia="zh-CN" w:bidi="ar"/>
              </w:rPr>
              <w:t>为保证产品质量以及从环保角度保障实验室人员健康，产品必须符合以下技术参数及要求：</w:t>
            </w:r>
            <w:r>
              <w:rPr>
                <w:rStyle w:val="23"/>
                <w:color w:val="auto"/>
                <w:highlight w:val="none"/>
                <w:lang w:val="en-US" w:eastAsia="zh-CN" w:bidi="ar"/>
              </w:rPr>
              <w:br w:type="textWrapping"/>
            </w:r>
            <w:r>
              <w:rPr>
                <w:rStyle w:val="23"/>
                <w:color w:val="auto"/>
                <w:highlight w:val="none"/>
                <w:lang w:val="en-US" w:eastAsia="zh-CN" w:bidi="ar"/>
              </w:rPr>
              <w:t>▲（1）、吊装舱依据GB24820-2009《实验室家具通用技术条件》测试，喷涂层涂层应无漏喷、锈蚀和脱色、掉色现象，涂层应光滑均匀、色泽一致，无流挂、疙瘩、皱皮、飞漆等缺陷，电镀层表面应无剥落、返锈、毛刺，表面应无烧焦、起泡、针孔、裂纹、花斑(不包括镀彩锌)和划痕；检测结果均为符合。</w:t>
            </w:r>
            <w:r>
              <w:rPr>
                <w:rStyle w:val="23"/>
                <w:color w:val="auto"/>
                <w:highlight w:val="none"/>
                <w:lang w:val="en-US" w:eastAsia="zh-CN" w:bidi="ar"/>
              </w:rPr>
              <w:br w:type="textWrapping"/>
            </w:r>
            <w:r>
              <w:rPr>
                <w:rStyle w:val="23"/>
                <w:color w:val="auto"/>
                <w:highlight w:val="none"/>
                <w:lang w:val="en-US" w:eastAsia="zh-CN" w:bidi="ar"/>
              </w:rPr>
              <w:t>▲（2）、吊装舱涂层-硬度为4H，耐腐蚀，抗盐雾；满足第三方检测机构检测，检测结果均为符合。</w:t>
            </w:r>
            <w:r>
              <w:rPr>
                <w:rStyle w:val="23"/>
                <w:color w:val="auto"/>
                <w:highlight w:val="none"/>
                <w:lang w:val="en-US" w:eastAsia="zh-CN" w:bidi="ar"/>
              </w:rPr>
              <w:br w:type="textWrapping"/>
            </w:r>
            <w:r>
              <w:rPr>
                <w:rStyle w:val="23"/>
                <w:color w:val="auto"/>
                <w:highlight w:val="none"/>
                <w:lang w:val="en-US" w:eastAsia="zh-CN" w:bidi="ar"/>
              </w:rPr>
              <w:t>▲（3）、吊装舱重金属含量中的可溶性铅、可溶性镉、可溶性铬、可溶性汞；满足第三方检测机构检测，检测结果均为符合。</w:t>
            </w:r>
            <w:r>
              <w:rPr>
                <w:rStyle w:val="23"/>
                <w:color w:val="auto"/>
                <w:highlight w:val="none"/>
                <w:lang w:val="en-US" w:eastAsia="zh-CN" w:bidi="ar"/>
              </w:rPr>
              <w:br w:type="textWrapping"/>
            </w:r>
            <w:r>
              <w:rPr>
                <w:rStyle w:val="23"/>
                <w:color w:val="auto"/>
                <w:highlight w:val="none"/>
                <w:lang w:val="en-US" w:eastAsia="zh-CN" w:bidi="ar"/>
              </w:rPr>
              <w:t>▲（4）、吊装舱依据GB/T9286-2021标准《色漆和清漆划格试验》测试，附着力为0级；</w:t>
            </w:r>
            <w:r>
              <w:rPr>
                <w:rStyle w:val="23"/>
                <w:color w:val="auto"/>
                <w:highlight w:val="none"/>
                <w:lang w:val="en-US" w:eastAsia="zh-CN" w:bidi="ar"/>
              </w:rPr>
              <w:br w:type="textWrapping"/>
            </w:r>
            <w:r>
              <w:rPr>
                <w:rStyle w:val="23"/>
                <w:color w:val="auto"/>
                <w:highlight w:val="none"/>
                <w:lang w:val="en-US" w:eastAsia="zh-CN" w:bidi="ar"/>
              </w:rPr>
              <w:t>响应文件中需提供国家认可的检测机构出具的检测报告（复印件盖供应商公章），原件现场核查。且报告中须反应以上（1）～（4）项技术指标。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5AA2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EC6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AE91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D99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935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吊臂模组</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4B9E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1、吊臂由铝合金加工成型，表面和经环氧树脂粉末静电喷涂、高温固化处理，耐腐蚀，吊臂截面尺寸为80*40的D型管材，壁厚2mm；长度645mm。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2、吊臂模组可由总控系统控制升降，不使用时可收于吊舱之内，起到防止阻挡视线的功能。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3、吊臂模组可以实现单独控制、分组控制和整体控制。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4、在吊臂升降中，如遇障碍物可以实现回弹、或停止，避免出现机械故障或人员夹伤。</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8748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AAC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E68F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8C4A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648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吊臂控制系统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4271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摇臂接收智能控制系统信号实现远程遥控，动力采用直流24V减速低压电机。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1、可通过总控系统对实验室的吊臂进行控制，可以实现单独控制、分组控制。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2、系统自带障碍物保护功能，具有防夹，防卡功能，当摇臂在运动的过程中遇到障碍物时会自动停止，具有过流保护功能。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29E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88F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16A0D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294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9D7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吊舱端头模组</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DF28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规格：300mm×550mm×240mm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整体采用1mm冷轧钢板经数控折弯成型。连接处采用3mm冷轧钢板加固，整体框架为一体式结构.</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DEB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576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2602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D1D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749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电源分组控制系统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E914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1、可通过电源控制系统控制学生电源的220V供电的开启和关闭，可以实现单独控制、分组控制。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2、可通过电源控制系统控制选择学生电源的电源交、直流输出的开关。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3、可通过电源控制系统锁定学生电源的低压交直流输出，锁定后受控学生电源不能修改。可锁定学生低压交直流输出上限，锁定后只可向下调整电压，解锁后学生方可自由调节。</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866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6F1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A67D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F28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12B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学生电源</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2CA5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1、学生电源安装于吊臂模组末端ABS塑料壳体之上。美观大方，壳体正面由钢板加工成型并贴面板膜，文字符号清晰，按键分布合理。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每个吊臂上安装两组学生电源，分别有低压交、直流输出香焦插座，五孔插座4个、过载短路复位开关1个，网线插孔2个，急停按钮1个。学生用电源设（∧、V、AC/DC按键、过载按任意键复位），2组1.3寸OLED显示屏，显示电压和电流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学生用电源参数符合JY/T0374一2004标准中低压输出标准要求。符合以下性能要求：a.交流输出：电压0∨-30Ⅴ、显示±0.5V，每0.5V一档，可随负载变化自动稳压，0V-18V额定电流3A，18V-30V额定电流2A。b.直流稳压输出：电压0V-36Ⅴ、显示±0.2V，连续无极可调，每0.1V递增，0V-16V额定电流2A，16.1V-36V额定电流1A。电压稳定性：≤2%U标+0.1Ⅴ，负载稳定性：≤2%U标+0.1Ⅴ，波纹电压：电源电压保持220V，达到额定电流时&lt;3mV。c.电压电流：可实时输出电压和电流，电压分辩率0.1V，电流分辩率0.01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具备过载保护功能：交流输出0V-18V输出3.2A、16.1V-30∨输出2.2A，直流稳压输出0∨-16V输出2.1A、16.1V-36V输出1.1A，当输出过载或短路时电源进入恒流状态延时1分钟后自动关闭输出，并能启动不大于额定电流的白炽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5、电源输入：AC220Ⅴ±22V，50H±0.5Hz。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6、工作环境条件，温度0~40℃；湿度≤90%（40℃），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7、连续工作时间：输出电流在额定电流范围内，允许8小时连续使用。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8、急停按钮：单个吊臂使用端用电异常时，可快速切断此吊臂高低压电源。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9、国标五孔插座：带安全防护门，额定电流5A。交流220V输出有过载短路复位开关，避免因保险丝熔断更换造成的麻烦。</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062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CF11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w:t>
            </w:r>
          </w:p>
        </w:tc>
      </w:tr>
      <w:tr w14:paraId="5C9D6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882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876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给排水控制系统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45D5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自动排水模块1组、水模拟量控制器1组、电源控制器1套、自动保护系统1组。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所有排水由智能化控制系统集中控制，接口均采用自动锁紧插拔式连接方式（拔掉时没有污水流出），用时接上，不用时可收起。连接软管采用防爆PVC橡胶塑料，具有防酸、防碱、耐腐蚀功能，当学生水槽柜下方水箱水量达到一定值时系统自动排水、污水经过连接管排至顶部排水管总管后流出，当水槽柜下方水箱污水排净后排水系统自动关闭。控制系统设置一键排空功能，可一键将管道内所有的污水排空。</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4AA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52B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8B4E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1D4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756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给排水模组</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5CAB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1、给排水接口采用PVC材质，具有耐酸碱，拔插轻松，不生锈；即插即用，具有高密封性能，即使在供水排水工作时，随时拔掉接口不会有任何滴漏现象。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2、给水主管选用φ20-32mmPP-R给水管，模块化设计，每组模块间采用活接式连接，方便安装、检修。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3、排水管选用加厚φ50-75mmPVC-U国标管（具有防酸、防碱、耐腐蚀功能），模块化设计，每组模块间采用活接式连接，方便安装、检修。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4、给水主管前端为减少水中颗粒物设置前置过滤器。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5、单个模组设置4分电磁阀。</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4452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21A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BE69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92E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C66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实验室灯</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D26D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规格：长1200mm×宽300mm×高15mm/长600mm×宽600mm×高15mm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1、功率：36W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2、色温：5000K±200K</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3、显指：Ra≥95,R9≥80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4、整灯光通量：≥3200LM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5、蓝光：RG0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6、频闪：无显著影响水平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7、防护等级：IP40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8、寿命：50000h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9、质保：5年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10、结构：金属底壳+微晶出光板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11、安装方式：吊装/嵌装</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331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F7D1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盏</w:t>
            </w:r>
          </w:p>
        </w:tc>
      </w:tr>
      <w:tr w14:paraId="726D3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27C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638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安装支架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1750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采用专业连接件、吊装专用支架、三角连接件、吊装实验室专用安装支架和墙顶连接件、吊装挂件等。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645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37B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w:t>
            </w:r>
          </w:p>
        </w:tc>
      </w:tr>
      <w:tr w14:paraId="0421C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C13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572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系统调试</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9AAB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1.吊顶式安装系统采用模块化结构设计，采用吊装安装方式。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2.系统结构调试。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3.系统控制调试。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4.供电系统调试。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5.照明系统调试。</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78E8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3C9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55C7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6CC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C06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系统安装辅件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9834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采用门型框架安装方式，减少楼板承重，防止左右晃动。主要辅件有：吊装专用支架、三角连接件、吊装实验室专用安装支架和墙顶连接件、吊装挂件等。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38C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BD6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2E282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A23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774E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安装与实施</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0CA1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需要提供根据项目地的设计布局图、水电风路图等施工图纸。实验室水路布线系统铺设、电源布线系统铺设、台案安装，不包含土建。</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651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640D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FE03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5FA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D59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仪器柜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23B9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规格：长1000mm×宽500mm×高2000mm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1.柜体：侧板、顶底板采用改性PP材料模具一次成型，表面沙面和光面相结合处理，保证柜体之坚固及密封性，耐腐蚀性强，顶板、底板预留模具成型排风孔。底部镶嵌15mm*30*1.2mm钢制横梁，承重力强。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2.下柜柜门：内框采用改性PP材质模具一次成型，外嵌5mm厚钢化烤漆玻璃。上下拉手及三角对称五点固定，防止玻璃的松动或开合。伸缩式PP旋转门轴，四角圆弧倒角，内侧弧形圆边，配锁。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3.上柜柜门：内框采用改性PP材质模具一次成型，外嵌5mm厚钢化烤漆玻璃，中间烤漆镂空制作。上下拉手及三角对称五点固定，防止玻璃的松动或开合。伸缩式PP旋转门轴，四角圆弧倒角，内侧弧形圆边。配锁。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层板：上柜配置两块活动层板，下柜配置一块活动层板，层板全部采用改性PP材料模具一次成型，表面沙面和光面相结合处理，四周有阻水边，底部镶嵌两根15mm*30*1.2mm钢制横梁，承重力强。整体设计为活动式，可随意抽取放在合适的隔层，自由组合各层空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5.拉手：采用改性PP材料模具一次成型，直角梯形四周倒圆与柜门平行，开启方便。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6.门铰链：采用改性PP材料模具一次成型，伸缩式PP旋转门轴，永不生锈，耐腐蚀性好。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4AD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C45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w:t>
            </w:r>
          </w:p>
        </w:tc>
      </w:tr>
      <w:tr w14:paraId="1A908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9C5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3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C2A75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生物学创新实验仪器</w:t>
            </w:r>
          </w:p>
        </w:tc>
      </w:tr>
      <w:tr w14:paraId="4C703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90CC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F7D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电子显微镜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5E67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一、显微镜参数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1.目镜：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①宽视野WF10X目镜；视野直径18mm,工作距离24.95mm。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 目镜放大率准确度不超过±4.67%。</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2.物镜：DIN消色差物镜系统。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 成像清晰圆直径：4X:≥13.7；  10X:≥14；40X:≥13.6；100X:≥11.0。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 齐焦允差：10X→4X: ≤±0.028；10X→40X: ≤±0.018；40X→100X: ≤±0.015。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 10X物镜景深内偏摆：≤0.05mm。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④ ▲ 显微镜物镜放大准确度：≤±2.8%。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3.物镜共轭距离：195mm。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4.观察头：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铰链式三目头，30°倾斜，可以360°自由转动。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双筒的调节范围为55mm-75mm。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  倾斜式目镜筒作360°旋转时目镜焦平面上像中心的位移≤0.45mm。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5.转换器：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滚动轴承结构，定位准确保证显微镜齐焦和中心统一。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 转换器稳定性：≤0.020mm。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6.载物台：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双层机械式载物台，面积125*125mm。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X,Y方向移动范围40*60mm;移动精度0.1mm。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 用机械使标本在5mm*5mm范围内移动时的离焦量≤0.010mm。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④ ▲ 载物台侧向受5N水平方向作用力最大位移≤0.005mm；不重复性≤0.005mm。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7.聚光镜：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阿贝聚光镜(N.A:1.25)。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 聚光镜上升到最高位置，顶端低于载物台表面的距离≤0.26mm。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8.调焦系统：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采用粗、微同轴的齿轮齿条调焦机构。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 微调机构空回≤0.008mm。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9.光源系统：3.5V/1W LED光源，可通过调光拨盘调节照明亮度， LED灯光柔和寿命长（约100000小时）安全性好，发热少。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10.双目系统：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 左右两系统放大率差≤1.35%。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 双目系统左右两像面光谱色一致，明暗差≤12.8%。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 双目系统左右视场中心偏差：上下≤0.14mm;左右外侧≤0.20mm；左右内侧≤0.20mm。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④ ▲ 双目系统左右光轴平行度：水平发散≤36′；水平汇聚≤16′；垂直交叉≤22′。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⑤ ▲ 零视度时，左右系统的目镜端面位置差≤0.20mm。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二、一体式数码液晶屏摄像系统: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▲11、机身一体化设计,仪器打开包装箱通上电源即可呈现镜下图像，无需再进行目镜、物镜及其他部件的组装；液晶屏与机身一体式设计，拆开包装，液晶屏与机身已完好连接非分体式设计。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12、一体化数码摄像系统，1/2.8 英寸逐行扫描传感器，高清晰彩色芯片， 2592*1944 像素 CMOS 感光芯片。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▲13、10.1 寸液晶显示屏，分辨率≥1920*1200；支持UVC、 USB 、HDMI接口输出。USB座可以正常连接电脑，实现电脑与显微镜之间的数据传输；支持 UVC 和显示屏同时输出；HDMI导出全高清数字信号。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▲14、嵌入式LINUX系统；运行更简单，操作更便捷。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▲15、具备WIFI6功能，支持AP模式和STA模式；AP模式可以无线连接手机、平板等智能终端设备，STA模式下可以组成无线互动系统。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学生端直接通过图像传感器经CPU处理后直接驱动LCD屏幕显示；有效防止因学生误操作断开网络等原因中断信号，确保图像品质以及稳定性。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内置式显微镜数码头具备网络数据连接功能，可将将64台数码显微镜图像，经过高速传输处理器汇聚处理后，教师可通过图像互动系统，实现多视频实时传输、实时显示，保证速度流畅、画质清晰。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参数带“▲”项需提供第三方检测机构出具的具有CMA或CNAS标识的检测报告内容佐证。</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2C1B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91B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09B11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9BF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F8A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光学显微镜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1D95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1.目镜：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①宽视野WF10X目镜；视野直径18mm,工作距离24.95mm。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 目镜放大率准确度不超过±4.67%。</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2.物镜：DIN消色差物镜系统；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▲成像清晰圆直径：4X:≥7.2；  10X:≥7.4；40X:≥6.8；100X:≥4.8；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▲齐焦允差：10X➝ 4X: ≤±0.035；10X➝ 40X: ≤±0.028；40X➝100X: ≤ ±0.028；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▲0X物镜景深内偏摆：≤0.05mm；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④ ▲显微镜物镜放大准确度：≤±1.2%。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3.物镜共轭距离：195mm。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4.观察头：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铰链式双目头，30°倾斜，可以360°自由转动；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双筒的调节范围为55mm-75mm；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▲倾斜式目镜筒作360°旋转时目镜焦平面上像中心的位移≤0.48mm。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5.转换器：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滚动轴承结构，定位准确保证显微镜齐焦和中心统一；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▲转换器稳定性：≤0.025mm。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6.载物台：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双层机械式载物台，面积125*125mm;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X,Y方向移动范围40*60mm;移动精度0.1mm；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▲用机械使标本在5mm*5mm范围内移动时的离焦量≤0.012mm；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④ ▲载物台侧向受5N水平方向作用力最大位移≤0.005mm；不重复性≤0.005mm。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7.聚光镜：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阿贝聚光镜(N.A:1.25)；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▲聚光镜上升到最高位置，顶端低于载物台表面的距离≤0.4mm。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8.调焦系统：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采用粗、微同轴的齿轮齿条调焦机构；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▲微调机构空回≤0.006mm；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9.光源系统：3.5V/1W LED光源，可通过调光拨盘调节照明亮度， LED灯光柔和寿命长（约100000小时）安全性好，发热少。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10.双目系统：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▲左右两系统放大率差≤0.40%；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▲双目系统左右两像面光谱色一致，明暗差≤16.5%；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▲双目系统左右视场中心偏差：上下≤0.12mm;左右外侧≤0.12mm；左右内侧≤0.10mm；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④ ▲双目系统左右光轴平行度：水平发散≤26′；水平汇聚≤18′；垂直交叉≤15′；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⑤ ▲ 零视度时，左右系统的目镜端面位置差≤0.18mm。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16.两镜臂中间设置有DC5.5*—2.5mm母头，可插入外置LED上光源做体视显微镜使用。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参数“▲”项提供第三方检测机构出具的具有CMA或CNAS标识的检测报告。</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A207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A27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639F5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DF4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B62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数据采集器</w:t>
            </w:r>
          </w:p>
        </w:tc>
        <w:tc>
          <w:tcPr>
            <w:tcW w:w="6035" w:type="dxa"/>
            <w:tcBorders>
              <w:top w:val="single" w:color="000000" w:sz="4" w:space="0"/>
              <w:left w:val="single" w:color="000000" w:sz="4" w:space="0"/>
              <w:bottom w:val="single" w:color="000000" w:sz="4" w:space="0"/>
              <w:right w:val="nil"/>
            </w:tcBorders>
            <w:shd w:val="clear" w:color="auto" w:fill="auto"/>
            <w:vAlign w:val="center"/>
          </w:tcPr>
          <w:p w14:paraId="67A2570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1、模块化结构，透明外壳设计，内含状态、电源指示灯；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2、与计算机采用USB2.0通讯协议，四路全数字通道，单通道最大采样率20KByte，采集器最大采样率80KByte，数字通道采样精度达5微妙；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3、通过USB接口供电，无需外接电源，所有端口具备防静电保护功能；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4、与传感器采用BT自锁接口，支持热插拔，即插即用，传感器可以任意组合，采集分辨率12bits；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5、内置双处理器主板，CPU主频48Mhz；支持有线/无线状态下的四通道并行采集；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6、采用插接式结构，可根据实验教学需要，方便有线、无线工作模式切换。</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BAC9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6FE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5B9CC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DF0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1CFF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无线接口</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5F8D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1、模块化结构；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2、采用无线方式接入四种相同或不同的传感器并支持四通道并行采集，全数字通道；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3、与数据采集采用SATA接口连接；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4、无线接口自带指示灯，可指示传感器连接通道。</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5522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F2C5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14660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D9EE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60B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传感器无线发射模块</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E3BC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1、模块化结构，独立无线传输模块，协议传输，20m内互不干扰。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2、自动识别，通过与各种传感器组合使之具备与采集器的无线通讯功能，可实现多通道长距离无线传输，满足实验教学需求。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3、连接插口采用通用BT接口，具有方向性和自锁功能，可以防止传感器脱落保证数据传输稳定，支持热插拔，可连接专用充电线进行充电。</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3300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068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0A2D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1A1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732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传感器数据显示模块</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0C1D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1、模块化设计既可以与传感器通过BT接口连接，也可以与计算机通过USB直接连接。数据的获取和上传无需通过数据采集器即可实现；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2、自带≥1.8寸彩色LED屏，可实时显示传感器数据；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3、自动识别传感器及测量范围和分度。无需按键调控，简洁、美观、实用，减少因按键失灵造成的实验功能缺失；</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4、接口采用BT接口连接，自带锁扣，有效防止脱落。同时具有单向连接属性，避免因连接失误导致的数据传输失败。支持热插拔，使用寿命：≥10000次插拔；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5、自带≥8M内存；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数据上传有线模式：数据显示模块自带miniUSB接口，可与计算机连接。通过软件将数据上传并自动绘制变化图像。导出数据以Excel形式保存，图像可以图片的形式保存。可用于编制实验报告上传至实验评测系统进行数据统计及分析（也可结合学校实际情况上传至云端服务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7、数据上传无线模式：设备自带X二维码，可用移动手持终端（手机、平板等）通过移动端实验软件扫描，导出实验数据，并绘制变化图线；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8、自带可充电锂电池，最大电池容量不低于1100MAh。全铜触点，双保电芯，自动锁电。3.7V。满电最大待机续航时间≥240h。可通过专用充电器完成充电，也可通过数据上传有线模式完成充电。</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47CB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CF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8BA7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3A6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114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传感器转接模块</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03FF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两端分别是BT接头与BT接口转换器，用于特种传感器与无线发射模块或数据显示模块的转接</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2EE5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415D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7A403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AA4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3D8F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温度传感器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9972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1、测量范围：-50℃～200℃；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3、不锈钢探针，可测各种物体或溶液的温度；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B152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180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423DE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17B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735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相对压强传感器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6FC0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1、测量范围：-20kPa~+20kPa；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 kPa；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3、可用于测量气体的相对压强；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1308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6EB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7E3DA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268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EBEC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相对湿度传感器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3D72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1、测量范围：0～100%；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3、测量灵感件置于探管中，便于测量罐体的湿度值；</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57AB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345E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C0EA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B1D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AA1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pH传感器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D02C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1、测量范围：0-14；</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3、具有快速响应的特点，测量数据能在5秒内达到真实值的90%， 10秒内稳定；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59D5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70B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0F2AC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3D8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849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多量程电导率传感器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9BEA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1、测量范围：0~20000μS/cm；分度：10μS/cm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测量范围：0~2000μS/cm；分度：1μS/cm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测量范围：0~200μS/cm；分度：0.1μS/cm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E367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626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98F5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954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51C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氧气传感器B</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5EC3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1、测量范围：0～30%；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3、自带硬件校准按钮；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28EA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1180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4D20B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551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8C44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溶解氧传感器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7418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 mg/L～20mg/L；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 mg/L；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3、带有温补功能；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378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994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B26C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3D9B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F56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二氧化碳传感器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1266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 ppm～50000ppm；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2、分度1ppm；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3、红外原理，为保证测量数据准确性和时效性，要求该传感器采用泵动循环，方便气体循环；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2978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6EA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2AD3D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8A6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F0F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色度传感器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8FB0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1、测量范围：透光率0～100％；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2、分度：0.1％，三波长光源（R、G、B）测量；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0E40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DD5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35DB1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159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164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二氧化硫传感器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71D4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 ppm～20ppm，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 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8AE7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2AC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2E73B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E3EB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6CA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气态酒精传感器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DECF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1、测量范围：0mg/L～2mg/L；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6EE7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AA2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415B4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59D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396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心电图传感器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806E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1、测量范围：-5mV ～5mV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2、用于生成EKG曲线，能清晰的显示出人体P波、QRS波、T波与U波，可通过RR间期计算出心率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3、尺寸：不大于80mm*41mm*25（±5mm,不含电极夹具）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73CB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889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BC47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808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101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心率传感器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081E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1、测量范围：0次～200次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2、可通过专用软件实时显示心率大小以及心电心率波形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3、尺寸：不大于80mm*41mm*25（±5mm,不含电极夹具）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7、支持系统：windows、Android、iOS系统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▲提供省级或以上教育相关部门出具的检测报告</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CFD4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009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A337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7CE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EAAB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呼吸率传感器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0412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1、满足人体生理特征；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5、支持系统：windows、Android、iOS系统。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▲提供省级或以上教育相关部门出具的检测报告</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97F9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34B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DDEA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F7E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AF84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红外温度传感器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5A28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1、测量范围：-70℃~+380℃；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3、不锈钢探针，可测各种物体或溶液的温度；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706C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941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5BD94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72F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66F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压强传感器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99DF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 kPa～700 kPa；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 kPa；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3、自带传感器固定卡槽和螺口，便于和配套实验器材固定；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6、支持系统：windows、Android、iOS系统。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配件：20ml注射器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FF2F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19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281BF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E0C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D3E2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微电流传感器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EB06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1、测量范围：-5μA～5μA；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2、分度：0.01μA；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3、鳄鱼夹导线，便于与多种电学仪器连接；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t>
            </w:r>
            <w:r>
              <w:rPr>
                <w:rFonts w:hint="eastAsia" w:ascii="宋体" w:hAnsi="宋体" w:eastAsia="宋体" w:cs="宋体"/>
                <w:i w:val="0"/>
                <w:iCs w:val="0"/>
                <w:color w:val="auto"/>
                <w:kern w:val="0"/>
                <w:sz w:val="20"/>
                <w:szCs w:val="20"/>
                <w:highlight w:val="none"/>
                <w:u w:val="none"/>
                <w:lang w:val="en-US" w:eastAsia="zh-CN" w:bidi="ar"/>
              </w:rPr>
              <w:t>windows、Android、iOS系统</w:t>
            </w:r>
            <w:r>
              <w:rPr>
                <w:rFonts w:hint="eastAsia" w:ascii="宋体" w:hAnsi="宋体" w:eastAsia="宋体" w:cs="宋体"/>
                <w:i w:val="0"/>
                <w:iCs w:val="0"/>
                <w:color w:val="auto"/>
                <w:kern w:val="0"/>
                <w:sz w:val="20"/>
                <w:szCs w:val="20"/>
                <w:highlight w:val="none"/>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680B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C80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7A498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EE4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125F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氧气传感器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F81E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1、测量范围：1～100%；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3、自带硬件校准按钮；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6、支持系统：</w:t>
            </w:r>
            <w:r>
              <w:rPr>
                <w:rFonts w:hint="eastAsia" w:ascii="宋体" w:hAnsi="宋体" w:eastAsia="宋体" w:cs="宋体"/>
                <w:i w:val="0"/>
                <w:iCs w:val="0"/>
                <w:color w:val="auto"/>
                <w:kern w:val="0"/>
                <w:sz w:val="20"/>
                <w:szCs w:val="20"/>
                <w:highlight w:val="none"/>
                <w:u w:val="none"/>
                <w:lang w:val="en-US" w:eastAsia="zh-CN" w:bidi="ar"/>
              </w:rPr>
              <w:t>windows、Android、iOS系统</w:t>
            </w:r>
            <w:r>
              <w:rPr>
                <w:rFonts w:hint="eastAsia" w:ascii="宋体" w:hAnsi="宋体" w:eastAsia="宋体" w:cs="宋体"/>
                <w:i w:val="0"/>
                <w:iCs w:val="0"/>
                <w:color w:val="auto"/>
                <w:kern w:val="0"/>
                <w:sz w:val="20"/>
                <w:szCs w:val="20"/>
                <w:highlight w:val="none"/>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88E2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BE9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8042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484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7382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二氧化碳传感器B</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8724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1、测量范围：0~100000mL/m3；</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2、分度：1mL/m3用于检测气体中二氧化碳含量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3、自带硬件校准按钮；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w:t>
            </w:r>
            <w:r>
              <w:rPr>
                <w:rFonts w:hint="eastAsia" w:ascii="宋体" w:hAnsi="宋体" w:eastAsia="宋体" w:cs="宋体"/>
                <w:i w:val="0"/>
                <w:iCs w:val="0"/>
                <w:color w:val="auto"/>
                <w:kern w:val="0"/>
                <w:sz w:val="20"/>
                <w:szCs w:val="20"/>
                <w:highlight w:val="none"/>
                <w:u w:val="none"/>
                <w:lang w:val="en-US" w:eastAsia="zh-CN" w:bidi="ar"/>
              </w:rPr>
              <w:t>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DEB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859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027BD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AE7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68B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溶解二氧化碳传感器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81DA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1、测量范围：4.4 ppm ~1800ppm；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 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3、可检测水中二氧化碳含量；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0D95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157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31F1A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29B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B7D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双量程光照度传感器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A6F3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 lx～5000lx～50000lx，分度：1 lx、10 lx；</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2、连接插口采用BT接口，具有方向性和自锁功能，可以防止传感器脱落保证数据传输稳定；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3、支持与采集器的有线通讯、无线通讯和彩屏独立数据显示三种工作方式，支持热插拔；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4、可在windows、iOS、鸿蒙和安卓系统（手机或平板）下分别进行实验。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F2D4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D1C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0978F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156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ED7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甲烷传感器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0FC2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3、可检测气体中甲烷含量；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DE04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E808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8065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979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90D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一氧化碳传感器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C2C5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1、测量范围：0～1000ppm；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2、分度：1ppm；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543F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A31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32D57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644A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CF1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学生健康指标测量系统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24AC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由采集器、呼吸率传感器、皮肤电阻传感器、心电图传感器、血压/心率传感器、耳蜗式无线体温传感器、充电器、数据线、收纳袋及APP组成。可同时测量体温、血压、心率、呼吸率、皮肤电阻、心电图共6项人体生理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89C4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D74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4B50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CC8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99B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磁力固定座</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1D9C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三角型底座配三个强力磁铁，铝合金支柱，适用于固定较大型实验器材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D971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3B1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5E05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D8C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F3C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多用途生化传感器支架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6331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由机械臂、传感器电极夹及固定夹组成，机械臂固定在实验台边，能在三维空间内灵活移动并准确定位，稳定性好；电极夹口径适合常用生化传感器的电极，方便生化实验操作，具有保护传感器不受损坏、提高空间利用率和实验效率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B27A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3FC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6228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124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06A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多向转接头</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360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配合各类传感器和辅材可进行多向固定</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8668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096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9B84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77F2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355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磁力搅拌器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52C4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电源：AC220V±10%；搅拌转速：0～1500r/min；最大搅拌容量：1000ml；加热功率：200W；适合中和滴定、溶液多种参数测量实验。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B263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E46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CAB6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DCF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04D8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溶液稀释池</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A145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倒置三角烧杯结构，上端开口，底端封闭，配合实验室匀速滴管使用。用于稀释倍数较大，且对初始溶解有一定量要求的化学实验;提供自主知识产权证明文件、产品图片复印件。</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5EA6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5F8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0BDC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9F7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C40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气液相密封实验器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57BF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与生物化学传感器密闭连接，可完成陆水生植物光合作用、种子萌发、呼吸作用、酶的特性等实验；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AF7F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45A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17CC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69D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B29A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袖珍生化密封实验器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342A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与生物化学传感器密闭连接，可完成陆水生植物光合作用、种子萌发、呼吸作用、酶的特性等实验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FA8C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71E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26AA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80D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073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酶的高效性实验器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A709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由Y型管和胶塞总成构成，配合相对压强传感器使用进行生物酶的特性等实验。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42CE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B563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4739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C7A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5EB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多用途密封塞 </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2793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配合压强传感器、温度传感器、二氧化碳传感器、氧气传感器使用，可以与实验室常用玻璃容器结合。</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4B06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A75A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2178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AABE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98F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数字化实验软件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D7F2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1、为数字化实验分析软件软件。用于数据收集和结果分析。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2、包含教材通用软件、物理教材专用软件、化学专用软件、生物专用软件、传感器校准软件与数据导入软件六个部分。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2.1、通用软件：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还支持打印机直接引用（无需退出实验软件），进行结果打印。实验结果可通过Excel形式进行保存。也可将保存的数据多次调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（4）实验录制：可同时将实验操作过程和软件的实验界面进行同屏录制，实现了实验现象和数据的对应。解决了数字实验无现象的难题（为减少软件操作复杂性，用其他软件录屏视为功能性缺失。）</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物理专用软件：界面简洁、风格独特、一键OK的特点。思涵盖了人教、粤教、鲁科等教材的重点实验。明确了实验题目，使用时直接接入传感器即可。大大的方便了课堂教学。实验完全符合现行教材，用户可直接根据教材进行实验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2.3、化学专用软件：涵盖了初高中重点实验，起到温故知新的作用。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2.4、生物专用软件：涵盖了初高中重点实验，起到温故知新的作用。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2.5、传感器校准软件：根据国际计量公用应用规范，针对生物、化学传感器进行校准，以减少误差，提高精度。应用于PH、溶解氧、色度、浊度、氧化还原等传感器。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2.6、数据导入软件：和数据显示模块配合使用，将数据显示模块的数据导入电脑进行长期保存和数据处理。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3、应用平台：支持windows、Android、iOS系统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62B6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321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7240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55F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76DE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附件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41F2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1、含USB通讯线1条、转接器4只、传感器线4条；两端为BT插头，插口具有方向性和自锁功能插接方便、配合严密、方便教学；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2、彩色印刷版高中实验指南书，有详细实验案例介绍（实验器材、实验装置图、实验操作步骤等）。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C42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7B1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54C2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E98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A1A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铝合金箱</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5EF9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尺寸≥510*340*175（mm），由铝合金主架、铝塑板面构成，内设隔断海棉内衬传感器铝合金实验箱</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C870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8AA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C33C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6AD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2EA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计算机数据采集处理系统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542E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CPU：不低于Intel酷睿13代I7处理器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液晶屏：≥15.6” FHD LED防眩光液晶显示屏（1920x1080），配置合金转轴，屏幕180度开合，更加牢固、美观、耐用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卡：支持高保真, 内置麦克风，双扬声器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内存：≥16G DDR5 5200MHz内存，双内存插槽设计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硬盘：≥512G SSD PCIe-NVME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无线网卡：RJ45千兆有线网卡，802.11 AX 2x2无线网卡（支持WIFI6协议）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标准接口：不少于3个USB接口（含1个全功能type-c接口）HDMI接口、耳麦二合一接口、HDMI2.0接口、耳麦二合一接口、RJ45接口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摄像头：720P高清摄像头，支持物理防窥功能，保护个人隐私安全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标配电池: 内置≥47WHr锂电池电池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操作系统：原厂正版Windows 11 或以上操作系统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C824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E4E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1620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D4A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0DF6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超净工作台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4F20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1、主体采用冷轧钢板静电喷涂工艺，耐酸碱，美观大方，垂直层流送风，防止操作室内部样品相互交叉污染，45度下倾式操作面板，便于实验操作时进行调节；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2、工作台面选用优质304不锈钢材质，美观、易清理、耐腐蚀；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▲3、4.3寸嵌入式液晶彩色触摸屏控制,可显示温度、湿度、光照度，具有温度补偿功能，开启温度补偿键，进行温度补偿，便于湿冷环境的操作；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▲4、显示开机时间和持续运行时间；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▲5、可以预约杀菌时间，节约实验准备时间，具有杀菌定时功能；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6、洁净等级：100级，0.5μm；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7、菌落数：0.5个/皿·时(Φ90mm 培养平皿)；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8、光照度：300LX；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9、单向交流：220V/50Hz；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10、最大功耗：0.3kW，内有紫外杀菌接种器接入电源，振动半峰值 ≤0.5μm(X.Y.Z方向)；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11、高效过滤器规格及数量：715mm×460mm×46mm（±20mm），一个；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12、荧光灯15W一个，紫外灯15W一个；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▲13、风速：0.25-0.45m/s(标配高、中、低档三速)；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▲14、噪声：62dB；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15、外型尺寸（长*宽*高）：850mm×600mm×1600mm（±20mm）；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16、工作区尺寸（长*宽*高）：700mm×550mm×520mm（±20mm）；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▲17、电源：AC220V/50Hz；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▲18、功率：不大于200W。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提供省级以上（含省级）质量检测机构检测报告复印件加盖厂家公章，带▲参数第3、4、5、13、14、17、18项必须在出具的检测报告中体现。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455F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E0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194BA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04A0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152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磁力搅拌恒温水浴锅</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A60E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1、孔数：四孔；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2、功率：800W；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3、控温范围：室温+5℃～99.9℃，温度均匀性：±0.5℃，水温波动±0.5℃；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4、数显；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5、外壳：不锈钢。不锈钢内胆拉伸成型，外壳静电绝缘喷塑；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6、控温系统：微机PID智能控制。延时控温装置。</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7334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38E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28E93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B61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989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紫外线消毒灯</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A78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无菌室闪烁警示灯提醒装置，单独控制，独立线路，含安装。</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AC7C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43C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54055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2ED0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EA0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榨汁机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3DBB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≥18000r/min，≥1.0L</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57A1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ECC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6BBA3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6E8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EEB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梯度基因扩增仪（科研型）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F94B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1、6个温度循环器专用长寿命Peltier模块，组成3组回路可独立控制3个温区；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2、模块类型：0.2ml×96孔；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3、适用管型：0.2ml，8联排管，12联排管，96孔微孔板，兼容无裙边、半裙边96孔PCR反应板；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▲4、温度范围：在0-105℃范围可调；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▲5、变温速率：：在0-5℃/秒可调；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6、温度均匀性：≤±0.2℃；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7、温度准确度：≤±0.1℃；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▲8、梯度宽度： 1-42℃；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9、控温方式：模拟管+模块；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▲10、电源适应性：仪器在220V±10%，AC50/60Hz供电条件下正常工作；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11、变温速度可调：是；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12、液晶显示：10.1英寸液晶屏+电容式触摸屏；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13、可存储程序数：机内20000+U盘储存无限制；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14、最大循环数：200；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15、断电保护：有；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16、宽电压范围：100-240VAC, 50/60Hz；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17、热盖温度：30℃-115℃可调；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▲18、热盖结构：自适应压杆式热盖，能完成合盖紧盖功能；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▲19、风道结构：前进后出式风道；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▲20、运行指示灯带：有循环亮和常亮模式可选；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▲21、操作方式：采用安卓操作系统，可使用触摸屏和鼠标操作使用；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22、实时显示程序进展及剩余时间，支持PCR仪运行中间编程；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23、一键快速孵育功能，满足变性、酶切/酶连、ELISA等实验需要；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24、内置多个标准程序文件模板，能快速编辑所需文件；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25、支持实验程序结束发送邮件提醒功能；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26、内置WIFI模块，用电脑或手机通过网络连接可实现一机同时控制多台PCR仪；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27、支持U盘升级软件；终生维护。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提供质量检测机构检测报告扫描件，参数第4、5、8、10、18、19、20、21项必须在出具的检测报告中体现。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▲提供厂家质保书复印件及加盖公章彩页样本</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7A9E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80B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0E8E4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03E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EDB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电泳仪</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4F38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四组输出，输出电压：2V～200V、输出电流：2mA～200mA，具有36V电压限制、稳压和稳流功能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6737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376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764AE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6D22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428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DNA电泳图谱观察仪</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9785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非紫外光源，观察凝胶面积＞100mm×100mm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564D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52F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2C18D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B6F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D2FE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水平电泳槽</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8AF9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1、适用鉴定、分离、制备DNA及测定其分子量；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2、专用制胶器模具成型，制胶方便；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3、透明上盖开孔式设计，便于散热，方便观察；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4、凝胶托盘带有荧光标尺，便于观察；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5、高柔韧性双色导线，开盖断电，确保安全；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6、聚碳酸酯注塑成型，无渗漏桥式设计，节省缓冲液；</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7、耐高温，不变形限位功能，操作准确；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8、可拆卸电极架及电极头，方便彻底清洗和维修；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9、凝胶面积（W×L）：60×60（mm）；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10、样品通量：（1.0mm厚）8、14；（1.5mm厚）8、14齿；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11、缓冲液容积：～260（ml）；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12、外形尺寸（长*宽*高）： 270mm×115mm×110mm（±20mm）。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4E1F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50B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52783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C26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F29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微量移液器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3FFA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1、人体学的手柄挂钩设计,；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2、管嘴弹出按钮设计轻巧，PP退管装置；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3、清晰的显示读数窗口，量程连续可调；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4、管嘴化学材料具有极好的耐化学腐蚀性，整支灭菌；</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5、五种规格为一套，量程分别为：0.5-10μL、10-100μL、20-200μL、100-1000μL、1000-5000μL。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▲产品需具有国家二级计量站出具的校检报告复印件加盖厂家公章</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357A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F3F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4DB3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3EC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B047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微量离心管（0.2ml和0.5ml）</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6994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0.2ml和0.5ml各1000个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91F5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831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批</w:t>
            </w:r>
          </w:p>
        </w:tc>
      </w:tr>
      <w:tr w14:paraId="0784E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E3D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179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台式高速离心机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A84E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1、整机设计符合人机工程学，流线型设计，全钢结构，不锈钢离心腔，安全美观实用；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2、TFT真彩大屏幕触控液晶显示，智能化控制、简单方便地操作、触摸面板，同时显示设定参数和运行参数；                                                                                                                 3、无刷直流变频电机驱动，运行宁静；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▲4、设有离心力切换专用键；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▲5、采用静音机电，一体化电机门锁；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6、设有减震装置，减少振动，运行平稳，噪音≤54 dBA；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7、10种升、降速率选择，最快升速30秒，最快降速30秒；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8、技术参数：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▲标配角转子：12×1.5ml；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▲最高转速:16500r/min；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▲最大离心力:18780xg；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▲电机：无刷直流变频电机；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▲定时范围:0-99h59min。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提供省级以上（含省级）质量检测机构检测报告复印件加盖厂家公章，带▲参数第4、5、8项参数必须在出具的检测报告中体现。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750F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FB8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04256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0A58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376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台式低速离心机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035A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1、采用直流无刷电机，单片机控制,转速,时间全数显,全触摸,可预选，自动平衡,电动门锁,操作简便；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2、最高转速：4000r/min；</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3、最大相对离心力：2100xg；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4、定时范围：0-99min；</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5、离心最大容量：12*5ml；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6、电源：AC220V 50Hz 10A 450w。</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7AEC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4DCB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2F268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AAF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A67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微波炉</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B60D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≥20L</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9E73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670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14C41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F35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3AE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分析天平</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09F9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1、大屏幕：大屏幕TFT液晶显示器，提供丰富的称量显示信息，方便读取；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2、完全拆卸式结构设计，方便运输，用户使用时清洁方便；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3、显示模块、CPU数字处理模块、电磁机械传感器部分分离式结构设计，可避免相互干扰影响，提高仪器抗干扰精度；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4、用户操作：丰富的操作信息提示，帮助用户更高效的完成工作流程；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5、内置程序：标配的便于使用的内置应用程序，以用于各种称量任务具有零点跟踪和自动去皮功能；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6、卓越的红外感应操作系统，能让您“左右”互搏之间，可设置操作自动校正和去皮功能；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7、电磁平衡式传感器，仪器稳定性和运算速度都得到了提升；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8、全铝制底座设计，防止低频震动，增强称量稳定性；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9、实际分度值：0.1mg；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10、最大称量范围：200g；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11、可重复性标准偏差：0.0001g；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12、校准砝码值：200g；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13、类型：外部自动校准；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14、天平的外形尺寸：365mm×223mm×338mm（±20mm）；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15、天平的包装尺寸：500mm×310mm×450mm（±20mm）；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16、秤盘尺寸：Ф80mm；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17、风罩有效容积：160mm×165mm×200mm。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7B61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175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25DDF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BC7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DC6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研磨过滤器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09CB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容量20mL</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BCBD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50F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5C83A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8E2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1BC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生物玻片</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3390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蚕豆叶下表皮装片、胞间连丝切片、迎春叶横切、黑藻叶装片、线粒体切片、酵母菌装片、水绵装片、大肠杆菌涂片、细菌三型涂片、草履虫分裂生殖装片、人血涂片、蛙血涂片、动物上皮细胞装片、骨骼肌纵横切、平滑肌分离装片、心肌切片、运动神经元装片、蝗虫精巢减数分裂切片、植物花粉减数分裂装片、正常人染色体装片各60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1BC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743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批</w:t>
            </w:r>
          </w:p>
        </w:tc>
      </w:tr>
      <w:tr w14:paraId="170C5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5D6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C19F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植物细胞模型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D395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以洋葱表皮细胞为参考材料，长260mm，宽120mm，高65mm，材料釆用PvC环保树脂制作，置于白塑料色底板上。产品示细胞辟，细胞膜，细胞核，核仁和液泡等结构。</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08A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831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9030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181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2C3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植物细胞模型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（真核细胞）</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C94B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材料釆用PvC环保树脂制作，置于白塑料色底板上。产品示细胞辟，细胞膜，细胞核，核仁、粗面内质网、光滑面内质网、叶绿体、线立体、和中央液泡等结构。长115mm，宽40mm，高16mm，</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DDB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1F34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3072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9FD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F74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植物细胞模型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CC15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PvC吸塑制造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E95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5A41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9342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837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020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细胞器结构模型6件组成</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6FE7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pvC环保硬树脂制造，叶绿体长240mm高150mm，高尔基体长250mm高100mm，线立体长160mm高80mm，内质网长90mm，宽90mm</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B13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7BC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59CC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71D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C30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动植物细胞有丝分裂及减数分裂模型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4C6F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动物细胞﹕1间期、2前期早期、3前期、4中期、5后期、6未期、各个别阶段组成。植物细胞﹕1间期、2前期联会阶段、3四分体阶段、4中期、5后期、6未期各个阶段组成。</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AF8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20B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FB9A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B17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B12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细胞亚显微结构模型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86BE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PVC材质。显示细胞核、细胞质等，产品尺寸﹕175mm*210mm*230mm产品釆用环保PvC硬树脂制造。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538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E1F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9064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6C24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30E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动植物细胞对比模型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389A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动植物细胞对比模型 PVC制。植物模型长15cm，宽9cm；动物模型长14cm，宽11cm。</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F4A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0A4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D8E5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FA8F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0789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细胞膜结构模型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96E5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生物模型，放大1千倍用于讲解细胞膜结构结构。材质为PVC，无毒且环保耐用。产品尺寸；220mm*180mm*110mm。产品纹路清晰。</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6C0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22B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763C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48A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E39B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细胞膜结构模型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1C8E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生物模型，用于讲解细胞膜结构结构。材质为PVC，无毒且环保耐用。产品尺寸；220mm*180mm*110mm。产品纹路清晰。</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2A8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6FA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FEB7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B17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02D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细胞膜流动镶嵌模型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D421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适用于高中生物课堂演示实验用；产品釆用环保PvC硬树脂制造。产品尺寸﹕340mm*150mm*150mm</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D30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EEF1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8CF0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4453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9FD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动物细胞模型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9AFC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放大2000倍，1；原生质膜。2；细胞质。3；核。4；核膜，5；核仁，6；染色质，7；中心体，8；高尔基体，9；内质网，10；光滑的内质网，11；线立体，12；溶酶体，13；脂滴，14核糖体。产品尺寸﹕290mm*200mm*100mm,pvC环保硬树脂制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0A1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87A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件</w:t>
            </w:r>
          </w:p>
        </w:tc>
      </w:tr>
      <w:tr w14:paraId="311CD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4FC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3A4A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动物细胞模型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1BDA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放大数百倍，1；原生质膜。2；细胞质。3；核。4；核膜，5；核仁，6；染色质，7；中心体，8；高尔基体，9；内质网，10；光滑的内质网，11；线立体，12；溶酶体，13；脂滴，14﹕核糖体。产品尺寸﹕120mm*60mm*140mm,pvC环保硬树脂制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7B9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32A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件</w:t>
            </w:r>
          </w:p>
        </w:tc>
      </w:tr>
      <w:tr w14:paraId="5783F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F4C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5EF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浸制标本</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6E34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脊椎动物五纲脑比较标本、脊椎动物五纲心比较标本、蛙的消化泄殖系统标本、鸽的消化泄殖系统标本、兔生殖系统标本、兔消化系统标本、兔神经系统标本、河蚌解剖标本、蚯蚓解剖标本、水蛭标本、沙蚕标本、海盘车标本、马面鲀标本、鲨鱼标本、比目鱼标本、沼虾标本、真鲷鱼标本、缁鱼标本、圆蛛浸制标本、蜈蚣标本、尺蠖拟态标本、珍贵植物标本各一件，菌类植物保色浸制10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CF65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0F5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批</w:t>
            </w:r>
          </w:p>
        </w:tc>
      </w:tr>
      <w:tr w14:paraId="17BFA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A3C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080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温室改造</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D52C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1、拆除人行道：6cm透水砖140m2；新建厚10cm 宽度 0.8-1.2m 透水砖140m2；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2、金属（塑钢、断桥）窗更换2樘；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3、栽植高杆月季110株；塑料种植皿11组；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4、拆除及安装梯形塑料种植皿80m；塔形种植皿安装6组；螺旋形种植皿安装2组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5、安装50供水管30m；安装室内32供水管6m；过滤器1组；水喷淋(雾）DN25喷头21个；鱼水共生系统清理安装1组；防爆日光灯安装3套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6、程控柜调整调试1台；温室配套1组；其它费用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7C4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ECA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67295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9CAB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3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D864B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远程教学中心</w:t>
            </w:r>
          </w:p>
        </w:tc>
      </w:tr>
      <w:tr w14:paraId="5BA8B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9167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8EDD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高清AI录播主机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7F9E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1.主机需具备录制、导播、自动跟踪、音频编码、视频编码、音频处理、视频处理、存储、点播、互动等功能；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▲2.视频接口：数字视频接口D-Video（RJ45）≥6，HDMI输入≥2，HDMI输出≥2路，分辨率均支持1080P@30fps(提供具有国家权威检测机构出具的检测报告复印件并加盖厂家公章);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▲3.音频接口：Linein接口≥2，Lineout≥2，数字音频接口D-Mic（RJ45）≥6(提供具有国家权威检测机构出具的检测报告复印件并加盖厂家公章)；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4.主机架构：整体采用嵌入式、标准1U机架式设计；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5.网络接口：RJ45≥1，支持100/1000M网络自适应及IPv4、IPv6双协议栈；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6.控制接口：RJ45≥2，支持RS232串行通信协议进行外接控制；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7.外设接口：USB2.0≥2；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8.系统存储≥2T；</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▲9.支持视频一线通，支持</w:t>
            </w:r>
            <w:r>
              <w:rPr>
                <w:rFonts w:hint="eastAsia" w:ascii="宋体" w:hAnsi="宋体" w:eastAsia="宋体" w:cs="宋体"/>
                <w:i w:val="0"/>
                <w:iCs w:val="0"/>
                <w:color w:val="auto"/>
                <w:kern w:val="0"/>
                <w:sz w:val="20"/>
                <w:szCs w:val="20"/>
                <w:highlight w:val="none"/>
                <w:u w:val="none"/>
                <w:lang w:val="en-US" w:eastAsia="zh-CN" w:bidi="ar"/>
              </w:rPr>
              <w:t>同品牌</w:t>
            </w:r>
            <w:r>
              <w:rPr>
                <w:rFonts w:hint="eastAsia" w:ascii="宋体" w:hAnsi="宋体" w:eastAsia="宋体" w:cs="宋体"/>
                <w:i w:val="0"/>
                <w:iCs w:val="0"/>
                <w:color w:val="auto"/>
                <w:kern w:val="0"/>
                <w:sz w:val="20"/>
                <w:szCs w:val="20"/>
                <w:highlight w:val="none"/>
                <w:u w:val="none"/>
                <w:lang w:val="en-US" w:eastAsia="zh-CN" w:bidi="ar"/>
              </w:rPr>
              <w:t>摄像机到录播主机端的视频采集和传输过程无需编解码、无画质损耗并实现≤100ms的声画同步(提供具有国家权威检测机构出具的检测报告复印件并加盖厂家公章)；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10.支持音频一线通；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11.视频录制兼容标准H.264，支持4K@30fps、1080P@30fps、720P@30fps，以及AAC音频编解码协议标准；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12.支持AI全场景跟踪；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13.支持录播主机配套同品牌摄像机支持在多机位接入的情况下所有画面高度同步；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14.支持标签设置；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15.支持录制模式和互动模式等独立音频场景设置；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16.支持内置互动模块，实现互动课堂教学应用，支持会议互动模式，可创建或加入大规模视音频实时互动；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17.支持FTP文件传输协议，主机录制生成的视频文件与应用平台实现自动归档上传；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▲18.为方便教师设计与制作精品课，所投录播主机生产厂家具有与国家级精品课程团队联合编写过针对“精品课”活动的立体化教材。(投标文件中提供图书在版编目（CIP）数据截图并加盖生产厂家公章)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▲19.高清录播主机提供厂家对此项目的参数证明函和售后服务承诺函。（投标文件中提供证明函并加盖生产厂家公章，格式自拟）</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8D6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42B3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5F36E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04D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269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AI录播导播软件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F18F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1.便捷导播：软件需采用B/S架构设计，支持通过浏览器即可进行管理配置与操作，而无需额外安装客户端或APP；</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2.分段录制：支持30分钟分段、60分钟分段两种分段录制方式，系统可在不结束录制的条件下根据分段时长自动将视频录制为多个分段文件；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3.录制存储：采用H.264/H.265的视频编码格式和MP4的视频封装格式，支持在断网情况下也可以进行视频录制并存储于录播主机中，也支持在联网情况下通过FTP自动上传视频文件；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4.导播模式：支持全自动、半自动、手动三种导播模式，且支持在录制、直播和互动过程中任意切换导播模式；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5.导播预览：支持对接入的所有画面进行导播预览，包括教师特写、教师全景、学生全景、学生特写、电脑画面等，电脑画面包括两路HDMI画面可切换，并支持点击预览画面即可切换为导播输出画面；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6.视频布局：支持二分屏、三分屏、画中画等布局，也支持自定义布局方式，且支持对布局内的每个画面窗口进行拖动、叠加、缩放和指定视频源的操作，实现灵活调整；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7.台标字幕：需支持在导播预览界面添加Logo台标与字幕，可自主上传Logo图标、设置logo位置、编辑字幕内容、选择字幕字体颜色与是否滚动显示，且后台管理设置可预设字幕作为备选，方便灵活调整与切换；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8.片头片尾：需支持片头片尾设置，可上传JPG格式图片作为录制默认的片头片尾画面，并可自定义片头片尾显示时长，支持片头片尾显示视频信息；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摄像机控制：支持对接入摄像机特写画面进行电子云台控制，包括画面上下左右移动、放大缩小变焦等操作。云台控制功能应具有鼠标快速定位功能，通过鼠标点击快速居中画面区域。也支持设置和调用摄像机预置位，支持不少于8个预置位；</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1EE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C26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206C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406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ABE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AI录播流媒体处理软件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5E24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1.要求软件在出厂时内嵌于录播主机中，且应具备自主知识产权，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2.录制模式：支持电影模式和资源模式两种录制模式。电影模式下支持将多路视频信号的复合成一路画面进行录制；资源模式下支持将接入的摄像机画面和电脑画面进行独立录制；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2.同步录制：支持外接存储设备（如U盘），实现在视频录制的过程中，自动同步录制多一份并存储至U盘中；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3.录制关联：支持在录制启动时自动关联开启直播和全自动跟踪模式；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4.视频管理：支持查看已录制的视频文件，并可按录制时间进行排序和按关键字检索查看，也支持对视频文件进行在线播放、下载、删除和FTP上传；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5.网络导播：支持通过浏览器即可访问并使用导播功能，而无需额外安装客户端或APP；</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6.音量控制：支持在导播过程中进行音量控制，可调整相关输入输出的音量大小，且支持一键静音功能；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7.直播码流：需支持主码流和子码流高低双码流，且支持自定义清晰度、帧率和码流，主码流清晰度不小于1080P；</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8.直播推流：支持不少于4路RTMP同步推流直播，并可自定义选择主码流或子码流进行推流直播；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9.直播模式：需支持RTMP直播、TS直播、集控推流直播等不少于3种不同直播模式，以适应不同场景直播需求；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10.权限管理：需支持对主机后台设置管理员用户与普通用户两种使用权限，普通用户无法进行相关参数与配置修改；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11.系统状态：支持在导播界面实时查看主机当前CPU温度、磁盘空间占用情况、视频录制的参数配置和正在录制的视频时长与大小等信息；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12.UVC/UAC功能：要求主机具备通过USB口直接输出音视频信号的能力，实现便捷的视频会议软件接入；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13.智能音频处理：支持音频采样率的设置，且支持AGC自动增益、ANS噪声抑制、EQ均衡、AEC回声抑制等音频处理功能；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14.录制码流：支持主码流和子码流的高低双码流录制，且支持自定义清晰度、帧率、码率和I帧间隔，支持动态比特率或静态比特率两种模式；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15.存储管理：需支持录像文件循环覆盖功能，开启循环覆盖功能后，录播硬盘在已存储90%的空间时，再次启动录制将删除录播内现存时间最早的录像文件以应对录制频率比较高的情况；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16.中英双语：需支持中英双语版本切换，适合不同用户的应用需求。要求通过网络导播界面即可便捷切换，无需进行更改授权、系统升级等复杂操作；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17.上电模式：需支持通电模式选择，实现主机通电后自动进入相应模式，包含但不限于自动开机、开机且休眠、不开机等模式；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18.版本管理：支持查看系统软件版本， 提供离线文件升级、网络在线升级和定时自动升级三种升级方式，且支持导出和导入系统配置文件；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19.安装信息：支持填写设备的安装信息，包括位置、所在学校、安装地点、联系人等；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20.休眠唤醒：需支持定时休眠唤醒功能， 提供精确到秒的自定义时间设置，可以单独设置是否定时休眠或者定时唤醒；</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059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A3E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41EA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1E8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FC10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AI录播在线互动软件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2B5B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1.互动协议：需支持H.323、SIP 、BFCP、WebRTC等视音频互动协议技术，也支持内置互动模块，无需额外MCU类设备即可进行远程互动教学应用；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2.互动画质：支持1080P@30fps的高清互动画质，且支持设置互动码流，并支持基于SVC技术实现在不同网络状况下的画面质量自适应；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3.互动模式：支持互动授课模式和多方视频会议模式，授课模式支持主讲端查看所有听讲端画面并可控制听讲端的互动画面显示，会议模式支持二分屏、三分屏、四分屏等布局，也支持选择参会方进行轮巡显示；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双流互动：支持在实时互动过程中，可将教学场景信号与电脑课件信号以互相独立的信号进行传输，并最终在接收端可通过两路独立HDMI接口将接收到的教学场景画面与电脑课件画面同时分别输出到两个显示设备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5.发言权限控制：支持通过网络导播界面，主讲端在互动过程中对其余互动参与者的发言权限进行控制，支持单人禁言/开启以及全场禁言/开启的控制方式；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6.呼叫应答：需支持呼叫应答设置，满足不同互动场景的需要，包括自动应答与勾选手动应答两种方式；</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E8D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1F3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DA46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0CB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38A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高清全景AI摄像机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802D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1.采用CMOS类型图像传感器，尺寸≥1/2.5英寸；</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▲2.有效像素≥800万；视频分辨率：最大可支持3840×2160并向下兼容(提供具有国家权威检测机构出具的检测报告复印件并加盖厂家公章)；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3.支持自动和手动变焦，光学变焦倍数≥22倍；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4.具备机械云台可进行转动跟踪，水平转动速度范围不少于1.0°~94.2°/s，垂直转动速度范围不少于1.0°~74.8°/s；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5.支持H.265/H.264高清视频编码协议；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6.具备数字视频输出口（RJ45）≥1，HDMI视频输出口≥1；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7.具备RS232/RS422≥1、RJ45网络接口≥1，并支持100M/1000M自适应以太网接入与RTSP协议网络视频输出、Linein输入口≥1、具备USBType-A≥1；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8.支持VISCA/ONVIF协议；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9.具备背光补偿；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10.支持2D/3D数字降噪，信噪比≥55dB；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11.支持一线通，同品牌录播主机实现≤100ms的声画同步；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12.支持AI跟踪，根据AI智能算法，实现同一摄像机根据部署使用场景不同自动设置为教师、学生跟踪模式；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13.支持对锁定跟拍对象进行人脸特征与肢体双重认证识别；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14.支持在拍摄画面有显示设备或其他动态视频播放的情况下，自动启用AI抗干扰能力；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15.支持PTZ实时跟焦；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16.支持录播主机供电和DC12V电源适配器等供电方式；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17.要求摄像机与录播主机为同一品牌。</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703E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BFC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22E18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C52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8F4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高清全景AI摄像机跟踪拍摄软件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DD17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1.采用B/S架构，支持通用浏览器直接访问进行管理；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2.支持曝光模式设置功能，包括自动、手动；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3.支持抗闪烁频率、动态范围、光圈、快门参数设置；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4.支持自动白平衡设置功能，红、蓝增益可调；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5.支持噪声抑制设置功能，支持2D、3D降噪；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6.支持摄像机图像质量调节功能，包括亮度、对比度、色调、饱和度；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7.支持图像水平、垂直翻转，适应摄像机不同的安装方式要求；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8.支持摄像机控制功能，包括云台控制、预置位设置与调用、焦距调节等，预置位数≥255；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9.支持配合录播主机设置五分像、七分像、全身像等多种教师图像跟踪画面模式，根据实际需要设置选用教师跟踪画面的大小；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10.支持配合录播主机划分的自动跟踪区域，当锁定跟踪人物走出自动跟踪区域时即停止跟踪，直到重新回到区域出现在画面中为止；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支持依据录播主机设置的跟踪目标更新周期时间，被跟拍人员脱离跟踪拍摄区域后开始计时，到达更新周期时间后自动解除目标跟拍锁定，回归默认状态，待下一位人员进入画面中开始重新锁定跟踪(提供具有国家权威检测机构出具的检测报告复印件并加盖厂家公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0F6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4604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2527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28B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8FC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高清特写AI摄像机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1629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1.采用CMOS类型图像传感器，尺寸≥1/2.5英寸；</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2.有效像素≥800万；视频分辨率：最大可支持3840×2160并向下兼容；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3.支持自动和手动变焦，光学变焦倍数≥22倍；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4.具备机械云台可进行转动跟踪。水平转动速度范围不少于1.0°~94.2°/s，垂直转动速度范围不少于1.0°~74.8°/s；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5.支持H.265/H.264高清视频编码协议；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6.具备数字视频输出口（RJ45）≥1，HDMI视频输出口≥1；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7.具备RS232/RS422≥1、.RJ45网络接口≥1，并支持100M/1000M自适应以太网接入与RTSP协议网络视频输出、音频接口：Linein输入口≥1、USB接口：要求具备USBType-A≥1；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8.支持VISCA/ONVIF协议满足多种场景控制要求；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9.具备背光补偿；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10.支持2D/3D数字降噪，信噪比≥55dB；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11.支持一线通连接，摄像机供电、控制以及视频信号传输，同品牌录播主机实现≤100ms的声画同步；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支持AI跟踪，实现水平运动、俯仰运动、变焦、聚焦四维实时跟踪等人像自动跟踪功能；根据AI智能算法，实现同一摄像机根据部署使用场景不同自动设置为教师、学生跟踪模式(提供具有国家权威检测机构出具的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13.支持对锁定跟拍对象进行人脸特征与肢体双重认证的交叉识别，在多人同时进入拍摄画面的情况下，持续锁定跟踪对象，不出现跟丢和误跟的情况；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▲14.支持在拍摄画面有显示设备或其他动态视频播放的情况下，自动启用AI抗干扰能力(提供具有国家权威检测机构出具的检测报告复印件并加盖厂家公章)；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15.支持PTZ实时跟焦；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16.支持录播主机供电和DC12V电源适配器等供电方式；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17.要求摄像机与录播主机为同一品牌。</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8476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8C7E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52EBD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767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A2DA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高清特写AI摄像机跟踪拍摄软件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2656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1.摄像机传输处理软件需采用B/S架构，支持通用浏览器直接访问进行管理；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2.需支持曝光模式设置功能，包括自动、手动；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3.需支持抗闪烁频率、动态范围、光圈、快门参数设置；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4.需支持自动白平衡设置功能，红、蓝增益可调；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5.需支持噪声抑制设置功能，支持2D、3D降噪；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6.需支持摄像机图像质量调节功能，包括亮度、对比度、色调、饱和度；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7.需支持图像水平、垂直翻转，适应摄像机不同的安装方式要求；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8.需支持摄像机控制功能，包括云台控制、预置位设置与调用、焦距调节等，预置位数≥255；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9.支持配合录播主机设置五分像、七分像、全身像等多种教师图像跟踪画面模式，根据实际需要设置选用教师跟踪画面的大小；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10.支持配合录播主机划分的自动跟踪区域，当锁定跟踪人物走出自动跟踪区域时即停止跟踪，直到重新回到区域出现在画面中为止；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11.需支持依据录播主机设置的跟踪目标更新周期时间，被跟拍人员脱离跟踪拍摄区域后开始计时，到达更新周期时间后自动解除目标跟拍锁定，回归默认状态，待下一位人员进入画面中开始重新锁定跟踪；</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673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A4D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C723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64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5A1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高清板书AI摄像机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C4AA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1.传感器：要求采用CMOS类型图像传感器，尺寸≥1/2.5英寸；</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2.像素：有效像素≥800万；视频分辨率：最大可支持3840×2160并向下兼容；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3.变焦：要求支持自动和手动变焦，光学变焦倍数≥22倍；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4.云台转动：要求具备机械云台可进行转动跟踪。水平转动速度范围不少于1.0°~ 94.2°/s，垂直转动速度范围不少于1.0°~ 74.8°/s；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5.视频编码：要求支持H.265、H.264高清视频编码协议；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6.视频输出：要求具备数字视频输出口（RJ45）≥1，HDMI视频输出口≥1；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7.通讯接口：要求具备RS232/RS422≥1；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8.网络接入：RJ45网络接口≥1，并支持100M/1000M自适应以太网接入与RTSP协议网络视频输出；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9.音频接口：Line in输入口≥1；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10.USB接口：要求具备USB Type-A≥1；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11.协议支持：要求支持VISCA/ONVIF协议满足多种场景控制要求；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12.背光补偿：要求具备背光补偿功能；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13.数字降噪：支持2D/3D数字降噪，信噪比≥55dB；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14.一线通：要求与搭配的录播主机实现基于RJ45双绞线的一线通连接，完成摄像机供电、控制以及视频信号传输；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15.高效数据传输：支持对同品牌录播主机实现基于数据链路层的数字视频数据传输技术，能实现≤100ms的声画同步，在拍摄运动画面和复杂画面时不存在镜头呼吸效应带来的周期性画面焦距抖动；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16.AI跟踪：要求内置跟踪算法，摄像机内无额外辅助摄像头也无需增加任何设备即可实现人像自动跟踪，包括水平运动、俯仰运动、变焦、聚焦四维实时跟踪；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17.跟踪逻辑自选：要求支持根据AI智能算法，同一摄像机可根据部署使用场景智能应用为教师、学生跟踪模式，无需手动设置；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18.交叉识别：需支持对锁定跟拍对象进行人脸特征与肢体双重认证识别，在多人同时进入拍摄画面的情况下，持续锁定跟踪对象，不出现跟丢和误跟的情况；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19.AI抗干扰：支持在拍摄画面有显示设备或其他动态视频播放的情况下，自动启用AI抗干扰能力，保障画面始终锁定被跟踪对象，且跟踪效果不受影响；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20.PTZ自适应：需支持PTZ实时跟焦，AI跟踪的状态下能实现摄像机水平旋转、垂直旋转、变焦的实时同步变化，无需等待拍摄对象稳定后再变焦调整画面，移动过程不虚焦，实现拍摄画面的自适应稳定调整；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21.电源支持：支持录播主机供电和DC12V电源适配器等供电方式；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22.要求摄像机与录播主机为同一品牌。</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198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2E3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4B86A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032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25E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高清板书AI摄像机跟踪拍摄软件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18A8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1.摄像机传输处理软件需采用B/S架构，支持通用浏览器直接访问进行管理；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2.需支持曝光模式设置功能，包括自动、手动；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3.需支持抗闪烁频率、动态范围、光圈、快门参数设置；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4.需支持自动白平衡设置功能，红、蓝增益可调；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5.需支持噪声抑制设置功能，支持2D、3D降噪；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6.需支持摄像机图像质量调节功能，包括亮度、对比度、色调、饱和度；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7.需支持图像水平、垂直翻转，适应摄像机不同的安装方式要求；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8.需支持摄像机控制功能，包括云台控制、预置位设置与调用、焦距调节等，预置位数≥255；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9.支持配合录播主机设置五分像、七分像、全身像等多种教师图像跟踪画面模式，根据实际需要设置选用教师跟踪画面的大小；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10.支持配合录播主机划分的自动跟踪区域，当锁定跟踪人物走出自动跟踪区域时即停止跟踪，直到重新回到区域出现在画面中为止；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11.需支持依据录播主机设置的跟踪目标更新周期时间，被跟拍人员脱离跟踪拍摄区域后开始计时，到达更新周期时间后自动解除目标跟拍锁定，回归默认状态，待下一位人员进入画面中开始重新锁定跟踪；</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3F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B75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C403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B24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C25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高清巡视摄像机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0CB0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扫描方式：逐行扫描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输出帧率：30fps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3. 摄像元件：1/3 "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有效像素：1920（H）×1080（V)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最低照度：0.3Lux</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通讯方式：RJ-45，支持POE供电</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0B7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86C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6E741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AB7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AC4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高清巡视摄像机跟踪拍摄软件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7145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采用B/S架构设计，支持通用浏览器进行远程访问进行管理；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支持多个区域屏蔽功能，避免屏蔽区域内的干扰，提高系统识别效果；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具有“模糊防抖”功能，避免人员小幅度活动时引起的摄像机画面抖动现象；</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9E1E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AED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A936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134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3B5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AI智能跟踪处理软件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12BD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1.跟踪逻辑：支持智能识别接入摄像机的使用定位，并联动摄像机选用对应的跟踪逻辑，如教师跟踪、学生跟踪等；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2.检测区域：支持对接入摄像机的AI跟踪检测区域设置，可基于实景拍摄画面框选跟踪区域，框选后只在区域中方能触发跟踪，所见所得方便操作；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3.跟踪切换：支持根据设定的跟踪策略形成跟踪指令，实现多路接入摄像机的全自动AI跟踪画面切换；且支持自定义跟踪切换逻辑的画面布局，包含但不限于双分屏、画中画与自定义布局等；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4.跟踪策略：支持对接入摄像机自定义设置AI跟踪目标更新周期时间，摄像机依据配置实现相应跟踪策略；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5.智能构图：支持设置摄像机拍摄画面的智能构图模式，包含但不限于五分像、七分像、全身像等；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6.全场景跟拍：要求支持基于计算机视觉CV技术的AI人工智能跟踪算法，实现教师识别、教师移动跟拍、教师轨迹识别以及学生上台识别、板书行为识别、单人与多人起立识别等教学焦点进行自动捕捉与切换；</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1BC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652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1FF8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B26F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1B5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录制面板</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25CC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安装方式：采用物理按键，在讲台上镶嵌式安装。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控制接口：要求支持RS232控制接口用以连接录播主机。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信号指示灯：要求具备信号指示灯。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支持一键式系统电源开关控制。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一键式录制、停止、锁定电脑信号。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支持本地录播全自动的开启、关闭控制。该功能同时支持录播模式和互动模式。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 支持通过面板一键发起与远端设备互动连接。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 支持通过交互控制面板切换互动画面的信号源，并传输到听课室，包括本地老师信号、学生信号、电脑信号、远端课室画面。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 支持对各画面的自由布局控制，包括单画面全屏、双分屏、三分屏、四分屏、画中画，并传输到听课室。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10.支持远程“一键静音”功能，主讲端可一键关闭远端互动教室发言，进入主讲授课模式。</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1E1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B9C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35C73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B4B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94D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音频处理系统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50A9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1.支持录播模式和互动模式下的音频多场景调配；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2.支持主音量调配，支持远端音频模式调配；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3.支持自动增益，噪音抑制，EQ均衡；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4.支持直播比特率，录制比特率，采样率调配；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5.支持回声抑制。</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3E2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B789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2C08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948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AD1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指向性话筒</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BAE9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1.指向性：超心型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2.频率响应：40Hz—16kHz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3.灵敏度≥-7dB±1dB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4.最大声压级≥110dB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5.信噪比≥62dB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6.动态范围≥78.5dB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7.使用电源：麦克风一线通供电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8.输出接口：RJ45，数字音频接口</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8B6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E54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w:t>
            </w:r>
          </w:p>
        </w:tc>
      </w:tr>
      <w:tr w14:paraId="3A5D1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08C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319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电源管理器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DB16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1.向录播视频系统、音频系统、显示系统 提供统一的、至少八路电源管理；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2.支持对录播系统控制功能，实现通过录制面板一键启动录播系统相关设备的电源；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3.支持时序电源控制功能，每路延迟一秒，可编程控制；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4.具备内置光电隔离模块，保障负载运行安全；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 提供1路最大电流不低于10A的电源输出接口；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6.支持RS-485/RS-422/RS-232 等控制协议。</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C17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6DB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0839D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2AD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DB3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智能课堂行为分析软件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0F09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一.整体要求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1.兼容对接：配套高清录播主机，实现视频数据分析；同时支持与视频资源管理平台无缝对接，可将数据通过平台进行分析结果数据展示。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2.多维分析：支持对课堂数据进行综合多维度的分析，包括“课堂语言分析”、“教学行为分析”、“教师活动轨迹”、“课堂时间分配”、“学生课堂动作表情分析”等维度数据。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二.课堂教情分析要求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1.教学行为分析：支持“教师讲授”、“学生汇报”、“师生互动”、“生生互动”、“教师巡视”多种维度的教学行为识别。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2.教师轨迹分析：支持统计整个课节时间内授课教师的授课行动轨迹，直观呈现教师授课过程中的授课位置数据。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3.教师巡视分析：要求支持教师巡视情况统计并形成教师巡视数据，分析数据应包括教师课堂巡视次数、时长等数据。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三.课堂学生分析要求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1.班级出勤率统计：以班级维度进行班级出勤人数统计，实际出席人数、出勤率等。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2.支持学生课堂动作分析，包括趴桌子、举手、站立等肢体语言，可对各类动作进行检测。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3.支持对学生动作的统计分析，统计当前每种学生动作的峰值次数和占比。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4.支持学生课堂表情分析，包括积极、平淡、消极等表情。并支持对各类表情进行实时检测，统计课堂中各类表情的学生人数。</w:t>
            </w:r>
          </w:p>
        </w:tc>
        <w:tc>
          <w:tcPr>
            <w:tcW w:w="780" w:type="dxa"/>
            <w:tcBorders>
              <w:top w:val="nil"/>
              <w:left w:val="single" w:color="000000" w:sz="4" w:space="0"/>
              <w:bottom w:val="single" w:color="000000" w:sz="4" w:space="0"/>
              <w:right w:val="single" w:color="000000" w:sz="4" w:space="0"/>
            </w:tcBorders>
            <w:shd w:val="clear" w:color="auto" w:fill="auto"/>
            <w:noWrap/>
            <w:vAlign w:val="center"/>
          </w:tcPr>
          <w:p w14:paraId="7E6A16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C6E8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DB45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1E7A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A81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智能语音分析软件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6A7E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1.教师提问情况分析：支持基于课堂语音识别能力进行教师课堂提问行为分析，从提问次数与高频时间段两个核心维度进行数据统计，实现课堂提问情况的清晰回顾。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2.教师语速分析：支持通过语音识别能力进行教师课堂授课语速分析，呈现数据需包括教师课堂说话词数以及平均语速。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3.课堂语音转写：要求基于语音语义识别完成课堂音频的文字转换，实现课堂教学过程语音全纪录。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4.课堂关键词分析：支持通过AI语音识别能力，抓取统计提前设置好的课堂知识点关键词，统计各关键词出现的次数频率，并标注出现的时间点和显示所在的语句内容。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5.课堂高频词分析：支持通过AI语音识别能力，抓取授课过程中出现的高频词汇，并统计出现频次，判断课堂教学重点；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6.课堂语气词分析：支持通过进行课堂语音识别，判断老师教学过程中出现的常规语气词出现频次，辅助老师调整教学过程中的不良习惯；</w:t>
            </w:r>
          </w:p>
        </w:tc>
        <w:tc>
          <w:tcPr>
            <w:tcW w:w="780" w:type="dxa"/>
            <w:tcBorders>
              <w:top w:val="nil"/>
              <w:left w:val="single" w:color="000000" w:sz="4" w:space="0"/>
              <w:bottom w:val="single" w:color="000000" w:sz="4" w:space="0"/>
              <w:right w:val="single" w:color="000000" w:sz="4" w:space="0"/>
            </w:tcBorders>
            <w:shd w:val="clear" w:color="auto" w:fill="auto"/>
            <w:noWrap/>
            <w:vAlign w:val="center"/>
          </w:tcPr>
          <w:p w14:paraId="7FF1C9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10CD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44D3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A53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740" w:type="dxa"/>
            <w:tcBorders>
              <w:top w:val="nil"/>
              <w:left w:val="single" w:color="000000" w:sz="4" w:space="0"/>
              <w:bottom w:val="single" w:color="000000" w:sz="4" w:space="0"/>
              <w:right w:val="single" w:color="000000" w:sz="4" w:space="0"/>
            </w:tcBorders>
            <w:shd w:val="clear" w:color="auto" w:fill="auto"/>
            <w:vAlign w:val="center"/>
          </w:tcPr>
          <w:p w14:paraId="0BA9D0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录直播服主机</w:t>
            </w:r>
          </w:p>
        </w:tc>
        <w:tc>
          <w:tcPr>
            <w:tcW w:w="6035" w:type="dxa"/>
            <w:tcBorders>
              <w:top w:val="single" w:color="000000" w:sz="4" w:space="0"/>
              <w:left w:val="single" w:color="000000" w:sz="4" w:space="0"/>
              <w:bottom w:val="nil"/>
              <w:right w:val="single" w:color="000000" w:sz="4" w:space="0"/>
            </w:tcBorders>
            <w:shd w:val="clear" w:color="auto" w:fill="auto"/>
            <w:vAlign w:val="center"/>
          </w:tcPr>
          <w:p w14:paraId="6F8DAAD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（1）设备高度：≤1U</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（2）硬件架构：嵌入式ARM架构设计，主机出厂内置视频资源管理平台，无需进行复杂的系统环境、软件安装操作。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（3）系统支持：Linux系统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（4）数据库支持：MYSQL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（5）存储容量：4TB SATA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（6）网络连接：RJ45千兆网口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（7）通讯接口：USB2.0≥2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（8）支持Rst设备一键复位功能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（9）采用安全电压不大于DC36V供电，节能环保，采用无风扇设计，低噪音。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（10）支持流媒体转发、直播、点播功能，单台主机支持不少于200点转发直播、支持大规模点播。</w:t>
            </w:r>
          </w:p>
        </w:tc>
        <w:tc>
          <w:tcPr>
            <w:tcW w:w="780" w:type="dxa"/>
            <w:tcBorders>
              <w:top w:val="nil"/>
              <w:left w:val="single" w:color="000000" w:sz="4" w:space="0"/>
              <w:bottom w:val="single" w:color="000000" w:sz="4" w:space="0"/>
              <w:right w:val="single" w:color="000000" w:sz="4" w:space="0"/>
            </w:tcBorders>
            <w:shd w:val="clear" w:color="auto" w:fill="auto"/>
            <w:noWrap/>
            <w:vAlign w:val="center"/>
          </w:tcPr>
          <w:p w14:paraId="1D1D26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B1B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4CD7C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3A4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740" w:type="dxa"/>
            <w:tcBorders>
              <w:top w:val="nil"/>
              <w:left w:val="single" w:color="000000" w:sz="4" w:space="0"/>
              <w:bottom w:val="single" w:color="000000" w:sz="4" w:space="0"/>
              <w:right w:val="single" w:color="000000" w:sz="4" w:space="0"/>
            </w:tcBorders>
            <w:shd w:val="clear" w:color="auto" w:fill="auto"/>
            <w:vAlign w:val="center"/>
          </w:tcPr>
          <w:p w14:paraId="207FAA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录直播教学视频资源管理系统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720E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1.信息管理功能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（1）录播管理：支持把录播设备接入平台，实现自动转码、无缝直播点播，并具备直播和点播功能。支持对录播进行远程关机、休眠唤醒、启动录制等操作。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（2）多级平台对接：支持校平台与上级区平台进行对接，校平台资源可像区平台提交数据资源。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录制预约：平台支持用户远程进行在线录课预约，可实现单个或批量预约；支持预约信息的申请。支持用户手机扫码预约录制，扫码后手机端填写录播预约信息即可快速完成预约，录制结束后也可扫码在平台回顾或下载已录制的视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（4）资源颗粒度管理：支持视频资源多维度分类，如按年级、学科等分类管理，支持用户自定义分类类型。并支持根据发布时间、用户推荐度和点击热度的不同维度在平台呈现。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（5）视频专辑：支持用户可灵活创建各种视频专辑，并自定义专辑类型，可将一同类型的视频进行归类，便于视频的归整和便捷查询。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公告发布：平台首页提供公告模块，支持通过平台发布校务公告、活动通知、时势新闻等多种类型公告。公告支持按定义的类型进行归类查询，支持用户自定义公告类型。提供平台首页公告截图并加盖厂家投标专用章或公章及上述类型的公告设置功能界面截图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（7）自动转码功能：支持视频下载、上传、编辑、管理。可实现所有主流视频文件格式自动转码，包括asf、mpg、rmvb、mov、rm、avi、3gp、wmv、flv、mp4等，可设置下载及观看权限，可设置高标清转码清晰度码流。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虚拟切片：支持视频自动划分知识点和教学环节片段，且不破坏视频原来的完整性。支持快速点击知识点、教学环节跳转到相应节点播放。支持对上传的视频添加和修改“知识点”和“教学环节”。提供添加和修改的功能界面截图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教学行为分析：支持弗兰德斯教学行为分析法（S-T），平台根据跟踪数据生成S-T曲线图，帮助用户进行教学技能提升和评估。S-T行为数据支持后期在线编辑修改，便于教师进行错误修正。提供S-T功能界面截图并加盖厂家投标专用章或公章和编辑界面截图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（10）文件检索：支持关键字搜索功能，用户可直接在资源管理平台的页面搜索框输入关键字，对某个视频标题、知识点进行搜索。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（11）一键置灰：支持平台肤色一键置灰功能，切合特殊纪念日氛围。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（12）指定播放：支持设置指定播放源，用户点击任意视频均强制播放指定视频源，便于学校进行重要视频的统一播放和管理。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流量统计：支持平台对用户访问数、页面访问量进行数量统计，访问流量数据可按日、周、月、年、总浏览数进行分类统计。支持以曲线图形式展现10天内的访问流量变化趋势。支持对视频直播量、点播量统计。提供功能界面截图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存储管理：平台支持自定义视频的保存期限，支持永久保存，支持自定义视频保存天数期限，到达期限后自动删除；同时支持平台对录播内的视频保存期限进行管理，支持永久保存和自定义期限并在到达期限后录播自动删除视频文件。提供功能界面截图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▲（15）提供基于录播设备的智能教学信息处理系统相关自主知识产权证明文件复印件并加盖厂家投标专用章或公章。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2.直播点播功能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（1）基于FLV、HLS主流协议直播技术，无需安装插件即可进行跨平台（Windows、Linux、IOS等）视频点播观看。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（2）支持流媒体转发服务，平台支持不少于200点以上高清直播功能。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（3）集群技术：支持直播集群技术，以支持系统的横向拓展，随系统应用规模的拓展逐渐增加转发服务器以支持更大规模直播。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（4）多码率支持：点播视频时可根据网络情况在播放器窗口进行高标清切换观看。提供转发高标清设置功能界面截图并加盖厂家投标专用章或公章。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（5）支持直播权限及密码设置，让直播信息更加安全。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（6）支持上传教案、课件等视频附件，附件可与视频进行绑定。支持word、excel、ppt、PDF、jpeg等格式。用户在点播视频时下载附件。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（7）提供视频转发分享功能，支持二维码分享和一键转发分享至新浪微博、QQ、微信等社交平台中。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3.微课管理功能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（1）提供微课管理模块，支持自定义微课时长限制，在规定时长内的视频上传平台后自动归类到微课模块当中，并支持按学段、学科进行自动归类整理。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提供专业微课录制软件，支持直接从平台下载微课录制软件并安装于笔记本电脑中。微课视频录制完毕后支持一键上传到平台，或下载到本地电脑保存。提供微课软件客户端在平台下载界面截图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（3）微课录制软件需满足包括教师头像、实物展台、课件PPT在内的三路视频源切换及组合布局录制，支持课件与老师画中画模式。提供软件界面截图并加盖厂家投标专用章或公章。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（4）支持PPT课件导入、课件批注，在微课录制的同时支持PPT分页预览，并进行切换录制。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▲（5）提供微课制作软件相关软件著作权证书复印件并加盖厂家投标专用章或公章。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4.移动APP应用服务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（1）提供自主研发的平台移动端APP，支持Android系统，可与视频资源管理平台对接。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（2）移动端APP应提供视频在线直播、视频点播、专辑点播等功能。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（3）移动端同步支持虚拟切片功能，实现知识点的快速跳转观看、学习，提高学生的学习效率。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（4）支持移动端APP点播视频时查看视频信息、视频附件。提供APP功能界面截图并加盖厂家投标专用章或公章。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▲（5）提供移动学习软件相关软件著作权证书复印件并加盖厂家投标专用章或公章。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5.其他要求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▲（1）为了保证系统兼容性，要求平台与录播主机为同一品牌，提供教学视频资源管理系统相关软件著作权证书复印件并加盖厂家投标专用章或公章。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041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663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E287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7CB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740" w:type="dxa"/>
            <w:tcBorders>
              <w:top w:val="nil"/>
              <w:left w:val="single" w:color="000000" w:sz="4" w:space="0"/>
              <w:bottom w:val="single" w:color="000000" w:sz="4" w:space="0"/>
              <w:right w:val="single" w:color="000000" w:sz="4" w:space="0"/>
            </w:tcBorders>
            <w:shd w:val="clear" w:color="auto" w:fill="auto"/>
            <w:vAlign w:val="center"/>
          </w:tcPr>
          <w:p w14:paraId="752F02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无线领夹手持话筒</w:t>
            </w:r>
          </w:p>
        </w:tc>
        <w:tc>
          <w:tcPr>
            <w:tcW w:w="6035" w:type="dxa"/>
            <w:tcBorders>
              <w:top w:val="nil"/>
              <w:left w:val="single" w:color="000000" w:sz="4" w:space="0"/>
              <w:bottom w:val="single" w:color="000000" w:sz="4" w:space="0"/>
              <w:right w:val="single" w:color="000000" w:sz="4" w:space="0"/>
            </w:tcBorders>
            <w:shd w:val="clear" w:color="auto" w:fill="auto"/>
            <w:vAlign w:val="center"/>
          </w:tcPr>
          <w:p w14:paraId="4863038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采用UHF超高频段，DPLL数字锁相环多信道频率合成技术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提供至少200个信道选择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红外线对频技术，发射机自动追锁接收机频率， 频率范围：740-790MHz</w:t>
            </w:r>
          </w:p>
        </w:tc>
        <w:tc>
          <w:tcPr>
            <w:tcW w:w="780" w:type="dxa"/>
            <w:tcBorders>
              <w:top w:val="nil"/>
              <w:left w:val="single" w:color="000000" w:sz="4" w:space="0"/>
              <w:bottom w:val="single" w:color="000000" w:sz="4" w:space="0"/>
              <w:right w:val="single" w:color="000000" w:sz="4" w:space="0"/>
            </w:tcBorders>
            <w:shd w:val="clear" w:color="auto" w:fill="auto"/>
            <w:vAlign w:val="center"/>
          </w:tcPr>
          <w:p w14:paraId="18C668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nil"/>
              <w:left w:val="single" w:color="000000" w:sz="4" w:space="0"/>
              <w:bottom w:val="single" w:color="000000" w:sz="4" w:space="0"/>
              <w:right w:val="single" w:color="000000" w:sz="4" w:space="0"/>
            </w:tcBorders>
            <w:shd w:val="clear" w:color="auto" w:fill="auto"/>
            <w:vAlign w:val="center"/>
          </w:tcPr>
          <w:p w14:paraId="083CAD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07726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4D7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878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交换机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AFCF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1.16口千兆网络交换机，全钢壳设计自动散热，无风扇；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2.采用存储转发机制，内部集成高容量缓存；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3.自动进行MDI/MDIX翻转，自动协商端口工作速率；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4.支持“标准交换”、“VLAN隔离”和“网络克隆”等工作模式。</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2C1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E15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20381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295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591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机柜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FAF8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规格：600*600*1200㎜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材质：主体≥0.8㎜冷轧钢板，设活动层板；立柱壁厚≥1.2㎜；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结构：前开门，后背板带网格散热孔，底部设出线孔。</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ACC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AF4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21261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A75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BDA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系统集成</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6ED0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HDMI线15米2条、HDMI线1.5米跳线1条、HDMI分配器一分四1个、话筒吊咪线15米、音箱线无氧铜100支30米、网线超五或六类3条、网线跳线1.5米3条、双3.5mm成品线1.5米2条、3.5转双莲花1.5米6条、水晶头50个、电胶带，扎带等若干、8孔插排2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BA99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1BE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间</w:t>
            </w:r>
          </w:p>
        </w:tc>
      </w:tr>
      <w:tr w14:paraId="24BD6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89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584671">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生物学学科中心</w:t>
            </w:r>
          </w:p>
        </w:tc>
      </w:tr>
      <w:tr w14:paraId="2280E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24F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507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触控一体机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6DDA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一、整机要求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▲1.屏体要求：86英寸，液晶LED，A规屏，显示比例(16：9)；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2.亮度：≥300cd/m2、对比度：≥5000:1、屏体物理分辨率≥3840*2160；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3.防眩光功能：采用 4mm 厚 AG 钢化玻璃，防眩光，减少玻璃反射光的影响，反射率小于 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4.触摸技术：红外感应技术，20点触控，</w:t>
            </w:r>
            <w:r>
              <w:rPr>
                <w:rFonts w:hint="eastAsia" w:ascii="宋体" w:hAnsi="宋体" w:eastAsia="宋体" w:cs="宋体"/>
                <w:i w:val="0"/>
                <w:iCs w:val="0"/>
                <w:color w:val="auto"/>
                <w:kern w:val="0"/>
                <w:sz w:val="20"/>
                <w:szCs w:val="20"/>
                <w:highlight w:val="none"/>
                <w:u w:val="none"/>
                <w:lang w:val="en-US" w:eastAsia="zh-CN" w:bidi="ar"/>
              </w:rPr>
              <w:t>支持安卓、windows 系统20笔或以上同时书写。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▲5.前置接口：≥USB3.0*3；≥Type C*1；≥Touch USB*1；≥HDMI in*1（提供具有CNAS标识的检测报告复印件加盖厂家公章）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6.前置≥3个USB 3.0 接口全部支持 Windows 及 Android 双系统读取，将 U 盘插入任意前置 USB 接口，均能被 Windows 及 Android 系统识别。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▲7.后置接口：≥MIC In*1、≥YPBPR*1、≥COAXIAL Out*1、≥Earphone Out*1、≥PC Audio In*1、≥VGA*1、≥RS232*1、≥AV In*1、≥AV Out*1、≥LAN In*1、≥HDMI in*1、USB*2、≥Touch USB*1、≥TF Card*1；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▲8.前置按键≥7个包括：录屏、图像比例、音量-、音量+、设置、护眼、电源； （提供具有CNAS标识的检测报告复印件加盖厂家公章）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9.整机开关、电脑开关和节能待机键三合一，操作便捷；设备支持通过前置按键一键启动录屏功能，可将屏幕中显示的课件、音频等内容与老师人声同步录制，方便制作教学视频；支持OPS一键还原。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w:t>
            </w:r>
            <w:r>
              <w:rPr>
                <w:rFonts w:hint="eastAsia" w:ascii="宋体" w:hAnsi="宋体" w:eastAsia="宋体" w:cs="宋体"/>
                <w:i w:val="0"/>
                <w:iCs w:val="0"/>
                <w:color w:val="auto"/>
                <w:kern w:val="0"/>
                <w:sz w:val="20"/>
                <w:szCs w:val="20"/>
                <w:highlight w:val="none"/>
                <w:u w:val="none"/>
                <w:lang w:val="en-US" w:eastAsia="zh-CN" w:bidi="ar"/>
              </w:rPr>
              <w:t>安卓系统版本11.0 或以上，内</w:t>
            </w:r>
            <w:r>
              <w:rPr>
                <w:rFonts w:hint="eastAsia" w:ascii="宋体" w:hAnsi="宋体" w:eastAsia="宋体" w:cs="宋体"/>
                <w:i w:val="0"/>
                <w:iCs w:val="0"/>
                <w:color w:val="auto"/>
                <w:kern w:val="0"/>
                <w:sz w:val="20"/>
                <w:szCs w:val="20"/>
                <w:highlight w:val="none"/>
                <w:u w:val="none"/>
                <w:lang w:val="en-US" w:eastAsia="zh-CN" w:bidi="ar"/>
              </w:rPr>
              <w:t xml:space="preserve">部缓存容量（RAM）：≥2GB ；内部存储容量（ROM）：≥16GB。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11.内置双路 WIFI，支持 AP 热点，Wifi : 2.4GHz / AP : 2.4GHz/5GHz。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12.一键调整分辨率: 可通过及触摸按键对内置电脑画面实现一键切换屏幕分辨率，调整画面显示比例；整机支持一键黑屏节能 70%。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13.信源通道自动识别：设备能自动识别并切换到最新接入的信号源通道，且断开后能回到上一通道。自动跳转前支持选择确认，待确认后再跳转。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14.童锁开关：产品应支持童锁开关功能，当开启童锁功能后，界面将被锁住，避免学生随意操作出现的系统故障问题。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悬浮菜单：在任意信号源通道下均可调用悬浮菜单，悬浮菜单具有一键启用应用软件、随时批注擦除，切换信号源等功能，悬浮菜单中的信号源支持自定义修改且可一键直达常用信号源可通过两指调用到屏幕任意位置。悬浮菜单中的应用可根据使用需求进行应用或功能的替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16.整机具备智能手势识别功能，在任意信号源通道下均可识别五指上、下、左、右方向手势滑动，调取熄屏、批注、桌面、半屏模式功能。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二、质量保证要求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1、所投产品具有CNAS标识的MTBF≥30万小时可靠性实验的检测报告复印件，提供检测报告复印件并加盖制造厂家公章。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2、所投产品具有CNAS标识的防蓝光检测报告且危害等级达到RG0级的检测报复印件，提供检测报告复印件并加盖制造厂家公章。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3、.所投产品具有硬件及教育系统相关软件具有售后服务完善程度评价规范和GB/T27922-2011商品售后服务体系达到十星认证证书，提供证明并加提供证明复印件并加盖制造厂家公章。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4、所投产品制造厂商具有“项目质量管理体系认证证书”，“标准化等级评价体系认证证书AAAA级”、“有害物质过程管理体系认证证书”，提供证明复印件并加盖制造厂家公章。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5.所投产品具有《全国质量信誉保障产品》证书、《全国产品和服务质量诚信品牌》证书、《全国教育装备行业质量领先品牌》证书、《全国质量检验稳定合格产品》证书，提供证书复印件加盖制造商公章</w:t>
            </w:r>
            <w:r>
              <w:rPr>
                <w:rFonts w:hint="eastAsia" w:ascii="宋体" w:hAnsi="宋体" w:eastAsia="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6.所投产品具有CNAS标识的高低温及恒定湿热可靠性实验的检测报告，提供CNAS认可机构出具的检测报告。</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3E9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F52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182B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3B2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62C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内置电脑</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D027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1.插拔式OPS微型PC设计，采用Intel十代或以上 I5CPU、8GB内存、256G固态硬盘；开放式可插接INTEL规范接口（OPS接口），双面合计80针。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2.支持WIFI无线网络，带双天线，带RJ45接口100M/1000Mbs。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3.支持电源：AC input:100-240V/50-60HZ ；DC output:19V/5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23F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0CB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D819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EDD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EDE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教学应用软件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792B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A、白板软件要求：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1.基于手势操作开发，简单易用，手指单点或使用触控笔就能一键快速调取教学软件及工具；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▲2.备授课功能，具有备课模式及授课模式，且操作界面根据备课和授课使用场景不同而区别设计，包含数、英语、化学等 14 个不同背景，支持自定义图片生成 PPT 背景;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3.支持一键调取 PPT 文件，可选择本地导入或打开两种不同形式获取课件，并支持对调取课件进行再次编辑，保存生成独立格式保护校本资源；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备课模式下，对课件添加文本编辑、思维导图等功能，并支持对所添加内容编辑进入和退出方式，可选择百叶窗、淡入、缩放、浮现、飞入、旋转、劈裂、弹跳、淡出、浮出、弹跳、擦除等不同的编辑方式，支持对输入的文本添加朗读读音，读音支持导出音频文件并支持一键插入 ppt、word、excel 等文件；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5.支持备课模式下，对课件页面添加动画效果，可选择新闻快报、缩放、揭开、切出、淡出、推进、覆盖等不同的编辑方式；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汉字描红功能，将手写汉字文本快速识别成规则文本，可对汉字进行笔画逐步描红，并可拓展相关汉字读音、偏旁部首、释义等内容，支持拼音读写功能，将手写拼音文本快速识别成规则文本，可对拼音进行示范朗读，支持汉字注音功能，可将输入文本一键注- 入拼音，并点击一键插入白板可自动添加至文本上方；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7.黑板书写支持不少于 10 种风格笔的书写，包含硬笔，智能笔，荧光笔，竹笔，纹理笔，软笔，手势笔，图章笔，激光笔，粉笔类型；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8.支持手势擦除功能，当识别到 5 指手势，画面自动由手写状态变成板擦状态，符合老师随写随擦的教学习惯，板擦大小至少有 3 级选择；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B、移动端设备管理要求：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1.支持移动端远程巡课功能，在小程序端可查看大屏设备 Windows桌面，支持打开大屏端摄像头，麦克风，实时查看教室情况。摄像头，麦克风选项支持打开，关闭，支持静音观看。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▲2.一体机设备软硬件检测功能，支持在手机上查看电脑软硬件信息（包含 CPU，主板，内存，开机市场，硬盘，显卡，声卡，网卡，系统等），且支持电脑关机时查看，设备在线状态可以实时监视电脑CPU、内存使用率与温度等变化；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▲3.移动端控制电脑，支持远程控制一体机电脑关机、重启、锁定、睡眠、倒计时关机、定时任务；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4.定时任务，像设置闹钟一样简单，为电脑设置定时任务，让电脑使用更有规划，助力生产力，节约人力成本与能源；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5.应用管理，不用远程控制桌面，也能掌握电脑中所有应用的开启与关闭，实时监控应用状态；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C、移动授课要求：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1.PPT助手：把手机变成PPT翻页笔，支持PPT的播放、退出、翻页功能，且能锁定操作、屏幕常亮、触感震动反馈等，支持夜间模式；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▲2.个性化：可将手机变为移动展台，将手机中图片、现场拍摄照片一键上传至电脑，变为电脑桌面，通过透明批注工具对桌面进行批注、擦除。支持一键截图设备桌面并保存至手机端本地。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移动端、电脑文件双向互传功能：通过管理小程序能随时随地连接一体机电脑硬盘，找到想要的文件，支持从手机上传照片、视频、微信中收发的文件到电脑；一键上传文件，在电脑上，任意文件右键，即可一键把文件从PC上传发送到手机。支持移动端直接下载PC端文件至本地和链接形式分享给微信客户端好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4.手机可变成智能笔，含PPT助手功能、调节一体机声音大小、上下音频切换、PC与移动端文件互传功能、云书签功能等，便于教师移动授课。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D、售后服务工具要求：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▲1.智慧黑板端带一个使用反馈入口，点击显示反馈二维码，用户使用微信扫描进入小程序反馈平台，提交上传异常问题，异常现象等图片或视频，一键上报售后；</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2.用户通过售后小程序可以快速查询产品使用指南，支持填写申请，预约售后服务人员；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3.用户通过售后小程序可以进行对产品，售后服务的评价，投诉；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4.售后服务通过小程序，可以查询机器的维修记录，后台可以实时了解异常情况，快速获取反馈人信息及联系方式，指定维修人员及时服务。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E、无线投屏要求: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1.无线投屏支持 windows,mac,ios,android 平台登录使用；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2.PC 端和移动端可以通过设备码互相投屏，支持手机端扫码投屏到PC 端；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3.PC 端投屏，可以设置投屏端声音投放系统声音或者麦克风的外音；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4.移动端向 PC 端投屏时，可在 PC 端进行批注、录制、截屏、画面旋转、画面置顶等功能；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F、教学资源要求：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智慧课堂界面内一键进入免费的在线教学资源，支持一年级到高三的学科类课程，名师讲堂课程讲解，同时支持专题教育类课程，包含（防疫教育，防疫常识，防疫科学，战疫课堂，战疫故事，品德教育，党史教育，国史教育，爱国主义教育，社会主义核心价值观教育，优秀传统文化，生命教育，安全教育，自然灾害防护，意外伤害防护，公共卫生，社会安全，网络安全，心理健康教育，居家建议，情绪适调，人际交往，学会学习，家庭教育，亲子沟通，习惯养成，经典阅读，主题阅读，中华经典，电子书籍，研学教育）。(提供具有CNAS标识的检测报告复印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3D太阳系功能，可查看太阳系8大行星的星球参数，星球简介，星球结构，可查看行星运行轨迹。支持查看星球赤道直径，质量，与太阳平均距离，自转周期，日星轨道周期。支持查看表面重力，昼夜温度，别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3.支持电子琴功能，可以模拟钢琴发声，包含自由演奏，乐理学习，。自由演奏可以实现实时录音，曲库中有若干乐曲可播放学习。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植物生长功能，支持查看植物的叶，茎，花，树干结构，支持查看光合作用过程，支持查看在不同光照情况下树干的形成情况。植物生长模块中包含护林小帮手互动答题游戏，可实现互动教学。(提供具有CNAS标识的检测报告复印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5．支持书法知识功能，收录古代以及近代多篇知名书法作品，可供学生欣赏，临摹学习。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6．支持体育知识功能，可以查看多种运动项目知识介绍，包括速度力量类，竞争对抗类，耐力竞技类，难美表现类，精准技能类，同时可查看运动精彩集锦。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7．支持英文音标功能，可以查看所有音标的发音教学，包括元音，辅音，半元音等。同时收录英文音标发音教学视频和英文音标发音小技巧视频。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8．支持英文字母功能，内置26个字母教学视频，同时有字母歌视频辅助学习。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▲9.快速录制屏幕，支持同时录制屏幕，麦克风声音以及摄像头人像画面；录制画面可以自定义区域，摄像头画面可设定3种模式大小；(提供具有CNAS标识的检测报告复印件加盖厂家公章)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微课录制完成后视频支持选择存储在本地或者云空间，并修改录制文件的名称，保存在云空间时，自动弹出云空间网站，支持文件公开分享或设为收费视频（设为收费视频为选配），支持将云空间的视频下载至本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11.支持二维码或者复制链接进行视频分享，可设置访问密码，支持使用微信、QQ等工具扫二维码直接观看，观看过程中可在视频时间轴添加表情互动评论，视频进度条中显示表情与评论；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12.每个用户微课云空间支持至少1G存储，并提示存储量；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13.每个微课分享后可以统计观看人数、标记看完人次、互动评价内容等；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14.客户端支持MACOS，windows，android，IOS平台；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15.录制人像时，可讲画面调整为圆形或方形，并对画面进行拖动或者关闭功能，支持选配人像抠图及背景虚拟功能；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G、质量保证要求：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▲1.提供厂家针对本项目的技术参数证明函及白板软件检测报告。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2.为保证兼容性、软件升级及售后便捷与时效，与硬件为同品牌。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70A5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1AD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0B23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CE48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0296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视频展台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6E33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1、箱体采用ABS环保材质，轻便耐腐蚀，箱内无可见连接线，整机圆边设计，安全防碰伤。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2、采用三折叠式开合托板，非气压杆联动，平稳无故障。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3、像素：800万像素，A4幅面。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视频展台具有2个USB数据采集接口，支持USB下出线和侧边出线2种方式，满足不同的现场安装需求；箱体外侧内嵌2个USB扩展口，可外接U盘或无线键鼠的接收器。(提供权威第三方检测机构出具的带CNAS标识的功能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5、采用AF自动对焦，课件翻页和光线变化时不能出现频繁对焦的情况，提高教学演示效率。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6、整机自带LED补光灯，可触摸式三级灯光调节。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7、界面与功能图标内嵌中文，清晰易用，老师不用查阅帮助就能使用，减少误操作。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8、软件基础功能：可预设画笔批注的粗细及颜色，支持对展台画面进行移动、缩放。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故障检测：软件支持故障自检功能，帮助用户检测“无画面”的原因，并给出引导性的修复和解决方案，可判断硬件连接、解码器、显卡驱动、摄像头通道占用等问题，同时也有显示微信和技术电话提供协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10、二维码扫码功能：打开扫一扫功能后，将书本上的二维码放入扫描框内即可自动扫描，并进入系统浏览器获取二维码的链接内容，帮助老师快速获取电子教学资源。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11、软件自带虚拟黑板功能，截取实物展示的某一重点内容在虚拟黑板模式下进行单独批注讲解，板书支持保存和二次打开、编辑，使授课变得简单轻松。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12、图像特技：延时拍照、聚光灯、负片、镜像、黑白、自动曝光、视频冻结、同屏对比、旋转、屏幕录制。</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475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96A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EEDC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050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BBA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无尘互联黑板</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F5BF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1、产品整体结构上采取左、右柔性液晶光能黑板+中间86寸液晶一体机的组合方式，总尺寸≥4500mm*1158mm。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2、无粉尘、无耗材：光能黑板依靠压力改变液晶分子排布，使用任何硬度适中的物体均可书写，书写压力50-300g，笔迹粗细大于4mm，书写延时≤7ms，无需任何耗材，杜绝粉尘污染，单点书写10万次后无划痕。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3、▲板面：透光率不低于87%，雾度不高于40%。（提供有CNAS及CMA认证标识的第三方检测报告）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4、板面结构：产品单块尺寸≥1290*1158mm，独立开放式设计，独立拆装，配有可调节高度装置，调节高度范围大于50mm，与一体机尺寸配套。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5、▲可视距离：书写笔迹可视距离≥40米，可视角度≥149°，对比度680:1。（提供国家认可CMA及CNAS资质的第三方检测报告）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6、保护视力：纯自然光反射呈字，无电离辐射，长时间观看不刺激眼睛，保护视力。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7、▲局部擦除：可使用板擦和手势对错误字迹进行局部擦除，擦除精度≤9.7mm*9.7mm，擦除延时＜60ms。（提供有CNAS及CMA认证标识的第三方检测报告）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8、▲供电：内置可充电锂电池，电池容量≥2600mAh。(提供标有CNAS及CMA国家认可的第三方检测报告）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9、▲耐高、低温：光能黑板通过低温-30℃，高温80℃，恒定湿热40℃，95%RH测试，功能正常。（提供有CNAS及CMA认证标识的第三方检测报告）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10、同步传输保存：板书内容可以同步传输到光能板所配套显示设备中进行保存，方便后期的课件使用。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11、电压调节：内部设计电压补偿机制，通过手势按压板面特定位置控制内部电压的高低，实现擦除灵敏度调节。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12、▲光能黑板通过1500V测试，无击穿现象。(提供标有CNAS及CMA国家认可的第三方检测报告）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13、▲光能黑板抗紫外线测试，紫外线阻隔率不低于99.5%。(提供标有CNAS及CMA国家认可的第三方检测报告）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14、▲光能黑板外壳防尘等级不低于IP4X。(提供标有CNAS及CMA国家认可的第三方检测报告）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二、软件要求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1、同步互联：左、右光能黑板可与触控一体机进行互动，将光能黑板的内容与触控一体机无缝连接，教师在光能黑板上的书写内容可同步显示在触控一体机上。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2、颜色切换：可设置不同的软件端笔迹颜色，可实现老师对于教学重点的标识及批注；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3、板书记录：可同步传输老师的板书到软件界面；按下清除键后，板面和软件端的笔迹均可以被清除；点击“前一页”可找回清除掉的板书；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4、单双页切换：两种光能黑板的书写记录模式，支持单板书写记录内容为一个单页面，也可以支持双板同时书写时记录在一个页面上；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5、桌面切换：黑板书写内容和屏体显示内容可一键切换，不影响老师正常授课操作。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6、一键保存：支持将板书内容保存为PDF文档，便于学校对课堂板书的管理和传递。无需花费时间找存储路径，点击“打开”，直接进入存储位置，快速找到存储文件。</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D76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2A4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C7A9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578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EFCA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红外无线扩声一体机（主箱）</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6D5E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一体化设计。集成：数字功放，红外无线接收模块，红外线传感器，反馈抑制模块，DSP数字音频处理模块，扬声器于一体。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采用红外光线进行音频传输，可在室外阳光环境下工作，不串频，无干扰。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频道组数≥3通道，支持两支红外无线话筒和一支红外翻页笔同时使用。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内嵌超广角多阵列式红外线接收管≥24颗。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一路红外传输扩展接口：RJ45网口。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线路输入接口1个；USB数字声卡接口1个；混音输出接口1个；幻象供电话筒接口1个；话筒独立输出1个，音箱接线端口1组。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 支持RS232中控，实现每路音量调节，高低音调节，参数储存/恢复，电源开关等中控控制。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 控制面板配置中文液晶屏，及时反馈设备状态。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 功放频率响应：50Hz~20KHz ±3dB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 失真：≤0.05%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 信噪比≥78dB(MIC),  ≥80dB(LINE),  ≥98dB(IR MIC)</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12 功放额定输出功率:（4Ω）90W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 扬声器：2×4”全频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 铝合金箱体</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447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BA8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509FC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4A2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D5E3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红外音箱（含支架）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5095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▲1、箱体内嵌超广角多阵列式红外线接收管24颗，与音箱融为一体。须提供具有“CNAS”和“CMA"资质的第三方实验室（检测机构）出具的检测报告。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▲2、采用RJ45网口进行红外信号传输，并具备输入输出接口。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3、单元组成2个4寸高性能铁氧体驱动单元。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4、频率响应：100Hz~18kHz（±3dB）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5、额定/峰值功率80W/160W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6、灵敏度：90dB（1W/1M）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7、最大声压级110dB（1W/1M）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 阻抗：8Ω；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 箱体材料： 铝合金一次成型，坚固耐用。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 外观工艺：阳极氧化，IPx4防水级别，室内、外均可安装。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 尺寸（高×宽×深）mm：147.3(L)x149.7(W)x475(H)</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1F7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7AA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52C9B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552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B3C0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红外线话筒（翻页、绿色激光、自动休眠、磁吸充电）（颈挂+手持）</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35AD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无线传输制式：红外线(波长850nm)，高灵敏度红外线发射管≥6颗，分布在前后左右四面，不易遮挡。须提供具有“CNAS”和“CMA"资质的第三方实验室（检测机构）出具的检测报告。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拾音传感器：电容式驻极体音头ECM。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有效传输距离：与配套主机实现26米（室内直线无遮挡）稳定传输。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通道调节：双通道设计，可自主调节红外通道。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功率调节：可自主设定高低两档发射功率。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电池：内置1300mAh锂电池，工作时间≥8小时。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▲充电方式：支持磁吸座充(即话筒尾部安装环形充电磁铁，正反方向都能充电)、磁吸线充和Type-C线充。须提供具有“CNAS”和“CMA"资质的第三方实验室（检测机构）出具的检测报告。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 话筒具备PPT翻页功能。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 话筒具备绿色激光教鞭功能。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▲10.智能电源管理：话筒静置2秒后自动休眠，拿取时瞬间自动正常工作。须提供具有“CNAS”和“CMA"资质的第三方实验室（检测机构）出具的检测报告。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11.可手持可颈挂，标配可轻松调节高度的硅胶挂绳。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▲12.通过4颗双色指示灯反馈设备电量、音量及使用状态。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 外部音源接入：能支持头戴咪和外部音源输入，可连接手机等移动设备。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 兼容性：兼容同品牌红外线全系列接收设备。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B8D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44E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w:t>
            </w:r>
          </w:p>
        </w:tc>
      </w:tr>
      <w:tr w14:paraId="23123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44A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3CF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组合式单充电座（桌面+嵌入+壁挂架选配）</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5C74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标配一个充电位，支持不同形状话筒（颈挂式、手持式）和智能翻页笔充电。同时支持桌面放置、嵌入式、壁挂式三种安装方式（壁挂支架选配）。须提供具有“CNAS”和“CMA"资质的第三方实验室（检测机构）出具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充电保护：对不关话筒的情况下可以自动断开内部电路并进行充电。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充电指示：可根据充电指示灯判断充电情况。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电池识别保护：能自动识别是否是充电电池，检测到非充电电池会自动断电保护。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同时具备Type-C接口和4P凤凰插口，且都支持供电和RS-232控制协议，通过中控接口反馈充电状态，发送控制指令。须提供具有“CNAS”和“CMA"资质的第三方实验室（检测机构）出具的检测报告。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充电电压电流：DC 5V, 500mA。</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1D7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1DF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398BD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82E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8A3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移动讲桌</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14E3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规格：1200mm×600mm×900mm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结构：钢木结构，内配储物柜，设可移动置物板。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1.台面采用 12.7mm 厚双面膜耐腐蚀实芯理化板。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2.主框架采用 30×60×1.2mm 方管、拉撑采用 25×50×1.2mm方管。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3.内配柜体采用16mm 厚 E1 级实验室专用三聚氰胺板。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4.置物板采用0.6mm冷轧钢板。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工艺：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1.台面采用数控雕刻机制作，四角倒R15 圆角，边沿倒3圆角，流畅圆滑不伤手。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2.钢架采用CO2保护焊焊接，表面经酸洗磷化、纯环氧树脂塑粉高温固化处理，平整光滑，无脱落、鼓泡、凹陷、压痕以及表面划伤、麻点、裂痕、崩角和刃口 等，切割、钻孔和倒角应去毛刺。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3.柜体板材截面采用≥1.0㎜厚PVC 封边机械高温封边。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1.台面耐酸、耐碱、耐高温，坚固耐用，防潮、无细孔、不膨胀、不龟裂、不变形、不导电、便于维护及具有良好的承重性能。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2.内配柜设抽斗和柜门，方便放置不同类型物品。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3.置物板宽度350mm，和桌面成30°夹角，采用吊装滑轨、滑轮，左右移动顺畅；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4.桌脚采用静音万向轮，整桌可任意移动。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E65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7B2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6F83E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A54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B5AA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可拼接学生桌</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A04D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规格：1400*700*750mm±10mm；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桌面：材质采用抗倍特一体成型。耐80度以上高温。防水：浸水24小时后的膨胀指数不多于0.1mm，面板四周采CNC修边，四周倒角，圆润光滑无任何毛边。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桌架：框架采用≥φ30*1.2㎜钢架，钢材符合国家相关标准，焊接采用二氧化碳保护焊焊接，表面经去油除锈处理，高温静电喷塑。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脚套：采用全新PE工程塑料一次注塑成型，牢固耐磨；可加活动轮。</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FEA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89E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1B9D3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5CB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E79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学生椅</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365C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规格：375*390*550-座高440㎜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椅面：依据人体工程学原理，采用全新PP塑料，一体注塑成型，抗压、耐磨、耐冲击。</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椅架：钢管直径22mm，壁厚1.8mm，数控折弯成型，且设计可多把椅子堆叠存放，减少存储空间。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脚垫：材质为PP。</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3FE2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87D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r>
      <w:tr w14:paraId="06A96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A6E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bidi="ar"/>
              </w:rPr>
              <w:t>13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A57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bidi="ar"/>
              </w:rPr>
              <w:t>实验边台1</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BB6E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bidi="ar"/>
              </w:rPr>
              <w:t>规格：2400×600×800mm±10㎜，长度可依空间实际尺寸定制。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 台面采用12.7mm厚实芯理化板，外露边沿修圆弧，整体美观大方，耐高温、耐酸碱、耐腐蚀、不吸水、防火、阻燃、防静电、抗老化、无毒、无褪色、材质坚硬，牢固可靠。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2.桌柜采用16mm厚聚木屑三聚氰胺双面板。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3.桌架采用40×60×1.2mm方钢管。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4.水槽采用高密度黑色PPR一体化水槽，其内腔尺寸（长宽高）485mm×385 mm×290mm；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5.水嘴采用铜质喷塑三联式高位水嘴、陶瓷芯片水阀；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4.五金配件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1）拉手：采用一字型铝合金拉手。；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2）铰链：采用优质铰链，开启角度 110°铰链开启 15º以内具有自闭功能，耐腐蚀、承重、经久耐用，开合十万次以上。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3）导轨：采用超静音三节滚珠滑轨，承重≥15公斤，开合十万次以上不变形。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4）地脚：ABS工程塑料可调脚，螺杆直径 12mm，可调整高度 0-30mm，具有减缓冲击力功能。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1.钢木左右结构；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2.钢架采用“工”字形结构，前面放置木柜，木柜下设钢管托撑，并有M8mm螺丝顶固，带可调地脚；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3.桌柜上设抽屉，下设储物柜；水槽柜设检修门；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4.桌柜离地150mm左右，方便打扫卫生；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工艺：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 板材截面采用1.5㎜厚pvc封边条机械高温封边；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2.钢材采用CO2保护焊焊接，钢材表面经喷砂抛丸去油除锈，静电喷涂；</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9AB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CF5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bidi="ar"/>
              </w:rPr>
              <w:t>张</w:t>
            </w:r>
          </w:p>
        </w:tc>
      </w:tr>
      <w:tr w14:paraId="56790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CC1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47A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实验边台2</w:t>
            </w:r>
          </w:p>
        </w:tc>
        <w:tc>
          <w:tcPr>
            <w:tcW w:w="6035" w:type="dxa"/>
            <w:tcBorders>
              <w:top w:val="single" w:color="000000" w:sz="4" w:space="0"/>
              <w:left w:val="single" w:color="000000" w:sz="4" w:space="0"/>
              <w:bottom w:val="nil"/>
              <w:right w:val="single" w:color="000000" w:sz="4" w:space="0"/>
            </w:tcBorders>
            <w:shd w:val="clear" w:color="auto" w:fill="auto"/>
            <w:vAlign w:val="center"/>
          </w:tcPr>
          <w:p w14:paraId="2D35A1A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规格：1800×600×800mm±10㎜，长度可依空间实际尺寸定制。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 台面采用12.7mm厚实芯理化板，外露边沿修圆弧，整体美观大方，耐高温、耐酸碱、耐腐蚀、不吸水、防火、阻燃、防静电、抗老化、无毒、无褪色、材质坚硬，牢固可靠。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2.桌柜采用16mm厚聚木屑三聚氰胺双面板。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3.桌架采用40×60×1.2mm方钢管。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4.五金配件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1）拉手：采用一字型铝合金拉手。；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2）铰链：采用优质铰链，开启角度 110°铰链开启 15º以内具有自闭功能，耐腐蚀、承重、经久耐用，开合十万次以上。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3）导轨：采用超静音三节滚珠滑轨，承重≥15公斤，开合十万次以上不变形。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4）地脚：ABS工程塑料可调脚，螺杆直径 12mm，可调整高度 0-30mm，具有减缓冲击力功能。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1.钢木左右结构；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2.钢架采用“工”字形结构，前面放置木柜，木柜下设钢管托撑，并有M8mm螺丝顶固，带可调地脚；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3.桌柜上设抽屉，下设储物柜；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4.桌柜离地150mm左右，方便打扫卫生。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工艺：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 板材截面采用1.5㎜厚pvc封边条机械高温封边；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2.钢材采用CO2保护焊焊接，钢材表面经喷砂抛丸去油除锈，静电喷涂；</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2B9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E9D7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7FDA8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2A3F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863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学生实验凳</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CAC5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规格：Φ315mm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1.螺旋式升降。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2.凳脚材质：4个凳脚采用17mm×34mm×1.2mm无缝钢管模具一次弯管成型。二氧化碳保护焊焊接，结构牢固，金属表面经静电粉沫喷涂处理。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3.凳面材质：采用聚丙烯共聚级注塑,厚5mm。表面细纹咬花，防滑不发光。凳面底部镶嵌4枚铜质螺纹，采用螺丝与圆型托盘固定。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4.脚垫材质：采用PP加耐磨纤维质塑料，实心倒勾式一体射出成型凳面与凳脚留有一定的空间便于凳子挂在挂凳扣上。方便教室的打扫。</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B3C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3D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7C622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207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47C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控制柜                      </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ECBB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1.控制柜尺寸：≥400mm（L）×230mm（W）×780mm（H）；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2.工艺与材质：采用≥1.2mm钢板冷轧成型，表面经过防腐氧化处理和纯环氧树脂塑粉高温固化处理，具有较强的耐蚀性。对控制系统硬件安装固定，操作面镶入雅典黑亚克力装饰板。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3.控制柜内置总电源开关，漏电保护器，主控制模块，急停控制模块，开关电源，工作指示灯。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4.集成10.1寸触显操作单元。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D69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E53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C49F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B0B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5AB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智能吊装控制系统                   </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0179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1.电源操作控制系统：可实现远程分组控制学生高低压电源开启与关闭；可输出交流电范围0-30V，分辨率1V设置及实时显示，可输出直流电范围0-30V，分辨率0.1V设置及实时显示，带学生电压锁定功能。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2.照明系统：可实现远程控制照明系统开启与关闭。可单个或全组进行控制，有全选及反选功能，可实现根据周围环境手动调节亮度，实时显示照明工作状态。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3.升降控制系统：可实现控制电源升起或下降。可单个或全组进行控制，有全选及反选功能。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4.系统设置：（1）开机方式: ①直接开机; ②密码验证； （2）定时关机：0-240分钟时段设置；（3）教室编号设置；（4）自动分组功能；（5）更改密码功能。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46F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748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FFBF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81B5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C10B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电源转换及升降控制系统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4224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1、外壳规格：≥325mm（L）×110mm（W）×275mm（H）；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2、外壳工艺材质：由ABS塑料一体注塑成型，具备抗化学腐蚀、耐热性、电绝缘性和耐候性；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3、内部构成：由开关电源和减速电机构成；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3.1、开关电源：输出电压DC≥24V，功率≥100W，为电机及低压电源供电，具备过载、过压、短路保护功能。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3.2、减速电机：采用额定工作电压为12V-24V直流减速电机，用于驱动升降机构。</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5E4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9B7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3F59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AF1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071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升降系统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9989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1、外壳规格：≥440mm（L）×155mm（W）×390mm（H）；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2、工艺材质：由≥1.5mm厚镀锌板与ABS塑料组成，金属部分表面经环氧树脂粉末喷涂并高温固化处理；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3、升降范围：以桌面为基准，支持垂直升降，行程调节范围为1200mm～1800mm；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4、升降方式：采用自动升降系统，电机电流实时监测，具备堵转保护与运行状态反馈；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5、布线结构：旋转线槽采用轮毂结构设计，在旋转过程中避免跳线并保护电缆完整性；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6、通信电缆：采用9芯低烟无卤阻燃型复合通信电缆，用于连接电源操作及控制模块。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E61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F40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136F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7DB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12E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智能照明收纳系统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2BD8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1、外壳规格：≥φ385mm×145mm（H）；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2、外壳材质：壳体采用ABS塑料一体注塑成型，具备抗化学腐蚀、耐热性、电绝缘性和耐候性；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3、光源参数：采用铝基板高亮度白光LED灯，功率≥40W，照明方式为360°环形发光结构；灯光扩散片为透明亚克力材质，围绕LED灯设置≥60根防眩光格栅条，用于控制炫光。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125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F36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5827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A3C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948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学生电源操作控制系统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9AA0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1、外壳规格：≥φ225mm×175mm（H）；集成≥2个RJ45网口、≥2个供电USB接口；≥4路220V多功能插座输出；≥1个到位停止触发按键；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2、工艺材质： 壳体采用ABS塑料一体注塑成型，结构为圆弧形设计；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3、控制系统：以32位MCU为核心配合监测控制电路，对整个设备的升降、电源转换进行监测及输出响应控制；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4、显示界面：选用2.4寸（偏差±5%）触控显示屏，能够实现电流、电压的实时显示以及交/直流电压的输出设置；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5、交流输出：支持由学生或教师操作输出0-30V电源，分辨率为0.1V。0V-15.0V，额定电流≥3A；15.1V-30.0V，额定电流≥2A，具备过载报警保护功能；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6、直流输出：支持由学生或教师操作输出0-30V电源，分辨率为0.1V。0V-15.0V，额定电流≥3A；15.1V-30.0V，额定电流≥2A，具备过载报警保护功能；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7、锁定功能：当教师端启用锁定功能时，电源设置权限仅限教师端控制，学生端操作无效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8、插座输出：额定电流≥5A，带安全门；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9、机械限位：模块底部设置限位式机械到位触发装置，当模块下落至桌面时触发停止信号，控制设备停止下降并启用供电功能。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536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65C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F389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820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E9B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空调</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4F00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立式3匹，一级能效，变频冷暖空调；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制冷量(W)：7000W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制冷功率(W)：2000W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制热量(W)：9000W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制热功率(W)：2900W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循环风量：1200m³/h</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2A85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0FDF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2DC84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AF8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141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窗帘</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7565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1.材料由双层布构成，里面是透明纱窗布加遮光布组成；外层布艺面料采用聚酯纤维与棉等混纺，能断裂强力经向/纬向≥100N；水洗尺寸变化率-1.0%~+1.0%；阻燃性符合B1级标准更安全；褶皱比例≥1.5。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2.轨道或吊杆安装。轨道、吊杆金属材质。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CA85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561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w:t>
            </w:r>
          </w:p>
        </w:tc>
      </w:tr>
      <w:tr w14:paraId="09C8A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863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B38B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清洁用品</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46D3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1.外箱由皮革制造，有提手，印有明显标识，外形尺寸：不小于285×165×175（mm）。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2.内装药品及器械应定位放置，取放方便，必备药品有：药用脱脂棉、纱布、胶布、创可贴、碘酒、医用酒精、高锰酸钾等。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3.要求：必备器械有：剪刀、镊子、医用手套、护目镜等。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E93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CF6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0DE3F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015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035E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灭火设备</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0623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玻璃纤维材质，1800mm×1800mm。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075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2DB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件</w:t>
            </w:r>
          </w:p>
        </w:tc>
      </w:tr>
      <w:tr w14:paraId="3204D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A879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FA23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智能交互人体骨骼系统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8558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AI大模型-人体骨骼系统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人体骨骼系统是人体的坚固支架，成人的骨骼由206块骨头组成，这些骨头通过关节、软骨和韧带相互连接。它像积木一样支撑身体，让我们能站立和奔跑。头部的颅骨保护大脑，胸部的肋骨形成笼子状结构，守护心脏和肺部等重要器官。骨骼与肌肉合作完成动作。骨头内部藏着骨髓，其中红骨髓负责制造血液细胞，黄骨髓则储存能量。骨骼表面覆盖着光滑的软骨，能减少运动时的摩擦，而坚韧的韧带把骨头牢牢固定，防止关节脱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语音唤醒词：您好，骨骼</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语音命令词：额骨；颈椎；眉弓；锁骨；胸骨等，具体参见水晶上名称。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右侧AI大模型互动屏幕，你可以语音交互，问更深入的相关问题，可获得更多详细的科普解答。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1.高级主控板：采用国产的高性能芯片作为主控芯片。其是一款低功耗、高性能处理器，适用于 ARM 架构的 PC 和边缘计算设备、个人移动互联网设备和智能电视盒子等其他数字多媒体应用。该主板可运行Linux系统或安卓系统。可以运行各种大模型app，比如豆包爱学，秘塔AI搜索，通义千问，Deepseek等。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☆2.≥8个触点的炫彩RGB触摸模块，接口为RJ11接口，带芯片，实现单总线协议，无需对色标。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3.黑色阳极氧化铝合金六边形框，带M4螺孔，便于安装固定于墙面，高透明面框，便于学生看到内部实现原理。六边形对边尺寸大于340mm,厚度小于85mm，≥5个过线孔。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4.金属材质黑色六边形底框，6个螺丝安装孔，六边形对边尺寸大于360mm,厚度小于42mm。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5.电源转接板支持6~12V电压，≥3个D2.1-5.5防反接电源接口，≥4个RJ11接口，≥2个按键输入接口，≥2个电机输出接口，≥2个可调电位器。拥有一个电源总控制开关接口。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6.配置12V电源适配器，具有过载保护，外接220V标准电源。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7.高亮度COB01 RGB灯条，环形固定在六边形内框，不外露又能实现炫彩灯光效果，光均称无阴影。可用遥控器或者app控制灯条颜色。</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8.配置国产嵌入式芯片语音AI交互主控板1块，≥2个喇叭，≥2个麦克风，≥5英寸的彩屏，1个离线语音识别模块，≥8个触摸点的炫彩RGB触摸模块1个，人体骨骼模型1个，开关按键≥1个，高亮度炫彩COB01 RGB灯条≥1根，COB01 RGB灯条长度≥1250mm，阳极氧化铝合金六边形框≥1套、透明面框≥1套、底板≥1套、安装底座≥1套、适配器≥1个，电源转接板≥1个。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9.一体式安装，现场无需再DIY组装，插上电源，固定螺钉即可使用。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10.案例框支持任意组合，可以是一朵花的样式，可以是相互拼接，也可以单独安装。</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4E7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6E6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684C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E22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28D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智能交互豆芽发芽过程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6CBD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小麦发芽过程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小麦是最重要的粮食作物之一，跟水稻和玉米三种作物占世界上食物的一半以上。认识小麦的发芽过程可以让我们知道粮食作物小麦生长过程。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语音唤醒词：你好，小麦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语音命令词：吸水膨胀；胚部萌动；种皮破裂；胚根生长；胚芽鞘伸出；第一真叶展开；幼苗形成；麦穗。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右边AI大模型互动屏幕，你可以语音交互，问更深入的相关问题，可获得更多详细的科普解答。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0.总体介绍：xxx</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 吸水膨胀（0-12小时）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干燥麦粒吸水后体积膨胀1.5倍，种皮软化。细胞通过渗透作用吸收水分，激活胚乳中的淀粉酶和蛋白酶，启动胚的活化。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胚根萌发（24-48小时）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胚根突破种皮形成主根，同时胚乳中的淀粉被分解为葡萄糖，蛋白质转化为氨基酸，为生长提供能量。此阶段种子呼吸作用增强，释放二氧化碳和水。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胚轴伸长（48-72小时）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胚轴细胞在生长素作用下纵向分裂，日均增长1-2厘米。胚芽鞘向上生长，真叶逐渐展开，叶绿体开始形成，为后续光合作用奠定基础。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子叶展开（72小时+）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子叶完全展开后，叶绿体通过光合作用合成有机物，此时小麦芽维生素C含量较种子提升5-6倍，纤维素结构增强茎叶支撑力。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1.高级主控板：采用国产的高性能芯片作为主控芯片。其是一款低功耗、高性能处理器，适用于 ARM 架构的 PC 和边缘计算设备、个人移动互联网设备和智能电视盒子等其他数字多媒体应用。该主板可运行Linux系统或安卓系统。可以运行各种大模型app，比如豆包爱学，秘塔AI搜索，通义千问，Deepseek等。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☆2.≥8个触点的炫彩RGB触摸模块，接口为RJ11接口，带芯片，实现单总线协议，无需对色标。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3.黑色阳极氧化铝合金六边形框，带M4螺孔，便于安装固定于墙面，高透明面框，便于学生看到内部实现原理。六边形对边尺寸大于340mm,厚度小于85mm，≥5个过线孔。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4.金属材质黑色六边形底框，6个螺丝安装孔，六边形对边尺寸大于360mm,厚度小于42mm。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5.主板接口及电子模块接口均为RJ11接口，其中电子模块大部分带芯片，方便插接，无需对色标，即插即用，带反接和防松功能，降低学习门槛。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6.电源转接板支持6~12V电压，≥3个D2.1-5.5防反接电源接口，≥4个RJ11接口，≥2个按键输入接口，≥2个电机输出接口，≥2个可调电位器。拥有一个电源总控制开关接口。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7.配置12V电源适配器，具有过载保护，外接220V标准电源。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8.配置≥1个高性能人工智能主控板，可播放音频的喇叭≥1个，≥2个麦克风，≥5英寸的彩屏≥1个，离线语音语音识别模块≥1个，≥8个触摸点的炫彩RGB触摸模块1个，高亮度炫彩COB01 RGB灯条≥1根，COB01 RGB灯条长≥1250mm，豆芽生长模型≥1个，阳极氧化铝合金六边形框≥1套、透明面框≥1套、底板≥1套、安装底座≥1套、适配器≥1个，电源转接板≥1个。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9.一体式安装，现场无需再DIY组装，可以实现观察到豆芽生长阶段的各个形态，同时可以进行语音交互的方式进行相关知识的科普。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10.案例框支持任意组合，可以是一朵花的样式，可以是相互拼接，也可以单独安装。</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7A4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94E0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D527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252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BB1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图书展示柜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DB4F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根据墙面尺寸定制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规格：≥5000×400×2200mm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材质：主体采用16mm三聚氰胺双面板，层板采用18mm三聚氰胺双面板；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结构：上部搁架；下部板式对开门，设一层隔板；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工艺：截面1.5mm厚塑制优质封边条机械封边。</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2EF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597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w:t>
            </w:r>
          </w:p>
        </w:tc>
      </w:tr>
      <w:tr w14:paraId="66210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15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E74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环境提升</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ED0D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1、地面改造，原地面打磨、清洁，表层采用3㎜PVC铺装；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2、墙面改造，原墙体铲除及二次粉刷；室外走廊展板设计实施1套，室内文化展板2套，作品展示墙2套；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3、顶面改造，一间铝方通造型吊顶，一间铝扣板集成吊顶；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4、电路改造，根据设计布局改动强弱电点位，以便于接通专用设备用电需求；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5、水路改造，根据设计布局改动上水管、排水管的位置，对应设备用水需求；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6、垃圾清运。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B2F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BF9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r>
    </w:tbl>
    <w:p w14:paraId="087B0950">
      <w:pPr>
        <w:pStyle w:val="17"/>
        <w:rPr>
          <w:rFonts w:hint="eastAsia"/>
          <w:color w:val="auto"/>
          <w:highlight w:val="none"/>
          <w:lang w:val="en-US" w:eastAsia="zh-CN"/>
        </w:rPr>
      </w:pPr>
    </w:p>
    <w:p w14:paraId="73FBFD09">
      <w:pPr>
        <w:pStyle w:val="17"/>
        <w:rPr>
          <w:rFonts w:ascii="宋体" w:hAnsi="宋体" w:eastAsia="宋体" w:cs="宋体"/>
          <w:color w:val="auto"/>
          <w:spacing w:val="0"/>
          <w:position w:val="0"/>
          <w:sz w:val="24"/>
          <w:highlight w:val="none"/>
          <w:shd w:val="clear" w:fill="auto"/>
        </w:rPr>
      </w:pPr>
    </w:p>
    <w:p w14:paraId="2905E7C2">
      <w:pPr>
        <w:pStyle w:val="8"/>
        <w:rPr>
          <w:color w:val="auto"/>
          <w:highlight w:val="none"/>
        </w:rPr>
      </w:pPr>
    </w:p>
    <w:p w14:paraId="1CCBAF6E">
      <w:pPr>
        <w:pStyle w:val="17"/>
        <w:rPr>
          <w:color w:val="auto"/>
          <w:highlight w:val="none"/>
        </w:rPr>
      </w:pPr>
    </w:p>
    <w:p w14:paraId="379764A5">
      <w:pPr>
        <w:rPr>
          <w:rFonts w:hint="default"/>
          <w:color w:val="auto"/>
          <w:highlight w:val="none"/>
          <w:lang w:val="en-US" w:eastAsia="zh-CN"/>
        </w:rPr>
      </w:pPr>
    </w:p>
    <w:p w14:paraId="68E1B44A">
      <w:pPr>
        <w:spacing w:before="0" w:after="0" w:line="480" w:lineRule="auto"/>
        <w:ind w:right="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2、售后服务内容及要求：</w:t>
      </w:r>
    </w:p>
    <w:p w14:paraId="6300C746">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2.1质量保证：按双方签订合同时的约定执行。</w:t>
      </w:r>
    </w:p>
    <w:p w14:paraId="3A64C92F">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2.2售后服务：免费质保</w:t>
      </w:r>
      <w:r>
        <w:rPr>
          <w:rFonts w:hint="eastAsia" w:ascii="Times New Roman" w:hAnsi="Times New Roman" w:eastAsia="宋体" w:cs="Times New Roman"/>
          <w:color w:val="auto"/>
          <w:spacing w:val="0"/>
          <w:position w:val="0"/>
          <w:sz w:val="21"/>
          <w:highlight w:val="none"/>
          <w:shd w:val="clear" w:fill="FFFFFF"/>
          <w:lang w:val="en-US" w:eastAsia="zh-CN"/>
        </w:rPr>
        <w:t>3</w:t>
      </w:r>
      <w:r>
        <w:rPr>
          <w:rFonts w:ascii="宋体" w:hAnsi="宋体" w:eastAsia="宋体" w:cs="宋体"/>
          <w:color w:val="auto"/>
          <w:spacing w:val="0"/>
          <w:position w:val="0"/>
          <w:sz w:val="24"/>
          <w:highlight w:val="none"/>
          <w:shd w:val="clear" w:fill="auto"/>
        </w:rPr>
        <w:t>年,在接到采购方服务请求后，</w:t>
      </w:r>
      <w:r>
        <w:rPr>
          <w:rFonts w:hint="eastAsia" w:ascii="Times New Roman" w:hAnsi="Times New Roman" w:eastAsia="宋体" w:cs="Times New Roman"/>
          <w:color w:val="auto"/>
          <w:spacing w:val="0"/>
          <w:position w:val="0"/>
          <w:sz w:val="21"/>
          <w:highlight w:val="none"/>
          <w:shd w:val="clear" w:fill="FFFFFF"/>
          <w:lang w:val="en-US" w:eastAsia="zh-CN"/>
        </w:rPr>
        <w:t>4</w:t>
      </w:r>
      <w:r>
        <w:rPr>
          <w:rFonts w:ascii="宋体" w:hAnsi="宋体" w:eastAsia="宋体" w:cs="宋体"/>
          <w:color w:val="auto"/>
          <w:spacing w:val="0"/>
          <w:position w:val="0"/>
          <w:sz w:val="24"/>
          <w:highlight w:val="none"/>
          <w:shd w:val="clear" w:fill="auto"/>
        </w:rPr>
        <w:t>小时响应，</w:t>
      </w:r>
      <w:r>
        <w:rPr>
          <w:rFonts w:hint="eastAsia" w:ascii="Times New Roman" w:hAnsi="Times New Roman" w:eastAsia="宋体" w:cs="Times New Roman"/>
          <w:color w:val="auto"/>
          <w:spacing w:val="0"/>
          <w:position w:val="0"/>
          <w:sz w:val="21"/>
          <w:highlight w:val="none"/>
          <w:shd w:val="clear" w:fill="FFFFFF"/>
          <w:lang w:val="en-US" w:eastAsia="zh-CN"/>
        </w:rPr>
        <w:t>24</w:t>
      </w:r>
      <w:r>
        <w:rPr>
          <w:rFonts w:ascii="宋体" w:hAnsi="宋体" w:eastAsia="宋体" w:cs="宋体"/>
          <w:color w:val="auto"/>
          <w:spacing w:val="0"/>
          <w:position w:val="0"/>
          <w:sz w:val="24"/>
          <w:highlight w:val="none"/>
          <w:shd w:val="clear" w:fill="auto"/>
        </w:rPr>
        <w:t>小时内上门解决问题；质保期内提供免费上门服务，质保期外的收费按相关行业规则或由双方协商收取。</w:t>
      </w:r>
    </w:p>
    <w:p w14:paraId="3CAE4B03">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2.3交货地点：采购人指定地点。</w:t>
      </w:r>
    </w:p>
    <w:p w14:paraId="57F2BB19">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2.4交货日期：</w:t>
      </w:r>
      <w:r>
        <w:rPr>
          <w:rFonts w:hint="eastAsia" w:ascii="宋体" w:hAnsi="宋体" w:eastAsia="宋体" w:cs="宋体"/>
          <w:color w:val="auto"/>
          <w:spacing w:val="0"/>
          <w:position w:val="0"/>
          <w:sz w:val="24"/>
          <w:highlight w:val="none"/>
          <w:shd w:val="clear" w:fill="auto"/>
          <w:lang w:val="en-US" w:eastAsia="zh-CN"/>
        </w:rPr>
        <w:t>见磋商公告</w:t>
      </w:r>
      <w:r>
        <w:rPr>
          <w:rFonts w:ascii="宋体" w:hAnsi="宋体" w:eastAsia="宋体" w:cs="宋体"/>
          <w:color w:val="auto"/>
          <w:spacing w:val="0"/>
          <w:position w:val="0"/>
          <w:sz w:val="24"/>
          <w:highlight w:val="none"/>
          <w:shd w:val="clear" w:fill="auto"/>
        </w:rPr>
        <w:t>。</w:t>
      </w:r>
    </w:p>
    <w:p w14:paraId="05B75D46">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2.1验收：由最终用户组织验收。</w:t>
      </w:r>
    </w:p>
    <w:p w14:paraId="4A183691">
      <w:pPr>
        <w:spacing w:before="0" w:after="120" w:line="415" w:lineRule="auto"/>
        <w:ind w:left="0" w:right="0" w:firstLine="480"/>
        <w:jc w:val="center"/>
        <w:rPr>
          <w:rFonts w:ascii="宋体" w:hAnsi="宋体" w:eastAsia="宋体" w:cs="宋体"/>
          <w:color w:val="auto"/>
          <w:spacing w:val="0"/>
          <w:position w:val="0"/>
          <w:sz w:val="24"/>
          <w:highlight w:val="none"/>
          <w:shd w:val="clear" w:fill="auto"/>
        </w:rPr>
      </w:pPr>
    </w:p>
    <w:p w14:paraId="772681E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175033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F99BA07">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FC867D6">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2AB476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5AC77D2">
      <w:pPr>
        <w:spacing w:before="0" w:after="0" w:line="480" w:lineRule="auto"/>
        <w:ind w:left="0" w:right="0" w:firstLine="0"/>
        <w:jc w:val="center"/>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t>第四章  响应性文件内容及格式</w:t>
      </w:r>
    </w:p>
    <w:p w14:paraId="2544E88C">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195B66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7F9D1D2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0C328D15">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24303FE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30B2D84D">
      <w:pPr>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br w:type="page"/>
      </w:r>
    </w:p>
    <w:p w14:paraId="0E1A41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4B8432E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AECE90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14C203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格式2-1</w:t>
      </w:r>
    </w:p>
    <w:p w14:paraId="0A50E34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39F1686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42F0ED8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24B199E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同志，系我单位法定代表人，任</w:t>
      </w:r>
    </w:p>
    <w:p w14:paraId="7FE3642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职务。</w:t>
      </w:r>
    </w:p>
    <w:p w14:paraId="24CF87C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14D59D5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33E7D552">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3"/>
        <w:tblW w:w="0" w:type="auto"/>
        <w:tblInd w:w="0" w:type="dxa"/>
        <w:tblLayout w:type="autofit"/>
        <w:tblCellMar>
          <w:top w:w="0" w:type="dxa"/>
          <w:left w:w="10" w:type="dxa"/>
          <w:bottom w:w="0" w:type="dxa"/>
          <w:right w:w="10" w:type="dxa"/>
        </w:tblCellMar>
      </w:tblPr>
      <w:tblGrid>
        <w:gridCol w:w="5328"/>
      </w:tblGrid>
      <w:tr w14:paraId="2611FABD">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39B00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DAD02C0">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099EECF">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153E61B3">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1BB0438A">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57F2E1A1">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187D38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640AE7D">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78D5D47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1CA685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FF4A9E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2A2B9A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7BE280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54B892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F833516">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1303774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格式2-2</w:t>
      </w:r>
    </w:p>
    <w:p w14:paraId="2BEE9DC0">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56DAEE57">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360B201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1A09F16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6842E3D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430B5F4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C0E2A2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53CC6DD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1B98748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0035212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7C3C271D">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BC754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A131361">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63C03F8B">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19E6806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37631D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C54068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E4E4B1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550592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2FB3C5E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C4CF2F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33F408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F1E964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987713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9455A0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5DE3C5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000D8A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05FE3E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6FA73A9">
      <w:pPr>
        <w:pStyle w:val="18"/>
        <w:rPr>
          <w:color w:val="auto"/>
          <w:highlight w:val="none"/>
        </w:rPr>
      </w:pPr>
    </w:p>
    <w:p w14:paraId="333CD556">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A7160A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格式2-3</w:t>
      </w:r>
    </w:p>
    <w:p w14:paraId="3D11D2FC">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7BB9E45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8C09135">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8EE774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0DBB9A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1B0AD8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35714D76">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6DF73673">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7F82484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55BE987">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49D935F2">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6208884B">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3B51143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0661C3D5">
      <w:pPr>
        <w:numPr>
          <w:ilvl w:val="0"/>
          <w:numId w:val="27"/>
        </w:num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730523EC">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3CB80193">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6F04CC3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0EF2AE1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01273A3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3874129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12BB34DC">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42783259">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12EE8E03">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0EFB3EBE">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3E0DF9F6">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6959F309">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26954DF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57A9F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1523CD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F104197">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53F5F3E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32A350B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2F8D277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格式4</w:t>
      </w:r>
    </w:p>
    <w:p w14:paraId="3AFF9E2F">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3"/>
        <w:tblW w:w="0" w:type="auto"/>
        <w:jc w:val="center"/>
        <w:tblLayout w:type="autofit"/>
        <w:tblCellMar>
          <w:top w:w="0" w:type="dxa"/>
          <w:left w:w="10" w:type="dxa"/>
          <w:bottom w:w="0" w:type="dxa"/>
          <w:right w:w="10" w:type="dxa"/>
        </w:tblCellMar>
      </w:tblPr>
      <w:tblGrid>
        <w:gridCol w:w="2368"/>
        <w:gridCol w:w="6154"/>
      </w:tblGrid>
      <w:tr w14:paraId="1DEB4984">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6E0FE6">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A21C2">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7CD4A08C">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4C4CB">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DE5230">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740BB15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5B6B3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57001613">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9407E">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214FD6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ACBF2">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BE657">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50C47EA8">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7C4AF51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4DC1515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34F37A2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054C0B0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格式5</w:t>
      </w:r>
    </w:p>
    <w:p w14:paraId="31CD7AC4">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5EE760F6">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谈判供应商名称：</w:t>
      </w:r>
    </w:p>
    <w:p w14:paraId="63D26CC9">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3"/>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03B64C95">
        <w:tblPrEx>
          <w:tblCellMar>
            <w:top w:w="0" w:type="dxa"/>
            <w:left w:w="10" w:type="dxa"/>
            <w:bottom w:w="0" w:type="dxa"/>
            <w:right w:w="10" w:type="dxa"/>
          </w:tblCellMar>
        </w:tblPrEx>
        <w:trPr>
          <w:trHeight w:val="0" w:hRule="atLeast"/>
        </w:trPr>
        <w:tc>
          <w:tcPr>
            <w:tcW w:w="806"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452F1A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08E4E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76277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66ACF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FB1469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1C9F4B90">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84F5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0B071B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878B0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994174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EF4B3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02C4E3A">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828E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B4F581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CA86B4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AACF6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21E6EB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EF9582C">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381C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B37181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A2699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33ECA8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C0DD4A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C6B8F7F">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5415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A91BCD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509D08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557DB0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B876EA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AAA138E">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C667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0C7F7D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880AE2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4E04D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6C7CE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2A50143">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27CF8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EB36D7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E61CB0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7A3BA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42F52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EC94139">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66E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059308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814AB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F6C7DD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4B2064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BCECD4B">
        <w:tblPrEx>
          <w:tblCellMar>
            <w:top w:w="0" w:type="dxa"/>
            <w:left w:w="10" w:type="dxa"/>
            <w:bottom w:w="0" w:type="dxa"/>
            <w:right w:w="10" w:type="dxa"/>
          </w:tblCellMar>
        </w:tblPrEx>
        <w:trPr>
          <w:trHeight w:val="0" w:hRule="atLeast"/>
        </w:trPr>
        <w:tc>
          <w:tcPr>
            <w:tcW w:w="8522"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FF4CDF">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60300285">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0F9032AF">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7821DEC2">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谈判供应商代表签字：谈判供应商公章日期：</w:t>
      </w:r>
    </w:p>
    <w:p w14:paraId="56A8472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4CD1A3E">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4C75C7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格式6                     </w:t>
      </w:r>
      <w:r>
        <w:rPr>
          <w:rFonts w:ascii="宋体" w:hAnsi="宋体" w:eastAsia="宋体" w:cs="宋体"/>
          <w:b/>
          <w:color w:val="auto"/>
          <w:spacing w:val="0"/>
          <w:position w:val="0"/>
          <w:sz w:val="24"/>
          <w:highlight w:val="none"/>
          <w:shd w:val="clear" w:fill="auto"/>
        </w:rPr>
        <w:t>技术参数响应表</w:t>
      </w:r>
    </w:p>
    <w:p w14:paraId="71B57EB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A49ECB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3"/>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DCF889D">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5B41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7AA7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716E7BC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29A7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19AF3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FA18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D47F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1DA4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3139449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425F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22E3B">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2E55AB">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C18367">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BAEED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6C312B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073A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BFF0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9E38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684D5">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89574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847431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D316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0E42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6D8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6B52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CF7D7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AF0AC2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83F1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5C417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F007E">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92E7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2720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6A711C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DA10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3A41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39E7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ECCC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954E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F16DCE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4E0C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16CD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1A9AB">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E9E4A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EA909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0963FC6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E0E928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70D6E70C">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D9BA744">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5694298A">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6E9532A">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4E97A054">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28AADBA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格式7</w:t>
      </w:r>
    </w:p>
    <w:p w14:paraId="5DFAB3D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1AB134E6">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4F1FA29B">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176ED904">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14D8CB3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A62B42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7778F0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56B2E9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FF6049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77F374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7FF9CF1">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5CF8B4CA">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0044F1E">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04247D2F">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3097E22E">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21FA9121">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4FFE016B">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7FC950AE">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格式8</w:t>
      </w:r>
    </w:p>
    <w:p w14:paraId="626CF5B2">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5CBEC2A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F1CB86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DF22E6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E6821E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AEB278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EF8027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3A38FA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0215CDB">
      <w:pPr>
        <w:pStyle w:val="17"/>
        <w:rPr>
          <w:color w:val="auto"/>
          <w:highlight w:val="none"/>
        </w:rPr>
      </w:pPr>
    </w:p>
    <w:p w14:paraId="14B1D6E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D527AC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7D4F48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3E2AB0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2AB1F5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6C6E3D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99ED84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71343F6">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89AB25E">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4AE511A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EA57F1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222A050">
      <w:pPr>
        <w:pStyle w:val="17"/>
        <w:rPr>
          <w:rFonts w:ascii="宋体" w:hAnsi="宋体" w:eastAsia="宋体" w:cs="宋体"/>
          <w:b/>
          <w:color w:val="auto"/>
          <w:spacing w:val="0"/>
          <w:position w:val="0"/>
          <w:sz w:val="24"/>
          <w:highlight w:val="none"/>
          <w:shd w:val="clear" w:fill="auto"/>
        </w:rPr>
      </w:pPr>
    </w:p>
    <w:p w14:paraId="0B1E4DA3">
      <w:pPr>
        <w:pStyle w:val="8"/>
        <w:rPr>
          <w:rFonts w:ascii="宋体" w:hAnsi="宋体" w:eastAsia="宋体" w:cs="宋体"/>
          <w:b/>
          <w:color w:val="auto"/>
          <w:spacing w:val="0"/>
          <w:position w:val="0"/>
          <w:sz w:val="24"/>
          <w:highlight w:val="none"/>
          <w:shd w:val="clear" w:fill="auto"/>
        </w:rPr>
      </w:pPr>
    </w:p>
    <w:p w14:paraId="6FFD6A6E">
      <w:pPr>
        <w:rPr>
          <w:rFonts w:ascii="宋体" w:hAnsi="宋体" w:eastAsia="宋体" w:cs="宋体"/>
          <w:b/>
          <w:color w:val="auto"/>
          <w:spacing w:val="0"/>
          <w:position w:val="0"/>
          <w:sz w:val="24"/>
          <w:highlight w:val="none"/>
          <w:shd w:val="clear" w:fill="auto"/>
        </w:rPr>
      </w:pPr>
    </w:p>
    <w:p w14:paraId="0A327797">
      <w:pPr>
        <w:pStyle w:val="17"/>
        <w:rPr>
          <w:rFonts w:ascii="宋体" w:hAnsi="宋体" w:eastAsia="宋体" w:cs="宋体"/>
          <w:b/>
          <w:color w:val="auto"/>
          <w:spacing w:val="0"/>
          <w:position w:val="0"/>
          <w:sz w:val="24"/>
          <w:highlight w:val="none"/>
          <w:shd w:val="clear" w:fill="auto"/>
        </w:rPr>
      </w:pPr>
    </w:p>
    <w:p w14:paraId="2D979D50">
      <w:pPr>
        <w:pStyle w:val="8"/>
        <w:rPr>
          <w:rFonts w:ascii="宋体" w:hAnsi="宋体" w:eastAsia="宋体" w:cs="宋体"/>
          <w:b/>
          <w:color w:val="auto"/>
          <w:spacing w:val="0"/>
          <w:position w:val="0"/>
          <w:sz w:val="24"/>
          <w:highlight w:val="none"/>
          <w:shd w:val="clear" w:fill="auto"/>
        </w:rPr>
      </w:pPr>
    </w:p>
    <w:p w14:paraId="5AE20D31">
      <w:pPr>
        <w:rPr>
          <w:rFonts w:ascii="宋体" w:hAnsi="宋体" w:eastAsia="宋体" w:cs="宋体"/>
          <w:b/>
          <w:color w:val="auto"/>
          <w:spacing w:val="0"/>
          <w:position w:val="0"/>
          <w:sz w:val="24"/>
          <w:highlight w:val="none"/>
          <w:shd w:val="clear" w:fill="auto"/>
        </w:rPr>
      </w:pPr>
    </w:p>
    <w:p w14:paraId="59D6B2EF">
      <w:pPr>
        <w:pStyle w:val="17"/>
        <w:rPr>
          <w:rFonts w:ascii="宋体" w:hAnsi="宋体" w:eastAsia="宋体" w:cs="宋体"/>
          <w:b/>
          <w:color w:val="auto"/>
          <w:spacing w:val="0"/>
          <w:position w:val="0"/>
          <w:sz w:val="24"/>
          <w:highlight w:val="none"/>
          <w:shd w:val="clear" w:fill="auto"/>
        </w:rPr>
      </w:pPr>
    </w:p>
    <w:p w14:paraId="7BBA0964">
      <w:pPr>
        <w:pStyle w:val="8"/>
        <w:rPr>
          <w:rFonts w:ascii="宋体" w:hAnsi="宋体" w:eastAsia="宋体" w:cs="宋体"/>
          <w:b/>
          <w:color w:val="auto"/>
          <w:spacing w:val="0"/>
          <w:position w:val="0"/>
          <w:sz w:val="24"/>
          <w:highlight w:val="none"/>
          <w:shd w:val="clear" w:fill="auto"/>
        </w:rPr>
      </w:pPr>
    </w:p>
    <w:p w14:paraId="636493DB">
      <w:pPr>
        <w:rPr>
          <w:rFonts w:ascii="宋体" w:hAnsi="宋体" w:eastAsia="宋体" w:cs="宋体"/>
          <w:b/>
          <w:color w:val="auto"/>
          <w:spacing w:val="0"/>
          <w:position w:val="0"/>
          <w:sz w:val="24"/>
          <w:highlight w:val="none"/>
          <w:shd w:val="clear" w:fill="auto"/>
        </w:rPr>
      </w:pPr>
    </w:p>
    <w:p w14:paraId="3AAC04DC">
      <w:pPr>
        <w:pStyle w:val="17"/>
        <w:rPr>
          <w:rFonts w:ascii="宋体" w:hAnsi="宋体" w:eastAsia="宋体" w:cs="宋体"/>
          <w:b/>
          <w:color w:val="auto"/>
          <w:spacing w:val="0"/>
          <w:position w:val="0"/>
          <w:sz w:val="24"/>
          <w:highlight w:val="none"/>
          <w:shd w:val="clear" w:fill="auto"/>
        </w:rPr>
      </w:pPr>
    </w:p>
    <w:p w14:paraId="2A5670B3">
      <w:pPr>
        <w:pStyle w:val="8"/>
        <w:rPr>
          <w:rFonts w:ascii="宋体" w:hAnsi="宋体" w:eastAsia="宋体" w:cs="宋体"/>
          <w:b/>
          <w:color w:val="auto"/>
          <w:spacing w:val="0"/>
          <w:position w:val="0"/>
          <w:sz w:val="24"/>
          <w:highlight w:val="none"/>
          <w:shd w:val="clear" w:fill="auto"/>
        </w:rPr>
      </w:pPr>
    </w:p>
    <w:p w14:paraId="05DD05D9">
      <w:pPr>
        <w:rPr>
          <w:color w:val="auto"/>
          <w:highlight w:val="none"/>
        </w:rPr>
      </w:pPr>
    </w:p>
    <w:p w14:paraId="24F0E3E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579A61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格式9</w:t>
      </w:r>
    </w:p>
    <w:p w14:paraId="0620CC5A">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5B4817B2">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6096CD4F">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AE0B36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7EB92E0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0E93B2CF">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7CB1DF9D">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4C38496F">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93FB488">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627F18E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714BE7B">
      <w:pPr>
        <w:rPr>
          <w:rFonts w:hint="eastAsia"/>
          <w:color w:val="auto"/>
          <w:highlight w:val="none"/>
        </w:rPr>
      </w:pPr>
    </w:p>
    <w:p w14:paraId="520B24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2EF2D1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0B07958E">
      <w:pPr>
        <w:pStyle w:val="8"/>
        <w:rPr>
          <w:rFonts w:ascii="宋体" w:hAnsi="宋体" w:eastAsia="宋体" w:cs="宋体"/>
          <w:color w:val="auto"/>
          <w:spacing w:val="0"/>
          <w:position w:val="0"/>
          <w:sz w:val="24"/>
          <w:highlight w:val="none"/>
          <w:shd w:val="clear" w:fill="auto"/>
        </w:rPr>
      </w:pPr>
    </w:p>
    <w:p w14:paraId="0ED9C606">
      <w:pPr>
        <w:rPr>
          <w:color w:val="auto"/>
          <w:highlight w:val="none"/>
        </w:rPr>
      </w:pPr>
    </w:p>
    <w:p w14:paraId="2FDAF9B3">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 xml:space="preserve">  其他资料</w:t>
      </w:r>
    </w:p>
    <w:p w14:paraId="3DF8AB0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7C79CE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C3E690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654E47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0651DC8">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883194A">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7D00396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2C21FAA">
      <w:pPr>
        <w:spacing w:before="0" w:after="0" w:line="360" w:lineRule="auto"/>
        <w:ind w:left="0" w:right="0" w:firstLine="0"/>
        <w:jc w:val="both"/>
        <w:rPr>
          <w:rFonts w:hint="eastAsia" w:ascii="宋体" w:hAnsi="宋体" w:eastAsia="宋体" w:cs="宋体"/>
          <w:b/>
          <w:color w:val="auto"/>
          <w:spacing w:val="0"/>
          <w:position w:val="0"/>
          <w:sz w:val="21"/>
          <w:szCs w:val="21"/>
          <w:highlight w:val="none"/>
          <w:shd w:val="clear" w:fill="auto"/>
          <w:lang w:eastAsia="zh-CN"/>
        </w:rPr>
      </w:pPr>
      <w:r>
        <w:rPr>
          <w:rFonts w:hint="eastAsia" w:ascii="宋体" w:hAnsi="宋体" w:eastAsia="宋体" w:cs="宋体"/>
          <w:color w:val="auto"/>
          <w:spacing w:val="0"/>
          <w:position w:val="0"/>
          <w:sz w:val="21"/>
          <w:szCs w:val="21"/>
          <w:highlight w:val="none"/>
          <w:shd w:val="clear" w:fill="auto"/>
        </w:rPr>
        <w:t>格式1</w:t>
      </w:r>
      <w:r>
        <w:rPr>
          <w:rFonts w:hint="eastAsia" w:ascii="宋体" w:hAnsi="宋体" w:eastAsia="宋体" w:cs="宋体"/>
          <w:color w:val="auto"/>
          <w:spacing w:val="0"/>
          <w:position w:val="0"/>
          <w:sz w:val="21"/>
          <w:szCs w:val="21"/>
          <w:highlight w:val="none"/>
          <w:shd w:val="clear" w:fill="auto"/>
          <w:lang w:val="en-US" w:eastAsia="zh-CN"/>
        </w:rPr>
        <w:t>1</w:t>
      </w:r>
    </w:p>
    <w:p w14:paraId="0DD6A706">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29660C2C">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044A8635">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F2D704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142365C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4FEEEDE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46CA4A5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32D8818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6387580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672F11D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0EB9288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33A9CC4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4253FCB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0713EF6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E51241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173CC6F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6037F61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1BAA186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1FB1D92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026AB6CC">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325E9952">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20DE5618">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44190814">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206F133B">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10331E39">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208BFAF6">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6BBD437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3CD28278">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ABCCDE4">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5BC45CE6">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56A8BA8C">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568DA2C4">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3CC39F31">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4C908CA3">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54A827FB">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524A33">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44189766">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2065478">
      <w:pPr>
        <w:pStyle w:val="17"/>
        <w:rPr>
          <w:rFonts w:hint="eastAsia" w:ascii="宋体" w:hAnsi="宋体" w:eastAsia="宋体" w:cs="宋体"/>
          <w:b/>
          <w:color w:val="auto"/>
          <w:spacing w:val="0"/>
          <w:position w:val="0"/>
          <w:sz w:val="21"/>
          <w:szCs w:val="21"/>
          <w:highlight w:val="none"/>
          <w:shd w:val="clear" w:fill="auto"/>
        </w:rPr>
      </w:pPr>
    </w:p>
    <w:p w14:paraId="20484719">
      <w:pPr>
        <w:pStyle w:val="8"/>
        <w:rPr>
          <w:rFonts w:ascii="宋体" w:hAnsi="宋体" w:eastAsia="宋体" w:cs="宋体"/>
          <w:b/>
          <w:color w:val="auto"/>
          <w:spacing w:val="0"/>
          <w:position w:val="0"/>
          <w:sz w:val="28"/>
          <w:highlight w:val="none"/>
          <w:shd w:val="clear" w:fill="auto"/>
        </w:rPr>
      </w:pPr>
    </w:p>
    <w:p w14:paraId="35AF9336">
      <w:pPr>
        <w:rPr>
          <w:rFonts w:ascii="宋体" w:hAnsi="宋体" w:eastAsia="宋体" w:cs="宋体"/>
          <w:b/>
          <w:color w:val="auto"/>
          <w:spacing w:val="0"/>
          <w:position w:val="0"/>
          <w:sz w:val="28"/>
          <w:highlight w:val="none"/>
          <w:shd w:val="clear" w:fill="auto"/>
        </w:rPr>
      </w:pPr>
    </w:p>
    <w:p w14:paraId="38E0D731">
      <w:pPr>
        <w:pStyle w:val="17"/>
        <w:rPr>
          <w:rFonts w:ascii="宋体" w:hAnsi="宋体" w:eastAsia="宋体" w:cs="宋体"/>
          <w:b/>
          <w:color w:val="auto"/>
          <w:spacing w:val="0"/>
          <w:position w:val="0"/>
          <w:sz w:val="28"/>
          <w:highlight w:val="none"/>
          <w:shd w:val="clear" w:fill="auto"/>
        </w:rPr>
      </w:pPr>
    </w:p>
    <w:p w14:paraId="5C922B9C">
      <w:pPr>
        <w:pStyle w:val="8"/>
        <w:rPr>
          <w:rFonts w:ascii="宋体" w:hAnsi="宋体" w:eastAsia="宋体" w:cs="宋体"/>
          <w:b/>
          <w:color w:val="auto"/>
          <w:spacing w:val="0"/>
          <w:position w:val="0"/>
          <w:sz w:val="28"/>
          <w:highlight w:val="none"/>
          <w:shd w:val="clear" w:fill="auto"/>
        </w:rPr>
      </w:pPr>
    </w:p>
    <w:p w14:paraId="08EE8322">
      <w:pPr>
        <w:rPr>
          <w:rFonts w:ascii="宋体" w:hAnsi="宋体" w:eastAsia="宋体" w:cs="宋体"/>
          <w:b/>
          <w:color w:val="auto"/>
          <w:spacing w:val="0"/>
          <w:position w:val="0"/>
          <w:sz w:val="28"/>
          <w:highlight w:val="none"/>
          <w:shd w:val="clear" w:fill="auto"/>
        </w:rPr>
      </w:pPr>
    </w:p>
    <w:p w14:paraId="415088E1">
      <w:pPr>
        <w:pStyle w:val="17"/>
        <w:rPr>
          <w:rFonts w:ascii="宋体" w:hAnsi="宋体" w:eastAsia="宋体" w:cs="宋体"/>
          <w:b/>
          <w:color w:val="auto"/>
          <w:spacing w:val="0"/>
          <w:position w:val="0"/>
          <w:sz w:val="28"/>
          <w:highlight w:val="none"/>
          <w:shd w:val="clear" w:fill="auto"/>
        </w:rPr>
      </w:pPr>
    </w:p>
    <w:p w14:paraId="1DFBBCBF">
      <w:pPr>
        <w:pStyle w:val="8"/>
        <w:rPr>
          <w:rFonts w:ascii="宋体" w:hAnsi="宋体" w:eastAsia="宋体" w:cs="宋体"/>
          <w:b/>
          <w:color w:val="auto"/>
          <w:spacing w:val="0"/>
          <w:position w:val="0"/>
          <w:sz w:val="28"/>
          <w:highlight w:val="none"/>
          <w:shd w:val="clear" w:fill="auto"/>
        </w:rPr>
      </w:pPr>
    </w:p>
    <w:p w14:paraId="4B3F5E64">
      <w:pPr>
        <w:rPr>
          <w:rFonts w:ascii="宋体" w:hAnsi="宋体" w:eastAsia="宋体" w:cs="宋体"/>
          <w:b/>
          <w:color w:val="auto"/>
          <w:spacing w:val="0"/>
          <w:position w:val="0"/>
          <w:sz w:val="28"/>
          <w:highlight w:val="none"/>
          <w:shd w:val="clear" w:fill="auto"/>
        </w:rPr>
      </w:pPr>
    </w:p>
    <w:p w14:paraId="0731A3B8">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798CE393">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07EDE46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159701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48587F58">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52E7DC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72DF4A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C287523">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1F5473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06848F7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2DF94CC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1E3B793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69D9C5F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57F62BA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068C7A4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FC3BF2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2E6446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7F64425">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1E78AA9A">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115130B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5240BC7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7E0857D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75C373D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0EB7578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65E9F57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2BC930F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6B8F365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37CE8BF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08ED922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5394800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176EC3A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28936CC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65725B2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7606AA1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146D57D8">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5C20BF2A">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634AAD75">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5428CE12">
      <w:pPr>
        <w:widowControl w:val="0"/>
        <w:numPr>
          <w:ilvl w:val="0"/>
          <w:numId w:val="28"/>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3D8D3DF7">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30ECEB79">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28E8DD8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0CBC48DD">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31FF4D10">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77EC7EB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1F8C9BC4">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0526EA32">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28BCD80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30D6396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0ACA726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0977441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28A6FB7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2EB82CD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7A94216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1F46A8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4B598803">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CCB39A2">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A93A46">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39B150">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6C1DE0">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2B5768">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6AB36E2">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D5A2A6">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0F21AB3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BC4B5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A9549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3CF19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D6B4B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CF9EE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6C47A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DF9AD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391DB40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89132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5FBFE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D9B63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2CDE3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505E3C">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FA95F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FE8AC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1898064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170B1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8806C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AAEC5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AEA20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7FE8B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41511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9442B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629DB392">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6BAD3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66A0763C">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4AADE7F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4A964B8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28406D7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28565AE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2E04AA5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478B846">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5A4792F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341FB3A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504BCD7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440CEAB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1958B6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7B1CEE8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5DFAC1D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7C0EC7E2">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05B114E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4C8DE50A">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693A7EF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615F4BE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6278936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7DE61A0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31CD65E8">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2DD289A9">
      <w:pPr>
        <w:numPr>
          <w:ilvl w:val="0"/>
          <w:numId w:val="3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验收方法</w:t>
      </w:r>
    </w:p>
    <w:p w14:paraId="5D56C4E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5A73F2D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4432D78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CF0D76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3991709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4B90C1F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574C66E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17CA5C8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1FC77AA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4CF6DEE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7BC05C70">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382BE10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2A625A0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194CC95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57C1EE9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26E2FA5F">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773B745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622F24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0AE1544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46821CF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930C12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4275332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488F48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6333119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1E4C0950">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378D3E2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54210A5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4D39DFF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12C95133">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729A30C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80A81D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16EE367">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3DEB8C8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776F6EE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09B5ECF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7278AADE">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5C908D3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1C28EB6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78114F53">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49D3186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45811DE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106569F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74F1F2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4FEF8D4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1DC6C4DD">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3D61CB4C">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59F35E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04B9E8B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4C324E6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406A32F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78F6D19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283EAF6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7C88963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6F72985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1067778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68AD587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5B341500">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50DAE56E">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1625347B">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15AF8A92">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9C21D72-EDAE-407D-8CCC-FEB581217AE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embedRegular r:id="rId2" w:fontKey="{4300E6F6-0BA4-42AB-9252-F4393F086AA3}"/>
  </w:font>
  <w:font w:name="华文楷体">
    <w:panose1 w:val="02010600040101010101"/>
    <w:charset w:val="86"/>
    <w:family w:val="auto"/>
    <w:pitch w:val="default"/>
    <w:sig w:usb0="00000287" w:usb1="080F0000" w:usb2="00000000" w:usb3="00000000" w:csb0="0004009F" w:csb1="DFD70000"/>
  </w:font>
  <w:font w:name="Arial Black">
    <w:panose1 w:val="020B0A04020102020204"/>
    <w:charset w:val="00"/>
    <w:family w:val="auto"/>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embedRegular r:id="rId3" w:fontKey="{743C701D-DD5E-48CC-BC7F-F509D627C1CD}"/>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C90B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D7D50A">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DD7D50A">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CFE99AC6"/>
    <w:multiLevelType w:val="singleLevel"/>
    <w:tmpl w:val="CFE99AC6"/>
    <w:lvl w:ilvl="0" w:tentative="0">
      <w:start w:val="3"/>
      <w:numFmt w:val="chineseCounting"/>
      <w:suff w:val="space"/>
      <w:lvlText w:val="第%1章"/>
      <w:lvlJc w:val="left"/>
      <w:rPr>
        <w:rFonts w:hint="eastAsia"/>
      </w:rPr>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E93BD7E0"/>
    <w:multiLevelType w:val="singleLevel"/>
    <w:tmpl w:val="E93BD7E0"/>
    <w:lvl w:ilvl="0" w:tentative="0">
      <w:start w:val="1"/>
      <w:numFmt w:val="decimal"/>
      <w:suff w:val="nothing"/>
      <w:lvlText w:val="%1、"/>
      <w:lvlJc w:val="left"/>
    </w:lvl>
  </w:abstractNum>
  <w:abstractNum w:abstractNumId="12">
    <w:nsid w:val="F4B5D9F5"/>
    <w:multiLevelType w:val="singleLevel"/>
    <w:tmpl w:val="F4B5D9F5"/>
    <w:lvl w:ilvl="0" w:tentative="0">
      <w:start w:val="1"/>
      <w:numFmt w:val="bullet"/>
      <w:lvlText w:val="•"/>
      <w:lvlJc w:val="left"/>
    </w:lvl>
  </w:abstractNum>
  <w:abstractNum w:abstractNumId="13">
    <w:nsid w:val="0053208E"/>
    <w:multiLevelType w:val="singleLevel"/>
    <w:tmpl w:val="0053208E"/>
    <w:lvl w:ilvl="0" w:tentative="0">
      <w:start w:val="1"/>
      <w:numFmt w:val="bullet"/>
      <w:lvlText w:val="•"/>
      <w:lvlJc w:val="left"/>
    </w:lvl>
  </w:abstractNum>
  <w:abstractNum w:abstractNumId="14">
    <w:nsid w:val="0248C179"/>
    <w:multiLevelType w:val="singleLevel"/>
    <w:tmpl w:val="0248C179"/>
    <w:lvl w:ilvl="0" w:tentative="0">
      <w:start w:val="1"/>
      <w:numFmt w:val="bullet"/>
      <w:lvlText w:val="•"/>
      <w:lvlJc w:val="left"/>
    </w:lvl>
  </w:abstractNum>
  <w:abstractNum w:abstractNumId="15">
    <w:nsid w:val="03D62ECE"/>
    <w:multiLevelType w:val="singleLevel"/>
    <w:tmpl w:val="03D62ECE"/>
    <w:lvl w:ilvl="0" w:tentative="0">
      <w:start w:val="1"/>
      <w:numFmt w:val="bullet"/>
      <w:lvlText w:val="•"/>
      <w:lvlJc w:val="left"/>
    </w:lvl>
  </w:abstractNum>
  <w:abstractNum w:abstractNumId="16">
    <w:nsid w:val="0E640482"/>
    <w:multiLevelType w:val="singleLevel"/>
    <w:tmpl w:val="0E640482"/>
    <w:lvl w:ilvl="0" w:tentative="0">
      <w:start w:val="1"/>
      <w:numFmt w:val="bullet"/>
      <w:lvlText w:val="•"/>
      <w:lvlJc w:val="left"/>
    </w:lvl>
  </w:abstractNum>
  <w:abstractNum w:abstractNumId="17">
    <w:nsid w:val="2470EC97"/>
    <w:multiLevelType w:val="singleLevel"/>
    <w:tmpl w:val="2470EC97"/>
    <w:lvl w:ilvl="0" w:tentative="0">
      <w:start w:val="1"/>
      <w:numFmt w:val="bullet"/>
      <w:lvlText w:val="•"/>
      <w:lvlJc w:val="left"/>
    </w:lvl>
  </w:abstractNum>
  <w:abstractNum w:abstractNumId="18">
    <w:nsid w:val="25B654F3"/>
    <w:multiLevelType w:val="singleLevel"/>
    <w:tmpl w:val="25B654F3"/>
    <w:lvl w:ilvl="0" w:tentative="0">
      <w:start w:val="1"/>
      <w:numFmt w:val="bullet"/>
      <w:lvlText w:val="•"/>
      <w:lvlJc w:val="left"/>
    </w:lvl>
  </w:abstractNum>
  <w:abstractNum w:abstractNumId="19">
    <w:nsid w:val="2A8F537B"/>
    <w:multiLevelType w:val="singleLevel"/>
    <w:tmpl w:val="2A8F537B"/>
    <w:lvl w:ilvl="0" w:tentative="0">
      <w:start w:val="1"/>
      <w:numFmt w:val="bullet"/>
      <w:lvlText w:val="•"/>
      <w:lvlJc w:val="left"/>
    </w:lvl>
  </w:abstractNum>
  <w:abstractNum w:abstractNumId="20">
    <w:nsid w:val="39A0D9AC"/>
    <w:multiLevelType w:val="singleLevel"/>
    <w:tmpl w:val="39A0D9AC"/>
    <w:lvl w:ilvl="0" w:tentative="0">
      <w:start w:val="1"/>
      <w:numFmt w:val="bullet"/>
      <w:lvlText w:val="•"/>
      <w:lvlJc w:val="left"/>
    </w:lvl>
  </w:abstractNum>
  <w:abstractNum w:abstractNumId="21">
    <w:nsid w:val="46A08BB8"/>
    <w:multiLevelType w:val="singleLevel"/>
    <w:tmpl w:val="46A08BB8"/>
    <w:lvl w:ilvl="0" w:tentative="0">
      <w:start w:val="1"/>
      <w:numFmt w:val="bullet"/>
      <w:lvlText w:val="•"/>
      <w:lvlJc w:val="left"/>
    </w:lvl>
  </w:abstractNum>
  <w:abstractNum w:abstractNumId="22">
    <w:nsid w:val="4C1BAE26"/>
    <w:multiLevelType w:val="singleLevel"/>
    <w:tmpl w:val="4C1BAE26"/>
    <w:lvl w:ilvl="0" w:tentative="0">
      <w:start w:val="1"/>
      <w:numFmt w:val="bullet"/>
      <w:lvlText w:val="•"/>
      <w:lvlJc w:val="left"/>
    </w:lvl>
  </w:abstractNum>
  <w:abstractNum w:abstractNumId="23">
    <w:nsid w:val="4D4DC07F"/>
    <w:multiLevelType w:val="singleLevel"/>
    <w:tmpl w:val="4D4DC07F"/>
    <w:lvl w:ilvl="0" w:tentative="0">
      <w:start w:val="1"/>
      <w:numFmt w:val="bullet"/>
      <w:lvlText w:val="•"/>
      <w:lvlJc w:val="left"/>
    </w:lvl>
  </w:abstractNum>
  <w:abstractNum w:abstractNumId="24">
    <w:nsid w:val="59ADCABA"/>
    <w:multiLevelType w:val="singleLevel"/>
    <w:tmpl w:val="59ADCABA"/>
    <w:lvl w:ilvl="0" w:tentative="0">
      <w:start w:val="1"/>
      <w:numFmt w:val="bullet"/>
      <w:lvlText w:val="•"/>
      <w:lvlJc w:val="left"/>
    </w:lvl>
  </w:abstractNum>
  <w:abstractNum w:abstractNumId="25">
    <w:nsid w:val="5A241D34"/>
    <w:multiLevelType w:val="singleLevel"/>
    <w:tmpl w:val="5A241D34"/>
    <w:lvl w:ilvl="0" w:tentative="0">
      <w:start w:val="1"/>
      <w:numFmt w:val="bullet"/>
      <w:lvlText w:val="•"/>
      <w:lvlJc w:val="left"/>
    </w:lvl>
  </w:abstractNum>
  <w:abstractNum w:abstractNumId="26">
    <w:nsid w:val="60382F6E"/>
    <w:multiLevelType w:val="singleLevel"/>
    <w:tmpl w:val="60382F6E"/>
    <w:lvl w:ilvl="0" w:tentative="0">
      <w:start w:val="1"/>
      <w:numFmt w:val="bullet"/>
      <w:lvlText w:val="•"/>
      <w:lvlJc w:val="left"/>
    </w:lvl>
  </w:abstractNum>
  <w:abstractNum w:abstractNumId="27">
    <w:nsid w:val="629F7852"/>
    <w:multiLevelType w:val="singleLevel"/>
    <w:tmpl w:val="629F7852"/>
    <w:lvl w:ilvl="0" w:tentative="0">
      <w:start w:val="1"/>
      <w:numFmt w:val="decimal"/>
      <w:lvlText w:val="%1."/>
      <w:lvlJc w:val="left"/>
    </w:lvl>
  </w:abstractNum>
  <w:abstractNum w:abstractNumId="28">
    <w:nsid w:val="72183CF9"/>
    <w:multiLevelType w:val="singleLevel"/>
    <w:tmpl w:val="72183CF9"/>
    <w:lvl w:ilvl="0" w:tentative="0">
      <w:start w:val="1"/>
      <w:numFmt w:val="bullet"/>
      <w:lvlText w:val="•"/>
      <w:lvlJc w:val="left"/>
    </w:lvl>
  </w:abstractNum>
  <w:abstractNum w:abstractNumId="29">
    <w:nsid w:val="77ECEA79"/>
    <w:multiLevelType w:val="singleLevel"/>
    <w:tmpl w:val="77ECEA79"/>
    <w:lvl w:ilvl="0" w:tentative="0">
      <w:start w:val="1"/>
      <w:numFmt w:val="decimal"/>
      <w:lvlText w:val="%1."/>
      <w:lvlJc w:val="left"/>
    </w:lvl>
  </w:abstractNum>
  <w:num w:numId="1">
    <w:abstractNumId w:val="13"/>
  </w:num>
  <w:num w:numId="2">
    <w:abstractNumId w:val="7"/>
  </w:num>
  <w:num w:numId="3">
    <w:abstractNumId w:val="24"/>
  </w:num>
  <w:num w:numId="4">
    <w:abstractNumId w:val="5"/>
  </w:num>
  <w:num w:numId="5">
    <w:abstractNumId w:val="4"/>
  </w:num>
  <w:num w:numId="6">
    <w:abstractNumId w:val="15"/>
  </w:num>
  <w:num w:numId="7">
    <w:abstractNumId w:val="18"/>
  </w:num>
  <w:num w:numId="8">
    <w:abstractNumId w:val="28"/>
  </w:num>
  <w:num w:numId="9">
    <w:abstractNumId w:val="14"/>
  </w:num>
  <w:num w:numId="10">
    <w:abstractNumId w:val="0"/>
  </w:num>
  <w:num w:numId="11">
    <w:abstractNumId w:val="19"/>
  </w:num>
  <w:num w:numId="12">
    <w:abstractNumId w:val="25"/>
  </w:num>
  <w:num w:numId="13">
    <w:abstractNumId w:val="6"/>
  </w:num>
  <w:num w:numId="14">
    <w:abstractNumId w:val="23"/>
  </w:num>
  <w:num w:numId="15">
    <w:abstractNumId w:val="12"/>
  </w:num>
  <w:num w:numId="16">
    <w:abstractNumId w:val="17"/>
  </w:num>
  <w:num w:numId="17">
    <w:abstractNumId w:val="10"/>
  </w:num>
  <w:num w:numId="18">
    <w:abstractNumId w:val="9"/>
  </w:num>
  <w:num w:numId="19">
    <w:abstractNumId w:val="2"/>
  </w:num>
  <w:num w:numId="20">
    <w:abstractNumId w:val="22"/>
  </w:num>
  <w:num w:numId="21">
    <w:abstractNumId w:val="26"/>
  </w:num>
  <w:num w:numId="22">
    <w:abstractNumId w:val="16"/>
  </w:num>
  <w:num w:numId="23">
    <w:abstractNumId w:val="21"/>
  </w:num>
  <w:num w:numId="24">
    <w:abstractNumId w:val="3"/>
  </w:num>
  <w:num w:numId="25">
    <w:abstractNumId w:val="11"/>
  </w:num>
  <w:num w:numId="26">
    <w:abstractNumId w:val="8"/>
  </w:num>
  <w:num w:numId="27">
    <w:abstractNumId w:val="29"/>
  </w:num>
  <w:num w:numId="28">
    <w:abstractNumId w:val="27"/>
  </w:num>
  <w:num w:numId="29">
    <w:abstractNumId w:val="1"/>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4640B52"/>
    <w:rsid w:val="05A5591B"/>
    <w:rsid w:val="065E086B"/>
    <w:rsid w:val="06E21055"/>
    <w:rsid w:val="09BE5EFB"/>
    <w:rsid w:val="0ABC5BC4"/>
    <w:rsid w:val="0AC769A1"/>
    <w:rsid w:val="0C4A0F50"/>
    <w:rsid w:val="0D244A3B"/>
    <w:rsid w:val="0F201163"/>
    <w:rsid w:val="107A42D0"/>
    <w:rsid w:val="1197736A"/>
    <w:rsid w:val="11C35C88"/>
    <w:rsid w:val="12492C39"/>
    <w:rsid w:val="12FD248B"/>
    <w:rsid w:val="1484072D"/>
    <w:rsid w:val="154126EF"/>
    <w:rsid w:val="1592304B"/>
    <w:rsid w:val="15B01D42"/>
    <w:rsid w:val="1647748F"/>
    <w:rsid w:val="16566DBE"/>
    <w:rsid w:val="17895CE9"/>
    <w:rsid w:val="17C64885"/>
    <w:rsid w:val="17D27B3A"/>
    <w:rsid w:val="17E02409"/>
    <w:rsid w:val="17FF76B7"/>
    <w:rsid w:val="180B7DFE"/>
    <w:rsid w:val="187529D9"/>
    <w:rsid w:val="18C45873"/>
    <w:rsid w:val="190A277E"/>
    <w:rsid w:val="1B94739F"/>
    <w:rsid w:val="1D171C50"/>
    <w:rsid w:val="1F35597B"/>
    <w:rsid w:val="21C81DCC"/>
    <w:rsid w:val="238241FC"/>
    <w:rsid w:val="24C75D95"/>
    <w:rsid w:val="24F73F4C"/>
    <w:rsid w:val="25205A7B"/>
    <w:rsid w:val="270C62B7"/>
    <w:rsid w:val="27262E3C"/>
    <w:rsid w:val="28641476"/>
    <w:rsid w:val="2A8B3997"/>
    <w:rsid w:val="2AE8441B"/>
    <w:rsid w:val="2B3A4CDA"/>
    <w:rsid w:val="2B4A5600"/>
    <w:rsid w:val="2B5B534A"/>
    <w:rsid w:val="2BC5737C"/>
    <w:rsid w:val="2CAF5E9E"/>
    <w:rsid w:val="2CBB5CE4"/>
    <w:rsid w:val="3436271A"/>
    <w:rsid w:val="346B6210"/>
    <w:rsid w:val="34C208FD"/>
    <w:rsid w:val="34EC3BCC"/>
    <w:rsid w:val="35250B19"/>
    <w:rsid w:val="355B7F36"/>
    <w:rsid w:val="3569521C"/>
    <w:rsid w:val="375A02D5"/>
    <w:rsid w:val="38710670"/>
    <w:rsid w:val="39396CB4"/>
    <w:rsid w:val="3990657D"/>
    <w:rsid w:val="3A654B5F"/>
    <w:rsid w:val="3A7761AC"/>
    <w:rsid w:val="3B0A71ED"/>
    <w:rsid w:val="3D5C2612"/>
    <w:rsid w:val="3EBB2B0F"/>
    <w:rsid w:val="42756FAE"/>
    <w:rsid w:val="42E60429"/>
    <w:rsid w:val="446E2E63"/>
    <w:rsid w:val="44C30432"/>
    <w:rsid w:val="46274A64"/>
    <w:rsid w:val="47EB5F15"/>
    <w:rsid w:val="4803238A"/>
    <w:rsid w:val="486F26F2"/>
    <w:rsid w:val="4BF40E3E"/>
    <w:rsid w:val="4CA13F8E"/>
    <w:rsid w:val="4D1956A9"/>
    <w:rsid w:val="4E7C136B"/>
    <w:rsid w:val="4EAC488E"/>
    <w:rsid w:val="4F496CB7"/>
    <w:rsid w:val="50A11FE0"/>
    <w:rsid w:val="522F1B73"/>
    <w:rsid w:val="547C202D"/>
    <w:rsid w:val="58937D37"/>
    <w:rsid w:val="58B571B7"/>
    <w:rsid w:val="59552A84"/>
    <w:rsid w:val="5ADA7E9F"/>
    <w:rsid w:val="5BC25DD9"/>
    <w:rsid w:val="5BC61375"/>
    <w:rsid w:val="5BD56BA4"/>
    <w:rsid w:val="5C157BF0"/>
    <w:rsid w:val="5D0128BF"/>
    <w:rsid w:val="5E2F7897"/>
    <w:rsid w:val="5F712F7E"/>
    <w:rsid w:val="60551AD3"/>
    <w:rsid w:val="608D3C69"/>
    <w:rsid w:val="624B5761"/>
    <w:rsid w:val="63161082"/>
    <w:rsid w:val="63AC4D38"/>
    <w:rsid w:val="63D70E99"/>
    <w:rsid w:val="653576A4"/>
    <w:rsid w:val="66414DC0"/>
    <w:rsid w:val="665E1984"/>
    <w:rsid w:val="66F75934"/>
    <w:rsid w:val="68562439"/>
    <w:rsid w:val="6886667F"/>
    <w:rsid w:val="69952A39"/>
    <w:rsid w:val="6A7948FB"/>
    <w:rsid w:val="6B6C0BDE"/>
    <w:rsid w:val="6B8059E2"/>
    <w:rsid w:val="6CA62B12"/>
    <w:rsid w:val="70A94E62"/>
    <w:rsid w:val="70AC7790"/>
    <w:rsid w:val="726B05BD"/>
    <w:rsid w:val="727B1D4D"/>
    <w:rsid w:val="72A32589"/>
    <w:rsid w:val="73135370"/>
    <w:rsid w:val="747C5A5B"/>
    <w:rsid w:val="74992CD1"/>
    <w:rsid w:val="74B20BD5"/>
    <w:rsid w:val="761B163F"/>
    <w:rsid w:val="7662169B"/>
    <w:rsid w:val="77846D70"/>
    <w:rsid w:val="78551408"/>
    <w:rsid w:val="7AA716F4"/>
    <w:rsid w:val="7AB21E46"/>
    <w:rsid w:val="7B9E56C1"/>
    <w:rsid w:val="7C185920"/>
    <w:rsid w:val="7F427C3D"/>
    <w:rsid w:val="7F455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7">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3">
    <w:name w:val="Body Text"/>
    <w:basedOn w:val="1"/>
    <w:next w:val="4"/>
    <w:qFormat/>
    <w:uiPriority w:val="0"/>
    <w:rPr>
      <w:rFonts w:ascii="宋体" w:hAnsi="Arial"/>
      <w:sz w:val="28"/>
    </w:rPr>
  </w:style>
  <w:style w:type="paragraph" w:styleId="4">
    <w:name w:val="Body Text 2"/>
    <w:basedOn w:val="1"/>
    <w:next w:val="3"/>
    <w:qFormat/>
    <w:uiPriority w:val="0"/>
    <w:pPr>
      <w:spacing w:after="120" w:line="480" w:lineRule="auto"/>
    </w:pPr>
  </w:style>
  <w:style w:type="paragraph" w:styleId="5">
    <w:name w:val="Body Text First Indent 2"/>
    <w:basedOn w:val="6"/>
    <w:next w:val="1"/>
    <w:qFormat/>
    <w:uiPriority w:val="99"/>
    <w:pPr>
      <w:tabs>
        <w:tab w:val="left" w:pos="0"/>
        <w:tab w:val="left" w:pos="993"/>
        <w:tab w:val="left" w:pos="1134"/>
      </w:tabs>
      <w:ind w:firstLine="420"/>
    </w:pPr>
  </w:style>
  <w:style w:type="paragraph" w:styleId="6">
    <w:name w:val="Body Text Indent"/>
    <w:basedOn w:val="1"/>
    <w:next w:val="1"/>
    <w:qFormat/>
    <w:uiPriority w:val="0"/>
    <w:pPr>
      <w:ind w:firstLine="632" w:firstLineChars="200"/>
    </w:pPr>
    <w:rPr>
      <w:rFonts w:ascii="仿宋_GB2312" w:hAnsi="华文楷体" w:eastAsia="仿宋_GB2312"/>
      <w:sz w:val="32"/>
    </w:rPr>
  </w:style>
  <w:style w:type="paragraph" w:styleId="8">
    <w:name w:val="caption"/>
    <w:basedOn w:val="1"/>
    <w:next w:val="1"/>
    <w:qFormat/>
    <w:uiPriority w:val="0"/>
    <w:rPr>
      <w:rFonts w:ascii="Cambria" w:hAnsi="Cambria" w:eastAsia="黑体"/>
      <w:sz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envelope return"/>
    <w:basedOn w:val="1"/>
    <w:qFormat/>
    <w:uiPriority w:val="99"/>
    <w:pPr>
      <w:snapToGrid w:val="0"/>
    </w:pPr>
    <w:rPr>
      <w:rFonts w:ascii="Arial" w:hAnsi="Arial"/>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99"/>
    <w:pPr>
      <w:widowControl/>
      <w:spacing w:before="100" w:beforeAutospacing="1" w:after="100" w:afterAutospacing="1"/>
      <w:jc w:val="left"/>
    </w:pPr>
    <w:rPr>
      <w:rFonts w:ascii="宋体" w:hAnsi="宋体"/>
      <w:kern w:val="0"/>
      <w:sz w:val="24"/>
      <w:szCs w:val="24"/>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22"/>
    <w:rPr>
      <w:b/>
      <w:bCs/>
    </w:rPr>
  </w:style>
  <w:style w:type="paragraph" w:customStyle="1" w:styleId="17">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BodyText1I"/>
    <w:basedOn w:val="19"/>
    <w:qFormat/>
    <w:uiPriority w:val="99"/>
    <w:pPr>
      <w:ind w:firstLine="420" w:firstLineChars="100"/>
    </w:pPr>
  </w:style>
  <w:style w:type="paragraph" w:customStyle="1" w:styleId="19">
    <w:name w:val="BodyText"/>
    <w:basedOn w:val="1"/>
    <w:qFormat/>
    <w:uiPriority w:val="99"/>
    <w:pPr>
      <w:spacing w:after="120"/>
    </w:pPr>
  </w:style>
  <w:style w:type="paragraph" w:styleId="20">
    <w:name w:val="List Paragraph"/>
    <w:basedOn w:val="1"/>
    <w:qFormat/>
    <w:uiPriority w:val="34"/>
    <w:pPr>
      <w:ind w:firstLine="420" w:firstLineChars="200"/>
    </w:pPr>
  </w:style>
  <w:style w:type="paragraph" w:customStyle="1" w:styleId="21">
    <w:name w:val="Table Text"/>
    <w:basedOn w:val="1"/>
    <w:semiHidden/>
    <w:qFormat/>
    <w:uiPriority w:val="0"/>
    <w:rPr>
      <w:rFonts w:ascii="宋体" w:hAnsi="宋体" w:eastAsia="宋体" w:cs="宋体"/>
      <w:sz w:val="24"/>
      <w:szCs w:val="24"/>
      <w:lang w:val="en-US" w:eastAsia="en-US" w:bidi="ar-SA"/>
    </w:rPr>
  </w:style>
  <w:style w:type="table" w:customStyle="1" w:styleId="22">
    <w:name w:val="Table Normal"/>
    <w:semiHidden/>
    <w:unhideWhenUsed/>
    <w:qFormat/>
    <w:uiPriority w:val="0"/>
    <w:tblPr>
      <w:tblCellMar>
        <w:top w:w="0" w:type="dxa"/>
        <w:left w:w="0" w:type="dxa"/>
        <w:bottom w:w="0" w:type="dxa"/>
        <w:right w:w="0" w:type="dxa"/>
      </w:tblCellMar>
    </w:tblPr>
  </w:style>
  <w:style w:type="character" w:customStyle="1" w:styleId="23">
    <w:name w:val="font21"/>
    <w:basedOn w:val="15"/>
    <w:qFormat/>
    <w:uiPriority w:val="0"/>
    <w:rPr>
      <w:rFonts w:hint="eastAsia" w:ascii="宋体" w:hAnsi="宋体" w:eastAsia="宋体" w:cs="宋体"/>
      <w:color w:val="000000"/>
      <w:sz w:val="20"/>
      <w:szCs w:val="20"/>
      <w:u w:val="none"/>
    </w:rPr>
  </w:style>
  <w:style w:type="character" w:customStyle="1" w:styleId="24">
    <w:name w:val="font151"/>
    <w:basedOn w:val="15"/>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92</Pages>
  <Words>7743</Words>
  <Characters>8599</Characters>
  <TotalTime>1</TotalTime>
  <ScaleCrop>false</ScaleCrop>
  <LinksUpToDate>false</LinksUpToDate>
  <CharactersWithSpaces>8803</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2026-05-26T06:37:20Z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D23C13B74FCA426DAB08CC5484A34217_13</vt:lpwstr>
  </property>
  <property fmtid="{D5CDD505-2E9C-101B-9397-08002B2CF9AE}" pid="4" name="KSOTemplateDocerSaveRecord">
    <vt:lpwstr>eyJoZGlkIjoiNTQ3MGY4OWEwYWQ5MGRhOTEyZDdjODBiNTM4ZTJjNzciLCJ1c2VySWQiOiIxMDg5MjYwMDExIn0=</vt:lpwstr>
  </property>
</Properties>
</file>